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71C2" w14:textId="4B59038B" w:rsidR="00670CD2" w:rsidRPr="00E46BBA" w:rsidRDefault="006B0CEF" w:rsidP="006B0CEF">
      <w:pPr>
        <w:pStyle w:val="Pagedecouverture"/>
        <w:rPr>
          <w:noProof/>
        </w:rPr>
      </w:pPr>
      <w:bookmarkStart w:id="0" w:name="LW_BM_COVERPAGE"/>
      <w:r>
        <w:rPr>
          <w:noProof/>
        </w:rPr>
        <w:pict w14:anchorId="3BF50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ED119B0-837E-41C3-BF07-B04EAA05ADAB" style="width:455.25pt;height:324pt">
            <v:imagedata r:id="rId12" o:title=""/>
          </v:shape>
        </w:pict>
      </w:r>
    </w:p>
    <w:bookmarkEnd w:id="0"/>
    <w:p w14:paraId="0B7F2947" w14:textId="77777777" w:rsidR="00670CD2" w:rsidRPr="00E46BBA" w:rsidRDefault="00670CD2" w:rsidP="00670CD2">
      <w:pPr>
        <w:rPr>
          <w:noProof/>
        </w:rPr>
        <w:sectPr w:rsidR="00670CD2" w:rsidRPr="00E46BBA" w:rsidSect="006B0CEF">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774D810E" w14:textId="77777777" w:rsidR="00B54273" w:rsidRPr="00E46BBA" w:rsidRDefault="00B54273" w:rsidP="00DA4926">
      <w:pPr>
        <w:rPr>
          <w:noProof/>
        </w:rPr>
      </w:pPr>
      <w:bookmarkStart w:id="1" w:name="_GoBack"/>
      <w:bookmarkEnd w:id="1"/>
    </w:p>
    <w:p w14:paraId="0ED261EA" w14:textId="3803077B" w:rsidR="0017605E" w:rsidRPr="0017605E" w:rsidRDefault="0017605E" w:rsidP="0017605E">
      <w:pPr>
        <w:pStyle w:val="Typedudocument"/>
        <w:rPr>
          <w:noProof/>
        </w:rPr>
      </w:pPr>
      <w:r w:rsidRPr="0017605E">
        <w:rPr>
          <w:noProof/>
        </w:rPr>
        <w:t>A BIZOTTSÁG JELENTÉSE AZ EURÓPAI PARLAMENTNEK ÉS A TANÁCSNAK</w:t>
      </w:r>
    </w:p>
    <w:p w14:paraId="3024B674" w14:textId="6E8A9A6C" w:rsidR="0017605E" w:rsidRPr="0017605E" w:rsidRDefault="0017605E" w:rsidP="0017605E">
      <w:pPr>
        <w:pStyle w:val="Titreobjet"/>
        <w:rPr>
          <w:noProof/>
        </w:rPr>
      </w:pPr>
      <w:r w:rsidRPr="0017605E">
        <w:rPr>
          <w:noProof/>
        </w:rPr>
        <w:t>Technikai Támogatási Eszköz</w:t>
      </w:r>
      <w:r w:rsidRPr="0017605E">
        <w:rPr>
          <w:noProof/>
        </w:rPr>
        <w:br/>
        <w:t>2021. évi és 2022. évi éves jelentés</w:t>
      </w:r>
    </w:p>
    <w:p w14:paraId="70FF971F" w14:textId="5872333E" w:rsidR="00CA1528" w:rsidRPr="00B67AC1" w:rsidRDefault="000A3398" w:rsidP="00CA1528">
      <w:pPr>
        <w:rPr>
          <w:rFonts w:ascii="Times New Roman" w:hAnsi="Times New Roman" w:cs="Times New Roman"/>
          <w:noProof/>
        </w:rPr>
      </w:pPr>
      <w:r>
        <w:rPr>
          <w:rFonts w:ascii="Times New Roman" w:hAnsi="Times New Roman"/>
          <w:b/>
          <w:noProof/>
        </w:rPr>
        <w:t xml:space="preserve">A </w:t>
      </w:r>
      <w:hyperlink r:id="rId19" w:history="1">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Technikai Támogatási Eszköz</w:t>
        </w:r>
        <w:r w:rsidR="00CA1528" w:rsidRPr="00B67AC1">
          <w:rPr>
            <w:rStyle w:val="FootnoteReference"/>
            <w:rFonts w:ascii="Times New Roman" w:hAnsi="Times New Roman" w:cs="Times New Roman"/>
            <w:bCs/>
            <w:noProof/>
          </w:rPr>
          <w:footnoteReference w:id="2"/>
        </w:r>
      </w:hyperlink>
      <w:r>
        <w:rPr>
          <w:rFonts w:ascii="Times New Roman" w:hAnsi="Times New Roman"/>
          <w:b/>
          <w:noProof/>
        </w:rPr>
        <w:t xml:space="preserve"> (TSI) egy uniós program, amely 2021 óta testre szabott technikai szaktudást biztosít az uniós tagállamok számára reformok kidolgozásához és végrehajtásához.</w:t>
      </w:r>
      <w:r>
        <w:rPr>
          <w:rFonts w:ascii="Times New Roman" w:hAnsi="Times New Roman"/>
          <w:noProof/>
        </w:rPr>
        <w:t xml:space="preserve"> Általános célkitűzése az EU gazdasági, társadalmi és területi kohéziójának előmozdítása azáltal, hogy segíti a tagállamokat a gazdasági és társadalmi helyreállítás, a reziliencia, valamint a felfelé irányuló gazdasági és társadalmi konvergencia eléréséhez szükséges reformok végrehajtásában. A Technikai Támogatási Eszköz az elődje, a 2017–2020 közötti időszakra szóló strukturálisreform-támogató program</w:t>
      </w:r>
      <w:bookmarkStart w:id="2" w:name="_Hlk152066335"/>
      <w:r w:rsidR="00C553A8" w:rsidRPr="00B67AC1">
        <w:rPr>
          <w:rStyle w:val="FootnoteReference"/>
          <w:rFonts w:ascii="Times New Roman" w:hAnsi="Times New Roman" w:cs="Times New Roman"/>
          <w:noProof/>
        </w:rPr>
        <w:footnoteReference w:id="3"/>
      </w:r>
      <w:bookmarkEnd w:id="2"/>
      <w:r>
        <w:rPr>
          <w:rFonts w:ascii="Times New Roman" w:hAnsi="Times New Roman"/>
          <w:noProof/>
        </w:rPr>
        <w:t xml:space="preserve"> (SRSP) sikerére épít, és lényegesen magasabb költségvetéssel rendelkezik.</w:t>
      </w:r>
    </w:p>
    <w:p w14:paraId="18556B56" w14:textId="1E624504" w:rsidR="00CA1528" w:rsidRPr="00B67AC1" w:rsidRDefault="00CA1528" w:rsidP="00CA1528">
      <w:pPr>
        <w:rPr>
          <w:rFonts w:ascii="Times New Roman" w:hAnsi="Times New Roman" w:cs="Times New Roman"/>
          <w:b/>
          <w:bCs/>
          <w:noProof/>
        </w:rPr>
      </w:pPr>
      <w:r>
        <w:rPr>
          <w:rFonts w:ascii="Times New Roman" w:hAnsi="Times New Roman"/>
          <w:noProof/>
        </w:rPr>
        <w:t xml:space="preserve">Az Európai Bizottság Strukturálisreform-támogató Főigazgatósága (DG REFORM) által kezelt Technikai Támogatási Eszköz minden olyan tagállam számára elérhető, amely kihívásokkal szembesül a reformok kidolgozása és végrehajtása terén. Ide tartoznak azok a reformok, amelyek célja a gazdaságpolitikai koordináció </w:t>
      </w:r>
      <w:r>
        <w:rPr>
          <w:rFonts w:ascii="Times New Roman" w:hAnsi="Times New Roman"/>
          <w:b/>
          <w:noProof/>
        </w:rPr>
        <w:t>európai szemesztere</w:t>
      </w:r>
      <w:r>
        <w:rPr>
          <w:rFonts w:ascii="Times New Roman" w:hAnsi="Times New Roman"/>
          <w:noProof/>
        </w:rPr>
        <w:t xml:space="preserve"> keretében azonosított kihívások kezelése, az </w:t>
      </w:r>
      <w:r>
        <w:rPr>
          <w:rFonts w:ascii="Times New Roman" w:hAnsi="Times New Roman"/>
          <w:b/>
          <w:noProof/>
        </w:rPr>
        <w:t>uniós prioritásokhoz</w:t>
      </w:r>
      <w:r>
        <w:rPr>
          <w:rFonts w:ascii="Times New Roman" w:hAnsi="Times New Roman"/>
          <w:noProof/>
        </w:rPr>
        <w:t xml:space="preserve"> kapcsolódó reformok és </w:t>
      </w:r>
      <w:r>
        <w:rPr>
          <w:rFonts w:ascii="Times New Roman" w:hAnsi="Times New Roman"/>
          <w:b/>
          <w:noProof/>
        </w:rPr>
        <w:t>a tagállamok saját kezdeményezésű</w:t>
      </w:r>
      <w:r>
        <w:rPr>
          <w:rFonts w:ascii="Times New Roman" w:hAnsi="Times New Roman"/>
          <w:noProof/>
        </w:rPr>
        <w:t xml:space="preserve"> reformjai. A Technikai Támogatási Eszköz költségvetésében </w:t>
      </w:r>
      <w:r>
        <w:rPr>
          <w:rFonts w:ascii="Times New Roman" w:hAnsi="Times New Roman"/>
          <w:b/>
          <w:noProof/>
        </w:rPr>
        <w:t>a források nincsenek előre meghatározott tagállamok vagy szakpolitikai területek részére allokálva.</w:t>
      </w:r>
    </w:p>
    <w:p w14:paraId="20038B73" w14:textId="2572EBA1" w:rsidR="00CA1528" w:rsidRPr="00B67AC1" w:rsidRDefault="00CA1528" w:rsidP="00CA1528">
      <w:pPr>
        <w:rPr>
          <w:rFonts w:ascii="Times New Roman" w:hAnsi="Times New Roman" w:cs="Times New Roman"/>
          <w:noProof/>
        </w:rPr>
      </w:pPr>
      <w:r>
        <w:rPr>
          <w:rFonts w:ascii="Times New Roman" w:hAnsi="Times New Roman"/>
          <w:noProof/>
        </w:rPr>
        <w:t>A Technikai Támogatási Eszköz számos szakpolitikai területen nyújt technikai támogatást a tagállamoknak.</w:t>
      </w:r>
      <w:r>
        <w:rPr>
          <w:rFonts w:ascii="Times New Roman" w:hAnsi="Times New Roman"/>
          <w:b/>
          <w:noProof/>
        </w:rPr>
        <w:t xml:space="preserve"> </w:t>
      </w:r>
      <w:r>
        <w:rPr>
          <w:rFonts w:ascii="Times New Roman" w:hAnsi="Times New Roman"/>
          <w:noProof/>
        </w:rPr>
        <w:t xml:space="preserve">Ezek közé tartozik az államháztartási gazdálkodás és az állami vagyonkezelés, az intézményi és igazgatási reform, az üzleti környezet, a pénzügyi ágazat, a termék-, szolgáltatás- és munkaerőpiac, az oktatás és képzés, a fenntartható fejlődés, az egészségügy és a szociális jólét. A Technikai Támogatási Eszköz a zöld és digitális átálláshoz hozzájáruló intézkedésekre összpontosít. A Technikai Támogatási Eszköz a </w:t>
      </w:r>
      <w:r>
        <w:rPr>
          <w:rFonts w:ascii="Times New Roman" w:hAnsi="Times New Roman"/>
          <w:b/>
          <w:noProof/>
        </w:rPr>
        <w:t>nemzeti helyreállítási és rezilienciaépítési tervek</w:t>
      </w:r>
      <w:r w:rsidRPr="00B67AC1">
        <w:rPr>
          <w:rStyle w:val="FootnoteReference"/>
          <w:rFonts w:ascii="Times New Roman" w:hAnsi="Times New Roman" w:cs="Times New Roman"/>
          <w:noProof/>
        </w:rPr>
        <w:footnoteReference w:id="4"/>
      </w:r>
      <w:r>
        <w:rPr>
          <w:rFonts w:ascii="Times New Roman" w:hAnsi="Times New Roman"/>
          <w:noProof/>
        </w:rPr>
        <w:t xml:space="preserve"> kidolgozására és végrehajtására irányuló munkát is támogathatja.</w:t>
      </w:r>
    </w:p>
    <w:p w14:paraId="43098003" w14:textId="67A7F1BF" w:rsidR="00CC676A" w:rsidRDefault="00CA1528" w:rsidP="00CC676A">
      <w:pPr>
        <w:keepNext/>
        <w:rPr>
          <w:rFonts w:ascii="Times New Roman" w:hAnsi="Times New Roman"/>
          <w:noProof/>
        </w:rPr>
      </w:pPr>
      <w:r>
        <w:rPr>
          <w:rFonts w:ascii="Times New Roman" w:hAnsi="Times New Roman"/>
          <w:noProof/>
        </w:rPr>
        <w:t xml:space="preserve">A Technikai Támogatási Eszköz nem igényel társfinanszírozást a tagállamoktól. A 2021–2027 közötti időszakra vonatkozó többéves pénzügyi keretben a Technikai Támogatási Eszköz teljes költségvetése </w:t>
      </w:r>
      <w:r>
        <w:rPr>
          <w:rFonts w:ascii="Times New Roman" w:hAnsi="Times New Roman"/>
          <w:b/>
          <w:noProof/>
        </w:rPr>
        <w:t>864,4 millió EUR (1. ábra)</w:t>
      </w:r>
      <w:r>
        <w:rPr>
          <w:rFonts w:ascii="Times New Roman" w:hAnsi="Times New Roman"/>
          <w:noProof/>
        </w:rPr>
        <w:t>.</w:t>
      </w:r>
      <w:r>
        <w:rPr>
          <w:rFonts w:ascii="Times New Roman" w:hAnsi="Times New Roman"/>
          <w:b/>
          <w:noProof/>
        </w:rPr>
        <w:t xml:space="preserve"> </w:t>
      </w:r>
      <w:r>
        <w:rPr>
          <w:rFonts w:ascii="Times New Roman" w:hAnsi="Times New Roman"/>
          <w:noProof/>
        </w:rPr>
        <w:t>Emellett a tagállamok közvetlen hozzájárulás formájában vagy helyreállítási és rezilienciaépítési terveik részeként további technikai támogatást kérhetnek</w:t>
      </w:r>
      <w:r w:rsidRPr="00B67AC1">
        <w:rPr>
          <w:rStyle w:val="FootnoteReference"/>
          <w:rFonts w:ascii="Times New Roman" w:hAnsi="Times New Roman" w:cs="Times New Roman"/>
          <w:noProof/>
        </w:rPr>
        <w:footnoteReference w:id="5"/>
      </w:r>
      <w:r>
        <w:rPr>
          <w:rFonts w:ascii="Times New Roman" w:hAnsi="Times New Roman"/>
          <w:noProof/>
        </w:rPr>
        <w:t>, és többen éltek is ezzel a lehetőséggel.</w:t>
      </w:r>
    </w:p>
    <w:p w14:paraId="30F224DF" w14:textId="77777777" w:rsidR="00CC676A" w:rsidRDefault="00CC676A">
      <w:pPr>
        <w:jc w:val="left"/>
        <w:rPr>
          <w:rFonts w:ascii="Times New Roman" w:hAnsi="Times New Roman"/>
          <w:noProof/>
        </w:rPr>
      </w:pPr>
      <w:r>
        <w:rPr>
          <w:rFonts w:ascii="Times New Roman" w:hAnsi="Times New Roman"/>
          <w:noProof/>
        </w:rPr>
        <w:br w:type="page"/>
      </w:r>
    </w:p>
    <w:p w14:paraId="15D6AC98" w14:textId="77777777" w:rsidR="00CA1528" w:rsidRPr="00B67AC1" w:rsidRDefault="00CA1528" w:rsidP="00CC676A">
      <w:pPr>
        <w:keepNext/>
        <w:rPr>
          <w:rFonts w:ascii="Times New Roman" w:hAnsi="Times New Roman" w:cs="Times New Roman"/>
          <w:noProof/>
        </w:rPr>
      </w:pP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CA1528" w:rsidRPr="00B67AC1" w14:paraId="1C370F17" w14:textId="77777777">
        <w:trPr>
          <w:trHeight w:val="342"/>
        </w:trPr>
        <w:tc>
          <w:tcPr>
            <w:tcW w:w="1134" w:type="dxa"/>
            <w:tcBorders>
              <w:bottom w:val="single" w:sz="4" w:space="0" w:color="auto"/>
            </w:tcBorders>
            <w:shd w:val="clear" w:color="auto" w:fill="D9E2F3" w:themeFill="accent5" w:themeFillTint="33"/>
            <w:vAlign w:val="center"/>
          </w:tcPr>
          <w:p w14:paraId="5E80C6A2"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2021</w:t>
            </w:r>
          </w:p>
        </w:tc>
        <w:tc>
          <w:tcPr>
            <w:tcW w:w="1134" w:type="dxa"/>
            <w:tcBorders>
              <w:bottom w:val="single" w:sz="4" w:space="0" w:color="auto"/>
            </w:tcBorders>
            <w:shd w:val="clear" w:color="auto" w:fill="D9E2F3" w:themeFill="accent5" w:themeFillTint="33"/>
            <w:vAlign w:val="center"/>
          </w:tcPr>
          <w:p w14:paraId="0D512300"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2022</w:t>
            </w:r>
          </w:p>
        </w:tc>
        <w:tc>
          <w:tcPr>
            <w:tcW w:w="1134" w:type="dxa"/>
            <w:tcBorders>
              <w:bottom w:val="single" w:sz="4" w:space="0" w:color="auto"/>
            </w:tcBorders>
            <w:shd w:val="clear" w:color="auto" w:fill="D9E2F3" w:themeFill="accent5" w:themeFillTint="33"/>
            <w:vAlign w:val="center"/>
          </w:tcPr>
          <w:p w14:paraId="7CB86AEC"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2023</w:t>
            </w:r>
          </w:p>
        </w:tc>
        <w:tc>
          <w:tcPr>
            <w:tcW w:w="1134" w:type="dxa"/>
            <w:tcBorders>
              <w:bottom w:val="single" w:sz="4" w:space="0" w:color="auto"/>
            </w:tcBorders>
            <w:shd w:val="clear" w:color="auto" w:fill="D9E2F3" w:themeFill="accent5" w:themeFillTint="33"/>
            <w:vAlign w:val="center"/>
          </w:tcPr>
          <w:p w14:paraId="49EADB37"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2024</w:t>
            </w:r>
          </w:p>
        </w:tc>
        <w:tc>
          <w:tcPr>
            <w:tcW w:w="1134" w:type="dxa"/>
            <w:tcBorders>
              <w:bottom w:val="single" w:sz="4" w:space="0" w:color="auto"/>
            </w:tcBorders>
            <w:shd w:val="clear" w:color="auto" w:fill="D9E2F3" w:themeFill="accent5" w:themeFillTint="33"/>
            <w:vAlign w:val="center"/>
          </w:tcPr>
          <w:p w14:paraId="51E8B402"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2025</w:t>
            </w:r>
          </w:p>
        </w:tc>
        <w:tc>
          <w:tcPr>
            <w:tcW w:w="1134" w:type="dxa"/>
            <w:tcBorders>
              <w:bottom w:val="single" w:sz="4" w:space="0" w:color="auto"/>
            </w:tcBorders>
            <w:shd w:val="clear" w:color="auto" w:fill="D9E2F3" w:themeFill="accent5" w:themeFillTint="33"/>
            <w:vAlign w:val="center"/>
          </w:tcPr>
          <w:p w14:paraId="674E8133"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2026</w:t>
            </w:r>
          </w:p>
        </w:tc>
        <w:tc>
          <w:tcPr>
            <w:tcW w:w="1134" w:type="dxa"/>
            <w:tcBorders>
              <w:bottom w:val="single" w:sz="4" w:space="0" w:color="auto"/>
            </w:tcBorders>
            <w:shd w:val="clear" w:color="auto" w:fill="D9E2F3" w:themeFill="accent5" w:themeFillTint="33"/>
            <w:vAlign w:val="center"/>
          </w:tcPr>
          <w:p w14:paraId="49BF5E83"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2027</w:t>
            </w:r>
          </w:p>
        </w:tc>
        <w:tc>
          <w:tcPr>
            <w:tcW w:w="1134" w:type="dxa"/>
            <w:tcBorders>
              <w:bottom w:val="single" w:sz="4" w:space="0" w:color="auto"/>
            </w:tcBorders>
            <w:shd w:val="clear" w:color="auto" w:fill="D9E2F3" w:themeFill="accent5" w:themeFillTint="33"/>
            <w:vAlign w:val="center"/>
          </w:tcPr>
          <w:p w14:paraId="4D99B163"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Összesen</w:t>
            </w:r>
          </w:p>
        </w:tc>
      </w:tr>
      <w:tr w:rsidR="00CA1528" w:rsidRPr="00B67AC1" w14:paraId="177343EE" w14:textId="77777777">
        <w:trPr>
          <w:trHeight w:val="423"/>
        </w:trPr>
        <w:tc>
          <w:tcPr>
            <w:tcW w:w="1134" w:type="dxa"/>
            <w:tcBorders>
              <w:top w:val="single" w:sz="4" w:space="0" w:color="auto"/>
            </w:tcBorders>
            <w:vAlign w:val="center"/>
          </w:tcPr>
          <w:p w14:paraId="074A9CF5"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116,4</w:t>
            </w:r>
          </w:p>
        </w:tc>
        <w:tc>
          <w:tcPr>
            <w:tcW w:w="1134" w:type="dxa"/>
            <w:tcBorders>
              <w:top w:val="single" w:sz="4" w:space="0" w:color="auto"/>
            </w:tcBorders>
            <w:vAlign w:val="center"/>
          </w:tcPr>
          <w:p w14:paraId="54740DF0"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118,7</w:t>
            </w:r>
          </w:p>
        </w:tc>
        <w:tc>
          <w:tcPr>
            <w:tcW w:w="1134" w:type="dxa"/>
            <w:tcBorders>
              <w:top w:val="single" w:sz="4" w:space="0" w:color="auto"/>
            </w:tcBorders>
            <w:vAlign w:val="center"/>
          </w:tcPr>
          <w:p w14:paraId="03478D1A"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121,1</w:t>
            </w:r>
          </w:p>
        </w:tc>
        <w:tc>
          <w:tcPr>
            <w:tcW w:w="1134" w:type="dxa"/>
            <w:tcBorders>
              <w:top w:val="single" w:sz="4" w:space="0" w:color="auto"/>
            </w:tcBorders>
            <w:vAlign w:val="center"/>
          </w:tcPr>
          <w:p w14:paraId="6AFCDAE9"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123,5</w:t>
            </w:r>
          </w:p>
        </w:tc>
        <w:tc>
          <w:tcPr>
            <w:tcW w:w="1134" w:type="dxa"/>
            <w:tcBorders>
              <w:top w:val="single" w:sz="4" w:space="0" w:color="auto"/>
            </w:tcBorders>
            <w:vAlign w:val="center"/>
          </w:tcPr>
          <w:p w14:paraId="01670CE5"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126,0</w:t>
            </w:r>
          </w:p>
        </w:tc>
        <w:tc>
          <w:tcPr>
            <w:tcW w:w="1134" w:type="dxa"/>
            <w:tcBorders>
              <w:top w:val="single" w:sz="4" w:space="0" w:color="auto"/>
            </w:tcBorders>
            <w:vAlign w:val="center"/>
          </w:tcPr>
          <w:p w14:paraId="69665520"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128,5</w:t>
            </w:r>
          </w:p>
        </w:tc>
        <w:tc>
          <w:tcPr>
            <w:tcW w:w="1134" w:type="dxa"/>
            <w:tcBorders>
              <w:top w:val="single" w:sz="4" w:space="0" w:color="auto"/>
            </w:tcBorders>
            <w:vAlign w:val="center"/>
          </w:tcPr>
          <w:p w14:paraId="15DCA5B7"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130,4</w:t>
            </w:r>
          </w:p>
        </w:tc>
        <w:tc>
          <w:tcPr>
            <w:tcW w:w="1134" w:type="dxa"/>
            <w:tcBorders>
              <w:top w:val="single" w:sz="4" w:space="0" w:color="auto"/>
            </w:tcBorders>
            <w:vAlign w:val="center"/>
          </w:tcPr>
          <w:p w14:paraId="4CCE0A70" w14:textId="77777777" w:rsidR="00CA1528" w:rsidRPr="00B67AC1" w:rsidRDefault="00CA1528" w:rsidP="00CC676A">
            <w:pPr>
              <w:keepNext/>
              <w:keepLines/>
              <w:rPr>
                <w:rFonts w:ascii="Times New Roman" w:hAnsi="Times New Roman" w:cs="Times New Roman"/>
                <w:noProof/>
              </w:rPr>
            </w:pPr>
            <w:r>
              <w:rPr>
                <w:rFonts w:ascii="Times New Roman" w:hAnsi="Times New Roman"/>
                <w:noProof/>
              </w:rPr>
              <w:t>864,4</w:t>
            </w:r>
          </w:p>
        </w:tc>
      </w:tr>
    </w:tbl>
    <w:p w14:paraId="3C01C1C0" w14:textId="4BA3B2A6" w:rsidR="00CA1528" w:rsidRPr="00B67AC1" w:rsidRDefault="006B0CEF" w:rsidP="00CC676A">
      <w:pPr>
        <w:pStyle w:val="Caption"/>
        <w:keepNext/>
        <w:keepLines/>
        <w:rPr>
          <w:rFonts w:ascii="Times New Roman" w:hAnsi="Times New Roman" w:cs="Times New Roman"/>
          <w:noProof/>
          <w:color w:val="2E74B5" w:themeColor="accent1" w:themeShade="BF"/>
        </w:rPr>
      </w:pPr>
      <w:r>
        <w:rPr>
          <w:noProof/>
          <w:color w:val="2E74B5" w:themeColor="accent1" w:themeShade="BF"/>
        </w:rPr>
        <w:fldChar w:fldCharType="begin"/>
      </w:r>
      <w:r>
        <w:rPr>
          <w:noProof/>
          <w:color w:val="2E74B5" w:themeColor="accent1" w:themeShade="BF"/>
        </w:rPr>
        <w:instrText xml:space="preserve"> SEQ Figure \* ARABIC </w:instrText>
      </w:r>
      <w:r>
        <w:rPr>
          <w:noProof/>
          <w:color w:val="2E74B5" w:themeColor="accent1" w:themeShade="BF"/>
        </w:rPr>
        <w:fldChar w:fldCharType="separate"/>
      </w:r>
      <w:r w:rsidR="00CA1528" w:rsidRPr="00CC676A">
        <w:rPr>
          <w:noProof/>
          <w:color w:val="2E74B5" w:themeColor="accent1" w:themeShade="BF"/>
        </w:rPr>
        <w:t>1</w:t>
      </w:r>
      <w:r>
        <w:rPr>
          <w:noProof/>
          <w:color w:val="2E74B5" w:themeColor="accent1" w:themeShade="BF"/>
        </w:rPr>
        <w:fldChar w:fldCharType="end"/>
      </w:r>
      <w:r w:rsidR="00CA1528">
        <w:rPr>
          <w:noProof/>
          <w:color w:val="2E74B5" w:themeColor="accent1" w:themeShade="BF"/>
        </w:rPr>
        <w:t>. ábra – A Technikai Támogatási Eszköz 2021–2027-es költségvetési programozása (millió EUR)</w:t>
      </w:r>
    </w:p>
    <w:p w14:paraId="2A72B6BF" w14:textId="40083E75" w:rsidR="00CA1528" w:rsidRPr="00B67AC1" w:rsidRDefault="00CA1528" w:rsidP="00CA1528">
      <w:pPr>
        <w:rPr>
          <w:rFonts w:ascii="Times New Roman" w:hAnsi="Times New Roman" w:cs="Times New Roman"/>
          <w:noProof/>
        </w:rPr>
      </w:pPr>
      <w:r>
        <w:rPr>
          <w:rFonts w:ascii="Times New Roman" w:hAnsi="Times New Roman"/>
          <w:noProof/>
        </w:rPr>
        <w:t xml:space="preserve">Az intelligens, fenntartható és társadalmilag felelős reformok fokozzák a tagállamok gazdaságainak és társadalmainak rezilienciáját. A Technikai Támogatási Eszköz egyedülálló projektalapú szolgáltatást kínál a tagállamok kedvezményezett hatóságainak, amely segítséget nyújt a reformokkal kapcsolatos kihívások kezeléséhez. A segítség például stratégiai és jogi tanácsadás, tanulmányok, képzések és szakértői látogatások formájában valósulhat meg, és a projektek több támogatási formát is ötvözhetnek. A támogatási eszköz a reformfolyamat bármely szakaszában igénybe vehető, az előkészítéstől és a tervezéstől kezdve egészen a fejlesztésig és a végrehajtásig. Ekképpen a Technikai Támogatási Eszköz </w:t>
      </w:r>
      <w:r>
        <w:rPr>
          <w:rFonts w:ascii="Times New Roman" w:hAnsi="Times New Roman"/>
          <w:b/>
          <w:noProof/>
        </w:rPr>
        <w:t>megerősíti az uniós tagállamok intézményi és igazgatási kapacitását</w:t>
      </w:r>
      <w:r>
        <w:rPr>
          <w:rFonts w:ascii="Times New Roman" w:hAnsi="Times New Roman"/>
          <w:noProof/>
        </w:rPr>
        <w:t xml:space="preserve">. Az eszköz </w:t>
      </w:r>
      <w:r>
        <w:rPr>
          <w:rFonts w:ascii="Times New Roman" w:hAnsi="Times New Roman"/>
          <w:b/>
          <w:noProof/>
        </w:rPr>
        <w:t>testre szabott</w:t>
      </w:r>
      <w:r>
        <w:rPr>
          <w:rFonts w:ascii="Times New Roman" w:hAnsi="Times New Roman"/>
          <w:noProof/>
        </w:rPr>
        <w:t xml:space="preserve">, és minden egyes projekthez a </w:t>
      </w:r>
      <w:r>
        <w:rPr>
          <w:rFonts w:ascii="Times New Roman" w:hAnsi="Times New Roman"/>
          <w:b/>
          <w:noProof/>
        </w:rPr>
        <w:t>szakértelem egyedülálló kombinációját</w:t>
      </w:r>
      <w:r>
        <w:rPr>
          <w:rFonts w:ascii="Times New Roman" w:hAnsi="Times New Roman"/>
          <w:noProof/>
        </w:rPr>
        <w:t xml:space="preserve"> biztosítja: az Európai Bizottság házon belüli szakértelmét ötvözi a tagállami közigazgatások szakértelmével (pl. az Európai Bizottság technikai segítségnyújtási és információcsere-eszközén, a </w:t>
      </w:r>
      <w:hyperlink r:id="rId20" w:history="1">
        <w:r>
          <w:rPr>
            <w:rStyle w:val="Hyperlink"/>
            <w:rFonts w:ascii="Times New Roman" w:hAnsi="Times New Roman"/>
            <w:noProof/>
            <w:color w:val="034990" w:themeColor="hyperlink" w:themeShade="BF"/>
          </w:rPr>
          <w:t>TAIEX</w:t>
        </w:r>
      </w:hyperlink>
      <w:r>
        <w:rPr>
          <w:rFonts w:ascii="Times New Roman" w:hAnsi="Times New Roman"/>
          <w:noProof/>
        </w:rPr>
        <w:t>-en keresztül</w:t>
      </w:r>
      <w:r w:rsidRPr="00B67AC1">
        <w:rPr>
          <w:rStyle w:val="FootnoteReference"/>
          <w:rFonts w:ascii="Times New Roman" w:hAnsi="Times New Roman" w:cs="Times New Roman"/>
          <w:noProof/>
        </w:rPr>
        <w:footnoteReference w:id="6"/>
      </w:r>
      <w:r>
        <w:rPr>
          <w:rFonts w:ascii="Times New Roman" w:hAnsi="Times New Roman"/>
          <w:noProof/>
        </w:rPr>
        <w:t>), valamint a nemzetközi szervezetek vagy a magánszektor szakértelmével. Amennyiben a magánszektor szakértelmére van szükség, a Bizottság közvetlen vagy közvetett irányítás keretében külső szakértőt szerződtet</w:t>
      </w:r>
      <w:r w:rsidRPr="00B67AC1">
        <w:rPr>
          <w:rStyle w:val="FootnoteReference"/>
          <w:rFonts w:ascii="Times New Roman" w:hAnsi="Times New Roman" w:cs="Times New Roman"/>
          <w:noProof/>
        </w:rPr>
        <w:footnoteReference w:id="7"/>
      </w:r>
      <w:r>
        <w:rPr>
          <w:rFonts w:ascii="Times New Roman" w:hAnsi="Times New Roman"/>
          <w:noProof/>
        </w:rPr>
        <w:t>. A Strukturálisreform-támogató Főigazgatóság végig kíséri az egyes projektek végrehajtását.</w:t>
      </w:r>
    </w:p>
    <w:p w14:paraId="0DD9889E" w14:textId="291CB4AA" w:rsidR="00CA1528" w:rsidRPr="00B67AC1" w:rsidRDefault="00CA1528" w:rsidP="00CA1528">
      <w:pPr>
        <w:rPr>
          <w:rFonts w:ascii="Times New Roman" w:hAnsi="Times New Roman" w:cs="Times New Roman"/>
          <w:noProof/>
        </w:rPr>
      </w:pPr>
      <w:r>
        <w:rPr>
          <w:rFonts w:ascii="Times New Roman" w:hAnsi="Times New Roman"/>
          <w:noProof/>
        </w:rPr>
        <w:t>A reformokkal kapcsolatos kihívások leküzdéséhez és a fenntartható és inkluzív növekedés ösztönzéséhez nyújtott helyszíni támogatással a Technikai Támogatási Eszköz segíti a tagállamokat a Covid19-világjárvány társadalmi és gazdasági hatásainak helyreállításában, az Ukrajna elleni orosz agresszió hatásainak kezelésében és a közszolgáltatások minőségének javításában.</w:t>
      </w:r>
    </w:p>
    <w:p w14:paraId="50F572BC" w14:textId="7652C7E7" w:rsidR="00CA1528" w:rsidRPr="00B67AC1" w:rsidRDefault="00CA1528" w:rsidP="00CA1528">
      <w:pPr>
        <w:rPr>
          <w:rFonts w:ascii="Times New Roman" w:hAnsi="Times New Roman" w:cs="Times New Roman"/>
          <w:b/>
          <w:bCs/>
          <w:noProof/>
        </w:rPr>
      </w:pPr>
      <w:r>
        <w:rPr>
          <w:rFonts w:ascii="Times New Roman" w:hAnsi="Times New Roman"/>
          <w:noProof/>
        </w:rPr>
        <w:t xml:space="preserve">A Technikai Támogatási Eszköz </w:t>
      </w:r>
      <w:r>
        <w:rPr>
          <w:rFonts w:ascii="Times New Roman" w:hAnsi="Times New Roman"/>
          <w:b/>
          <w:noProof/>
        </w:rPr>
        <w:t>éves ciklusok</w:t>
      </w:r>
      <w:r>
        <w:rPr>
          <w:rFonts w:ascii="Times New Roman" w:hAnsi="Times New Roman"/>
          <w:noProof/>
        </w:rPr>
        <w:t xml:space="preserve"> szerint szervezett, </w:t>
      </w:r>
      <w:r>
        <w:rPr>
          <w:rFonts w:ascii="Times New Roman" w:hAnsi="Times New Roman"/>
          <w:b/>
          <w:noProof/>
        </w:rPr>
        <w:t>keresletvezérelt finanszírozási eszköz</w:t>
      </w:r>
      <w:r>
        <w:rPr>
          <w:rFonts w:ascii="Times New Roman" w:hAnsi="Times New Roman"/>
          <w:noProof/>
        </w:rPr>
        <w:t>. A cél a tagállamok által benyújtott, az uniós szintű és nemzeti prioritások kezelésére irányuló, legmagasabb színvonalú kérelmek támogatása. Az eszköz keretében egyrészt általános felhívásokat tesznek közzé, amelyek esetében a kérelmek beadási határideje október 31.</w:t>
      </w:r>
    </w:p>
    <w:p w14:paraId="733F6857" w14:textId="163635A3" w:rsidR="00CA1528" w:rsidRPr="00B67AC1" w:rsidRDefault="00CA1528" w:rsidP="00CA1528">
      <w:pPr>
        <w:rPr>
          <w:rFonts w:ascii="Times New Roman" w:hAnsi="Times New Roman" w:cs="Times New Roman"/>
          <w:noProof/>
        </w:rPr>
      </w:pPr>
      <w:r>
        <w:rPr>
          <w:rFonts w:ascii="Times New Roman" w:hAnsi="Times New Roman"/>
          <w:noProof/>
        </w:rPr>
        <w:t xml:space="preserve">A Bizottság emellett </w:t>
      </w:r>
      <w:r>
        <w:rPr>
          <w:rFonts w:ascii="Times New Roman" w:hAnsi="Times New Roman"/>
          <w:b/>
          <w:noProof/>
        </w:rPr>
        <w:t>célzott felhívásokat</w:t>
      </w:r>
      <w:r>
        <w:rPr>
          <w:rFonts w:ascii="Times New Roman" w:hAnsi="Times New Roman"/>
          <w:noProof/>
        </w:rPr>
        <w:t xml:space="preserve"> is szervezhet, amennyiben és amikor erre szükség van a tagállamok konkrét újonnan felmerülő igényeinek kielégítése érdekében, és sürgős szükségletek esetén </w:t>
      </w:r>
      <w:r>
        <w:rPr>
          <w:rFonts w:ascii="Times New Roman" w:hAnsi="Times New Roman"/>
          <w:b/>
          <w:noProof/>
        </w:rPr>
        <w:t>különleges intézkedésekkel</w:t>
      </w:r>
      <w:r>
        <w:rPr>
          <w:rFonts w:ascii="Times New Roman" w:hAnsi="Times New Roman"/>
          <w:noProof/>
        </w:rPr>
        <w:t xml:space="preserve"> is támogathatja a tagállamokat. A Bizottság 2021-ben és 2022-ben is tett közzé célzott felhívásokat.</w:t>
      </w:r>
    </w:p>
    <w:p w14:paraId="2F301DF3" w14:textId="0F74929B" w:rsidR="00DA4926" w:rsidRPr="00B67AC1" w:rsidRDefault="00774870" w:rsidP="00DA4926">
      <w:pPr>
        <w:pStyle w:val="Heading3"/>
        <w:rPr>
          <w:rFonts w:ascii="Times New Roman" w:hAnsi="Times New Roman" w:cs="Times New Roman"/>
          <w:noProof/>
          <w14:textFill>
            <w14:solidFill>
              <w14:schemeClr w14:val="accent1">
                <w14:lumMod w14:val="75000"/>
                <w14:lumMod w14:val="75000"/>
                <w14:lumMod w14:val="75000"/>
              </w14:schemeClr>
            </w14:solidFill>
          </w14:textFill>
        </w:rPr>
      </w:pPr>
      <w:bookmarkStart w:id="4" w:name="_Toc146743804"/>
      <w:bookmarkStart w:id="5" w:name="_Toc146751215"/>
      <w:r>
        <w:rPr>
          <w:rFonts w:ascii="Times New Roman" w:hAnsi="Times New Roman"/>
          <w:noProof/>
          <w14:textFill>
            <w14:solidFill>
              <w14:schemeClr w14:val="accent1">
                <w14:lumMod w14:val="75000"/>
                <w14:lumMod w14:val="75000"/>
                <w14:lumMod w14:val="75000"/>
              </w14:schemeClr>
            </w14:solidFill>
          </w14:textFill>
        </w:rPr>
        <w:t>A Technikai Támogatási Eszköz 2021. évi ciklusa</w:t>
      </w:r>
      <w:bookmarkEnd w:id="4"/>
      <w:bookmarkEnd w:id="5"/>
    </w:p>
    <w:p w14:paraId="2B9A92BD" w14:textId="4EB31A99" w:rsidR="00DA4926" w:rsidRPr="00B67AC1" w:rsidRDefault="00DA4926" w:rsidP="00DA4926">
      <w:pPr>
        <w:rPr>
          <w:rFonts w:ascii="Times New Roman" w:hAnsi="Times New Roman" w:cs="Times New Roman"/>
          <w:noProof/>
        </w:rPr>
      </w:pPr>
      <w:r>
        <w:rPr>
          <w:rFonts w:ascii="Times New Roman" w:hAnsi="Times New Roman"/>
          <w:noProof/>
        </w:rPr>
        <w:t xml:space="preserve">A Technikai Támogatási Eszköz </w:t>
      </w:r>
      <w:r>
        <w:rPr>
          <w:rFonts w:ascii="Times New Roman" w:hAnsi="Times New Roman"/>
          <w:b/>
          <w:noProof/>
        </w:rPr>
        <w:t>végrehajtása 2021-ben kezdődött.</w:t>
      </w:r>
      <w:r>
        <w:rPr>
          <w:rFonts w:ascii="Times New Roman" w:hAnsi="Times New Roman"/>
          <w:noProof/>
        </w:rPr>
        <w:t xml:space="preserve"> A strukturálisreform-támogató program tapasztalataira és sikerére építve a Strukturálisreform-támogató Főigazgatóság sikeresen </w:t>
      </w:r>
      <w:r>
        <w:rPr>
          <w:rFonts w:ascii="Times New Roman" w:hAnsi="Times New Roman"/>
          <w:b/>
          <w:noProof/>
        </w:rPr>
        <w:t>felhívta</w:t>
      </w:r>
      <w:r>
        <w:rPr>
          <w:rFonts w:ascii="Times New Roman" w:hAnsi="Times New Roman"/>
          <w:noProof/>
        </w:rPr>
        <w:t xml:space="preserve"> a 27 tagállam potenciális kedvezményezett hatóságainak </w:t>
      </w:r>
      <w:r>
        <w:rPr>
          <w:rFonts w:ascii="Times New Roman" w:hAnsi="Times New Roman"/>
          <w:b/>
          <w:noProof/>
        </w:rPr>
        <w:t>figyelmét</w:t>
      </w:r>
      <w:r>
        <w:rPr>
          <w:rFonts w:ascii="Times New Roman" w:hAnsi="Times New Roman"/>
          <w:noProof/>
        </w:rPr>
        <w:t xml:space="preserve"> a Technikai Támogatási Eszközre, így biztosítva a kezdettől fogva erőteljes érdeklődést.</w:t>
      </w:r>
    </w:p>
    <w:p w14:paraId="5B3FBB24" w14:textId="275ACE96" w:rsidR="00DA4926" w:rsidRPr="00B67AC1" w:rsidRDefault="000643C3" w:rsidP="00DA4926">
      <w:pPr>
        <w:rPr>
          <w:rFonts w:ascii="Times New Roman" w:hAnsi="Times New Roman" w:cs="Times New Roman"/>
          <w:noProof/>
        </w:rPr>
      </w:pPr>
      <w:r>
        <w:rPr>
          <w:rFonts w:ascii="Times New Roman" w:hAnsi="Times New Roman"/>
          <w:noProof/>
        </w:rPr>
        <w:t>2021-ben (2. ábra) a tagállamok a következő három felhívás keretében nyújtottak be technikai támogatás iránti kérelmet:</w:t>
      </w:r>
    </w:p>
    <w:p w14:paraId="36FB2FDE" w14:textId="76BE456D" w:rsidR="00DA4926" w:rsidRPr="00B67AC1" w:rsidRDefault="007F50B4" w:rsidP="00DA4926">
      <w:pPr>
        <w:pStyle w:val="ListParagraph"/>
        <w:numPr>
          <w:ilvl w:val="0"/>
          <w:numId w:val="13"/>
        </w:numPr>
        <w:rPr>
          <w:rFonts w:ascii="Times New Roman" w:hAnsi="Times New Roman" w:cs="Times New Roman"/>
          <w:noProof/>
        </w:rPr>
      </w:pPr>
      <w:r>
        <w:rPr>
          <w:rFonts w:ascii="Times New Roman" w:hAnsi="Times New Roman"/>
          <w:noProof/>
        </w:rPr>
        <w:t>a Technikai Támogatási Eszköz 2021. évi általános felhívása;</w:t>
      </w:r>
    </w:p>
    <w:p w14:paraId="5D681EAE" w14:textId="7C804F9A" w:rsidR="00DA4926" w:rsidRPr="00B67AC1" w:rsidRDefault="007F50B4" w:rsidP="00DA4926">
      <w:pPr>
        <w:pStyle w:val="ListParagraph"/>
        <w:numPr>
          <w:ilvl w:val="0"/>
          <w:numId w:val="13"/>
        </w:numPr>
        <w:rPr>
          <w:rFonts w:ascii="Times New Roman" w:hAnsi="Times New Roman" w:cs="Times New Roman"/>
          <w:noProof/>
        </w:rPr>
      </w:pPr>
      <w:r>
        <w:rPr>
          <w:rFonts w:ascii="Times New Roman" w:hAnsi="Times New Roman"/>
          <w:noProof/>
        </w:rPr>
        <w:t>a zöld költségvetés-tervezési gyakorlatokkal kapcsolatos képzésre vonatkozó külön felhívás;</w:t>
      </w:r>
    </w:p>
    <w:p w14:paraId="7E6DDA8A" w14:textId="4D39952A" w:rsidR="00DA4926" w:rsidRPr="00B67AC1" w:rsidRDefault="00FA6A95" w:rsidP="00DA4926">
      <w:pPr>
        <w:pStyle w:val="ListParagraph"/>
        <w:numPr>
          <w:ilvl w:val="0"/>
          <w:numId w:val="13"/>
        </w:numPr>
        <w:rPr>
          <w:rFonts w:ascii="Times New Roman" w:hAnsi="Times New Roman" w:cs="Times New Roman"/>
          <w:noProof/>
        </w:rPr>
      </w:pPr>
      <w:r>
        <w:rPr>
          <w:rFonts w:ascii="Times New Roman" w:hAnsi="Times New Roman"/>
          <w:noProof/>
        </w:rPr>
        <w:t>az uniós tagállamok rezilienciaépítési és helyreállítási terveinek elkészítéséhez nyújtott támogatásra irányuló célzott felhívás.</w:t>
      </w:r>
    </w:p>
    <w:p w14:paraId="5765DE76" w14:textId="7758B1A5" w:rsidR="00DA4926" w:rsidRPr="00B67AC1" w:rsidRDefault="007F50B4" w:rsidP="00DA4926">
      <w:pPr>
        <w:rPr>
          <w:rFonts w:ascii="Times New Roman" w:hAnsi="Times New Roman" w:cs="Times New Roman"/>
          <w:noProof/>
        </w:rPr>
      </w:pPr>
      <w:r>
        <w:rPr>
          <w:rFonts w:ascii="Times New Roman" w:hAnsi="Times New Roman"/>
          <w:noProof/>
        </w:rPr>
        <w:t>2021 szeptemberében Görögország további, sürgős támogatás iránti kérelmet nyújtott be a különleges intézkedések mechanizmusa keretében az Evia sziget leégett területein a biológiai sokféleség és az ökoszisztémák helyreállításával összefüggésben.</w:t>
      </w:r>
    </w:p>
    <w:tbl>
      <w:tblPr>
        <w:tblStyle w:val="TableGrid"/>
        <w:tblW w:w="0" w:type="auto"/>
        <w:tblLook w:val="04A0" w:firstRow="1" w:lastRow="0" w:firstColumn="1" w:lastColumn="0" w:noHBand="0" w:noVBand="1"/>
      </w:tblPr>
      <w:tblGrid>
        <w:gridCol w:w="3256"/>
        <w:gridCol w:w="1842"/>
        <w:gridCol w:w="1805"/>
        <w:gridCol w:w="2301"/>
      </w:tblGrid>
      <w:tr w:rsidR="0049408E" w:rsidRPr="00B67AC1" w14:paraId="71470248" w14:textId="77777777">
        <w:tc>
          <w:tcPr>
            <w:tcW w:w="3256" w:type="dxa"/>
          </w:tcPr>
          <w:p w14:paraId="49884D5E" w14:textId="77777777" w:rsidR="0049408E" w:rsidRPr="00B67AC1" w:rsidRDefault="0049408E">
            <w:pPr>
              <w:rPr>
                <w:rFonts w:ascii="Times New Roman" w:hAnsi="Times New Roman" w:cs="Times New Roman"/>
                <w:noProof/>
                <w:sz w:val="20"/>
                <w:szCs w:val="20"/>
              </w:rPr>
            </w:pPr>
          </w:p>
        </w:tc>
        <w:tc>
          <w:tcPr>
            <w:tcW w:w="1842" w:type="dxa"/>
          </w:tcPr>
          <w:p w14:paraId="0D0CDA88" w14:textId="323868E3"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Benyújtott kérelmek száma</w:t>
            </w:r>
          </w:p>
          <w:p w14:paraId="41283C8B" w14:textId="77777777" w:rsidR="0049408E" w:rsidRPr="00B67AC1" w:rsidRDefault="0049408E">
            <w:pPr>
              <w:jc w:val="center"/>
              <w:rPr>
                <w:rFonts w:ascii="Times New Roman" w:hAnsi="Times New Roman" w:cs="Times New Roman"/>
                <w:noProof/>
                <w:sz w:val="20"/>
                <w:szCs w:val="20"/>
              </w:rPr>
            </w:pPr>
          </w:p>
        </w:tc>
        <w:tc>
          <w:tcPr>
            <w:tcW w:w="1805" w:type="dxa"/>
          </w:tcPr>
          <w:p w14:paraId="3FA76F9F" w14:textId="391C912D"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Kiválasztott kérelmek száma</w:t>
            </w:r>
          </w:p>
          <w:p w14:paraId="1571F969" w14:textId="58D78304" w:rsidR="0049408E" w:rsidRPr="00B67AC1" w:rsidRDefault="0049408E">
            <w:pPr>
              <w:jc w:val="center"/>
              <w:rPr>
                <w:rFonts w:ascii="Times New Roman" w:hAnsi="Times New Roman" w:cs="Times New Roman"/>
                <w:noProof/>
                <w:sz w:val="20"/>
                <w:szCs w:val="20"/>
              </w:rPr>
            </w:pPr>
          </w:p>
        </w:tc>
        <w:tc>
          <w:tcPr>
            <w:tcW w:w="2301" w:type="dxa"/>
          </w:tcPr>
          <w:p w14:paraId="5079F208"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 xml:space="preserve">A kiválasztott kérelmekre elkülönített költségvetés millió EUR-ban </w:t>
            </w:r>
          </w:p>
        </w:tc>
      </w:tr>
      <w:tr w:rsidR="0049408E" w:rsidRPr="00B67AC1" w14:paraId="1B98E76C" w14:textId="77777777">
        <w:trPr>
          <w:trHeight w:val="119"/>
        </w:trPr>
        <w:tc>
          <w:tcPr>
            <w:tcW w:w="3256" w:type="dxa"/>
            <w:vAlign w:val="center"/>
          </w:tcPr>
          <w:p w14:paraId="4C2F7B24" w14:textId="4786731D" w:rsidR="0049408E" w:rsidRPr="00B67AC1" w:rsidRDefault="0049408E">
            <w:pPr>
              <w:jc w:val="left"/>
              <w:rPr>
                <w:rFonts w:ascii="Times New Roman" w:hAnsi="Times New Roman" w:cs="Times New Roman"/>
                <w:noProof/>
                <w:sz w:val="20"/>
                <w:szCs w:val="20"/>
              </w:rPr>
            </w:pPr>
            <w:r>
              <w:rPr>
                <w:rFonts w:ascii="Times New Roman" w:hAnsi="Times New Roman"/>
                <w:noProof/>
                <w:sz w:val="20"/>
              </w:rPr>
              <w:t>Általános felhívás</w:t>
            </w:r>
          </w:p>
        </w:tc>
        <w:tc>
          <w:tcPr>
            <w:tcW w:w="1842" w:type="dxa"/>
            <w:vAlign w:val="center"/>
          </w:tcPr>
          <w:p w14:paraId="5493FF00"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706</w:t>
            </w:r>
          </w:p>
        </w:tc>
        <w:tc>
          <w:tcPr>
            <w:tcW w:w="1805" w:type="dxa"/>
            <w:vAlign w:val="center"/>
          </w:tcPr>
          <w:p w14:paraId="4CAA848E"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232</w:t>
            </w:r>
          </w:p>
        </w:tc>
        <w:tc>
          <w:tcPr>
            <w:tcW w:w="2301" w:type="dxa"/>
            <w:vAlign w:val="center"/>
          </w:tcPr>
          <w:p w14:paraId="44AC2875"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104,3</w:t>
            </w:r>
          </w:p>
        </w:tc>
      </w:tr>
      <w:tr w:rsidR="0049408E" w:rsidRPr="00B67AC1" w14:paraId="4E41571F" w14:textId="77777777">
        <w:trPr>
          <w:trHeight w:val="293"/>
        </w:trPr>
        <w:tc>
          <w:tcPr>
            <w:tcW w:w="3256" w:type="dxa"/>
            <w:vAlign w:val="center"/>
          </w:tcPr>
          <w:p w14:paraId="53F2E8AF" w14:textId="61A70189" w:rsidR="0049408E" w:rsidRPr="00B67AC1" w:rsidRDefault="0049408E">
            <w:pPr>
              <w:jc w:val="left"/>
              <w:rPr>
                <w:rFonts w:ascii="Times New Roman" w:hAnsi="Times New Roman" w:cs="Times New Roman"/>
                <w:noProof/>
                <w:sz w:val="20"/>
                <w:szCs w:val="20"/>
              </w:rPr>
            </w:pPr>
            <w:r>
              <w:rPr>
                <w:rFonts w:ascii="Times New Roman" w:hAnsi="Times New Roman"/>
                <w:noProof/>
                <w:sz w:val="20"/>
              </w:rPr>
              <w:t>A zöld költségvetés-tervezési gyakorlatokra vonatkozó képzés</w:t>
            </w:r>
            <w:r w:rsidR="00801038" w:rsidRPr="00B67AC1">
              <w:rPr>
                <w:rStyle w:val="FootnoteReference"/>
                <w:rFonts w:ascii="Times New Roman" w:hAnsi="Times New Roman" w:cs="Times New Roman"/>
                <w:noProof/>
                <w:sz w:val="20"/>
                <w:szCs w:val="20"/>
              </w:rPr>
              <w:footnoteReference w:id="8"/>
            </w:r>
          </w:p>
        </w:tc>
        <w:tc>
          <w:tcPr>
            <w:tcW w:w="1842" w:type="dxa"/>
            <w:vAlign w:val="center"/>
          </w:tcPr>
          <w:p w14:paraId="28D5623C"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18</w:t>
            </w:r>
          </w:p>
        </w:tc>
        <w:tc>
          <w:tcPr>
            <w:tcW w:w="1805" w:type="dxa"/>
            <w:vAlign w:val="center"/>
          </w:tcPr>
          <w:p w14:paraId="1D26576A"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18</w:t>
            </w:r>
          </w:p>
        </w:tc>
        <w:tc>
          <w:tcPr>
            <w:tcW w:w="2301" w:type="dxa"/>
            <w:vAlign w:val="center"/>
          </w:tcPr>
          <w:p w14:paraId="62F43926"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0,45</w:t>
            </w:r>
          </w:p>
        </w:tc>
      </w:tr>
      <w:tr w:rsidR="0049408E" w:rsidRPr="00B67AC1" w14:paraId="683A61B0" w14:textId="77777777">
        <w:tc>
          <w:tcPr>
            <w:tcW w:w="3256" w:type="dxa"/>
            <w:vAlign w:val="center"/>
          </w:tcPr>
          <w:p w14:paraId="3BB824D1" w14:textId="3E505548" w:rsidR="0049408E" w:rsidRPr="00B67AC1" w:rsidRDefault="0049408E">
            <w:pPr>
              <w:jc w:val="left"/>
              <w:rPr>
                <w:rFonts w:ascii="Times New Roman" w:hAnsi="Times New Roman" w:cs="Times New Roman"/>
                <w:noProof/>
                <w:sz w:val="20"/>
                <w:szCs w:val="20"/>
              </w:rPr>
            </w:pPr>
            <w:r>
              <w:rPr>
                <w:rFonts w:ascii="Times New Roman" w:hAnsi="Times New Roman"/>
                <w:noProof/>
                <w:sz w:val="20"/>
              </w:rPr>
              <w:t>A helyreállítási és rezilienciaépítési tervekhez kapcsolódó célzott felhívás</w:t>
            </w:r>
          </w:p>
        </w:tc>
        <w:tc>
          <w:tcPr>
            <w:tcW w:w="1842" w:type="dxa"/>
            <w:vAlign w:val="center"/>
          </w:tcPr>
          <w:p w14:paraId="226936A0"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38</w:t>
            </w:r>
          </w:p>
        </w:tc>
        <w:tc>
          <w:tcPr>
            <w:tcW w:w="1805" w:type="dxa"/>
            <w:vAlign w:val="center"/>
          </w:tcPr>
          <w:p w14:paraId="396163A7"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26</w:t>
            </w:r>
          </w:p>
        </w:tc>
        <w:tc>
          <w:tcPr>
            <w:tcW w:w="2301" w:type="dxa"/>
            <w:vAlign w:val="center"/>
          </w:tcPr>
          <w:p w14:paraId="6838DB1A"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10,49</w:t>
            </w:r>
          </w:p>
        </w:tc>
      </w:tr>
      <w:tr w:rsidR="0049408E" w:rsidRPr="00B67AC1" w14:paraId="2AE7BB5B" w14:textId="77777777">
        <w:tc>
          <w:tcPr>
            <w:tcW w:w="3256" w:type="dxa"/>
            <w:vAlign w:val="center"/>
          </w:tcPr>
          <w:p w14:paraId="22C296B3" w14:textId="77777777" w:rsidR="0049408E" w:rsidRPr="00B67AC1" w:rsidRDefault="0049408E">
            <w:pPr>
              <w:jc w:val="left"/>
              <w:rPr>
                <w:rFonts w:ascii="Times New Roman" w:hAnsi="Times New Roman" w:cs="Times New Roman"/>
                <w:noProof/>
                <w:sz w:val="20"/>
                <w:szCs w:val="20"/>
              </w:rPr>
            </w:pPr>
            <w:r>
              <w:rPr>
                <w:rFonts w:ascii="Times New Roman" w:hAnsi="Times New Roman"/>
                <w:noProof/>
                <w:sz w:val="20"/>
              </w:rPr>
              <w:t>Különleges intézkedések</w:t>
            </w:r>
          </w:p>
        </w:tc>
        <w:tc>
          <w:tcPr>
            <w:tcW w:w="1842" w:type="dxa"/>
            <w:vAlign w:val="center"/>
          </w:tcPr>
          <w:p w14:paraId="1E1C0AE0"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w:t>
            </w:r>
          </w:p>
        </w:tc>
        <w:tc>
          <w:tcPr>
            <w:tcW w:w="1805" w:type="dxa"/>
            <w:vAlign w:val="center"/>
          </w:tcPr>
          <w:p w14:paraId="34D9EF8B"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1</w:t>
            </w:r>
          </w:p>
        </w:tc>
        <w:tc>
          <w:tcPr>
            <w:tcW w:w="2301" w:type="dxa"/>
            <w:vAlign w:val="center"/>
          </w:tcPr>
          <w:p w14:paraId="27C77BDE" w14:textId="77777777" w:rsidR="0049408E" w:rsidRPr="00B67AC1" w:rsidRDefault="0049408E">
            <w:pPr>
              <w:jc w:val="center"/>
              <w:rPr>
                <w:rFonts w:ascii="Times New Roman" w:hAnsi="Times New Roman" w:cs="Times New Roman"/>
                <w:noProof/>
                <w:sz w:val="20"/>
                <w:szCs w:val="20"/>
              </w:rPr>
            </w:pPr>
            <w:r>
              <w:rPr>
                <w:rFonts w:ascii="Times New Roman" w:hAnsi="Times New Roman"/>
                <w:noProof/>
                <w:sz w:val="20"/>
              </w:rPr>
              <w:t>0,18</w:t>
            </w:r>
          </w:p>
        </w:tc>
      </w:tr>
      <w:tr w:rsidR="0049408E" w:rsidRPr="00B67AC1" w14:paraId="4827BE5E" w14:textId="77777777">
        <w:tc>
          <w:tcPr>
            <w:tcW w:w="3256" w:type="dxa"/>
          </w:tcPr>
          <w:p w14:paraId="170B6562" w14:textId="2E80823C" w:rsidR="0049408E" w:rsidRPr="00B67AC1" w:rsidRDefault="0049408E">
            <w:pPr>
              <w:jc w:val="right"/>
              <w:rPr>
                <w:rFonts w:ascii="Times New Roman" w:hAnsi="Times New Roman" w:cs="Times New Roman"/>
                <w:b/>
                <w:bCs/>
                <w:noProof/>
                <w:sz w:val="20"/>
                <w:szCs w:val="20"/>
              </w:rPr>
            </w:pPr>
            <w:r>
              <w:rPr>
                <w:rFonts w:ascii="Times New Roman" w:hAnsi="Times New Roman"/>
                <w:b/>
                <w:noProof/>
                <w:sz w:val="20"/>
              </w:rPr>
              <w:t>Technikai Támogatási Eszköz összesen 2021-ben</w:t>
            </w:r>
          </w:p>
        </w:tc>
        <w:tc>
          <w:tcPr>
            <w:tcW w:w="1842" w:type="dxa"/>
          </w:tcPr>
          <w:p w14:paraId="2B3D137B" w14:textId="77777777" w:rsidR="0049408E" w:rsidRPr="00B67AC1" w:rsidRDefault="0049408E">
            <w:pPr>
              <w:jc w:val="center"/>
              <w:rPr>
                <w:rFonts w:ascii="Times New Roman" w:hAnsi="Times New Roman" w:cs="Times New Roman"/>
                <w:b/>
                <w:bCs/>
                <w:noProof/>
                <w:sz w:val="20"/>
                <w:szCs w:val="20"/>
              </w:rPr>
            </w:pPr>
            <w:r>
              <w:rPr>
                <w:rFonts w:ascii="Times New Roman" w:hAnsi="Times New Roman"/>
                <w:b/>
                <w:noProof/>
                <w:sz w:val="20"/>
              </w:rPr>
              <w:t>763</w:t>
            </w:r>
          </w:p>
        </w:tc>
        <w:tc>
          <w:tcPr>
            <w:tcW w:w="1805" w:type="dxa"/>
          </w:tcPr>
          <w:p w14:paraId="612115F8" w14:textId="77777777" w:rsidR="0049408E" w:rsidRPr="00B67AC1" w:rsidRDefault="0049408E">
            <w:pPr>
              <w:jc w:val="center"/>
              <w:rPr>
                <w:rFonts w:ascii="Times New Roman" w:hAnsi="Times New Roman" w:cs="Times New Roman"/>
                <w:b/>
                <w:bCs/>
                <w:noProof/>
                <w:sz w:val="20"/>
                <w:szCs w:val="20"/>
              </w:rPr>
            </w:pPr>
            <w:r>
              <w:rPr>
                <w:rFonts w:ascii="Times New Roman" w:hAnsi="Times New Roman"/>
                <w:b/>
                <w:noProof/>
                <w:sz w:val="20"/>
              </w:rPr>
              <w:t>277</w:t>
            </w:r>
          </w:p>
        </w:tc>
        <w:tc>
          <w:tcPr>
            <w:tcW w:w="2301" w:type="dxa"/>
          </w:tcPr>
          <w:p w14:paraId="4D54C573" w14:textId="77777777" w:rsidR="0049408E" w:rsidRPr="00B67AC1" w:rsidRDefault="0049408E">
            <w:pPr>
              <w:ind w:right="738"/>
              <w:jc w:val="right"/>
              <w:rPr>
                <w:rFonts w:ascii="Times New Roman" w:hAnsi="Times New Roman" w:cs="Times New Roman"/>
                <w:b/>
                <w:bCs/>
                <w:noProof/>
                <w:sz w:val="20"/>
                <w:szCs w:val="20"/>
              </w:rPr>
            </w:pPr>
            <w:r>
              <w:rPr>
                <w:rFonts w:ascii="Times New Roman" w:hAnsi="Times New Roman"/>
                <w:b/>
                <w:noProof/>
                <w:sz w:val="20"/>
              </w:rPr>
              <w:t>115,42</w:t>
            </w:r>
          </w:p>
        </w:tc>
      </w:tr>
    </w:tbl>
    <w:p w14:paraId="456B19B8" w14:textId="7F1B4222" w:rsidR="00DA4926" w:rsidRPr="00B67AC1" w:rsidRDefault="006B0CEF" w:rsidP="00DA4926">
      <w:pPr>
        <w:pStyle w:val="Caption"/>
        <w:rPr>
          <w:rFonts w:ascii="Times New Roman" w:hAnsi="Times New Roman" w:cs="Times New Roman"/>
          <w:noProof/>
          <w:color w:val="2E74B5" w:themeColor="accent1" w:themeShade="BF"/>
        </w:rPr>
      </w:pPr>
      <w:r>
        <w:rPr>
          <w:noProof/>
          <w:color w:val="2E74B5" w:themeColor="accent1" w:themeShade="BF"/>
        </w:rPr>
        <w:fldChar w:fldCharType="begin"/>
      </w:r>
      <w:r>
        <w:rPr>
          <w:noProof/>
          <w:color w:val="2E74B5" w:themeColor="accent1" w:themeShade="BF"/>
        </w:rPr>
        <w:instrText xml:space="preserve"> SEQ Figure \* ARABIC </w:instrText>
      </w:r>
      <w:r>
        <w:rPr>
          <w:noProof/>
          <w:color w:val="2E74B5" w:themeColor="accent1" w:themeShade="BF"/>
        </w:rPr>
        <w:fldChar w:fldCharType="separate"/>
      </w:r>
      <w:r w:rsidR="00DA4926" w:rsidRPr="00CC676A">
        <w:rPr>
          <w:noProof/>
          <w:color w:val="2E74B5" w:themeColor="accent1" w:themeShade="BF"/>
        </w:rPr>
        <w:t>2</w:t>
      </w:r>
      <w:r>
        <w:rPr>
          <w:noProof/>
          <w:color w:val="2E74B5" w:themeColor="accent1" w:themeShade="BF"/>
        </w:rPr>
        <w:fldChar w:fldCharType="end"/>
      </w:r>
      <w:r w:rsidR="00DA4926">
        <w:rPr>
          <w:noProof/>
          <w:color w:val="2E74B5" w:themeColor="accent1" w:themeShade="BF"/>
        </w:rPr>
        <w:t>. ábra – A Technikai Támogatási Eszköz 2021. évi áttekintő táblázata</w:t>
      </w:r>
    </w:p>
    <w:p w14:paraId="5D33575C" w14:textId="5EC79CDF" w:rsidR="00044A0F" w:rsidRPr="00B67AC1" w:rsidRDefault="002724C5" w:rsidP="00044A0F">
      <w:pPr>
        <w:rPr>
          <w:rFonts w:ascii="Times New Roman" w:hAnsi="Times New Roman" w:cs="Times New Roman"/>
          <w:noProof/>
        </w:rPr>
      </w:pPr>
      <w:r>
        <w:rPr>
          <w:rFonts w:ascii="Times New Roman" w:hAnsi="Times New Roman"/>
          <w:noProof/>
        </w:rPr>
        <w:t>A Technikai Támogatási Eszköz 2021. évi általános pályázati felhívása keretében kiválasztott 232 kérelem többek között a következő kulcsfontosságú uniós prioritásokra</w:t>
      </w:r>
      <w:r w:rsidR="00E97853" w:rsidRPr="00B67AC1">
        <w:rPr>
          <w:rStyle w:val="FootnoteReference"/>
          <w:rFonts w:ascii="Times New Roman" w:hAnsi="Times New Roman" w:cs="Times New Roman"/>
          <w:noProof/>
        </w:rPr>
        <w:footnoteReference w:id="9"/>
      </w:r>
      <w:r>
        <w:rPr>
          <w:rFonts w:ascii="Times New Roman" w:hAnsi="Times New Roman"/>
          <w:noProof/>
        </w:rPr>
        <w:t xml:space="preserve"> terjedt ki:</w:t>
      </w:r>
    </w:p>
    <w:p w14:paraId="15AB4F59" w14:textId="5D25B23D" w:rsidR="00044A0F" w:rsidRPr="00B67AC1" w:rsidRDefault="00044A0F" w:rsidP="00044A0F">
      <w:pPr>
        <w:pStyle w:val="ListParagraph"/>
        <w:numPr>
          <w:ilvl w:val="0"/>
          <w:numId w:val="14"/>
        </w:numPr>
        <w:rPr>
          <w:rFonts w:ascii="Times New Roman" w:hAnsi="Times New Roman" w:cs="Times New Roman"/>
          <w:noProof/>
        </w:rPr>
      </w:pPr>
      <w:r>
        <w:rPr>
          <w:rFonts w:ascii="Times New Roman" w:hAnsi="Times New Roman"/>
          <w:noProof/>
        </w:rPr>
        <w:t>125 kérelem a nemzeti helyreállítási és rezilienciaépítési tervek elkészítéséhez vagy végrehajtásához;</w:t>
      </w:r>
    </w:p>
    <w:p w14:paraId="680FC486" w14:textId="7F6CA3DE" w:rsidR="00044A0F" w:rsidRPr="00B67AC1" w:rsidRDefault="00044A0F" w:rsidP="00044A0F">
      <w:pPr>
        <w:pStyle w:val="ListParagraph"/>
        <w:numPr>
          <w:ilvl w:val="0"/>
          <w:numId w:val="14"/>
        </w:numPr>
        <w:rPr>
          <w:rFonts w:ascii="Times New Roman" w:hAnsi="Times New Roman" w:cs="Times New Roman"/>
          <w:noProof/>
        </w:rPr>
      </w:pPr>
      <w:r>
        <w:rPr>
          <w:rFonts w:ascii="Times New Roman" w:hAnsi="Times New Roman"/>
          <w:noProof/>
        </w:rPr>
        <w:t>102 kérelem a digitális átálláshoz;</w:t>
      </w:r>
    </w:p>
    <w:p w14:paraId="3FF3358D" w14:textId="05D78765" w:rsidR="00044A0F" w:rsidRPr="00B67AC1" w:rsidRDefault="00044A0F" w:rsidP="00044A0F">
      <w:pPr>
        <w:pStyle w:val="ListParagraph"/>
        <w:numPr>
          <w:ilvl w:val="0"/>
          <w:numId w:val="14"/>
        </w:numPr>
        <w:rPr>
          <w:rFonts w:ascii="Times New Roman" w:hAnsi="Times New Roman" w:cs="Times New Roman"/>
          <w:noProof/>
        </w:rPr>
      </w:pPr>
      <w:r>
        <w:rPr>
          <w:rFonts w:ascii="Times New Roman" w:hAnsi="Times New Roman"/>
          <w:noProof/>
        </w:rPr>
        <w:t>68 kérelem az európai zöld megállapodás átálláshoz;</w:t>
      </w:r>
    </w:p>
    <w:p w14:paraId="705A3923" w14:textId="706300B4" w:rsidR="00044A0F" w:rsidRPr="00B67AC1" w:rsidRDefault="00044A0F" w:rsidP="00044A0F">
      <w:pPr>
        <w:pStyle w:val="ListParagraph"/>
        <w:numPr>
          <w:ilvl w:val="0"/>
          <w:numId w:val="14"/>
        </w:numPr>
        <w:rPr>
          <w:rFonts w:ascii="Times New Roman" w:hAnsi="Times New Roman" w:cs="Times New Roman"/>
          <w:noProof/>
        </w:rPr>
      </w:pPr>
      <w:r>
        <w:rPr>
          <w:rFonts w:ascii="Times New Roman" w:hAnsi="Times New Roman"/>
          <w:noProof/>
        </w:rPr>
        <w:t>16 kérelem pedig az egyenlőséghez, azaz a nők, a fogyatékossággal élő személyek, a roma közösség, a migránsok, az idősek és az LMBTIQ+ közösség támogatásához kapcsolódott.</w:t>
      </w:r>
    </w:p>
    <w:p w14:paraId="3380BBB4" w14:textId="01DB1846" w:rsidR="00DA4926" w:rsidRPr="00B67AC1" w:rsidRDefault="00DA4926" w:rsidP="00DA4926">
      <w:pPr>
        <w:rPr>
          <w:rFonts w:ascii="Times New Roman" w:hAnsi="Times New Roman" w:cs="Times New Roman"/>
          <w:noProof/>
        </w:rPr>
      </w:pPr>
      <w:r>
        <w:rPr>
          <w:rFonts w:ascii="Times New Roman" w:hAnsi="Times New Roman"/>
          <w:noProof/>
        </w:rPr>
        <w:t xml:space="preserve">Az érintett szakpolitikai területeket és a végrehajtandó támogatási intézkedések körét, valamint az indikatív határidőket és a becsült költségvetéseket a tagállamokkal 2021-ben </w:t>
      </w:r>
      <w:r>
        <w:rPr>
          <w:rFonts w:ascii="Times New Roman" w:hAnsi="Times New Roman"/>
          <w:b/>
          <w:noProof/>
        </w:rPr>
        <w:t>kötött 27 együttműködési és támogatási terv</w:t>
      </w:r>
      <w:r>
        <w:rPr>
          <w:rFonts w:ascii="Times New Roman" w:hAnsi="Times New Roman"/>
          <w:noProof/>
        </w:rPr>
        <w:t xml:space="preserve"> ismerteti.</w:t>
      </w:r>
    </w:p>
    <w:p w14:paraId="263A7F16" w14:textId="3AE84739" w:rsidR="004359C2" w:rsidRPr="00B67AC1" w:rsidRDefault="004359C2" w:rsidP="004359C2">
      <w:pPr>
        <w:rPr>
          <w:rFonts w:ascii="Times New Roman" w:hAnsi="Times New Roman" w:cs="Times New Roman"/>
          <w:noProof/>
        </w:rPr>
      </w:pPr>
      <w:r>
        <w:rPr>
          <w:rFonts w:ascii="Times New Roman" w:hAnsi="Times New Roman"/>
          <w:noProof/>
        </w:rPr>
        <w:t>A Technikai Támogatási Eszköz támogatásával 2021-ben a négy különböző felhívás keretében kiválasztott 277 kérelmet 263 projektbe tömörítették, mivel néhány esetben több kérelmet egyazon projektbe vontak össze, hogy a megvalósítás során méretgazdaságossági előnyöket tudjanak kihasználni, és elősegítsék a helyi szinergiákat. E 263 projekt közül kettő egyszerre több ország szükségleteivel is foglalkozott, megnyitva az utat a következő években kidolgozandó többországos megközelítés előtt.</w:t>
      </w:r>
    </w:p>
    <w:p w14:paraId="5B9EBF81" w14:textId="7809DD29" w:rsidR="002D370D" w:rsidRPr="00B67AC1" w:rsidRDefault="002D370D" w:rsidP="00932686">
      <w:pPr>
        <w:rPr>
          <w:rFonts w:ascii="Times New Roman" w:hAnsi="Times New Roman" w:cs="Times New Roman"/>
          <w:noProof/>
        </w:rPr>
      </w:pPr>
      <w:r>
        <w:rPr>
          <w:rFonts w:ascii="Times New Roman" w:hAnsi="Times New Roman"/>
          <w:noProof/>
        </w:rPr>
        <w:t xml:space="preserve">A Technikai Támogatási Eszköz keretében 2023. október végéig 151 2021-es projektet zártak le, 5 projektet töröltek, 107 projekt megvalósítása pedig még folyamatban volt. A Technikai Támogatási Eszközből támogatott 2021-es projektek közül kiemelkedő jelentőségű </w:t>
      </w:r>
      <w:hyperlink r:id="rId21" w:history="1">
        <w:r>
          <w:rPr>
            <w:rStyle w:val="Hyperlink"/>
            <w:rFonts w:ascii="Times New Roman" w:hAnsi="Times New Roman"/>
            <w:noProof/>
            <w:color w:val="034990" w:themeColor="hyperlink" w:themeShade="BF"/>
          </w:rPr>
          <w:t>a zöld költségvetés-tervezési gyakorlatoknak az uniós tagállamokban történő bevezetésére</w:t>
        </w:r>
      </w:hyperlink>
      <w:r>
        <w:rPr>
          <w:rFonts w:ascii="Times New Roman" w:hAnsi="Times New Roman"/>
          <w:noProof/>
        </w:rPr>
        <w:t xml:space="preserve"> irányuló projekt. További példák és részletek találhatók a kísérő bizottsági szolgálati munkadokumentumban.</w:t>
      </w:r>
    </w:p>
    <w:p w14:paraId="2F8EC7D1" w14:textId="34C8096F" w:rsidR="00DA4926" w:rsidRPr="00B67AC1" w:rsidRDefault="00881807" w:rsidP="00DA4926">
      <w:pPr>
        <w:pStyle w:val="Heading3"/>
        <w:rPr>
          <w:rFonts w:ascii="Times New Roman" w:hAnsi="Times New Roman" w:cs="Times New Roman"/>
          <w:noProof/>
          <w14:textFill>
            <w14:solidFill>
              <w14:schemeClr w14:val="accent1">
                <w14:lumMod w14:val="75000"/>
                <w14:lumMod w14:val="75000"/>
                <w14:lumMod w14:val="75000"/>
              </w14:schemeClr>
            </w14:solidFill>
          </w14:textFill>
        </w:rPr>
      </w:pPr>
      <w:bookmarkStart w:id="6" w:name="_Toc146743805"/>
      <w:bookmarkStart w:id="7" w:name="_Toc146751216"/>
      <w:r>
        <w:rPr>
          <w:rFonts w:ascii="Times New Roman" w:hAnsi="Times New Roman"/>
          <w:noProof/>
          <w14:textFill>
            <w14:solidFill>
              <w14:schemeClr w14:val="accent1">
                <w14:lumMod w14:val="75000"/>
                <w14:lumMod w14:val="75000"/>
                <w14:lumMod w14:val="75000"/>
              </w14:schemeClr>
            </w14:solidFill>
          </w14:textFill>
        </w:rPr>
        <w:t>A Technikai Támogatási Eszköz 2022. évi ciklusa</w:t>
      </w:r>
      <w:bookmarkEnd w:id="6"/>
      <w:bookmarkEnd w:id="7"/>
    </w:p>
    <w:p w14:paraId="41CA4784" w14:textId="1CA7068E" w:rsidR="00563E98" w:rsidRPr="00B67AC1" w:rsidRDefault="002558A8" w:rsidP="00DA4926">
      <w:pPr>
        <w:rPr>
          <w:rFonts w:ascii="Times New Roman" w:hAnsi="Times New Roman" w:cs="Times New Roman"/>
          <w:noProof/>
        </w:rPr>
      </w:pPr>
      <w:r>
        <w:rPr>
          <w:rFonts w:ascii="Times New Roman" w:hAnsi="Times New Roman"/>
          <w:noProof/>
        </w:rPr>
        <w:t xml:space="preserve">A Technikai Támogatási Eszköz 2021. évi fordulójában szerzett tapasztalatokra és az elvégzett tájékoztatási munkára építve a Strukturálisreform-támogató Főigazgatóság a Technikai Támogatási Eszköz végrehajtásának második évében </w:t>
      </w:r>
      <w:r>
        <w:rPr>
          <w:rFonts w:ascii="Times New Roman" w:hAnsi="Times New Roman"/>
          <w:b/>
          <w:noProof/>
        </w:rPr>
        <w:t>sikeresen növelte a program ismertségét</w:t>
      </w:r>
      <w:r>
        <w:rPr>
          <w:rFonts w:ascii="Times New Roman" w:hAnsi="Times New Roman"/>
          <w:noProof/>
        </w:rPr>
        <w:t xml:space="preserve"> a 27 tagállam potenciális kedvezményezett hatóságai körében, hangsúlyozva, hogy a kiválasztás meghatározó tényezője a technikai támogatási kérelmek minősége volt.</w:t>
      </w:r>
    </w:p>
    <w:p w14:paraId="7EC3F4F3" w14:textId="0C894DBF" w:rsidR="00A3073C" w:rsidRPr="00B67AC1" w:rsidRDefault="009F3892" w:rsidP="00EF7342">
      <w:pPr>
        <w:rPr>
          <w:rFonts w:ascii="Times New Roman" w:hAnsi="Times New Roman" w:cs="Times New Roman"/>
          <w:noProof/>
        </w:rPr>
      </w:pPr>
      <w:r>
        <w:rPr>
          <w:rFonts w:ascii="Times New Roman" w:hAnsi="Times New Roman"/>
          <w:noProof/>
        </w:rPr>
        <w:t xml:space="preserve">A Technikai Támogatási Eszköz 2022. évi ciklusa a Technikai Támogatási Eszköz első alkalommal megrendezésre kerülő </w:t>
      </w:r>
      <w:hyperlink r:id="rId22">
        <w:r>
          <w:rPr>
            <w:rStyle w:val="Hyperlink"/>
            <w:rFonts w:ascii="Times New Roman" w:hAnsi="Times New Roman"/>
            <w:noProof/>
            <w:color w:val="034990"/>
            <w14:textFill>
              <w14:solidFill>
                <w14:srgbClr w14:val="034990">
                  <w14:lumMod w14:val="75000"/>
                </w14:srgbClr>
              </w14:solidFill>
            </w14:textFill>
          </w:rPr>
          <w:t>éves konferenciájával</w:t>
        </w:r>
      </w:hyperlink>
      <w:r>
        <w:rPr>
          <w:rFonts w:ascii="Times New Roman" w:hAnsi="Times New Roman"/>
          <w:noProof/>
        </w:rPr>
        <w:t xml:space="preserve"> indult, amelyre 2021. június 30-án és július 1-jén került sor. A konferencián megindultak az egyeztetések a tagállamokkal a 2022-es ciklusban benyújtandó potenciális kérelmekről, és a konferencia keretében két fő változás is bemutatásra került: egyrészt a többországos projektek, amelyek célja a számos tagállam előtt álló közös problémák kezelése és az eszköz uniós hozzáadott értékének növelése, másrészt a „vezérprojektek”, amelyek a tagállamok széles körében szükséges és az uniós prioritásokkal összhangban lévő reformokat támogatnak. </w:t>
      </w:r>
    </w:p>
    <w:p w14:paraId="1ADEB057" w14:textId="753D501C" w:rsidR="00FD11EB" w:rsidRPr="00B67AC1" w:rsidRDefault="00FF3C56" w:rsidP="00EF7342">
      <w:pPr>
        <w:rPr>
          <w:rFonts w:ascii="Times New Roman" w:hAnsi="Times New Roman" w:cs="Times New Roman"/>
          <w:noProof/>
        </w:rPr>
      </w:pPr>
      <w:r>
        <w:rPr>
          <w:rFonts w:ascii="Times New Roman" w:hAnsi="Times New Roman"/>
          <w:noProof/>
        </w:rPr>
        <w:t xml:space="preserve">A vezérprojektek azáltal mozdítják elő a tagállamok kérelmeit, hogy részben kidolgozott támogatási kezdeményezéseket kínálnak, amelyeket ki kell egészíteni és a tagállamok igényeihez kell igazítani. A Strukturálisreform-támogató Főigazgatóság 12 vezérprojekt-témára tett javaslatot, amelyeket a Bizottság szakpolitikai főigazgatóságaival és a tagállamok nemzeti koordináló hatóságaival folytatott alapos konzultációt követően választottak ki a nemzeti prioritásokkal való összhang és a nemzeti hatóságok elkötelezettségének biztosítása érdekében. A </w:t>
      </w:r>
      <w:hyperlink r:id="rId23" w:history="1">
        <w:r>
          <w:rPr>
            <w:rStyle w:val="Hyperlink"/>
            <w:rFonts w:ascii="Times New Roman" w:hAnsi="Times New Roman"/>
            <w:noProof/>
            <w:color w:val="034990"/>
            <w14:textFill>
              <w14:solidFill>
                <w14:srgbClr w14:val="034990">
                  <w14:lumMod w14:val="75000"/>
                </w14:srgbClr>
              </w14:solidFill>
            </w14:textFill>
          </w:rPr>
          <w:t>Technikai Támogatási Eszköz 2022. évi ciklusa keretében támogatott 12 vezérprojekt</w:t>
        </w:r>
      </w:hyperlink>
      <w:r>
        <w:rPr>
          <w:rFonts w:ascii="Times New Roman" w:hAnsi="Times New Roman"/>
          <w:noProof/>
        </w:rPr>
        <w:t xml:space="preserve"> közül 5 a zöld átállásra, 3 pedig a digitális átállásra összpontosított.</w:t>
      </w:r>
    </w:p>
    <w:p w14:paraId="13073E98" w14:textId="46DC86DA" w:rsidR="00DA4926" w:rsidRPr="00B67AC1" w:rsidRDefault="00AF1B60" w:rsidP="00DA4926">
      <w:pPr>
        <w:rPr>
          <w:rFonts w:ascii="Times New Roman" w:hAnsi="Times New Roman" w:cs="Times New Roman"/>
          <w:noProof/>
        </w:rPr>
      </w:pPr>
      <w:r>
        <w:rPr>
          <w:rFonts w:ascii="Times New Roman" w:hAnsi="Times New Roman"/>
          <w:noProof/>
        </w:rPr>
        <w:t>2022-ben (3. ábra) a tagállamok a következő két felhívás keretében nyújtottak be technikai támogatás iránti kérelmet:</w:t>
      </w:r>
    </w:p>
    <w:p w14:paraId="17F8F7C8" w14:textId="1D53EF65" w:rsidR="00DA4926" w:rsidRPr="00B67AC1" w:rsidRDefault="00AF1B60" w:rsidP="00DA4926">
      <w:pPr>
        <w:pStyle w:val="ListParagraph"/>
        <w:numPr>
          <w:ilvl w:val="0"/>
          <w:numId w:val="13"/>
        </w:numPr>
        <w:rPr>
          <w:rFonts w:ascii="Times New Roman" w:hAnsi="Times New Roman" w:cs="Times New Roman"/>
          <w:noProof/>
        </w:rPr>
      </w:pPr>
      <w:r>
        <w:rPr>
          <w:rFonts w:ascii="Times New Roman" w:hAnsi="Times New Roman"/>
          <w:noProof/>
        </w:rPr>
        <w:t>a Technikai Támogatási Eszköz 2022. évi általános felhívása;</w:t>
      </w:r>
    </w:p>
    <w:p w14:paraId="45466DBA" w14:textId="3B7BCBF2" w:rsidR="00DA4926" w:rsidRPr="00B67AC1" w:rsidRDefault="00AF1B60" w:rsidP="00DA4926">
      <w:pPr>
        <w:pStyle w:val="ListParagraph"/>
        <w:numPr>
          <w:ilvl w:val="0"/>
          <w:numId w:val="13"/>
        </w:numPr>
        <w:rPr>
          <w:rFonts w:ascii="Times New Roman" w:hAnsi="Times New Roman" w:cs="Times New Roman"/>
          <w:noProof/>
        </w:rPr>
      </w:pPr>
      <w:r>
        <w:rPr>
          <w:rFonts w:ascii="Times New Roman" w:hAnsi="Times New Roman"/>
          <w:noProof/>
        </w:rPr>
        <w:t>az Oroszország által Ukrajna ellen indított agressziós háború következményeinek kezeléséhez az uniós tagállamoknak nyújtott támogatásra irányuló célzott felhívás, különösen az Ukrajnából érkező menekültek befogadása és az Oroszországból származó fosszilis tüzelőanyagoktól való függőség fokozatos megszüntetése terén.</w:t>
      </w:r>
    </w:p>
    <w:p w14:paraId="39EC49A5" w14:textId="5A649139" w:rsidR="00DA4926" w:rsidRPr="00B67AC1" w:rsidRDefault="00DA4926" w:rsidP="00DA4926">
      <w:pPr>
        <w:rPr>
          <w:rFonts w:ascii="Times New Roman" w:hAnsi="Times New Roman" w:cs="Times New Roman"/>
          <w:noProof/>
        </w:rPr>
      </w:pPr>
      <w:r>
        <w:rPr>
          <w:rFonts w:ascii="Times New Roman" w:hAnsi="Times New Roman"/>
          <w:noProof/>
        </w:rPr>
        <w:t>Továbbá,</w:t>
      </w:r>
    </w:p>
    <w:p w14:paraId="42CECEE9" w14:textId="189ED682" w:rsidR="008E25AB" w:rsidRPr="00B67AC1" w:rsidRDefault="008E25AB" w:rsidP="00CA13A4">
      <w:pPr>
        <w:pStyle w:val="ListParagraph"/>
        <w:numPr>
          <w:ilvl w:val="0"/>
          <w:numId w:val="23"/>
        </w:numPr>
        <w:rPr>
          <w:rFonts w:ascii="Times New Roman" w:hAnsi="Times New Roman" w:cs="Times New Roman"/>
          <w:noProof/>
        </w:rPr>
      </w:pPr>
      <w:r>
        <w:rPr>
          <w:rFonts w:ascii="Times New Roman" w:hAnsi="Times New Roman"/>
          <w:noProof/>
        </w:rPr>
        <w:t>Horvátország 4 kérelmet nyújtott be a TSI-rendelet 7. cikke alapján, amely lehetővé teszi a tagállamok számára, hogy saját költségükön további technikai támogatást kérjenek az eszköz keretében;</w:t>
      </w:r>
    </w:p>
    <w:p w14:paraId="12E4A726" w14:textId="5CC44565" w:rsidR="008E25AB" w:rsidRPr="00B67AC1" w:rsidRDefault="008E25AB" w:rsidP="00CA13A4">
      <w:pPr>
        <w:pStyle w:val="ListParagraph"/>
        <w:numPr>
          <w:ilvl w:val="0"/>
          <w:numId w:val="23"/>
        </w:numPr>
        <w:rPr>
          <w:rFonts w:ascii="Times New Roman" w:hAnsi="Times New Roman" w:cs="Times New Roman"/>
          <w:noProof/>
        </w:rPr>
      </w:pPr>
      <w:r>
        <w:rPr>
          <w:rFonts w:ascii="Times New Roman" w:hAnsi="Times New Roman"/>
          <w:noProof/>
        </w:rPr>
        <w:t>5 tagállam nyújtott be kérelmet a Helyreállítási és Rezilienciaépítési Eszközről szóló rendelet 7. cikkének (2) bekezdése alapján, amely lehetővé teszi a tagállamok számára, hogy helyreállítási és rezilienciaépítési tervükbe (becsült költségként) belefoglalják a Technikai Támogatási Eszközből származó kiegészítő technikai támogatásra vonatkozó kifizetéseket.</w:t>
      </w:r>
    </w:p>
    <w:p w14:paraId="515B1E47" w14:textId="77777777" w:rsidR="00EC0278" w:rsidRPr="00B67AC1" w:rsidRDefault="00EC0278" w:rsidP="00EB036C">
      <w:pPr>
        <w:pStyle w:val="ListParagraph"/>
        <w:rPr>
          <w:rFonts w:ascii="Times New Roman" w:hAnsi="Times New Roman" w:cs="Times New Roman"/>
          <w:noProof/>
        </w:rPr>
      </w:pPr>
    </w:p>
    <w:tbl>
      <w:tblPr>
        <w:tblStyle w:val="TableGrid"/>
        <w:tblW w:w="0" w:type="auto"/>
        <w:tblLook w:val="04A0" w:firstRow="1" w:lastRow="0" w:firstColumn="1" w:lastColumn="0" w:noHBand="0" w:noVBand="1"/>
      </w:tblPr>
      <w:tblGrid>
        <w:gridCol w:w="2689"/>
        <w:gridCol w:w="1913"/>
        <w:gridCol w:w="2301"/>
        <w:gridCol w:w="2301"/>
      </w:tblGrid>
      <w:tr w:rsidR="00DA4926" w:rsidRPr="00B67AC1" w14:paraId="6D469C19" w14:textId="77777777" w:rsidTr="00CA13A4">
        <w:tc>
          <w:tcPr>
            <w:tcW w:w="2689" w:type="dxa"/>
            <w:vAlign w:val="center"/>
          </w:tcPr>
          <w:p w14:paraId="6ED737ED" w14:textId="77777777" w:rsidR="00DA4926" w:rsidRPr="00B67AC1" w:rsidRDefault="00DA4926" w:rsidP="00CC676A">
            <w:pPr>
              <w:keepNext/>
              <w:jc w:val="center"/>
              <w:rPr>
                <w:rFonts w:ascii="Times New Roman" w:hAnsi="Times New Roman" w:cs="Times New Roman"/>
                <w:noProof/>
                <w:sz w:val="20"/>
                <w:szCs w:val="20"/>
              </w:rPr>
            </w:pPr>
          </w:p>
        </w:tc>
        <w:tc>
          <w:tcPr>
            <w:tcW w:w="1913" w:type="dxa"/>
            <w:vAlign w:val="center"/>
          </w:tcPr>
          <w:p w14:paraId="51896752" w14:textId="2119BAE9"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Benyújtott kérelmek száma</w:t>
            </w:r>
          </w:p>
          <w:p w14:paraId="1F4DA81B" w14:textId="77777777" w:rsidR="00DA4926" w:rsidRPr="00B67AC1" w:rsidRDefault="00DA4926" w:rsidP="00CC676A">
            <w:pPr>
              <w:keepNext/>
              <w:jc w:val="center"/>
              <w:rPr>
                <w:rFonts w:ascii="Times New Roman" w:hAnsi="Times New Roman" w:cs="Times New Roman"/>
                <w:noProof/>
                <w:sz w:val="20"/>
                <w:szCs w:val="20"/>
              </w:rPr>
            </w:pPr>
          </w:p>
        </w:tc>
        <w:tc>
          <w:tcPr>
            <w:tcW w:w="2301" w:type="dxa"/>
            <w:vAlign w:val="center"/>
          </w:tcPr>
          <w:p w14:paraId="0136DC32" w14:textId="73243FED"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Kiválasztott kérelmek száma</w:t>
            </w:r>
          </w:p>
          <w:p w14:paraId="30AA091C" w14:textId="53D9D660" w:rsidR="00DA4926" w:rsidRPr="00B67AC1" w:rsidRDefault="00DA4926" w:rsidP="00CC676A">
            <w:pPr>
              <w:keepNext/>
              <w:jc w:val="center"/>
              <w:rPr>
                <w:rFonts w:ascii="Times New Roman" w:hAnsi="Times New Roman" w:cs="Times New Roman"/>
                <w:noProof/>
                <w:sz w:val="20"/>
                <w:szCs w:val="20"/>
              </w:rPr>
            </w:pPr>
          </w:p>
        </w:tc>
        <w:tc>
          <w:tcPr>
            <w:tcW w:w="2301" w:type="dxa"/>
            <w:vAlign w:val="center"/>
          </w:tcPr>
          <w:p w14:paraId="062C51B1" w14:textId="50B56BA5"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A kiválasztott kérelmekre elkülönített költségvetés millió EUR-ban</w:t>
            </w:r>
          </w:p>
        </w:tc>
      </w:tr>
      <w:tr w:rsidR="00DA4926" w:rsidRPr="00B67AC1" w14:paraId="413A692B" w14:textId="77777777" w:rsidTr="00CA13A4">
        <w:tc>
          <w:tcPr>
            <w:tcW w:w="2689" w:type="dxa"/>
            <w:vAlign w:val="center"/>
          </w:tcPr>
          <w:p w14:paraId="48DF5465" w14:textId="77777777" w:rsidR="00DA4926" w:rsidRPr="00B67AC1" w:rsidRDefault="00DA4926" w:rsidP="00CC676A">
            <w:pPr>
              <w:keepNext/>
              <w:jc w:val="left"/>
              <w:rPr>
                <w:rFonts w:ascii="Times New Roman" w:hAnsi="Times New Roman" w:cs="Times New Roman"/>
                <w:noProof/>
                <w:sz w:val="20"/>
                <w:szCs w:val="20"/>
              </w:rPr>
            </w:pPr>
            <w:r>
              <w:rPr>
                <w:rFonts w:ascii="Times New Roman" w:hAnsi="Times New Roman"/>
                <w:noProof/>
                <w:sz w:val="20"/>
              </w:rPr>
              <w:t>Általános felhívás</w:t>
            </w:r>
          </w:p>
        </w:tc>
        <w:tc>
          <w:tcPr>
            <w:tcW w:w="1913" w:type="dxa"/>
            <w:vAlign w:val="center"/>
          </w:tcPr>
          <w:p w14:paraId="3AB578BD"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512</w:t>
            </w:r>
          </w:p>
        </w:tc>
        <w:tc>
          <w:tcPr>
            <w:tcW w:w="2301" w:type="dxa"/>
            <w:vAlign w:val="center"/>
          </w:tcPr>
          <w:p w14:paraId="5EE5C087" w14:textId="2BC49560"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211</w:t>
            </w:r>
          </w:p>
        </w:tc>
        <w:tc>
          <w:tcPr>
            <w:tcW w:w="2301" w:type="dxa"/>
            <w:vAlign w:val="center"/>
          </w:tcPr>
          <w:p w14:paraId="2F17DB07" w14:textId="257233A4" w:rsidR="00DA4926" w:rsidRPr="00B67AC1" w:rsidRDefault="00DA4926" w:rsidP="00CC676A">
            <w:pPr>
              <w:keepNext/>
              <w:tabs>
                <w:tab w:val="left" w:pos="782"/>
              </w:tabs>
              <w:ind w:right="-105"/>
              <w:jc w:val="center"/>
              <w:rPr>
                <w:rFonts w:ascii="Times New Roman" w:hAnsi="Times New Roman" w:cs="Times New Roman"/>
                <w:noProof/>
                <w:sz w:val="20"/>
                <w:szCs w:val="20"/>
              </w:rPr>
            </w:pPr>
            <w:r>
              <w:rPr>
                <w:rFonts w:ascii="Times New Roman" w:hAnsi="Times New Roman"/>
                <w:noProof/>
                <w:sz w:val="20"/>
              </w:rPr>
              <w:t>102,40</w:t>
            </w:r>
          </w:p>
        </w:tc>
      </w:tr>
      <w:tr w:rsidR="00DA4926" w:rsidRPr="00B67AC1" w14:paraId="1CBDB2A3" w14:textId="77777777" w:rsidTr="00CA13A4">
        <w:tc>
          <w:tcPr>
            <w:tcW w:w="2689" w:type="dxa"/>
            <w:vAlign w:val="center"/>
          </w:tcPr>
          <w:p w14:paraId="78E1775A" w14:textId="6B11F3C8" w:rsidR="00DA4926" w:rsidRPr="00B67AC1" w:rsidRDefault="00DA4926" w:rsidP="00CC676A">
            <w:pPr>
              <w:keepNext/>
              <w:jc w:val="left"/>
              <w:rPr>
                <w:rFonts w:ascii="Times New Roman" w:hAnsi="Times New Roman" w:cs="Times New Roman"/>
                <w:noProof/>
                <w:sz w:val="20"/>
                <w:szCs w:val="20"/>
              </w:rPr>
            </w:pPr>
            <w:r>
              <w:rPr>
                <w:rFonts w:ascii="Times New Roman" w:hAnsi="Times New Roman"/>
                <w:noProof/>
                <w:sz w:val="20"/>
              </w:rPr>
              <w:t>Ukrajnával kapcsolatos célzott felhívás</w:t>
            </w:r>
          </w:p>
        </w:tc>
        <w:tc>
          <w:tcPr>
            <w:tcW w:w="1913" w:type="dxa"/>
            <w:vAlign w:val="center"/>
          </w:tcPr>
          <w:p w14:paraId="7CACA4A3"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32</w:t>
            </w:r>
          </w:p>
        </w:tc>
        <w:tc>
          <w:tcPr>
            <w:tcW w:w="2301" w:type="dxa"/>
            <w:vAlign w:val="center"/>
          </w:tcPr>
          <w:p w14:paraId="0635059E"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28</w:t>
            </w:r>
          </w:p>
        </w:tc>
        <w:tc>
          <w:tcPr>
            <w:tcW w:w="2301" w:type="dxa"/>
            <w:vAlign w:val="center"/>
          </w:tcPr>
          <w:p w14:paraId="3B253060" w14:textId="77777777" w:rsidR="00DA4926" w:rsidRPr="00B67AC1" w:rsidRDefault="00DA4926" w:rsidP="00CC676A">
            <w:pPr>
              <w:keepNext/>
              <w:tabs>
                <w:tab w:val="left" w:pos="782"/>
              </w:tabs>
              <w:ind w:right="-105"/>
              <w:jc w:val="center"/>
              <w:rPr>
                <w:rFonts w:ascii="Times New Roman" w:hAnsi="Times New Roman" w:cs="Times New Roman"/>
                <w:noProof/>
                <w:sz w:val="20"/>
                <w:szCs w:val="20"/>
              </w:rPr>
            </w:pPr>
            <w:r>
              <w:rPr>
                <w:rFonts w:ascii="Times New Roman" w:hAnsi="Times New Roman"/>
                <w:noProof/>
                <w:sz w:val="20"/>
              </w:rPr>
              <w:t>9,28</w:t>
            </w:r>
          </w:p>
        </w:tc>
      </w:tr>
      <w:tr w:rsidR="00DA4926" w:rsidRPr="00B67AC1" w14:paraId="76BBE407" w14:textId="77777777" w:rsidTr="00CA13A4">
        <w:tc>
          <w:tcPr>
            <w:tcW w:w="2689" w:type="dxa"/>
            <w:vAlign w:val="center"/>
          </w:tcPr>
          <w:p w14:paraId="347ACFF0" w14:textId="584AA0B2" w:rsidR="00DA4926" w:rsidRPr="00B67AC1" w:rsidRDefault="00DA4926" w:rsidP="00CC676A">
            <w:pPr>
              <w:keepNext/>
              <w:jc w:val="right"/>
              <w:rPr>
                <w:rFonts w:ascii="Times New Roman" w:hAnsi="Times New Roman" w:cs="Times New Roman"/>
                <w:b/>
                <w:bCs/>
                <w:noProof/>
                <w:sz w:val="20"/>
                <w:szCs w:val="20"/>
              </w:rPr>
            </w:pPr>
            <w:r>
              <w:rPr>
                <w:rFonts w:ascii="Times New Roman" w:hAnsi="Times New Roman"/>
                <w:b/>
                <w:noProof/>
                <w:sz w:val="20"/>
              </w:rPr>
              <w:t>Technikai Támogatási Eszköz összesen 2022-ben</w:t>
            </w:r>
          </w:p>
        </w:tc>
        <w:tc>
          <w:tcPr>
            <w:tcW w:w="1913" w:type="dxa"/>
            <w:vAlign w:val="center"/>
          </w:tcPr>
          <w:p w14:paraId="6687F0EB" w14:textId="77777777" w:rsidR="00DA4926" w:rsidRPr="00B67AC1" w:rsidRDefault="00DA4926" w:rsidP="00CC676A">
            <w:pPr>
              <w:keepNext/>
              <w:jc w:val="center"/>
              <w:rPr>
                <w:rFonts w:ascii="Times New Roman" w:hAnsi="Times New Roman" w:cs="Times New Roman"/>
                <w:b/>
                <w:bCs/>
                <w:noProof/>
                <w:sz w:val="20"/>
                <w:szCs w:val="20"/>
              </w:rPr>
            </w:pPr>
            <w:r>
              <w:rPr>
                <w:rFonts w:ascii="Times New Roman" w:hAnsi="Times New Roman"/>
                <w:b/>
                <w:noProof/>
                <w:sz w:val="20"/>
              </w:rPr>
              <w:t>544</w:t>
            </w:r>
          </w:p>
        </w:tc>
        <w:tc>
          <w:tcPr>
            <w:tcW w:w="2301" w:type="dxa"/>
            <w:vAlign w:val="center"/>
          </w:tcPr>
          <w:p w14:paraId="08325332" w14:textId="48DE426C" w:rsidR="00DA4926" w:rsidRPr="00B67AC1" w:rsidRDefault="00DA4926" w:rsidP="00CC676A">
            <w:pPr>
              <w:keepNext/>
              <w:jc w:val="center"/>
              <w:rPr>
                <w:rFonts w:ascii="Times New Roman" w:hAnsi="Times New Roman" w:cs="Times New Roman"/>
                <w:b/>
                <w:bCs/>
                <w:noProof/>
                <w:sz w:val="20"/>
                <w:szCs w:val="20"/>
              </w:rPr>
            </w:pPr>
            <w:r>
              <w:rPr>
                <w:rFonts w:ascii="Times New Roman" w:hAnsi="Times New Roman"/>
                <w:b/>
                <w:noProof/>
                <w:sz w:val="20"/>
              </w:rPr>
              <w:t>239</w:t>
            </w:r>
          </w:p>
        </w:tc>
        <w:tc>
          <w:tcPr>
            <w:tcW w:w="2301" w:type="dxa"/>
            <w:vAlign w:val="center"/>
          </w:tcPr>
          <w:p w14:paraId="0DAE6741" w14:textId="11A70B2B" w:rsidR="00DA4926" w:rsidRPr="00B67AC1" w:rsidRDefault="00DA4926" w:rsidP="00CC676A">
            <w:pPr>
              <w:keepNext/>
              <w:tabs>
                <w:tab w:val="left" w:pos="782"/>
              </w:tabs>
              <w:ind w:right="-105"/>
              <w:jc w:val="center"/>
              <w:rPr>
                <w:rFonts w:ascii="Times New Roman" w:hAnsi="Times New Roman" w:cs="Times New Roman"/>
                <w:b/>
                <w:bCs/>
                <w:noProof/>
                <w:sz w:val="20"/>
                <w:szCs w:val="20"/>
              </w:rPr>
            </w:pPr>
            <w:r>
              <w:rPr>
                <w:rFonts w:ascii="Times New Roman" w:hAnsi="Times New Roman"/>
                <w:b/>
                <w:noProof/>
                <w:sz w:val="20"/>
              </w:rPr>
              <w:t>111,68</w:t>
            </w:r>
          </w:p>
        </w:tc>
      </w:tr>
      <w:tr w:rsidR="00DA4926" w:rsidRPr="00B67AC1" w14:paraId="27E14E62" w14:textId="77777777" w:rsidTr="00CA13A4">
        <w:tc>
          <w:tcPr>
            <w:tcW w:w="2689" w:type="dxa"/>
            <w:vAlign w:val="center"/>
          </w:tcPr>
          <w:p w14:paraId="2127E252" w14:textId="22BA65B5" w:rsidR="00DA4926" w:rsidRPr="00B67AC1" w:rsidRDefault="00DA4926" w:rsidP="00CC676A">
            <w:pPr>
              <w:keepNext/>
              <w:jc w:val="left"/>
              <w:rPr>
                <w:rFonts w:ascii="Times New Roman" w:hAnsi="Times New Roman" w:cs="Times New Roman"/>
                <w:noProof/>
                <w:sz w:val="20"/>
                <w:szCs w:val="20"/>
              </w:rPr>
            </w:pPr>
            <w:r>
              <w:rPr>
                <w:rFonts w:ascii="Times New Roman" w:hAnsi="Times New Roman"/>
                <w:noProof/>
                <w:sz w:val="20"/>
              </w:rPr>
              <w:t>A TSI-rendelet 7. cikke alapján</w:t>
            </w:r>
          </w:p>
        </w:tc>
        <w:tc>
          <w:tcPr>
            <w:tcW w:w="1913" w:type="dxa"/>
            <w:vAlign w:val="center"/>
          </w:tcPr>
          <w:p w14:paraId="12222E59"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4</w:t>
            </w:r>
          </w:p>
        </w:tc>
        <w:tc>
          <w:tcPr>
            <w:tcW w:w="2301" w:type="dxa"/>
            <w:vAlign w:val="center"/>
          </w:tcPr>
          <w:p w14:paraId="4458B58B"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3</w:t>
            </w:r>
          </w:p>
        </w:tc>
        <w:tc>
          <w:tcPr>
            <w:tcW w:w="2301" w:type="dxa"/>
            <w:vAlign w:val="center"/>
          </w:tcPr>
          <w:p w14:paraId="1A396B97" w14:textId="77777777" w:rsidR="00DA4926" w:rsidRPr="00B67AC1" w:rsidRDefault="00DA4926" w:rsidP="00CC676A">
            <w:pPr>
              <w:keepNext/>
              <w:tabs>
                <w:tab w:val="left" w:pos="782"/>
              </w:tabs>
              <w:ind w:right="-105"/>
              <w:jc w:val="center"/>
              <w:rPr>
                <w:rFonts w:ascii="Times New Roman" w:hAnsi="Times New Roman" w:cs="Times New Roman"/>
                <w:noProof/>
                <w:sz w:val="20"/>
                <w:szCs w:val="20"/>
              </w:rPr>
            </w:pPr>
            <w:r>
              <w:rPr>
                <w:rFonts w:ascii="Times New Roman" w:hAnsi="Times New Roman"/>
                <w:noProof/>
                <w:sz w:val="20"/>
              </w:rPr>
              <w:t>2,76</w:t>
            </w:r>
          </w:p>
        </w:tc>
      </w:tr>
      <w:tr w:rsidR="00DA4926" w:rsidRPr="00B67AC1" w14:paraId="3B853FEC" w14:textId="77777777" w:rsidTr="00CA13A4">
        <w:tc>
          <w:tcPr>
            <w:tcW w:w="2689" w:type="dxa"/>
            <w:vAlign w:val="center"/>
          </w:tcPr>
          <w:p w14:paraId="0988C6DE" w14:textId="63DCA126" w:rsidR="00DA4926" w:rsidRPr="00B67AC1" w:rsidRDefault="00DA4926" w:rsidP="00CC676A">
            <w:pPr>
              <w:keepNext/>
              <w:jc w:val="left"/>
              <w:rPr>
                <w:rFonts w:ascii="Times New Roman" w:hAnsi="Times New Roman" w:cs="Times New Roman"/>
                <w:noProof/>
                <w:sz w:val="20"/>
                <w:szCs w:val="20"/>
              </w:rPr>
            </w:pPr>
            <w:r>
              <w:rPr>
                <w:rFonts w:ascii="Times New Roman" w:hAnsi="Times New Roman"/>
                <w:noProof/>
                <w:sz w:val="20"/>
              </w:rPr>
              <w:t>Az RRF-rendelet 7. cikke (2) bekezdése alapján</w:t>
            </w:r>
          </w:p>
        </w:tc>
        <w:tc>
          <w:tcPr>
            <w:tcW w:w="1913" w:type="dxa"/>
            <w:vAlign w:val="center"/>
          </w:tcPr>
          <w:p w14:paraId="5F41EE24"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5</w:t>
            </w:r>
          </w:p>
        </w:tc>
        <w:tc>
          <w:tcPr>
            <w:tcW w:w="2301" w:type="dxa"/>
            <w:vAlign w:val="center"/>
          </w:tcPr>
          <w:p w14:paraId="7F59BD75" w14:textId="77777777" w:rsidR="00DA4926" w:rsidRPr="00B67AC1" w:rsidRDefault="00DA4926" w:rsidP="00CC676A">
            <w:pPr>
              <w:keepNext/>
              <w:jc w:val="center"/>
              <w:rPr>
                <w:rFonts w:ascii="Times New Roman" w:hAnsi="Times New Roman" w:cs="Times New Roman"/>
                <w:noProof/>
                <w:sz w:val="20"/>
                <w:szCs w:val="20"/>
              </w:rPr>
            </w:pPr>
            <w:r>
              <w:rPr>
                <w:rFonts w:ascii="Times New Roman" w:hAnsi="Times New Roman"/>
                <w:noProof/>
                <w:sz w:val="20"/>
              </w:rPr>
              <w:t>5</w:t>
            </w:r>
          </w:p>
        </w:tc>
        <w:tc>
          <w:tcPr>
            <w:tcW w:w="2301" w:type="dxa"/>
            <w:vAlign w:val="center"/>
          </w:tcPr>
          <w:p w14:paraId="30C61E4D" w14:textId="77777777" w:rsidR="00DA4926" w:rsidRPr="00B67AC1" w:rsidRDefault="00DA4926" w:rsidP="00CC676A">
            <w:pPr>
              <w:keepNext/>
              <w:tabs>
                <w:tab w:val="left" w:pos="782"/>
              </w:tabs>
              <w:ind w:right="-105"/>
              <w:jc w:val="center"/>
              <w:rPr>
                <w:rFonts w:ascii="Times New Roman" w:hAnsi="Times New Roman" w:cs="Times New Roman"/>
                <w:noProof/>
                <w:sz w:val="20"/>
                <w:szCs w:val="20"/>
              </w:rPr>
            </w:pPr>
            <w:r>
              <w:rPr>
                <w:rFonts w:ascii="Times New Roman" w:hAnsi="Times New Roman"/>
                <w:noProof/>
                <w:sz w:val="20"/>
              </w:rPr>
              <w:t>3,87</w:t>
            </w:r>
          </w:p>
        </w:tc>
      </w:tr>
    </w:tbl>
    <w:p w14:paraId="01F2134F" w14:textId="43A4533A" w:rsidR="00DA4926" w:rsidRPr="00B67AC1" w:rsidRDefault="006B0CEF" w:rsidP="00DA4926">
      <w:pPr>
        <w:pStyle w:val="Caption"/>
        <w:rPr>
          <w:rFonts w:ascii="Times New Roman" w:hAnsi="Times New Roman" w:cs="Times New Roman"/>
          <w:noProof/>
          <w:color w:val="2E74B5" w:themeColor="accent1" w:themeShade="BF"/>
        </w:rPr>
      </w:pPr>
      <w:r>
        <w:rPr>
          <w:noProof/>
          <w:color w:val="2E74B5" w:themeColor="accent1" w:themeShade="BF"/>
        </w:rPr>
        <w:fldChar w:fldCharType="begin"/>
      </w:r>
      <w:r>
        <w:rPr>
          <w:noProof/>
          <w:color w:val="2E74B5" w:themeColor="accent1" w:themeShade="BF"/>
        </w:rPr>
        <w:instrText xml:space="preserve"> SEQ Figure \* ARABIC </w:instrText>
      </w:r>
      <w:r>
        <w:rPr>
          <w:noProof/>
          <w:color w:val="2E74B5" w:themeColor="accent1" w:themeShade="BF"/>
        </w:rPr>
        <w:fldChar w:fldCharType="separate"/>
      </w:r>
      <w:r>
        <w:rPr>
          <w:noProof/>
          <w:color w:val="2E74B5" w:themeColor="accent1" w:themeShade="BF"/>
        </w:rPr>
        <w:fldChar w:fldCharType="end"/>
      </w:r>
      <w:r w:rsidR="00DA4926">
        <w:rPr>
          <w:noProof/>
          <w:color w:val="2E74B5" w:themeColor="accent1" w:themeShade="BF"/>
        </w:rPr>
        <w:t>3. ábra – A Technikai Támogatási Eszköz 2022. évi áttekintő táblázata</w:t>
      </w:r>
    </w:p>
    <w:p w14:paraId="63C6CE27" w14:textId="564248FA" w:rsidR="00595FAC" w:rsidRPr="00B67AC1" w:rsidRDefault="00AF1B60" w:rsidP="00595FAC">
      <w:pPr>
        <w:rPr>
          <w:rFonts w:ascii="Times New Roman" w:hAnsi="Times New Roman" w:cs="Times New Roman"/>
          <w:noProof/>
        </w:rPr>
      </w:pPr>
      <w:r>
        <w:rPr>
          <w:rFonts w:ascii="Times New Roman" w:hAnsi="Times New Roman"/>
          <w:noProof/>
        </w:rPr>
        <w:t>A Technikai Támogatási Eszköz 2022. évi általános felhívása keretében kiválasztott kérelmek többek között a következő kulcsfontosságú uniós prioritásokra</w:t>
      </w:r>
      <w:r w:rsidR="00F014B9" w:rsidRPr="00B67AC1">
        <w:rPr>
          <w:rStyle w:val="FootnoteReference"/>
          <w:rFonts w:ascii="Times New Roman" w:hAnsi="Times New Roman" w:cs="Times New Roman"/>
          <w:noProof/>
        </w:rPr>
        <w:footnoteReference w:id="10"/>
      </w:r>
      <w:r>
        <w:rPr>
          <w:rFonts w:ascii="Times New Roman" w:hAnsi="Times New Roman"/>
          <w:noProof/>
        </w:rPr>
        <w:t xml:space="preserve"> vonatkoztak:</w:t>
      </w:r>
    </w:p>
    <w:p w14:paraId="5CDF9438" w14:textId="1654D89C" w:rsidR="00595FAC" w:rsidRPr="00B67AC1" w:rsidRDefault="00595FAC" w:rsidP="00595FAC">
      <w:pPr>
        <w:pStyle w:val="ListParagraph"/>
        <w:numPr>
          <w:ilvl w:val="0"/>
          <w:numId w:val="14"/>
        </w:numPr>
        <w:rPr>
          <w:rFonts w:ascii="Times New Roman" w:hAnsi="Times New Roman" w:cs="Times New Roman"/>
          <w:noProof/>
        </w:rPr>
      </w:pPr>
      <w:r>
        <w:rPr>
          <w:rFonts w:ascii="Times New Roman" w:hAnsi="Times New Roman"/>
          <w:noProof/>
        </w:rPr>
        <w:t>103 kérelem a nemzeti helyreállítási és rezilienciaépítési tervek végrehajtásához;</w:t>
      </w:r>
    </w:p>
    <w:p w14:paraId="08461152" w14:textId="25B4458F" w:rsidR="00595FAC" w:rsidRPr="00B67AC1" w:rsidRDefault="00595FAC" w:rsidP="00595FAC">
      <w:pPr>
        <w:pStyle w:val="ListParagraph"/>
        <w:numPr>
          <w:ilvl w:val="0"/>
          <w:numId w:val="14"/>
        </w:numPr>
        <w:rPr>
          <w:rFonts w:ascii="Times New Roman" w:hAnsi="Times New Roman" w:cs="Times New Roman"/>
          <w:noProof/>
        </w:rPr>
      </w:pPr>
      <w:r>
        <w:rPr>
          <w:rFonts w:ascii="Times New Roman" w:hAnsi="Times New Roman"/>
          <w:noProof/>
        </w:rPr>
        <w:t>95 kérelem a digitális átálláshoz;</w:t>
      </w:r>
    </w:p>
    <w:p w14:paraId="03133CA0" w14:textId="0FDD33DA" w:rsidR="00595FAC" w:rsidRPr="00B67AC1" w:rsidRDefault="00595FAC" w:rsidP="00595FAC">
      <w:pPr>
        <w:pStyle w:val="ListParagraph"/>
        <w:numPr>
          <w:ilvl w:val="0"/>
          <w:numId w:val="14"/>
        </w:numPr>
        <w:rPr>
          <w:rFonts w:ascii="Times New Roman" w:hAnsi="Times New Roman" w:cs="Times New Roman"/>
          <w:noProof/>
        </w:rPr>
      </w:pPr>
      <w:r>
        <w:rPr>
          <w:rFonts w:ascii="Times New Roman" w:hAnsi="Times New Roman"/>
          <w:noProof/>
        </w:rPr>
        <w:t>63 kérelem az európai zöld megállapodás átálláshoz;</w:t>
      </w:r>
    </w:p>
    <w:p w14:paraId="13AFA06B" w14:textId="193E83DD" w:rsidR="00EB036C" w:rsidRPr="00B67AC1" w:rsidRDefault="00595FAC" w:rsidP="00B53E79">
      <w:pPr>
        <w:pStyle w:val="ListParagraph"/>
        <w:numPr>
          <w:ilvl w:val="0"/>
          <w:numId w:val="14"/>
        </w:numPr>
        <w:rPr>
          <w:rFonts w:ascii="Times New Roman" w:hAnsi="Times New Roman" w:cs="Times New Roman"/>
          <w:noProof/>
        </w:rPr>
      </w:pPr>
      <w:r>
        <w:rPr>
          <w:rFonts w:ascii="Times New Roman" w:hAnsi="Times New Roman"/>
          <w:noProof/>
        </w:rPr>
        <w:t>24 kérelem pedig az egyenlőséghez, azaz a nők, a fogyaték</w:t>
      </w:r>
      <w:r w:rsidR="0017605E">
        <w:rPr>
          <w:rFonts w:ascii="Times New Roman" w:hAnsi="Times New Roman"/>
          <w:noProof/>
        </w:rPr>
        <w:t>ossággal élő</w:t>
      </w:r>
      <w:r>
        <w:rPr>
          <w:rFonts w:ascii="Times New Roman" w:hAnsi="Times New Roman"/>
          <w:noProof/>
        </w:rPr>
        <w:t xml:space="preserve"> személyek, a roma közösség, a migránsok, az idősek és az </w:t>
      </w:r>
      <w:bookmarkStart w:id="9" w:name="_Hlk152076224"/>
      <w:r>
        <w:rPr>
          <w:rFonts w:ascii="Times New Roman" w:hAnsi="Times New Roman"/>
          <w:noProof/>
        </w:rPr>
        <w:t>LMBTIQ+</w:t>
      </w:r>
      <w:bookmarkEnd w:id="9"/>
      <w:r>
        <w:rPr>
          <w:rFonts w:ascii="Times New Roman" w:hAnsi="Times New Roman"/>
          <w:noProof/>
        </w:rPr>
        <w:t xml:space="preserve"> közösség támogatásához kapcsolódott.</w:t>
      </w:r>
    </w:p>
    <w:p w14:paraId="1272E34A" w14:textId="60024C02" w:rsidR="00C21DB1" w:rsidRPr="00B67AC1" w:rsidRDefault="00C21DB1" w:rsidP="00CA13A4">
      <w:pPr>
        <w:pStyle w:val="Caption"/>
        <w:jc w:val="both"/>
        <w:rPr>
          <w:rFonts w:ascii="Times New Roman" w:hAnsi="Times New Roman" w:cs="Times New Roman"/>
          <w:b w:val="0"/>
          <w:i w:val="0"/>
          <w:noProof/>
          <w:color w:val="000000"/>
          <w:sz w:val="24"/>
          <w:szCs w:val="24"/>
          <w14:textFill>
            <w14:solidFill>
              <w14:srgbClr w14:val="000000">
                <w14:lumMod w14:val="75000"/>
              </w14:srgbClr>
            </w14:solidFill>
          </w14:textFill>
        </w:rPr>
      </w:pPr>
      <w:r>
        <w:rPr>
          <w:rFonts w:ascii="Times New Roman" w:hAnsi="Times New Roman"/>
          <w:b w:val="0"/>
          <w:i w:val="0"/>
          <w:noProof/>
          <w:color w:val="000000"/>
          <w:sz w:val="24"/>
          <w14:textFill>
            <w14:solidFill>
              <w14:srgbClr w14:val="000000">
                <w14:lumMod w14:val="75000"/>
              </w14:srgbClr>
            </w14:solidFill>
          </w14:textFill>
        </w:rPr>
        <w:t>A két különböző felhívás keretében 2022-ben kiválasztott 239 technikai támogatási kérelmet 185 projektbe tömörítették. Ezek végül 270 reformot eredményeztek az olyan többországos projektek számának erőteljes növekedése miatt, amelyek egyszerre több ország szükségleteinek kielégítésére irányultak. A többországos projektek esetében a projekt minden egyes országspecifikus eleme külön reformként értelmezendő. A többországos projektek definíció szerint több országspecifikus reformból állnak. Az önálló projektek esetében minden egyes projekt egyetlen reformnak felel meg.</w:t>
      </w:r>
    </w:p>
    <w:p w14:paraId="46C22D07" w14:textId="175FFB7A" w:rsidR="00C21DB1" w:rsidRPr="00B67AC1" w:rsidRDefault="00C21DB1" w:rsidP="00C930FB">
      <w:pPr>
        <w:pStyle w:val="Caption"/>
        <w:jc w:val="both"/>
        <w:rPr>
          <w:rFonts w:ascii="Times New Roman" w:hAnsi="Times New Roman" w:cs="Times New Roman"/>
          <w:b w:val="0"/>
          <w:i w:val="0"/>
          <w:noProof/>
          <w:color w:val="000000"/>
          <w:sz w:val="24"/>
          <w:szCs w:val="24"/>
          <w14:textFill>
            <w14:solidFill>
              <w14:srgbClr w14:val="000000">
                <w14:lumMod w14:val="75000"/>
              </w14:srgbClr>
            </w14:solidFill>
          </w14:textFill>
        </w:rPr>
      </w:pPr>
      <w:r>
        <w:rPr>
          <w:rFonts w:ascii="Times New Roman" w:hAnsi="Times New Roman"/>
          <w:b w:val="0"/>
          <w:i w:val="0"/>
          <w:noProof/>
          <w:color w:val="000000"/>
          <w:sz w:val="24"/>
          <w14:textFill>
            <w14:solidFill>
              <w14:srgbClr w14:val="000000">
                <w14:lumMod w14:val="75000"/>
              </w14:srgbClr>
            </w14:solidFill>
          </w14:textFill>
        </w:rPr>
        <w:t>A 2022-es 185 technikai támogatási projekt a következőképpen oszlik meg: egy-egy tagállam által végrehajtott 164 önálló projekt és 21 többországos projekt, amelyek 106 országspecifikus reformot tartalmaznak.</w:t>
      </w:r>
    </w:p>
    <w:p w14:paraId="0B8EDE4A" w14:textId="78013AF3" w:rsidR="008A2F92" w:rsidRPr="00B67AC1" w:rsidRDefault="003A6778" w:rsidP="008A2F92">
      <w:pPr>
        <w:rPr>
          <w:rFonts w:ascii="Times New Roman" w:hAnsi="Times New Roman" w:cs="Times New Roman"/>
          <w:noProof/>
        </w:rPr>
      </w:pPr>
      <w:r>
        <w:rPr>
          <w:rFonts w:ascii="Times New Roman" w:hAnsi="Times New Roman"/>
          <w:noProof/>
        </w:rPr>
        <w:t>A Helyreállítási és Rezilienciaépítési Eszköz végrehajtásáról szóló második éves jelentésben említettek szerint</w:t>
      </w:r>
      <w:r w:rsidR="008A2F92" w:rsidRPr="00B67AC1">
        <w:rPr>
          <w:rStyle w:val="FootnoteReference"/>
          <w:rFonts w:ascii="Times New Roman" w:hAnsi="Times New Roman" w:cs="Times New Roman"/>
          <w:noProof/>
        </w:rPr>
        <w:footnoteReference w:id="11"/>
      </w:r>
      <w:r>
        <w:rPr>
          <w:rFonts w:ascii="Times New Roman" w:hAnsi="Times New Roman"/>
          <w:noProof/>
        </w:rPr>
        <w:t>,</w:t>
      </w:r>
    </w:p>
    <w:p w14:paraId="02F2771B" w14:textId="5145671D" w:rsidR="008A2F92" w:rsidRPr="00B67AC1" w:rsidRDefault="008A2F92" w:rsidP="008A2F92">
      <w:pPr>
        <w:pStyle w:val="ListParagraph"/>
        <w:numPr>
          <w:ilvl w:val="0"/>
          <w:numId w:val="25"/>
        </w:numPr>
        <w:rPr>
          <w:rFonts w:ascii="Times New Roman" w:hAnsi="Times New Roman" w:cs="Times New Roman"/>
          <w:noProof/>
        </w:rPr>
      </w:pPr>
      <w:r>
        <w:rPr>
          <w:rFonts w:ascii="Times New Roman" w:hAnsi="Times New Roman"/>
          <w:noProof/>
        </w:rPr>
        <w:t>23 tagállam kapott vagy kap jelenleg általános támogatást a helyreállítási és rezilienciaépítési terv végrehajtásának átfogó szempontjaival összefüggésben, beleértve a tervek felülvizsgálatához nyújtott támogatást is, míg mind a 27 tagállam részesül a Helyreállítási és Rezilienciaépítési Eszköz intézkedéseinek végrehajtásához kapcsolódó szakpolitika-specifikus támogatásban.</w:t>
      </w:r>
    </w:p>
    <w:p w14:paraId="2ACFFF75" w14:textId="1BCEAEB1" w:rsidR="008A2F92" w:rsidRPr="00B67AC1" w:rsidRDefault="00CD2A6C" w:rsidP="008A2F92">
      <w:pPr>
        <w:pStyle w:val="ListParagraph"/>
        <w:numPr>
          <w:ilvl w:val="0"/>
          <w:numId w:val="25"/>
        </w:numPr>
        <w:rPr>
          <w:rFonts w:ascii="Times New Roman" w:hAnsi="Times New Roman" w:cs="Times New Roman"/>
          <w:noProof/>
        </w:rPr>
      </w:pPr>
      <w:r>
        <w:rPr>
          <w:rFonts w:ascii="Times New Roman" w:hAnsi="Times New Roman"/>
          <w:noProof/>
        </w:rPr>
        <w:t>Jelenleg nyolc tagállam vesz részt egy többországos, a helyreállítási és rezilienciaépítési tervek előnyeinek hatékony kommunikációjához szükséges kapacitás kiépítését célzó, a Technikai Támogatási Eszközből támogatott projektben.</w:t>
      </w:r>
    </w:p>
    <w:p w14:paraId="0887EB46" w14:textId="3B2113FB" w:rsidR="008A2F92" w:rsidRPr="00B67AC1" w:rsidRDefault="008A2F92" w:rsidP="008A2F92">
      <w:pPr>
        <w:pStyle w:val="ListParagraph"/>
        <w:numPr>
          <w:ilvl w:val="0"/>
          <w:numId w:val="25"/>
        </w:numPr>
        <w:rPr>
          <w:rFonts w:ascii="Times New Roman" w:hAnsi="Times New Roman" w:cs="Times New Roman"/>
          <w:noProof/>
        </w:rPr>
      </w:pPr>
      <w:r>
        <w:rPr>
          <w:rFonts w:ascii="Times New Roman" w:hAnsi="Times New Roman"/>
          <w:noProof/>
        </w:rPr>
        <w:t>17 tagállam már kapott támogatást, illetve jelenleg támogatásban részesül a REPowerEU-terv keretében. Egyes intézkedések digitális dimenzióval is rendelkeznek (pl. az energiaszektor digitalizálása).</w:t>
      </w:r>
    </w:p>
    <w:p w14:paraId="210F5E0D" w14:textId="333CCC0C" w:rsidR="007D046F" w:rsidRPr="00B67AC1" w:rsidRDefault="0021001E" w:rsidP="007D046F">
      <w:pPr>
        <w:rPr>
          <w:rFonts w:ascii="Times New Roman" w:hAnsi="Times New Roman" w:cs="Times New Roman"/>
          <w:noProof/>
        </w:rPr>
      </w:pPr>
      <w:r>
        <w:rPr>
          <w:rFonts w:ascii="Times New Roman" w:hAnsi="Times New Roman"/>
          <w:noProof/>
        </w:rPr>
        <w:t xml:space="preserve">A Technikai Támogatási Eszköz keretében 2023. október végéig 2 2022-es projektet zártak le, 183 projekt megvalósítása pedig még folyamatban volt. A jelentős 2022-es technikai támogatási projektek közé tartoznak a következők: </w:t>
      </w:r>
      <w:hyperlink r:id="rId24" w:history="1">
        <w:r>
          <w:rPr>
            <w:rStyle w:val="Hyperlink"/>
            <w:rFonts w:ascii="Times New Roman" w:hAnsi="Times New Roman"/>
            <w:noProof/>
            <w:color w:val="034990" w:themeColor="hyperlink" w:themeShade="BF"/>
          </w:rPr>
          <w:t>a nemek közötti egyenlőségnek a közpolitikai és költségvetési folyamatokban való általános érvényesítésére</w:t>
        </w:r>
      </w:hyperlink>
      <w:r>
        <w:rPr>
          <w:rFonts w:ascii="Times New Roman" w:hAnsi="Times New Roman"/>
          <w:noProof/>
        </w:rPr>
        <w:t xml:space="preserve"> irányuló, többországos projekt;</w:t>
      </w:r>
      <w:r>
        <w:rPr>
          <w:noProof/>
        </w:rPr>
        <w:t xml:space="preserve"> </w:t>
      </w:r>
      <w:r>
        <w:rPr>
          <w:rFonts w:ascii="Times New Roman" w:hAnsi="Times New Roman"/>
          <w:noProof/>
        </w:rPr>
        <w:t xml:space="preserve"> </w:t>
      </w:r>
      <w:hyperlink r:id="rId25" w:history="1">
        <w:r>
          <w:rPr>
            <w:rStyle w:val="Hyperlink"/>
            <w:rFonts w:ascii="Times New Roman" w:hAnsi="Times New Roman"/>
            <w:noProof/>
            <w:color w:val="034990" w:themeColor="hyperlink" w:themeShade="BF"/>
          </w:rPr>
          <w:t>a lakóhelyüket elhagyni kényszerült ukránok alapvető szolgáltatásokhoz való hozzáférésének felgyorsításához</w:t>
        </w:r>
      </w:hyperlink>
      <w:r>
        <w:rPr>
          <w:rFonts w:ascii="Times New Roman" w:hAnsi="Times New Roman"/>
          <w:noProof/>
        </w:rPr>
        <w:t xml:space="preserve"> Romániának nyújtott támogatás, valamint </w:t>
      </w:r>
      <w:hyperlink r:id="rId26" w:history="1">
        <w:r>
          <w:rPr>
            <w:rStyle w:val="Hyperlink"/>
            <w:rFonts w:ascii="Times New Roman" w:hAnsi="Times New Roman"/>
            <w:noProof/>
            <w:color w:val="034990" w:themeColor="hyperlink" w:themeShade="BF"/>
          </w:rPr>
          <w:t>az uniós Digitális Pénzügyi Felügyeleti Akadémia</w:t>
        </w:r>
      </w:hyperlink>
      <w:r>
        <w:rPr>
          <w:rFonts w:ascii="Times New Roman" w:hAnsi="Times New Roman"/>
          <w:noProof/>
        </w:rPr>
        <w:t>. További példák és részletek találhatók a kísérő bizottsági szolgálati munkadokumentumban.</w:t>
      </w:r>
    </w:p>
    <w:p w14:paraId="1C6BE8DB" w14:textId="57A09222" w:rsidR="00F83631" w:rsidRPr="00B67AC1" w:rsidRDefault="00F83631" w:rsidP="00F83631">
      <w:pPr>
        <w:pStyle w:val="Heading3"/>
        <w:rPr>
          <w:rFonts w:ascii="Times New Roman" w:hAnsi="Times New Roman" w:cs="Times New Roman"/>
          <w:noProof/>
          <w14:textFill>
            <w14:solidFill>
              <w14:schemeClr w14:val="accent1">
                <w14:lumMod w14:val="75000"/>
                <w14:lumMod w14:val="75000"/>
                <w14:lumMod w14:val="75000"/>
              </w14:schemeClr>
            </w14:solidFill>
          </w14:textFill>
        </w:rPr>
      </w:pPr>
      <w:r>
        <w:rPr>
          <w:rFonts w:ascii="Times New Roman" w:hAnsi="Times New Roman"/>
          <w:noProof/>
          <w14:textFill>
            <w14:solidFill>
              <w14:schemeClr w14:val="accent1">
                <w14:lumMod w14:val="75000"/>
                <w14:lumMod w14:val="75000"/>
                <w14:lumMod w14:val="75000"/>
              </w14:schemeClr>
            </w14:solidFill>
          </w14:textFill>
        </w:rPr>
        <w:t>A projektek végrehajtása</w:t>
      </w:r>
    </w:p>
    <w:p w14:paraId="5EC33151" w14:textId="7CE62626" w:rsidR="00F83631" w:rsidRPr="00B67AC1" w:rsidRDefault="00416027">
      <w:pPr>
        <w:spacing w:after="120"/>
        <w:rPr>
          <w:rFonts w:ascii="Times New Roman" w:hAnsi="Times New Roman" w:cs="Times New Roman"/>
          <w:noProof/>
        </w:rPr>
      </w:pPr>
      <w:r>
        <w:rPr>
          <w:rFonts w:ascii="Times New Roman" w:hAnsi="Times New Roman"/>
          <w:noProof/>
        </w:rPr>
        <w:t>A Strukturálisreform-támogató Főigazgatóság végig kíséri a Technikai Támogatási Eszköz projektjeit, a tervezési szakasztól a végrehajtásig.</w:t>
      </w:r>
    </w:p>
    <w:p w14:paraId="2DD704A3" w14:textId="640D5638" w:rsidR="004A7628" w:rsidRPr="00B67AC1" w:rsidRDefault="00061195" w:rsidP="00F83631">
      <w:pPr>
        <w:spacing w:after="120"/>
        <w:rPr>
          <w:rFonts w:ascii="Times New Roman" w:hAnsi="Times New Roman" w:cs="Times New Roman"/>
          <w:noProof/>
        </w:rPr>
      </w:pPr>
      <w:r>
        <w:rPr>
          <w:rFonts w:ascii="Times New Roman" w:hAnsi="Times New Roman"/>
          <w:noProof/>
        </w:rPr>
        <w:t>A Strukturálisreform-támogató Főigazgatóság már a projektmeghatározás korai szakaszától kezdve aktívan részt vesz a nemzeti hatóságokkal folyatott egyeztetésekben: a Főigazgatóság országkoordinátorai folyamatosan tartják a kapcsolatot az érintett koordináló hatóságokkal, és a Főigazgatóság vezetői is találkoznak és az egyes tagállamok nemzeti hatóságainak vezetőivel a tagállamok fővárosában.</w:t>
      </w:r>
    </w:p>
    <w:p w14:paraId="22C84238" w14:textId="0D6AE004" w:rsidR="00724295" w:rsidRPr="00B67AC1" w:rsidRDefault="00743D7D">
      <w:pPr>
        <w:spacing w:after="120"/>
        <w:rPr>
          <w:rFonts w:ascii="Times New Roman" w:hAnsi="Times New Roman" w:cs="Times New Roman"/>
          <w:noProof/>
        </w:rPr>
      </w:pPr>
      <w:r>
        <w:rPr>
          <w:rFonts w:ascii="Times New Roman" w:hAnsi="Times New Roman"/>
          <w:noProof/>
        </w:rPr>
        <w:t xml:space="preserve">A kérelmek kiválasztását és a végrehajtási mód meghatározását követően a Strukturálisreform-támogató Főigazgatóság szakreferensei rendszeresen egyeztetnek a nemzeti hatóságokkal a kívánt projekteredmények meghatározása, valamint a kapcsolódó tevékenységek és munkatervek kialakítása érdekében. A szakreferensek mindig konkrét projektcsapatok tagjai a kiválasztott szolgáltatókkal együtt (amennyiben vannak), és együttműködnek a projekt napi irányítása kapcsán. A szakreferensek egyúttal előmozdítják a szolgáltatók (amennyiben vannak) és a nemzeti hatóságok közötti hatékony kommunikációt, elősegítve a projekt sikerét biztosító közös értelmezést. </w:t>
      </w:r>
    </w:p>
    <w:p w14:paraId="36DEEF88" w14:textId="226E3B0E" w:rsidR="00AC1E22" w:rsidRPr="00B67AC1" w:rsidRDefault="00AC1E22" w:rsidP="00F83631">
      <w:pPr>
        <w:spacing w:after="120"/>
        <w:rPr>
          <w:rFonts w:ascii="Times New Roman" w:hAnsi="Times New Roman" w:cs="Times New Roman"/>
          <w:noProof/>
        </w:rPr>
      </w:pPr>
      <w:r>
        <w:rPr>
          <w:rFonts w:ascii="Times New Roman" w:hAnsi="Times New Roman"/>
          <w:noProof/>
        </w:rPr>
        <w:t>A Strukturálisreform-támogató Főigazgatóság a többi főigazgatóság képviselőiből álló állandó hálózaton keresztül koordinálja munkáját a Bizottság más szervezeti egységeivel. Ez annak biztosítására irányul, hogy a Technikai Támogatási Eszköz keretében nyújtott technikai támogatás összhangban legyen az uniós szakpolitikákkal, ne legyen párhuzamos más uniós fellépésekkel, és szinergiákat teremtsen más uniós programokkal. A Bizottság más szervezeti egységeivel való együttműködés arra is lehetőséget nyújt, hogy megkönnyítse a Bizottságnál rendelkezésre álló vagy más uniós programok által könnyen mobilizálható technikai szakértelemhez való hozzáférést.</w:t>
      </w:r>
    </w:p>
    <w:p w14:paraId="7B2EF2A6" w14:textId="2D2C1356" w:rsidR="00CA2D3C" w:rsidRPr="00B67AC1" w:rsidRDefault="00722BEA" w:rsidP="00CA2D3C">
      <w:pPr>
        <w:rPr>
          <w:rFonts w:ascii="Times New Roman" w:hAnsi="Times New Roman" w:cs="Times New Roman"/>
          <w:noProof/>
        </w:rPr>
      </w:pPr>
      <w:r>
        <w:rPr>
          <w:rFonts w:ascii="Times New Roman" w:hAnsi="Times New Roman"/>
          <w:noProof/>
        </w:rPr>
        <w:t>Az egyes projektirányító bizottságok tagjai között a nemzeti hatóságok vezető tisztviselői mellett mindig szerepel a Strukturálisreform-támogató Főigazgatóság egy munkatársa is. E munkatárs feladata annak biztosítása, hogy a projekt összhangban maradjon a nemzeti és az uniós prioritásokkal, és szükség esetén alkalmazkodjon a változó körülményekhez, hozzájárulva a nemzeti reformprogramhoz.</w:t>
      </w:r>
    </w:p>
    <w:p w14:paraId="7C3E6FEE" w14:textId="7EE422FE" w:rsidR="00CA1528" w:rsidRPr="00B67AC1" w:rsidRDefault="00261C7D" w:rsidP="00017354">
      <w:pPr>
        <w:pStyle w:val="Heading3"/>
        <w:rPr>
          <w:rFonts w:ascii="Times New Roman" w:hAnsi="Times New Roman" w:cs="Times New Roman"/>
          <w:noProof/>
          <w14:textFill>
            <w14:solidFill>
              <w14:schemeClr w14:val="accent1">
                <w14:lumMod w14:val="75000"/>
                <w14:lumMod w14:val="75000"/>
                <w14:lumMod w14:val="75000"/>
              </w14:schemeClr>
            </w14:solidFill>
          </w14:textFill>
        </w:rPr>
      </w:pPr>
      <w:bookmarkStart w:id="10" w:name="_Toc146743806"/>
      <w:bookmarkStart w:id="11" w:name="_Toc146751217"/>
      <w:r>
        <w:rPr>
          <w:rFonts w:ascii="Times New Roman" w:hAnsi="Times New Roman"/>
          <w:noProof/>
          <w14:textFill>
            <w14:solidFill>
              <w14:schemeClr w14:val="accent1">
                <w14:lumMod w14:val="75000"/>
                <w14:lumMod w14:val="75000"/>
                <w14:lumMod w14:val="75000"/>
              </w14:schemeClr>
            </w14:solidFill>
          </w14:textFill>
        </w:rPr>
        <w:t>Értékelés</w:t>
      </w:r>
      <w:bookmarkEnd w:id="10"/>
      <w:bookmarkEnd w:id="11"/>
    </w:p>
    <w:p w14:paraId="425B78D9" w14:textId="55154A95" w:rsidR="00261C7D" w:rsidRPr="00B67AC1" w:rsidRDefault="00261C7D" w:rsidP="00D27994">
      <w:pPr>
        <w:spacing w:after="120"/>
        <w:rPr>
          <w:rFonts w:ascii="Times New Roman" w:hAnsi="Times New Roman" w:cs="Times New Roman"/>
          <w:noProof/>
        </w:rPr>
      </w:pPr>
      <w:r>
        <w:rPr>
          <w:rFonts w:ascii="Times New Roman" w:hAnsi="Times New Roman"/>
          <w:noProof/>
        </w:rPr>
        <w:t>A Technikai Támogatási Eszköz programjának és projektjeinek értékelése hozzájárul ahhoz, hogy a tagállamok és a polgárok meggyőződhessenek a helyszínen elért eredményekről. A</w:t>
      </w:r>
      <w:r w:rsidR="00CC676A">
        <w:rPr>
          <w:rFonts w:ascii="Times New Roman" w:hAnsi="Times New Roman"/>
          <w:noProof/>
        </w:rPr>
        <w:t> </w:t>
      </w:r>
      <w:r>
        <w:rPr>
          <w:rFonts w:ascii="Times New Roman" w:hAnsi="Times New Roman"/>
          <w:noProof/>
        </w:rPr>
        <w:t>Strukturálisreform-támogató Főigazgatóság program- és projektszinten egyaránt értékeli a tagállamoknak nyújtott támogatást.</w:t>
      </w:r>
    </w:p>
    <w:p w14:paraId="7C9EC811" w14:textId="6DC0AF14" w:rsidR="003D2D8C" w:rsidRPr="00B67AC1" w:rsidRDefault="003D2D8C" w:rsidP="003D2D8C">
      <w:pPr>
        <w:pStyle w:val="ListNumber"/>
        <w:tabs>
          <w:tab w:val="clear" w:pos="709"/>
          <w:tab w:val="left" w:pos="360"/>
        </w:tabs>
        <w:spacing w:after="120"/>
        <w:ind w:left="0" w:firstLine="0"/>
        <w:jc w:val="both"/>
        <w:rPr>
          <w:rFonts w:eastAsiaTheme="minorHAnsi"/>
          <w:noProof/>
          <w:szCs w:val="24"/>
        </w:rPr>
      </w:pPr>
      <w:r>
        <w:rPr>
          <w:noProof/>
        </w:rPr>
        <w:t>A minőségi jogalkotásra vonatkozó bizottsági iránymutatással összhangban a Technikai Támogatási Eszközt félidőben (2025 februárjáig) és utólag (2030 decemberéig) értékelni kell</w:t>
      </w:r>
      <w:r w:rsidR="00383FA3" w:rsidRPr="00B67AC1">
        <w:rPr>
          <w:rStyle w:val="FootnoteReference"/>
          <w:rFonts w:eastAsiaTheme="minorHAnsi"/>
          <w:noProof/>
          <w:szCs w:val="24"/>
        </w:rPr>
        <w:footnoteReference w:id="12"/>
      </w:r>
      <w:r>
        <w:rPr>
          <w:noProof/>
        </w:rPr>
        <w:t>; az értékeléseket független harmadik fél által készített tanulmány fogja alátámasztani. A</w:t>
      </w:r>
      <w:r w:rsidR="00CC676A">
        <w:rPr>
          <w:noProof/>
        </w:rPr>
        <w:t> </w:t>
      </w:r>
      <w:r>
        <w:rPr>
          <w:noProof/>
        </w:rPr>
        <w:t>Technikai Támogatási Eszköz félidős értékelése várhatóan fontos szerepet fog játszani e program következő generációjának alakításában.</w:t>
      </w:r>
    </w:p>
    <w:p w14:paraId="36C0A4CC" w14:textId="72D08754" w:rsidR="00DC1296" w:rsidRPr="00B67AC1" w:rsidRDefault="00DC1296" w:rsidP="00DC1296">
      <w:pPr>
        <w:rPr>
          <w:rFonts w:ascii="Times New Roman" w:hAnsi="Times New Roman" w:cs="Times New Roman"/>
          <w:noProof/>
        </w:rPr>
      </w:pPr>
      <w:r>
        <w:rPr>
          <w:rFonts w:ascii="Times New Roman" w:hAnsi="Times New Roman"/>
          <w:noProof/>
        </w:rPr>
        <w:t>A programszinten elvégzett értékelés mellett a Strukturálisreform-támogató Főigazgatóság kétlépcsős eljárást vezetett be az eszköz technikai támogatási projektjeinek értékelésére. Az első lépésre röviddel a projekt lezárása után kerül sor, és annak felmérése irányul, hogy a projektben részt vevő főbb érdekelt felek elégedettek-e a projekttervezéssel és -végrehajtással. Az értékelés második lépéseként azt vizsgálják meg, hogy a projekt milyen mértékben hozta meg a várt eredményeket; erre a lépésre legkorábban egy évvel a projekt lezárása után kerülhet sor.</w:t>
      </w:r>
    </w:p>
    <w:p w14:paraId="36D22829" w14:textId="21D2F328" w:rsidR="00DC1296" w:rsidRPr="00B67AC1" w:rsidRDefault="00722BEA">
      <w:pPr>
        <w:rPr>
          <w:rFonts w:ascii="Times New Roman" w:hAnsi="Times New Roman" w:cs="Times New Roman"/>
          <w:noProof/>
        </w:rPr>
      </w:pPr>
      <w:r>
        <w:rPr>
          <w:rFonts w:ascii="Times New Roman" w:hAnsi="Times New Roman"/>
          <w:noProof/>
        </w:rPr>
        <w:t>Bár a projekt időtartama eltérő lehet, a Technikai Támogatási Eszközből támogatott projektek végrehajtása átlagosan 24 hónapot vesz igénybe. A Technikai Támogatási Eszközből finanszírozott első 2021-es projektek 2021 közepén történt indulása óta e jelentés közzétételéig csak néhány olyan projekt volt, amelyet néhány hónapnál hosszabb ideje zártak le. Az értékelő kérdőívekre adott első válaszok pozitívan értékelték a Technikai Támogatási Eszközt. A nemzeti hatóságok mindenekelőtt nagyra értékelték, hogy szorosan bevonták őket a projektazonosítási szakaszba és a projektek végrehajtásába. A nemzeti hatóságok méltányolták a Strukturálisreform-támogató Főigazgatóság aktív szerepvállalását, amely lehetővé tette a velük és a technikai támogatást nyújtókkal való közvetlen kapcsolattartást.</w:t>
      </w:r>
    </w:p>
    <w:p w14:paraId="595BB9C0" w14:textId="5D376127" w:rsidR="00261C7D" w:rsidRPr="00B67AC1" w:rsidRDefault="00261C7D" w:rsidP="00261C7D">
      <w:pPr>
        <w:pStyle w:val="Heading3"/>
        <w:rPr>
          <w:rFonts w:ascii="Times New Roman" w:hAnsi="Times New Roman" w:cs="Times New Roman"/>
          <w:noProof/>
          <w14:textFill>
            <w14:solidFill>
              <w14:schemeClr w14:val="accent1">
                <w14:lumMod w14:val="75000"/>
                <w14:lumMod w14:val="75000"/>
                <w14:lumMod w14:val="75000"/>
              </w14:schemeClr>
            </w14:solidFill>
          </w14:textFill>
        </w:rPr>
      </w:pPr>
      <w:bookmarkStart w:id="12" w:name="_Toc146743807"/>
      <w:bookmarkStart w:id="13" w:name="_Toc146751218"/>
      <w:r>
        <w:rPr>
          <w:rFonts w:ascii="Times New Roman" w:hAnsi="Times New Roman"/>
          <w:noProof/>
          <w14:textFill>
            <w14:solidFill>
              <w14:schemeClr w14:val="accent1">
                <w14:lumMod w14:val="75000"/>
                <w14:lumMod w14:val="75000"/>
                <w14:lumMod w14:val="75000"/>
              </w14:schemeClr>
            </w14:solidFill>
          </w14:textFill>
        </w:rPr>
        <w:t>Kommunikáció</w:t>
      </w:r>
      <w:bookmarkEnd w:id="12"/>
      <w:bookmarkEnd w:id="13"/>
    </w:p>
    <w:p w14:paraId="66AE019D" w14:textId="574C0366" w:rsidR="0068172E" w:rsidRPr="00B67AC1" w:rsidRDefault="001A5F02" w:rsidP="0068172E">
      <w:pPr>
        <w:rPr>
          <w:rFonts w:ascii="Times New Roman" w:hAnsi="Times New Roman" w:cs="Times New Roman"/>
          <w:noProof/>
        </w:rPr>
      </w:pPr>
      <w:r>
        <w:rPr>
          <w:rFonts w:ascii="Times New Roman" w:hAnsi="Times New Roman"/>
          <w:noProof/>
        </w:rPr>
        <w:t xml:space="preserve">A Technikai Támogatási Eszköz végrehajtása a nemzeti hatóságokkal szoros együttműködésben történik, célja a polgárok és a vállalkozások érdekét szolgáló reformok megtervezésének és végrehajtásának támogatása. Annak biztosítása érdekében, hogy a nyújtott </w:t>
      </w:r>
      <w:r>
        <w:rPr>
          <w:rFonts w:ascii="Times New Roman" w:hAnsi="Times New Roman"/>
          <w:b/>
          <w:noProof/>
        </w:rPr>
        <w:t>uniós finanszírozás látható</w:t>
      </w:r>
      <w:r>
        <w:rPr>
          <w:rFonts w:ascii="Times New Roman" w:hAnsi="Times New Roman"/>
          <w:noProof/>
        </w:rPr>
        <w:t xml:space="preserve"> legyen, a Strukturálisreform-támogató Főigazgatóság célzott csatornákon keresztül népszerűsíti a Technikai Támogatási Eszközt, az eszköz támogatásával megvalósuló projekteket és azok eredményeit, és</w:t>
      </w:r>
      <w:r>
        <w:rPr>
          <w:rFonts w:ascii="Times New Roman" w:hAnsi="Times New Roman"/>
          <w:b/>
          <w:noProof/>
        </w:rPr>
        <w:t xml:space="preserve"> célzott tájékoztatást nyújt többféle közönségnek</w:t>
      </w:r>
      <w:r>
        <w:rPr>
          <w:rFonts w:ascii="Times New Roman" w:hAnsi="Times New Roman"/>
          <w:noProof/>
        </w:rPr>
        <w:t>, köztük a sajtónak és a nyilvánosságnak.</w:t>
      </w:r>
    </w:p>
    <w:p w14:paraId="5698AA40" w14:textId="449D984F" w:rsidR="00B81D35" w:rsidRPr="00B67AC1" w:rsidRDefault="00195272" w:rsidP="0068172E">
      <w:pPr>
        <w:rPr>
          <w:rFonts w:ascii="Times New Roman" w:hAnsi="Times New Roman" w:cs="Times New Roman"/>
          <w:noProof/>
        </w:rPr>
      </w:pPr>
      <w:r>
        <w:rPr>
          <w:rFonts w:ascii="Times New Roman" w:hAnsi="Times New Roman"/>
          <w:noProof/>
        </w:rPr>
        <w:t xml:space="preserve">Ezzel összefüggésben a Strukturálisreform-támogató Főigazgatóság sikeresen beépítette a program éves ciklusába a Technikai Támogatási Eszközzel foglalkozó sajtótájékoztatót és éves konferenciát. Emellett a Technikai Támogatási Eszköz és a kapcsolódó projektek keretében folytatott tevékenységek és az eredmények széles körben megosztásra kerülnek a </w:t>
      </w:r>
      <w:hyperlink r:id="rId27" w:history="1">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reformtámogatási weboldalon</w:t>
        </w:r>
      </w:hyperlink>
      <w:r>
        <w:rPr>
          <w:rFonts w:ascii="Times New Roman" w:hAnsi="Times New Roman"/>
          <w:noProof/>
        </w:rPr>
        <w:t xml:space="preserve">, amely </w:t>
      </w:r>
      <w:hyperlink r:id="rId28" w:history="1">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szakpolitikai területenként</w:t>
        </w:r>
      </w:hyperlink>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 xml:space="preserve"> </w:t>
      </w:r>
      <w:r>
        <w:rPr>
          <w:rFonts w:ascii="Times New Roman" w:hAnsi="Times New Roman"/>
          <w:noProof/>
        </w:rPr>
        <w:t xml:space="preserve">és </w:t>
      </w:r>
      <w:hyperlink r:id="rId29" w:history="1">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országonként</w:t>
        </w:r>
      </w:hyperlink>
      <w:r>
        <w:rPr>
          <w:rFonts w:ascii="Times New Roman" w:hAnsi="Times New Roman"/>
          <w:noProof/>
        </w:rPr>
        <w:t xml:space="preserve"> részletes tájékoztatást nyújt. A weboldalon megtalálható a Technikai Támogatási Eszközből támogatott projektek végső eredményeinek </w:t>
      </w:r>
      <w:hyperlink r:id="rId30" w:history="1">
        <w:r>
          <w:rPr>
            <w:rStyle w:val="Hyperlink"/>
            <w:rFonts w:ascii="Times New Roman" w:hAnsi="Times New Roman"/>
            <w:b/>
            <w:noProof/>
            <w:color w:val="034990" w:themeColor="hyperlink" w:themeShade="BF"/>
          </w:rPr>
          <w:t>egységes online nyilvános adattára</w:t>
        </w:r>
      </w:hyperlink>
      <w:r>
        <w:rPr>
          <w:rFonts w:ascii="Times New Roman" w:hAnsi="Times New Roman"/>
          <w:noProof/>
        </w:rPr>
        <w:t xml:space="preserve"> is. A Strukturálisreform-támogató Főigazgatóság a közösségi médiát is használja a Technikai Támogatási Eszközzel kapcsolatos információk megosztására </w:t>
      </w:r>
      <w:hyperlink r:id="rId31" w:history="1">
        <w:r>
          <w:rPr>
            <w:rStyle w:val="Hyperlink"/>
            <w:rFonts w:ascii="Times New Roman" w:hAnsi="Times New Roman"/>
            <w:b/>
            <w:noProof/>
            <w:color w:val="034990" w:themeColor="hyperlink" w:themeShade="BF"/>
            <w14:textFill>
              <w14:solidFill>
                <w14:schemeClr w14:val="hlink">
                  <w14:lumMod w14:val="75000"/>
                  <w14:lumMod w14:val="75000"/>
                </w14:schemeClr>
              </w14:solidFill>
            </w14:textFill>
          </w:rPr>
          <w:t xml:space="preserve">@EU_reforms </w:t>
        </w:r>
      </w:hyperlink>
      <w:r>
        <w:rPr>
          <w:rFonts w:ascii="Times New Roman" w:hAnsi="Times New Roman"/>
          <w:noProof/>
        </w:rPr>
        <w:t>Twitter/X fiókján keresztül.</w:t>
      </w:r>
    </w:p>
    <w:p w14:paraId="3405BB49" w14:textId="77777777" w:rsidR="00EF598C" w:rsidRPr="00B67AC1" w:rsidRDefault="003D0FF2" w:rsidP="003D0FF2">
      <w:pPr>
        <w:pStyle w:val="Heading3"/>
        <w:rPr>
          <w:rFonts w:ascii="Times New Roman" w:hAnsi="Times New Roman" w:cs="Times New Roman"/>
          <w:noProof/>
          <w14:textFill>
            <w14:solidFill>
              <w14:schemeClr w14:val="accent1">
                <w14:lumMod w14:val="75000"/>
                <w14:lumMod w14:val="75000"/>
                <w14:lumMod w14:val="75000"/>
              </w14:schemeClr>
            </w14:solidFill>
          </w14:textFill>
        </w:rPr>
      </w:pPr>
      <w:bookmarkStart w:id="14" w:name="_Toc146743808"/>
      <w:bookmarkStart w:id="15" w:name="_Toc146751219"/>
      <w:r>
        <w:rPr>
          <w:rFonts w:ascii="Times New Roman" w:hAnsi="Times New Roman"/>
          <w:noProof/>
          <w14:textFill>
            <w14:solidFill>
              <w14:schemeClr w14:val="accent1">
                <w14:lumMod w14:val="75000"/>
                <w14:lumMod w14:val="75000"/>
                <w14:lumMod w14:val="75000"/>
              </w14:schemeClr>
            </w14:solidFill>
          </w14:textFill>
        </w:rPr>
        <w:t>Következtetés</w:t>
      </w:r>
      <w:bookmarkEnd w:id="14"/>
      <w:bookmarkEnd w:id="15"/>
    </w:p>
    <w:p w14:paraId="4291CAFC" w14:textId="5057159D" w:rsidR="009431E2" w:rsidRPr="00B67AC1" w:rsidRDefault="004D0721" w:rsidP="004D0721">
      <w:pPr>
        <w:rPr>
          <w:rFonts w:ascii="Times New Roman" w:hAnsi="Times New Roman" w:cs="Times New Roman"/>
          <w:noProof/>
        </w:rPr>
      </w:pPr>
      <w:r>
        <w:rPr>
          <w:rFonts w:ascii="Times New Roman" w:hAnsi="Times New Roman"/>
          <w:noProof/>
        </w:rPr>
        <w:t>Végrehajtásának első két évében a Technikai Támogatási Eszköz a tagállamok mindegyikében nyújtott technikai támogatást a reformok megtervezéséhez és végrehajtásához. A beérkezett kérelmek száma folyamatosan meghaladta a program keretében támogatható kérelmek számát, ami jól mutatja a nemzeti hatóságok érdeklődését az ezen eszköz által kínált lehetőségek iránt.</w:t>
      </w:r>
    </w:p>
    <w:p w14:paraId="03720484" w14:textId="0179A182" w:rsidR="001216F3" w:rsidRPr="00B67AC1" w:rsidRDefault="009431E2" w:rsidP="004D0721">
      <w:pPr>
        <w:rPr>
          <w:rFonts w:ascii="Times New Roman" w:hAnsi="Times New Roman" w:cs="Times New Roman"/>
          <w:noProof/>
        </w:rPr>
      </w:pPr>
      <w:r>
        <w:rPr>
          <w:rFonts w:ascii="Times New Roman" w:hAnsi="Times New Roman"/>
          <w:noProof/>
        </w:rPr>
        <w:t>A többországos projektek két év alatt megnövekedett száma azt jelzi, hogy a Technikai Támogatási Eszköz képes további uniós hozzáadott értéket teremteni, valamint elősegíteni a bevált gyakorlatok cseréjét és a nemzeti közigazgatások közötti kölcsönös tanulási lehetőségeket.</w:t>
      </w:r>
    </w:p>
    <w:p w14:paraId="5BE494F4" w14:textId="6CD43236" w:rsidR="00A604E2" w:rsidRPr="00B67AC1" w:rsidRDefault="26C46EB0" w:rsidP="5B162347">
      <w:pPr>
        <w:rPr>
          <w:rFonts w:ascii="Times New Roman" w:hAnsi="Times New Roman" w:cs="Times New Roman"/>
          <w:noProof/>
        </w:rPr>
      </w:pPr>
      <w:r>
        <w:rPr>
          <w:rFonts w:ascii="Times New Roman" w:hAnsi="Times New Roman"/>
          <w:noProof/>
        </w:rPr>
        <w:t>A Strukturálisreform-támogató Főigazgatóság fokozta a Technikai Támogatási Eszköz keretében végzett tevékenységekkel kapcsolatos kommunikációját, így növelve az eszköz elszámoltathatóságát, és felhívva a nemzeti hatóságok figyelmét a Technikai Támogatási Eszköz keretében rendelkezésre álló lehetőségekre. A kommunikáció célja az volt, hogy a nemzeti hatóságok jobban megismerjék a Technikai Támogatási Eszköz keretében rendelkezésre álló lehetőségeket, és hogy a sajátos igényeik kielégítésére olyan projekteket tervezhessenek, amelyek optimálisan kihasználják az eszközt.</w:t>
      </w:r>
    </w:p>
    <w:p w14:paraId="49C73D5A" w14:textId="02F06052" w:rsidR="00DF2176" w:rsidRPr="00B67AC1" w:rsidRDefault="6D526015" w:rsidP="5B162347">
      <w:pPr>
        <w:rPr>
          <w:rFonts w:ascii="Times New Roman" w:hAnsi="Times New Roman" w:cs="Times New Roman"/>
          <w:noProof/>
        </w:rPr>
      </w:pPr>
      <w:r>
        <w:rPr>
          <w:rFonts w:ascii="Times New Roman" w:hAnsi="Times New Roman"/>
          <w:noProof/>
        </w:rPr>
        <w:t xml:space="preserve">A legfontosabb, hogy a Strukturálisreform-támogató Főigazgatóság munkatársai minden szinten összehangolt erőfeszítéseket tettek a tagállamok támogatására a végrehajtási szakaszban, hogy biztosítsák a projektek sikerességét és azt, hogy azok eredményei összhangban maradjanak a tagállamok célkitűzéseivel. A Strukturálisreform-támogató Főigazgatóság a nemzeti hatóságokkal az egyes projekteknek az eredmények elérésével és leszállításával záródó végrehajtásán túlmenően is együttműködik, és támogathatja őket abban, hogy a projektek eredményeit nyomon kövessék reformprogramjaik végrehajtása érdekében. </w:t>
      </w:r>
    </w:p>
    <w:p w14:paraId="50327F3A" w14:textId="73273CD7" w:rsidR="00B54273" w:rsidRPr="00B67AC1" w:rsidRDefault="00C53A40" w:rsidP="007D2E8F">
      <w:pPr>
        <w:rPr>
          <w:rFonts w:ascii="Times New Roman" w:hAnsi="Times New Roman" w:cs="Times New Roman"/>
          <w:b/>
          <w:bCs/>
          <w:noProof/>
          <w:sz w:val="52"/>
          <w:szCs w:val="52"/>
        </w:rPr>
      </w:pPr>
      <w:r>
        <w:rPr>
          <w:rFonts w:ascii="Times New Roman" w:hAnsi="Times New Roman"/>
          <w:noProof/>
        </w:rPr>
        <w:t>Tekintettel arra, hogy a Technikai Támogatási Eszköz első ciklusának végrehajtása 2021-ben kezdődött, még túl korai lenne értékelni a projekt gyakorlati eredményeit. Mindazonáltal a kedvezményezett hatóságoktól projektszinten kapott visszajelzések, valamint a nemzeti szintű koordináló hatóságoktól kapott visszajelzések alapján a tagállamok általában nagyra értékelték a Technikai Támogatási Eszköz révén nyújtott támogatást, különösen a projektek tervezésében és végrehajtásában betöltött aktív szerepét, valamint a Strukturálisreform-támogató Főigazgatóság által folytatott hatékony kommunikációt.</w:t>
      </w:r>
    </w:p>
    <w:sectPr w:rsidR="00B54273" w:rsidRPr="00B67AC1" w:rsidSect="00EC0278">
      <w:headerReference w:type="even" r:id="rId32"/>
      <w:headerReference w:type="default" r:id="rId33"/>
      <w:footerReference w:type="even" r:id="rId34"/>
      <w:footerReference w:type="default" r:id="rId35"/>
      <w:headerReference w:type="first" r:id="rId36"/>
      <w:footerReference w:type="first" r:id="rId37"/>
      <w:pgSz w:w="11906" w:h="16838"/>
      <w:pgMar w:top="993" w:right="1274" w:bottom="1276" w:left="1418" w:header="680" w:footer="6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7672" w14:textId="77777777" w:rsidR="00836204" w:rsidRPr="00E46BBA" w:rsidRDefault="00836204" w:rsidP="008D0040">
      <w:r w:rsidRPr="00E46BBA">
        <w:separator/>
      </w:r>
    </w:p>
  </w:endnote>
  <w:endnote w:type="continuationSeparator" w:id="0">
    <w:p w14:paraId="1DBD6160" w14:textId="77777777" w:rsidR="00836204" w:rsidRPr="00E46BBA" w:rsidRDefault="00836204" w:rsidP="008D0040">
      <w:r w:rsidRPr="00E46BBA">
        <w:continuationSeparator/>
      </w:r>
    </w:p>
  </w:endnote>
  <w:endnote w:type="continuationNotice" w:id="1">
    <w:p w14:paraId="07463E89" w14:textId="77777777" w:rsidR="00836204" w:rsidRPr="00E46BBA" w:rsidRDefault="00836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C Square Sans Pro">
    <w:altName w:val="Bahnschrift Light"/>
    <w:charset w:val="00"/>
    <w:family w:val="swiss"/>
    <w:pitch w:val="variable"/>
    <w:sig w:usb0="00000001"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B660" w14:textId="10D52617" w:rsidR="006B0CEF" w:rsidRPr="006B0CEF" w:rsidRDefault="006B0CEF" w:rsidP="006B0CEF">
    <w:pPr>
      <w:pStyle w:val="FooterCoverPage"/>
      <w:rPr>
        <w:rFonts w:ascii="Arial" w:hAnsi="Arial" w:cs="Arial"/>
        <w:b/>
        <w:sz w:val="48"/>
      </w:rPr>
    </w:pPr>
    <w:r w:rsidRPr="006B0CEF">
      <w:rPr>
        <w:rFonts w:ascii="Arial" w:hAnsi="Arial" w:cs="Arial"/>
        <w:b/>
        <w:sz w:val="48"/>
      </w:rPr>
      <w:t>HU</w:t>
    </w:r>
    <w:r w:rsidRPr="006B0CEF">
      <w:rPr>
        <w:rFonts w:ascii="Arial" w:hAnsi="Arial" w:cs="Arial"/>
        <w:b/>
        <w:sz w:val="48"/>
      </w:rPr>
      <w:tab/>
    </w:r>
    <w:r w:rsidRPr="006B0CEF">
      <w:rPr>
        <w:rFonts w:ascii="Arial" w:hAnsi="Arial" w:cs="Arial"/>
        <w:b/>
        <w:sz w:val="48"/>
      </w:rPr>
      <w:tab/>
    </w:r>
    <w:r w:rsidRPr="006B0CEF">
      <w:tab/>
    </w:r>
    <w:r w:rsidRPr="006B0CEF">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673F" w14:textId="77430F96" w:rsidR="006B0CEF" w:rsidRPr="006B0CEF" w:rsidRDefault="006B0CEF" w:rsidP="006B0CEF">
    <w:pPr>
      <w:pStyle w:val="FooterCoverPage"/>
      <w:rPr>
        <w:rFonts w:ascii="Arial" w:hAnsi="Arial" w:cs="Arial"/>
        <w:b/>
        <w:sz w:val="48"/>
      </w:rPr>
    </w:pPr>
    <w:r w:rsidRPr="006B0CEF">
      <w:rPr>
        <w:rFonts w:ascii="Arial" w:hAnsi="Arial" w:cs="Arial"/>
        <w:b/>
        <w:sz w:val="48"/>
      </w:rPr>
      <w:t>HU</w:t>
    </w:r>
    <w:r w:rsidRPr="006B0CEF">
      <w:rPr>
        <w:rFonts w:ascii="Arial" w:hAnsi="Arial" w:cs="Arial"/>
        <w:b/>
        <w:sz w:val="48"/>
      </w:rPr>
      <w:tab/>
    </w:r>
    <w:r w:rsidRPr="006B0CEF">
      <w:rPr>
        <w:rFonts w:ascii="Arial" w:hAnsi="Arial" w:cs="Arial"/>
        <w:b/>
        <w:sz w:val="48"/>
      </w:rPr>
      <w:tab/>
    </w:r>
    <w:r w:rsidRPr="006B0CEF">
      <w:tab/>
    </w:r>
    <w:r w:rsidRPr="006B0CEF">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FE48" w14:textId="77777777" w:rsidR="006B0CEF" w:rsidRPr="006B0CEF" w:rsidRDefault="006B0CEF" w:rsidP="006B0CE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CB59" w14:textId="77777777" w:rsidR="00670CD2" w:rsidRPr="00E46BBA" w:rsidRDefault="00670C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506195"/>
      <w:docPartObj>
        <w:docPartGallery w:val="Page Numbers (Bottom of Page)"/>
        <w:docPartUnique/>
      </w:docPartObj>
    </w:sdtPr>
    <w:sdtEndPr>
      <w:rPr>
        <w:noProof/>
      </w:rPr>
    </w:sdtEndPr>
    <w:sdtContent>
      <w:p w14:paraId="4B2A706F" w14:textId="12C77E60" w:rsidR="00B67AC1" w:rsidRDefault="00B67AC1">
        <w:pPr>
          <w:pStyle w:val="Footer"/>
          <w:jc w:val="center"/>
        </w:pPr>
        <w:r>
          <w:fldChar w:fldCharType="begin"/>
        </w:r>
        <w:r>
          <w:instrText xml:space="preserve"> PAGE   \* MERGEFORMAT </w:instrText>
        </w:r>
        <w:r>
          <w:fldChar w:fldCharType="separate"/>
        </w:r>
        <w:r w:rsidR="006B0CEF">
          <w:rPr>
            <w:noProof/>
          </w:rPr>
          <w:t>3</w:t>
        </w:r>
        <w:r>
          <w:fldChar w:fldCharType="end"/>
        </w:r>
      </w:p>
    </w:sdtContent>
  </w:sdt>
  <w:p w14:paraId="74529009" w14:textId="7CCFCE4E" w:rsidR="00670CD2" w:rsidRPr="00E46BBA" w:rsidRDefault="00670CD2" w:rsidP="00B7400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8567" w14:textId="3BC9562D" w:rsidR="00177624" w:rsidRPr="00E46BBA" w:rsidRDefault="00177624">
    <w:pPr>
      <w:pStyle w:val="Footer"/>
      <w:jc w:val="center"/>
    </w:pPr>
    <w:r w:rsidRPr="00E46BBA">
      <w:fldChar w:fldCharType="begin"/>
    </w:r>
    <w:r w:rsidRPr="00E46BBA">
      <w:instrText xml:space="preserve"> PAGE   \* MERGEFORMAT </w:instrText>
    </w:r>
    <w:r w:rsidRPr="00E46BBA">
      <w:fldChar w:fldCharType="separate"/>
    </w:r>
    <w:r w:rsidR="006B0CEF">
      <w:rPr>
        <w:noProof/>
      </w:rPr>
      <w:t>1</w:t>
    </w:r>
    <w:r w:rsidRPr="00E46BBA">
      <w:fldChar w:fldCharType="end"/>
    </w:r>
  </w:p>
  <w:p w14:paraId="3D1EEE55" w14:textId="77777777" w:rsidR="00670CD2" w:rsidRPr="00E46BBA" w:rsidRDefault="0067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91875" w14:textId="77777777" w:rsidR="00836204" w:rsidRPr="00E46BBA" w:rsidRDefault="00836204" w:rsidP="008D0040">
      <w:r w:rsidRPr="00E46BBA">
        <w:separator/>
      </w:r>
    </w:p>
  </w:footnote>
  <w:footnote w:type="continuationSeparator" w:id="0">
    <w:p w14:paraId="2823FE73" w14:textId="77777777" w:rsidR="00836204" w:rsidRPr="00E46BBA" w:rsidRDefault="00836204" w:rsidP="008D0040">
      <w:r w:rsidRPr="00E46BBA">
        <w:continuationSeparator/>
      </w:r>
    </w:p>
  </w:footnote>
  <w:footnote w:type="continuationNotice" w:id="1">
    <w:p w14:paraId="025ACC35" w14:textId="77777777" w:rsidR="00836204" w:rsidRPr="00E46BBA" w:rsidRDefault="00836204">
      <w:pPr>
        <w:spacing w:after="0" w:line="240" w:lineRule="auto"/>
      </w:pPr>
    </w:p>
  </w:footnote>
  <w:footnote w:id="2">
    <w:p w14:paraId="34EF6AE0" w14:textId="453F385D" w:rsidR="00CA1528" w:rsidRPr="00E46BBA" w:rsidRDefault="00CA1528" w:rsidP="00CA1528">
      <w:pPr>
        <w:pStyle w:val="FootnoteText"/>
      </w:pPr>
      <w:r>
        <w:rPr>
          <w:rStyle w:val="FootnoteReference"/>
        </w:rPr>
        <w:footnoteRef/>
      </w:r>
      <w:r>
        <w:tab/>
        <w:t>Az Európai Parlament és a Tanács (EU) 2021/240 rendelete (2021. február 10.) a Technikai Támogatási Eszköz létrehozásáról (</w:t>
      </w:r>
      <w:hyperlink r:id="rId1" w:history="1">
        <w:r>
          <w:rPr>
            <w:rStyle w:val="Hyperlink"/>
            <w:color w:val="034990" w:themeColor="hyperlink" w:themeShade="BF"/>
          </w:rPr>
          <w:t>TSI-rendelet</w:t>
        </w:r>
      </w:hyperlink>
      <w:r>
        <w:t>) (HL L 57., 2021.2.18., 1. o.)</w:t>
      </w:r>
      <w:r>
        <w:rPr>
          <w:rStyle w:val="Hyperlink"/>
          <w:color w:val="034990" w:themeColor="hyperlink" w:themeShade="BF"/>
        </w:rPr>
        <w:t>.</w:t>
      </w:r>
    </w:p>
  </w:footnote>
  <w:footnote w:id="3">
    <w:p w14:paraId="5D749E6D" w14:textId="27D9D001" w:rsidR="00C553A8" w:rsidRPr="00AD18D3" w:rsidRDefault="00C553A8" w:rsidP="00C553A8">
      <w:pPr>
        <w:pStyle w:val="FootnoteText"/>
      </w:pPr>
      <w:bookmarkStart w:id="3" w:name="_Hlk152066313"/>
      <w:r>
        <w:rPr>
          <w:rStyle w:val="FootnoteReference"/>
        </w:rPr>
        <w:footnoteRef/>
      </w:r>
      <w:bookmarkEnd w:id="3"/>
      <w:r>
        <w:t xml:space="preserve"> Az Európai Parlament és a Tanács (EU) 2017/825 rendelete (2017. május 17.) a strukturálisreform-támogató program 2017–2020-as időszakra vonatkozó létrehozásáról, valamint az 1303/2013/EU és az 1305/2013/EU rendelet módosításáról (</w:t>
      </w:r>
      <w:hyperlink r:id="rId2" w:history="1">
        <w:r>
          <w:rPr>
            <w:rStyle w:val="Hyperlink"/>
            <w:color w:val="034990" w:themeColor="hyperlink" w:themeShade="BF"/>
          </w:rPr>
          <w:t>SRSP-rendelet</w:t>
        </w:r>
      </w:hyperlink>
      <w:r>
        <w:t>) (HL L 129., 2017.5.19., 1. o.).</w:t>
      </w:r>
    </w:p>
  </w:footnote>
  <w:footnote w:id="4">
    <w:p w14:paraId="5FE3EEF0" w14:textId="5735843F" w:rsidR="00CA1528" w:rsidRPr="00E46BBA" w:rsidRDefault="00CA1528" w:rsidP="00CA1528">
      <w:pPr>
        <w:pStyle w:val="FootnoteText"/>
      </w:pPr>
      <w:r>
        <w:rPr>
          <w:rStyle w:val="FootnoteReference"/>
        </w:rPr>
        <w:footnoteRef/>
      </w:r>
      <w:r>
        <w:tab/>
        <w:t>Az Európai Parlament és a Tanács (EU) 2021/241 rendelete (2021. február 12.) a Helyreállítási és Rezilienciaépítési Eszköz létrehozásáról (</w:t>
      </w:r>
      <w:hyperlink r:id="rId3" w:history="1">
        <w:r>
          <w:rPr>
            <w:rStyle w:val="Hyperlink"/>
            <w:color w:val="034990" w:themeColor="hyperlink" w:themeShade="BF"/>
            <w14:textFill>
              <w14:solidFill>
                <w14:schemeClr w14:val="hlink">
                  <w14:lumMod w14:val="75000"/>
                  <w14:lumMod w14:val="75000"/>
                </w14:schemeClr>
              </w14:solidFill>
            </w14:textFill>
          </w:rPr>
          <w:t>RRF-rendelet</w:t>
        </w:r>
      </w:hyperlink>
      <w:r>
        <w:t>) (HL L 57., 2021.2.18., 17. o.), 7. cikk (2) bekezdés.</w:t>
      </w:r>
    </w:p>
  </w:footnote>
  <w:footnote w:id="5">
    <w:p w14:paraId="465245AE" w14:textId="1DA3B5E5" w:rsidR="00CA1528" w:rsidRPr="00E46BBA" w:rsidRDefault="00CA1528" w:rsidP="00CA1528">
      <w:pPr>
        <w:pStyle w:val="FootnoteText"/>
      </w:pPr>
      <w:r>
        <w:rPr>
          <w:rStyle w:val="FootnoteReference"/>
        </w:rPr>
        <w:footnoteRef/>
      </w:r>
      <w:r>
        <w:tab/>
      </w:r>
      <w:hyperlink r:id="rId4" w:history="1">
        <w:r>
          <w:rPr>
            <w:rStyle w:val="Hyperlink"/>
            <w:color w:val="034990" w:themeColor="hyperlink" w:themeShade="BF"/>
            <w14:textFill>
              <w14:solidFill>
                <w14:schemeClr w14:val="hlink">
                  <w14:lumMod w14:val="75000"/>
                  <w14:lumMod w14:val="75000"/>
                </w14:schemeClr>
              </w14:solidFill>
            </w14:textFill>
          </w:rPr>
          <w:t>TSI-rendelet</w:t>
        </w:r>
      </w:hyperlink>
      <w:r>
        <w:t>, 7. cikk.</w:t>
      </w:r>
    </w:p>
  </w:footnote>
  <w:footnote w:id="6">
    <w:p w14:paraId="5D47EB8B" w14:textId="354B9D26" w:rsidR="00CA1528" w:rsidRPr="00E46BBA" w:rsidRDefault="00CA1528" w:rsidP="00CA1528">
      <w:pPr>
        <w:pStyle w:val="FootnoteText"/>
      </w:pPr>
      <w:r>
        <w:rPr>
          <w:rStyle w:val="FootnoteReference"/>
        </w:rPr>
        <w:footnoteRef/>
      </w:r>
      <w:r w:rsidR="0017605E">
        <w:tab/>
      </w:r>
      <w:hyperlink r:id="rId5" w:history="1">
        <w:r w:rsidR="0017605E" w:rsidRPr="002A2280">
          <w:rPr>
            <w:rStyle w:val="Hyperlink"/>
            <w:color w:val="034990" w:themeColor="hyperlink" w:themeShade="BF"/>
            <w14:textFill>
              <w14:solidFill>
                <w14:schemeClr w14:val="hlink">
                  <w14:lumMod w14:val="75000"/>
                  <w14:lumMod w14:val="75000"/>
                </w14:schemeClr>
              </w14:solidFill>
            </w14:textFill>
          </w:rPr>
          <w:t>https://neighbourhood-enlargement.ec.europa.eu/funding-and-technical-assistance/taiex_en</w:t>
        </w:r>
      </w:hyperlink>
    </w:p>
  </w:footnote>
  <w:footnote w:id="7">
    <w:p w14:paraId="2B240A57" w14:textId="095AC5EB" w:rsidR="00CA1528" w:rsidRPr="00E46BBA" w:rsidRDefault="00CA1528" w:rsidP="00CA1528">
      <w:pPr>
        <w:pStyle w:val="FootnoteText"/>
      </w:pPr>
      <w:r>
        <w:rPr>
          <w:rStyle w:val="FootnoteReference"/>
        </w:rPr>
        <w:footnoteRef/>
      </w:r>
      <w:r>
        <w:tab/>
        <w:t xml:space="preserve">A Technikai Támogatási Eszköz közvetett irányítása alatt uniós forrásokat végrehajtó szervezetek listája megtalálható a </w:t>
      </w:r>
      <w:hyperlink r:id="rId6" w:history="1">
        <w:r>
          <w:rPr>
            <w:rStyle w:val="Hyperlink"/>
            <w:color w:val="034990" w:themeColor="hyperlink" w:themeShade="BF"/>
            <w14:textFill>
              <w14:solidFill>
                <w14:schemeClr w14:val="hlink">
                  <w14:lumMod w14:val="75000"/>
                  <w14:lumMod w14:val="75000"/>
                </w14:schemeClr>
              </w14:solidFill>
            </w14:textFill>
          </w:rPr>
          <w:t>Technikai Támogatási Eszköz honlapján</w:t>
        </w:r>
      </w:hyperlink>
      <w:r>
        <w:rPr>
          <w:rStyle w:val="Hyperlink"/>
          <w:color w:val="000000"/>
          <w:u w:val="none"/>
          <w14:textFill>
            <w14:solidFill>
              <w14:srgbClr w14:val="000000">
                <w14:lumMod w14:val="75000"/>
              </w14:srgbClr>
            </w14:solidFill>
          </w14:textFill>
        </w:rPr>
        <w:t>.</w:t>
      </w:r>
    </w:p>
  </w:footnote>
  <w:footnote w:id="8">
    <w:p w14:paraId="02D667E9" w14:textId="2C12D8B8" w:rsidR="00801038" w:rsidRPr="00E46BBA" w:rsidRDefault="00801038">
      <w:pPr>
        <w:pStyle w:val="FootnoteText"/>
      </w:pPr>
      <w:r>
        <w:rPr>
          <w:rStyle w:val="FootnoteReference"/>
        </w:rPr>
        <w:footnoteRef/>
      </w:r>
      <w:r w:rsidR="0017605E">
        <w:tab/>
      </w:r>
      <w:r>
        <w:t>2022-ben további öt tagállam csatlakozott a képzési programhoz.</w:t>
      </w:r>
    </w:p>
  </w:footnote>
  <w:footnote w:id="9">
    <w:p w14:paraId="2AD9F426" w14:textId="3A5BC50C" w:rsidR="00E97853" w:rsidRPr="0063288D" w:rsidRDefault="00E97853">
      <w:pPr>
        <w:pStyle w:val="FootnoteText"/>
      </w:pPr>
      <w:r>
        <w:rPr>
          <w:rStyle w:val="FootnoteReference"/>
        </w:rPr>
        <w:footnoteRef/>
      </w:r>
      <w:r>
        <w:tab/>
        <w:t xml:space="preserve">A technikai támogatás iránti egy-egy kérelem egyidejűleg több uniós prioritáshoz is kapcsolódhat. </w:t>
      </w:r>
    </w:p>
  </w:footnote>
  <w:footnote w:id="10">
    <w:p w14:paraId="47F6780F" w14:textId="4BFF8782" w:rsidR="00F014B9" w:rsidRPr="00F014B9" w:rsidRDefault="00F014B9">
      <w:pPr>
        <w:pStyle w:val="FootnoteText"/>
      </w:pPr>
      <w:r>
        <w:rPr>
          <w:rStyle w:val="FootnoteReference"/>
        </w:rPr>
        <w:footnoteRef/>
      </w:r>
      <w:bookmarkStart w:id="8" w:name="_Hlk153288087"/>
      <w:r w:rsidR="0017605E">
        <w:tab/>
        <w:t>A</w:t>
      </w:r>
      <w:r>
        <w:t xml:space="preserve"> technikai támogatás iránti egy-egy kérelem egyidejűleg több uniós prioritáshoz is kapcsolódhat.</w:t>
      </w:r>
      <w:bookmarkEnd w:id="8"/>
    </w:p>
  </w:footnote>
  <w:footnote w:id="11">
    <w:p w14:paraId="615996A6" w14:textId="6AB3AFB9" w:rsidR="008A2F92" w:rsidRPr="00EE4545" w:rsidRDefault="008A2F92" w:rsidP="008A2F92">
      <w:pPr>
        <w:pStyle w:val="FootnoteText"/>
      </w:pPr>
      <w:r>
        <w:rPr>
          <w:rStyle w:val="FootnoteReference"/>
        </w:rPr>
        <w:footnoteRef/>
      </w:r>
      <w:r>
        <w:tab/>
      </w:r>
      <w:hyperlink r:id="rId7" w:history="1">
        <w:r>
          <w:rPr>
            <w:rStyle w:val="Hyperlink"/>
            <w:color w:val="034990" w:themeColor="hyperlink" w:themeShade="BF"/>
            <w14:textFill>
              <w14:solidFill>
                <w14:schemeClr w14:val="hlink">
                  <w14:lumMod w14:val="75000"/>
                  <w14:lumMod w14:val="75000"/>
                </w14:schemeClr>
              </w14:solidFill>
            </w14:textFill>
          </w:rPr>
          <w:t>https://eur-lex.europa.eu/legal-content/HU/TXT/?uri=CELEX%3A52023DC0545R%2801%29&amp;qid=1705400609301</w:t>
        </w:r>
      </w:hyperlink>
      <w:r>
        <w:t>.</w:t>
      </w:r>
    </w:p>
  </w:footnote>
  <w:footnote w:id="12">
    <w:p w14:paraId="6418F4C0" w14:textId="58ECE608" w:rsidR="00383FA3" w:rsidRPr="0013213C" w:rsidRDefault="00383FA3" w:rsidP="00383FA3">
      <w:pPr>
        <w:pStyle w:val="FootnoteText"/>
      </w:pPr>
      <w:r>
        <w:rPr>
          <w:rStyle w:val="FootnoteReference"/>
        </w:rPr>
        <w:footnoteRef/>
      </w:r>
      <w:r>
        <w:tab/>
      </w:r>
      <w:hyperlink r:id="rId8" w:history="1">
        <w:r>
          <w:rPr>
            <w:rStyle w:val="Hyperlink"/>
            <w:color w:val="034990" w:themeColor="hyperlink" w:themeShade="BF"/>
            <w14:textFill>
              <w14:solidFill>
                <w14:schemeClr w14:val="hlink">
                  <w14:lumMod w14:val="75000"/>
                  <w14:lumMod w14:val="75000"/>
                </w14:schemeClr>
              </w14:solidFill>
            </w14:textFill>
          </w:rPr>
          <w:t>TSI-rendelet</w:t>
        </w:r>
      </w:hyperlink>
      <w:r>
        <w:t>, 16. cikk.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D46F4" w14:textId="77777777" w:rsidR="006B0CEF" w:rsidRPr="006B0CEF" w:rsidRDefault="006B0CEF" w:rsidP="006B0CEF">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C4A9" w14:textId="77777777" w:rsidR="006B0CEF" w:rsidRPr="006B0CEF" w:rsidRDefault="006B0CEF" w:rsidP="006B0CE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82CB" w14:textId="77777777" w:rsidR="006B0CEF" w:rsidRPr="006B0CEF" w:rsidRDefault="006B0CEF" w:rsidP="006B0CE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8C96" w14:textId="77777777" w:rsidR="00670CD2" w:rsidRPr="00E46BBA" w:rsidRDefault="00670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A8CD" w14:textId="77777777" w:rsidR="00670CD2" w:rsidRPr="00E46BBA" w:rsidRDefault="00670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DFFD" w14:textId="77777777" w:rsidR="00670CD2" w:rsidRPr="00E46BBA" w:rsidRDefault="00670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6AF"/>
    <w:multiLevelType w:val="multilevel"/>
    <w:tmpl w:val="7C9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4EC2"/>
    <w:multiLevelType w:val="multilevel"/>
    <w:tmpl w:val="3A5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4C61"/>
    <w:multiLevelType w:val="hybridMultilevel"/>
    <w:tmpl w:val="4DDE9E38"/>
    <w:lvl w:ilvl="0" w:tplc="4F1AE7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D30DB1"/>
    <w:multiLevelType w:val="multilevel"/>
    <w:tmpl w:val="F81CF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353DF"/>
    <w:multiLevelType w:val="hybridMultilevel"/>
    <w:tmpl w:val="C49C4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69593F"/>
    <w:multiLevelType w:val="multilevel"/>
    <w:tmpl w:val="417C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B7201"/>
    <w:multiLevelType w:val="multilevel"/>
    <w:tmpl w:val="9A702B88"/>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BC1721"/>
    <w:multiLevelType w:val="hybridMultilevel"/>
    <w:tmpl w:val="F59E3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EB26AA"/>
    <w:multiLevelType w:val="multilevel"/>
    <w:tmpl w:val="EFC88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E7455"/>
    <w:multiLevelType w:val="hybridMultilevel"/>
    <w:tmpl w:val="DB0E5668"/>
    <w:lvl w:ilvl="0" w:tplc="3C6A27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550DD1"/>
    <w:multiLevelType w:val="hybridMultilevel"/>
    <w:tmpl w:val="62E44A56"/>
    <w:lvl w:ilvl="0" w:tplc="A1D01FC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500F01"/>
    <w:multiLevelType w:val="hybridMultilevel"/>
    <w:tmpl w:val="93444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2730EE"/>
    <w:multiLevelType w:val="hybridMultilevel"/>
    <w:tmpl w:val="B3E6FBD8"/>
    <w:lvl w:ilvl="0" w:tplc="57689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AB340">
      <w:start w:val="1"/>
      <w:numFmt w:val="bullet"/>
      <w:lvlRestart w:val="0"/>
      <w:lvlText w:val="•"/>
      <w:lvlJc w:val="left"/>
      <w:pPr>
        <w:ind w:left="1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E2E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8E3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CD2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0676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22F0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EF76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A4A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AA358C"/>
    <w:multiLevelType w:val="multilevel"/>
    <w:tmpl w:val="E18E8C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B21B4"/>
    <w:multiLevelType w:val="multilevel"/>
    <w:tmpl w:val="6810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5159E"/>
    <w:multiLevelType w:val="hybridMultilevel"/>
    <w:tmpl w:val="D2A0C7B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4C5FDC"/>
    <w:multiLevelType w:val="multilevel"/>
    <w:tmpl w:val="94E45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C416B"/>
    <w:multiLevelType w:val="hybridMultilevel"/>
    <w:tmpl w:val="E6E46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D07AD9"/>
    <w:multiLevelType w:val="multilevel"/>
    <w:tmpl w:val="363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E5439"/>
    <w:multiLevelType w:val="hybridMultilevel"/>
    <w:tmpl w:val="BD8AD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673B34"/>
    <w:multiLevelType w:val="multilevel"/>
    <w:tmpl w:val="E76A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E4A60"/>
    <w:multiLevelType w:val="hybridMultilevel"/>
    <w:tmpl w:val="08CA7890"/>
    <w:lvl w:ilvl="0" w:tplc="9214A37E">
      <w:start w:val="1"/>
      <w:numFmt w:val="bullet"/>
      <w:lvlText w:val="•"/>
      <w:lvlJc w:val="left"/>
      <w:pPr>
        <w:tabs>
          <w:tab w:val="num" w:pos="720"/>
        </w:tabs>
        <w:ind w:left="720" w:hanging="360"/>
      </w:pPr>
      <w:rPr>
        <w:rFonts w:ascii="Times New Roman" w:hAnsi="Times New Roman" w:hint="default"/>
      </w:rPr>
    </w:lvl>
    <w:lvl w:ilvl="1" w:tplc="AA02B494" w:tentative="1">
      <w:start w:val="1"/>
      <w:numFmt w:val="bullet"/>
      <w:lvlText w:val="•"/>
      <w:lvlJc w:val="left"/>
      <w:pPr>
        <w:tabs>
          <w:tab w:val="num" w:pos="1440"/>
        </w:tabs>
        <w:ind w:left="1440" w:hanging="360"/>
      </w:pPr>
      <w:rPr>
        <w:rFonts w:ascii="Times New Roman" w:hAnsi="Times New Roman" w:hint="default"/>
      </w:rPr>
    </w:lvl>
    <w:lvl w:ilvl="2" w:tplc="26E22286" w:tentative="1">
      <w:start w:val="1"/>
      <w:numFmt w:val="bullet"/>
      <w:lvlText w:val="•"/>
      <w:lvlJc w:val="left"/>
      <w:pPr>
        <w:tabs>
          <w:tab w:val="num" w:pos="2160"/>
        </w:tabs>
        <w:ind w:left="2160" w:hanging="360"/>
      </w:pPr>
      <w:rPr>
        <w:rFonts w:ascii="Times New Roman" w:hAnsi="Times New Roman" w:hint="default"/>
      </w:rPr>
    </w:lvl>
    <w:lvl w:ilvl="3" w:tplc="B6E025A2" w:tentative="1">
      <w:start w:val="1"/>
      <w:numFmt w:val="bullet"/>
      <w:lvlText w:val="•"/>
      <w:lvlJc w:val="left"/>
      <w:pPr>
        <w:tabs>
          <w:tab w:val="num" w:pos="2880"/>
        </w:tabs>
        <w:ind w:left="2880" w:hanging="360"/>
      </w:pPr>
      <w:rPr>
        <w:rFonts w:ascii="Times New Roman" w:hAnsi="Times New Roman" w:hint="default"/>
      </w:rPr>
    </w:lvl>
    <w:lvl w:ilvl="4" w:tplc="455E722E" w:tentative="1">
      <w:start w:val="1"/>
      <w:numFmt w:val="bullet"/>
      <w:lvlText w:val="•"/>
      <w:lvlJc w:val="left"/>
      <w:pPr>
        <w:tabs>
          <w:tab w:val="num" w:pos="3600"/>
        </w:tabs>
        <w:ind w:left="3600" w:hanging="360"/>
      </w:pPr>
      <w:rPr>
        <w:rFonts w:ascii="Times New Roman" w:hAnsi="Times New Roman" w:hint="default"/>
      </w:rPr>
    </w:lvl>
    <w:lvl w:ilvl="5" w:tplc="D99CB98C" w:tentative="1">
      <w:start w:val="1"/>
      <w:numFmt w:val="bullet"/>
      <w:lvlText w:val="•"/>
      <w:lvlJc w:val="left"/>
      <w:pPr>
        <w:tabs>
          <w:tab w:val="num" w:pos="4320"/>
        </w:tabs>
        <w:ind w:left="4320" w:hanging="360"/>
      </w:pPr>
      <w:rPr>
        <w:rFonts w:ascii="Times New Roman" w:hAnsi="Times New Roman" w:hint="default"/>
      </w:rPr>
    </w:lvl>
    <w:lvl w:ilvl="6" w:tplc="A2308C54" w:tentative="1">
      <w:start w:val="1"/>
      <w:numFmt w:val="bullet"/>
      <w:lvlText w:val="•"/>
      <w:lvlJc w:val="left"/>
      <w:pPr>
        <w:tabs>
          <w:tab w:val="num" w:pos="5040"/>
        </w:tabs>
        <w:ind w:left="5040" w:hanging="360"/>
      </w:pPr>
      <w:rPr>
        <w:rFonts w:ascii="Times New Roman" w:hAnsi="Times New Roman" w:hint="default"/>
      </w:rPr>
    </w:lvl>
    <w:lvl w:ilvl="7" w:tplc="E0CEE996" w:tentative="1">
      <w:start w:val="1"/>
      <w:numFmt w:val="bullet"/>
      <w:lvlText w:val="•"/>
      <w:lvlJc w:val="left"/>
      <w:pPr>
        <w:tabs>
          <w:tab w:val="num" w:pos="5760"/>
        </w:tabs>
        <w:ind w:left="5760" w:hanging="360"/>
      </w:pPr>
      <w:rPr>
        <w:rFonts w:ascii="Times New Roman" w:hAnsi="Times New Roman" w:hint="default"/>
      </w:rPr>
    </w:lvl>
    <w:lvl w:ilvl="8" w:tplc="E5D8317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412B99"/>
    <w:multiLevelType w:val="hybridMultilevel"/>
    <w:tmpl w:val="78C6C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8B3E27"/>
    <w:multiLevelType w:val="hybridMultilevel"/>
    <w:tmpl w:val="DD20BCC6"/>
    <w:lvl w:ilvl="0" w:tplc="2EBC6D6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112F00"/>
    <w:multiLevelType w:val="multilevel"/>
    <w:tmpl w:val="BA887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4E0DEB"/>
    <w:multiLevelType w:val="hybridMultilevel"/>
    <w:tmpl w:val="BC30EDF0"/>
    <w:lvl w:ilvl="0" w:tplc="AA94975A">
      <w:start w:val="9"/>
      <w:numFmt w:val="bullet"/>
      <w:lvlText w:val="-"/>
      <w:lvlJc w:val="left"/>
      <w:pPr>
        <w:ind w:left="720" w:hanging="360"/>
      </w:pPr>
      <w:rPr>
        <w:rFonts w:ascii="EC Square Sans Pro" w:eastAsiaTheme="minorHAnsi" w:hAnsi="EC Square Sans Pr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010BB5"/>
    <w:multiLevelType w:val="hybridMultilevel"/>
    <w:tmpl w:val="96D260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E85327"/>
    <w:multiLevelType w:val="multilevel"/>
    <w:tmpl w:val="9CB0A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8307B"/>
    <w:multiLevelType w:val="hybridMultilevel"/>
    <w:tmpl w:val="5C2C9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28745E"/>
    <w:multiLevelType w:val="multilevel"/>
    <w:tmpl w:val="37DA0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F6F70"/>
    <w:multiLevelType w:val="hybridMultilevel"/>
    <w:tmpl w:val="BBAC6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00359B"/>
    <w:multiLevelType w:val="hybridMultilevel"/>
    <w:tmpl w:val="4D2E5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6D222D"/>
    <w:multiLevelType w:val="multilevel"/>
    <w:tmpl w:val="B768A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E41940"/>
    <w:multiLevelType w:val="hybridMultilevel"/>
    <w:tmpl w:val="2542E11A"/>
    <w:lvl w:ilvl="0" w:tplc="29A4CE18">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B1184D"/>
    <w:multiLevelType w:val="multilevel"/>
    <w:tmpl w:val="E7C29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B4CEA"/>
    <w:multiLevelType w:val="hybridMultilevel"/>
    <w:tmpl w:val="DA9A0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934955"/>
    <w:multiLevelType w:val="multilevel"/>
    <w:tmpl w:val="F0AEDA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9"/>
  </w:num>
  <w:num w:numId="4">
    <w:abstractNumId w:val="1"/>
  </w:num>
  <w:num w:numId="5">
    <w:abstractNumId w:val="5"/>
  </w:num>
  <w:num w:numId="6">
    <w:abstractNumId w:val="0"/>
  </w:num>
  <w:num w:numId="7">
    <w:abstractNumId w:val="21"/>
  </w:num>
  <w:num w:numId="8">
    <w:abstractNumId w:val="10"/>
  </w:num>
  <w:num w:numId="9">
    <w:abstractNumId w:val="2"/>
  </w:num>
  <w:num w:numId="10">
    <w:abstractNumId w:val="23"/>
  </w:num>
  <w:num w:numId="11">
    <w:abstractNumId w:val="33"/>
  </w:num>
  <w:num w:numId="12">
    <w:abstractNumId w:val="26"/>
  </w:num>
  <w:num w:numId="13">
    <w:abstractNumId w:val="7"/>
  </w:num>
  <w:num w:numId="14">
    <w:abstractNumId w:val="19"/>
  </w:num>
  <w:num w:numId="15">
    <w:abstractNumId w:val="11"/>
  </w:num>
  <w:num w:numId="16">
    <w:abstractNumId w:val="4"/>
  </w:num>
  <w:num w:numId="17">
    <w:abstractNumId w:val="6"/>
  </w:num>
  <w:num w:numId="18">
    <w:abstractNumId w:val="22"/>
  </w:num>
  <w:num w:numId="19">
    <w:abstractNumId w:val="17"/>
  </w:num>
  <w:num w:numId="20">
    <w:abstractNumId w:val="18"/>
  </w:num>
  <w:num w:numId="21">
    <w:abstractNumId w:val="25"/>
  </w:num>
  <w:num w:numId="22">
    <w:abstractNumId w:val="35"/>
  </w:num>
  <w:num w:numId="23">
    <w:abstractNumId w:val="28"/>
  </w:num>
  <w:num w:numId="24">
    <w:abstractNumId w:val="31"/>
  </w:num>
  <w:num w:numId="25">
    <w:abstractNumId w:val="30"/>
  </w:num>
  <w:num w:numId="26">
    <w:abstractNumId w:val="14"/>
  </w:num>
  <w:num w:numId="27">
    <w:abstractNumId w:val="20"/>
  </w:num>
  <w:num w:numId="28">
    <w:abstractNumId w:val="29"/>
  </w:num>
  <w:num w:numId="29">
    <w:abstractNumId w:val="24"/>
  </w:num>
  <w:num w:numId="30">
    <w:abstractNumId w:val="3"/>
  </w:num>
  <w:num w:numId="31">
    <w:abstractNumId w:val="27"/>
  </w:num>
  <w:num w:numId="32">
    <w:abstractNumId w:val="16"/>
  </w:num>
  <w:num w:numId="33">
    <w:abstractNumId w:val="34"/>
  </w:num>
  <w:num w:numId="34">
    <w:abstractNumId w:val="13"/>
  </w:num>
  <w:num w:numId="35">
    <w:abstractNumId w:val="32"/>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ED119B0-837E-41C3-BF07-B04EAA05ADAB"/>
    <w:docVar w:name="LW_COVERPAGE_TYPE" w:val="1"/>
    <w:docVar w:name="LW_CROSSREFERENCE" w:val="{SWD(2024) 17 final}"/>
    <w:docVar w:name="LW_DocType" w:val="NORMAL"/>
    <w:docVar w:name="LW_EMISSION" w:val="2024.1.29."/>
    <w:docVar w:name="LW_EMISSION_ISODATE" w:val="2024-01-29"/>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4) 4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chnikai Támogatási Eszköz_x000b_2021. évi és 2022. évi éves jelentés"/>
    <w:docVar w:name="LW_TYPE.DOC.CP" w:val="A BIZOTTSÁG JELENTÉSE AZ EURÓPAI PARLAMENTNEK ÉS A TANÁCSNAK"/>
    <w:docVar w:name="LwApiVersions" w:val="LW4CoDe 1.24.4.0; LW 9.0, Build 20240109"/>
    <w:docVar w:name="Stamp" w:val="\\dossiers.dgt.cec.eu.int\dossiers\REFORM\REFORM-2023-00077\REFORM-2023-00077-00-00-EN-EDT-00.202311271024329644499.DOCX"/>
  </w:docVars>
  <w:rsids>
    <w:rsidRoot w:val="00A0218A"/>
    <w:rsid w:val="000008D9"/>
    <w:rsid w:val="0000093E"/>
    <w:rsid w:val="00000B8E"/>
    <w:rsid w:val="00000EE3"/>
    <w:rsid w:val="00001747"/>
    <w:rsid w:val="000018DC"/>
    <w:rsid w:val="000020D2"/>
    <w:rsid w:val="000020DD"/>
    <w:rsid w:val="00002B98"/>
    <w:rsid w:val="00002FC1"/>
    <w:rsid w:val="000034BB"/>
    <w:rsid w:val="00003950"/>
    <w:rsid w:val="00004717"/>
    <w:rsid w:val="00004784"/>
    <w:rsid w:val="00004891"/>
    <w:rsid w:val="00004C82"/>
    <w:rsid w:val="000050A6"/>
    <w:rsid w:val="00005351"/>
    <w:rsid w:val="00005366"/>
    <w:rsid w:val="000053AA"/>
    <w:rsid w:val="000054DE"/>
    <w:rsid w:val="00006577"/>
    <w:rsid w:val="0000658F"/>
    <w:rsid w:val="00006891"/>
    <w:rsid w:val="00006951"/>
    <w:rsid w:val="00006A30"/>
    <w:rsid w:val="0000729E"/>
    <w:rsid w:val="00007A6E"/>
    <w:rsid w:val="00007AF4"/>
    <w:rsid w:val="000104A7"/>
    <w:rsid w:val="000105B7"/>
    <w:rsid w:val="00010753"/>
    <w:rsid w:val="00011503"/>
    <w:rsid w:val="000117C4"/>
    <w:rsid w:val="00011B85"/>
    <w:rsid w:val="00011BD0"/>
    <w:rsid w:val="00011C63"/>
    <w:rsid w:val="00011D4F"/>
    <w:rsid w:val="000122AD"/>
    <w:rsid w:val="00012301"/>
    <w:rsid w:val="00012827"/>
    <w:rsid w:val="0001293B"/>
    <w:rsid w:val="00013869"/>
    <w:rsid w:val="00015772"/>
    <w:rsid w:val="00015E2B"/>
    <w:rsid w:val="00015FC1"/>
    <w:rsid w:val="0001605B"/>
    <w:rsid w:val="00016102"/>
    <w:rsid w:val="00016368"/>
    <w:rsid w:val="000165EE"/>
    <w:rsid w:val="00016AC5"/>
    <w:rsid w:val="00017354"/>
    <w:rsid w:val="00017D1B"/>
    <w:rsid w:val="00017DEF"/>
    <w:rsid w:val="00017FD8"/>
    <w:rsid w:val="000203D7"/>
    <w:rsid w:val="000206E5"/>
    <w:rsid w:val="0002113C"/>
    <w:rsid w:val="000218F9"/>
    <w:rsid w:val="0002315A"/>
    <w:rsid w:val="000231A0"/>
    <w:rsid w:val="00023FEB"/>
    <w:rsid w:val="0002428A"/>
    <w:rsid w:val="00024597"/>
    <w:rsid w:val="000248B4"/>
    <w:rsid w:val="00024984"/>
    <w:rsid w:val="00024E46"/>
    <w:rsid w:val="00024FA9"/>
    <w:rsid w:val="00025051"/>
    <w:rsid w:val="000261DB"/>
    <w:rsid w:val="00026872"/>
    <w:rsid w:val="00026A98"/>
    <w:rsid w:val="00026B24"/>
    <w:rsid w:val="00026B99"/>
    <w:rsid w:val="00026CA4"/>
    <w:rsid w:val="00026EA5"/>
    <w:rsid w:val="00027135"/>
    <w:rsid w:val="00027AF5"/>
    <w:rsid w:val="0002E24D"/>
    <w:rsid w:val="000308B4"/>
    <w:rsid w:val="00030E7B"/>
    <w:rsid w:val="00031605"/>
    <w:rsid w:val="00031738"/>
    <w:rsid w:val="00032138"/>
    <w:rsid w:val="000323B2"/>
    <w:rsid w:val="0003331D"/>
    <w:rsid w:val="0003341B"/>
    <w:rsid w:val="00033C8D"/>
    <w:rsid w:val="00034545"/>
    <w:rsid w:val="00035CA2"/>
    <w:rsid w:val="0003605A"/>
    <w:rsid w:val="00036722"/>
    <w:rsid w:val="00037E2E"/>
    <w:rsid w:val="00037FF5"/>
    <w:rsid w:val="000406D0"/>
    <w:rsid w:val="00040B2C"/>
    <w:rsid w:val="00040ED0"/>
    <w:rsid w:val="00042059"/>
    <w:rsid w:val="00042207"/>
    <w:rsid w:val="000423D5"/>
    <w:rsid w:val="00042C03"/>
    <w:rsid w:val="00042C96"/>
    <w:rsid w:val="000438BC"/>
    <w:rsid w:val="00043986"/>
    <w:rsid w:val="0004403D"/>
    <w:rsid w:val="00044827"/>
    <w:rsid w:val="00044A0F"/>
    <w:rsid w:val="0004579C"/>
    <w:rsid w:val="00045AFD"/>
    <w:rsid w:val="00045CE9"/>
    <w:rsid w:val="00046136"/>
    <w:rsid w:val="000466D1"/>
    <w:rsid w:val="000469F2"/>
    <w:rsid w:val="00046B5B"/>
    <w:rsid w:val="00046E52"/>
    <w:rsid w:val="000470FD"/>
    <w:rsid w:val="00047967"/>
    <w:rsid w:val="00050A36"/>
    <w:rsid w:val="000511BF"/>
    <w:rsid w:val="00051878"/>
    <w:rsid w:val="00051976"/>
    <w:rsid w:val="00051998"/>
    <w:rsid w:val="00053640"/>
    <w:rsid w:val="0005365D"/>
    <w:rsid w:val="00053A50"/>
    <w:rsid w:val="00054595"/>
    <w:rsid w:val="0005483F"/>
    <w:rsid w:val="00055639"/>
    <w:rsid w:val="00055677"/>
    <w:rsid w:val="00055850"/>
    <w:rsid w:val="0005627E"/>
    <w:rsid w:val="00060733"/>
    <w:rsid w:val="00060AF3"/>
    <w:rsid w:val="00061089"/>
    <w:rsid w:val="00061195"/>
    <w:rsid w:val="00061253"/>
    <w:rsid w:val="00061673"/>
    <w:rsid w:val="00061814"/>
    <w:rsid w:val="000619DE"/>
    <w:rsid w:val="000620FC"/>
    <w:rsid w:val="00062321"/>
    <w:rsid w:val="0006278A"/>
    <w:rsid w:val="00062890"/>
    <w:rsid w:val="0006294D"/>
    <w:rsid w:val="0006340C"/>
    <w:rsid w:val="00063F36"/>
    <w:rsid w:val="00063FD9"/>
    <w:rsid w:val="00064156"/>
    <w:rsid w:val="000643C3"/>
    <w:rsid w:val="0006490B"/>
    <w:rsid w:val="0006560B"/>
    <w:rsid w:val="00065756"/>
    <w:rsid w:val="000657DC"/>
    <w:rsid w:val="00066202"/>
    <w:rsid w:val="000664A6"/>
    <w:rsid w:val="000669D4"/>
    <w:rsid w:val="00066C0F"/>
    <w:rsid w:val="00066D76"/>
    <w:rsid w:val="00066E90"/>
    <w:rsid w:val="00067692"/>
    <w:rsid w:val="000677C1"/>
    <w:rsid w:val="00067982"/>
    <w:rsid w:val="00067C79"/>
    <w:rsid w:val="00067E01"/>
    <w:rsid w:val="0007038E"/>
    <w:rsid w:val="000709A0"/>
    <w:rsid w:val="0007109F"/>
    <w:rsid w:val="00071BD4"/>
    <w:rsid w:val="00072169"/>
    <w:rsid w:val="00072388"/>
    <w:rsid w:val="00072E14"/>
    <w:rsid w:val="00072EB1"/>
    <w:rsid w:val="000734CC"/>
    <w:rsid w:val="00073935"/>
    <w:rsid w:val="000741F2"/>
    <w:rsid w:val="00074727"/>
    <w:rsid w:val="00074EDA"/>
    <w:rsid w:val="0007554D"/>
    <w:rsid w:val="000757A8"/>
    <w:rsid w:val="00075BFA"/>
    <w:rsid w:val="00075FF9"/>
    <w:rsid w:val="00076373"/>
    <w:rsid w:val="00076EF2"/>
    <w:rsid w:val="00077178"/>
    <w:rsid w:val="00077819"/>
    <w:rsid w:val="00080139"/>
    <w:rsid w:val="000801B1"/>
    <w:rsid w:val="0008090A"/>
    <w:rsid w:val="00080A53"/>
    <w:rsid w:val="00081257"/>
    <w:rsid w:val="00081F9E"/>
    <w:rsid w:val="0008284C"/>
    <w:rsid w:val="00082C2A"/>
    <w:rsid w:val="0008311D"/>
    <w:rsid w:val="00083F4A"/>
    <w:rsid w:val="00085193"/>
    <w:rsid w:val="000854FE"/>
    <w:rsid w:val="000864FF"/>
    <w:rsid w:val="000868FE"/>
    <w:rsid w:val="00086C91"/>
    <w:rsid w:val="00087362"/>
    <w:rsid w:val="00087436"/>
    <w:rsid w:val="000879C4"/>
    <w:rsid w:val="00087D3E"/>
    <w:rsid w:val="00090A67"/>
    <w:rsid w:val="00090ABC"/>
    <w:rsid w:val="00091323"/>
    <w:rsid w:val="000913E6"/>
    <w:rsid w:val="00091D97"/>
    <w:rsid w:val="00091FB8"/>
    <w:rsid w:val="00092BA9"/>
    <w:rsid w:val="00092D9A"/>
    <w:rsid w:val="000933A9"/>
    <w:rsid w:val="000939B1"/>
    <w:rsid w:val="0009429E"/>
    <w:rsid w:val="000947CE"/>
    <w:rsid w:val="00095133"/>
    <w:rsid w:val="00095461"/>
    <w:rsid w:val="00095D0A"/>
    <w:rsid w:val="00096BF2"/>
    <w:rsid w:val="00097132"/>
    <w:rsid w:val="000974C1"/>
    <w:rsid w:val="00097545"/>
    <w:rsid w:val="00097789"/>
    <w:rsid w:val="00097D38"/>
    <w:rsid w:val="000A0D03"/>
    <w:rsid w:val="000A0D2B"/>
    <w:rsid w:val="000A1165"/>
    <w:rsid w:val="000A1A19"/>
    <w:rsid w:val="000A2BB3"/>
    <w:rsid w:val="000A31F5"/>
    <w:rsid w:val="000A327F"/>
    <w:rsid w:val="000A3398"/>
    <w:rsid w:val="000A3407"/>
    <w:rsid w:val="000A3444"/>
    <w:rsid w:val="000A37E5"/>
    <w:rsid w:val="000A3ED8"/>
    <w:rsid w:val="000A4567"/>
    <w:rsid w:val="000A466A"/>
    <w:rsid w:val="000A6C06"/>
    <w:rsid w:val="000A6CE8"/>
    <w:rsid w:val="000A6F8C"/>
    <w:rsid w:val="000A7826"/>
    <w:rsid w:val="000A7CDA"/>
    <w:rsid w:val="000B02D7"/>
    <w:rsid w:val="000B13C6"/>
    <w:rsid w:val="000B14F8"/>
    <w:rsid w:val="000B1A09"/>
    <w:rsid w:val="000B2576"/>
    <w:rsid w:val="000B2A5B"/>
    <w:rsid w:val="000B3624"/>
    <w:rsid w:val="000B3629"/>
    <w:rsid w:val="000B36B6"/>
    <w:rsid w:val="000B3AFE"/>
    <w:rsid w:val="000B54C0"/>
    <w:rsid w:val="000B5511"/>
    <w:rsid w:val="000B5F33"/>
    <w:rsid w:val="000B6409"/>
    <w:rsid w:val="000B65A4"/>
    <w:rsid w:val="000B6F7A"/>
    <w:rsid w:val="000B7293"/>
    <w:rsid w:val="000C0345"/>
    <w:rsid w:val="000C039B"/>
    <w:rsid w:val="000C10F3"/>
    <w:rsid w:val="000C1334"/>
    <w:rsid w:val="000C17A4"/>
    <w:rsid w:val="000C1A90"/>
    <w:rsid w:val="000C1C49"/>
    <w:rsid w:val="000C23B1"/>
    <w:rsid w:val="000C2617"/>
    <w:rsid w:val="000C3725"/>
    <w:rsid w:val="000C3C94"/>
    <w:rsid w:val="000C3E71"/>
    <w:rsid w:val="000C428D"/>
    <w:rsid w:val="000C453E"/>
    <w:rsid w:val="000C4D68"/>
    <w:rsid w:val="000C567D"/>
    <w:rsid w:val="000C584B"/>
    <w:rsid w:val="000C597C"/>
    <w:rsid w:val="000C5A5E"/>
    <w:rsid w:val="000C6B3E"/>
    <w:rsid w:val="000C6EA0"/>
    <w:rsid w:val="000C7257"/>
    <w:rsid w:val="000C76EB"/>
    <w:rsid w:val="000D0BB3"/>
    <w:rsid w:val="000D0FD3"/>
    <w:rsid w:val="000D16AB"/>
    <w:rsid w:val="000D1DB8"/>
    <w:rsid w:val="000D222D"/>
    <w:rsid w:val="000D237D"/>
    <w:rsid w:val="000D26EB"/>
    <w:rsid w:val="000D284E"/>
    <w:rsid w:val="000D2EC4"/>
    <w:rsid w:val="000D2F4F"/>
    <w:rsid w:val="000D2F95"/>
    <w:rsid w:val="000D31AF"/>
    <w:rsid w:val="000D3D87"/>
    <w:rsid w:val="000D3E43"/>
    <w:rsid w:val="000D4605"/>
    <w:rsid w:val="000D49B9"/>
    <w:rsid w:val="000D5200"/>
    <w:rsid w:val="000D56DB"/>
    <w:rsid w:val="000D578E"/>
    <w:rsid w:val="000D5ABB"/>
    <w:rsid w:val="000D6AA4"/>
    <w:rsid w:val="000D6EBD"/>
    <w:rsid w:val="000D757A"/>
    <w:rsid w:val="000D763C"/>
    <w:rsid w:val="000D79A6"/>
    <w:rsid w:val="000D7C4A"/>
    <w:rsid w:val="000E00EB"/>
    <w:rsid w:val="000E05D4"/>
    <w:rsid w:val="000E07E8"/>
    <w:rsid w:val="000E0ABA"/>
    <w:rsid w:val="000E0BD0"/>
    <w:rsid w:val="000E13AC"/>
    <w:rsid w:val="000E15DF"/>
    <w:rsid w:val="000E1743"/>
    <w:rsid w:val="000E19B6"/>
    <w:rsid w:val="000E1DD3"/>
    <w:rsid w:val="000E2D4C"/>
    <w:rsid w:val="000E31AD"/>
    <w:rsid w:val="000E3508"/>
    <w:rsid w:val="000E451A"/>
    <w:rsid w:val="000E5123"/>
    <w:rsid w:val="000E5A3B"/>
    <w:rsid w:val="000E5FEC"/>
    <w:rsid w:val="000E6913"/>
    <w:rsid w:val="000E7023"/>
    <w:rsid w:val="000E7194"/>
    <w:rsid w:val="000F099E"/>
    <w:rsid w:val="000F0C33"/>
    <w:rsid w:val="000F0F3B"/>
    <w:rsid w:val="000F10A2"/>
    <w:rsid w:val="000F129F"/>
    <w:rsid w:val="000F1861"/>
    <w:rsid w:val="000F2129"/>
    <w:rsid w:val="000F2219"/>
    <w:rsid w:val="000F2FDF"/>
    <w:rsid w:val="000F30D3"/>
    <w:rsid w:val="000F32F2"/>
    <w:rsid w:val="000F3EBA"/>
    <w:rsid w:val="000F3F1D"/>
    <w:rsid w:val="000F441A"/>
    <w:rsid w:val="000F476E"/>
    <w:rsid w:val="000F4E8A"/>
    <w:rsid w:val="000F5115"/>
    <w:rsid w:val="000F57DF"/>
    <w:rsid w:val="000F67D2"/>
    <w:rsid w:val="000F6942"/>
    <w:rsid w:val="000F7050"/>
    <w:rsid w:val="000F7371"/>
    <w:rsid w:val="000F7467"/>
    <w:rsid w:val="000F7FDF"/>
    <w:rsid w:val="00101692"/>
    <w:rsid w:val="00101F76"/>
    <w:rsid w:val="00102633"/>
    <w:rsid w:val="001029B3"/>
    <w:rsid w:val="0010320F"/>
    <w:rsid w:val="00103994"/>
    <w:rsid w:val="00103E17"/>
    <w:rsid w:val="0010494E"/>
    <w:rsid w:val="001056F2"/>
    <w:rsid w:val="0010591B"/>
    <w:rsid w:val="0010616B"/>
    <w:rsid w:val="00106870"/>
    <w:rsid w:val="001072DF"/>
    <w:rsid w:val="00107791"/>
    <w:rsid w:val="00107ABF"/>
    <w:rsid w:val="00110808"/>
    <w:rsid w:val="00110D6A"/>
    <w:rsid w:val="00110DDB"/>
    <w:rsid w:val="00110EF4"/>
    <w:rsid w:val="00111026"/>
    <w:rsid w:val="001110BC"/>
    <w:rsid w:val="00111487"/>
    <w:rsid w:val="001118CC"/>
    <w:rsid w:val="00111E21"/>
    <w:rsid w:val="00112829"/>
    <w:rsid w:val="00112D2B"/>
    <w:rsid w:val="00112FD2"/>
    <w:rsid w:val="001131EC"/>
    <w:rsid w:val="00113584"/>
    <w:rsid w:val="00113D6D"/>
    <w:rsid w:val="0011413E"/>
    <w:rsid w:val="00114226"/>
    <w:rsid w:val="00114827"/>
    <w:rsid w:val="001150FF"/>
    <w:rsid w:val="00115D0B"/>
    <w:rsid w:val="00115E0A"/>
    <w:rsid w:val="00116041"/>
    <w:rsid w:val="00116A77"/>
    <w:rsid w:val="00116C33"/>
    <w:rsid w:val="001174C8"/>
    <w:rsid w:val="00117528"/>
    <w:rsid w:val="00117535"/>
    <w:rsid w:val="00117567"/>
    <w:rsid w:val="00117EAB"/>
    <w:rsid w:val="001202F8"/>
    <w:rsid w:val="00120366"/>
    <w:rsid w:val="00120A94"/>
    <w:rsid w:val="00120AA6"/>
    <w:rsid w:val="001214A9"/>
    <w:rsid w:val="001216F3"/>
    <w:rsid w:val="00122C7E"/>
    <w:rsid w:val="00122DE4"/>
    <w:rsid w:val="00122ECE"/>
    <w:rsid w:val="00123090"/>
    <w:rsid w:val="0012351F"/>
    <w:rsid w:val="001240AC"/>
    <w:rsid w:val="00124290"/>
    <w:rsid w:val="001242AD"/>
    <w:rsid w:val="00124328"/>
    <w:rsid w:val="001248D6"/>
    <w:rsid w:val="00124B79"/>
    <w:rsid w:val="0012534E"/>
    <w:rsid w:val="00125B52"/>
    <w:rsid w:val="00126386"/>
    <w:rsid w:val="00126954"/>
    <w:rsid w:val="001270F7"/>
    <w:rsid w:val="00127671"/>
    <w:rsid w:val="001279A3"/>
    <w:rsid w:val="001279BD"/>
    <w:rsid w:val="00127A28"/>
    <w:rsid w:val="00127AD7"/>
    <w:rsid w:val="00127F25"/>
    <w:rsid w:val="001305A1"/>
    <w:rsid w:val="00130F16"/>
    <w:rsid w:val="001315F3"/>
    <w:rsid w:val="00131640"/>
    <w:rsid w:val="00131995"/>
    <w:rsid w:val="00131C97"/>
    <w:rsid w:val="00131EB8"/>
    <w:rsid w:val="001322CA"/>
    <w:rsid w:val="00132314"/>
    <w:rsid w:val="001326E7"/>
    <w:rsid w:val="00132750"/>
    <w:rsid w:val="00132AE8"/>
    <w:rsid w:val="00133902"/>
    <w:rsid w:val="00133CE3"/>
    <w:rsid w:val="00133E4B"/>
    <w:rsid w:val="00133F57"/>
    <w:rsid w:val="001343EC"/>
    <w:rsid w:val="00134846"/>
    <w:rsid w:val="0013554C"/>
    <w:rsid w:val="00135565"/>
    <w:rsid w:val="001360F5"/>
    <w:rsid w:val="0013687F"/>
    <w:rsid w:val="00136C0D"/>
    <w:rsid w:val="00136DA6"/>
    <w:rsid w:val="00137A34"/>
    <w:rsid w:val="0014085C"/>
    <w:rsid w:val="00141131"/>
    <w:rsid w:val="001411F7"/>
    <w:rsid w:val="00141308"/>
    <w:rsid w:val="00142142"/>
    <w:rsid w:val="00142975"/>
    <w:rsid w:val="00142FD1"/>
    <w:rsid w:val="001431C3"/>
    <w:rsid w:val="0014340C"/>
    <w:rsid w:val="00143B3A"/>
    <w:rsid w:val="00144A19"/>
    <w:rsid w:val="00144DE2"/>
    <w:rsid w:val="00145201"/>
    <w:rsid w:val="0014537E"/>
    <w:rsid w:val="00145439"/>
    <w:rsid w:val="001466CC"/>
    <w:rsid w:val="00146703"/>
    <w:rsid w:val="0014679D"/>
    <w:rsid w:val="00147215"/>
    <w:rsid w:val="001477F9"/>
    <w:rsid w:val="00147D46"/>
    <w:rsid w:val="00150010"/>
    <w:rsid w:val="001500F8"/>
    <w:rsid w:val="00150368"/>
    <w:rsid w:val="0015048E"/>
    <w:rsid w:val="001507CC"/>
    <w:rsid w:val="0015095C"/>
    <w:rsid w:val="00151761"/>
    <w:rsid w:val="00151C68"/>
    <w:rsid w:val="00152A50"/>
    <w:rsid w:val="0015329B"/>
    <w:rsid w:val="001535B3"/>
    <w:rsid w:val="00153E35"/>
    <w:rsid w:val="0015464B"/>
    <w:rsid w:val="00154D02"/>
    <w:rsid w:val="0015573C"/>
    <w:rsid w:val="00155C08"/>
    <w:rsid w:val="00155D11"/>
    <w:rsid w:val="001567C3"/>
    <w:rsid w:val="001567FC"/>
    <w:rsid w:val="00156FC0"/>
    <w:rsid w:val="001575C3"/>
    <w:rsid w:val="00157D55"/>
    <w:rsid w:val="00157E11"/>
    <w:rsid w:val="0016151B"/>
    <w:rsid w:val="00162172"/>
    <w:rsid w:val="001627D7"/>
    <w:rsid w:val="001630DD"/>
    <w:rsid w:val="00163E40"/>
    <w:rsid w:val="00164551"/>
    <w:rsid w:val="001667AB"/>
    <w:rsid w:val="001669EA"/>
    <w:rsid w:val="00166F0D"/>
    <w:rsid w:val="001672A8"/>
    <w:rsid w:val="001704DD"/>
    <w:rsid w:val="001704E1"/>
    <w:rsid w:val="00170546"/>
    <w:rsid w:val="0017071B"/>
    <w:rsid w:val="001708EB"/>
    <w:rsid w:val="0017131F"/>
    <w:rsid w:val="0017145E"/>
    <w:rsid w:val="0017195F"/>
    <w:rsid w:val="00171BD6"/>
    <w:rsid w:val="00171DF4"/>
    <w:rsid w:val="0017215E"/>
    <w:rsid w:val="001724F1"/>
    <w:rsid w:val="00172589"/>
    <w:rsid w:val="00173094"/>
    <w:rsid w:val="0017375A"/>
    <w:rsid w:val="00173843"/>
    <w:rsid w:val="00173C04"/>
    <w:rsid w:val="00175476"/>
    <w:rsid w:val="00175935"/>
    <w:rsid w:val="00175AD5"/>
    <w:rsid w:val="00175E1C"/>
    <w:rsid w:val="0017605E"/>
    <w:rsid w:val="001764B6"/>
    <w:rsid w:val="00176665"/>
    <w:rsid w:val="00176747"/>
    <w:rsid w:val="00176795"/>
    <w:rsid w:val="001767B1"/>
    <w:rsid w:val="00176C41"/>
    <w:rsid w:val="00176E2C"/>
    <w:rsid w:val="00176FDF"/>
    <w:rsid w:val="00177624"/>
    <w:rsid w:val="0017766D"/>
    <w:rsid w:val="00177792"/>
    <w:rsid w:val="001809AA"/>
    <w:rsid w:val="00180DDC"/>
    <w:rsid w:val="001810B7"/>
    <w:rsid w:val="0018123B"/>
    <w:rsid w:val="0018136F"/>
    <w:rsid w:val="0018141D"/>
    <w:rsid w:val="001818CD"/>
    <w:rsid w:val="00182407"/>
    <w:rsid w:val="00182ED5"/>
    <w:rsid w:val="00182F24"/>
    <w:rsid w:val="0018395B"/>
    <w:rsid w:val="00183D05"/>
    <w:rsid w:val="00183F84"/>
    <w:rsid w:val="001841B8"/>
    <w:rsid w:val="00184208"/>
    <w:rsid w:val="001844F9"/>
    <w:rsid w:val="001845A1"/>
    <w:rsid w:val="001846B9"/>
    <w:rsid w:val="00184F81"/>
    <w:rsid w:val="00185012"/>
    <w:rsid w:val="00185286"/>
    <w:rsid w:val="00185356"/>
    <w:rsid w:val="0018565D"/>
    <w:rsid w:val="0018580E"/>
    <w:rsid w:val="00185C63"/>
    <w:rsid w:val="0018671E"/>
    <w:rsid w:val="001871E7"/>
    <w:rsid w:val="00187259"/>
    <w:rsid w:val="001878BF"/>
    <w:rsid w:val="001878FE"/>
    <w:rsid w:val="00187968"/>
    <w:rsid w:val="00187F57"/>
    <w:rsid w:val="00190ED8"/>
    <w:rsid w:val="001914E4"/>
    <w:rsid w:val="00191A30"/>
    <w:rsid w:val="001928F1"/>
    <w:rsid w:val="0019315B"/>
    <w:rsid w:val="0019425C"/>
    <w:rsid w:val="00194318"/>
    <w:rsid w:val="001944D8"/>
    <w:rsid w:val="00194509"/>
    <w:rsid w:val="00194516"/>
    <w:rsid w:val="00194F83"/>
    <w:rsid w:val="00195272"/>
    <w:rsid w:val="0019610D"/>
    <w:rsid w:val="00196280"/>
    <w:rsid w:val="00196A49"/>
    <w:rsid w:val="00196D12"/>
    <w:rsid w:val="00196E7B"/>
    <w:rsid w:val="00197376"/>
    <w:rsid w:val="001975F1"/>
    <w:rsid w:val="001A102E"/>
    <w:rsid w:val="001A12A7"/>
    <w:rsid w:val="001A1B04"/>
    <w:rsid w:val="001A1F63"/>
    <w:rsid w:val="001A27DB"/>
    <w:rsid w:val="001A2C14"/>
    <w:rsid w:val="001A2F9F"/>
    <w:rsid w:val="001A3334"/>
    <w:rsid w:val="001A3A78"/>
    <w:rsid w:val="001A3E00"/>
    <w:rsid w:val="001A43CE"/>
    <w:rsid w:val="001A4663"/>
    <w:rsid w:val="001A46DC"/>
    <w:rsid w:val="001A5376"/>
    <w:rsid w:val="001A57CB"/>
    <w:rsid w:val="001A5F02"/>
    <w:rsid w:val="001A6474"/>
    <w:rsid w:val="001A6969"/>
    <w:rsid w:val="001A757C"/>
    <w:rsid w:val="001A78EC"/>
    <w:rsid w:val="001A7B4D"/>
    <w:rsid w:val="001A7B5E"/>
    <w:rsid w:val="001A7E84"/>
    <w:rsid w:val="001B04E6"/>
    <w:rsid w:val="001B0BDB"/>
    <w:rsid w:val="001B0F4B"/>
    <w:rsid w:val="001B0F95"/>
    <w:rsid w:val="001B1320"/>
    <w:rsid w:val="001B186C"/>
    <w:rsid w:val="001B1E9D"/>
    <w:rsid w:val="001B202C"/>
    <w:rsid w:val="001B2325"/>
    <w:rsid w:val="001B23A0"/>
    <w:rsid w:val="001B2852"/>
    <w:rsid w:val="001B2936"/>
    <w:rsid w:val="001B2F18"/>
    <w:rsid w:val="001B40E7"/>
    <w:rsid w:val="001B4444"/>
    <w:rsid w:val="001B458B"/>
    <w:rsid w:val="001B4CD9"/>
    <w:rsid w:val="001B4D63"/>
    <w:rsid w:val="001B5C4F"/>
    <w:rsid w:val="001B6003"/>
    <w:rsid w:val="001B6895"/>
    <w:rsid w:val="001B6D16"/>
    <w:rsid w:val="001B6D27"/>
    <w:rsid w:val="001C0971"/>
    <w:rsid w:val="001C1A15"/>
    <w:rsid w:val="001C1A40"/>
    <w:rsid w:val="001C1B56"/>
    <w:rsid w:val="001C2000"/>
    <w:rsid w:val="001C2434"/>
    <w:rsid w:val="001C2E82"/>
    <w:rsid w:val="001C2E92"/>
    <w:rsid w:val="001C327C"/>
    <w:rsid w:val="001C381F"/>
    <w:rsid w:val="001C3C0F"/>
    <w:rsid w:val="001C3E06"/>
    <w:rsid w:val="001C453E"/>
    <w:rsid w:val="001C45B8"/>
    <w:rsid w:val="001C5528"/>
    <w:rsid w:val="001C5CBE"/>
    <w:rsid w:val="001C67B3"/>
    <w:rsid w:val="001C6935"/>
    <w:rsid w:val="001C6A8C"/>
    <w:rsid w:val="001C7020"/>
    <w:rsid w:val="001C7732"/>
    <w:rsid w:val="001D00C5"/>
    <w:rsid w:val="001D06C5"/>
    <w:rsid w:val="001D075C"/>
    <w:rsid w:val="001D0BAB"/>
    <w:rsid w:val="001D0EA0"/>
    <w:rsid w:val="001D153B"/>
    <w:rsid w:val="001D159A"/>
    <w:rsid w:val="001D16B8"/>
    <w:rsid w:val="001D1B19"/>
    <w:rsid w:val="001D1E6B"/>
    <w:rsid w:val="001D2CC1"/>
    <w:rsid w:val="001D4FB4"/>
    <w:rsid w:val="001D5F00"/>
    <w:rsid w:val="001D60A3"/>
    <w:rsid w:val="001D6732"/>
    <w:rsid w:val="001D797C"/>
    <w:rsid w:val="001D7E4C"/>
    <w:rsid w:val="001D7FF0"/>
    <w:rsid w:val="001E03FE"/>
    <w:rsid w:val="001E0973"/>
    <w:rsid w:val="001E1104"/>
    <w:rsid w:val="001E16A3"/>
    <w:rsid w:val="001E28DD"/>
    <w:rsid w:val="001E3197"/>
    <w:rsid w:val="001E31DE"/>
    <w:rsid w:val="001E33BF"/>
    <w:rsid w:val="001E3DE8"/>
    <w:rsid w:val="001E4F95"/>
    <w:rsid w:val="001E72A6"/>
    <w:rsid w:val="001E7304"/>
    <w:rsid w:val="001E7884"/>
    <w:rsid w:val="001E7B23"/>
    <w:rsid w:val="001E7FAA"/>
    <w:rsid w:val="001F0E93"/>
    <w:rsid w:val="001F0EC8"/>
    <w:rsid w:val="001F1045"/>
    <w:rsid w:val="001F1265"/>
    <w:rsid w:val="001F12AC"/>
    <w:rsid w:val="001F2C3B"/>
    <w:rsid w:val="001F359B"/>
    <w:rsid w:val="001F38E4"/>
    <w:rsid w:val="001F3B5A"/>
    <w:rsid w:val="001F3DDE"/>
    <w:rsid w:val="001F419E"/>
    <w:rsid w:val="001F41B3"/>
    <w:rsid w:val="001F42C9"/>
    <w:rsid w:val="001F46E9"/>
    <w:rsid w:val="001F4AE3"/>
    <w:rsid w:val="001F5737"/>
    <w:rsid w:val="001F573A"/>
    <w:rsid w:val="001F58C1"/>
    <w:rsid w:val="001F5B2E"/>
    <w:rsid w:val="001F5E56"/>
    <w:rsid w:val="001F5F55"/>
    <w:rsid w:val="001F646D"/>
    <w:rsid w:val="001F64BA"/>
    <w:rsid w:val="001F6781"/>
    <w:rsid w:val="001F6DE2"/>
    <w:rsid w:val="001F71EE"/>
    <w:rsid w:val="001F7CCD"/>
    <w:rsid w:val="00200332"/>
    <w:rsid w:val="00200A26"/>
    <w:rsid w:val="00200D3C"/>
    <w:rsid w:val="002015A0"/>
    <w:rsid w:val="00201997"/>
    <w:rsid w:val="002019BC"/>
    <w:rsid w:val="00201A0B"/>
    <w:rsid w:val="002024C5"/>
    <w:rsid w:val="00202837"/>
    <w:rsid w:val="00202D28"/>
    <w:rsid w:val="0020320C"/>
    <w:rsid w:val="00203217"/>
    <w:rsid w:val="00203735"/>
    <w:rsid w:val="00203AE7"/>
    <w:rsid w:val="00203C68"/>
    <w:rsid w:val="002042A3"/>
    <w:rsid w:val="002045EE"/>
    <w:rsid w:val="002049BD"/>
    <w:rsid w:val="00204F98"/>
    <w:rsid w:val="002051A3"/>
    <w:rsid w:val="00205BFF"/>
    <w:rsid w:val="00206F14"/>
    <w:rsid w:val="00207329"/>
    <w:rsid w:val="0021001E"/>
    <w:rsid w:val="0021073D"/>
    <w:rsid w:val="00210907"/>
    <w:rsid w:val="00210BC8"/>
    <w:rsid w:val="00211449"/>
    <w:rsid w:val="0021154F"/>
    <w:rsid w:val="00211FF4"/>
    <w:rsid w:val="002121E5"/>
    <w:rsid w:val="002129EE"/>
    <w:rsid w:val="0021308D"/>
    <w:rsid w:val="002134A1"/>
    <w:rsid w:val="00213FEF"/>
    <w:rsid w:val="00214178"/>
    <w:rsid w:val="0021425D"/>
    <w:rsid w:val="00214817"/>
    <w:rsid w:val="00214BCE"/>
    <w:rsid w:val="002151AF"/>
    <w:rsid w:val="002152AB"/>
    <w:rsid w:val="00215A4F"/>
    <w:rsid w:val="00216929"/>
    <w:rsid w:val="00216ED5"/>
    <w:rsid w:val="00217359"/>
    <w:rsid w:val="0021743F"/>
    <w:rsid w:val="002174DD"/>
    <w:rsid w:val="0021758D"/>
    <w:rsid w:val="002175E1"/>
    <w:rsid w:val="00217B9D"/>
    <w:rsid w:val="00217D62"/>
    <w:rsid w:val="00217F93"/>
    <w:rsid w:val="0022058B"/>
    <w:rsid w:val="002216D6"/>
    <w:rsid w:val="0022173B"/>
    <w:rsid w:val="0022238A"/>
    <w:rsid w:val="002226FB"/>
    <w:rsid w:val="00222B45"/>
    <w:rsid w:val="00222F4B"/>
    <w:rsid w:val="00222FC6"/>
    <w:rsid w:val="0022312B"/>
    <w:rsid w:val="00223606"/>
    <w:rsid w:val="0022392E"/>
    <w:rsid w:val="0022455D"/>
    <w:rsid w:val="00224A2B"/>
    <w:rsid w:val="00224F23"/>
    <w:rsid w:val="002251EC"/>
    <w:rsid w:val="00225436"/>
    <w:rsid w:val="002255C1"/>
    <w:rsid w:val="00225BED"/>
    <w:rsid w:val="00225F86"/>
    <w:rsid w:val="002260FC"/>
    <w:rsid w:val="00226557"/>
    <w:rsid w:val="00226C56"/>
    <w:rsid w:val="00227077"/>
    <w:rsid w:val="00227353"/>
    <w:rsid w:val="00227681"/>
    <w:rsid w:val="0022768D"/>
    <w:rsid w:val="00227A88"/>
    <w:rsid w:val="00227C75"/>
    <w:rsid w:val="00227D55"/>
    <w:rsid w:val="002302D7"/>
    <w:rsid w:val="00231A1D"/>
    <w:rsid w:val="00231AB7"/>
    <w:rsid w:val="00231B6D"/>
    <w:rsid w:val="00232850"/>
    <w:rsid w:val="00232935"/>
    <w:rsid w:val="00232A25"/>
    <w:rsid w:val="00232F9E"/>
    <w:rsid w:val="00233FF4"/>
    <w:rsid w:val="00234375"/>
    <w:rsid w:val="00234540"/>
    <w:rsid w:val="00234740"/>
    <w:rsid w:val="002351EF"/>
    <w:rsid w:val="002357CF"/>
    <w:rsid w:val="00236407"/>
    <w:rsid w:val="0023673C"/>
    <w:rsid w:val="002375FE"/>
    <w:rsid w:val="00237AEE"/>
    <w:rsid w:val="00237B6B"/>
    <w:rsid w:val="00237F2F"/>
    <w:rsid w:val="002407AC"/>
    <w:rsid w:val="00242545"/>
    <w:rsid w:val="002429D1"/>
    <w:rsid w:val="00243187"/>
    <w:rsid w:val="00243808"/>
    <w:rsid w:val="0024520B"/>
    <w:rsid w:val="002453DA"/>
    <w:rsid w:val="00245F9E"/>
    <w:rsid w:val="002461EE"/>
    <w:rsid w:val="00246E6E"/>
    <w:rsid w:val="00247470"/>
    <w:rsid w:val="00247C22"/>
    <w:rsid w:val="00247E0A"/>
    <w:rsid w:val="0025029E"/>
    <w:rsid w:val="00250A21"/>
    <w:rsid w:val="00250C5F"/>
    <w:rsid w:val="00250DA7"/>
    <w:rsid w:val="00251067"/>
    <w:rsid w:val="0025123F"/>
    <w:rsid w:val="00251555"/>
    <w:rsid w:val="00251F2A"/>
    <w:rsid w:val="002535C6"/>
    <w:rsid w:val="00253695"/>
    <w:rsid w:val="00253A50"/>
    <w:rsid w:val="00254658"/>
    <w:rsid w:val="002549C4"/>
    <w:rsid w:val="00254BAE"/>
    <w:rsid w:val="00254DB7"/>
    <w:rsid w:val="002553EC"/>
    <w:rsid w:val="00255836"/>
    <w:rsid w:val="002558A8"/>
    <w:rsid w:val="00255994"/>
    <w:rsid w:val="002562C9"/>
    <w:rsid w:val="00256A1B"/>
    <w:rsid w:val="00256EF0"/>
    <w:rsid w:val="00256F8B"/>
    <w:rsid w:val="002572A8"/>
    <w:rsid w:val="00257FF0"/>
    <w:rsid w:val="00260754"/>
    <w:rsid w:val="00260E98"/>
    <w:rsid w:val="002612D4"/>
    <w:rsid w:val="00261C7D"/>
    <w:rsid w:val="00261ED1"/>
    <w:rsid w:val="002623CE"/>
    <w:rsid w:val="002624C2"/>
    <w:rsid w:val="00262788"/>
    <w:rsid w:val="0026286B"/>
    <w:rsid w:val="002645B7"/>
    <w:rsid w:val="0026472F"/>
    <w:rsid w:val="00265059"/>
    <w:rsid w:val="00265340"/>
    <w:rsid w:val="002654CE"/>
    <w:rsid w:val="00265CE1"/>
    <w:rsid w:val="00266992"/>
    <w:rsid w:val="00266F0C"/>
    <w:rsid w:val="00266F84"/>
    <w:rsid w:val="00267287"/>
    <w:rsid w:val="00267867"/>
    <w:rsid w:val="00270154"/>
    <w:rsid w:val="002701B3"/>
    <w:rsid w:val="0027069B"/>
    <w:rsid w:val="00270C0A"/>
    <w:rsid w:val="00271789"/>
    <w:rsid w:val="00271AA7"/>
    <w:rsid w:val="00271B70"/>
    <w:rsid w:val="0027244E"/>
    <w:rsid w:val="002724C5"/>
    <w:rsid w:val="00272F1D"/>
    <w:rsid w:val="00273C6B"/>
    <w:rsid w:val="00274D05"/>
    <w:rsid w:val="00274D3C"/>
    <w:rsid w:val="00275085"/>
    <w:rsid w:val="00275125"/>
    <w:rsid w:val="0027530D"/>
    <w:rsid w:val="0027570D"/>
    <w:rsid w:val="002758DC"/>
    <w:rsid w:val="00275E84"/>
    <w:rsid w:val="002762C9"/>
    <w:rsid w:val="002763C7"/>
    <w:rsid w:val="00276C37"/>
    <w:rsid w:val="00276E7F"/>
    <w:rsid w:val="002772C7"/>
    <w:rsid w:val="002773FC"/>
    <w:rsid w:val="00277BCC"/>
    <w:rsid w:val="002800AE"/>
    <w:rsid w:val="00280E7C"/>
    <w:rsid w:val="00281D5E"/>
    <w:rsid w:val="00281E69"/>
    <w:rsid w:val="002821AD"/>
    <w:rsid w:val="0028267F"/>
    <w:rsid w:val="002827C4"/>
    <w:rsid w:val="00282A74"/>
    <w:rsid w:val="0028379B"/>
    <w:rsid w:val="002837A8"/>
    <w:rsid w:val="00284671"/>
    <w:rsid w:val="00284736"/>
    <w:rsid w:val="00284BBF"/>
    <w:rsid w:val="00284BC6"/>
    <w:rsid w:val="00285FF5"/>
    <w:rsid w:val="002865BD"/>
    <w:rsid w:val="002866FC"/>
    <w:rsid w:val="00286CB7"/>
    <w:rsid w:val="00286F5C"/>
    <w:rsid w:val="00287282"/>
    <w:rsid w:val="00290265"/>
    <w:rsid w:val="0029036A"/>
    <w:rsid w:val="00290EFE"/>
    <w:rsid w:val="0029102C"/>
    <w:rsid w:val="0029136B"/>
    <w:rsid w:val="00291EC1"/>
    <w:rsid w:val="00291F27"/>
    <w:rsid w:val="00292293"/>
    <w:rsid w:val="00292FE4"/>
    <w:rsid w:val="002930AD"/>
    <w:rsid w:val="002933AD"/>
    <w:rsid w:val="002939A8"/>
    <w:rsid w:val="00293D24"/>
    <w:rsid w:val="0029496D"/>
    <w:rsid w:val="00294FB3"/>
    <w:rsid w:val="002950F3"/>
    <w:rsid w:val="00295411"/>
    <w:rsid w:val="0029544B"/>
    <w:rsid w:val="00295AD4"/>
    <w:rsid w:val="00296236"/>
    <w:rsid w:val="00297334"/>
    <w:rsid w:val="00297941"/>
    <w:rsid w:val="00297991"/>
    <w:rsid w:val="00297A87"/>
    <w:rsid w:val="002A047A"/>
    <w:rsid w:val="002A048C"/>
    <w:rsid w:val="002A098A"/>
    <w:rsid w:val="002A0AA7"/>
    <w:rsid w:val="002A11AD"/>
    <w:rsid w:val="002A1481"/>
    <w:rsid w:val="002A182A"/>
    <w:rsid w:val="002A1B07"/>
    <w:rsid w:val="002A238C"/>
    <w:rsid w:val="002A2847"/>
    <w:rsid w:val="002A3322"/>
    <w:rsid w:val="002A36CE"/>
    <w:rsid w:val="002A4545"/>
    <w:rsid w:val="002A4A16"/>
    <w:rsid w:val="002A4DC1"/>
    <w:rsid w:val="002A5350"/>
    <w:rsid w:val="002A55A8"/>
    <w:rsid w:val="002A5A29"/>
    <w:rsid w:val="002A5CA7"/>
    <w:rsid w:val="002A5E44"/>
    <w:rsid w:val="002A5F33"/>
    <w:rsid w:val="002A6561"/>
    <w:rsid w:val="002A7117"/>
    <w:rsid w:val="002A7348"/>
    <w:rsid w:val="002A73AB"/>
    <w:rsid w:val="002A7C89"/>
    <w:rsid w:val="002A7FE5"/>
    <w:rsid w:val="002B01E9"/>
    <w:rsid w:val="002B0DB7"/>
    <w:rsid w:val="002B10C8"/>
    <w:rsid w:val="002B11C9"/>
    <w:rsid w:val="002B1285"/>
    <w:rsid w:val="002B12FB"/>
    <w:rsid w:val="002B1438"/>
    <w:rsid w:val="002B1EB3"/>
    <w:rsid w:val="002B22FA"/>
    <w:rsid w:val="002B24AA"/>
    <w:rsid w:val="002B2F85"/>
    <w:rsid w:val="002B2FB0"/>
    <w:rsid w:val="002B326C"/>
    <w:rsid w:val="002B3933"/>
    <w:rsid w:val="002B3EC6"/>
    <w:rsid w:val="002B41E4"/>
    <w:rsid w:val="002B41F0"/>
    <w:rsid w:val="002B4AF8"/>
    <w:rsid w:val="002B5741"/>
    <w:rsid w:val="002B5BF9"/>
    <w:rsid w:val="002B5EC2"/>
    <w:rsid w:val="002B5FF0"/>
    <w:rsid w:val="002B6EC9"/>
    <w:rsid w:val="002B7142"/>
    <w:rsid w:val="002B7DFA"/>
    <w:rsid w:val="002C010A"/>
    <w:rsid w:val="002C0348"/>
    <w:rsid w:val="002C03DF"/>
    <w:rsid w:val="002C0E3A"/>
    <w:rsid w:val="002C0E56"/>
    <w:rsid w:val="002C1C90"/>
    <w:rsid w:val="002C3003"/>
    <w:rsid w:val="002C37C6"/>
    <w:rsid w:val="002C40F5"/>
    <w:rsid w:val="002C4A5A"/>
    <w:rsid w:val="002C4B6C"/>
    <w:rsid w:val="002C4C72"/>
    <w:rsid w:val="002C4D7E"/>
    <w:rsid w:val="002C5525"/>
    <w:rsid w:val="002C564D"/>
    <w:rsid w:val="002C5764"/>
    <w:rsid w:val="002C5ABB"/>
    <w:rsid w:val="002C5E70"/>
    <w:rsid w:val="002C6D1A"/>
    <w:rsid w:val="002C701E"/>
    <w:rsid w:val="002C71F1"/>
    <w:rsid w:val="002C7486"/>
    <w:rsid w:val="002C75E3"/>
    <w:rsid w:val="002C763B"/>
    <w:rsid w:val="002C7747"/>
    <w:rsid w:val="002C7C3E"/>
    <w:rsid w:val="002D012A"/>
    <w:rsid w:val="002D0579"/>
    <w:rsid w:val="002D13B3"/>
    <w:rsid w:val="002D22E0"/>
    <w:rsid w:val="002D341E"/>
    <w:rsid w:val="002D370D"/>
    <w:rsid w:val="002D3CEB"/>
    <w:rsid w:val="002D3F4F"/>
    <w:rsid w:val="002D45A5"/>
    <w:rsid w:val="002D4FE8"/>
    <w:rsid w:val="002D5132"/>
    <w:rsid w:val="002D5504"/>
    <w:rsid w:val="002D58DA"/>
    <w:rsid w:val="002D5BFC"/>
    <w:rsid w:val="002D617E"/>
    <w:rsid w:val="002D61CE"/>
    <w:rsid w:val="002D623C"/>
    <w:rsid w:val="002D663C"/>
    <w:rsid w:val="002D66F3"/>
    <w:rsid w:val="002D709D"/>
    <w:rsid w:val="002D70F7"/>
    <w:rsid w:val="002D7C2F"/>
    <w:rsid w:val="002E0BF5"/>
    <w:rsid w:val="002E0C1B"/>
    <w:rsid w:val="002E11FA"/>
    <w:rsid w:val="002E131F"/>
    <w:rsid w:val="002E15AD"/>
    <w:rsid w:val="002E1BD2"/>
    <w:rsid w:val="002E262C"/>
    <w:rsid w:val="002E2C46"/>
    <w:rsid w:val="002E317E"/>
    <w:rsid w:val="002E35D6"/>
    <w:rsid w:val="002E38A7"/>
    <w:rsid w:val="002E404F"/>
    <w:rsid w:val="002E46D1"/>
    <w:rsid w:val="002E491B"/>
    <w:rsid w:val="002E4AAA"/>
    <w:rsid w:val="002E4BD9"/>
    <w:rsid w:val="002E549F"/>
    <w:rsid w:val="002E636F"/>
    <w:rsid w:val="002E6EF2"/>
    <w:rsid w:val="002E74A0"/>
    <w:rsid w:val="002E7E9E"/>
    <w:rsid w:val="002F0F3B"/>
    <w:rsid w:val="002F125C"/>
    <w:rsid w:val="002F1B84"/>
    <w:rsid w:val="002F1FAE"/>
    <w:rsid w:val="002F206D"/>
    <w:rsid w:val="002F20AA"/>
    <w:rsid w:val="002F229C"/>
    <w:rsid w:val="002F22DF"/>
    <w:rsid w:val="002F246F"/>
    <w:rsid w:val="002F25DD"/>
    <w:rsid w:val="002F27BC"/>
    <w:rsid w:val="002F2865"/>
    <w:rsid w:val="002F2900"/>
    <w:rsid w:val="002F2AE2"/>
    <w:rsid w:val="002F2DE4"/>
    <w:rsid w:val="002F319C"/>
    <w:rsid w:val="002F3CB5"/>
    <w:rsid w:val="002F4B78"/>
    <w:rsid w:val="002F4CC9"/>
    <w:rsid w:val="002F5385"/>
    <w:rsid w:val="002F5823"/>
    <w:rsid w:val="002F5AEB"/>
    <w:rsid w:val="002F5F3F"/>
    <w:rsid w:val="002F6510"/>
    <w:rsid w:val="002F6A5E"/>
    <w:rsid w:val="002F6E8E"/>
    <w:rsid w:val="002F6E9F"/>
    <w:rsid w:val="002F7193"/>
    <w:rsid w:val="002F7296"/>
    <w:rsid w:val="002F7709"/>
    <w:rsid w:val="002F77AF"/>
    <w:rsid w:val="0030058B"/>
    <w:rsid w:val="00300BEB"/>
    <w:rsid w:val="00300E42"/>
    <w:rsid w:val="00301224"/>
    <w:rsid w:val="00301963"/>
    <w:rsid w:val="00301C10"/>
    <w:rsid w:val="0030222A"/>
    <w:rsid w:val="00302450"/>
    <w:rsid w:val="00302A28"/>
    <w:rsid w:val="00302C39"/>
    <w:rsid w:val="00303346"/>
    <w:rsid w:val="00303C06"/>
    <w:rsid w:val="00303F99"/>
    <w:rsid w:val="00304156"/>
    <w:rsid w:val="00304711"/>
    <w:rsid w:val="00305304"/>
    <w:rsid w:val="00305CAA"/>
    <w:rsid w:val="00305F62"/>
    <w:rsid w:val="003060EA"/>
    <w:rsid w:val="003067DD"/>
    <w:rsid w:val="003067E6"/>
    <w:rsid w:val="00306878"/>
    <w:rsid w:val="00306C21"/>
    <w:rsid w:val="00306F06"/>
    <w:rsid w:val="00307584"/>
    <w:rsid w:val="003076F8"/>
    <w:rsid w:val="00307C22"/>
    <w:rsid w:val="00310C2F"/>
    <w:rsid w:val="00310D2A"/>
    <w:rsid w:val="00311005"/>
    <w:rsid w:val="003112CF"/>
    <w:rsid w:val="0031160F"/>
    <w:rsid w:val="003119BC"/>
    <w:rsid w:val="00311EE5"/>
    <w:rsid w:val="0031255F"/>
    <w:rsid w:val="003129C4"/>
    <w:rsid w:val="003138B9"/>
    <w:rsid w:val="003139FF"/>
    <w:rsid w:val="00313C2A"/>
    <w:rsid w:val="00313F0C"/>
    <w:rsid w:val="00314801"/>
    <w:rsid w:val="00314B27"/>
    <w:rsid w:val="00315655"/>
    <w:rsid w:val="00315D3F"/>
    <w:rsid w:val="003162D8"/>
    <w:rsid w:val="00316AF4"/>
    <w:rsid w:val="00316E39"/>
    <w:rsid w:val="003174A8"/>
    <w:rsid w:val="003174FB"/>
    <w:rsid w:val="00317689"/>
    <w:rsid w:val="0031782D"/>
    <w:rsid w:val="00317898"/>
    <w:rsid w:val="0032069E"/>
    <w:rsid w:val="00321231"/>
    <w:rsid w:val="003215C9"/>
    <w:rsid w:val="00321FCD"/>
    <w:rsid w:val="00321FD2"/>
    <w:rsid w:val="00322DBE"/>
    <w:rsid w:val="003231F2"/>
    <w:rsid w:val="00323388"/>
    <w:rsid w:val="003245EB"/>
    <w:rsid w:val="003252B1"/>
    <w:rsid w:val="00325779"/>
    <w:rsid w:val="0032665B"/>
    <w:rsid w:val="00326B19"/>
    <w:rsid w:val="00327112"/>
    <w:rsid w:val="00327325"/>
    <w:rsid w:val="00327498"/>
    <w:rsid w:val="00327B77"/>
    <w:rsid w:val="00327D5A"/>
    <w:rsid w:val="00330426"/>
    <w:rsid w:val="00330A04"/>
    <w:rsid w:val="00330F84"/>
    <w:rsid w:val="00331E45"/>
    <w:rsid w:val="003333D9"/>
    <w:rsid w:val="0033342D"/>
    <w:rsid w:val="00333A35"/>
    <w:rsid w:val="00333D93"/>
    <w:rsid w:val="00333E29"/>
    <w:rsid w:val="003344A3"/>
    <w:rsid w:val="00334650"/>
    <w:rsid w:val="00334782"/>
    <w:rsid w:val="00335A8F"/>
    <w:rsid w:val="00335C2C"/>
    <w:rsid w:val="00335DA2"/>
    <w:rsid w:val="00335EAC"/>
    <w:rsid w:val="00335F84"/>
    <w:rsid w:val="00335FA3"/>
    <w:rsid w:val="0033604E"/>
    <w:rsid w:val="00336773"/>
    <w:rsid w:val="00337A14"/>
    <w:rsid w:val="00337F8A"/>
    <w:rsid w:val="00340031"/>
    <w:rsid w:val="003400BB"/>
    <w:rsid w:val="003405EA"/>
    <w:rsid w:val="00340979"/>
    <w:rsid w:val="00341264"/>
    <w:rsid w:val="00341970"/>
    <w:rsid w:val="00341A3B"/>
    <w:rsid w:val="003421C3"/>
    <w:rsid w:val="003427C6"/>
    <w:rsid w:val="0034306D"/>
    <w:rsid w:val="003435E5"/>
    <w:rsid w:val="0034374C"/>
    <w:rsid w:val="00343D78"/>
    <w:rsid w:val="003446A3"/>
    <w:rsid w:val="00345173"/>
    <w:rsid w:val="00345190"/>
    <w:rsid w:val="00345BFD"/>
    <w:rsid w:val="00345C80"/>
    <w:rsid w:val="003462D5"/>
    <w:rsid w:val="003463D2"/>
    <w:rsid w:val="003465D6"/>
    <w:rsid w:val="00346623"/>
    <w:rsid w:val="0034690E"/>
    <w:rsid w:val="00346D83"/>
    <w:rsid w:val="003470E1"/>
    <w:rsid w:val="0034764A"/>
    <w:rsid w:val="00347B43"/>
    <w:rsid w:val="0035004D"/>
    <w:rsid w:val="00350136"/>
    <w:rsid w:val="003529B4"/>
    <w:rsid w:val="00352A6C"/>
    <w:rsid w:val="00352B67"/>
    <w:rsid w:val="003534C7"/>
    <w:rsid w:val="00353BCD"/>
    <w:rsid w:val="00353CC0"/>
    <w:rsid w:val="00355356"/>
    <w:rsid w:val="00355598"/>
    <w:rsid w:val="003555D2"/>
    <w:rsid w:val="00355A0E"/>
    <w:rsid w:val="00355DFB"/>
    <w:rsid w:val="00356AF0"/>
    <w:rsid w:val="00356F26"/>
    <w:rsid w:val="0035774B"/>
    <w:rsid w:val="00357854"/>
    <w:rsid w:val="00357BEF"/>
    <w:rsid w:val="00357CB3"/>
    <w:rsid w:val="0036096C"/>
    <w:rsid w:val="00360EC4"/>
    <w:rsid w:val="00360FF0"/>
    <w:rsid w:val="00362343"/>
    <w:rsid w:val="0036243A"/>
    <w:rsid w:val="00362983"/>
    <w:rsid w:val="00362E1C"/>
    <w:rsid w:val="0036378D"/>
    <w:rsid w:val="003637C9"/>
    <w:rsid w:val="00364B1F"/>
    <w:rsid w:val="00364C6F"/>
    <w:rsid w:val="00364E21"/>
    <w:rsid w:val="00364E41"/>
    <w:rsid w:val="00365AEA"/>
    <w:rsid w:val="003662B1"/>
    <w:rsid w:val="003665FA"/>
    <w:rsid w:val="003666BA"/>
    <w:rsid w:val="00366735"/>
    <w:rsid w:val="00367125"/>
    <w:rsid w:val="003671B1"/>
    <w:rsid w:val="00367599"/>
    <w:rsid w:val="00367C61"/>
    <w:rsid w:val="00367DF2"/>
    <w:rsid w:val="00367FC6"/>
    <w:rsid w:val="0037062D"/>
    <w:rsid w:val="00370B5C"/>
    <w:rsid w:val="00370BCF"/>
    <w:rsid w:val="0037154B"/>
    <w:rsid w:val="00371667"/>
    <w:rsid w:val="003716D8"/>
    <w:rsid w:val="00371D29"/>
    <w:rsid w:val="00371D8F"/>
    <w:rsid w:val="00373031"/>
    <w:rsid w:val="003736BE"/>
    <w:rsid w:val="00373711"/>
    <w:rsid w:val="003739F1"/>
    <w:rsid w:val="003742D4"/>
    <w:rsid w:val="0037434D"/>
    <w:rsid w:val="003747D0"/>
    <w:rsid w:val="00374C94"/>
    <w:rsid w:val="00374E33"/>
    <w:rsid w:val="00374F31"/>
    <w:rsid w:val="003753DD"/>
    <w:rsid w:val="00375824"/>
    <w:rsid w:val="00375CCC"/>
    <w:rsid w:val="003762E1"/>
    <w:rsid w:val="003769F2"/>
    <w:rsid w:val="00376BBF"/>
    <w:rsid w:val="00377FAB"/>
    <w:rsid w:val="00380207"/>
    <w:rsid w:val="0038022E"/>
    <w:rsid w:val="00381F80"/>
    <w:rsid w:val="00382610"/>
    <w:rsid w:val="00382834"/>
    <w:rsid w:val="00382E4D"/>
    <w:rsid w:val="0038319D"/>
    <w:rsid w:val="00383FA3"/>
    <w:rsid w:val="00384447"/>
    <w:rsid w:val="00384780"/>
    <w:rsid w:val="003849C1"/>
    <w:rsid w:val="00385189"/>
    <w:rsid w:val="003852EF"/>
    <w:rsid w:val="00385F3A"/>
    <w:rsid w:val="003865FD"/>
    <w:rsid w:val="00386F81"/>
    <w:rsid w:val="00387574"/>
    <w:rsid w:val="00387A9C"/>
    <w:rsid w:val="00387C50"/>
    <w:rsid w:val="00387DA9"/>
    <w:rsid w:val="00390028"/>
    <w:rsid w:val="003901EE"/>
    <w:rsid w:val="003909B7"/>
    <w:rsid w:val="00390E9D"/>
    <w:rsid w:val="003912FD"/>
    <w:rsid w:val="00391464"/>
    <w:rsid w:val="00391A92"/>
    <w:rsid w:val="00391BA0"/>
    <w:rsid w:val="00391F64"/>
    <w:rsid w:val="00392626"/>
    <w:rsid w:val="00392ACE"/>
    <w:rsid w:val="00392D75"/>
    <w:rsid w:val="0039339C"/>
    <w:rsid w:val="00393567"/>
    <w:rsid w:val="00394A41"/>
    <w:rsid w:val="00394DEE"/>
    <w:rsid w:val="00394F43"/>
    <w:rsid w:val="003950FE"/>
    <w:rsid w:val="0039554B"/>
    <w:rsid w:val="00396746"/>
    <w:rsid w:val="0039691F"/>
    <w:rsid w:val="00396A97"/>
    <w:rsid w:val="00396FE1"/>
    <w:rsid w:val="00397184"/>
    <w:rsid w:val="003975D9"/>
    <w:rsid w:val="003977BF"/>
    <w:rsid w:val="00397996"/>
    <w:rsid w:val="003A0C48"/>
    <w:rsid w:val="003A19BF"/>
    <w:rsid w:val="003A1AFB"/>
    <w:rsid w:val="003A1CB5"/>
    <w:rsid w:val="003A1DD9"/>
    <w:rsid w:val="003A2078"/>
    <w:rsid w:val="003A2BC0"/>
    <w:rsid w:val="003A348A"/>
    <w:rsid w:val="003A3539"/>
    <w:rsid w:val="003A3BFD"/>
    <w:rsid w:val="003A40CC"/>
    <w:rsid w:val="003A42B7"/>
    <w:rsid w:val="003A48F6"/>
    <w:rsid w:val="003A56DD"/>
    <w:rsid w:val="003A5985"/>
    <w:rsid w:val="003A5997"/>
    <w:rsid w:val="003A5AC3"/>
    <w:rsid w:val="003A6778"/>
    <w:rsid w:val="003A6CD6"/>
    <w:rsid w:val="003A6DCD"/>
    <w:rsid w:val="003B0056"/>
    <w:rsid w:val="003B016F"/>
    <w:rsid w:val="003B0256"/>
    <w:rsid w:val="003B189D"/>
    <w:rsid w:val="003B1B11"/>
    <w:rsid w:val="003B1F35"/>
    <w:rsid w:val="003B248A"/>
    <w:rsid w:val="003B29C0"/>
    <w:rsid w:val="003B29E9"/>
    <w:rsid w:val="003B2E5D"/>
    <w:rsid w:val="003B3163"/>
    <w:rsid w:val="003B3A91"/>
    <w:rsid w:val="003B429C"/>
    <w:rsid w:val="003B485F"/>
    <w:rsid w:val="003B4879"/>
    <w:rsid w:val="003B4E62"/>
    <w:rsid w:val="003B63B4"/>
    <w:rsid w:val="003B63F3"/>
    <w:rsid w:val="003B6A65"/>
    <w:rsid w:val="003B6B91"/>
    <w:rsid w:val="003B6FAA"/>
    <w:rsid w:val="003B70CE"/>
    <w:rsid w:val="003B718E"/>
    <w:rsid w:val="003B78D6"/>
    <w:rsid w:val="003C0040"/>
    <w:rsid w:val="003C0FF6"/>
    <w:rsid w:val="003C1AF1"/>
    <w:rsid w:val="003C1D63"/>
    <w:rsid w:val="003C20B9"/>
    <w:rsid w:val="003C30C3"/>
    <w:rsid w:val="003C3578"/>
    <w:rsid w:val="003C37F8"/>
    <w:rsid w:val="003C3BD5"/>
    <w:rsid w:val="003C4BE2"/>
    <w:rsid w:val="003C50CE"/>
    <w:rsid w:val="003C5410"/>
    <w:rsid w:val="003C5532"/>
    <w:rsid w:val="003C5549"/>
    <w:rsid w:val="003C5B93"/>
    <w:rsid w:val="003C634A"/>
    <w:rsid w:val="003C64F2"/>
    <w:rsid w:val="003C6667"/>
    <w:rsid w:val="003C736C"/>
    <w:rsid w:val="003C7471"/>
    <w:rsid w:val="003D02FE"/>
    <w:rsid w:val="003D0A30"/>
    <w:rsid w:val="003D0FF2"/>
    <w:rsid w:val="003D1846"/>
    <w:rsid w:val="003D1B12"/>
    <w:rsid w:val="003D1FB9"/>
    <w:rsid w:val="003D25F1"/>
    <w:rsid w:val="003D27FF"/>
    <w:rsid w:val="003D2D2E"/>
    <w:rsid w:val="003D2D8C"/>
    <w:rsid w:val="003D3147"/>
    <w:rsid w:val="003D31A8"/>
    <w:rsid w:val="003D36C6"/>
    <w:rsid w:val="003D3EF7"/>
    <w:rsid w:val="003D4080"/>
    <w:rsid w:val="003D447C"/>
    <w:rsid w:val="003D503C"/>
    <w:rsid w:val="003D5141"/>
    <w:rsid w:val="003D5514"/>
    <w:rsid w:val="003D5B3D"/>
    <w:rsid w:val="003D76A1"/>
    <w:rsid w:val="003D77B7"/>
    <w:rsid w:val="003D79ED"/>
    <w:rsid w:val="003D7AF1"/>
    <w:rsid w:val="003D7C00"/>
    <w:rsid w:val="003D7D50"/>
    <w:rsid w:val="003DEE22"/>
    <w:rsid w:val="003E033E"/>
    <w:rsid w:val="003E09CB"/>
    <w:rsid w:val="003E0ACD"/>
    <w:rsid w:val="003E1279"/>
    <w:rsid w:val="003E13F9"/>
    <w:rsid w:val="003E17F9"/>
    <w:rsid w:val="003E2276"/>
    <w:rsid w:val="003E280C"/>
    <w:rsid w:val="003E2D23"/>
    <w:rsid w:val="003E350A"/>
    <w:rsid w:val="003E3C9C"/>
    <w:rsid w:val="003E3D88"/>
    <w:rsid w:val="003E4425"/>
    <w:rsid w:val="003E4485"/>
    <w:rsid w:val="003E47CC"/>
    <w:rsid w:val="003E4FC8"/>
    <w:rsid w:val="003E545D"/>
    <w:rsid w:val="003E5817"/>
    <w:rsid w:val="003E59FD"/>
    <w:rsid w:val="003E6567"/>
    <w:rsid w:val="003E7943"/>
    <w:rsid w:val="003E7E3D"/>
    <w:rsid w:val="003E7F9E"/>
    <w:rsid w:val="003F09AD"/>
    <w:rsid w:val="003F0B94"/>
    <w:rsid w:val="003F1644"/>
    <w:rsid w:val="003F19E2"/>
    <w:rsid w:val="003F1A14"/>
    <w:rsid w:val="003F1D60"/>
    <w:rsid w:val="003F1E8C"/>
    <w:rsid w:val="003F2266"/>
    <w:rsid w:val="003F24D9"/>
    <w:rsid w:val="003F2647"/>
    <w:rsid w:val="003F27A5"/>
    <w:rsid w:val="003F2B30"/>
    <w:rsid w:val="003F32F0"/>
    <w:rsid w:val="003F36AF"/>
    <w:rsid w:val="003F3909"/>
    <w:rsid w:val="003F3AC7"/>
    <w:rsid w:val="003F3B87"/>
    <w:rsid w:val="003F3F13"/>
    <w:rsid w:val="003F41E6"/>
    <w:rsid w:val="003F44B9"/>
    <w:rsid w:val="003F4AB1"/>
    <w:rsid w:val="003F4EC1"/>
    <w:rsid w:val="003F53E1"/>
    <w:rsid w:val="003F7169"/>
    <w:rsid w:val="003F7235"/>
    <w:rsid w:val="003F7969"/>
    <w:rsid w:val="003F7A8D"/>
    <w:rsid w:val="00400717"/>
    <w:rsid w:val="00401241"/>
    <w:rsid w:val="004014BC"/>
    <w:rsid w:val="00401677"/>
    <w:rsid w:val="004018B9"/>
    <w:rsid w:val="00401C91"/>
    <w:rsid w:val="00402718"/>
    <w:rsid w:val="00402DA9"/>
    <w:rsid w:val="004041BA"/>
    <w:rsid w:val="004042CB"/>
    <w:rsid w:val="0040493F"/>
    <w:rsid w:val="00404E2D"/>
    <w:rsid w:val="0040525E"/>
    <w:rsid w:val="00405767"/>
    <w:rsid w:val="004059EB"/>
    <w:rsid w:val="00405C38"/>
    <w:rsid w:val="00405DFA"/>
    <w:rsid w:val="004062A6"/>
    <w:rsid w:val="004065BB"/>
    <w:rsid w:val="00406ABA"/>
    <w:rsid w:val="00406AF3"/>
    <w:rsid w:val="00407087"/>
    <w:rsid w:val="00407508"/>
    <w:rsid w:val="004079F0"/>
    <w:rsid w:val="004107E0"/>
    <w:rsid w:val="00410BDB"/>
    <w:rsid w:val="0041119D"/>
    <w:rsid w:val="004113C6"/>
    <w:rsid w:val="00411991"/>
    <w:rsid w:val="00411D18"/>
    <w:rsid w:val="00411EF2"/>
    <w:rsid w:val="0041268A"/>
    <w:rsid w:val="004131B9"/>
    <w:rsid w:val="004136FB"/>
    <w:rsid w:val="004137DD"/>
    <w:rsid w:val="00413AFA"/>
    <w:rsid w:val="004149C0"/>
    <w:rsid w:val="00415BB2"/>
    <w:rsid w:val="00415E15"/>
    <w:rsid w:val="00416027"/>
    <w:rsid w:val="004160FB"/>
    <w:rsid w:val="00416255"/>
    <w:rsid w:val="004169E1"/>
    <w:rsid w:val="00416FDE"/>
    <w:rsid w:val="00420217"/>
    <w:rsid w:val="0042029B"/>
    <w:rsid w:val="004204FC"/>
    <w:rsid w:val="00420544"/>
    <w:rsid w:val="00420DB0"/>
    <w:rsid w:val="00421457"/>
    <w:rsid w:val="00421DF0"/>
    <w:rsid w:val="00422C52"/>
    <w:rsid w:val="00423005"/>
    <w:rsid w:val="0042319D"/>
    <w:rsid w:val="00423273"/>
    <w:rsid w:val="0042345A"/>
    <w:rsid w:val="004236BC"/>
    <w:rsid w:val="0042379C"/>
    <w:rsid w:val="00424DEA"/>
    <w:rsid w:val="0042563B"/>
    <w:rsid w:val="00425F26"/>
    <w:rsid w:val="004261A8"/>
    <w:rsid w:val="004263BE"/>
    <w:rsid w:val="0042694C"/>
    <w:rsid w:val="004274A1"/>
    <w:rsid w:val="00427510"/>
    <w:rsid w:val="004279CC"/>
    <w:rsid w:val="004301BC"/>
    <w:rsid w:val="00430681"/>
    <w:rsid w:val="004313F7"/>
    <w:rsid w:val="004329EA"/>
    <w:rsid w:val="00432AB4"/>
    <w:rsid w:val="00432EFE"/>
    <w:rsid w:val="00432F93"/>
    <w:rsid w:val="004331C2"/>
    <w:rsid w:val="0043406B"/>
    <w:rsid w:val="004349B2"/>
    <w:rsid w:val="00434C9D"/>
    <w:rsid w:val="00434D29"/>
    <w:rsid w:val="00434EA2"/>
    <w:rsid w:val="00435942"/>
    <w:rsid w:val="004359C2"/>
    <w:rsid w:val="00435DF4"/>
    <w:rsid w:val="00436330"/>
    <w:rsid w:val="00436643"/>
    <w:rsid w:val="00436A4D"/>
    <w:rsid w:val="00437758"/>
    <w:rsid w:val="00437B59"/>
    <w:rsid w:val="00440723"/>
    <w:rsid w:val="00440742"/>
    <w:rsid w:val="00440E34"/>
    <w:rsid w:val="00441B76"/>
    <w:rsid w:val="004421D6"/>
    <w:rsid w:val="004423E0"/>
    <w:rsid w:val="004426E2"/>
    <w:rsid w:val="00442A30"/>
    <w:rsid w:val="00442D66"/>
    <w:rsid w:val="00443096"/>
    <w:rsid w:val="004430AC"/>
    <w:rsid w:val="00443343"/>
    <w:rsid w:val="0044345B"/>
    <w:rsid w:val="00443B31"/>
    <w:rsid w:val="00443EAD"/>
    <w:rsid w:val="0044463B"/>
    <w:rsid w:val="00444D49"/>
    <w:rsid w:val="00444DF6"/>
    <w:rsid w:val="00446875"/>
    <w:rsid w:val="00446C3E"/>
    <w:rsid w:val="00446C92"/>
    <w:rsid w:val="00447407"/>
    <w:rsid w:val="00447664"/>
    <w:rsid w:val="0044778E"/>
    <w:rsid w:val="00447D5C"/>
    <w:rsid w:val="004502EA"/>
    <w:rsid w:val="0045134B"/>
    <w:rsid w:val="00451C85"/>
    <w:rsid w:val="00451CC0"/>
    <w:rsid w:val="00451DED"/>
    <w:rsid w:val="00451FF3"/>
    <w:rsid w:val="00452088"/>
    <w:rsid w:val="0045240D"/>
    <w:rsid w:val="00452882"/>
    <w:rsid w:val="0045295B"/>
    <w:rsid w:val="004543AE"/>
    <w:rsid w:val="0045449A"/>
    <w:rsid w:val="00454976"/>
    <w:rsid w:val="00454E4B"/>
    <w:rsid w:val="004561EE"/>
    <w:rsid w:val="00456287"/>
    <w:rsid w:val="00456508"/>
    <w:rsid w:val="00456B92"/>
    <w:rsid w:val="00457088"/>
    <w:rsid w:val="00457661"/>
    <w:rsid w:val="0045775B"/>
    <w:rsid w:val="00457F7E"/>
    <w:rsid w:val="00460010"/>
    <w:rsid w:val="00460604"/>
    <w:rsid w:val="004608FD"/>
    <w:rsid w:val="00460A05"/>
    <w:rsid w:val="00460D09"/>
    <w:rsid w:val="00460FD3"/>
    <w:rsid w:val="00461881"/>
    <w:rsid w:val="00461C75"/>
    <w:rsid w:val="00461E6C"/>
    <w:rsid w:val="004624AF"/>
    <w:rsid w:val="00462991"/>
    <w:rsid w:val="00462EE4"/>
    <w:rsid w:val="004637A9"/>
    <w:rsid w:val="00463E60"/>
    <w:rsid w:val="004646CE"/>
    <w:rsid w:val="00464B7F"/>
    <w:rsid w:val="00464CB6"/>
    <w:rsid w:val="00465295"/>
    <w:rsid w:val="0046549F"/>
    <w:rsid w:val="0046582B"/>
    <w:rsid w:val="00465D25"/>
    <w:rsid w:val="00465EFA"/>
    <w:rsid w:val="004662FD"/>
    <w:rsid w:val="00466BDB"/>
    <w:rsid w:val="00467A31"/>
    <w:rsid w:val="00467E4B"/>
    <w:rsid w:val="00470704"/>
    <w:rsid w:val="00470831"/>
    <w:rsid w:val="00470A3C"/>
    <w:rsid w:val="00470AA6"/>
    <w:rsid w:val="00470C98"/>
    <w:rsid w:val="00471092"/>
    <w:rsid w:val="004713C2"/>
    <w:rsid w:val="004717EB"/>
    <w:rsid w:val="004719D0"/>
    <w:rsid w:val="004719E4"/>
    <w:rsid w:val="004724AB"/>
    <w:rsid w:val="0047266A"/>
    <w:rsid w:val="004727EE"/>
    <w:rsid w:val="00472CDB"/>
    <w:rsid w:val="00472F6E"/>
    <w:rsid w:val="004731AB"/>
    <w:rsid w:val="00473E30"/>
    <w:rsid w:val="00474020"/>
    <w:rsid w:val="00474139"/>
    <w:rsid w:val="00474ACA"/>
    <w:rsid w:val="0047588C"/>
    <w:rsid w:val="00475938"/>
    <w:rsid w:val="00475F8D"/>
    <w:rsid w:val="00476027"/>
    <w:rsid w:val="004768CB"/>
    <w:rsid w:val="004778FD"/>
    <w:rsid w:val="00480A5C"/>
    <w:rsid w:val="00480DED"/>
    <w:rsid w:val="004810C2"/>
    <w:rsid w:val="00481576"/>
    <w:rsid w:val="004818FD"/>
    <w:rsid w:val="00482397"/>
    <w:rsid w:val="004825E8"/>
    <w:rsid w:val="0048279E"/>
    <w:rsid w:val="00482D84"/>
    <w:rsid w:val="00482DF7"/>
    <w:rsid w:val="00483A70"/>
    <w:rsid w:val="00484627"/>
    <w:rsid w:val="004847A5"/>
    <w:rsid w:val="00485012"/>
    <w:rsid w:val="004850D5"/>
    <w:rsid w:val="0048534D"/>
    <w:rsid w:val="004854B4"/>
    <w:rsid w:val="00485A7C"/>
    <w:rsid w:val="0048622C"/>
    <w:rsid w:val="00486590"/>
    <w:rsid w:val="0048664C"/>
    <w:rsid w:val="00486E86"/>
    <w:rsid w:val="004872DE"/>
    <w:rsid w:val="00487E22"/>
    <w:rsid w:val="00490579"/>
    <w:rsid w:val="00490B23"/>
    <w:rsid w:val="00491072"/>
    <w:rsid w:val="00491080"/>
    <w:rsid w:val="004911A0"/>
    <w:rsid w:val="0049191B"/>
    <w:rsid w:val="00491A68"/>
    <w:rsid w:val="00491D69"/>
    <w:rsid w:val="00491F3D"/>
    <w:rsid w:val="004923D7"/>
    <w:rsid w:val="00492641"/>
    <w:rsid w:val="004927C2"/>
    <w:rsid w:val="00492DDC"/>
    <w:rsid w:val="00493098"/>
    <w:rsid w:val="00493379"/>
    <w:rsid w:val="0049344C"/>
    <w:rsid w:val="004936C9"/>
    <w:rsid w:val="00493949"/>
    <w:rsid w:val="0049408E"/>
    <w:rsid w:val="004942A2"/>
    <w:rsid w:val="00494ED1"/>
    <w:rsid w:val="004953F3"/>
    <w:rsid w:val="00495485"/>
    <w:rsid w:val="00495B18"/>
    <w:rsid w:val="00495F44"/>
    <w:rsid w:val="004967C1"/>
    <w:rsid w:val="00496D7C"/>
    <w:rsid w:val="004971A6"/>
    <w:rsid w:val="004A0087"/>
    <w:rsid w:val="004A12A8"/>
    <w:rsid w:val="004A18E2"/>
    <w:rsid w:val="004A1A97"/>
    <w:rsid w:val="004A30A3"/>
    <w:rsid w:val="004A3388"/>
    <w:rsid w:val="004A3602"/>
    <w:rsid w:val="004A39ED"/>
    <w:rsid w:val="004A4681"/>
    <w:rsid w:val="004A46B5"/>
    <w:rsid w:val="004A5024"/>
    <w:rsid w:val="004A504B"/>
    <w:rsid w:val="004A523A"/>
    <w:rsid w:val="004A6179"/>
    <w:rsid w:val="004A617B"/>
    <w:rsid w:val="004A6181"/>
    <w:rsid w:val="004A67AC"/>
    <w:rsid w:val="004A68A2"/>
    <w:rsid w:val="004A69A5"/>
    <w:rsid w:val="004A6E83"/>
    <w:rsid w:val="004A734E"/>
    <w:rsid w:val="004A7628"/>
    <w:rsid w:val="004B0048"/>
    <w:rsid w:val="004B0348"/>
    <w:rsid w:val="004B08A2"/>
    <w:rsid w:val="004B1211"/>
    <w:rsid w:val="004B1773"/>
    <w:rsid w:val="004B1AB7"/>
    <w:rsid w:val="004B2278"/>
    <w:rsid w:val="004B2417"/>
    <w:rsid w:val="004B25F4"/>
    <w:rsid w:val="004B2C14"/>
    <w:rsid w:val="004B2CB2"/>
    <w:rsid w:val="004B2E45"/>
    <w:rsid w:val="004B2E97"/>
    <w:rsid w:val="004B3511"/>
    <w:rsid w:val="004B37D9"/>
    <w:rsid w:val="004B3C14"/>
    <w:rsid w:val="004B3D1B"/>
    <w:rsid w:val="004B4170"/>
    <w:rsid w:val="004B4314"/>
    <w:rsid w:val="004B4E13"/>
    <w:rsid w:val="004B52F8"/>
    <w:rsid w:val="004B5732"/>
    <w:rsid w:val="004B6062"/>
    <w:rsid w:val="004B6285"/>
    <w:rsid w:val="004B6C89"/>
    <w:rsid w:val="004B6D02"/>
    <w:rsid w:val="004B6D43"/>
    <w:rsid w:val="004B6F21"/>
    <w:rsid w:val="004B74AF"/>
    <w:rsid w:val="004B78FD"/>
    <w:rsid w:val="004C037D"/>
    <w:rsid w:val="004C1270"/>
    <w:rsid w:val="004C13D2"/>
    <w:rsid w:val="004C2080"/>
    <w:rsid w:val="004C2252"/>
    <w:rsid w:val="004C2544"/>
    <w:rsid w:val="004C258F"/>
    <w:rsid w:val="004C25C6"/>
    <w:rsid w:val="004C3338"/>
    <w:rsid w:val="004C33EC"/>
    <w:rsid w:val="004C36E5"/>
    <w:rsid w:val="004C3BEF"/>
    <w:rsid w:val="004C3C04"/>
    <w:rsid w:val="004C3C1B"/>
    <w:rsid w:val="004C3C30"/>
    <w:rsid w:val="004C3DBC"/>
    <w:rsid w:val="004C40AC"/>
    <w:rsid w:val="004C433E"/>
    <w:rsid w:val="004C4650"/>
    <w:rsid w:val="004C47A9"/>
    <w:rsid w:val="004C4943"/>
    <w:rsid w:val="004C4AEE"/>
    <w:rsid w:val="004C53D3"/>
    <w:rsid w:val="004C540D"/>
    <w:rsid w:val="004C5769"/>
    <w:rsid w:val="004C6361"/>
    <w:rsid w:val="004C66E0"/>
    <w:rsid w:val="004C6872"/>
    <w:rsid w:val="004C6F96"/>
    <w:rsid w:val="004C720D"/>
    <w:rsid w:val="004C76D7"/>
    <w:rsid w:val="004C77EB"/>
    <w:rsid w:val="004CB7A0"/>
    <w:rsid w:val="004D0361"/>
    <w:rsid w:val="004D0445"/>
    <w:rsid w:val="004D0541"/>
    <w:rsid w:val="004D0681"/>
    <w:rsid w:val="004D0721"/>
    <w:rsid w:val="004D09A2"/>
    <w:rsid w:val="004D19A0"/>
    <w:rsid w:val="004D2836"/>
    <w:rsid w:val="004D3D5E"/>
    <w:rsid w:val="004D4236"/>
    <w:rsid w:val="004D4494"/>
    <w:rsid w:val="004D4A07"/>
    <w:rsid w:val="004D4B33"/>
    <w:rsid w:val="004D4D38"/>
    <w:rsid w:val="004D4DC9"/>
    <w:rsid w:val="004D5235"/>
    <w:rsid w:val="004D56EC"/>
    <w:rsid w:val="004D5834"/>
    <w:rsid w:val="004D597C"/>
    <w:rsid w:val="004D5C21"/>
    <w:rsid w:val="004D72F4"/>
    <w:rsid w:val="004D75E8"/>
    <w:rsid w:val="004D7BF4"/>
    <w:rsid w:val="004D7E3D"/>
    <w:rsid w:val="004E012E"/>
    <w:rsid w:val="004E0E35"/>
    <w:rsid w:val="004E168D"/>
    <w:rsid w:val="004E226D"/>
    <w:rsid w:val="004E29C8"/>
    <w:rsid w:val="004E2B7A"/>
    <w:rsid w:val="004E2BBF"/>
    <w:rsid w:val="004E2C2A"/>
    <w:rsid w:val="004E2C2B"/>
    <w:rsid w:val="004E3BE7"/>
    <w:rsid w:val="004E3FFB"/>
    <w:rsid w:val="004E44E5"/>
    <w:rsid w:val="004E53A0"/>
    <w:rsid w:val="004E563F"/>
    <w:rsid w:val="004E5848"/>
    <w:rsid w:val="004E584C"/>
    <w:rsid w:val="004E5B2B"/>
    <w:rsid w:val="004E657D"/>
    <w:rsid w:val="004E66EF"/>
    <w:rsid w:val="004E673F"/>
    <w:rsid w:val="004E70A5"/>
    <w:rsid w:val="004E716A"/>
    <w:rsid w:val="004E73A3"/>
    <w:rsid w:val="004E7B99"/>
    <w:rsid w:val="004F01F2"/>
    <w:rsid w:val="004F0466"/>
    <w:rsid w:val="004F0624"/>
    <w:rsid w:val="004F087E"/>
    <w:rsid w:val="004F088D"/>
    <w:rsid w:val="004F0BE8"/>
    <w:rsid w:val="004F1167"/>
    <w:rsid w:val="004F15D7"/>
    <w:rsid w:val="004F32A8"/>
    <w:rsid w:val="004F3838"/>
    <w:rsid w:val="004F4CF4"/>
    <w:rsid w:val="004F4E06"/>
    <w:rsid w:val="004F5356"/>
    <w:rsid w:val="004F57ED"/>
    <w:rsid w:val="004F5C13"/>
    <w:rsid w:val="004F6304"/>
    <w:rsid w:val="004F66BB"/>
    <w:rsid w:val="004F6C28"/>
    <w:rsid w:val="004F6DB9"/>
    <w:rsid w:val="004F7313"/>
    <w:rsid w:val="004F7315"/>
    <w:rsid w:val="004F7893"/>
    <w:rsid w:val="004F7AE2"/>
    <w:rsid w:val="004F7C0D"/>
    <w:rsid w:val="004F7DA2"/>
    <w:rsid w:val="005000AB"/>
    <w:rsid w:val="0050045D"/>
    <w:rsid w:val="00500567"/>
    <w:rsid w:val="0050088C"/>
    <w:rsid w:val="00501C23"/>
    <w:rsid w:val="00501D62"/>
    <w:rsid w:val="00501F15"/>
    <w:rsid w:val="005026A6"/>
    <w:rsid w:val="00502AAD"/>
    <w:rsid w:val="00502B47"/>
    <w:rsid w:val="0050306D"/>
    <w:rsid w:val="00503AB7"/>
    <w:rsid w:val="00504389"/>
    <w:rsid w:val="00504466"/>
    <w:rsid w:val="00504848"/>
    <w:rsid w:val="00504A7C"/>
    <w:rsid w:val="00504A90"/>
    <w:rsid w:val="00504B10"/>
    <w:rsid w:val="00504BBE"/>
    <w:rsid w:val="00504D78"/>
    <w:rsid w:val="0050503A"/>
    <w:rsid w:val="00505875"/>
    <w:rsid w:val="005060DA"/>
    <w:rsid w:val="0050669B"/>
    <w:rsid w:val="005069AE"/>
    <w:rsid w:val="00506C79"/>
    <w:rsid w:val="00506DC8"/>
    <w:rsid w:val="00506E5B"/>
    <w:rsid w:val="00507048"/>
    <w:rsid w:val="005108AF"/>
    <w:rsid w:val="005108F8"/>
    <w:rsid w:val="00510A58"/>
    <w:rsid w:val="00510DF8"/>
    <w:rsid w:val="00510FB9"/>
    <w:rsid w:val="0051105A"/>
    <w:rsid w:val="00511240"/>
    <w:rsid w:val="005114C2"/>
    <w:rsid w:val="005115FD"/>
    <w:rsid w:val="00511B27"/>
    <w:rsid w:val="00511D26"/>
    <w:rsid w:val="00511E96"/>
    <w:rsid w:val="005127D6"/>
    <w:rsid w:val="00512A71"/>
    <w:rsid w:val="00512FB4"/>
    <w:rsid w:val="005132AB"/>
    <w:rsid w:val="005135BD"/>
    <w:rsid w:val="00513685"/>
    <w:rsid w:val="0051407B"/>
    <w:rsid w:val="00514130"/>
    <w:rsid w:val="00514231"/>
    <w:rsid w:val="00514708"/>
    <w:rsid w:val="00514B93"/>
    <w:rsid w:val="00514E15"/>
    <w:rsid w:val="0051564B"/>
    <w:rsid w:val="00515A77"/>
    <w:rsid w:val="00515D35"/>
    <w:rsid w:val="0051617D"/>
    <w:rsid w:val="00516211"/>
    <w:rsid w:val="0051623B"/>
    <w:rsid w:val="0051768A"/>
    <w:rsid w:val="00517A64"/>
    <w:rsid w:val="005200FC"/>
    <w:rsid w:val="00520296"/>
    <w:rsid w:val="005202C1"/>
    <w:rsid w:val="00520A8D"/>
    <w:rsid w:val="0052107B"/>
    <w:rsid w:val="00521107"/>
    <w:rsid w:val="00521B3C"/>
    <w:rsid w:val="00522302"/>
    <w:rsid w:val="00522352"/>
    <w:rsid w:val="00522FE5"/>
    <w:rsid w:val="005234E7"/>
    <w:rsid w:val="005238C6"/>
    <w:rsid w:val="00523BBA"/>
    <w:rsid w:val="00524185"/>
    <w:rsid w:val="00525199"/>
    <w:rsid w:val="00525379"/>
    <w:rsid w:val="00526455"/>
    <w:rsid w:val="00526626"/>
    <w:rsid w:val="0052679B"/>
    <w:rsid w:val="00526E9C"/>
    <w:rsid w:val="0052752C"/>
    <w:rsid w:val="0052774F"/>
    <w:rsid w:val="005279D3"/>
    <w:rsid w:val="00531040"/>
    <w:rsid w:val="00531495"/>
    <w:rsid w:val="005318EC"/>
    <w:rsid w:val="00532A9F"/>
    <w:rsid w:val="00533972"/>
    <w:rsid w:val="00533F87"/>
    <w:rsid w:val="00534674"/>
    <w:rsid w:val="00534F37"/>
    <w:rsid w:val="00536067"/>
    <w:rsid w:val="005360E9"/>
    <w:rsid w:val="0053628B"/>
    <w:rsid w:val="00536672"/>
    <w:rsid w:val="00536707"/>
    <w:rsid w:val="005374C6"/>
    <w:rsid w:val="00537555"/>
    <w:rsid w:val="00537D71"/>
    <w:rsid w:val="00537E4A"/>
    <w:rsid w:val="0054126C"/>
    <w:rsid w:val="0054129A"/>
    <w:rsid w:val="00541486"/>
    <w:rsid w:val="00541B95"/>
    <w:rsid w:val="00542144"/>
    <w:rsid w:val="00542627"/>
    <w:rsid w:val="00542B76"/>
    <w:rsid w:val="00542C8A"/>
    <w:rsid w:val="00542DE9"/>
    <w:rsid w:val="00542FA9"/>
    <w:rsid w:val="005436B4"/>
    <w:rsid w:val="005437DE"/>
    <w:rsid w:val="00543AEB"/>
    <w:rsid w:val="00543DF0"/>
    <w:rsid w:val="00543E2E"/>
    <w:rsid w:val="005445E8"/>
    <w:rsid w:val="00544D93"/>
    <w:rsid w:val="00544F98"/>
    <w:rsid w:val="00545200"/>
    <w:rsid w:val="005452AB"/>
    <w:rsid w:val="00545538"/>
    <w:rsid w:val="00545B27"/>
    <w:rsid w:val="00545C69"/>
    <w:rsid w:val="00545D08"/>
    <w:rsid w:val="00545F04"/>
    <w:rsid w:val="005462FD"/>
    <w:rsid w:val="00546FB2"/>
    <w:rsid w:val="0055004B"/>
    <w:rsid w:val="0055037A"/>
    <w:rsid w:val="00550A38"/>
    <w:rsid w:val="00550B1D"/>
    <w:rsid w:val="00551180"/>
    <w:rsid w:val="00551474"/>
    <w:rsid w:val="005514EC"/>
    <w:rsid w:val="00551C15"/>
    <w:rsid w:val="00551C21"/>
    <w:rsid w:val="00551F34"/>
    <w:rsid w:val="0055208E"/>
    <w:rsid w:val="005521D8"/>
    <w:rsid w:val="00553283"/>
    <w:rsid w:val="00553705"/>
    <w:rsid w:val="0055391A"/>
    <w:rsid w:val="00553F3E"/>
    <w:rsid w:val="005540E6"/>
    <w:rsid w:val="005543AF"/>
    <w:rsid w:val="00554434"/>
    <w:rsid w:val="005549C0"/>
    <w:rsid w:val="00554E89"/>
    <w:rsid w:val="005550A4"/>
    <w:rsid w:val="005550CA"/>
    <w:rsid w:val="00555240"/>
    <w:rsid w:val="0055531D"/>
    <w:rsid w:val="00555391"/>
    <w:rsid w:val="005553C0"/>
    <w:rsid w:val="005553C9"/>
    <w:rsid w:val="005555F7"/>
    <w:rsid w:val="00555AFF"/>
    <w:rsid w:val="0055650E"/>
    <w:rsid w:val="00556A21"/>
    <w:rsid w:val="005608EB"/>
    <w:rsid w:val="0056091E"/>
    <w:rsid w:val="00560A45"/>
    <w:rsid w:val="00560C30"/>
    <w:rsid w:val="00560DEF"/>
    <w:rsid w:val="005612C6"/>
    <w:rsid w:val="005622D0"/>
    <w:rsid w:val="0056279D"/>
    <w:rsid w:val="00562962"/>
    <w:rsid w:val="005632C9"/>
    <w:rsid w:val="005633B7"/>
    <w:rsid w:val="00563E98"/>
    <w:rsid w:val="0056445D"/>
    <w:rsid w:val="00564505"/>
    <w:rsid w:val="005649E5"/>
    <w:rsid w:val="0056551A"/>
    <w:rsid w:val="00565900"/>
    <w:rsid w:val="00566560"/>
    <w:rsid w:val="00566648"/>
    <w:rsid w:val="00566654"/>
    <w:rsid w:val="005666AB"/>
    <w:rsid w:val="0057033A"/>
    <w:rsid w:val="005705E8"/>
    <w:rsid w:val="00570962"/>
    <w:rsid w:val="00570A0E"/>
    <w:rsid w:val="0057117D"/>
    <w:rsid w:val="00571532"/>
    <w:rsid w:val="005715EA"/>
    <w:rsid w:val="00571B96"/>
    <w:rsid w:val="00571FA9"/>
    <w:rsid w:val="00572612"/>
    <w:rsid w:val="0057369E"/>
    <w:rsid w:val="0057447A"/>
    <w:rsid w:val="00574B36"/>
    <w:rsid w:val="00575192"/>
    <w:rsid w:val="0057630F"/>
    <w:rsid w:val="005765A7"/>
    <w:rsid w:val="0057696D"/>
    <w:rsid w:val="00576E6B"/>
    <w:rsid w:val="00576EB1"/>
    <w:rsid w:val="0057733F"/>
    <w:rsid w:val="005775EB"/>
    <w:rsid w:val="005776DB"/>
    <w:rsid w:val="00577A97"/>
    <w:rsid w:val="00580103"/>
    <w:rsid w:val="00580541"/>
    <w:rsid w:val="00581278"/>
    <w:rsid w:val="0058174B"/>
    <w:rsid w:val="0058185F"/>
    <w:rsid w:val="0058456A"/>
    <w:rsid w:val="00584601"/>
    <w:rsid w:val="0058497A"/>
    <w:rsid w:val="00585419"/>
    <w:rsid w:val="00585C08"/>
    <w:rsid w:val="005860CC"/>
    <w:rsid w:val="005865F7"/>
    <w:rsid w:val="00586EBB"/>
    <w:rsid w:val="0058791A"/>
    <w:rsid w:val="0058796C"/>
    <w:rsid w:val="005901C0"/>
    <w:rsid w:val="00590BDA"/>
    <w:rsid w:val="00590CDD"/>
    <w:rsid w:val="00592B26"/>
    <w:rsid w:val="00592DC5"/>
    <w:rsid w:val="00592EB4"/>
    <w:rsid w:val="005935BF"/>
    <w:rsid w:val="0059462B"/>
    <w:rsid w:val="0059466E"/>
    <w:rsid w:val="005946DD"/>
    <w:rsid w:val="00594800"/>
    <w:rsid w:val="00594C63"/>
    <w:rsid w:val="00595783"/>
    <w:rsid w:val="00595A6C"/>
    <w:rsid w:val="00595FAC"/>
    <w:rsid w:val="00596286"/>
    <w:rsid w:val="005964FD"/>
    <w:rsid w:val="00596EAB"/>
    <w:rsid w:val="005972CD"/>
    <w:rsid w:val="0059740D"/>
    <w:rsid w:val="00597CB1"/>
    <w:rsid w:val="00597ED6"/>
    <w:rsid w:val="005A0176"/>
    <w:rsid w:val="005A03F8"/>
    <w:rsid w:val="005A09FA"/>
    <w:rsid w:val="005A0A11"/>
    <w:rsid w:val="005A0D7E"/>
    <w:rsid w:val="005A1010"/>
    <w:rsid w:val="005A11EF"/>
    <w:rsid w:val="005A1317"/>
    <w:rsid w:val="005A236B"/>
    <w:rsid w:val="005A2495"/>
    <w:rsid w:val="005A2B9F"/>
    <w:rsid w:val="005A34B0"/>
    <w:rsid w:val="005A3796"/>
    <w:rsid w:val="005A3E3A"/>
    <w:rsid w:val="005A46B8"/>
    <w:rsid w:val="005A46BD"/>
    <w:rsid w:val="005A479A"/>
    <w:rsid w:val="005A4D84"/>
    <w:rsid w:val="005A4DA5"/>
    <w:rsid w:val="005A4F96"/>
    <w:rsid w:val="005A659B"/>
    <w:rsid w:val="005A6959"/>
    <w:rsid w:val="005A77CD"/>
    <w:rsid w:val="005A7C9F"/>
    <w:rsid w:val="005A7F60"/>
    <w:rsid w:val="005B0284"/>
    <w:rsid w:val="005B02F8"/>
    <w:rsid w:val="005B0488"/>
    <w:rsid w:val="005B0595"/>
    <w:rsid w:val="005B07E0"/>
    <w:rsid w:val="005B2338"/>
    <w:rsid w:val="005B2B92"/>
    <w:rsid w:val="005B32F4"/>
    <w:rsid w:val="005B37A7"/>
    <w:rsid w:val="005B3BE9"/>
    <w:rsid w:val="005B6583"/>
    <w:rsid w:val="005B6772"/>
    <w:rsid w:val="005B67C3"/>
    <w:rsid w:val="005B71E8"/>
    <w:rsid w:val="005B74CC"/>
    <w:rsid w:val="005B74FF"/>
    <w:rsid w:val="005B7F66"/>
    <w:rsid w:val="005C0AA6"/>
    <w:rsid w:val="005C0AE4"/>
    <w:rsid w:val="005C0B7E"/>
    <w:rsid w:val="005C0BD9"/>
    <w:rsid w:val="005C0C4E"/>
    <w:rsid w:val="005C104B"/>
    <w:rsid w:val="005C1194"/>
    <w:rsid w:val="005C15E6"/>
    <w:rsid w:val="005C2027"/>
    <w:rsid w:val="005C20FE"/>
    <w:rsid w:val="005C2F0A"/>
    <w:rsid w:val="005C3507"/>
    <w:rsid w:val="005C3D84"/>
    <w:rsid w:val="005C3F81"/>
    <w:rsid w:val="005C49DC"/>
    <w:rsid w:val="005C50A1"/>
    <w:rsid w:val="005C5284"/>
    <w:rsid w:val="005C5BCF"/>
    <w:rsid w:val="005C5E17"/>
    <w:rsid w:val="005C6230"/>
    <w:rsid w:val="005C62F5"/>
    <w:rsid w:val="005C7CC8"/>
    <w:rsid w:val="005D06E7"/>
    <w:rsid w:val="005D074D"/>
    <w:rsid w:val="005D07F4"/>
    <w:rsid w:val="005D0EE6"/>
    <w:rsid w:val="005D159B"/>
    <w:rsid w:val="005D2020"/>
    <w:rsid w:val="005D2185"/>
    <w:rsid w:val="005D26E6"/>
    <w:rsid w:val="005D2857"/>
    <w:rsid w:val="005D3178"/>
    <w:rsid w:val="005D32FA"/>
    <w:rsid w:val="005D33B1"/>
    <w:rsid w:val="005D36E3"/>
    <w:rsid w:val="005D3881"/>
    <w:rsid w:val="005D4171"/>
    <w:rsid w:val="005D4861"/>
    <w:rsid w:val="005D490A"/>
    <w:rsid w:val="005D498B"/>
    <w:rsid w:val="005D4D3D"/>
    <w:rsid w:val="005D4EEB"/>
    <w:rsid w:val="005D5BBB"/>
    <w:rsid w:val="005D5D9F"/>
    <w:rsid w:val="005D722F"/>
    <w:rsid w:val="005D724E"/>
    <w:rsid w:val="005D7A31"/>
    <w:rsid w:val="005E094B"/>
    <w:rsid w:val="005E1375"/>
    <w:rsid w:val="005E18EA"/>
    <w:rsid w:val="005E1AFF"/>
    <w:rsid w:val="005E1B05"/>
    <w:rsid w:val="005E1B76"/>
    <w:rsid w:val="005E2809"/>
    <w:rsid w:val="005E2A6E"/>
    <w:rsid w:val="005E2A9F"/>
    <w:rsid w:val="005E30C5"/>
    <w:rsid w:val="005E338E"/>
    <w:rsid w:val="005E3F6E"/>
    <w:rsid w:val="005E4378"/>
    <w:rsid w:val="005E4C14"/>
    <w:rsid w:val="005E527C"/>
    <w:rsid w:val="005E6059"/>
    <w:rsid w:val="005E6243"/>
    <w:rsid w:val="005E6ADA"/>
    <w:rsid w:val="005E6AF1"/>
    <w:rsid w:val="005E6B41"/>
    <w:rsid w:val="005E6ED3"/>
    <w:rsid w:val="005E6ED9"/>
    <w:rsid w:val="005E71F7"/>
    <w:rsid w:val="005E74E3"/>
    <w:rsid w:val="005E7931"/>
    <w:rsid w:val="005F097E"/>
    <w:rsid w:val="005F0981"/>
    <w:rsid w:val="005F1DD9"/>
    <w:rsid w:val="005F1F4F"/>
    <w:rsid w:val="005F2154"/>
    <w:rsid w:val="005F2B2C"/>
    <w:rsid w:val="005F2EBA"/>
    <w:rsid w:val="005F33D8"/>
    <w:rsid w:val="005F401D"/>
    <w:rsid w:val="005F4030"/>
    <w:rsid w:val="005F4109"/>
    <w:rsid w:val="005F4284"/>
    <w:rsid w:val="005F439B"/>
    <w:rsid w:val="005F450A"/>
    <w:rsid w:val="005F4E88"/>
    <w:rsid w:val="005F50E2"/>
    <w:rsid w:val="005F59F9"/>
    <w:rsid w:val="005F5EE9"/>
    <w:rsid w:val="005F625B"/>
    <w:rsid w:val="005F6F19"/>
    <w:rsid w:val="005F729C"/>
    <w:rsid w:val="005F72E7"/>
    <w:rsid w:val="005F7B13"/>
    <w:rsid w:val="00600418"/>
    <w:rsid w:val="0060135E"/>
    <w:rsid w:val="00601762"/>
    <w:rsid w:val="00601958"/>
    <w:rsid w:val="006028F6"/>
    <w:rsid w:val="00602FB3"/>
    <w:rsid w:val="006031CB"/>
    <w:rsid w:val="0060348C"/>
    <w:rsid w:val="0060397E"/>
    <w:rsid w:val="00604156"/>
    <w:rsid w:val="006042EA"/>
    <w:rsid w:val="00604839"/>
    <w:rsid w:val="006049E4"/>
    <w:rsid w:val="00604A63"/>
    <w:rsid w:val="006050D6"/>
    <w:rsid w:val="00605825"/>
    <w:rsid w:val="00605A88"/>
    <w:rsid w:val="00605F05"/>
    <w:rsid w:val="00606362"/>
    <w:rsid w:val="00606660"/>
    <w:rsid w:val="00606C23"/>
    <w:rsid w:val="00606DF4"/>
    <w:rsid w:val="00606E79"/>
    <w:rsid w:val="00606ECB"/>
    <w:rsid w:val="00607914"/>
    <w:rsid w:val="00607A02"/>
    <w:rsid w:val="00607C62"/>
    <w:rsid w:val="00607E5F"/>
    <w:rsid w:val="00610191"/>
    <w:rsid w:val="006115E5"/>
    <w:rsid w:val="00611D86"/>
    <w:rsid w:val="00611F54"/>
    <w:rsid w:val="00612033"/>
    <w:rsid w:val="00612287"/>
    <w:rsid w:val="006122B9"/>
    <w:rsid w:val="00612D48"/>
    <w:rsid w:val="006130C6"/>
    <w:rsid w:val="0061390D"/>
    <w:rsid w:val="00614236"/>
    <w:rsid w:val="006146A1"/>
    <w:rsid w:val="006154F6"/>
    <w:rsid w:val="00615887"/>
    <w:rsid w:val="0061590D"/>
    <w:rsid w:val="00615D00"/>
    <w:rsid w:val="00615D1A"/>
    <w:rsid w:val="00615ED7"/>
    <w:rsid w:val="006166A7"/>
    <w:rsid w:val="00616851"/>
    <w:rsid w:val="00616DAF"/>
    <w:rsid w:val="006172FC"/>
    <w:rsid w:val="00617C9B"/>
    <w:rsid w:val="00617EB7"/>
    <w:rsid w:val="00620616"/>
    <w:rsid w:val="006209A9"/>
    <w:rsid w:val="00620B92"/>
    <w:rsid w:val="006211E0"/>
    <w:rsid w:val="00621280"/>
    <w:rsid w:val="0062135C"/>
    <w:rsid w:val="00621523"/>
    <w:rsid w:val="00621B8F"/>
    <w:rsid w:val="00621CB3"/>
    <w:rsid w:val="0062203F"/>
    <w:rsid w:val="00622352"/>
    <w:rsid w:val="00622541"/>
    <w:rsid w:val="00622545"/>
    <w:rsid w:val="0062284E"/>
    <w:rsid w:val="00622A5C"/>
    <w:rsid w:val="00623B6D"/>
    <w:rsid w:val="0062435E"/>
    <w:rsid w:val="00624FE6"/>
    <w:rsid w:val="00625577"/>
    <w:rsid w:val="006256B3"/>
    <w:rsid w:val="0062578C"/>
    <w:rsid w:val="00625A21"/>
    <w:rsid w:val="00625AB8"/>
    <w:rsid w:val="00625D1F"/>
    <w:rsid w:val="00625DEA"/>
    <w:rsid w:val="006260DC"/>
    <w:rsid w:val="00626849"/>
    <w:rsid w:val="00626990"/>
    <w:rsid w:val="00626A9C"/>
    <w:rsid w:val="00626E8A"/>
    <w:rsid w:val="00627494"/>
    <w:rsid w:val="00627BF4"/>
    <w:rsid w:val="00630246"/>
    <w:rsid w:val="006309BE"/>
    <w:rsid w:val="00630A0D"/>
    <w:rsid w:val="00630DBC"/>
    <w:rsid w:val="00630DBE"/>
    <w:rsid w:val="00631162"/>
    <w:rsid w:val="006313EF"/>
    <w:rsid w:val="0063150F"/>
    <w:rsid w:val="00631A1C"/>
    <w:rsid w:val="00631BDF"/>
    <w:rsid w:val="00631DB7"/>
    <w:rsid w:val="0063278E"/>
    <w:rsid w:val="0063288D"/>
    <w:rsid w:val="006328DF"/>
    <w:rsid w:val="00632EFB"/>
    <w:rsid w:val="00632FC4"/>
    <w:rsid w:val="0063523B"/>
    <w:rsid w:val="00635327"/>
    <w:rsid w:val="00635605"/>
    <w:rsid w:val="0063576F"/>
    <w:rsid w:val="00635DDF"/>
    <w:rsid w:val="006370B7"/>
    <w:rsid w:val="006371B4"/>
    <w:rsid w:val="0063754E"/>
    <w:rsid w:val="00637678"/>
    <w:rsid w:val="00637B9D"/>
    <w:rsid w:val="00637C5B"/>
    <w:rsid w:val="00637C9B"/>
    <w:rsid w:val="006405FC"/>
    <w:rsid w:val="00640609"/>
    <w:rsid w:val="00640B12"/>
    <w:rsid w:val="00640DE0"/>
    <w:rsid w:val="006414A2"/>
    <w:rsid w:val="00641DA8"/>
    <w:rsid w:val="00642204"/>
    <w:rsid w:val="0064381C"/>
    <w:rsid w:val="00644486"/>
    <w:rsid w:val="00644594"/>
    <w:rsid w:val="0064459D"/>
    <w:rsid w:val="00644ADD"/>
    <w:rsid w:val="0064552E"/>
    <w:rsid w:val="00645698"/>
    <w:rsid w:val="00645BA3"/>
    <w:rsid w:val="006467B4"/>
    <w:rsid w:val="00646B62"/>
    <w:rsid w:val="00646EE1"/>
    <w:rsid w:val="006473DD"/>
    <w:rsid w:val="006476E0"/>
    <w:rsid w:val="006477ED"/>
    <w:rsid w:val="00647890"/>
    <w:rsid w:val="00651BC3"/>
    <w:rsid w:val="00651BEC"/>
    <w:rsid w:val="00651D85"/>
    <w:rsid w:val="00652702"/>
    <w:rsid w:val="00652719"/>
    <w:rsid w:val="00652CD3"/>
    <w:rsid w:val="006536A8"/>
    <w:rsid w:val="0065515A"/>
    <w:rsid w:val="006552B0"/>
    <w:rsid w:val="006552CE"/>
    <w:rsid w:val="006564D6"/>
    <w:rsid w:val="00657011"/>
    <w:rsid w:val="006577BF"/>
    <w:rsid w:val="00657C8D"/>
    <w:rsid w:val="00657DC8"/>
    <w:rsid w:val="00657FA3"/>
    <w:rsid w:val="006600B7"/>
    <w:rsid w:val="006604A5"/>
    <w:rsid w:val="00660AC9"/>
    <w:rsid w:val="00660B12"/>
    <w:rsid w:val="00660F0B"/>
    <w:rsid w:val="00660F36"/>
    <w:rsid w:val="006610DE"/>
    <w:rsid w:val="00661111"/>
    <w:rsid w:val="0066144C"/>
    <w:rsid w:val="00661812"/>
    <w:rsid w:val="00662784"/>
    <w:rsid w:val="006627D7"/>
    <w:rsid w:val="00662A11"/>
    <w:rsid w:val="00662BDF"/>
    <w:rsid w:val="00662ECA"/>
    <w:rsid w:val="0066336F"/>
    <w:rsid w:val="0066347D"/>
    <w:rsid w:val="00663533"/>
    <w:rsid w:val="00663543"/>
    <w:rsid w:val="006636A8"/>
    <w:rsid w:val="006638E3"/>
    <w:rsid w:val="00664134"/>
    <w:rsid w:val="00664A1F"/>
    <w:rsid w:val="00664EA1"/>
    <w:rsid w:val="00665123"/>
    <w:rsid w:val="0066523F"/>
    <w:rsid w:val="00665350"/>
    <w:rsid w:val="006659C2"/>
    <w:rsid w:val="00665EFE"/>
    <w:rsid w:val="006662CD"/>
    <w:rsid w:val="00666587"/>
    <w:rsid w:val="00666647"/>
    <w:rsid w:val="00666653"/>
    <w:rsid w:val="006668E2"/>
    <w:rsid w:val="00666F4C"/>
    <w:rsid w:val="00666FBD"/>
    <w:rsid w:val="0066784B"/>
    <w:rsid w:val="00670471"/>
    <w:rsid w:val="006705E8"/>
    <w:rsid w:val="0067096F"/>
    <w:rsid w:val="00670B5D"/>
    <w:rsid w:val="00670BC5"/>
    <w:rsid w:val="00670CD2"/>
    <w:rsid w:val="0067115E"/>
    <w:rsid w:val="006718D5"/>
    <w:rsid w:val="0067250A"/>
    <w:rsid w:val="00672745"/>
    <w:rsid w:val="00673F93"/>
    <w:rsid w:val="0067460D"/>
    <w:rsid w:val="00674839"/>
    <w:rsid w:val="00674852"/>
    <w:rsid w:val="00675892"/>
    <w:rsid w:val="00675B54"/>
    <w:rsid w:val="00675C6E"/>
    <w:rsid w:val="00675CDE"/>
    <w:rsid w:val="00675D58"/>
    <w:rsid w:val="00676212"/>
    <w:rsid w:val="00676D61"/>
    <w:rsid w:val="00676D7C"/>
    <w:rsid w:val="006773F4"/>
    <w:rsid w:val="006779C1"/>
    <w:rsid w:val="00677CE1"/>
    <w:rsid w:val="00677D55"/>
    <w:rsid w:val="0068064C"/>
    <w:rsid w:val="006806D3"/>
    <w:rsid w:val="00680BDE"/>
    <w:rsid w:val="006811C2"/>
    <w:rsid w:val="0068121B"/>
    <w:rsid w:val="006812E6"/>
    <w:rsid w:val="0068172E"/>
    <w:rsid w:val="006819F5"/>
    <w:rsid w:val="00681E05"/>
    <w:rsid w:val="00682FAE"/>
    <w:rsid w:val="00683ACB"/>
    <w:rsid w:val="006844C6"/>
    <w:rsid w:val="00684888"/>
    <w:rsid w:val="00684D43"/>
    <w:rsid w:val="00684E0B"/>
    <w:rsid w:val="0068567E"/>
    <w:rsid w:val="00685A70"/>
    <w:rsid w:val="00685C35"/>
    <w:rsid w:val="006866A3"/>
    <w:rsid w:val="006866E0"/>
    <w:rsid w:val="00686818"/>
    <w:rsid w:val="00686CF2"/>
    <w:rsid w:val="00686EF2"/>
    <w:rsid w:val="00686F32"/>
    <w:rsid w:val="00687135"/>
    <w:rsid w:val="006879A8"/>
    <w:rsid w:val="00687B64"/>
    <w:rsid w:val="00690703"/>
    <w:rsid w:val="00690D15"/>
    <w:rsid w:val="0069118B"/>
    <w:rsid w:val="0069158C"/>
    <w:rsid w:val="00691701"/>
    <w:rsid w:val="006927A4"/>
    <w:rsid w:val="00692CF8"/>
    <w:rsid w:val="00692E01"/>
    <w:rsid w:val="006930CB"/>
    <w:rsid w:val="00693DB7"/>
    <w:rsid w:val="00693EBF"/>
    <w:rsid w:val="00694142"/>
    <w:rsid w:val="006942C4"/>
    <w:rsid w:val="00694725"/>
    <w:rsid w:val="006948A3"/>
    <w:rsid w:val="00694A6E"/>
    <w:rsid w:val="00694F46"/>
    <w:rsid w:val="0069548B"/>
    <w:rsid w:val="00695E64"/>
    <w:rsid w:val="00696110"/>
    <w:rsid w:val="006962C4"/>
    <w:rsid w:val="0069653C"/>
    <w:rsid w:val="00697378"/>
    <w:rsid w:val="006977C6"/>
    <w:rsid w:val="0069786E"/>
    <w:rsid w:val="00697934"/>
    <w:rsid w:val="00697A05"/>
    <w:rsid w:val="006A0962"/>
    <w:rsid w:val="006A0F4F"/>
    <w:rsid w:val="006A150C"/>
    <w:rsid w:val="006A1585"/>
    <w:rsid w:val="006A1CFA"/>
    <w:rsid w:val="006A1E19"/>
    <w:rsid w:val="006A1F0A"/>
    <w:rsid w:val="006A1FAA"/>
    <w:rsid w:val="006A2266"/>
    <w:rsid w:val="006A2500"/>
    <w:rsid w:val="006A2F52"/>
    <w:rsid w:val="006A3059"/>
    <w:rsid w:val="006A38DC"/>
    <w:rsid w:val="006A3CD8"/>
    <w:rsid w:val="006A4028"/>
    <w:rsid w:val="006A4031"/>
    <w:rsid w:val="006A410F"/>
    <w:rsid w:val="006A47C3"/>
    <w:rsid w:val="006A48B7"/>
    <w:rsid w:val="006A4CD9"/>
    <w:rsid w:val="006A52E7"/>
    <w:rsid w:val="006A553E"/>
    <w:rsid w:val="006A5F5E"/>
    <w:rsid w:val="006A6C74"/>
    <w:rsid w:val="006A6D46"/>
    <w:rsid w:val="006A6ED2"/>
    <w:rsid w:val="006A7550"/>
    <w:rsid w:val="006A7D96"/>
    <w:rsid w:val="006A7DC9"/>
    <w:rsid w:val="006A7E35"/>
    <w:rsid w:val="006A7FF8"/>
    <w:rsid w:val="006B0232"/>
    <w:rsid w:val="006B087D"/>
    <w:rsid w:val="006B094C"/>
    <w:rsid w:val="006B0CEF"/>
    <w:rsid w:val="006B1133"/>
    <w:rsid w:val="006B11B9"/>
    <w:rsid w:val="006B2335"/>
    <w:rsid w:val="006B251E"/>
    <w:rsid w:val="006B269D"/>
    <w:rsid w:val="006B2913"/>
    <w:rsid w:val="006B2AD5"/>
    <w:rsid w:val="006B2EC9"/>
    <w:rsid w:val="006B32E9"/>
    <w:rsid w:val="006B3A55"/>
    <w:rsid w:val="006B3D9A"/>
    <w:rsid w:val="006B3E36"/>
    <w:rsid w:val="006B3EEF"/>
    <w:rsid w:val="006B3F81"/>
    <w:rsid w:val="006B4281"/>
    <w:rsid w:val="006B4576"/>
    <w:rsid w:val="006B4A10"/>
    <w:rsid w:val="006B4DFF"/>
    <w:rsid w:val="006B560B"/>
    <w:rsid w:val="006B5AB4"/>
    <w:rsid w:val="006B5E18"/>
    <w:rsid w:val="006B6267"/>
    <w:rsid w:val="006B6957"/>
    <w:rsid w:val="006B6FF3"/>
    <w:rsid w:val="006B759F"/>
    <w:rsid w:val="006B788D"/>
    <w:rsid w:val="006B7B8E"/>
    <w:rsid w:val="006B7FFC"/>
    <w:rsid w:val="006C09E9"/>
    <w:rsid w:val="006C1E7A"/>
    <w:rsid w:val="006C2203"/>
    <w:rsid w:val="006C2574"/>
    <w:rsid w:val="006C257D"/>
    <w:rsid w:val="006C2A36"/>
    <w:rsid w:val="006C2A96"/>
    <w:rsid w:val="006C34FA"/>
    <w:rsid w:val="006C3A8C"/>
    <w:rsid w:val="006C4096"/>
    <w:rsid w:val="006C4600"/>
    <w:rsid w:val="006C4E6D"/>
    <w:rsid w:val="006C662B"/>
    <w:rsid w:val="006C678A"/>
    <w:rsid w:val="006C6CB6"/>
    <w:rsid w:val="006C7240"/>
    <w:rsid w:val="006D0120"/>
    <w:rsid w:val="006D086A"/>
    <w:rsid w:val="006D0B5D"/>
    <w:rsid w:val="006D0D91"/>
    <w:rsid w:val="006D1843"/>
    <w:rsid w:val="006D1C6A"/>
    <w:rsid w:val="006D1E6D"/>
    <w:rsid w:val="006D215D"/>
    <w:rsid w:val="006D239F"/>
    <w:rsid w:val="006D2904"/>
    <w:rsid w:val="006D2E45"/>
    <w:rsid w:val="006D3B3E"/>
    <w:rsid w:val="006D439D"/>
    <w:rsid w:val="006D50E1"/>
    <w:rsid w:val="006D5898"/>
    <w:rsid w:val="006D5A30"/>
    <w:rsid w:val="006D5F6C"/>
    <w:rsid w:val="006D60D7"/>
    <w:rsid w:val="006D6182"/>
    <w:rsid w:val="006D652C"/>
    <w:rsid w:val="006D6C5F"/>
    <w:rsid w:val="006E084F"/>
    <w:rsid w:val="006E1267"/>
    <w:rsid w:val="006E1542"/>
    <w:rsid w:val="006E1EAA"/>
    <w:rsid w:val="006E222D"/>
    <w:rsid w:val="006E22CE"/>
    <w:rsid w:val="006E283C"/>
    <w:rsid w:val="006E2C5F"/>
    <w:rsid w:val="006E317A"/>
    <w:rsid w:val="006E3CFB"/>
    <w:rsid w:val="006E43C0"/>
    <w:rsid w:val="006E4588"/>
    <w:rsid w:val="006E49E6"/>
    <w:rsid w:val="006E4DDE"/>
    <w:rsid w:val="006E55C8"/>
    <w:rsid w:val="006E5ABB"/>
    <w:rsid w:val="006E6131"/>
    <w:rsid w:val="006E6682"/>
    <w:rsid w:val="006E6814"/>
    <w:rsid w:val="006E6E3F"/>
    <w:rsid w:val="006E6F64"/>
    <w:rsid w:val="006E7ACC"/>
    <w:rsid w:val="006F065E"/>
    <w:rsid w:val="006F0665"/>
    <w:rsid w:val="006F0BCA"/>
    <w:rsid w:val="006F127D"/>
    <w:rsid w:val="006F1912"/>
    <w:rsid w:val="006F1915"/>
    <w:rsid w:val="006F1B1A"/>
    <w:rsid w:val="006F1EF0"/>
    <w:rsid w:val="006F1F31"/>
    <w:rsid w:val="006F2391"/>
    <w:rsid w:val="006F33A8"/>
    <w:rsid w:val="006F3B2D"/>
    <w:rsid w:val="006F412F"/>
    <w:rsid w:val="006F4156"/>
    <w:rsid w:val="006F422A"/>
    <w:rsid w:val="006F42E8"/>
    <w:rsid w:val="006F44CE"/>
    <w:rsid w:val="006F44D2"/>
    <w:rsid w:val="006F4B2B"/>
    <w:rsid w:val="006F5390"/>
    <w:rsid w:val="006F5449"/>
    <w:rsid w:val="006F59C5"/>
    <w:rsid w:val="006F5A4F"/>
    <w:rsid w:val="006F5B6C"/>
    <w:rsid w:val="006F5CA8"/>
    <w:rsid w:val="006F71E5"/>
    <w:rsid w:val="006F749F"/>
    <w:rsid w:val="006F7CA6"/>
    <w:rsid w:val="00700315"/>
    <w:rsid w:val="00700736"/>
    <w:rsid w:val="0070173E"/>
    <w:rsid w:val="007019F6"/>
    <w:rsid w:val="00702569"/>
    <w:rsid w:val="007025CE"/>
    <w:rsid w:val="0070271A"/>
    <w:rsid w:val="00702774"/>
    <w:rsid w:val="00702EE2"/>
    <w:rsid w:val="00702FC9"/>
    <w:rsid w:val="00703958"/>
    <w:rsid w:val="00703FAF"/>
    <w:rsid w:val="007043FF"/>
    <w:rsid w:val="00704A2B"/>
    <w:rsid w:val="00704AE9"/>
    <w:rsid w:val="00704E49"/>
    <w:rsid w:val="00705317"/>
    <w:rsid w:val="00705376"/>
    <w:rsid w:val="00705589"/>
    <w:rsid w:val="00705E1E"/>
    <w:rsid w:val="00705F29"/>
    <w:rsid w:val="00705FAD"/>
    <w:rsid w:val="00706094"/>
    <w:rsid w:val="00706405"/>
    <w:rsid w:val="00706D80"/>
    <w:rsid w:val="007073C9"/>
    <w:rsid w:val="007078DB"/>
    <w:rsid w:val="0070795E"/>
    <w:rsid w:val="00707B93"/>
    <w:rsid w:val="00707C0C"/>
    <w:rsid w:val="00710318"/>
    <w:rsid w:val="00710B41"/>
    <w:rsid w:val="00710E1B"/>
    <w:rsid w:val="00711498"/>
    <w:rsid w:val="0071196D"/>
    <w:rsid w:val="00711A41"/>
    <w:rsid w:val="00712056"/>
    <w:rsid w:val="007129E1"/>
    <w:rsid w:val="00712D13"/>
    <w:rsid w:val="00712D1A"/>
    <w:rsid w:val="007141D3"/>
    <w:rsid w:val="00714573"/>
    <w:rsid w:val="00714CBB"/>
    <w:rsid w:val="007156AA"/>
    <w:rsid w:val="00716451"/>
    <w:rsid w:val="00716CB2"/>
    <w:rsid w:val="00716F87"/>
    <w:rsid w:val="00716FD2"/>
    <w:rsid w:val="0071730C"/>
    <w:rsid w:val="00717BE9"/>
    <w:rsid w:val="00720B0D"/>
    <w:rsid w:val="007216AC"/>
    <w:rsid w:val="00721A8A"/>
    <w:rsid w:val="00722199"/>
    <w:rsid w:val="0072226C"/>
    <w:rsid w:val="007223F0"/>
    <w:rsid w:val="00722928"/>
    <w:rsid w:val="00722BEA"/>
    <w:rsid w:val="00722CDF"/>
    <w:rsid w:val="00722DF5"/>
    <w:rsid w:val="00724240"/>
    <w:rsid w:val="00724295"/>
    <w:rsid w:val="00724A3D"/>
    <w:rsid w:val="007267DD"/>
    <w:rsid w:val="00726C31"/>
    <w:rsid w:val="00726EE9"/>
    <w:rsid w:val="00730C24"/>
    <w:rsid w:val="00730D8D"/>
    <w:rsid w:val="00731440"/>
    <w:rsid w:val="007314C7"/>
    <w:rsid w:val="007321EC"/>
    <w:rsid w:val="007323B5"/>
    <w:rsid w:val="007324CA"/>
    <w:rsid w:val="00732E01"/>
    <w:rsid w:val="00732F14"/>
    <w:rsid w:val="0073350B"/>
    <w:rsid w:val="007338B4"/>
    <w:rsid w:val="00733C2E"/>
    <w:rsid w:val="007341EF"/>
    <w:rsid w:val="00735510"/>
    <w:rsid w:val="00735CCF"/>
    <w:rsid w:val="00736938"/>
    <w:rsid w:val="007373A1"/>
    <w:rsid w:val="007373F0"/>
    <w:rsid w:val="00737462"/>
    <w:rsid w:val="00737F20"/>
    <w:rsid w:val="00737F33"/>
    <w:rsid w:val="00740050"/>
    <w:rsid w:val="00740216"/>
    <w:rsid w:val="00740491"/>
    <w:rsid w:val="007408A7"/>
    <w:rsid w:val="00740915"/>
    <w:rsid w:val="007415C9"/>
    <w:rsid w:val="007417CE"/>
    <w:rsid w:val="007420A1"/>
    <w:rsid w:val="00742C10"/>
    <w:rsid w:val="00742E7A"/>
    <w:rsid w:val="0074368C"/>
    <w:rsid w:val="0074388A"/>
    <w:rsid w:val="00743D7D"/>
    <w:rsid w:val="00744740"/>
    <w:rsid w:val="00744828"/>
    <w:rsid w:val="0074489E"/>
    <w:rsid w:val="00744CD0"/>
    <w:rsid w:val="007459C0"/>
    <w:rsid w:val="007460A1"/>
    <w:rsid w:val="00746BC0"/>
    <w:rsid w:val="00746C52"/>
    <w:rsid w:val="00747609"/>
    <w:rsid w:val="00750740"/>
    <w:rsid w:val="00750DC5"/>
    <w:rsid w:val="007513B5"/>
    <w:rsid w:val="0075151B"/>
    <w:rsid w:val="007517D9"/>
    <w:rsid w:val="007520B1"/>
    <w:rsid w:val="0075272F"/>
    <w:rsid w:val="00752A6B"/>
    <w:rsid w:val="00753001"/>
    <w:rsid w:val="00754342"/>
    <w:rsid w:val="0075482B"/>
    <w:rsid w:val="00754DE3"/>
    <w:rsid w:val="00754E2B"/>
    <w:rsid w:val="00755E64"/>
    <w:rsid w:val="0075604F"/>
    <w:rsid w:val="0075726E"/>
    <w:rsid w:val="0075796E"/>
    <w:rsid w:val="00757E06"/>
    <w:rsid w:val="00757EBB"/>
    <w:rsid w:val="00760787"/>
    <w:rsid w:val="00760BCA"/>
    <w:rsid w:val="007613B1"/>
    <w:rsid w:val="0076156B"/>
    <w:rsid w:val="00761B49"/>
    <w:rsid w:val="00762050"/>
    <w:rsid w:val="00763674"/>
    <w:rsid w:val="0076390C"/>
    <w:rsid w:val="00763B4C"/>
    <w:rsid w:val="00764437"/>
    <w:rsid w:val="007644B1"/>
    <w:rsid w:val="007647BD"/>
    <w:rsid w:val="007648DE"/>
    <w:rsid w:val="00764DE4"/>
    <w:rsid w:val="00764E30"/>
    <w:rsid w:val="00764EBF"/>
    <w:rsid w:val="00765073"/>
    <w:rsid w:val="00765374"/>
    <w:rsid w:val="007656D3"/>
    <w:rsid w:val="0076572D"/>
    <w:rsid w:val="00765AB1"/>
    <w:rsid w:val="00765B3B"/>
    <w:rsid w:val="00765C3B"/>
    <w:rsid w:val="00765E12"/>
    <w:rsid w:val="00766C6D"/>
    <w:rsid w:val="007678AA"/>
    <w:rsid w:val="00770400"/>
    <w:rsid w:val="00770A4C"/>
    <w:rsid w:val="0077123B"/>
    <w:rsid w:val="007712BC"/>
    <w:rsid w:val="00771AD9"/>
    <w:rsid w:val="00771FDE"/>
    <w:rsid w:val="0077288E"/>
    <w:rsid w:val="00772B8F"/>
    <w:rsid w:val="00772F9F"/>
    <w:rsid w:val="00773387"/>
    <w:rsid w:val="007736BA"/>
    <w:rsid w:val="00773D15"/>
    <w:rsid w:val="00773D28"/>
    <w:rsid w:val="00774160"/>
    <w:rsid w:val="007744D3"/>
    <w:rsid w:val="007746B5"/>
    <w:rsid w:val="007747AE"/>
    <w:rsid w:val="00774870"/>
    <w:rsid w:val="00774AE4"/>
    <w:rsid w:val="0077519E"/>
    <w:rsid w:val="00775425"/>
    <w:rsid w:val="0077543F"/>
    <w:rsid w:val="0077567D"/>
    <w:rsid w:val="0077576D"/>
    <w:rsid w:val="00775B07"/>
    <w:rsid w:val="00775E1E"/>
    <w:rsid w:val="00775E42"/>
    <w:rsid w:val="0077606E"/>
    <w:rsid w:val="00776992"/>
    <w:rsid w:val="007769ED"/>
    <w:rsid w:val="00776BEC"/>
    <w:rsid w:val="00776C36"/>
    <w:rsid w:val="00777075"/>
    <w:rsid w:val="00777137"/>
    <w:rsid w:val="007776DD"/>
    <w:rsid w:val="00777B57"/>
    <w:rsid w:val="00780487"/>
    <w:rsid w:val="0078060B"/>
    <w:rsid w:val="0078068F"/>
    <w:rsid w:val="007806EB"/>
    <w:rsid w:val="007809EE"/>
    <w:rsid w:val="00781717"/>
    <w:rsid w:val="0078182E"/>
    <w:rsid w:val="0078237E"/>
    <w:rsid w:val="0078284B"/>
    <w:rsid w:val="00782CA8"/>
    <w:rsid w:val="00782DEA"/>
    <w:rsid w:val="00782F91"/>
    <w:rsid w:val="00783150"/>
    <w:rsid w:val="00783715"/>
    <w:rsid w:val="00783D56"/>
    <w:rsid w:val="00783FA1"/>
    <w:rsid w:val="00784093"/>
    <w:rsid w:val="007843B2"/>
    <w:rsid w:val="007844FE"/>
    <w:rsid w:val="00784BB2"/>
    <w:rsid w:val="00785255"/>
    <w:rsid w:val="00785408"/>
    <w:rsid w:val="00785E5B"/>
    <w:rsid w:val="00786239"/>
    <w:rsid w:val="0078682F"/>
    <w:rsid w:val="00786C72"/>
    <w:rsid w:val="00787AA5"/>
    <w:rsid w:val="007906FA"/>
    <w:rsid w:val="00790726"/>
    <w:rsid w:val="007917B9"/>
    <w:rsid w:val="00791E78"/>
    <w:rsid w:val="007920D9"/>
    <w:rsid w:val="00792253"/>
    <w:rsid w:val="007922F9"/>
    <w:rsid w:val="00792ED3"/>
    <w:rsid w:val="00792F5B"/>
    <w:rsid w:val="00794664"/>
    <w:rsid w:val="00794A90"/>
    <w:rsid w:val="00794EA7"/>
    <w:rsid w:val="00795990"/>
    <w:rsid w:val="00795AA8"/>
    <w:rsid w:val="00795ED1"/>
    <w:rsid w:val="00795F04"/>
    <w:rsid w:val="007969AF"/>
    <w:rsid w:val="007971F3"/>
    <w:rsid w:val="0079720D"/>
    <w:rsid w:val="0079730C"/>
    <w:rsid w:val="00797632"/>
    <w:rsid w:val="007979EC"/>
    <w:rsid w:val="00797C89"/>
    <w:rsid w:val="007A00B7"/>
    <w:rsid w:val="007A055E"/>
    <w:rsid w:val="007A0D0D"/>
    <w:rsid w:val="007A0D94"/>
    <w:rsid w:val="007A0E16"/>
    <w:rsid w:val="007A0ED2"/>
    <w:rsid w:val="007A1AB7"/>
    <w:rsid w:val="007A20BC"/>
    <w:rsid w:val="007A2791"/>
    <w:rsid w:val="007A30F5"/>
    <w:rsid w:val="007A402D"/>
    <w:rsid w:val="007A43C3"/>
    <w:rsid w:val="007A47BE"/>
    <w:rsid w:val="007A4A81"/>
    <w:rsid w:val="007A4CBF"/>
    <w:rsid w:val="007A5129"/>
    <w:rsid w:val="007A524F"/>
    <w:rsid w:val="007A587A"/>
    <w:rsid w:val="007A5B10"/>
    <w:rsid w:val="007A5E63"/>
    <w:rsid w:val="007A5F18"/>
    <w:rsid w:val="007A610E"/>
    <w:rsid w:val="007A66AA"/>
    <w:rsid w:val="007A7EAB"/>
    <w:rsid w:val="007B0341"/>
    <w:rsid w:val="007B043F"/>
    <w:rsid w:val="007B183E"/>
    <w:rsid w:val="007B1CCB"/>
    <w:rsid w:val="007B2060"/>
    <w:rsid w:val="007B2496"/>
    <w:rsid w:val="007B2780"/>
    <w:rsid w:val="007B2AA5"/>
    <w:rsid w:val="007B2BAE"/>
    <w:rsid w:val="007B2C42"/>
    <w:rsid w:val="007B2DCA"/>
    <w:rsid w:val="007B33C2"/>
    <w:rsid w:val="007B3515"/>
    <w:rsid w:val="007B38CE"/>
    <w:rsid w:val="007B3BDF"/>
    <w:rsid w:val="007B3E1F"/>
    <w:rsid w:val="007B40B9"/>
    <w:rsid w:val="007B45AB"/>
    <w:rsid w:val="007B5264"/>
    <w:rsid w:val="007B56DB"/>
    <w:rsid w:val="007B5879"/>
    <w:rsid w:val="007B6A6A"/>
    <w:rsid w:val="007B6EA2"/>
    <w:rsid w:val="007B77A6"/>
    <w:rsid w:val="007C08F0"/>
    <w:rsid w:val="007C1B67"/>
    <w:rsid w:val="007C1C6A"/>
    <w:rsid w:val="007C1CD4"/>
    <w:rsid w:val="007C2A8B"/>
    <w:rsid w:val="007C2B0C"/>
    <w:rsid w:val="007C2D4B"/>
    <w:rsid w:val="007C2E09"/>
    <w:rsid w:val="007C3531"/>
    <w:rsid w:val="007C399C"/>
    <w:rsid w:val="007C4B69"/>
    <w:rsid w:val="007C4ED0"/>
    <w:rsid w:val="007C51C0"/>
    <w:rsid w:val="007C52A1"/>
    <w:rsid w:val="007C5646"/>
    <w:rsid w:val="007C570B"/>
    <w:rsid w:val="007C5B32"/>
    <w:rsid w:val="007C5EE0"/>
    <w:rsid w:val="007C5FAD"/>
    <w:rsid w:val="007C6121"/>
    <w:rsid w:val="007C634D"/>
    <w:rsid w:val="007C65F1"/>
    <w:rsid w:val="007C6F80"/>
    <w:rsid w:val="007C710A"/>
    <w:rsid w:val="007D0084"/>
    <w:rsid w:val="007D039F"/>
    <w:rsid w:val="007D0457"/>
    <w:rsid w:val="007D046F"/>
    <w:rsid w:val="007D055E"/>
    <w:rsid w:val="007D07DD"/>
    <w:rsid w:val="007D0DD0"/>
    <w:rsid w:val="007D0F91"/>
    <w:rsid w:val="007D1022"/>
    <w:rsid w:val="007D15F6"/>
    <w:rsid w:val="007D25B2"/>
    <w:rsid w:val="007D2666"/>
    <w:rsid w:val="007D276F"/>
    <w:rsid w:val="007D2E8F"/>
    <w:rsid w:val="007D3493"/>
    <w:rsid w:val="007D389F"/>
    <w:rsid w:val="007D3E95"/>
    <w:rsid w:val="007D580F"/>
    <w:rsid w:val="007D6528"/>
    <w:rsid w:val="007D70A9"/>
    <w:rsid w:val="007D7385"/>
    <w:rsid w:val="007E2824"/>
    <w:rsid w:val="007E2ADF"/>
    <w:rsid w:val="007E2F0A"/>
    <w:rsid w:val="007E3E9F"/>
    <w:rsid w:val="007E41A1"/>
    <w:rsid w:val="007E4468"/>
    <w:rsid w:val="007E5083"/>
    <w:rsid w:val="007E5356"/>
    <w:rsid w:val="007E545B"/>
    <w:rsid w:val="007E5472"/>
    <w:rsid w:val="007E5896"/>
    <w:rsid w:val="007E5FDF"/>
    <w:rsid w:val="007E642D"/>
    <w:rsid w:val="007E6F40"/>
    <w:rsid w:val="007E71EA"/>
    <w:rsid w:val="007E769A"/>
    <w:rsid w:val="007F05B6"/>
    <w:rsid w:val="007F0EFC"/>
    <w:rsid w:val="007F155B"/>
    <w:rsid w:val="007F1720"/>
    <w:rsid w:val="007F1881"/>
    <w:rsid w:val="007F1D61"/>
    <w:rsid w:val="007F262D"/>
    <w:rsid w:val="007F2E01"/>
    <w:rsid w:val="007F2ECB"/>
    <w:rsid w:val="007F30D0"/>
    <w:rsid w:val="007F3575"/>
    <w:rsid w:val="007F39C3"/>
    <w:rsid w:val="007F3FCD"/>
    <w:rsid w:val="007F410D"/>
    <w:rsid w:val="007F4256"/>
    <w:rsid w:val="007F45FD"/>
    <w:rsid w:val="007F4D72"/>
    <w:rsid w:val="007F50B4"/>
    <w:rsid w:val="007F53C3"/>
    <w:rsid w:val="007F540D"/>
    <w:rsid w:val="007F5B5C"/>
    <w:rsid w:val="007F6309"/>
    <w:rsid w:val="007F6616"/>
    <w:rsid w:val="007F7BC5"/>
    <w:rsid w:val="007F7CE4"/>
    <w:rsid w:val="00800D8D"/>
    <w:rsid w:val="00801038"/>
    <w:rsid w:val="00801514"/>
    <w:rsid w:val="008016A0"/>
    <w:rsid w:val="00801F28"/>
    <w:rsid w:val="00802448"/>
    <w:rsid w:val="008025DF"/>
    <w:rsid w:val="008028A9"/>
    <w:rsid w:val="00802A72"/>
    <w:rsid w:val="00802D61"/>
    <w:rsid w:val="0080342F"/>
    <w:rsid w:val="00804214"/>
    <w:rsid w:val="008042AA"/>
    <w:rsid w:val="00804D37"/>
    <w:rsid w:val="00805574"/>
    <w:rsid w:val="00805E14"/>
    <w:rsid w:val="008064F3"/>
    <w:rsid w:val="00806781"/>
    <w:rsid w:val="00806925"/>
    <w:rsid w:val="00806AA6"/>
    <w:rsid w:val="00807031"/>
    <w:rsid w:val="0080731C"/>
    <w:rsid w:val="008078FB"/>
    <w:rsid w:val="0081049D"/>
    <w:rsid w:val="00810781"/>
    <w:rsid w:val="00810AC0"/>
    <w:rsid w:val="00810AC1"/>
    <w:rsid w:val="00810BB6"/>
    <w:rsid w:val="00810FD8"/>
    <w:rsid w:val="0081137E"/>
    <w:rsid w:val="00811D1F"/>
    <w:rsid w:val="00812B92"/>
    <w:rsid w:val="00812C5C"/>
    <w:rsid w:val="00813899"/>
    <w:rsid w:val="00814070"/>
    <w:rsid w:val="00814C90"/>
    <w:rsid w:val="008157D3"/>
    <w:rsid w:val="008157F4"/>
    <w:rsid w:val="008168B8"/>
    <w:rsid w:val="00816924"/>
    <w:rsid w:val="00817396"/>
    <w:rsid w:val="00820335"/>
    <w:rsid w:val="008204DE"/>
    <w:rsid w:val="008204FD"/>
    <w:rsid w:val="00820764"/>
    <w:rsid w:val="00820D93"/>
    <w:rsid w:val="00821393"/>
    <w:rsid w:val="008215E5"/>
    <w:rsid w:val="00822C09"/>
    <w:rsid w:val="00823074"/>
    <w:rsid w:val="008236EE"/>
    <w:rsid w:val="00824088"/>
    <w:rsid w:val="008244CA"/>
    <w:rsid w:val="008245CF"/>
    <w:rsid w:val="0082460C"/>
    <w:rsid w:val="0082462C"/>
    <w:rsid w:val="00824A4F"/>
    <w:rsid w:val="00824C93"/>
    <w:rsid w:val="00824E3C"/>
    <w:rsid w:val="00824E72"/>
    <w:rsid w:val="008252BF"/>
    <w:rsid w:val="008256EA"/>
    <w:rsid w:val="008257B9"/>
    <w:rsid w:val="008257CE"/>
    <w:rsid w:val="00825858"/>
    <w:rsid w:val="00825948"/>
    <w:rsid w:val="00825E0D"/>
    <w:rsid w:val="008261F8"/>
    <w:rsid w:val="00826FC5"/>
    <w:rsid w:val="00827013"/>
    <w:rsid w:val="00827170"/>
    <w:rsid w:val="0082717C"/>
    <w:rsid w:val="00830161"/>
    <w:rsid w:val="00830DB4"/>
    <w:rsid w:val="00831557"/>
    <w:rsid w:val="00831FB2"/>
    <w:rsid w:val="008320EB"/>
    <w:rsid w:val="00832B0B"/>
    <w:rsid w:val="00833BEF"/>
    <w:rsid w:val="00833FED"/>
    <w:rsid w:val="008347CE"/>
    <w:rsid w:val="00834AC3"/>
    <w:rsid w:val="00835FA8"/>
    <w:rsid w:val="00836204"/>
    <w:rsid w:val="00836DDA"/>
    <w:rsid w:val="00837760"/>
    <w:rsid w:val="008378DC"/>
    <w:rsid w:val="008411BF"/>
    <w:rsid w:val="008419CE"/>
    <w:rsid w:val="00841D51"/>
    <w:rsid w:val="008437DA"/>
    <w:rsid w:val="00843827"/>
    <w:rsid w:val="0084470D"/>
    <w:rsid w:val="008447BB"/>
    <w:rsid w:val="008449FB"/>
    <w:rsid w:val="00844C60"/>
    <w:rsid w:val="00845A6B"/>
    <w:rsid w:val="00845DA7"/>
    <w:rsid w:val="00845F55"/>
    <w:rsid w:val="008466A8"/>
    <w:rsid w:val="008467FF"/>
    <w:rsid w:val="008468BE"/>
    <w:rsid w:val="00846D40"/>
    <w:rsid w:val="00847024"/>
    <w:rsid w:val="00847083"/>
    <w:rsid w:val="008473EF"/>
    <w:rsid w:val="00847A0C"/>
    <w:rsid w:val="00847DC1"/>
    <w:rsid w:val="00847EDA"/>
    <w:rsid w:val="00850688"/>
    <w:rsid w:val="0085135B"/>
    <w:rsid w:val="00851663"/>
    <w:rsid w:val="00851A85"/>
    <w:rsid w:val="00851AE3"/>
    <w:rsid w:val="0085264C"/>
    <w:rsid w:val="00852C84"/>
    <w:rsid w:val="00852F0B"/>
    <w:rsid w:val="00853082"/>
    <w:rsid w:val="00855642"/>
    <w:rsid w:val="008556D4"/>
    <w:rsid w:val="0085631B"/>
    <w:rsid w:val="008563F8"/>
    <w:rsid w:val="008566BB"/>
    <w:rsid w:val="00856E6E"/>
    <w:rsid w:val="00857ACC"/>
    <w:rsid w:val="00857EF7"/>
    <w:rsid w:val="00860031"/>
    <w:rsid w:val="0086017F"/>
    <w:rsid w:val="008604BA"/>
    <w:rsid w:val="008607B6"/>
    <w:rsid w:val="0086136E"/>
    <w:rsid w:val="008617FC"/>
    <w:rsid w:val="008618E4"/>
    <w:rsid w:val="00861964"/>
    <w:rsid w:val="00861B24"/>
    <w:rsid w:val="00861D95"/>
    <w:rsid w:val="008628DF"/>
    <w:rsid w:val="008630F4"/>
    <w:rsid w:val="00863B85"/>
    <w:rsid w:val="00863D37"/>
    <w:rsid w:val="00864152"/>
    <w:rsid w:val="008644B3"/>
    <w:rsid w:val="0086475C"/>
    <w:rsid w:val="008651C1"/>
    <w:rsid w:val="00865459"/>
    <w:rsid w:val="008655D6"/>
    <w:rsid w:val="008656E8"/>
    <w:rsid w:val="00865BDE"/>
    <w:rsid w:val="00865FD3"/>
    <w:rsid w:val="008664AF"/>
    <w:rsid w:val="00866721"/>
    <w:rsid w:val="00866A9D"/>
    <w:rsid w:val="00866E2E"/>
    <w:rsid w:val="00867615"/>
    <w:rsid w:val="008676EC"/>
    <w:rsid w:val="00867C20"/>
    <w:rsid w:val="00867D80"/>
    <w:rsid w:val="008714C9"/>
    <w:rsid w:val="00871F07"/>
    <w:rsid w:val="00872BFB"/>
    <w:rsid w:val="00872E72"/>
    <w:rsid w:val="00873040"/>
    <w:rsid w:val="00873ABD"/>
    <w:rsid w:val="00874511"/>
    <w:rsid w:val="008748A1"/>
    <w:rsid w:val="00874AD8"/>
    <w:rsid w:val="00874C94"/>
    <w:rsid w:val="00875226"/>
    <w:rsid w:val="0087569A"/>
    <w:rsid w:val="00875AE6"/>
    <w:rsid w:val="00876447"/>
    <w:rsid w:val="00876876"/>
    <w:rsid w:val="00876CE8"/>
    <w:rsid w:val="0087703A"/>
    <w:rsid w:val="00877B44"/>
    <w:rsid w:val="0088037E"/>
    <w:rsid w:val="00880E08"/>
    <w:rsid w:val="008815D8"/>
    <w:rsid w:val="00881649"/>
    <w:rsid w:val="008817A6"/>
    <w:rsid w:val="00881807"/>
    <w:rsid w:val="00881868"/>
    <w:rsid w:val="00882681"/>
    <w:rsid w:val="00882872"/>
    <w:rsid w:val="00882DAF"/>
    <w:rsid w:val="008831DE"/>
    <w:rsid w:val="00883291"/>
    <w:rsid w:val="00884807"/>
    <w:rsid w:val="0088486A"/>
    <w:rsid w:val="008856CF"/>
    <w:rsid w:val="008858F1"/>
    <w:rsid w:val="00885FC7"/>
    <w:rsid w:val="00886548"/>
    <w:rsid w:val="0088659C"/>
    <w:rsid w:val="008869ED"/>
    <w:rsid w:val="008873D7"/>
    <w:rsid w:val="00887A4E"/>
    <w:rsid w:val="00887B4C"/>
    <w:rsid w:val="00887D24"/>
    <w:rsid w:val="00887F07"/>
    <w:rsid w:val="008900D2"/>
    <w:rsid w:val="008905D0"/>
    <w:rsid w:val="0089093D"/>
    <w:rsid w:val="00890988"/>
    <w:rsid w:val="008912BC"/>
    <w:rsid w:val="008919ED"/>
    <w:rsid w:val="00891EA2"/>
    <w:rsid w:val="008921CF"/>
    <w:rsid w:val="00892433"/>
    <w:rsid w:val="00892629"/>
    <w:rsid w:val="00892CD0"/>
    <w:rsid w:val="008930FB"/>
    <w:rsid w:val="00893247"/>
    <w:rsid w:val="008936B5"/>
    <w:rsid w:val="00893EBE"/>
    <w:rsid w:val="0089460A"/>
    <w:rsid w:val="00894D50"/>
    <w:rsid w:val="0089591D"/>
    <w:rsid w:val="00896840"/>
    <w:rsid w:val="00896F9F"/>
    <w:rsid w:val="008970EE"/>
    <w:rsid w:val="00897196"/>
    <w:rsid w:val="008973F0"/>
    <w:rsid w:val="008974EF"/>
    <w:rsid w:val="008A0609"/>
    <w:rsid w:val="008A0F93"/>
    <w:rsid w:val="008A122F"/>
    <w:rsid w:val="008A245A"/>
    <w:rsid w:val="008A2C7A"/>
    <w:rsid w:val="008A2F92"/>
    <w:rsid w:val="008A34F9"/>
    <w:rsid w:val="008A3DFE"/>
    <w:rsid w:val="008A4367"/>
    <w:rsid w:val="008A43A6"/>
    <w:rsid w:val="008A48F6"/>
    <w:rsid w:val="008A4A55"/>
    <w:rsid w:val="008A4F2F"/>
    <w:rsid w:val="008A5063"/>
    <w:rsid w:val="008A57B1"/>
    <w:rsid w:val="008A5A0A"/>
    <w:rsid w:val="008A5CC7"/>
    <w:rsid w:val="008A5E7C"/>
    <w:rsid w:val="008A5E8E"/>
    <w:rsid w:val="008A5F08"/>
    <w:rsid w:val="008A6805"/>
    <w:rsid w:val="008A6871"/>
    <w:rsid w:val="008A6BA2"/>
    <w:rsid w:val="008A7C2F"/>
    <w:rsid w:val="008B07EE"/>
    <w:rsid w:val="008B182F"/>
    <w:rsid w:val="008B1E4E"/>
    <w:rsid w:val="008B1EE9"/>
    <w:rsid w:val="008B22A7"/>
    <w:rsid w:val="008B2749"/>
    <w:rsid w:val="008B349A"/>
    <w:rsid w:val="008B3AE1"/>
    <w:rsid w:val="008B3BEB"/>
    <w:rsid w:val="008B4E57"/>
    <w:rsid w:val="008B59ED"/>
    <w:rsid w:val="008B5FA2"/>
    <w:rsid w:val="008B6087"/>
    <w:rsid w:val="008B64D0"/>
    <w:rsid w:val="008B7CA9"/>
    <w:rsid w:val="008C01A4"/>
    <w:rsid w:val="008C03CC"/>
    <w:rsid w:val="008C1C85"/>
    <w:rsid w:val="008C1EB5"/>
    <w:rsid w:val="008C2884"/>
    <w:rsid w:val="008C2908"/>
    <w:rsid w:val="008C3739"/>
    <w:rsid w:val="008C3900"/>
    <w:rsid w:val="008C4166"/>
    <w:rsid w:val="008C44AE"/>
    <w:rsid w:val="008C4990"/>
    <w:rsid w:val="008C4F87"/>
    <w:rsid w:val="008C527F"/>
    <w:rsid w:val="008C550D"/>
    <w:rsid w:val="008C5902"/>
    <w:rsid w:val="008C5F52"/>
    <w:rsid w:val="008C5F83"/>
    <w:rsid w:val="008C6F3C"/>
    <w:rsid w:val="008C7692"/>
    <w:rsid w:val="008C7AB3"/>
    <w:rsid w:val="008D0040"/>
    <w:rsid w:val="008D006F"/>
    <w:rsid w:val="008D042C"/>
    <w:rsid w:val="008D0A27"/>
    <w:rsid w:val="008D1633"/>
    <w:rsid w:val="008D1B43"/>
    <w:rsid w:val="008D1CB1"/>
    <w:rsid w:val="008D2027"/>
    <w:rsid w:val="008D22A7"/>
    <w:rsid w:val="008D236B"/>
    <w:rsid w:val="008D32C6"/>
    <w:rsid w:val="008D36A8"/>
    <w:rsid w:val="008D3719"/>
    <w:rsid w:val="008D3795"/>
    <w:rsid w:val="008D3C6D"/>
    <w:rsid w:val="008D3F93"/>
    <w:rsid w:val="008D435D"/>
    <w:rsid w:val="008D45EE"/>
    <w:rsid w:val="008D460A"/>
    <w:rsid w:val="008D4AC7"/>
    <w:rsid w:val="008D5273"/>
    <w:rsid w:val="008D5BA6"/>
    <w:rsid w:val="008D5D98"/>
    <w:rsid w:val="008D620C"/>
    <w:rsid w:val="008D63F6"/>
    <w:rsid w:val="008D670F"/>
    <w:rsid w:val="008D7586"/>
    <w:rsid w:val="008E05C2"/>
    <w:rsid w:val="008E0CAB"/>
    <w:rsid w:val="008E1026"/>
    <w:rsid w:val="008E12CC"/>
    <w:rsid w:val="008E246F"/>
    <w:rsid w:val="008E25AB"/>
    <w:rsid w:val="008E2CE2"/>
    <w:rsid w:val="008E39EF"/>
    <w:rsid w:val="008E3E36"/>
    <w:rsid w:val="008E41B8"/>
    <w:rsid w:val="008E43D7"/>
    <w:rsid w:val="008E4749"/>
    <w:rsid w:val="008E4DE8"/>
    <w:rsid w:val="008E5656"/>
    <w:rsid w:val="008E6101"/>
    <w:rsid w:val="008E6AE6"/>
    <w:rsid w:val="008E6F63"/>
    <w:rsid w:val="008E7B8F"/>
    <w:rsid w:val="008F08FC"/>
    <w:rsid w:val="008F0EC1"/>
    <w:rsid w:val="008F1145"/>
    <w:rsid w:val="008F18CF"/>
    <w:rsid w:val="008F1CE1"/>
    <w:rsid w:val="008F1FDF"/>
    <w:rsid w:val="008F25CF"/>
    <w:rsid w:val="008F264A"/>
    <w:rsid w:val="008F3034"/>
    <w:rsid w:val="008F325D"/>
    <w:rsid w:val="008F3260"/>
    <w:rsid w:val="008F3B79"/>
    <w:rsid w:val="008F3D0C"/>
    <w:rsid w:val="008F3E2F"/>
    <w:rsid w:val="008F45A9"/>
    <w:rsid w:val="008F61AC"/>
    <w:rsid w:val="008F6AA6"/>
    <w:rsid w:val="008F772B"/>
    <w:rsid w:val="008F7C60"/>
    <w:rsid w:val="008F7D70"/>
    <w:rsid w:val="009003CA"/>
    <w:rsid w:val="00900A69"/>
    <w:rsid w:val="00901AC5"/>
    <w:rsid w:val="00901EF6"/>
    <w:rsid w:val="009022D6"/>
    <w:rsid w:val="009025A5"/>
    <w:rsid w:val="009029D1"/>
    <w:rsid w:val="00902BE8"/>
    <w:rsid w:val="009041EC"/>
    <w:rsid w:val="0090480F"/>
    <w:rsid w:val="00904A20"/>
    <w:rsid w:val="00904A2F"/>
    <w:rsid w:val="00904B1E"/>
    <w:rsid w:val="00904E09"/>
    <w:rsid w:val="00905770"/>
    <w:rsid w:val="00905E17"/>
    <w:rsid w:val="00905EB0"/>
    <w:rsid w:val="009064D3"/>
    <w:rsid w:val="00906BD0"/>
    <w:rsid w:val="00906E2F"/>
    <w:rsid w:val="00906FAF"/>
    <w:rsid w:val="009071F8"/>
    <w:rsid w:val="00907383"/>
    <w:rsid w:val="00907874"/>
    <w:rsid w:val="00910751"/>
    <w:rsid w:val="00910C36"/>
    <w:rsid w:val="00912497"/>
    <w:rsid w:val="00912504"/>
    <w:rsid w:val="00912569"/>
    <w:rsid w:val="00912695"/>
    <w:rsid w:val="00912FCC"/>
    <w:rsid w:val="00913075"/>
    <w:rsid w:val="0091347A"/>
    <w:rsid w:val="009135A8"/>
    <w:rsid w:val="00913DC0"/>
    <w:rsid w:val="00914388"/>
    <w:rsid w:val="00914D61"/>
    <w:rsid w:val="009150F1"/>
    <w:rsid w:val="009152E7"/>
    <w:rsid w:val="009157F3"/>
    <w:rsid w:val="009158B7"/>
    <w:rsid w:val="00915A4E"/>
    <w:rsid w:val="00916AAD"/>
    <w:rsid w:val="0091712E"/>
    <w:rsid w:val="00917DBE"/>
    <w:rsid w:val="009202D6"/>
    <w:rsid w:val="009205C9"/>
    <w:rsid w:val="00922133"/>
    <w:rsid w:val="009223D0"/>
    <w:rsid w:val="00922A7A"/>
    <w:rsid w:val="00922E01"/>
    <w:rsid w:val="00922F42"/>
    <w:rsid w:val="00922F90"/>
    <w:rsid w:val="00923413"/>
    <w:rsid w:val="00923E93"/>
    <w:rsid w:val="00924179"/>
    <w:rsid w:val="009249FB"/>
    <w:rsid w:val="00924D19"/>
    <w:rsid w:val="00924E9C"/>
    <w:rsid w:val="0092522A"/>
    <w:rsid w:val="0092580A"/>
    <w:rsid w:val="00925CD2"/>
    <w:rsid w:val="009261C0"/>
    <w:rsid w:val="00926BE0"/>
    <w:rsid w:val="009270E4"/>
    <w:rsid w:val="00927C52"/>
    <w:rsid w:val="00927EB0"/>
    <w:rsid w:val="00930561"/>
    <w:rsid w:val="0093097D"/>
    <w:rsid w:val="009310DC"/>
    <w:rsid w:val="009311ED"/>
    <w:rsid w:val="00932421"/>
    <w:rsid w:val="00932686"/>
    <w:rsid w:val="009330F7"/>
    <w:rsid w:val="0093328C"/>
    <w:rsid w:val="00933E90"/>
    <w:rsid w:val="00933EBF"/>
    <w:rsid w:val="0093490B"/>
    <w:rsid w:val="0093537E"/>
    <w:rsid w:val="00935538"/>
    <w:rsid w:val="0093691B"/>
    <w:rsid w:val="00937159"/>
    <w:rsid w:val="00937252"/>
    <w:rsid w:val="0093774B"/>
    <w:rsid w:val="009377C9"/>
    <w:rsid w:val="00937EF2"/>
    <w:rsid w:val="009400A8"/>
    <w:rsid w:val="009403A3"/>
    <w:rsid w:val="009403D9"/>
    <w:rsid w:val="00940B13"/>
    <w:rsid w:val="00940C14"/>
    <w:rsid w:val="00940EFD"/>
    <w:rsid w:val="009414AB"/>
    <w:rsid w:val="009420FE"/>
    <w:rsid w:val="00942393"/>
    <w:rsid w:val="00942E1F"/>
    <w:rsid w:val="009431E2"/>
    <w:rsid w:val="00943534"/>
    <w:rsid w:val="00943812"/>
    <w:rsid w:val="00943FA4"/>
    <w:rsid w:val="00943FA9"/>
    <w:rsid w:val="00944547"/>
    <w:rsid w:val="00944640"/>
    <w:rsid w:val="0094466D"/>
    <w:rsid w:val="0094466E"/>
    <w:rsid w:val="00944CAE"/>
    <w:rsid w:val="009456BC"/>
    <w:rsid w:val="00945A74"/>
    <w:rsid w:val="00946186"/>
    <w:rsid w:val="009462D0"/>
    <w:rsid w:val="00946B80"/>
    <w:rsid w:val="00946B91"/>
    <w:rsid w:val="00946BDF"/>
    <w:rsid w:val="009470EB"/>
    <w:rsid w:val="0094741C"/>
    <w:rsid w:val="0094772A"/>
    <w:rsid w:val="00947AEB"/>
    <w:rsid w:val="00947CAC"/>
    <w:rsid w:val="00947F34"/>
    <w:rsid w:val="009510D2"/>
    <w:rsid w:val="00951E41"/>
    <w:rsid w:val="00952A0F"/>
    <w:rsid w:val="00952ABF"/>
    <w:rsid w:val="00952EF2"/>
    <w:rsid w:val="009535F3"/>
    <w:rsid w:val="00953974"/>
    <w:rsid w:val="00953C48"/>
    <w:rsid w:val="0095407F"/>
    <w:rsid w:val="009542B7"/>
    <w:rsid w:val="0095517E"/>
    <w:rsid w:val="009555F0"/>
    <w:rsid w:val="009558CC"/>
    <w:rsid w:val="009565AF"/>
    <w:rsid w:val="00956E62"/>
    <w:rsid w:val="00956FEA"/>
    <w:rsid w:val="009575AC"/>
    <w:rsid w:val="00957B24"/>
    <w:rsid w:val="00957C90"/>
    <w:rsid w:val="00957F54"/>
    <w:rsid w:val="0096070B"/>
    <w:rsid w:val="00960EF9"/>
    <w:rsid w:val="00960FFE"/>
    <w:rsid w:val="009619EC"/>
    <w:rsid w:val="00961AA5"/>
    <w:rsid w:val="00961BBC"/>
    <w:rsid w:val="00961DE4"/>
    <w:rsid w:val="0096212E"/>
    <w:rsid w:val="00962BD7"/>
    <w:rsid w:val="009634F4"/>
    <w:rsid w:val="009635CB"/>
    <w:rsid w:val="00963920"/>
    <w:rsid w:val="00963E4B"/>
    <w:rsid w:val="00965941"/>
    <w:rsid w:val="00965AC9"/>
    <w:rsid w:val="0096642F"/>
    <w:rsid w:val="00966C62"/>
    <w:rsid w:val="00966E92"/>
    <w:rsid w:val="00966F95"/>
    <w:rsid w:val="009709AF"/>
    <w:rsid w:val="0097138E"/>
    <w:rsid w:val="00971432"/>
    <w:rsid w:val="00971779"/>
    <w:rsid w:val="009717BF"/>
    <w:rsid w:val="009719D4"/>
    <w:rsid w:val="009719E0"/>
    <w:rsid w:val="00971C76"/>
    <w:rsid w:val="00972796"/>
    <w:rsid w:val="009729A8"/>
    <w:rsid w:val="00973387"/>
    <w:rsid w:val="009734EF"/>
    <w:rsid w:val="00973D27"/>
    <w:rsid w:val="0097462B"/>
    <w:rsid w:val="009746B0"/>
    <w:rsid w:val="00974881"/>
    <w:rsid w:val="009748ED"/>
    <w:rsid w:val="0097554F"/>
    <w:rsid w:val="00975B71"/>
    <w:rsid w:val="00975DBC"/>
    <w:rsid w:val="00975EBC"/>
    <w:rsid w:val="00976155"/>
    <w:rsid w:val="00976233"/>
    <w:rsid w:val="009763D8"/>
    <w:rsid w:val="009765C8"/>
    <w:rsid w:val="009769A2"/>
    <w:rsid w:val="00976B39"/>
    <w:rsid w:val="00976D1D"/>
    <w:rsid w:val="00980109"/>
    <w:rsid w:val="009803A2"/>
    <w:rsid w:val="0098066D"/>
    <w:rsid w:val="0098106C"/>
    <w:rsid w:val="009815E2"/>
    <w:rsid w:val="009819C0"/>
    <w:rsid w:val="00981CE4"/>
    <w:rsid w:val="00982246"/>
    <w:rsid w:val="00982500"/>
    <w:rsid w:val="00982B7E"/>
    <w:rsid w:val="00982E0B"/>
    <w:rsid w:val="00983128"/>
    <w:rsid w:val="00983297"/>
    <w:rsid w:val="00984DA0"/>
    <w:rsid w:val="009850BF"/>
    <w:rsid w:val="0098588B"/>
    <w:rsid w:val="0098607A"/>
    <w:rsid w:val="00986373"/>
    <w:rsid w:val="009865C0"/>
    <w:rsid w:val="00986C1C"/>
    <w:rsid w:val="0098707E"/>
    <w:rsid w:val="009876E5"/>
    <w:rsid w:val="009879C3"/>
    <w:rsid w:val="00987DE7"/>
    <w:rsid w:val="00987F7A"/>
    <w:rsid w:val="00990124"/>
    <w:rsid w:val="00990507"/>
    <w:rsid w:val="00990EFD"/>
    <w:rsid w:val="00990FED"/>
    <w:rsid w:val="0099118B"/>
    <w:rsid w:val="009915D4"/>
    <w:rsid w:val="009916C1"/>
    <w:rsid w:val="0099265E"/>
    <w:rsid w:val="009927A0"/>
    <w:rsid w:val="00992888"/>
    <w:rsid w:val="00993236"/>
    <w:rsid w:val="0099345B"/>
    <w:rsid w:val="00993BB4"/>
    <w:rsid w:val="00993BD0"/>
    <w:rsid w:val="00993C9E"/>
    <w:rsid w:val="00994946"/>
    <w:rsid w:val="00994A04"/>
    <w:rsid w:val="00994AD5"/>
    <w:rsid w:val="009952B3"/>
    <w:rsid w:val="009963CA"/>
    <w:rsid w:val="00996AA6"/>
    <w:rsid w:val="00996DB7"/>
    <w:rsid w:val="009970A8"/>
    <w:rsid w:val="009970F3"/>
    <w:rsid w:val="009974E9"/>
    <w:rsid w:val="00997597"/>
    <w:rsid w:val="009A0344"/>
    <w:rsid w:val="009A035D"/>
    <w:rsid w:val="009A04AE"/>
    <w:rsid w:val="009A0C93"/>
    <w:rsid w:val="009A1142"/>
    <w:rsid w:val="009A14A4"/>
    <w:rsid w:val="009A23F1"/>
    <w:rsid w:val="009A2F57"/>
    <w:rsid w:val="009A3408"/>
    <w:rsid w:val="009A3E92"/>
    <w:rsid w:val="009A4081"/>
    <w:rsid w:val="009A41D3"/>
    <w:rsid w:val="009A43AA"/>
    <w:rsid w:val="009A462C"/>
    <w:rsid w:val="009A4ADB"/>
    <w:rsid w:val="009A4D41"/>
    <w:rsid w:val="009A4F94"/>
    <w:rsid w:val="009A52F2"/>
    <w:rsid w:val="009A5C4D"/>
    <w:rsid w:val="009A63C7"/>
    <w:rsid w:val="009A652D"/>
    <w:rsid w:val="009A6C1B"/>
    <w:rsid w:val="009A6DCC"/>
    <w:rsid w:val="009A7057"/>
    <w:rsid w:val="009A719C"/>
    <w:rsid w:val="009A7247"/>
    <w:rsid w:val="009A7483"/>
    <w:rsid w:val="009A778A"/>
    <w:rsid w:val="009A77E4"/>
    <w:rsid w:val="009B060E"/>
    <w:rsid w:val="009B0C41"/>
    <w:rsid w:val="009B10C7"/>
    <w:rsid w:val="009B1838"/>
    <w:rsid w:val="009B26EF"/>
    <w:rsid w:val="009B3053"/>
    <w:rsid w:val="009B369F"/>
    <w:rsid w:val="009B3736"/>
    <w:rsid w:val="009B3AA0"/>
    <w:rsid w:val="009B442D"/>
    <w:rsid w:val="009B477C"/>
    <w:rsid w:val="009B5053"/>
    <w:rsid w:val="009B517D"/>
    <w:rsid w:val="009B55D3"/>
    <w:rsid w:val="009B5E4A"/>
    <w:rsid w:val="009B6381"/>
    <w:rsid w:val="009B6395"/>
    <w:rsid w:val="009B6E68"/>
    <w:rsid w:val="009B7169"/>
    <w:rsid w:val="009B7892"/>
    <w:rsid w:val="009C0071"/>
    <w:rsid w:val="009C06C9"/>
    <w:rsid w:val="009C077C"/>
    <w:rsid w:val="009C089A"/>
    <w:rsid w:val="009C1121"/>
    <w:rsid w:val="009C1204"/>
    <w:rsid w:val="009C1397"/>
    <w:rsid w:val="009C14BB"/>
    <w:rsid w:val="009C162B"/>
    <w:rsid w:val="009C1742"/>
    <w:rsid w:val="009C177D"/>
    <w:rsid w:val="009C1EBB"/>
    <w:rsid w:val="009C1FAA"/>
    <w:rsid w:val="009C1FCF"/>
    <w:rsid w:val="009C207D"/>
    <w:rsid w:val="009C28D7"/>
    <w:rsid w:val="009C339F"/>
    <w:rsid w:val="009C3B5E"/>
    <w:rsid w:val="009C3BB0"/>
    <w:rsid w:val="009C4732"/>
    <w:rsid w:val="009C4A5D"/>
    <w:rsid w:val="009C500F"/>
    <w:rsid w:val="009C528F"/>
    <w:rsid w:val="009C56EA"/>
    <w:rsid w:val="009C5821"/>
    <w:rsid w:val="009C5B85"/>
    <w:rsid w:val="009C5D9F"/>
    <w:rsid w:val="009C5F32"/>
    <w:rsid w:val="009C5FBD"/>
    <w:rsid w:val="009C6D6D"/>
    <w:rsid w:val="009C7426"/>
    <w:rsid w:val="009C7A9E"/>
    <w:rsid w:val="009C7CCD"/>
    <w:rsid w:val="009C7D3B"/>
    <w:rsid w:val="009C7D9A"/>
    <w:rsid w:val="009D015E"/>
    <w:rsid w:val="009D01C9"/>
    <w:rsid w:val="009D09B0"/>
    <w:rsid w:val="009D0EFD"/>
    <w:rsid w:val="009D128B"/>
    <w:rsid w:val="009D21B7"/>
    <w:rsid w:val="009D4182"/>
    <w:rsid w:val="009D6B96"/>
    <w:rsid w:val="009D6EF1"/>
    <w:rsid w:val="009D75AC"/>
    <w:rsid w:val="009D771C"/>
    <w:rsid w:val="009D7C77"/>
    <w:rsid w:val="009E1794"/>
    <w:rsid w:val="009E18F9"/>
    <w:rsid w:val="009E1C2D"/>
    <w:rsid w:val="009E1FAE"/>
    <w:rsid w:val="009E20B3"/>
    <w:rsid w:val="009E2313"/>
    <w:rsid w:val="009E2F19"/>
    <w:rsid w:val="009E32FE"/>
    <w:rsid w:val="009E351D"/>
    <w:rsid w:val="009E3B05"/>
    <w:rsid w:val="009E4454"/>
    <w:rsid w:val="009E44FA"/>
    <w:rsid w:val="009E4827"/>
    <w:rsid w:val="009E52F1"/>
    <w:rsid w:val="009E665F"/>
    <w:rsid w:val="009E6E13"/>
    <w:rsid w:val="009E6EF3"/>
    <w:rsid w:val="009E7099"/>
    <w:rsid w:val="009E7191"/>
    <w:rsid w:val="009E72F2"/>
    <w:rsid w:val="009E76A1"/>
    <w:rsid w:val="009E77FE"/>
    <w:rsid w:val="009F05B5"/>
    <w:rsid w:val="009F09A7"/>
    <w:rsid w:val="009F0E0D"/>
    <w:rsid w:val="009F1714"/>
    <w:rsid w:val="009F1828"/>
    <w:rsid w:val="009F18E9"/>
    <w:rsid w:val="009F2091"/>
    <w:rsid w:val="009F21B0"/>
    <w:rsid w:val="009F2338"/>
    <w:rsid w:val="009F280C"/>
    <w:rsid w:val="009F29CE"/>
    <w:rsid w:val="009F2D1F"/>
    <w:rsid w:val="009F3892"/>
    <w:rsid w:val="009F3DA9"/>
    <w:rsid w:val="009F438C"/>
    <w:rsid w:val="009F469E"/>
    <w:rsid w:val="009F4961"/>
    <w:rsid w:val="009F51D9"/>
    <w:rsid w:val="009F62EA"/>
    <w:rsid w:val="009F6909"/>
    <w:rsid w:val="009F6B59"/>
    <w:rsid w:val="009F6CD7"/>
    <w:rsid w:val="009F6DBB"/>
    <w:rsid w:val="009F74E4"/>
    <w:rsid w:val="00A00150"/>
    <w:rsid w:val="00A012DD"/>
    <w:rsid w:val="00A013B3"/>
    <w:rsid w:val="00A016AC"/>
    <w:rsid w:val="00A01D9A"/>
    <w:rsid w:val="00A0218A"/>
    <w:rsid w:val="00A02734"/>
    <w:rsid w:val="00A02855"/>
    <w:rsid w:val="00A0308B"/>
    <w:rsid w:val="00A03335"/>
    <w:rsid w:val="00A039D9"/>
    <w:rsid w:val="00A041D9"/>
    <w:rsid w:val="00A04BCD"/>
    <w:rsid w:val="00A04F3C"/>
    <w:rsid w:val="00A059F4"/>
    <w:rsid w:val="00A05CA3"/>
    <w:rsid w:val="00A05D56"/>
    <w:rsid w:val="00A07D39"/>
    <w:rsid w:val="00A10523"/>
    <w:rsid w:val="00A10736"/>
    <w:rsid w:val="00A10843"/>
    <w:rsid w:val="00A10E4F"/>
    <w:rsid w:val="00A1127A"/>
    <w:rsid w:val="00A112CA"/>
    <w:rsid w:val="00A11909"/>
    <w:rsid w:val="00A11CF5"/>
    <w:rsid w:val="00A125B6"/>
    <w:rsid w:val="00A13279"/>
    <w:rsid w:val="00A134BA"/>
    <w:rsid w:val="00A13A70"/>
    <w:rsid w:val="00A13CEF"/>
    <w:rsid w:val="00A14AAE"/>
    <w:rsid w:val="00A14B80"/>
    <w:rsid w:val="00A14C15"/>
    <w:rsid w:val="00A151F0"/>
    <w:rsid w:val="00A158C3"/>
    <w:rsid w:val="00A15B19"/>
    <w:rsid w:val="00A169C5"/>
    <w:rsid w:val="00A16A5E"/>
    <w:rsid w:val="00A16C87"/>
    <w:rsid w:val="00A16EBF"/>
    <w:rsid w:val="00A17FD4"/>
    <w:rsid w:val="00A2167A"/>
    <w:rsid w:val="00A21E6C"/>
    <w:rsid w:val="00A22A15"/>
    <w:rsid w:val="00A22ABC"/>
    <w:rsid w:val="00A2300B"/>
    <w:rsid w:val="00A23197"/>
    <w:rsid w:val="00A235A5"/>
    <w:rsid w:val="00A236BC"/>
    <w:rsid w:val="00A23BDB"/>
    <w:rsid w:val="00A23FCC"/>
    <w:rsid w:val="00A24193"/>
    <w:rsid w:val="00A242EF"/>
    <w:rsid w:val="00A2470C"/>
    <w:rsid w:val="00A24D4F"/>
    <w:rsid w:val="00A25827"/>
    <w:rsid w:val="00A25989"/>
    <w:rsid w:val="00A25DE8"/>
    <w:rsid w:val="00A26C54"/>
    <w:rsid w:val="00A2736B"/>
    <w:rsid w:val="00A274F2"/>
    <w:rsid w:val="00A277D4"/>
    <w:rsid w:val="00A302E9"/>
    <w:rsid w:val="00A3073C"/>
    <w:rsid w:val="00A308B1"/>
    <w:rsid w:val="00A30945"/>
    <w:rsid w:val="00A312C7"/>
    <w:rsid w:val="00A31AE2"/>
    <w:rsid w:val="00A31BBC"/>
    <w:rsid w:val="00A322D3"/>
    <w:rsid w:val="00A3273A"/>
    <w:rsid w:val="00A33E0B"/>
    <w:rsid w:val="00A34096"/>
    <w:rsid w:val="00A342CC"/>
    <w:rsid w:val="00A345B3"/>
    <w:rsid w:val="00A34790"/>
    <w:rsid w:val="00A34C95"/>
    <w:rsid w:val="00A34D02"/>
    <w:rsid w:val="00A34E04"/>
    <w:rsid w:val="00A356A1"/>
    <w:rsid w:val="00A359AA"/>
    <w:rsid w:val="00A369A2"/>
    <w:rsid w:val="00A37C11"/>
    <w:rsid w:val="00A37D8D"/>
    <w:rsid w:val="00A37FE3"/>
    <w:rsid w:val="00A40362"/>
    <w:rsid w:val="00A40427"/>
    <w:rsid w:val="00A40B34"/>
    <w:rsid w:val="00A40DA9"/>
    <w:rsid w:val="00A40E8D"/>
    <w:rsid w:val="00A41015"/>
    <w:rsid w:val="00A410D1"/>
    <w:rsid w:val="00A421AF"/>
    <w:rsid w:val="00A4417E"/>
    <w:rsid w:val="00A451A1"/>
    <w:rsid w:val="00A45287"/>
    <w:rsid w:val="00A4654B"/>
    <w:rsid w:val="00A465A3"/>
    <w:rsid w:val="00A46628"/>
    <w:rsid w:val="00A46CA8"/>
    <w:rsid w:val="00A47138"/>
    <w:rsid w:val="00A472DE"/>
    <w:rsid w:val="00A47436"/>
    <w:rsid w:val="00A475AE"/>
    <w:rsid w:val="00A47985"/>
    <w:rsid w:val="00A47AD6"/>
    <w:rsid w:val="00A5037F"/>
    <w:rsid w:val="00A51253"/>
    <w:rsid w:val="00A51306"/>
    <w:rsid w:val="00A518D9"/>
    <w:rsid w:val="00A51DF0"/>
    <w:rsid w:val="00A5203A"/>
    <w:rsid w:val="00A520B5"/>
    <w:rsid w:val="00A5216F"/>
    <w:rsid w:val="00A52B9E"/>
    <w:rsid w:val="00A52E61"/>
    <w:rsid w:val="00A53755"/>
    <w:rsid w:val="00A54183"/>
    <w:rsid w:val="00A5507C"/>
    <w:rsid w:val="00A554A7"/>
    <w:rsid w:val="00A555BD"/>
    <w:rsid w:val="00A55DB9"/>
    <w:rsid w:val="00A55F6B"/>
    <w:rsid w:val="00A56AC7"/>
    <w:rsid w:val="00A56B66"/>
    <w:rsid w:val="00A575A5"/>
    <w:rsid w:val="00A57850"/>
    <w:rsid w:val="00A60087"/>
    <w:rsid w:val="00A604E2"/>
    <w:rsid w:val="00A60787"/>
    <w:rsid w:val="00A60965"/>
    <w:rsid w:val="00A60C40"/>
    <w:rsid w:val="00A611BA"/>
    <w:rsid w:val="00A61C5D"/>
    <w:rsid w:val="00A62013"/>
    <w:rsid w:val="00A62364"/>
    <w:rsid w:val="00A6251F"/>
    <w:rsid w:val="00A6256C"/>
    <w:rsid w:val="00A628C3"/>
    <w:rsid w:val="00A62DCC"/>
    <w:rsid w:val="00A62E85"/>
    <w:rsid w:val="00A63741"/>
    <w:rsid w:val="00A638AB"/>
    <w:rsid w:val="00A65399"/>
    <w:rsid w:val="00A6540B"/>
    <w:rsid w:val="00A658B8"/>
    <w:rsid w:val="00A66293"/>
    <w:rsid w:val="00A66A79"/>
    <w:rsid w:val="00A66CA4"/>
    <w:rsid w:val="00A66EB4"/>
    <w:rsid w:val="00A66F01"/>
    <w:rsid w:val="00A673BB"/>
    <w:rsid w:val="00A677DB"/>
    <w:rsid w:val="00A67BD3"/>
    <w:rsid w:val="00A67CEE"/>
    <w:rsid w:val="00A703BA"/>
    <w:rsid w:val="00A704C4"/>
    <w:rsid w:val="00A709CB"/>
    <w:rsid w:val="00A71682"/>
    <w:rsid w:val="00A72A96"/>
    <w:rsid w:val="00A72C92"/>
    <w:rsid w:val="00A73EA1"/>
    <w:rsid w:val="00A74743"/>
    <w:rsid w:val="00A7475E"/>
    <w:rsid w:val="00A74C35"/>
    <w:rsid w:val="00A74F91"/>
    <w:rsid w:val="00A74FAB"/>
    <w:rsid w:val="00A7517E"/>
    <w:rsid w:val="00A7646E"/>
    <w:rsid w:val="00A77A45"/>
    <w:rsid w:val="00A8006C"/>
    <w:rsid w:val="00A804AF"/>
    <w:rsid w:val="00A8085B"/>
    <w:rsid w:val="00A808E1"/>
    <w:rsid w:val="00A80AD9"/>
    <w:rsid w:val="00A815E7"/>
    <w:rsid w:val="00A8175D"/>
    <w:rsid w:val="00A820B8"/>
    <w:rsid w:val="00A82FAE"/>
    <w:rsid w:val="00A838FB"/>
    <w:rsid w:val="00A84758"/>
    <w:rsid w:val="00A84971"/>
    <w:rsid w:val="00A849FF"/>
    <w:rsid w:val="00A84DAD"/>
    <w:rsid w:val="00A85664"/>
    <w:rsid w:val="00A85CC5"/>
    <w:rsid w:val="00A85DD7"/>
    <w:rsid w:val="00A864DB"/>
    <w:rsid w:val="00A866C6"/>
    <w:rsid w:val="00A86CC2"/>
    <w:rsid w:val="00A86ECD"/>
    <w:rsid w:val="00A8781D"/>
    <w:rsid w:val="00A87A74"/>
    <w:rsid w:val="00A901F2"/>
    <w:rsid w:val="00A9031E"/>
    <w:rsid w:val="00A903E7"/>
    <w:rsid w:val="00A905E7"/>
    <w:rsid w:val="00A9066E"/>
    <w:rsid w:val="00A90846"/>
    <w:rsid w:val="00A90E72"/>
    <w:rsid w:val="00A91574"/>
    <w:rsid w:val="00A92FAE"/>
    <w:rsid w:val="00A93D46"/>
    <w:rsid w:val="00A942E2"/>
    <w:rsid w:val="00A9434B"/>
    <w:rsid w:val="00A94390"/>
    <w:rsid w:val="00A944CD"/>
    <w:rsid w:val="00A944D5"/>
    <w:rsid w:val="00A9455B"/>
    <w:rsid w:val="00A9550E"/>
    <w:rsid w:val="00A95AD7"/>
    <w:rsid w:val="00A95C61"/>
    <w:rsid w:val="00A95EB7"/>
    <w:rsid w:val="00A95F5F"/>
    <w:rsid w:val="00A96040"/>
    <w:rsid w:val="00A9662A"/>
    <w:rsid w:val="00A96641"/>
    <w:rsid w:val="00A972AA"/>
    <w:rsid w:val="00A97E1B"/>
    <w:rsid w:val="00AA00AC"/>
    <w:rsid w:val="00AA011B"/>
    <w:rsid w:val="00AA0D59"/>
    <w:rsid w:val="00AA1051"/>
    <w:rsid w:val="00AA10D2"/>
    <w:rsid w:val="00AA1518"/>
    <w:rsid w:val="00AA16B8"/>
    <w:rsid w:val="00AA18AD"/>
    <w:rsid w:val="00AA2102"/>
    <w:rsid w:val="00AA2867"/>
    <w:rsid w:val="00AA2AC0"/>
    <w:rsid w:val="00AA2CFA"/>
    <w:rsid w:val="00AA387B"/>
    <w:rsid w:val="00AA3D2E"/>
    <w:rsid w:val="00AA3E35"/>
    <w:rsid w:val="00AA4145"/>
    <w:rsid w:val="00AA45A9"/>
    <w:rsid w:val="00AA4665"/>
    <w:rsid w:val="00AA48D6"/>
    <w:rsid w:val="00AA53F5"/>
    <w:rsid w:val="00AA571F"/>
    <w:rsid w:val="00AA5A90"/>
    <w:rsid w:val="00AA60F8"/>
    <w:rsid w:val="00AA652A"/>
    <w:rsid w:val="00AA6852"/>
    <w:rsid w:val="00AA6BC0"/>
    <w:rsid w:val="00AA6DAD"/>
    <w:rsid w:val="00AA6FB9"/>
    <w:rsid w:val="00AA7D64"/>
    <w:rsid w:val="00AB045F"/>
    <w:rsid w:val="00AB1467"/>
    <w:rsid w:val="00AB1A6E"/>
    <w:rsid w:val="00AB239E"/>
    <w:rsid w:val="00AB2C14"/>
    <w:rsid w:val="00AB307A"/>
    <w:rsid w:val="00AB36BB"/>
    <w:rsid w:val="00AB39AA"/>
    <w:rsid w:val="00AB3D4F"/>
    <w:rsid w:val="00AB3FB6"/>
    <w:rsid w:val="00AB480E"/>
    <w:rsid w:val="00AB53B3"/>
    <w:rsid w:val="00AB5627"/>
    <w:rsid w:val="00AB6053"/>
    <w:rsid w:val="00AB6F19"/>
    <w:rsid w:val="00AB6FDE"/>
    <w:rsid w:val="00AB7829"/>
    <w:rsid w:val="00AC05E0"/>
    <w:rsid w:val="00AC13E2"/>
    <w:rsid w:val="00AC199E"/>
    <w:rsid w:val="00AC1D07"/>
    <w:rsid w:val="00AC1E22"/>
    <w:rsid w:val="00AC3C09"/>
    <w:rsid w:val="00AC3CE2"/>
    <w:rsid w:val="00AC41EA"/>
    <w:rsid w:val="00AC4651"/>
    <w:rsid w:val="00AC4702"/>
    <w:rsid w:val="00AC480E"/>
    <w:rsid w:val="00AC5A61"/>
    <w:rsid w:val="00AC67B9"/>
    <w:rsid w:val="00AC6D74"/>
    <w:rsid w:val="00AC6EAC"/>
    <w:rsid w:val="00AC72BA"/>
    <w:rsid w:val="00AC7311"/>
    <w:rsid w:val="00AC778E"/>
    <w:rsid w:val="00AC77A9"/>
    <w:rsid w:val="00AD0E76"/>
    <w:rsid w:val="00AD124A"/>
    <w:rsid w:val="00AD13D0"/>
    <w:rsid w:val="00AD159B"/>
    <w:rsid w:val="00AD22E4"/>
    <w:rsid w:val="00AD28BB"/>
    <w:rsid w:val="00AD3461"/>
    <w:rsid w:val="00AD37E0"/>
    <w:rsid w:val="00AD3F1C"/>
    <w:rsid w:val="00AD45AF"/>
    <w:rsid w:val="00AD4A7C"/>
    <w:rsid w:val="00AD4B53"/>
    <w:rsid w:val="00AD4C30"/>
    <w:rsid w:val="00AD5BFF"/>
    <w:rsid w:val="00AD667C"/>
    <w:rsid w:val="00AD6E2D"/>
    <w:rsid w:val="00AD71BD"/>
    <w:rsid w:val="00AD7764"/>
    <w:rsid w:val="00AD797A"/>
    <w:rsid w:val="00AE1047"/>
    <w:rsid w:val="00AE11DF"/>
    <w:rsid w:val="00AE1578"/>
    <w:rsid w:val="00AE1732"/>
    <w:rsid w:val="00AE1835"/>
    <w:rsid w:val="00AE1D1D"/>
    <w:rsid w:val="00AE24FA"/>
    <w:rsid w:val="00AE2724"/>
    <w:rsid w:val="00AE2837"/>
    <w:rsid w:val="00AE2C7B"/>
    <w:rsid w:val="00AE3468"/>
    <w:rsid w:val="00AE3934"/>
    <w:rsid w:val="00AE3A86"/>
    <w:rsid w:val="00AE4296"/>
    <w:rsid w:val="00AE4468"/>
    <w:rsid w:val="00AE484D"/>
    <w:rsid w:val="00AE4E73"/>
    <w:rsid w:val="00AE510C"/>
    <w:rsid w:val="00AE5592"/>
    <w:rsid w:val="00AE5C01"/>
    <w:rsid w:val="00AE5C08"/>
    <w:rsid w:val="00AE6146"/>
    <w:rsid w:val="00AE6215"/>
    <w:rsid w:val="00AE62D7"/>
    <w:rsid w:val="00AE64D8"/>
    <w:rsid w:val="00AE6933"/>
    <w:rsid w:val="00AE6D0D"/>
    <w:rsid w:val="00AE6EA9"/>
    <w:rsid w:val="00AE6FDE"/>
    <w:rsid w:val="00AE7789"/>
    <w:rsid w:val="00AE7826"/>
    <w:rsid w:val="00AE7D6D"/>
    <w:rsid w:val="00AF0205"/>
    <w:rsid w:val="00AF0235"/>
    <w:rsid w:val="00AF1306"/>
    <w:rsid w:val="00AF1951"/>
    <w:rsid w:val="00AF1A68"/>
    <w:rsid w:val="00AF1B60"/>
    <w:rsid w:val="00AF1B91"/>
    <w:rsid w:val="00AF1C3A"/>
    <w:rsid w:val="00AF1D54"/>
    <w:rsid w:val="00AF1D9A"/>
    <w:rsid w:val="00AF1E62"/>
    <w:rsid w:val="00AF2508"/>
    <w:rsid w:val="00AF28BD"/>
    <w:rsid w:val="00AF2AEA"/>
    <w:rsid w:val="00AF3047"/>
    <w:rsid w:val="00AF3FA9"/>
    <w:rsid w:val="00AF44B0"/>
    <w:rsid w:val="00AF51A1"/>
    <w:rsid w:val="00AF51D4"/>
    <w:rsid w:val="00AF5DFF"/>
    <w:rsid w:val="00AF669F"/>
    <w:rsid w:val="00AF66F6"/>
    <w:rsid w:val="00AF6705"/>
    <w:rsid w:val="00AF6D62"/>
    <w:rsid w:val="00AF731A"/>
    <w:rsid w:val="00AF74B8"/>
    <w:rsid w:val="00AF7825"/>
    <w:rsid w:val="00AF7931"/>
    <w:rsid w:val="00AF7E46"/>
    <w:rsid w:val="00B00001"/>
    <w:rsid w:val="00B005E9"/>
    <w:rsid w:val="00B00662"/>
    <w:rsid w:val="00B00D98"/>
    <w:rsid w:val="00B0139E"/>
    <w:rsid w:val="00B01BB2"/>
    <w:rsid w:val="00B01D01"/>
    <w:rsid w:val="00B01F42"/>
    <w:rsid w:val="00B02198"/>
    <w:rsid w:val="00B02CF4"/>
    <w:rsid w:val="00B02EB2"/>
    <w:rsid w:val="00B02F51"/>
    <w:rsid w:val="00B03285"/>
    <w:rsid w:val="00B03DF5"/>
    <w:rsid w:val="00B0414D"/>
    <w:rsid w:val="00B04475"/>
    <w:rsid w:val="00B04A27"/>
    <w:rsid w:val="00B05B9B"/>
    <w:rsid w:val="00B05CCF"/>
    <w:rsid w:val="00B05D77"/>
    <w:rsid w:val="00B06910"/>
    <w:rsid w:val="00B06933"/>
    <w:rsid w:val="00B07086"/>
    <w:rsid w:val="00B076C4"/>
    <w:rsid w:val="00B078C3"/>
    <w:rsid w:val="00B07C43"/>
    <w:rsid w:val="00B07CF9"/>
    <w:rsid w:val="00B07DB0"/>
    <w:rsid w:val="00B07FFC"/>
    <w:rsid w:val="00B105C3"/>
    <w:rsid w:val="00B10874"/>
    <w:rsid w:val="00B10CE1"/>
    <w:rsid w:val="00B10EDC"/>
    <w:rsid w:val="00B10F8D"/>
    <w:rsid w:val="00B11A71"/>
    <w:rsid w:val="00B122C7"/>
    <w:rsid w:val="00B1246E"/>
    <w:rsid w:val="00B129C4"/>
    <w:rsid w:val="00B1321F"/>
    <w:rsid w:val="00B1416A"/>
    <w:rsid w:val="00B14679"/>
    <w:rsid w:val="00B147FE"/>
    <w:rsid w:val="00B14BBA"/>
    <w:rsid w:val="00B153D5"/>
    <w:rsid w:val="00B1659B"/>
    <w:rsid w:val="00B1693A"/>
    <w:rsid w:val="00B16B5B"/>
    <w:rsid w:val="00B16EB7"/>
    <w:rsid w:val="00B16F17"/>
    <w:rsid w:val="00B171B2"/>
    <w:rsid w:val="00B1768B"/>
    <w:rsid w:val="00B176A8"/>
    <w:rsid w:val="00B178BC"/>
    <w:rsid w:val="00B17911"/>
    <w:rsid w:val="00B206D9"/>
    <w:rsid w:val="00B2070A"/>
    <w:rsid w:val="00B20B36"/>
    <w:rsid w:val="00B21375"/>
    <w:rsid w:val="00B21D7D"/>
    <w:rsid w:val="00B22743"/>
    <w:rsid w:val="00B228C3"/>
    <w:rsid w:val="00B22A72"/>
    <w:rsid w:val="00B22AA4"/>
    <w:rsid w:val="00B22F5B"/>
    <w:rsid w:val="00B238CD"/>
    <w:rsid w:val="00B23F94"/>
    <w:rsid w:val="00B2416E"/>
    <w:rsid w:val="00B24224"/>
    <w:rsid w:val="00B2431F"/>
    <w:rsid w:val="00B24773"/>
    <w:rsid w:val="00B24F6B"/>
    <w:rsid w:val="00B2520F"/>
    <w:rsid w:val="00B2531E"/>
    <w:rsid w:val="00B253FF"/>
    <w:rsid w:val="00B25A95"/>
    <w:rsid w:val="00B25AA4"/>
    <w:rsid w:val="00B25AD5"/>
    <w:rsid w:val="00B26AE9"/>
    <w:rsid w:val="00B26BB8"/>
    <w:rsid w:val="00B27487"/>
    <w:rsid w:val="00B27D4A"/>
    <w:rsid w:val="00B318A9"/>
    <w:rsid w:val="00B320CF"/>
    <w:rsid w:val="00B3230A"/>
    <w:rsid w:val="00B32365"/>
    <w:rsid w:val="00B32A18"/>
    <w:rsid w:val="00B32A78"/>
    <w:rsid w:val="00B331F1"/>
    <w:rsid w:val="00B332D8"/>
    <w:rsid w:val="00B336DA"/>
    <w:rsid w:val="00B33F2D"/>
    <w:rsid w:val="00B3407E"/>
    <w:rsid w:val="00B344CD"/>
    <w:rsid w:val="00B345B7"/>
    <w:rsid w:val="00B3460D"/>
    <w:rsid w:val="00B34B19"/>
    <w:rsid w:val="00B35F1A"/>
    <w:rsid w:val="00B36558"/>
    <w:rsid w:val="00B368D1"/>
    <w:rsid w:val="00B36931"/>
    <w:rsid w:val="00B3709A"/>
    <w:rsid w:val="00B3739D"/>
    <w:rsid w:val="00B373B7"/>
    <w:rsid w:val="00B377CE"/>
    <w:rsid w:val="00B37826"/>
    <w:rsid w:val="00B40506"/>
    <w:rsid w:val="00B40C31"/>
    <w:rsid w:val="00B40E2A"/>
    <w:rsid w:val="00B428C6"/>
    <w:rsid w:val="00B42946"/>
    <w:rsid w:val="00B434EA"/>
    <w:rsid w:val="00B4430C"/>
    <w:rsid w:val="00B44636"/>
    <w:rsid w:val="00B446D9"/>
    <w:rsid w:val="00B4487C"/>
    <w:rsid w:val="00B451AF"/>
    <w:rsid w:val="00B451F2"/>
    <w:rsid w:val="00B45C29"/>
    <w:rsid w:val="00B462ED"/>
    <w:rsid w:val="00B46A4D"/>
    <w:rsid w:val="00B470D9"/>
    <w:rsid w:val="00B4751D"/>
    <w:rsid w:val="00B47787"/>
    <w:rsid w:val="00B47F8F"/>
    <w:rsid w:val="00B50C95"/>
    <w:rsid w:val="00B50CCA"/>
    <w:rsid w:val="00B5118A"/>
    <w:rsid w:val="00B513E8"/>
    <w:rsid w:val="00B515A5"/>
    <w:rsid w:val="00B517EF"/>
    <w:rsid w:val="00B519A8"/>
    <w:rsid w:val="00B52EC6"/>
    <w:rsid w:val="00B530B7"/>
    <w:rsid w:val="00B53214"/>
    <w:rsid w:val="00B53838"/>
    <w:rsid w:val="00B53E79"/>
    <w:rsid w:val="00B53FCC"/>
    <w:rsid w:val="00B54017"/>
    <w:rsid w:val="00B54273"/>
    <w:rsid w:val="00B54420"/>
    <w:rsid w:val="00B5634B"/>
    <w:rsid w:val="00B5641F"/>
    <w:rsid w:val="00B56B8C"/>
    <w:rsid w:val="00B56D24"/>
    <w:rsid w:val="00B576BB"/>
    <w:rsid w:val="00B60CF3"/>
    <w:rsid w:val="00B61148"/>
    <w:rsid w:val="00B614DA"/>
    <w:rsid w:val="00B6196A"/>
    <w:rsid w:val="00B61BF9"/>
    <w:rsid w:val="00B62487"/>
    <w:rsid w:val="00B6313C"/>
    <w:rsid w:val="00B636A2"/>
    <w:rsid w:val="00B6392E"/>
    <w:rsid w:val="00B63930"/>
    <w:rsid w:val="00B63A74"/>
    <w:rsid w:val="00B63EB8"/>
    <w:rsid w:val="00B64A26"/>
    <w:rsid w:val="00B66C58"/>
    <w:rsid w:val="00B66E1F"/>
    <w:rsid w:val="00B6756F"/>
    <w:rsid w:val="00B67592"/>
    <w:rsid w:val="00B67AC1"/>
    <w:rsid w:val="00B701A0"/>
    <w:rsid w:val="00B708E4"/>
    <w:rsid w:val="00B709EE"/>
    <w:rsid w:val="00B70A45"/>
    <w:rsid w:val="00B70AA0"/>
    <w:rsid w:val="00B70B13"/>
    <w:rsid w:val="00B70D9A"/>
    <w:rsid w:val="00B7143C"/>
    <w:rsid w:val="00B7275D"/>
    <w:rsid w:val="00B72B4D"/>
    <w:rsid w:val="00B73D0E"/>
    <w:rsid w:val="00B74001"/>
    <w:rsid w:val="00B74344"/>
    <w:rsid w:val="00B75192"/>
    <w:rsid w:val="00B75203"/>
    <w:rsid w:val="00B75336"/>
    <w:rsid w:val="00B7593A"/>
    <w:rsid w:val="00B7595F"/>
    <w:rsid w:val="00B76D3A"/>
    <w:rsid w:val="00B76F22"/>
    <w:rsid w:val="00B77026"/>
    <w:rsid w:val="00B77353"/>
    <w:rsid w:val="00B80010"/>
    <w:rsid w:val="00B805F6"/>
    <w:rsid w:val="00B8097E"/>
    <w:rsid w:val="00B80B28"/>
    <w:rsid w:val="00B80D79"/>
    <w:rsid w:val="00B81334"/>
    <w:rsid w:val="00B81338"/>
    <w:rsid w:val="00B81A08"/>
    <w:rsid w:val="00B81D35"/>
    <w:rsid w:val="00B81D6A"/>
    <w:rsid w:val="00B82D97"/>
    <w:rsid w:val="00B82DBA"/>
    <w:rsid w:val="00B83466"/>
    <w:rsid w:val="00B8376A"/>
    <w:rsid w:val="00B841C3"/>
    <w:rsid w:val="00B8476E"/>
    <w:rsid w:val="00B848F5"/>
    <w:rsid w:val="00B8503C"/>
    <w:rsid w:val="00B8586A"/>
    <w:rsid w:val="00B85FD5"/>
    <w:rsid w:val="00B866AB"/>
    <w:rsid w:val="00B8683D"/>
    <w:rsid w:val="00B879C9"/>
    <w:rsid w:val="00B87B9B"/>
    <w:rsid w:val="00B90378"/>
    <w:rsid w:val="00B90935"/>
    <w:rsid w:val="00B90E08"/>
    <w:rsid w:val="00B90EEF"/>
    <w:rsid w:val="00B91078"/>
    <w:rsid w:val="00B911FC"/>
    <w:rsid w:val="00B9145A"/>
    <w:rsid w:val="00B9166C"/>
    <w:rsid w:val="00B918F7"/>
    <w:rsid w:val="00B923F5"/>
    <w:rsid w:val="00B92914"/>
    <w:rsid w:val="00B92F03"/>
    <w:rsid w:val="00B92FE0"/>
    <w:rsid w:val="00B933E6"/>
    <w:rsid w:val="00B9398D"/>
    <w:rsid w:val="00B93E41"/>
    <w:rsid w:val="00B94024"/>
    <w:rsid w:val="00B940EC"/>
    <w:rsid w:val="00B941BE"/>
    <w:rsid w:val="00B942BC"/>
    <w:rsid w:val="00B942F2"/>
    <w:rsid w:val="00B95410"/>
    <w:rsid w:val="00B95681"/>
    <w:rsid w:val="00B95BE4"/>
    <w:rsid w:val="00B96BF8"/>
    <w:rsid w:val="00B9745D"/>
    <w:rsid w:val="00BA026B"/>
    <w:rsid w:val="00BA0B14"/>
    <w:rsid w:val="00BA1910"/>
    <w:rsid w:val="00BA1B96"/>
    <w:rsid w:val="00BA1C16"/>
    <w:rsid w:val="00BA1D05"/>
    <w:rsid w:val="00BA21A2"/>
    <w:rsid w:val="00BA2511"/>
    <w:rsid w:val="00BA3FB9"/>
    <w:rsid w:val="00BA486C"/>
    <w:rsid w:val="00BA579F"/>
    <w:rsid w:val="00BA61BE"/>
    <w:rsid w:val="00BA655F"/>
    <w:rsid w:val="00BA656A"/>
    <w:rsid w:val="00BA67E0"/>
    <w:rsid w:val="00BA6C2D"/>
    <w:rsid w:val="00BA7BC1"/>
    <w:rsid w:val="00BA7CFD"/>
    <w:rsid w:val="00BB01CC"/>
    <w:rsid w:val="00BB03F6"/>
    <w:rsid w:val="00BB04F9"/>
    <w:rsid w:val="00BB0AFF"/>
    <w:rsid w:val="00BB133C"/>
    <w:rsid w:val="00BB173D"/>
    <w:rsid w:val="00BB25E4"/>
    <w:rsid w:val="00BB2827"/>
    <w:rsid w:val="00BB2ABA"/>
    <w:rsid w:val="00BB2B6D"/>
    <w:rsid w:val="00BB2C69"/>
    <w:rsid w:val="00BB35E4"/>
    <w:rsid w:val="00BB3838"/>
    <w:rsid w:val="00BB39DB"/>
    <w:rsid w:val="00BB3BCE"/>
    <w:rsid w:val="00BB3C35"/>
    <w:rsid w:val="00BB3E4C"/>
    <w:rsid w:val="00BB5E8F"/>
    <w:rsid w:val="00BB604A"/>
    <w:rsid w:val="00BB63F4"/>
    <w:rsid w:val="00BB691F"/>
    <w:rsid w:val="00BB6A2A"/>
    <w:rsid w:val="00BB6B81"/>
    <w:rsid w:val="00BB717F"/>
    <w:rsid w:val="00BB7256"/>
    <w:rsid w:val="00BB743B"/>
    <w:rsid w:val="00BB74F8"/>
    <w:rsid w:val="00BB7525"/>
    <w:rsid w:val="00BB76A6"/>
    <w:rsid w:val="00BB7CEB"/>
    <w:rsid w:val="00BC005B"/>
    <w:rsid w:val="00BC021D"/>
    <w:rsid w:val="00BC08BE"/>
    <w:rsid w:val="00BC0A99"/>
    <w:rsid w:val="00BC19AF"/>
    <w:rsid w:val="00BC1BA4"/>
    <w:rsid w:val="00BC1BBE"/>
    <w:rsid w:val="00BC27E1"/>
    <w:rsid w:val="00BC2A41"/>
    <w:rsid w:val="00BC3045"/>
    <w:rsid w:val="00BC3450"/>
    <w:rsid w:val="00BC3634"/>
    <w:rsid w:val="00BC3BC3"/>
    <w:rsid w:val="00BC3E99"/>
    <w:rsid w:val="00BC429F"/>
    <w:rsid w:val="00BC44F1"/>
    <w:rsid w:val="00BC4EAE"/>
    <w:rsid w:val="00BC541A"/>
    <w:rsid w:val="00BC5969"/>
    <w:rsid w:val="00BC5B48"/>
    <w:rsid w:val="00BC716B"/>
    <w:rsid w:val="00BC7651"/>
    <w:rsid w:val="00BC7FEE"/>
    <w:rsid w:val="00BD033F"/>
    <w:rsid w:val="00BD03ED"/>
    <w:rsid w:val="00BD08E8"/>
    <w:rsid w:val="00BD0A86"/>
    <w:rsid w:val="00BD245D"/>
    <w:rsid w:val="00BD249F"/>
    <w:rsid w:val="00BD25A1"/>
    <w:rsid w:val="00BD27BF"/>
    <w:rsid w:val="00BD2DE7"/>
    <w:rsid w:val="00BD3A22"/>
    <w:rsid w:val="00BD40A3"/>
    <w:rsid w:val="00BD46F6"/>
    <w:rsid w:val="00BD53C3"/>
    <w:rsid w:val="00BD54E8"/>
    <w:rsid w:val="00BD57EB"/>
    <w:rsid w:val="00BD6576"/>
    <w:rsid w:val="00BD6AC8"/>
    <w:rsid w:val="00BD6C23"/>
    <w:rsid w:val="00BD71B8"/>
    <w:rsid w:val="00BD741A"/>
    <w:rsid w:val="00BD7BE6"/>
    <w:rsid w:val="00BD7F31"/>
    <w:rsid w:val="00BE02C6"/>
    <w:rsid w:val="00BE0649"/>
    <w:rsid w:val="00BE0A97"/>
    <w:rsid w:val="00BE0EF5"/>
    <w:rsid w:val="00BE1968"/>
    <w:rsid w:val="00BE20EC"/>
    <w:rsid w:val="00BE2395"/>
    <w:rsid w:val="00BE262A"/>
    <w:rsid w:val="00BE3410"/>
    <w:rsid w:val="00BE347B"/>
    <w:rsid w:val="00BE3A42"/>
    <w:rsid w:val="00BE3E18"/>
    <w:rsid w:val="00BE4189"/>
    <w:rsid w:val="00BE43FC"/>
    <w:rsid w:val="00BE4435"/>
    <w:rsid w:val="00BE4E6A"/>
    <w:rsid w:val="00BE5A0E"/>
    <w:rsid w:val="00BE5F0F"/>
    <w:rsid w:val="00BE6111"/>
    <w:rsid w:val="00BE613E"/>
    <w:rsid w:val="00BE6192"/>
    <w:rsid w:val="00BE6254"/>
    <w:rsid w:val="00BE64C1"/>
    <w:rsid w:val="00BE65B4"/>
    <w:rsid w:val="00BE6772"/>
    <w:rsid w:val="00BE68E5"/>
    <w:rsid w:val="00BE68FF"/>
    <w:rsid w:val="00BE6C99"/>
    <w:rsid w:val="00BE6DD8"/>
    <w:rsid w:val="00BE75EC"/>
    <w:rsid w:val="00BE77E7"/>
    <w:rsid w:val="00BE7CE3"/>
    <w:rsid w:val="00BF07C1"/>
    <w:rsid w:val="00BF09EC"/>
    <w:rsid w:val="00BF12EF"/>
    <w:rsid w:val="00BF1B00"/>
    <w:rsid w:val="00BF1C5F"/>
    <w:rsid w:val="00BF251F"/>
    <w:rsid w:val="00BF2EB1"/>
    <w:rsid w:val="00BF3D7C"/>
    <w:rsid w:val="00BF4305"/>
    <w:rsid w:val="00BF49A8"/>
    <w:rsid w:val="00BF4C17"/>
    <w:rsid w:val="00BF531F"/>
    <w:rsid w:val="00BF53FF"/>
    <w:rsid w:val="00BF59A4"/>
    <w:rsid w:val="00BF5C04"/>
    <w:rsid w:val="00BF620D"/>
    <w:rsid w:val="00BF6501"/>
    <w:rsid w:val="00BF74E4"/>
    <w:rsid w:val="00BF7AF7"/>
    <w:rsid w:val="00BF7B2E"/>
    <w:rsid w:val="00C00AB1"/>
    <w:rsid w:val="00C0140C"/>
    <w:rsid w:val="00C0243F"/>
    <w:rsid w:val="00C025C3"/>
    <w:rsid w:val="00C0319D"/>
    <w:rsid w:val="00C032D5"/>
    <w:rsid w:val="00C03C5A"/>
    <w:rsid w:val="00C0409B"/>
    <w:rsid w:val="00C04CD7"/>
    <w:rsid w:val="00C04D19"/>
    <w:rsid w:val="00C04D32"/>
    <w:rsid w:val="00C04D8D"/>
    <w:rsid w:val="00C04D96"/>
    <w:rsid w:val="00C04E5A"/>
    <w:rsid w:val="00C04FC6"/>
    <w:rsid w:val="00C0579D"/>
    <w:rsid w:val="00C05C02"/>
    <w:rsid w:val="00C06223"/>
    <w:rsid w:val="00C0669F"/>
    <w:rsid w:val="00C06A0E"/>
    <w:rsid w:val="00C06EF9"/>
    <w:rsid w:val="00C070AF"/>
    <w:rsid w:val="00C07B56"/>
    <w:rsid w:val="00C07B59"/>
    <w:rsid w:val="00C07D76"/>
    <w:rsid w:val="00C10554"/>
    <w:rsid w:val="00C10AD8"/>
    <w:rsid w:val="00C10C01"/>
    <w:rsid w:val="00C11791"/>
    <w:rsid w:val="00C12119"/>
    <w:rsid w:val="00C12965"/>
    <w:rsid w:val="00C13076"/>
    <w:rsid w:val="00C131ED"/>
    <w:rsid w:val="00C13EC6"/>
    <w:rsid w:val="00C14DAB"/>
    <w:rsid w:val="00C1582B"/>
    <w:rsid w:val="00C158E2"/>
    <w:rsid w:val="00C1655E"/>
    <w:rsid w:val="00C166A0"/>
    <w:rsid w:val="00C16C6E"/>
    <w:rsid w:val="00C16F01"/>
    <w:rsid w:val="00C170A5"/>
    <w:rsid w:val="00C1734A"/>
    <w:rsid w:val="00C1759A"/>
    <w:rsid w:val="00C177FE"/>
    <w:rsid w:val="00C17A62"/>
    <w:rsid w:val="00C17EDC"/>
    <w:rsid w:val="00C20498"/>
    <w:rsid w:val="00C20A44"/>
    <w:rsid w:val="00C21286"/>
    <w:rsid w:val="00C21A44"/>
    <w:rsid w:val="00C21B49"/>
    <w:rsid w:val="00C21DB1"/>
    <w:rsid w:val="00C2256C"/>
    <w:rsid w:val="00C2260C"/>
    <w:rsid w:val="00C22720"/>
    <w:rsid w:val="00C22881"/>
    <w:rsid w:val="00C22B99"/>
    <w:rsid w:val="00C23743"/>
    <w:rsid w:val="00C23E2E"/>
    <w:rsid w:val="00C24C09"/>
    <w:rsid w:val="00C25175"/>
    <w:rsid w:val="00C252CD"/>
    <w:rsid w:val="00C2563B"/>
    <w:rsid w:val="00C26FF9"/>
    <w:rsid w:val="00C272C0"/>
    <w:rsid w:val="00C275DD"/>
    <w:rsid w:val="00C276E4"/>
    <w:rsid w:val="00C303E0"/>
    <w:rsid w:val="00C305FF"/>
    <w:rsid w:val="00C306B7"/>
    <w:rsid w:val="00C30720"/>
    <w:rsid w:val="00C3088A"/>
    <w:rsid w:val="00C3109A"/>
    <w:rsid w:val="00C3189E"/>
    <w:rsid w:val="00C31D23"/>
    <w:rsid w:val="00C32008"/>
    <w:rsid w:val="00C34BA0"/>
    <w:rsid w:val="00C34EDC"/>
    <w:rsid w:val="00C35076"/>
    <w:rsid w:val="00C353E7"/>
    <w:rsid w:val="00C36F1A"/>
    <w:rsid w:val="00C37B1A"/>
    <w:rsid w:val="00C40C1D"/>
    <w:rsid w:val="00C40EFC"/>
    <w:rsid w:val="00C4136C"/>
    <w:rsid w:val="00C41597"/>
    <w:rsid w:val="00C41A33"/>
    <w:rsid w:val="00C421F0"/>
    <w:rsid w:val="00C42689"/>
    <w:rsid w:val="00C437E0"/>
    <w:rsid w:val="00C4415F"/>
    <w:rsid w:val="00C44595"/>
    <w:rsid w:val="00C44974"/>
    <w:rsid w:val="00C44A34"/>
    <w:rsid w:val="00C4500D"/>
    <w:rsid w:val="00C4620D"/>
    <w:rsid w:val="00C466CB"/>
    <w:rsid w:val="00C470C8"/>
    <w:rsid w:val="00C473A1"/>
    <w:rsid w:val="00C47E09"/>
    <w:rsid w:val="00C502F4"/>
    <w:rsid w:val="00C506DB"/>
    <w:rsid w:val="00C50784"/>
    <w:rsid w:val="00C50856"/>
    <w:rsid w:val="00C50ADD"/>
    <w:rsid w:val="00C510A2"/>
    <w:rsid w:val="00C51144"/>
    <w:rsid w:val="00C516DD"/>
    <w:rsid w:val="00C51966"/>
    <w:rsid w:val="00C525C0"/>
    <w:rsid w:val="00C530AE"/>
    <w:rsid w:val="00C5329D"/>
    <w:rsid w:val="00C534AA"/>
    <w:rsid w:val="00C53A40"/>
    <w:rsid w:val="00C53A59"/>
    <w:rsid w:val="00C540E1"/>
    <w:rsid w:val="00C546D6"/>
    <w:rsid w:val="00C5507A"/>
    <w:rsid w:val="00C5516F"/>
    <w:rsid w:val="00C5525B"/>
    <w:rsid w:val="00C553A8"/>
    <w:rsid w:val="00C558D1"/>
    <w:rsid w:val="00C55B2A"/>
    <w:rsid w:val="00C563E2"/>
    <w:rsid w:val="00C5762B"/>
    <w:rsid w:val="00C577B0"/>
    <w:rsid w:val="00C57A9B"/>
    <w:rsid w:val="00C57BC3"/>
    <w:rsid w:val="00C57EEC"/>
    <w:rsid w:val="00C60CDB"/>
    <w:rsid w:val="00C60F5C"/>
    <w:rsid w:val="00C60FF7"/>
    <w:rsid w:val="00C615C6"/>
    <w:rsid w:val="00C619E6"/>
    <w:rsid w:val="00C61DF7"/>
    <w:rsid w:val="00C6221F"/>
    <w:rsid w:val="00C62294"/>
    <w:rsid w:val="00C624B2"/>
    <w:rsid w:val="00C62E0C"/>
    <w:rsid w:val="00C632AE"/>
    <w:rsid w:val="00C632EF"/>
    <w:rsid w:val="00C63377"/>
    <w:rsid w:val="00C63556"/>
    <w:rsid w:val="00C63C9B"/>
    <w:rsid w:val="00C643DD"/>
    <w:rsid w:val="00C64E38"/>
    <w:rsid w:val="00C64FE1"/>
    <w:rsid w:val="00C6506A"/>
    <w:rsid w:val="00C65D76"/>
    <w:rsid w:val="00C65DFC"/>
    <w:rsid w:val="00C65F8A"/>
    <w:rsid w:val="00C66500"/>
    <w:rsid w:val="00C66A65"/>
    <w:rsid w:val="00C67626"/>
    <w:rsid w:val="00C67BA2"/>
    <w:rsid w:val="00C70A9C"/>
    <w:rsid w:val="00C71099"/>
    <w:rsid w:val="00C718D4"/>
    <w:rsid w:val="00C72704"/>
    <w:rsid w:val="00C72A13"/>
    <w:rsid w:val="00C73152"/>
    <w:rsid w:val="00C734C1"/>
    <w:rsid w:val="00C73578"/>
    <w:rsid w:val="00C737B8"/>
    <w:rsid w:val="00C7395E"/>
    <w:rsid w:val="00C747FF"/>
    <w:rsid w:val="00C74B1C"/>
    <w:rsid w:val="00C74B40"/>
    <w:rsid w:val="00C74BB8"/>
    <w:rsid w:val="00C74E60"/>
    <w:rsid w:val="00C74E92"/>
    <w:rsid w:val="00C74F37"/>
    <w:rsid w:val="00C7603B"/>
    <w:rsid w:val="00C765ED"/>
    <w:rsid w:val="00C77B91"/>
    <w:rsid w:val="00C77F66"/>
    <w:rsid w:val="00C8048C"/>
    <w:rsid w:val="00C80814"/>
    <w:rsid w:val="00C80A3B"/>
    <w:rsid w:val="00C81480"/>
    <w:rsid w:val="00C81DC1"/>
    <w:rsid w:val="00C82070"/>
    <w:rsid w:val="00C8222F"/>
    <w:rsid w:val="00C82582"/>
    <w:rsid w:val="00C82BB1"/>
    <w:rsid w:val="00C844A8"/>
    <w:rsid w:val="00C84832"/>
    <w:rsid w:val="00C85FDC"/>
    <w:rsid w:val="00C86358"/>
    <w:rsid w:val="00C8738E"/>
    <w:rsid w:val="00C8776C"/>
    <w:rsid w:val="00C87DED"/>
    <w:rsid w:val="00C91447"/>
    <w:rsid w:val="00C9178C"/>
    <w:rsid w:val="00C91C18"/>
    <w:rsid w:val="00C91E25"/>
    <w:rsid w:val="00C9202B"/>
    <w:rsid w:val="00C924FB"/>
    <w:rsid w:val="00C92880"/>
    <w:rsid w:val="00C928BC"/>
    <w:rsid w:val="00C92C70"/>
    <w:rsid w:val="00C92EDF"/>
    <w:rsid w:val="00C930FB"/>
    <w:rsid w:val="00C933DC"/>
    <w:rsid w:val="00C94A57"/>
    <w:rsid w:val="00C94A9F"/>
    <w:rsid w:val="00C95031"/>
    <w:rsid w:val="00C9512C"/>
    <w:rsid w:val="00C95151"/>
    <w:rsid w:val="00C95CCC"/>
    <w:rsid w:val="00C95F75"/>
    <w:rsid w:val="00C96244"/>
    <w:rsid w:val="00C963C3"/>
    <w:rsid w:val="00C96EDE"/>
    <w:rsid w:val="00C97088"/>
    <w:rsid w:val="00C970BF"/>
    <w:rsid w:val="00C97B7E"/>
    <w:rsid w:val="00C97DE1"/>
    <w:rsid w:val="00CA0082"/>
    <w:rsid w:val="00CA0213"/>
    <w:rsid w:val="00CA060A"/>
    <w:rsid w:val="00CA07FD"/>
    <w:rsid w:val="00CA08F0"/>
    <w:rsid w:val="00CA0B03"/>
    <w:rsid w:val="00CA13A4"/>
    <w:rsid w:val="00CA1528"/>
    <w:rsid w:val="00CA1590"/>
    <w:rsid w:val="00CA1E79"/>
    <w:rsid w:val="00CA1ED8"/>
    <w:rsid w:val="00CA1F57"/>
    <w:rsid w:val="00CA1FE0"/>
    <w:rsid w:val="00CA26A8"/>
    <w:rsid w:val="00CA2D3C"/>
    <w:rsid w:val="00CA46CE"/>
    <w:rsid w:val="00CA50D4"/>
    <w:rsid w:val="00CA5BCD"/>
    <w:rsid w:val="00CA5CB4"/>
    <w:rsid w:val="00CA5FBB"/>
    <w:rsid w:val="00CA6BEB"/>
    <w:rsid w:val="00CA6E50"/>
    <w:rsid w:val="00CA7ACB"/>
    <w:rsid w:val="00CB0695"/>
    <w:rsid w:val="00CB0AB6"/>
    <w:rsid w:val="00CB0EC8"/>
    <w:rsid w:val="00CB0EEF"/>
    <w:rsid w:val="00CB1044"/>
    <w:rsid w:val="00CB183C"/>
    <w:rsid w:val="00CB1959"/>
    <w:rsid w:val="00CB1E33"/>
    <w:rsid w:val="00CB2ACD"/>
    <w:rsid w:val="00CB32E8"/>
    <w:rsid w:val="00CB387F"/>
    <w:rsid w:val="00CB3BE7"/>
    <w:rsid w:val="00CB4203"/>
    <w:rsid w:val="00CB47EF"/>
    <w:rsid w:val="00CB48D0"/>
    <w:rsid w:val="00CB4DE6"/>
    <w:rsid w:val="00CB5443"/>
    <w:rsid w:val="00CB6092"/>
    <w:rsid w:val="00CB6559"/>
    <w:rsid w:val="00CB65B9"/>
    <w:rsid w:val="00CB6AC6"/>
    <w:rsid w:val="00CB6B7D"/>
    <w:rsid w:val="00CB6D4F"/>
    <w:rsid w:val="00CB7489"/>
    <w:rsid w:val="00CB7D51"/>
    <w:rsid w:val="00CC04B0"/>
    <w:rsid w:val="00CC067A"/>
    <w:rsid w:val="00CC0A99"/>
    <w:rsid w:val="00CC0E9E"/>
    <w:rsid w:val="00CC1836"/>
    <w:rsid w:val="00CC1F50"/>
    <w:rsid w:val="00CC2248"/>
    <w:rsid w:val="00CC2464"/>
    <w:rsid w:val="00CC24B8"/>
    <w:rsid w:val="00CC31CD"/>
    <w:rsid w:val="00CC35E3"/>
    <w:rsid w:val="00CC423F"/>
    <w:rsid w:val="00CC46C3"/>
    <w:rsid w:val="00CC4865"/>
    <w:rsid w:val="00CC4BBD"/>
    <w:rsid w:val="00CC4D4A"/>
    <w:rsid w:val="00CC504F"/>
    <w:rsid w:val="00CC554F"/>
    <w:rsid w:val="00CC5B49"/>
    <w:rsid w:val="00CC6065"/>
    <w:rsid w:val="00CC6658"/>
    <w:rsid w:val="00CC676A"/>
    <w:rsid w:val="00CC686A"/>
    <w:rsid w:val="00CD0641"/>
    <w:rsid w:val="00CD0E81"/>
    <w:rsid w:val="00CD10E5"/>
    <w:rsid w:val="00CD132D"/>
    <w:rsid w:val="00CD1AA9"/>
    <w:rsid w:val="00CD251A"/>
    <w:rsid w:val="00CD27B4"/>
    <w:rsid w:val="00CD2A6C"/>
    <w:rsid w:val="00CD2A83"/>
    <w:rsid w:val="00CD30A5"/>
    <w:rsid w:val="00CD30DC"/>
    <w:rsid w:val="00CD30E4"/>
    <w:rsid w:val="00CD37A2"/>
    <w:rsid w:val="00CD3A05"/>
    <w:rsid w:val="00CD3BC1"/>
    <w:rsid w:val="00CD4FA1"/>
    <w:rsid w:val="00CD5115"/>
    <w:rsid w:val="00CD5256"/>
    <w:rsid w:val="00CD5989"/>
    <w:rsid w:val="00CD5C28"/>
    <w:rsid w:val="00CD6160"/>
    <w:rsid w:val="00CD65D9"/>
    <w:rsid w:val="00CD6675"/>
    <w:rsid w:val="00CD69D6"/>
    <w:rsid w:val="00CD6A8B"/>
    <w:rsid w:val="00CD723A"/>
    <w:rsid w:val="00CE0345"/>
    <w:rsid w:val="00CE042A"/>
    <w:rsid w:val="00CE08C4"/>
    <w:rsid w:val="00CE0EDD"/>
    <w:rsid w:val="00CE130A"/>
    <w:rsid w:val="00CE13EC"/>
    <w:rsid w:val="00CE1DD1"/>
    <w:rsid w:val="00CE1E4F"/>
    <w:rsid w:val="00CE1E79"/>
    <w:rsid w:val="00CE1F05"/>
    <w:rsid w:val="00CE1F80"/>
    <w:rsid w:val="00CE27CD"/>
    <w:rsid w:val="00CE2B74"/>
    <w:rsid w:val="00CE335E"/>
    <w:rsid w:val="00CE34A6"/>
    <w:rsid w:val="00CE37B3"/>
    <w:rsid w:val="00CE37BB"/>
    <w:rsid w:val="00CE3C71"/>
    <w:rsid w:val="00CE535F"/>
    <w:rsid w:val="00CE53C4"/>
    <w:rsid w:val="00CE612C"/>
    <w:rsid w:val="00CE67D2"/>
    <w:rsid w:val="00CE753C"/>
    <w:rsid w:val="00CE7CF4"/>
    <w:rsid w:val="00CF059E"/>
    <w:rsid w:val="00CF06F4"/>
    <w:rsid w:val="00CF0989"/>
    <w:rsid w:val="00CF128F"/>
    <w:rsid w:val="00CF15BC"/>
    <w:rsid w:val="00CF1A22"/>
    <w:rsid w:val="00CF1D9F"/>
    <w:rsid w:val="00CF289C"/>
    <w:rsid w:val="00CF2BB8"/>
    <w:rsid w:val="00CF2C45"/>
    <w:rsid w:val="00CF4B0A"/>
    <w:rsid w:val="00CF4C47"/>
    <w:rsid w:val="00CF4D40"/>
    <w:rsid w:val="00CF5988"/>
    <w:rsid w:val="00CF5A5B"/>
    <w:rsid w:val="00CF5D24"/>
    <w:rsid w:val="00CF63F3"/>
    <w:rsid w:val="00CF6B4E"/>
    <w:rsid w:val="00CF6C75"/>
    <w:rsid w:val="00CF6D3E"/>
    <w:rsid w:val="00CF76C0"/>
    <w:rsid w:val="00CF7749"/>
    <w:rsid w:val="00CF7ABE"/>
    <w:rsid w:val="00CF7BCC"/>
    <w:rsid w:val="00D003A7"/>
    <w:rsid w:val="00D00551"/>
    <w:rsid w:val="00D00610"/>
    <w:rsid w:val="00D00925"/>
    <w:rsid w:val="00D00942"/>
    <w:rsid w:val="00D00A5E"/>
    <w:rsid w:val="00D018A9"/>
    <w:rsid w:val="00D019D7"/>
    <w:rsid w:val="00D01AE3"/>
    <w:rsid w:val="00D024E3"/>
    <w:rsid w:val="00D027DF"/>
    <w:rsid w:val="00D02D48"/>
    <w:rsid w:val="00D02D5B"/>
    <w:rsid w:val="00D03171"/>
    <w:rsid w:val="00D0340F"/>
    <w:rsid w:val="00D0352C"/>
    <w:rsid w:val="00D0353E"/>
    <w:rsid w:val="00D038A3"/>
    <w:rsid w:val="00D03CFD"/>
    <w:rsid w:val="00D03EE0"/>
    <w:rsid w:val="00D03F3B"/>
    <w:rsid w:val="00D0426B"/>
    <w:rsid w:val="00D044CB"/>
    <w:rsid w:val="00D04D71"/>
    <w:rsid w:val="00D04EC5"/>
    <w:rsid w:val="00D051C7"/>
    <w:rsid w:val="00D053F2"/>
    <w:rsid w:val="00D06471"/>
    <w:rsid w:val="00D073F0"/>
    <w:rsid w:val="00D075B6"/>
    <w:rsid w:val="00D0775E"/>
    <w:rsid w:val="00D07BF6"/>
    <w:rsid w:val="00D100A3"/>
    <w:rsid w:val="00D10841"/>
    <w:rsid w:val="00D10F62"/>
    <w:rsid w:val="00D11628"/>
    <w:rsid w:val="00D1188D"/>
    <w:rsid w:val="00D11DDF"/>
    <w:rsid w:val="00D11E7C"/>
    <w:rsid w:val="00D11EA3"/>
    <w:rsid w:val="00D1242E"/>
    <w:rsid w:val="00D124ED"/>
    <w:rsid w:val="00D12522"/>
    <w:rsid w:val="00D1281A"/>
    <w:rsid w:val="00D129E4"/>
    <w:rsid w:val="00D1359A"/>
    <w:rsid w:val="00D13CC0"/>
    <w:rsid w:val="00D141BF"/>
    <w:rsid w:val="00D14202"/>
    <w:rsid w:val="00D14337"/>
    <w:rsid w:val="00D1447C"/>
    <w:rsid w:val="00D14487"/>
    <w:rsid w:val="00D145A0"/>
    <w:rsid w:val="00D14BA7"/>
    <w:rsid w:val="00D15D33"/>
    <w:rsid w:val="00D15DC7"/>
    <w:rsid w:val="00D15F68"/>
    <w:rsid w:val="00D15FC3"/>
    <w:rsid w:val="00D165F7"/>
    <w:rsid w:val="00D16800"/>
    <w:rsid w:val="00D1687F"/>
    <w:rsid w:val="00D168DE"/>
    <w:rsid w:val="00D16FAB"/>
    <w:rsid w:val="00D17B86"/>
    <w:rsid w:val="00D202FF"/>
    <w:rsid w:val="00D20BE3"/>
    <w:rsid w:val="00D20C48"/>
    <w:rsid w:val="00D20DC1"/>
    <w:rsid w:val="00D2103B"/>
    <w:rsid w:val="00D214BE"/>
    <w:rsid w:val="00D21F14"/>
    <w:rsid w:val="00D22946"/>
    <w:rsid w:val="00D2360B"/>
    <w:rsid w:val="00D23A8D"/>
    <w:rsid w:val="00D23ACE"/>
    <w:rsid w:val="00D249D4"/>
    <w:rsid w:val="00D24ABB"/>
    <w:rsid w:val="00D24B4C"/>
    <w:rsid w:val="00D24CE6"/>
    <w:rsid w:val="00D24D05"/>
    <w:rsid w:val="00D24E22"/>
    <w:rsid w:val="00D257EE"/>
    <w:rsid w:val="00D25C01"/>
    <w:rsid w:val="00D26434"/>
    <w:rsid w:val="00D26E89"/>
    <w:rsid w:val="00D26F9C"/>
    <w:rsid w:val="00D27994"/>
    <w:rsid w:val="00D27995"/>
    <w:rsid w:val="00D30215"/>
    <w:rsid w:val="00D3088A"/>
    <w:rsid w:val="00D30A80"/>
    <w:rsid w:val="00D30F8A"/>
    <w:rsid w:val="00D314A0"/>
    <w:rsid w:val="00D31AB4"/>
    <w:rsid w:val="00D31F75"/>
    <w:rsid w:val="00D31FB8"/>
    <w:rsid w:val="00D327F0"/>
    <w:rsid w:val="00D32B14"/>
    <w:rsid w:val="00D32F79"/>
    <w:rsid w:val="00D333F8"/>
    <w:rsid w:val="00D33663"/>
    <w:rsid w:val="00D33807"/>
    <w:rsid w:val="00D33B34"/>
    <w:rsid w:val="00D33BD9"/>
    <w:rsid w:val="00D340F8"/>
    <w:rsid w:val="00D346E8"/>
    <w:rsid w:val="00D35024"/>
    <w:rsid w:val="00D350D0"/>
    <w:rsid w:val="00D35BDB"/>
    <w:rsid w:val="00D35C57"/>
    <w:rsid w:val="00D35F6A"/>
    <w:rsid w:val="00D3758F"/>
    <w:rsid w:val="00D376A6"/>
    <w:rsid w:val="00D3795A"/>
    <w:rsid w:val="00D379C0"/>
    <w:rsid w:val="00D400B6"/>
    <w:rsid w:val="00D401EF"/>
    <w:rsid w:val="00D402FB"/>
    <w:rsid w:val="00D403EF"/>
    <w:rsid w:val="00D40955"/>
    <w:rsid w:val="00D40C51"/>
    <w:rsid w:val="00D41437"/>
    <w:rsid w:val="00D41A41"/>
    <w:rsid w:val="00D41D76"/>
    <w:rsid w:val="00D42556"/>
    <w:rsid w:val="00D42567"/>
    <w:rsid w:val="00D42B3A"/>
    <w:rsid w:val="00D430BB"/>
    <w:rsid w:val="00D438DB"/>
    <w:rsid w:val="00D443B7"/>
    <w:rsid w:val="00D44458"/>
    <w:rsid w:val="00D45332"/>
    <w:rsid w:val="00D45847"/>
    <w:rsid w:val="00D464B7"/>
    <w:rsid w:val="00D46A81"/>
    <w:rsid w:val="00D46E49"/>
    <w:rsid w:val="00D47305"/>
    <w:rsid w:val="00D47688"/>
    <w:rsid w:val="00D5078E"/>
    <w:rsid w:val="00D5098B"/>
    <w:rsid w:val="00D509B9"/>
    <w:rsid w:val="00D51120"/>
    <w:rsid w:val="00D512B9"/>
    <w:rsid w:val="00D5270F"/>
    <w:rsid w:val="00D52B93"/>
    <w:rsid w:val="00D52FE7"/>
    <w:rsid w:val="00D53BA1"/>
    <w:rsid w:val="00D53FB0"/>
    <w:rsid w:val="00D540AF"/>
    <w:rsid w:val="00D54581"/>
    <w:rsid w:val="00D54AAD"/>
    <w:rsid w:val="00D54EA8"/>
    <w:rsid w:val="00D559EE"/>
    <w:rsid w:val="00D55A8D"/>
    <w:rsid w:val="00D55DEA"/>
    <w:rsid w:val="00D55E3C"/>
    <w:rsid w:val="00D5678F"/>
    <w:rsid w:val="00D5685C"/>
    <w:rsid w:val="00D57060"/>
    <w:rsid w:val="00D571F8"/>
    <w:rsid w:val="00D57D06"/>
    <w:rsid w:val="00D57DDF"/>
    <w:rsid w:val="00D57EC5"/>
    <w:rsid w:val="00D6005D"/>
    <w:rsid w:val="00D60204"/>
    <w:rsid w:val="00D604EC"/>
    <w:rsid w:val="00D60BFB"/>
    <w:rsid w:val="00D61A3A"/>
    <w:rsid w:val="00D61D31"/>
    <w:rsid w:val="00D63E92"/>
    <w:rsid w:val="00D64367"/>
    <w:rsid w:val="00D64E7E"/>
    <w:rsid w:val="00D656C1"/>
    <w:rsid w:val="00D657A8"/>
    <w:rsid w:val="00D658F5"/>
    <w:rsid w:val="00D65967"/>
    <w:rsid w:val="00D65CB2"/>
    <w:rsid w:val="00D66495"/>
    <w:rsid w:val="00D66B63"/>
    <w:rsid w:val="00D6708E"/>
    <w:rsid w:val="00D674DF"/>
    <w:rsid w:val="00D675CE"/>
    <w:rsid w:val="00D67905"/>
    <w:rsid w:val="00D67FB9"/>
    <w:rsid w:val="00D7066E"/>
    <w:rsid w:val="00D706CE"/>
    <w:rsid w:val="00D70CE6"/>
    <w:rsid w:val="00D71190"/>
    <w:rsid w:val="00D7203D"/>
    <w:rsid w:val="00D72190"/>
    <w:rsid w:val="00D72975"/>
    <w:rsid w:val="00D72AA1"/>
    <w:rsid w:val="00D73888"/>
    <w:rsid w:val="00D738DC"/>
    <w:rsid w:val="00D73A93"/>
    <w:rsid w:val="00D73D9B"/>
    <w:rsid w:val="00D743B4"/>
    <w:rsid w:val="00D74767"/>
    <w:rsid w:val="00D74BFA"/>
    <w:rsid w:val="00D7504E"/>
    <w:rsid w:val="00D755AE"/>
    <w:rsid w:val="00D76B72"/>
    <w:rsid w:val="00D76C32"/>
    <w:rsid w:val="00D76EE5"/>
    <w:rsid w:val="00D770BE"/>
    <w:rsid w:val="00D772F6"/>
    <w:rsid w:val="00D77674"/>
    <w:rsid w:val="00D776BC"/>
    <w:rsid w:val="00D77CCF"/>
    <w:rsid w:val="00D77DFF"/>
    <w:rsid w:val="00D80537"/>
    <w:rsid w:val="00D81051"/>
    <w:rsid w:val="00D81133"/>
    <w:rsid w:val="00D81270"/>
    <w:rsid w:val="00D814B7"/>
    <w:rsid w:val="00D82319"/>
    <w:rsid w:val="00D8342D"/>
    <w:rsid w:val="00D83E6A"/>
    <w:rsid w:val="00D83F89"/>
    <w:rsid w:val="00D84B76"/>
    <w:rsid w:val="00D84E41"/>
    <w:rsid w:val="00D85274"/>
    <w:rsid w:val="00D85543"/>
    <w:rsid w:val="00D8573A"/>
    <w:rsid w:val="00D85CAB"/>
    <w:rsid w:val="00D85E2C"/>
    <w:rsid w:val="00D86BA2"/>
    <w:rsid w:val="00D86DCF"/>
    <w:rsid w:val="00D86F24"/>
    <w:rsid w:val="00D8721A"/>
    <w:rsid w:val="00D876B3"/>
    <w:rsid w:val="00D87950"/>
    <w:rsid w:val="00D87B4C"/>
    <w:rsid w:val="00D90878"/>
    <w:rsid w:val="00D90C89"/>
    <w:rsid w:val="00D90CA8"/>
    <w:rsid w:val="00D91120"/>
    <w:rsid w:val="00D91D80"/>
    <w:rsid w:val="00D91E94"/>
    <w:rsid w:val="00D92486"/>
    <w:rsid w:val="00D92A9A"/>
    <w:rsid w:val="00D92B9D"/>
    <w:rsid w:val="00D932DA"/>
    <w:rsid w:val="00D93F77"/>
    <w:rsid w:val="00D94183"/>
    <w:rsid w:val="00D9442E"/>
    <w:rsid w:val="00D947E8"/>
    <w:rsid w:val="00D94CCC"/>
    <w:rsid w:val="00D95093"/>
    <w:rsid w:val="00D955DF"/>
    <w:rsid w:val="00D96342"/>
    <w:rsid w:val="00D96366"/>
    <w:rsid w:val="00D96515"/>
    <w:rsid w:val="00D96A32"/>
    <w:rsid w:val="00D96C8A"/>
    <w:rsid w:val="00D97A98"/>
    <w:rsid w:val="00D97F46"/>
    <w:rsid w:val="00DA0121"/>
    <w:rsid w:val="00DA0445"/>
    <w:rsid w:val="00DA09DA"/>
    <w:rsid w:val="00DA22AE"/>
    <w:rsid w:val="00DA234F"/>
    <w:rsid w:val="00DA2483"/>
    <w:rsid w:val="00DA3663"/>
    <w:rsid w:val="00DA3686"/>
    <w:rsid w:val="00DA41DB"/>
    <w:rsid w:val="00DA43A4"/>
    <w:rsid w:val="00DA4926"/>
    <w:rsid w:val="00DA4ABA"/>
    <w:rsid w:val="00DA5537"/>
    <w:rsid w:val="00DA5968"/>
    <w:rsid w:val="00DA5E8D"/>
    <w:rsid w:val="00DA60F5"/>
    <w:rsid w:val="00DA63CA"/>
    <w:rsid w:val="00DA661A"/>
    <w:rsid w:val="00DA6921"/>
    <w:rsid w:val="00DA6941"/>
    <w:rsid w:val="00DA7DD9"/>
    <w:rsid w:val="00DB0153"/>
    <w:rsid w:val="00DB0B31"/>
    <w:rsid w:val="00DB0FFB"/>
    <w:rsid w:val="00DB12D7"/>
    <w:rsid w:val="00DB1ABC"/>
    <w:rsid w:val="00DB1B81"/>
    <w:rsid w:val="00DB2C5D"/>
    <w:rsid w:val="00DB2CD2"/>
    <w:rsid w:val="00DB3389"/>
    <w:rsid w:val="00DB42C0"/>
    <w:rsid w:val="00DB460B"/>
    <w:rsid w:val="00DB4E27"/>
    <w:rsid w:val="00DB51A3"/>
    <w:rsid w:val="00DB67AA"/>
    <w:rsid w:val="00DB6B0F"/>
    <w:rsid w:val="00DB717C"/>
    <w:rsid w:val="00DB7B42"/>
    <w:rsid w:val="00DC0A23"/>
    <w:rsid w:val="00DC0A75"/>
    <w:rsid w:val="00DC1233"/>
    <w:rsid w:val="00DC1296"/>
    <w:rsid w:val="00DC1658"/>
    <w:rsid w:val="00DC1ED5"/>
    <w:rsid w:val="00DC1FF5"/>
    <w:rsid w:val="00DC2003"/>
    <w:rsid w:val="00DC2131"/>
    <w:rsid w:val="00DC471D"/>
    <w:rsid w:val="00DC4A0A"/>
    <w:rsid w:val="00DC517C"/>
    <w:rsid w:val="00DC5F01"/>
    <w:rsid w:val="00DC63E7"/>
    <w:rsid w:val="00DC651C"/>
    <w:rsid w:val="00DC6564"/>
    <w:rsid w:val="00DC75C7"/>
    <w:rsid w:val="00DC78BC"/>
    <w:rsid w:val="00DD017A"/>
    <w:rsid w:val="00DD0305"/>
    <w:rsid w:val="00DD0999"/>
    <w:rsid w:val="00DD0B29"/>
    <w:rsid w:val="00DD182D"/>
    <w:rsid w:val="00DD1A51"/>
    <w:rsid w:val="00DD1AF9"/>
    <w:rsid w:val="00DD2526"/>
    <w:rsid w:val="00DD3186"/>
    <w:rsid w:val="00DD31F9"/>
    <w:rsid w:val="00DD463C"/>
    <w:rsid w:val="00DD4C95"/>
    <w:rsid w:val="00DD4D36"/>
    <w:rsid w:val="00DD51F5"/>
    <w:rsid w:val="00DD5346"/>
    <w:rsid w:val="00DD547F"/>
    <w:rsid w:val="00DD56DD"/>
    <w:rsid w:val="00DD5765"/>
    <w:rsid w:val="00DD5F8D"/>
    <w:rsid w:val="00DD6A57"/>
    <w:rsid w:val="00DD6B33"/>
    <w:rsid w:val="00DD6B85"/>
    <w:rsid w:val="00DD75BC"/>
    <w:rsid w:val="00DD7603"/>
    <w:rsid w:val="00DD772F"/>
    <w:rsid w:val="00DE0248"/>
    <w:rsid w:val="00DE0596"/>
    <w:rsid w:val="00DE083A"/>
    <w:rsid w:val="00DE0C3D"/>
    <w:rsid w:val="00DE115B"/>
    <w:rsid w:val="00DE1969"/>
    <w:rsid w:val="00DE1ABA"/>
    <w:rsid w:val="00DE1DDD"/>
    <w:rsid w:val="00DE207E"/>
    <w:rsid w:val="00DE26D4"/>
    <w:rsid w:val="00DE287C"/>
    <w:rsid w:val="00DE2931"/>
    <w:rsid w:val="00DE2EE4"/>
    <w:rsid w:val="00DE2F45"/>
    <w:rsid w:val="00DE3A07"/>
    <w:rsid w:val="00DE3AEE"/>
    <w:rsid w:val="00DE41F0"/>
    <w:rsid w:val="00DE440A"/>
    <w:rsid w:val="00DE473C"/>
    <w:rsid w:val="00DE509D"/>
    <w:rsid w:val="00DE512E"/>
    <w:rsid w:val="00DE5370"/>
    <w:rsid w:val="00DE5762"/>
    <w:rsid w:val="00DE6217"/>
    <w:rsid w:val="00DE66A5"/>
    <w:rsid w:val="00DF0862"/>
    <w:rsid w:val="00DF0EF1"/>
    <w:rsid w:val="00DF11AC"/>
    <w:rsid w:val="00DF1432"/>
    <w:rsid w:val="00DF1706"/>
    <w:rsid w:val="00DF1853"/>
    <w:rsid w:val="00DF20D8"/>
    <w:rsid w:val="00DF2176"/>
    <w:rsid w:val="00DF2321"/>
    <w:rsid w:val="00DF2CB0"/>
    <w:rsid w:val="00DF2E74"/>
    <w:rsid w:val="00DF33B8"/>
    <w:rsid w:val="00DF3764"/>
    <w:rsid w:val="00DF37DB"/>
    <w:rsid w:val="00DF398C"/>
    <w:rsid w:val="00DF3B2B"/>
    <w:rsid w:val="00DF3D7E"/>
    <w:rsid w:val="00DF4303"/>
    <w:rsid w:val="00DF45EA"/>
    <w:rsid w:val="00DF4932"/>
    <w:rsid w:val="00DF5507"/>
    <w:rsid w:val="00DF5B02"/>
    <w:rsid w:val="00DF5BD0"/>
    <w:rsid w:val="00DF686C"/>
    <w:rsid w:val="00DF6937"/>
    <w:rsid w:val="00DF6B7F"/>
    <w:rsid w:val="00DF6C23"/>
    <w:rsid w:val="00DF75C3"/>
    <w:rsid w:val="00DF7BEE"/>
    <w:rsid w:val="00DF7C86"/>
    <w:rsid w:val="00DF7D5C"/>
    <w:rsid w:val="00E001E5"/>
    <w:rsid w:val="00E0167A"/>
    <w:rsid w:val="00E01A3F"/>
    <w:rsid w:val="00E01D3E"/>
    <w:rsid w:val="00E026FD"/>
    <w:rsid w:val="00E02AEF"/>
    <w:rsid w:val="00E02E53"/>
    <w:rsid w:val="00E03579"/>
    <w:rsid w:val="00E03B2F"/>
    <w:rsid w:val="00E03EDE"/>
    <w:rsid w:val="00E04309"/>
    <w:rsid w:val="00E043B4"/>
    <w:rsid w:val="00E04D70"/>
    <w:rsid w:val="00E04E86"/>
    <w:rsid w:val="00E0682D"/>
    <w:rsid w:val="00E06DCF"/>
    <w:rsid w:val="00E07133"/>
    <w:rsid w:val="00E072FA"/>
    <w:rsid w:val="00E07437"/>
    <w:rsid w:val="00E07A3F"/>
    <w:rsid w:val="00E07C99"/>
    <w:rsid w:val="00E10003"/>
    <w:rsid w:val="00E1018D"/>
    <w:rsid w:val="00E105A0"/>
    <w:rsid w:val="00E10DB2"/>
    <w:rsid w:val="00E1153B"/>
    <w:rsid w:val="00E11B95"/>
    <w:rsid w:val="00E12511"/>
    <w:rsid w:val="00E12707"/>
    <w:rsid w:val="00E12EDD"/>
    <w:rsid w:val="00E133C4"/>
    <w:rsid w:val="00E13442"/>
    <w:rsid w:val="00E1357E"/>
    <w:rsid w:val="00E13D7C"/>
    <w:rsid w:val="00E13F65"/>
    <w:rsid w:val="00E151FF"/>
    <w:rsid w:val="00E16110"/>
    <w:rsid w:val="00E1687B"/>
    <w:rsid w:val="00E16B55"/>
    <w:rsid w:val="00E171B8"/>
    <w:rsid w:val="00E17707"/>
    <w:rsid w:val="00E2008B"/>
    <w:rsid w:val="00E2010C"/>
    <w:rsid w:val="00E209F2"/>
    <w:rsid w:val="00E20A2F"/>
    <w:rsid w:val="00E22233"/>
    <w:rsid w:val="00E2246C"/>
    <w:rsid w:val="00E225C2"/>
    <w:rsid w:val="00E22827"/>
    <w:rsid w:val="00E22D4E"/>
    <w:rsid w:val="00E2303B"/>
    <w:rsid w:val="00E2321A"/>
    <w:rsid w:val="00E23A56"/>
    <w:rsid w:val="00E2431B"/>
    <w:rsid w:val="00E2436D"/>
    <w:rsid w:val="00E2446D"/>
    <w:rsid w:val="00E2464C"/>
    <w:rsid w:val="00E24AEC"/>
    <w:rsid w:val="00E24CE6"/>
    <w:rsid w:val="00E2500E"/>
    <w:rsid w:val="00E25086"/>
    <w:rsid w:val="00E252F0"/>
    <w:rsid w:val="00E26027"/>
    <w:rsid w:val="00E2604A"/>
    <w:rsid w:val="00E26A81"/>
    <w:rsid w:val="00E26D88"/>
    <w:rsid w:val="00E2740E"/>
    <w:rsid w:val="00E27CFC"/>
    <w:rsid w:val="00E27FA1"/>
    <w:rsid w:val="00E30CBA"/>
    <w:rsid w:val="00E313C3"/>
    <w:rsid w:val="00E3262E"/>
    <w:rsid w:val="00E3265A"/>
    <w:rsid w:val="00E329D4"/>
    <w:rsid w:val="00E3306F"/>
    <w:rsid w:val="00E33C7E"/>
    <w:rsid w:val="00E34234"/>
    <w:rsid w:val="00E34423"/>
    <w:rsid w:val="00E3509D"/>
    <w:rsid w:val="00E35313"/>
    <w:rsid w:val="00E35696"/>
    <w:rsid w:val="00E3621C"/>
    <w:rsid w:val="00E36776"/>
    <w:rsid w:val="00E37C9F"/>
    <w:rsid w:val="00E37DC8"/>
    <w:rsid w:val="00E401ED"/>
    <w:rsid w:val="00E408B4"/>
    <w:rsid w:val="00E41C7D"/>
    <w:rsid w:val="00E42792"/>
    <w:rsid w:val="00E42CE2"/>
    <w:rsid w:val="00E42E15"/>
    <w:rsid w:val="00E43C3B"/>
    <w:rsid w:val="00E43F48"/>
    <w:rsid w:val="00E441F8"/>
    <w:rsid w:val="00E44BFB"/>
    <w:rsid w:val="00E44E43"/>
    <w:rsid w:val="00E45C13"/>
    <w:rsid w:val="00E45E8D"/>
    <w:rsid w:val="00E46525"/>
    <w:rsid w:val="00E465EA"/>
    <w:rsid w:val="00E467E2"/>
    <w:rsid w:val="00E46A60"/>
    <w:rsid w:val="00E46B4A"/>
    <w:rsid w:val="00E46B5F"/>
    <w:rsid w:val="00E46BBA"/>
    <w:rsid w:val="00E46F62"/>
    <w:rsid w:val="00E4733D"/>
    <w:rsid w:val="00E47532"/>
    <w:rsid w:val="00E47648"/>
    <w:rsid w:val="00E47A8B"/>
    <w:rsid w:val="00E47EC0"/>
    <w:rsid w:val="00E50DCE"/>
    <w:rsid w:val="00E512ED"/>
    <w:rsid w:val="00E5139A"/>
    <w:rsid w:val="00E51713"/>
    <w:rsid w:val="00E519F8"/>
    <w:rsid w:val="00E525AC"/>
    <w:rsid w:val="00E527A9"/>
    <w:rsid w:val="00E52B1C"/>
    <w:rsid w:val="00E52F08"/>
    <w:rsid w:val="00E534C7"/>
    <w:rsid w:val="00E5361F"/>
    <w:rsid w:val="00E53B6B"/>
    <w:rsid w:val="00E53E7A"/>
    <w:rsid w:val="00E542EC"/>
    <w:rsid w:val="00E54D5F"/>
    <w:rsid w:val="00E55001"/>
    <w:rsid w:val="00E55854"/>
    <w:rsid w:val="00E55D02"/>
    <w:rsid w:val="00E55E1C"/>
    <w:rsid w:val="00E55F23"/>
    <w:rsid w:val="00E55FEC"/>
    <w:rsid w:val="00E579DD"/>
    <w:rsid w:val="00E60035"/>
    <w:rsid w:val="00E60489"/>
    <w:rsid w:val="00E60C98"/>
    <w:rsid w:val="00E61D16"/>
    <w:rsid w:val="00E61D73"/>
    <w:rsid w:val="00E61EAF"/>
    <w:rsid w:val="00E62365"/>
    <w:rsid w:val="00E62E76"/>
    <w:rsid w:val="00E62F9D"/>
    <w:rsid w:val="00E6388E"/>
    <w:rsid w:val="00E63DD6"/>
    <w:rsid w:val="00E647C4"/>
    <w:rsid w:val="00E648FC"/>
    <w:rsid w:val="00E65BF2"/>
    <w:rsid w:val="00E67191"/>
    <w:rsid w:val="00E6729A"/>
    <w:rsid w:val="00E67DC0"/>
    <w:rsid w:val="00E71AE1"/>
    <w:rsid w:val="00E71C5F"/>
    <w:rsid w:val="00E724DB"/>
    <w:rsid w:val="00E72749"/>
    <w:rsid w:val="00E72934"/>
    <w:rsid w:val="00E72BFD"/>
    <w:rsid w:val="00E73A48"/>
    <w:rsid w:val="00E73CDA"/>
    <w:rsid w:val="00E74509"/>
    <w:rsid w:val="00E74F7E"/>
    <w:rsid w:val="00E75577"/>
    <w:rsid w:val="00E7683A"/>
    <w:rsid w:val="00E76A45"/>
    <w:rsid w:val="00E774C6"/>
    <w:rsid w:val="00E779F8"/>
    <w:rsid w:val="00E77DDC"/>
    <w:rsid w:val="00E803F8"/>
    <w:rsid w:val="00E80593"/>
    <w:rsid w:val="00E8076E"/>
    <w:rsid w:val="00E807CE"/>
    <w:rsid w:val="00E80B07"/>
    <w:rsid w:val="00E81404"/>
    <w:rsid w:val="00E81662"/>
    <w:rsid w:val="00E8211F"/>
    <w:rsid w:val="00E826B5"/>
    <w:rsid w:val="00E83035"/>
    <w:rsid w:val="00E83375"/>
    <w:rsid w:val="00E837E7"/>
    <w:rsid w:val="00E839E6"/>
    <w:rsid w:val="00E84554"/>
    <w:rsid w:val="00E84908"/>
    <w:rsid w:val="00E84F87"/>
    <w:rsid w:val="00E856C1"/>
    <w:rsid w:val="00E85790"/>
    <w:rsid w:val="00E8587A"/>
    <w:rsid w:val="00E85959"/>
    <w:rsid w:val="00E85FF6"/>
    <w:rsid w:val="00E86896"/>
    <w:rsid w:val="00E86C5B"/>
    <w:rsid w:val="00E8795F"/>
    <w:rsid w:val="00E907C9"/>
    <w:rsid w:val="00E90EC9"/>
    <w:rsid w:val="00E90FB8"/>
    <w:rsid w:val="00E914DC"/>
    <w:rsid w:val="00E915A2"/>
    <w:rsid w:val="00E91607"/>
    <w:rsid w:val="00E91768"/>
    <w:rsid w:val="00E91DA9"/>
    <w:rsid w:val="00E91E37"/>
    <w:rsid w:val="00E91EE8"/>
    <w:rsid w:val="00E9262D"/>
    <w:rsid w:val="00E92701"/>
    <w:rsid w:val="00E92FC7"/>
    <w:rsid w:val="00E93060"/>
    <w:rsid w:val="00E9308E"/>
    <w:rsid w:val="00E933A9"/>
    <w:rsid w:val="00E938FB"/>
    <w:rsid w:val="00E93D5A"/>
    <w:rsid w:val="00E945D5"/>
    <w:rsid w:val="00E94B94"/>
    <w:rsid w:val="00E95956"/>
    <w:rsid w:val="00E95B68"/>
    <w:rsid w:val="00E9688F"/>
    <w:rsid w:val="00E9699A"/>
    <w:rsid w:val="00E97587"/>
    <w:rsid w:val="00E97815"/>
    <w:rsid w:val="00E97853"/>
    <w:rsid w:val="00E97AC1"/>
    <w:rsid w:val="00E97E1D"/>
    <w:rsid w:val="00EA0503"/>
    <w:rsid w:val="00EA0704"/>
    <w:rsid w:val="00EA07B8"/>
    <w:rsid w:val="00EA0920"/>
    <w:rsid w:val="00EA0AF7"/>
    <w:rsid w:val="00EA14A9"/>
    <w:rsid w:val="00EA1C9A"/>
    <w:rsid w:val="00EA233A"/>
    <w:rsid w:val="00EA2E7A"/>
    <w:rsid w:val="00EA2EDB"/>
    <w:rsid w:val="00EA30EE"/>
    <w:rsid w:val="00EA3794"/>
    <w:rsid w:val="00EA3BCF"/>
    <w:rsid w:val="00EA3E59"/>
    <w:rsid w:val="00EA4588"/>
    <w:rsid w:val="00EA4910"/>
    <w:rsid w:val="00EA49C0"/>
    <w:rsid w:val="00EA4B2B"/>
    <w:rsid w:val="00EA4C69"/>
    <w:rsid w:val="00EA4EB9"/>
    <w:rsid w:val="00EA58C4"/>
    <w:rsid w:val="00EA5A03"/>
    <w:rsid w:val="00EA5AED"/>
    <w:rsid w:val="00EA5D17"/>
    <w:rsid w:val="00EA5D78"/>
    <w:rsid w:val="00EA6876"/>
    <w:rsid w:val="00EA6C5E"/>
    <w:rsid w:val="00EA6D88"/>
    <w:rsid w:val="00EA6DA3"/>
    <w:rsid w:val="00EA710E"/>
    <w:rsid w:val="00EA712D"/>
    <w:rsid w:val="00EA72F5"/>
    <w:rsid w:val="00EA7A52"/>
    <w:rsid w:val="00EB036C"/>
    <w:rsid w:val="00EB0832"/>
    <w:rsid w:val="00EB10D1"/>
    <w:rsid w:val="00EB142B"/>
    <w:rsid w:val="00EB15E0"/>
    <w:rsid w:val="00EB1A41"/>
    <w:rsid w:val="00EB20CE"/>
    <w:rsid w:val="00EB2511"/>
    <w:rsid w:val="00EB27ED"/>
    <w:rsid w:val="00EB2E13"/>
    <w:rsid w:val="00EB39FC"/>
    <w:rsid w:val="00EB50FA"/>
    <w:rsid w:val="00EB5185"/>
    <w:rsid w:val="00EB51A1"/>
    <w:rsid w:val="00EB54DF"/>
    <w:rsid w:val="00EB5710"/>
    <w:rsid w:val="00EB5C6A"/>
    <w:rsid w:val="00EB5CD4"/>
    <w:rsid w:val="00EB5E83"/>
    <w:rsid w:val="00EB5F24"/>
    <w:rsid w:val="00EB703A"/>
    <w:rsid w:val="00EB7783"/>
    <w:rsid w:val="00EB7A3F"/>
    <w:rsid w:val="00EC0278"/>
    <w:rsid w:val="00EC07C7"/>
    <w:rsid w:val="00EC0EC7"/>
    <w:rsid w:val="00EC1227"/>
    <w:rsid w:val="00EC157E"/>
    <w:rsid w:val="00EC165E"/>
    <w:rsid w:val="00EC1D0C"/>
    <w:rsid w:val="00EC1D1E"/>
    <w:rsid w:val="00EC323C"/>
    <w:rsid w:val="00EC3FD5"/>
    <w:rsid w:val="00EC41B8"/>
    <w:rsid w:val="00EC41C4"/>
    <w:rsid w:val="00EC4293"/>
    <w:rsid w:val="00EC45EA"/>
    <w:rsid w:val="00EC4A28"/>
    <w:rsid w:val="00EC5009"/>
    <w:rsid w:val="00EC57D4"/>
    <w:rsid w:val="00EC57F9"/>
    <w:rsid w:val="00EC590D"/>
    <w:rsid w:val="00EC5A94"/>
    <w:rsid w:val="00EC5ACE"/>
    <w:rsid w:val="00EC5E83"/>
    <w:rsid w:val="00EC63B6"/>
    <w:rsid w:val="00EC6618"/>
    <w:rsid w:val="00EC6B55"/>
    <w:rsid w:val="00EC773A"/>
    <w:rsid w:val="00EC7A1D"/>
    <w:rsid w:val="00ED04E2"/>
    <w:rsid w:val="00ED08E4"/>
    <w:rsid w:val="00ED11D9"/>
    <w:rsid w:val="00ED166C"/>
    <w:rsid w:val="00ED179E"/>
    <w:rsid w:val="00ED18AC"/>
    <w:rsid w:val="00ED1A05"/>
    <w:rsid w:val="00ED24CB"/>
    <w:rsid w:val="00ED2782"/>
    <w:rsid w:val="00ED32A4"/>
    <w:rsid w:val="00ED3AA0"/>
    <w:rsid w:val="00ED43AE"/>
    <w:rsid w:val="00ED43C9"/>
    <w:rsid w:val="00ED4504"/>
    <w:rsid w:val="00ED4C07"/>
    <w:rsid w:val="00ED4CB4"/>
    <w:rsid w:val="00ED5294"/>
    <w:rsid w:val="00ED604C"/>
    <w:rsid w:val="00ED6A7F"/>
    <w:rsid w:val="00ED7066"/>
    <w:rsid w:val="00ED70F6"/>
    <w:rsid w:val="00ED774F"/>
    <w:rsid w:val="00ED7A8D"/>
    <w:rsid w:val="00ED7B47"/>
    <w:rsid w:val="00EDB103"/>
    <w:rsid w:val="00EE00D2"/>
    <w:rsid w:val="00EE00D3"/>
    <w:rsid w:val="00EE0329"/>
    <w:rsid w:val="00EE04DE"/>
    <w:rsid w:val="00EE0FD2"/>
    <w:rsid w:val="00EE10BB"/>
    <w:rsid w:val="00EE2827"/>
    <w:rsid w:val="00EE2AE3"/>
    <w:rsid w:val="00EE2AEC"/>
    <w:rsid w:val="00EE2D17"/>
    <w:rsid w:val="00EE35F3"/>
    <w:rsid w:val="00EE3A9E"/>
    <w:rsid w:val="00EE3B5E"/>
    <w:rsid w:val="00EE41F1"/>
    <w:rsid w:val="00EE4545"/>
    <w:rsid w:val="00EE46A4"/>
    <w:rsid w:val="00EE4961"/>
    <w:rsid w:val="00EE532B"/>
    <w:rsid w:val="00EE55B7"/>
    <w:rsid w:val="00EE566B"/>
    <w:rsid w:val="00EE57E4"/>
    <w:rsid w:val="00EE5ACB"/>
    <w:rsid w:val="00EE68BD"/>
    <w:rsid w:val="00EE693D"/>
    <w:rsid w:val="00EE6DDE"/>
    <w:rsid w:val="00EE7AA8"/>
    <w:rsid w:val="00EE7DAA"/>
    <w:rsid w:val="00EF0271"/>
    <w:rsid w:val="00EF04BA"/>
    <w:rsid w:val="00EF0DB2"/>
    <w:rsid w:val="00EF1D5B"/>
    <w:rsid w:val="00EF1EE8"/>
    <w:rsid w:val="00EF246F"/>
    <w:rsid w:val="00EF2AE2"/>
    <w:rsid w:val="00EF2C50"/>
    <w:rsid w:val="00EF3315"/>
    <w:rsid w:val="00EF3EF5"/>
    <w:rsid w:val="00EF459B"/>
    <w:rsid w:val="00EF4665"/>
    <w:rsid w:val="00EF500F"/>
    <w:rsid w:val="00EF50FD"/>
    <w:rsid w:val="00EF598C"/>
    <w:rsid w:val="00EF5B7C"/>
    <w:rsid w:val="00EF659C"/>
    <w:rsid w:val="00EF69CF"/>
    <w:rsid w:val="00EF6EF9"/>
    <w:rsid w:val="00EF7342"/>
    <w:rsid w:val="00EF73AC"/>
    <w:rsid w:val="00EF74E5"/>
    <w:rsid w:val="00EF7ABC"/>
    <w:rsid w:val="00F003D1"/>
    <w:rsid w:val="00F008B4"/>
    <w:rsid w:val="00F008CA"/>
    <w:rsid w:val="00F00A30"/>
    <w:rsid w:val="00F00FFE"/>
    <w:rsid w:val="00F014B9"/>
    <w:rsid w:val="00F018D4"/>
    <w:rsid w:val="00F018FD"/>
    <w:rsid w:val="00F01F2E"/>
    <w:rsid w:val="00F022D0"/>
    <w:rsid w:val="00F02615"/>
    <w:rsid w:val="00F02762"/>
    <w:rsid w:val="00F02B8C"/>
    <w:rsid w:val="00F03F84"/>
    <w:rsid w:val="00F045BC"/>
    <w:rsid w:val="00F04918"/>
    <w:rsid w:val="00F05BA1"/>
    <w:rsid w:val="00F066E8"/>
    <w:rsid w:val="00F06C1F"/>
    <w:rsid w:val="00F072D4"/>
    <w:rsid w:val="00F07505"/>
    <w:rsid w:val="00F07CAD"/>
    <w:rsid w:val="00F07CE5"/>
    <w:rsid w:val="00F100BB"/>
    <w:rsid w:val="00F10190"/>
    <w:rsid w:val="00F10690"/>
    <w:rsid w:val="00F107CF"/>
    <w:rsid w:val="00F114BE"/>
    <w:rsid w:val="00F11F4E"/>
    <w:rsid w:val="00F128DB"/>
    <w:rsid w:val="00F12B79"/>
    <w:rsid w:val="00F12FA5"/>
    <w:rsid w:val="00F1359B"/>
    <w:rsid w:val="00F136AE"/>
    <w:rsid w:val="00F13A16"/>
    <w:rsid w:val="00F13A79"/>
    <w:rsid w:val="00F13CF0"/>
    <w:rsid w:val="00F142BF"/>
    <w:rsid w:val="00F14390"/>
    <w:rsid w:val="00F14A0D"/>
    <w:rsid w:val="00F14F49"/>
    <w:rsid w:val="00F155F3"/>
    <w:rsid w:val="00F157C1"/>
    <w:rsid w:val="00F15D1F"/>
    <w:rsid w:val="00F15DA8"/>
    <w:rsid w:val="00F16587"/>
    <w:rsid w:val="00F16600"/>
    <w:rsid w:val="00F169A4"/>
    <w:rsid w:val="00F16B7B"/>
    <w:rsid w:val="00F17590"/>
    <w:rsid w:val="00F177D6"/>
    <w:rsid w:val="00F2133A"/>
    <w:rsid w:val="00F214E2"/>
    <w:rsid w:val="00F22763"/>
    <w:rsid w:val="00F227AC"/>
    <w:rsid w:val="00F23572"/>
    <w:rsid w:val="00F23932"/>
    <w:rsid w:val="00F23CB7"/>
    <w:rsid w:val="00F23DAE"/>
    <w:rsid w:val="00F24D1C"/>
    <w:rsid w:val="00F24D66"/>
    <w:rsid w:val="00F25002"/>
    <w:rsid w:val="00F25445"/>
    <w:rsid w:val="00F26188"/>
    <w:rsid w:val="00F263A5"/>
    <w:rsid w:val="00F2650F"/>
    <w:rsid w:val="00F2658C"/>
    <w:rsid w:val="00F26E7F"/>
    <w:rsid w:val="00F3016D"/>
    <w:rsid w:val="00F30B0A"/>
    <w:rsid w:val="00F30C6C"/>
    <w:rsid w:val="00F31598"/>
    <w:rsid w:val="00F31E1C"/>
    <w:rsid w:val="00F32A71"/>
    <w:rsid w:val="00F32DBC"/>
    <w:rsid w:val="00F331E6"/>
    <w:rsid w:val="00F332DA"/>
    <w:rsid w:val="00F33326"/>
    <w:rsid w:val="00F3345D"/>
    <w:rsid w:val="00F33980"/>
    <w:rsid w:val="00F342A4"/>
    <w:rsid w:val="00F342B7"/>
    <w:rsid w:val="00F344A3"/>
    <w:rsid w:val="00F34CF7"/>
    <w:rsid w:val="00F34E01"/>
    <w:rsid w:val="00F354C8"/>
    <w:rsid w:val="00F35572"/>
    <w:rsid w:val="00F35733"/>
    <w:rsid w:val="00F35BE8"/>
    <w:rsid w:val="00F35DD5"/>
    <w:rsid w:val="00F36796"/>
    <w:rsid w:val="00F37010"/>
    <w:rsid w:val="00F37490"/>
    <w:rsid w:val="00F37AC0"/>
    <w:rsid w:val="00F37C2E"/>
    <w:rsid w:val="00F37C9E"/>
    <w:rsid w:val="00F37DA1"/>
    <w:rsid w:val="00F4082C"/>
    <w:rsid w:val="00F40989"/>
    <w:rsid w:val="00F409CE"/>
    <w:rsid w:val="00F40B2A"/>
    <w:rsid w:val="00F40E26"/>
    <w:rsid w:val="00F416DE"/>
    <w:rsid w:val="00F420C2"/>
    <w:rsid w:val="00F42429"/>
    <w:rsid w:val="00F4397E"/>
    <w:rsid w:val="00F439E2"/>
    <w:rsid w:val="00F445C8"/>
    <w:rsid w:val="00F44E20"/>
    <w:rsid w:val="00F44F24"/>
    <w:rsid w:val="00F453E1"/>
    <w:rsid w:val="00F45709"/>
    <w:rsid w:val="00F4628B"/>
    <w:rsid w:val="00F46582"/>
    <w:rsid w:val="00F46B80"/>
    <w:rsid w:val="00F46CB3"/>
    <w:rsid w:val="00F46DAE"/>
    <w:rsid w:val="00F46FFB"/>
    <w:rsid w:val="00F4718A"/>
    <w:rsid w:val="00F474C0"/>
    <w:rsid w:val="00F47894"/>
    <w:rsid w:val="00F506AB"/>
    <w:rsid w:val="00F507EC"/>
    <w:rsid w:val="00F50EDA"/>
    <w:rsid w:val="00F50FF4"/>
    <w:rsid w:val="00F5121D"/>
    <w:rsid w:val="00F5173B"/>
    <w:rsid w:val="00F518F9"/>
    <w:rsid w:val="00F51A55"/>
    <w:rsid w:val="00F51ED8"/>
    <w:rsid w:val="00F52937"/>
    <w:rsid w:val="00F52CE6"/>
    <w:rsid w:val="00F5396B"/>
    <w:rsid w:val="00F53B51"/>
    <w:rsid w:val="00F53BD8"/>
    <w:rsid w:val="00F54FEF"/>
    <w:rsid w:val="00F55649"/>
    <w:rsid w:val="00F55FC9"/>
    <w:rsid w:val="00F56040"/>
    <w:rsid w:val="00F565A8"/>
    <w:rsid w:val="00F56EBB"/>
    <w:rsid w:val="00F5748D"/>
    <w:rsid w:val="00F5773E"/>
    <w:rsid w:val="00F57882"/>
    <w:rsid w:val="00F603EF"/>
    <w:rsid w:val="00F604DB"/>
    <w:rsid w:val="00F60611"/>
    <w:rsid w:val="00F6064A"/>
    <w:rsid w:val="00F609D1"/>
    <w:rsid w:val="00F60BE3"/>
    <w:rsid w:val="00F60E0B"/>
    <w:rsid w:val="00F616D5"/>
    <w:rsid w:val="00F618DA"/>
    <w:rsid w:val="00F623E8"/>
    <w:rsid w:val="00F62C03"/>
    <w:rsid w:val="00F630C1"/>
    <w:rsid w:val="00F630F7"/>
    <w:rsid w:val="00F631BF"/>
    <w:rsid w:val="00F639D0"/>
    <w:rsid w:val="00F63C2F"/>
    <w:rsid w:val="00F63F96"/>
    <w:rsid w:val="00F63FFD"/>
    <w:rsid w:val="00F6434A"/>
    <w:rsid w:val="00F6477E"/>
    <w:rsid w:val="00F657C7"/>
    <w:rsid w:val="00F65938"/>
    <w:rsid w:val="00F667D0"/>
    <w:rsid w:val="00F66CE5"/>
    <w:rsid w:val="00F6711B"/>
    <w:rsid w:val="00F6762A"/>
    <w:rsid w:val="00F70094"/>
    <w:rsid w:val="00F70172"/>
    <w:rsid w:val="00F70B7A"/>
    <w:rsid w:val="00F70CEF"/>
    <w:rsid w:val="00F71A04"/>
    <w:rsid w:val="00F71B20"/>
    <w:rsid w:val="00F71B4B"/>
    <w:rsid w:val="00F71BFC"/>
    <w:rsid w:val="00F7265A"/>
    <w:rsid w:val="00F727A8"/>
    <w:rsid w:val="00F72BE7"/>
    <w:rsid w:val="00F73154"/>
    <w:rsid w:val="00F73486"/>
    <w:rsid w:val="00F74943"/>
    <w:rsid w:val="00F75C8C"/>
    <w:rsid w:val="00F75EAF"/>
    <w:rsid w:val="00F76301"/>
    <w:rsid w:val="00F76648"/>
    <w:rsid w:val="00F76CC5"/>
    <w:rsid w:val="00F76D67"/>
    <w:rsid w:val="00F775B1"/>
    <w:rsid w:val="00F77778"/>
    <w:rsid w:val="00F77A86"/>
    <w:rsid w:val="00F804F6"/>
    <w:rsid w:val="00F812A8"/>
    <w:rsid w:val="00F823B3"/>
    <w:rsid w:val="00F823C1"/>
    <w:rsid w:val="00F82672"/>
    <w:rsid w:val="00F83377"/>
    <w:rsid w:val="00F8341F"/>
    <w:rsid w:val="00F83631"/>
    <w:rsid w:val="00F83C38"/>
    <w:rsid w:val="00F84D5C"/>
    <w:rsid w:val="00F8564D"/>
    <w:rsid w:val="00F856B2"/>
    <w:rsid w:val="00F85870"/>
    <w:rsid w:val="00F858CD"/>
    <w:rsid w:val="00F85B78"/>
    <w:rsid w:val="00F85C10"/>
    <w:rsid w:val="00F85D17"/>
    <w:rsid w:val="00F864AF"/>
    <w:rsid w:val="00F86E09"/>
    <w:rsid w:val="00F876E8"/>
    <w:rsid w:val="00F9050E"/>
    <w:rsid w:val="00F905C6"/>
    <w:rsid w:val="00F909C3"/>
    <w:rsid w:val="00F90E62"/>
    <w:rsid w:val="00F911FC"/>
    <w:rsid w:val="00F916A2"/>
    <w:rsid w:val="00F91BAE"/>
    <w:rsid w:val="00F9260B"/>
    <w:rsid w:val="00F92EA5"/>
    <w:rsid w:val="00F93760"/>
    <w:rsid w:val="00F939B1"/>
    <w:rsid w:val="00F939B2"/>
    <w:rsid w:val="00F93B17"/>
    <w:rsid w:val="00F9410D"/>
    <w:rsid w:val="00F9443A"/>
    <w:rsid w:val="00F9494F"/>
    <w:rsid w:val="00F951BD"/>
    <w:rsid w:val="00F95840"/>
    <w:rsid w:val="00F96A81"/>
    <w:rsid w:val="00F96BFB"/>
    <w:rsid w:val="00F974BF"/>
    <w:rsid w:val="00F97D4B"/>
    <w:rsid w:val="00FA0B89"/>
    <w:rsid w:val="00FA0D76"/>
    <w:rsid w:val="00FA0EAF"/>
    <w:rsid w:val="00FA1BF4"/>
    <w:rsid w:val="00FA2A0E"/>
    <w:rsid w:val="00FA2C43"/>
    <w:rsid w:val="00FA3EC2"/>
    <w:rsid w:val="00FA4237"/>
    <w:rsid w:val="00FA4C53"/>
    <w:rsid w:val="00FA4C7D"/>
    <w:rsid w:val="00FA5185"/>
    <w:rsid w:val="00FA619D"/>
    <w:rsid w:val="00FA61B7"/>
    <w:rsid w:val="00FA65CE"/>
    <w:rsid w:val="00FA68F8"/>
    <w:rsid w:val="00FA6A95"/>
    <w:rsid w:val="00FA769E"/>
    <w:rsid w:val="00FA7882"/>
    <w:rsid w:val="00FB0404"/>
    <w:rsid w:val="00FB0A91"/>
    <w:rsid w:val="00FB0BDB"/>
    <w:rsid w:val="00FB1342"/>
    <w:rsid w:val="00FB1B89"/>
    <w:rsid w:val="00FB1D43"/>
    <w:rsid w:val="00FB1E0E"/>
    <w:rsid w:val="00FB2696"/>
    <w:rsid w:val="00FB2735"/>
    <w:rsid w:val="00FB2779"/>
    <w:rsid w:val="00FB3151"/>
    <w:rsid w:val="00FB4082"/>
    <w:rsid w:val="00FB443E"/>
    <w:rsid w:val="00FB47FC"/>
    <w:rsid w:val="00FB4B8D"/>
    <w:rsid w:val="00FB508A"/>
    <w:rsid w:val="00FB545A"/>
    <w:rsid w:val="00FB5507"/>
    <w:rsid w:val="00FB5963"/>
    <w:rsid w:val="00FB5EA3"/>
    <w:rsid w:val="00FB6008"/>
    <w:rsid w:val="00FB666A"/>
    <w:rsid w:val="00FB6E3F"/>
    <w:rsid w:val="00FB77D9"/>
    <w:rsid w:val="00FB7B56"/>
    <w:rsid w:val="00FB7FE9"/>
    <w:rsid w:val="00FC1428"/>
    <w:rsid w:val="00FC14DD"/>
    <w:rsid w:val="00FC1BCD"/>
    <w:rsid w:val="00FC207F"/>
    <w:rsid w:val="00FC245C"/>
    <w:rsid w:val="00FC256E"/>
    <w:rsid w:val="00FC2C1C"/>
    <w:rsid w:val="00FC2C8A"/>
    <w:rsid w:val="00FC2F28"/>
    <w:rsid w:val="00FC305D"/>
    <w:rsid w:val="00FC3471"/>
    <w:rsid w:val="00FC390F"/>
    <w:rsid w:val="00FC3CCF"/>
    <w:rsid w:val="00FC3DA0"/>
    <w:rsid w:val="00FC3F0D"/>
    <w:rsid w:val="00FC43B1"/>
    <w:rsid w:val="00FC4870"/>
    <w:rsid w:val="00FC4AEE"/>
    <w:rsid w:val="00FC55CB"/>
    <w:rsid w:val="00FC5BF9"/>
    <w:rsid w:val="00FC6262"/>
    <w:rsid w:val="00FC6932"/>
    <w:rsid w:val="00FC7530"/>
    <w:rsid w:val="00FC75DA"/>
    <w:rsid w:val="00FC78D4"/>
    <w:rsid w:val="00FD0169"/>
    <w:rsid w:val="00FD0258"/>
    <w:rsid w:val="00FD0703"/>
    <w:rsid w:val="00FD071E"/>
    <w:rsid w:val="00FD0D78"/>
    <w:rsid w:val="00FD0DDB"/>
    <w:rsid w:val="00FD11EB"/>
    <w:rsid w:val="00FD2A96"/>
    <w:rsid w:val="00FD2C50"/>
    <w:rsid w:val="00FD2D51"/>
    <w:rsid w:val="00FD3385"/>
    <w:rsid w:val="00FD3889"/>
    <w:rsid w:val="00FD3AED"/>
    <w:rsid w:val="00FD7DCD"/>
    <w:rsid w:val="00FD7E14"/>
    <w:rsid w:val="00FE00DA"/>
    <w:rsid w:val="00FE0344"/>
    <w:rsid w:val="00FE183A"/>
    <w:rsid w:val="00FE1D43"/>
    <w:rsid w:val="00FE214D"/>
    <w:rsid w:val="00FE26A1"/>
    <w:rsid w:val="00FE2CF1"/>
    <w:rsid w:val="00FE3425"/>
    <w:rsid w:val="00FE3553"/>
    <w:rsid w:val="00FE3750"/>
    <w:rsid w:val="00FE38AE"/>
    <w:rsid w:val="00FE3CCF"/>
    <w:rsid w:val="00FE483E"/>
    <w:rsid w:val="00FE4BC7"/>
    <w:rsid w:val="00FE4C20"/>
    <w:rsid w:val="00FE54BB"/>
    <w:rsid w:val="00FE5722"/>
    <w:rsid w:val="00FE5727"/>
    <w:rsid w:val="00FE57E7"/>
    <w:rsid w:val="00FE58E2"/>
    <w:rsid w:val="00FE594D"/>
    <w:rsid w:val="00FE5CF9"/>
    <w:rsid w:val="00FE6143"/>
    <w:rsid w:val="00FE709B"/>
    <w:rsid w:val="00FE7A59"/>
    <w:rsid w:val="00FE7C17"/>
    <w:rsid w:val="00FE7FF3"/>
    <w:rsid w:val="00FF0CF3"/>
    <w:rsid w:val="00FF1FCA"/>
    <w:rsid w:val="00FF2053"/>
    <w:rsid w:val="00FF206F"/>
    <w:rsid w:val="00FF276C"/>
    <w:rsid w:val="00FF2A0F"/>
    <w:rsid w:val="00FF2A44"/>
    <w:rsid w:val="00FF2A77"/>
    <w:rsid w:val="00FF3058"/>
    <w:rsid w:val="00FF39D4"/>
    <w:rsid w:val="00FF3C56"/>
    <w:rsid w:val="00FF3FEE"/>
    <w:rsid w:val="00FF4298"/>
    <w:rsid w:val="00FF55C2"/>
    <w:rsid w:val="00FF5811"/>
    <w:rsid w:val="00FF58F9"/>
    <w:rsid w:val="00FF62A0"/>
    <w:rsid w:val="00FF62BD"/>
    <w:rsid w:val="00FF671D"/>
    <w:rsid w:val="00FF6A7D"/>
    <w:rsid w:val="00FF6D52"/>
    <w:rsid w:val="00FF6DB2"/>
    <w:rsid w:val="00FF77C3"/>
    <w:rsid w:val="00FF783F"/>
    <w:rsid w:val="00FF7B63"/>
    <w:rsid w:val="00FF7E3E"/>
    <w:rsid w:val="011E8E31"/>
    <w:rsid w:val="016129D0"/>
    <w:rsid w:val="017F0FB4"/>
    <w:rsid w:val="018982B8"/>
    <w:rsid w:val="018DD1E6"/>
    <w:rsid w:val="0197F9F5"/>
    <w:rsid w:val="01EA95EC"/>
    <w:rsid w:val="02042D02"/>
    <w:rsid w:val="0214D2D8"/>
    <w:rsid w:val="022FC3C9"/>
    <w:rsid w:val="02472EE5"/>
    <w:rsid w:val="024AB193"/>
    <w:rsid w:val="0276AC6C"/>
    <w:rsid w:val="027DCDCD"/>
    <w:rsid w:val="02B2577C"/>
    <w:rsid w:val="02F02B2E"/>
    <w:rsid w:val="030C75D6"/>
    <w:rsid w:val="031A46AC"/>
    <w:rsid w:val="031E8C9D"/>
    <w:rsid w:val="03269187"/>
    <w:rsid w:val="032F3FAD"/>
    <w:rsid w:val="03530FD7"/>
    <w:rsid w:val="035C187B"/>
    <w:rsid w:val="035F13C1"/>
    <w:rsid w:val="03677961"/>
    <w:rsid w:val="038C2925"/>
    <w:rsid w:val="03C0AA06"/>
    <w:rsid w:val="03F929C6"/>
    <w:rsid w:val="048ECE66"/>
    <w:rsid w:val="04C743A8"/>
    <w:rsid w:val="04DA3986"/>
    <w:rsid w:val="04E36DF7"/>
    <w:rsid w:val="05429EDF"/>
    <w:rsid w:val="05484ED1"/>
    <w:rsid w:val="054BDBB6"/>
    <w:rsid w:val="05857C05"/>
    <w:rsid w:val="058CEB6E"/>
    <w:rsid w:val="05C9A3A1"/>
    <w:rsid w:val="060A6B16"/>
    <w:rsid w:val="064E50AE"/>
    <w:rsid w:val="06706ED3"/>
    <w:rsid w:val="0683C4DE"/>
    <w:rsid w:val="0699A3E5"/>
    <w:rsid w:val="06AEBA92"/>
    <w:rsid w:val="06B2E148"/>
    <w:rsid w:val="06DD226D"/>
    <w:rsid w:val="06F47A02"/>
    <w:rsid w:val="0709E6B4"/>
    <w:rsid w:val="070D9B47"/>
    <w:rsid w:val="0748B6F7"/>
    <w:rsid w:val="075CF17C"/>
    <w:rsid w:val="07819ED7"/>
    <w:rsid w:val="0784046B"/>
    <w:rsid w:val="078A52EC"/>
    <w:rsid w:val="0791D20F"/>
    <w:rsid w:val="07B02274"/>
    <w:rsid w:val="08063C50"/>
    <w:rsid w:val="0832D1E5"/>
    <w:rsid w:val="0887194B"/>
    <w:rsid w:val="08878FFC"/>
    <w:rsid w:val="0894795C"/>
    <w:rsid w:val="089AD3E5"/>
    <w:rsid w:val="089B4AA2"/>
    <w:rsid w:val="08BCEAC5"/>
    <w:rsid w:val="08CAD3DF"/>
    <w:rsid w:val="08EBA87A"/>
    <w:rsid w:val="09046821"/>
    <w:rsid w:val="0919E9DE"/>
    <w:rsid w:val="0943F763"/>
    <w:rsid w:val="095F9908"/>
    <w:rsid w:val="097FFD23"/>
    <w:rsid w:val="09848CA1"/>
    <w:rsid w:val="0987B589"/>
    <w:rsid w:val="09A4F443"/>
    <w:rsid w:val="09BA577E"/>
    <w:rsid w:val="0A35279F"/>
    <w:rsid w:val="0A8778DB"/>
    <w:rsid w:val="0A88E08B"/>
    <w:rsid w:val="0A8BE9E0"/>
    <w:rsid w:val="0A916C1B"/>
    <w:rsid w:val="0AA1CA1D"/>
    <w:rsid w:val="0AAAEB2F"/>
    <w:rsid w:val="0B018BD7"/>
    <w:rsid w:val="0B1A4E44"/>
    <w:rsid w:val="0B473721"/>
    <w:rsid w:val="0B4EF4AF"/>
    <w:rsid w:val="0B67A373"/>
    <w:rsid w:val="0B6EACD5"/>
    <w:rsid w:val="0B722337"/>
    <w:rsid w:val="0B9CFD07"/>
    <w:rsid w:val="0BA1AE85"/>
    <w:rsid w:val="0BBF6647"/>
    <w:rsid w:val="0BCE87E1"/>
    <w:rsid w:val="0BCF10B7"/>
    <w:rsid w:val="0C18E06C"/>
    <w:rsid w:val="0C38E1D1"/>
    <w:rsid w:val="0C75E16E"/>
    <w:rsid w:val="0CE88B01"/>
    <w:rsid w:val="0CEB9D4F"/>
    <w:rsid w:val="0CEED998"/>
    <w:rsid w:val="0CF0D68D"/>
    <w:rsid w:val="0D191DBF"/>
    <w:rsid w:val="0D32CF83"/>
    <w:rsid w:val="0D8FDD70"/>
    <w:rsid w:val="0DA3C200"/>
    <w:rsid w:val="0DBBDF5A"/>
    <w:rsid w:val="0DDEB2A5"/>
    <w:rsid w:val="0DF345EF"/>
    <w:rsid w:val="0E040E95"/>
    <w:rsid w:val="0E109382"/>
    <w:rsid w:val="0E1725C2"/>
    <w:rsid w:val="0E1987BF"/>
    <w:rsid w:val="0E2875FB"/>
    <w:rsid w:val="0E591BF8"/>
    <w:rsid w:val="0E6FF692"/>
    <w:rsid w:val="0E76A5D4"/>
    <w:rsid w:val="0E92C270"/>
    <w:rsid w:val="0EB2B836"/>
    <w:rsid w:val="0EFA1A12"/>
    <w:rsid w:val="0F0B53FB"/>
    <w:rsid w:val="0F8CB3B9"/>
    <w:rsid w:val="0FADD363"/>
    <w:rsid w:val="0FCEAE36"/>
    <w:rsid w:val="0FD24B93"/>
    <w:rsid w:val="10157AAD"/>
    <w:rsid w:val="10618249"/>
    <w:rsid w:val="109E156A"/>
    <w:rsid w:val="10CB90C1"/>
    <w:rsid w:val="110C1240"/>
    <w:rsid w:val="11183299"/>
    <w:rsid w:val="1147AFA1"/>
    <w:rsid w:val="114F8635"/>
    <w:rsid w:val="11922361"/>
    <w:rsid w:val="11A45D11"/>
    <w:rsid w:val="11A9708B"/>
    <w:rsid w:val="11DC36D8"/>
    <w:rsid w:val="11E678C6"/>
    <w:rsid w:val="121A7142"/>
    <w:rsid w:val="12628F83"/>
    <w:rsid w:val="12630A91"/>
    <w:rsid w:val="126E90CF"/>
    <w:rsid w:val="1280AF83"/>
    <w:rsid w:val="128DE103"/>
    <w:rsid w:val="12A9D820"/>
    <w:rsid w:val="12BE8889"/>
    <w:rsid w:val="12C946C8"/>
    <w:rsid w:val="12CA92B8"/>
    <w:rsid w:val="12D29C4D"/>
    <w:rsid w:val="12DE5997"/>
    <w:rsid w:val="12F014AF"/>
    <w:rsid w:val="133499AD"/>
    <w:rsid w:val="13395629"/>
    <w:rsid w:val="135ADD4C"/>
    <w:rsid w:val="1365CC50"/>
    <w:rsid w:val="13691CF0"/>
    <w:rsid w:val="1375138D"/>
    <w:rsid w:val="137983CF"/>
    <w:rsid w:val="13B1F9C3"/>
    <w:rsid w:val="14219FC1"/>
    <w:rsid w:val="142E5829"/>
    <w:rsid w:val="144628A7"/>
    <w:rsid w:val="1475E4AA"/>
    <w:rsid w:val="14910A01"/>
    <w:rsid w:val="149A98AE"/>
    <w:rsid w:val="1515F652"/>
    <w:rsid w:val="152C7373"/>
    <w:rsid w:val="1535702D"/>
    <w:rsid w:val="153F435B"/>
    <w:rsid w:val="15474EF2"/>
    <w:rsid w:val="154CD708"/>
    <w:rsid w:val="15B4640E"/>
    <w:rsid w:val="15D7688B"/>
    <w:rsid w:val="160D5FE8"/>
    <w:rsid w:val="166C61FE"/>
    <w:rsid w:val="166F4777"/>
    <w:rsid w:val="168611F4"/>
    <w:rsid w:val="169F3499"/>
    <w:rsid w:val="16D568D4"/>
    <w:rsid w:val="16ED458C"/>
    <w:rsid w:val="16F21AC7"/>
    <w:rsid w:val="17244831"/>
    <w:rsid w:val="1736C9B8"/>
    <w:rsid w:val="17386374"/>
    <w:rsid w:val="17ABFCD8"/>
    <w:rsid w:val="17EB2748"/>
    <w:rsid w:val="17EB495E"/>
    <w:rsid w:val="17F917CC"/>
    <w:rsid w:val="180EF72B"/>
    <w:rsid w:val="181D881A"/>
    <w:rsid w:val="18431664"/>
    <w:rsid w:val="184E1F6A"/>
    <w:rsid w:val="18674466"/>
    <w:rsid w:val="18788510"/>
    <w:rsid w:val="187EBBBD"/>
    <w:rsid w:val="1885AC29"/>
    <w:rsid w:val="188D566E"/>
    <w:rsid w:val="18B04CC6"/>
    <w:rsid w:val="18C22F32"/>
    <w:rsid w:val="18F5AF1A"/>
    <w:rsid w:val="1914344C"/>
    <w:rsid w:val="1931826B"/>
    <w:rsid w:val="19450B42"/>
    <w:rsid w:val="1954D061"/>
    <w:rsid w:val="195ED5F2"/>
    <w:rsid w:val="199ABBFE"/>
    <w:rsid w:val="19F26416"/>
    <w:rsid w:val="19F58F37"/>
    <w:rsid w:val="1A00412D"/>
    <w:rsid w:val="1A1237FB"/>
    <w:rsid w:val="1A1DD97C"/>
    <w:rsid w:val="1A2CE7DE"/>
    <w:rsid w:val="1A5C226D"/>
    <w:rsid w:val="1A5EEB95"/>
    <w:rsid w:val="1A9660E4"/>
    <w:rsid w:val="1A9C7C2C"/>
    <w:rsid w:val="1A9D495E"/>
    <w:rsid w:val="1AB2B5AC"/>
    <w:rsid w:val="1AB571B8"/>
    <w:rsid w:val="1AC08FA7"/>
    <w:rsid w:val="1B05DE0D"/>
    <w:rsid w:val="1B3A307A"/>
    <w:rsid w:val="1B51B269"/>
    <w:rsid w:val="1B527162"/>
    <w:rsid w:val="1B662AA2"/>
    <w:rsid w:val="1B713E78"/>
    <w:rsid w:val="1B8EDD5E"/>
    <w:rsid w:val="1B9178EA"/>
    <w:rsid w:val="1C062184"/>
    <w:rsid w:val="1C128031"/>
    <w:rsid w:val="1C20D481"/>
    <w:rsid w:val="1C2C91D7"/>
    <w:rsid w:val="1C535A82"/>
    <w:rsid w:val="1C613332"/>
    <w:rsid w:val="1C710D43"/>
    <w:rsid w:val="1C99C4DD"/>
    <w:rsid w:val="1CBC4106"/>
    <w:rsid w:val="1CE23DF5"/>
    <w:rsid w:val="1D0EC606"/>
    <w:rsid w:val="1D590D88"/>
    <w:rsid w:val="1D6A3BD5"/>
    <w:rsid w:val="1D7451F7"/>
    <w:rsid w:val="1D8BFBED"/>
    <w:rsid w:val="1DAD3B22"/>
    <w:rsid w:val="1DAE5092"/>
    <w:rsid w:val="1DD68D23"/>
    <w:rsid w:val="1DDE929D"/>
    <w:rsid w:val="1DE84A39"/>
    <w:rsid w:val="1DF9FFD7"/>
    <w:rsid w:val="1E11F02D"/>
    <w:rsid w:val="1E244CEB"/>
    <w:rsid w:val="1E4555CD"/>
    <w:rsid w:val="1E9680AE"/>
    <w:rsid w:val="1E969236"/>
    <w:rsid w:val="1EBA0872"/>
    <w:rsid w:val="1ED7EBC8"/>
    <w:rsid w:val="1EDDB135"/>
    <w:rsid w:val="1EDE88D2"/>
    <w:rsid w:val="1EE97078"/>
    <w:rsid w:val="1EEC69AA"/>
    <w:rsid w:val="1EEC6DDD"/>
    <w:rsid w:val="1EF31240"/>
    <w:rsid w:val="1F239C35"/>
    <w:rsid w:val="1F305803"/>
    <w:rsid w:val="1F38762E"/>
    <w:rsid w:val="1F710731"/>
    <w:rsid w:val="1F94D16A"/>
    <w:rsid w:val="1F9F6393"/>
    <w:rsid w:val="1FA7AFA6"/>
    <w:rsid w:val="1FC4D401"/>
    <w:rsid w:val="1FC51EB0"/>
    <w:rsid w:val="202C361A"/>
    <w:rsid w:val="204062CF"/>
    <w:rsid w:val="2071BFCE"/>
    <w:rsid w:val="20777847"/>
    <w:rsid w:val="209AD5CA"/>
    <w:rsid w:val="20A3F747"/>
    <w:rsid w:val="20DFFD07"/>
    <w:rsid w:val="20F4B5CA"/>
    <w:rsid w:val="210F2D22"/>
    <w:rsid w:val="2118C8ED"/>
    <w:rsid w:val="214FF40D"/>
    <w:rsid w:val="217F3498"/>
    <w:rsid w:val="21AADD75"/>
    <w:rsid w:val="21C2F403"/>
    <w:rsid w:val="21CFB507"/>
    <w:rsid w:val="21D181E8"/>
    <w:rsid w:val="21D9D7C1"/>
    <w:rsid w:val="21EE74BE"/>
    <w:rsid w:val="21FBAF83"/>
    <w:rsid w:val="22424027"/>
    <w:rsid w:val="2255BD44"/>
    <w:rsid w:val="22F7BE0E"/>
    <w:rsid w:val="230854AA"/>
    <w:rsid w:val="230F6804"/>
    <w:rsid w:val="231E32AF"/>
    <w:rsid w:val="23355577"/>
    <w:rsid w:val="2339E05A"/>
    <w:rsid w:val="233FAD77"/>
    <w:rsid w:val="23487996"/>
    <w:rsid w:val="234B3C5F"/>
    <w:rsid w:val="2356A3EE"/>
    <w:rsid w:val="235C43CA"/>
    <w:rsid w:val="2371150E"/>
    <w:rsid w:val="237E982F"/>
    <w:rsid w:val="23BEF5A2"/>
    <w:rsid w:val="23DEB539"/>
    <w:rsid w:val="23F0E87A"/>
    <w:rsid w:val="23FCC954"/>
    <w:rsid w:val="24073FB9"/>
    <w:rsid w:val="24422F82"/>
    <w:rsid w:val="2449E174"/>
    <w:rsid w:val="24717F4A"/>
    <w:rsid w:val="24A4D43A"/>
    <w:rsid w:val="24A5162D"/>
    <w:rsid w:val="24C72532"/>
    <w:rsid w:val="24E38CFF"/>
    <w:rsid w:val="251A5D83"/>
    <w:rsid w:val="251CD783"/>
    <w:rsid w:val="2522A935"/>
    <w:rsid w:val="258F3FDE"/>
    <w:rsid w:val="259C245A"/>
    <w:rsid w:val="25BDB784"/>
    <w:rsid w:val="25D1F35C"/>
    <w:rsid w:val="25E5101E"/>
    <w:rsid w:val="2619D448"/>
    <w:rsid w:val="2651F52F"/>
    <w:rsid w:val="26593724"/>
    <w:rsid w:val="267AB9A7"/>
    <w:rsid w:val="269FC909"/>
    <w:rsid w:val="26C46EB0"/>
    <w:rsid w:val="26D2B768"/>
    <w:rsid w:val="26D81BCA"/>
    <w:rsid w:val="26EDA07F"/>
    <w:rsid w:val="26F5FEEC"/>
    <w:rsid w:val="26FE37ED"/>
    <w:rsid w:val="2712B31E"/>
    <w:rsid w:val="2739C339"/>
    <w:rsid w:val="273FA847"/>
    <w:rsid w:val="274A80B8"/>
    <w:rsid w:val="275428D0"/>
    <w:rsid w:val="275825BC"/>
    <w:rsid w:val="27807D6B"/>
    <w:rsid w:val="27E23717"/>
    <w:rsid w:val="27E4434C"/>
    <w:rsid w:val="27EB5620"/>
    <w:rsid w:val="2808AA50"/>
    <w:rsid w:val="280997A1"/>
    <w:rsid w:val="28566DF4"/>
    <w:rsid w:val="28726629"/>
    <w:rsid w:val="287A1A43"/>
    <w:rsid w:val="28BA120A"/>
    <w:rsid w:val="28C87FC2"/>
    <w:rsid w:val="2928FBF3"/>
    <w:rsid w:val="2955669A"/>
    <w:rsid w:val="29801327"/>
    <w:rsid w:val="2983656B"/>
    <w:rsid w:val="2995C202"/>
    <w:rsid w:val="29979089"/>
    <w:rsid w:val="29AE3B72"/>
    <w:rsid w:val="29E50652"/>
    <w:rsid w:val="2A15BB75"/>
    <w:rsid w:val="2A25701C"/>
    <w:rsid w:val="2A6694B0"/>
    <w:rsid w:val="2A7FB8C1"/>
    <w:rsid w:val="2AB1A311"/>
    <w:rsid w:val="2AB42746"/>
    <w:rsid w:val="2AB75023"/>
    <w:rsid w:val="2AC17255"/>
    <w:rsid w:val="2AEE08A8"/>
    <w:rsid w:val="2B164B09"/>
    <w:rsid w:val="2B1DEDD4"/>
    <w:rsid w:val="2B2715BD"/>
    <w:rsid w:val="2B597D73"/>
    <w:rsid w:val="2B9B6638"/>
    <w:rsid w:val="2BCA5D3B"/>
    <w:rsid w:val="2BF6BFBE"/>
    <w:rsid w:val="2C2B25C8"/>
    <w:rsid w:val="2C47DA38"/>
    <w:rsid w:val="2C4EC2AF"/>
    <w:rsid w:val="2C5A2D10"/>
    <w:rsid w:val="2C6498C4"/>
    <w:rsid w:val="2C69F311"/>
    <w:rsid w:val="2C6B89A2"/>
    <w:rsid w:val="2C6CC6E7"/>
    <w:rsid w:val="2C7F623E"/>
    <w:rsid w:val="2CD73A20"/>
    <w:rsid w:val="2CF2FAE9"/>
    <w:rsid w:val="2D4BD3B1"/>
    <w:rsid w:val="2D8429AA"/>
    <w:rsid w:val="2D87BC87"/>
    <w:rsid w:val="2DC6BF3B"/>
    <w:rsid w:val="2DFBAE60"/>
    <w:rsid w:val="2EAEB98E"/>
    <w:rsid w:val="2ECD6641"/>
    <w:rsid w:val="2EDB8293"/>
    <w:rsid w:val="2EFD11DE"/>
    <w:rsid w:val="2F0D3F61"/>
    <w:rsid w:val="2F32F490"/>
    <w:rsid w:val="2F38C28B"/>
    <w:rsid w:val="2F5D088F"/>
    <w:rsid w:val="2F6337A1"/>
    <w:rsid w:val="2F9E95BE"/>
    <w:rsid w:val="2FA3D2F6"/>
    <w:rsid w:val="2FC81C00"/>
    <w:rsid w:val="2FE13AB1"/>
    <w:rsid w:val="3011F318"/>
    <w:rsid w:val="303391BD"/>
    <w:rsid w:val="304EF606"/>
    <w:rsid w:val="30547E1E"/>
    <w:rsid w:val="3058BDE2"/>
    <w:rsid w:val="30C0ADBD"/>
    <w:rsid w:val="30D75221"/>
    <w:rsid w:val="30DD9E6D"/>
    <w:rsid w:val="30E9E769"/>
    <w:rsid w:val="30FC7C69"/>
    <w:rsid w:val="313592D8"/>
    <w:rsid w:val="31411139"/>
    <w:rsid w:val="314EA4ED"/>
    <w:rsid w:val="318A2DD3"/>
    <w:rsid w:val="31EF7CB8"/>
    <w:rsid w:val="3228400A"/>
    <w:rsid w:val="326BC59C"/>
    <w:rsid w:val="3271232E"/>
    <w:rsid w:val="32737AFD"/>
    <w:rsid w:val="3297704E"/>
    <w:rsid w:val="32A2647B"/>
    <w:rsid w:val="32A34BBC"/>
    <w:rsid w:val="330EF598"/>
    <w:rsid w:val="3321ECB2"/>
    <w:rsid w:val="33258BCE"/>
    <w:rsid w:val="332EE379"/>
    <w:rsid w:val="3330B741"/>
    <w:rsid w:val="33743894"/>
    <w:rsid w:val="33891B1D"/>
    <w:rsid w:val="33AEF562"/>
    <w:rsid w:val="33B86B2F"/>
    <w:rsid w:val="33D9D23E"/>
    <w:rsid w:val="33F5DA60"/>
    <w:rsid w:val="340C9AA3"/>
    <w:rsid w:val="3417F6A6"/>
    <w:rsid w:val="342B4330"/>
    <w:rsid w:val="343AB9C5"/>
    <w:rsid w:val="343F5B99"/>
    <w:rsid w:val="349F10A3"/>
    <w:rsid w:val="34C1E199"/>
    <w:rsid w:val="34C41D33"/>
    <w:rsid w:val="34D569F6"/>
    <w:rsid w:val="34F7DE8F"/>
    <w:rsid w:val="350B429D"/>
    <w:rsid w:val="3534EB3A"/>
    <w:rsid w:val="3544E586"/>
    <w:rsid w:val="355DE471"/>
    <w:rsid w:val="3583C3A7"/>
    <w:rsid w:val="35BAFE4C"/>
    <w:rsid w:val="35C164AF"/>
    <w:rsid w:val="35C39EF3"/>
    <w:rsid w:val="36202230"/>
    <w:rsid w:val="36205666"/>
    <w:rsid w:val="3635EF51"/>
    <w:rsid w:val="36566CC1"/>
    <w:rsid w:val="365AB6C6"/>
    <w:rsid w:val="3668B40B"/>
    <w:rsid w:val="369D2C8B"/>
    <w:rsid w:val="36A15B41"/>
    <w:rsid w:val="36AA3450"/>
    <w:rsid w:val="36B5A351"/>
    <w:rsid w:val="36B89714"/>
    <w:rsid w:val="36C63C18"/>
    <w:rsid w:val="36EA3B38"/>
    <w:rsid w:val="3712AF67"/>
    <w:rsid w:val="371B52FA"/>
    <w:rsid w:val="3728F20D"/>
    <w:rsid w:val="3744CD60"/>
    <w:rsid w:val="375C4760"/>
    <w:rsid w:val="37618A33"/>
    <w:rsid w:val="3777C8E8"/>
    <w:rsid w:val="379F8080"/>
    <w:rsid w:val="37C02F2C"/>
    <w:rsid w:val="37E3C8EF"/>
    <w:rsid w:val="37E410C9"/>
    <w:rsid w:val="37ED704F"/>
    <w:rsid w:val="3820BEE3"/>
    <w:rsid w:val="382BC4C8"/>
    <w:rsid w:val="383E414F"/>
    <w:rsid w:val="38BDAB68"/>
    <w:rsid w:val="38DAB0C2"/>
    <w:rsid w:val="38DF7A45"/>
    <w:rsid w:val="3900CE0F"/>
    <w:rsid w:val="3909203C"/>
    <w:rsid w:val="3917C42D"/>
    <w:rsid w:val="3947E129"/>
    <w:rsid w:val="394F7F7B"/>
    <w:rsid w:val="39536228"/>
    <w:rsid w:val="396E7EE0"/>
    <w:rsid w:val="3A0BB7BD"/>
    <w:rsid w:val="3A4100F1"/>
    <w:rsid w:val="3A4A56F1"/>
    <w:rsid w:val="3A6C080D"/>
    <w:rsid w:val="3A732D1D"/>
    <w:rsid w:val="3A8014A6"/>
    <w:rsid w:val="3A803569"/>
    <w:rsid w:val="3AEC8442"/>
    <w:rsid w:val="3B1442F1"/>
    <w:rsid w:val="3B32C6B8"/>
    <w:rsid w:val="3BB3FD98"/>
    <w:rsid w:val="3BD5496E"/>
    <w:rsid w:val="3BE85545"/>
    <w:rsid w:val="3BEA5A0B"/>
    <w:rsid w:val="3BEDFCEE"/>
    <w:rsid w:val="3C42F906"/>
    <w:rsid w:val="3C45507C"/>
    <w:rsid w:val="3C619431"/>
    <w:rsid w:val="3C8417F8"/>
    <w:rsid w:val="3C997396"/>
    <w:rsid w:val="3C9D9437"/>
    <w:rsid w:val="3C9E071D"/>
    <w:rsid w:val="3CB22B51"/>
    <w:rsid w:val="3CBDEA8D"/>
    <w:rsid w:val="3CCAE83C"/>
    <w:rsid w:val="3D01BE75"/>
    <w:rsid w:val="3D49A466"/>
    <w:rsid w:val="3D5DB27D"/>
    <w:rsid w:val="3D6E29F1"/>
    <w:rsid w:val="3D81F7B3"/>
    <w:rsid w:val="3D9395F8"/>
    <w:rsid w:val="3D93BF6A"/>
    <w:rsid w:val="3DAA3249"/>
    <w:rsid w:val="3DB4FDAB"/>
    <w:rsid w:val="3DCF3820"/>
    <w:rsid w:val="3DDD77C3"/>
    <w:rsid w:val="3DE928FF"/>
    <w:rsid w:val="3DFCFFEB"/>
    <w:rsid w:val="3E04A14B"/>
    <w:rsid w:val="3E169787"/>
    <w:rsid w:val="3E16AF8A"/>
    <w:rsid w:val="3E1A861A"/>
    <w:rsid w:val="3E2DB92F"/>
    <w:rsid w:val="3E5FDE04"/>
    <w:rsid w:val="3E66D500"/>
    <w:rsid w:val="3E7D198D"/>
    <w:rsid w:val="3EC51457"/>
    <w:rsid w:val="3EDB1EDE"/>
    <w:rsid w:val="3EF14A20"/>
    <w:rsid w:val="3F457E85"/>
    <w:rsid w:val="3F6F6937"/>
    <w:rsid w:val="3F8148F1"/>
    <w:rsid w:val="3FA071AC"/>
    <w:rsid w:val="3FE30D1C"/>
    <w:rsid w:val="3FFB3099"/>
    <w:rsid w:val="3FFF23A3"/>
    <w:rsid w:val="402EEA22"/>
    <w:rsid w:val="4077DD7C"/>
    <w:rsid w:val="407D8561"/>
    <w:rsid w:val="409C5D1A"/>
    <w:rsid w:val="40D9C381"/>
    <w:rsid w:val="40FA0EB5"/>
    <w:rsid w:val="41000734"/>
    <w:rsid w:val="410ACA8A"/>
    <w:rsid w:val="413A7EBD"/>
    <w:rsid w:val="413C420D"/>
    <w:rsid w:val="4142C22A"/>
    <w:rsid w:val="418CA373"/>
    <w:rsid w:val="419EA817"/>
    <w:rsid w:val="41A39DDD"/>
    <w:rsid w:val="41B4B5F5"/>
    <w:rsid w:val="41C0CF0D"/>
    <w:rsid w:val="41F73FED"/>
    <w:rsid w:val="41F859D2"/>
    <w:rsid w:val="4214A02A"/>
    <w:rsid w:val="4221A564"/>
    <w:rsid w:val="42324D23"/>
    <w:rsid w:val="4251FC8B"/>
    <w:rsid w:val="42542F2A"/>
    <w:rsid w:val="427FE5F6"/>
    <w:rsid w:val="4280F24B"/>
    <w:rsid w:val="42C7ED0B"/>
    <w:rsid w:val="42E174FB"/>
    <w:rsid w:val="43287E6C"/>
    <w:rsid w:val="433652E4"/>
    <w:rsid w:val="437878A0"/>
    <w:rsid w:val="43AF4079"/>
    <w:rsid w:val="44331020"/>
    <w:rsid w:val="443B91B7"/>
    <w:rsid w:val="44642D82"/>
    <w:rsid w:val="4480805A"/>
    <w:rsid w:val="449EAD4E"/>
    <w:rsid w:val="44E734F8"/>
    <w:rsid w:val="44E743F3"/>
    <w:rsid w:val="44F36CC6"/>
    <w:rsid w:val="45115A80"/>
    <w:rsid w:val="4527FD30"/>
    <w:rsid w:val="452C61C6"/>
    <w:rsid w:val="4546D16D"/>
    <w:rsid w:val="4562FA68"/>
    <w:rsid w:val="4568C46E"/>
    <w:rsid w:val="456D684F"/>
    <w:rsid w:val="456F1EC2"/>
    <w:rsid w:val="459A6A93"/>
    <w:rsid w:val="45AD50FD"/>
    <w:rsid w:val="45C5923D"/>
    <w:rsid w:val="4613002E"/>
    <w:rsid w:val="46755CCC"/>
    <w:rsid w:val="468C2A68"/>
    <w:rsid w:val="46D59254"/>
    <w:rsid w:val="46D75E4F"/>
    <w:rsid w:val="46E3E5EE"/>
    <w:rsid w:val="46FB6721"/>
    <w:rsid w:val="46FC1821"/>
    <w:rsid w:val="46FD34C0"/>
    <w:rsid w:val="47064444"/>
    <w:rsid w:val="47247C27"/>
    <w:rsid w:val="474AA410"/>
    <w:rsid w:val="4765CC73"/>
    <w:rsid w:val="479B2DE6"/>
    <w:rsid w:val="47C3E92F"/>
    <w:rsid w:val="481AB843"/>
    <w:rsid w:val="484CA560"/>
    <w:rsid w:val="4877108B"/>
    <w:rsid w:val="4886A5D6"/>
    <w:rsid w:val="488A1503"/>
    <w:rsid w:val="489CFE30"/>
    <w:rsid w:val="48AAB0FB"/>
    <w:rsid w:val="48AB1DEE"/>
    <w:rsid w:val="48B34D01"/>
    <w:rsid w:val="48DD9832"/>
    <w:rsid w:val="493A70EC"/>
    <w:rsid w:val="4950862A"/>
    <w:rsid w:val="496CB9A9"/>
    <w:rsid w:val="49B0DCBA"/>
    <w:rsid w:val="49F3121D"/>
    <w:rsid w:val="4A20224B"/>
    <w:rsid w:val="4A3EEA13"/>
    <w:rsid w:val="4A9509F5"/>
    <w:rsid w:val="4ABA9478"/>
    <w:rsid w:val="4AC48E54"/>
    <w:rsid w:val="4AD657F4"/>
    <w:rsid w:val="4AF14023"/>
    <w:rsid w:val="4AF93B54"/>
    <w:rsid w:val="4B159E7A"/>
    <w:rsid w:val="4B253D2E"/>
    <w:rsid w:val="4B4DDA57"/>
    <w:rsid w:val="4BAE2638"/>
    <w:rsid w:val="4BD6B468"/>
    <w:rsid w:val="4BE34AE7"/>
    <w:rsid w:val="4C00A001"/>
    <w:rsid w:val="4C4808BA"/>
    <w:rsid w:val="4CA1E65C"/>
    <w:rsid w:val="4CBB5C0E"/>
    <w:rsid w:val="4CCF5675"/>
    <w:rsid w:val="4CDCD24B"/>
    <w:rsid w:val="4CF966A9"/>
    <w:rsid w:val="4D04A5C9"/>
    <w:rsid w:val="4D337B80"/>
    <w:rsid w:val="4D52752C"/>
    <w:rsid w:val="4D69E080"/>
    <w:rsid w:val="4D922794"/>
    <w:rsid w:val="4DA61CDA"/>
    <w:rsid w:val="4DE76E9F"/>
    <w:rsid w:val="4E13AAF7"/>
    <w:rsid w:val="4E9727DE"/>
    <w:rsid w:val="4ED94A47"/>
    <w:rsid w:val="4F2A5F97"/>
    <w:rsid w:val="4F4123A6"/>
    <w:rsid w:val="4F4342A0"/>
    <w:rsid w:val="4F9B8E30"/>
    <w:rsid w:val="4FA0951F"/>
    <w:rsid w:val="4FC26494"/>
    <w:rsid w:val="4FCA8BB6"/>
    <w:rsid w:val="4FDE3DAD"/>
    <w:rsid w:val="4FE0C87D"/>
    <w:rsid w:val="5008CDC9"/>
    <w:rsid w:val="50416A33"/>
    <w:rsid w:val="5081B2AE"/>
    <w:rsid w:val="50921F4C"/>
    <w:rsid w:val="50BD66A1"/>
    <w:rsid w:val="50C3BF95"/>
    <w:rsid w:val="511343BF"/>
    <w:rsid w:val="51318621"/>
    <w:rsid w:val="51624249"/>
    <w:rsid w:val="51A4C82A"/>
    <w:rsid w:val="51DE2716"/>
    <w:rsid w:val="52097BF9"/>
    <w:rsid w:val="524870B0"/>
    <w:rsid w:val="527FBFB3"/>
    <w:rsid w:val="5287C283"/>
    <w:rsid w:val="52A18BB5"/>
    <w:rsid w:val="52B691EE"/>
    <w:rsid w:val="52D82D90"/>
    <w:rsid w:val="52EF3C22"/>
    <w:rsid w:val="52F610BD"/>
    <w:rsid w:val="52FCABA9"/>
    <w:rsid w:val="532439BF"/>
    <w:rsid w:val="532A08BD"/>
    <w:rsid w:val="532B6A7E"/>
    <w:rsid w:val="5336E8BF"/>
    <w:rsid w:val="5352515B"/>
    <w:rsid w:val="5352EEB3"/>
    <w:rsid w:val="53538C60"/>
    <w:rsid w:val="535C81D5"/>
    <w:rsid w:val="5388FC2F"/>
    <w:rsid w:val="53D62448"/>
    <w:rsid w:val="53D69925"/>
    <w:rsid w:val="53E612AC"/>
    <w:rsid w:val="540B4DD9"/>
    <w:rsid w:val="541C82B2"/>
    <w:rsid w:val="542615D2"/>
    <w:rsid w:val="54341022"/>
    <w:rsid w:val="544972C1"/>
    <w:rsid w:val="547F4267"/>
    <w:rsid w:val="551A703C"/>
    <w:rsid w:val="555B1675"/>
    <w:rsid w:val="557527BF"/>
    <w:rsid w:val="5578A7AC"/>
    <w:rsid w:val="5586EAF9"/>
    <w:rsid w:val="559D29B8"/>
    <w:rsid w:val="55A1C288"/>
    <w:rsid w:val="55A39BDD"/>
    <w:rsid w:val="55C5D878"/>
    <w:rsid w:val="55D7DDE5"/>
    <w:rsid w:val="55D82AEB"/>
    <w:rsid w:val="55DC7465"/>
    <w:rsid w:val="55F11BB5"/>
    <w:rsid w:val="56139569"/>
    <w:rsid w:val="564EAE21"/>
    <w:rsid w:val="56558DCE"/>
    <w:rsid w:val="565A8F31"/>
    <w:rsid w:val="566365F9"/>
    <w:rsid w:val="5678C816"/>
    <w:rsid w:val="567CD388"/>
    <w:rsid w:val="56C068A8"/>
    <w:rsid w:val="57032C23"/>
    <w:rsid w:val="572CBF19"/>
    <w:rsid w:val="57312193"/>
    <w:rsid w:val="5756F287"/>
    <w:rsid w:val="576C2DB7"/>
    <w:rsid w:val="57815D48"/>
    <w:rsid w:val="57A89853"/>
    <w:rsid w:val="57DFE493"/>
    <w:rsid w:val="57F7AAE2"/>
    <w:rsid w:val="5806E4F9"/>
    <w:rsid w:val="58430006"/>
    <w:rsid w:val="586A84E7"/>
    <w:rsid w:val="589C2FD9"/>
    <w:rsid w:val="58CBCC1B"/>
    <w:rsid w:val="58D9808C"/>
    <w:rsid w:val="58F6CC79"/>
    <w:rsid w:val="592EDFAA"/>
    <w:rsid w:val="592FC946"/>
    <w:rsid w:val="5973385F"/>
    <w:rsid w:val="599A9A96"/>
    <w:rsid w:val="59AC114C"/>
    <w:rsid w:val="59B6F49D"/>
    <w:rsid w:val="59D252A1"/>
    <w:rsid w:val="5A2669E5"/>
    <w:rsid w:val="5A3FE917"/>
    <w:rsid w:val="5A5D1465"/>
    <w:rsid w:val="5A7E1EB5"/>
    <w:rsid w:val="5A7E4494"/>
    <w:rsid w:val="5A8B8A94"/>
    <w:rsid w:val="5A9A29A4"/>
    <w:rsid w:val="5AA7A1BE"/>
    <w:rsid w:val="5AB3B1C2"/>
    <w:rsid w:val="5AE26EBC"/>
    <w:rsid w:val="5B162347"/>
    <w:rsid w:val="5B24988C"/>
    <w:rsid w:val="5B47DB1F"/>
    <w:rsid w:val="5B48BE61"/>
    <w:rsid w:val="5B705E9E"/>
    <w:rsid w:val="5B8B4256"/>
    <w:rsid w:val="5B9D18C2"/>
    <w:rsid w:val="5BB6411F"/>
    <w:rsid w:val="5BC0586F"/>
    <w:rsid w:val="5BD8A697"/>
    <w:rsid w:val="5C0B5A63"/>
    <w:rsid w:val="5C25FCA3"/>
    <w:rsid w:val="5C29B8F1"/>
    <w:rsid w:val="5C4A1E5E"/>
    <w:rsid w:val="5C93D7B4"/>
    <w:rsid w:val="5CA7AE94"/>
    <w:rsid w:val="5CAEA8C7"/>
    <w:rsid w:val="5CB1F3A8"/>
    <w:rsid w:val="5CBF81AC"/>
    <w:rsid w:val="5CC05F6C"/>
    <w:rsid w:val="5CD19035"/>
    <w:rsid w:val="5CDD6D30"/>
    <w:rsid w:val="5CE54713"/>
    <w:rsid w:val="5D20B2BA"/>
    <w:rsid w:val="5D2D1E34"/>
    <w:rsid w:val="5D34F8EA"/>
    <w:rsid w:val="5D62BF77"/>
    <w:rsid w:val="5D666729"/>
    <w:rsid w:val="5D72D0A3"/>
    <w:rsid w:val="5D75DC93"/>
    <w:rsid w:val="5D83886F"/>
    <w:rsid w:val="5D86DA44"/>
    <w:rsid w:val="5DB62A45"/>
    <w:rsid w:val="5DD5E36D"/>
    <w:rsid w:val="5DDEC765"/>
    <w:rsid w:val="5E0E21F7"/>
    <w:rsid w:val="5E10A0A1"/>
    <w:rsid w:val="5E252C29"/>
    <w:rsid w:val="5E38F957"/>
    <w:rsid w:val="5E3C5FC6"/>
    <w:rsid w:val="5E3D0CFD"/>
    <w:rsid w:val="5EB3F97E"/>
    <w:rsid w:val="5EC24FBD"/>
    <w:rsid w:val="5F0D2F11"/>
    <w:rsid w:val="5F412995"/>
    <w:rsid w:val="5F5157EC"/>
    <w:rsid w:val="5F6351F1"/>
    <w:rsid w:val="5F72D696"/>
    <w:rsid w:val="5FA9763B"/>
    <w:rsid w:val="5FBD4C5B"/>
    <w:rsid w:val="5FBF8122"/>
    <w:rsid w:val="5FC3A6E4"/>
    <w:rsid w:val="5FD659F0"/>
    <w:rsid w:val="5FD8FF91"/>
    <w:rsid w:val="5FE66897"/>
    <w:rsid w:val="5FE67882"/>
    <w:rsid w:val="601109D3"/>
    <w:rsid w:val="60235C5A"/>
    <w:rsid w:val="6029A99C"/>
    <w:rsid w:val="60554875"/>
    <w:rsid w:val="605BDA41"/>
    <w:rsid w:val="60968007"/>
    <w:rsid w:val="60987940"/>
    <w:rsid w:val="60BDE8E5"/>
    <w:rsid w:val="60F4517E"/>
    <w:rsid w:val="6107901C"/>
    <w:rsid w:val="6152766C"/>
    <w:rsid w:val="618564CB"/>
    <w:rsid w:val="61A03DBF"/>
    <w:rsid w:val="61B79331"/>
    <w:rsid w:val="61C7B205"/>
    <w:rsid w:val="61CF5A05"/>
    <w:rsid w:val="62150A43"/>
    <w:rsid w:val="6222892E"/>
    <w:rsid w:val="6279CBB6"/>
    <w:rsid w:val="6281D9E7"/>
    <w:rsid w:val="628D0648"/>
    <w:rsid w:val="62AF6F86"/>
    <w:rsid w:val="62B3F477"/>
    <w:rsid w:val="62D3F670"/>
    <w:rsid w:val="62E116FD"/>
    <w:rsid w:val="633FA809"/>
    <w:rsid w:val="6361D2F2"/>
    <w:rsid w:val="636A52D8"/>
    <w:rsid w:val="6384DAEB"/>
    <w:rsid w:val="63BBE5F9"/>
    <w:rsid w:val="63C8338F"/>
    <w:rsid w:val="640FFFF1"/>
    <w:rsid w:val="64118ADF"/>
    <w:rsid w:val="6419C806"/>
    <w:rsid w:val="6445F8B8"/>
    <w:rsid w:val="6469F8DA"/>
    <w:rsid w:val="6470EED1"/>
    <w:rsid w:val="64971807"/>
    <w:rsid w:val="64AA7772"/>
    <w:rsid w:val="64E0BBDD"/>
    <w:rsid w:val="65125A55"/>
    <w:rsid w:val="65133EE0"/>
    <w:rsid w:val="6517416A"/>
    <w:rsid w:val="65327520"/>
    <w:rsid w:val="65610880"/>
    <w:rsid w:val="658BF174"/>
    <w:rsid w:val="65ABD052"/>
    <w:rsid w:val="65BB63D3"/>
    <w:rsid w:val="65C37780"/>
    <w:rsid w:val="65E4C9D1"/>
    <w:rsid w:val="65FDA60B"/>
    <w:rsid w:val="660BCBAA"/>
    <w:rsid w:val="661A67B9"/>
    <w:rsid w:val="6631B2BA"/>
    <w:rsid w:val="663CEEEF"/>
    <w:rsid w:val="666E6855"/>
    <w:rsid w:val="6686ED8A"/>
    <w:rsid w:val="669BD948"/>
    <w:rsid w:val="66C19A40"/>
    <w:rsid w:val="66C2C3D5"/>
    <w:rsid w:val="66C4FD83"/>
    <w:rsid w:val="6728A786"/>
    <w:rsid w:val="67413B70"/>
    <w:rsid w:val="674E0D0A"/>
    <w:rsid w:val="676F48ED"/>
    <w:rsid w:val="6779BF52"/>
    <w:rsid w:val="67DFAE32"/>
    <w:rsid w:val="67EF73F3"/>
    <w:rsid w:val="67F985D7"/>
    <w:rsid w:val="682B5E51"/>
    <w:rsid w:val="68926C7A"/>
    <w:rsid w:val="68A7748C"/>
    <w:rsid w:val="68AA16EA"/>
    <w:rsid w:val="68AB8EA4"/>
    <w:rsid w:val="68BF5DE1"/>
    <w:rsid w:val="68BFA321"/>
    <w:rsid w:val="68E9508B"/>
    <w:rsid w:val="69036815"/>
    <w:rsid w:val="694103E3"/>
    <w:rsid w:val="696A892A"/>
    <w:rsid w:val="696CE3DD"/>
    <w:rsid w:val="698CABBB"/>
    <w:rsid w:val="69B9C691"/>
    <w:rsid w:val="69D37A0A"/>
    <w:rsid w:val="69D84840"/>
    <w:rsid w:val="69FFD57C"/>
    <w:rsid w:val="6A3DF6CE"/>
    <w:rsid w:val="6A7F3B86"/>
    <w:rsid w:val="6A8D2904"/>
    <w:rsid w:val="6AA8A940"/>
    <w:rsid w:val="6AE1EC06"/>
    <w:rsid w:val="6AE7A6A0"/>
    <w:rsid w:val="6B118232"/>
    <w:rsid w:val="6B135BFA"/>
    <w:rsid w:val="6B369B4D"/>
    <w:rsid w:val="6B43B093"/>
    <w:rsid w:val="6B65A969"/>
    <w:rsid w:val="6B9DEFB7"/>
    <w:rsid w:val="6BAAB889"/>
    <w:rsid w:val="6BB2C0F1"/>
    <w:rsid w:val="6BD1CC56"/>
    <w:rsid w:val="6BD3A331"/>
    <w:rsid w:val="6BD7F0D6"/>
    <w:rsid w:val="6C1C80A4"/>
    <w:rsid w:val="6C71399E"/>
    <w:rsid w:val="6C823D36"/>
    <w:rsid w:val="6C8FA822"/>
    <w:rsid w:val="6CBFA5D7"/>
    <w:rsid w:val="6D09B566"/>
    <w:rsid w:val="6D0ECDE2"/>
    <w:rsid w:val="6D526015"/>
    <w:rsid w:val="6D7B2650"/>
    <w:rsid w:val="6DA1FED7"/>
    <w:rsid w:val="6DE612DB"/>
    <w:rsid w:val="6DEF8FEF"/>
    <w:rsid w:val="6E107C04"/>
    <w:rsid w:val="6E5A7116"/>
    <w:rsid w:val="6E687F5F"/>
    <w:rsid w:val="6E9B455E"/>
    <w:rsid w:val="6EAEA3AE"/>
    <w:rsid w:val="6EE7C1F6"/>
    <w:rsid w:val="6EEE50C9"/>
    <w:rsid w:val="6F17C536"/>
    <w:rsid w:val="6FAAEFBC"/>
    <w:rsid w:val="701A1613"/>
    <w:rsid w:val="70331230"/>
    <w:rsid w:val="703EC263"/>
    <w:rsid w:val="70639DA5"/>
    <w:rsid w:val="707C8B7D"/>
    <w:rsid w:val="707EF2FA"/>
    <w:rsid w:val="70AA4DAA"/>
    <w:rsid w:val="70E7C158"/>
    <w:rsid w:val="710B0727"/>
    <w:rsid w:val="710C0851"/>
    <w:rsid w:val="711266DF"/>
    <w:rsid w:val="7114A40C"/>
    <w:rsid w:val="7122CF9F"/>
    <w:rsid w:val="71445C10"/>
    <w:rsid w:val="71460719"/>
    <w:rsid w:val="716796A1"/>
    <w:rsid w:val="718C182B"/>
    <w:rsid w:val="718D1F7A"/>
    <w:rsid w:val="718DBA25"/>
    <w:rsid w:val="718EBBFE"/>
    <w:rsid w:val="7194DCEF"/>
    <w:rsid w:val="71A5A873"/>
    <w:rsid w:val="71D2CA93"/>
    <w:rsid w:val="71D458A6"/>
    <w:rsid w:val="71D98804"/>
    <w:rsid w:val="71DA8961"/>
    <w:rsid w:val="71DDE8B5"/>
    <w:rsid w:val="724B8E3E"/>
    <w:rsid w:val="726FA7BC"/>
    <w:rsid w:val="7298EF14"/>
    <w:rsid w:val="72C004A5"/>
    <w:rsid w:val="72D6FDCD"/>
    <w:rsid w:val="72D837F8"/>
    <w:rsid w:val="72E2CB5D"/>
    <w:rsid w:val="730406AB"/>
    <w:rsid w:val="7345A2E0"/>
    <w:rsid w:val="73667133"/>
    <w:rsid w:val="736E9AF4"/>
    <w:rsid w:val="73D24BCF"/>
    <w:rsid w:val="73DFA0C2"/>
    <w:rsid w:val="74047AD5"/>
    <w:rsid w:val="740B5B82"/>
    <w:rsid w:val="743C4E17"/>
    <w:rsid w:val="743F5E18"/>
    <w:rsid w:val="74546847"/>
    <w:rsid w:val="745EAC4A"/>
    <w:rsid w:val="7463CB22"/>
    <w:rsid w:val="74916FF6"/>
    <w:rsid w:val="74A4473B"/>
    <w:rsid w:val="74AE52BE"/>
    <w:rsid w:val="74B89652"/>
    <w:rsid w:val="74DFC8F9"/>
    <w:rsid w:val="752D76BC"/>
    <w:rsid w:val="75610F3E"/>
    <w:rsid w:val="7573B989"/>
    <w:rsid w:val="75ADF3B3"/>
    <w:rsid w:val="75D447A2"/>
    <w:rsid w:val="76306AC0"/>
    <w:rsid w:val="765134FA"/>
    <w:rsid w:val="7666DBF7"/>
    <w:rsid w:val="766F95CD"/>
    <w:rsid w:val="76A60D89"/>
    <w:rsid w:val="76AE28EA"/>
    <w:rsid w:val="76C8BEE0"/>
    <w:rsid w:val="76D29164"/>
    <w:rsid w:val="7709761F"/>
    <w:rsid w:val="7721591E"/>
    <w:rsid w:val="77452D74"/>
    <w:rsid w:val="7746BD19"/>
    <w:rsid w:val="77982A95"/>
    <w:rsid w:val="77B39929"/>
    <w:rsid w:val="77C4DBBC"/>
    <w:rsid w:val="77D4920B"/>
    <w:rsid w:val="77F1975C"/>
    <w:rsid w:val="781961F9"/>
    <w:rsid w:val="781B14CA"/>
    <w:rsid w:val="7826B74B"/>
    <w:rsid w:val="782FA755"/>
    <w:rsid w:val="7841DC2A"/>
    <w:rsid w:val="784CFB76"/>
    <w:rsid w:val="785F936D"/>
    <w:rsid w:val="786C7CC7"/>
    <w:rsid w:val="788B345E"/>
    <w:rsid w:val="78DD56B5"/>
    <w:rsid w:val="78F3AE99"/>
    <w:rsid w:val="78FFE75A"/>
    <w:rsid w:val="790BD453"/>
    <w:rsid w:val="790F6D8E"/>
    <w:rsid w:val="79180AFC"/>
    <w:rsid w:val="79485497"/>
    <w:rsid w:val="7957B4E0"/>
    <w:rsid w:val="7960E532"/>
    <w:rsid w:val="79704C14"/>
    <w:rsid w:val="7972B096"/>
    <w:rsid w:val="79B3A822"/>
    <w:rsid w:val="79D42F74"/>
    <w:rsid w:val="79DA0EEB"/>
    <w:rsid w:val="79E8F7D1"/>
    <w:rsid w:val="79F66A4A"/>
    <w:rsid w:val="7A002DCC"/>
    <w:rsid w:val="7A1849E8"/>
    <w:rsid w:val="7A1CE1FE"/>
    <w:rsid w:val="7A1D840E"/>
    <w:rsid w:val="7A3BF24C"/>
    <w:rsid w:val="7A3D5571"/>
    <w:rsid w:val="7A67258C"/>
    <w:rsid w:val="7A6807E0"/>
    <w:rsid w:val="7A6A2BBB"/>
    <w:rsid w:val="7A74F56E"/>
    <w:rsid w:val="7A8169DF"/>
    <w:rsid w:val="7A8C13E8"/>
    <w:rsid w:val="7ABE9777"/>
    <w:rsid w:val="7AC29D9F"/>
    <w:rsid w:val="7AD5D6AF"/>
    <w:rsid w:val="7ADCF0E9"/>
    <w:rsid w:val="7B0E90EA"/>
    <w:rsid w:val="7B196458"/>
    <w:rsid w:val="7B2BD1FB"/>
    <w:rsid w:val="7B4111A2"/>
    <w:rsid w:val="7B46DEA0"/>
    <w:rsid w:val="7B6E18EB"/>
    <w:rsid w:val="7B71CFD6"/>
    <w:rsid w:val="7B7AB14E"/>
    <w:rsid w:val="7BB3AB74"/>
    <w:rsid w:val="7C0613CE"/>
    <w:rsid w:val="7C101607"/>
    <w:rsid w:val="7C264DCE"/>
    <w:rsid w:val="7C40FEDA"/>
    <w:rsid w:val="7C515691"/>
    <w:rsid w:val="7C5A0840"/>
    <w:rsid w:val="7CA2B603"/>
    <w:rsid w:val="7CC73944"/>
    <w:rsid w:val="7CD2CA69"/>
    <w:rsid w:val="7CD8D5BE"/>
    <w:rsid w:val="7CDB4A4F"/>
    <w:rsid w:val="7CDDDA05"/>
    <w:rsid w:val="7CE0C7E7"/>
    <w:rsid w:val="7CEF90F5"/>
    <w:rsid w:val="7CF90E9A"/>
    <w:rsid w:val="7D058F5C"/>
    <w:rsid w:val="7D0E0E76"/>
    <w:rsid w:val="7D1F6044"/>
    <w:rsid w:val="7D27CF17"/>
    <w:rsid w:val="7D98677C"/>
    <w:rsid w:val="7DC1133C"/>
    <w:rsid w:val="7DC85B72"/>
    <w:rsid w:val="7DDA5781"/>
    <w:rsid w:val="7DDE8C49"/>
    <w:rsid w:val="7DE805F0"/>
    <w:rsid w:val="7DEFCB37"/>
    <w:rsid w:val="7DFEC0F9"/>
    <w:rsid w:val="7E129872"/>
    <w:rsid w:val="7E173A57"/>
    <w:rsid w:val="7E39A52A"/>
    <w:rsid w:val="7E526AF0"/>
    <w:rsid w:val="7E76E521"/>
    <w:rsid w:val="7EA602A1"/>
    <w:rsid w:val="7EA9CF16"/>
    <w:rsid w:val="7EAD813D"/>
    <w:rsid w:val="7ECB6DC8"/>
    <w:rsid w:val="7EEE3F1A"/>
    <w:rsid w:val="7F16F2E7"/>
    <w:rsid w:val="7F514535"/>
    <w:rsid w:val="7F708CF5"/>
    <w:rsid w:val="7F722C3B"/>
    <w:rsid w:val="7F85591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4BA8F9"/>
  <w15:chartTrackingRefBased/>
  <w15:docId w15:val="{3F221D45-382F-4EA8-BD43-09BC7068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01"/>
    <w:pPr>
      <w:jc w:val="both"/>
    </w:pPr>
    <w:rPr>
      <w:rFonts w:ascii="EC Square Sans Pro" w:hAnsi="EC Square Sans Pro"/>
      <w:color w:val="000000"/>
      <w:sz w:val="24"/>
      <w:szCs w:val="24"/>
      <w14:textFill>
        <w14:solidFill>
          <w14:srgbClr w14:val="000000">
            <w14:lumMod w14:val="75000"/>
          </w14:srgbClr>
        </w14:solidFill>
      </w14:textFill>
    </w:rPr>
  </w:style>
  <w:style w:type="paragraph" w:styleId="Heading1">
    <w:name w:val="heading 1"/>
    <w:basedOn w:val="Normal"/>
    <w:next w:val="Normal"/>
    <w:link w:val="Heading1Char"/>
    <w:uiPriority w:val="9"/>
    <w:qFormat/>
    <w:rsid w:val="00B74001"/>
    <w:pPr>
      <w:keepNext/>
      <w:keepLines/>
      <w:spacing w:before="240" w:after="240"/>
      <w:outlineLvl w:val="0"/>
    </w:pPr>
    <w:rPr>
      <w:rFonts w:eastAsia="Times New Roman" w:cstheme="majorBidi"/>
      <w:b/>
      <w:caps/>
      <w:color w:val="2E74B5" w:themeColor="accent1" w:themeShade="BF"/>
      <w:sz w:val="36"/>
      <w:szCs w:val="32"/>
    </w:rPr>
  </w:style>
  <w:style w:type="paragraph" w:styleId="Heading2">
    <w:name w:val="heading 2"/>
    <w:basedOn w:val="Normal"/>
    <w:next w:val="Normal"/>
    <w:link w:val="Heading2Char"/>
    <w:uiPriority w:val="9"/>
    <w:unhideWhenUsed/>
    <w:qFormat/>
    <w:rsid w:val="00B74001"/>
    <w:pPr>
      <w:keepNext/>
      <w:keepLines/>
      <w:spacing w:before="40" w:after="240"/>
      <w:outlineLvl w:val="1"/>
    </w:pPr>
    <w:rPr>
      <w:rFonts w:eastAsia="Times New Roman" w:cstheme="majorBidi"/>
      <w:b/>
      <w:color w:val="2E74B5" w:themeColor="accent1" w:themeShade="BF"/>
      <w:sz w:val="32"/>
      <w:szCs w:val="26"/>
    </w:rPr>
  </w:style>
  <w:style w:type="paragraph" w:styleId="Heading3">
    <w:name w:val="heading 3"/>
    <w:basedOn w:val="Normal"/>
    <w:next w:val="Normal"/>
    <w:link w:val="Heading3Char"/>
    <w:uiPriority w:val="9"/>
    <w:unhideWhenUsed/>
    <w:qFormat/>
    <w:rsid w:val="00243808"/>
    <w:pPr>
      <w:keepNext/>
      <w:keepLines/>
      <w:spacing w:before="40" w:after="0"/>
      <w:outlineLvl w:val="2"/>
    </w:pPr>
    <w:rPr>
      <w:rFonts w:eastAsiaTheme="majorEastAsia" w:cstheme="majorBidi"/>
      <w:b/>
      <w:color w:val="2E74B5" w:themeColor="accent1" w:themeShade="BF"/>
      <w:sz w:val="28"/>
    </w:rPr>
  </w:style>
  <w:style w:type="paragraph" w:styleId="Heading4">
    <w:name w:val="heading 4"/>
    <w:basedOn w:val="Normal"/>
    <w:next w:val="Normal"/>
    <w:link w:val="Heading4Char"/>
    <w:uiPriority w:val="9"/>
    <w:unhideWhenUsed/>
    <w:qFormat/>
    <w:rsid w:val="00FF3058"/>
    <w:pPr>
      <w:keepNext/>
      <w:keepLines/>
      <w:spacing w:before="40" w:after="120"/>
      <w:ind w:firstLine="720"/>
      <w:outlineLvl w:val="3"/>
    </w:pPr>
    <w:rPr>
      <w:rFonts w:asciiTheme="majorHAnsi" w:eastAsiaTheme="majorEastAsia" w:hAnsiTheme="majorHAnsi" w:cstheme="majorBidi"/>
      <w:b/>
      <w:i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001"/>
    <w:rPr>
      <w:rFonts w:ascii="EC Square Sans Pro" w:eastAsia="Times New Roman" w:hAnsi="EC Square Sans Pro" w:cstheme="majorBidi"/>
      <w:b/>
      <w:caps/>
      <w:color w:val="2E74B5" w:themeColor="accent1" w:themeShade="BF"/>
      <w:sz w:val="36"/>
      <w:szCs w:val="32"/>
    </w:rPr>
  </w:style>
  <w:style w:type="character" w:styleId="Hyperlink">
    <w:name w:val="Hyperlink"/>
    <w:basedOn w:val="DefaultParagraphFont"/>
    <w:uiPriority w:val="99"/>
    <w:unhideWhenUsed/>
    <w:rsid w:val="005D32FA"/>
    <w:rPr>
      <w:color w:val="0563C1" w:themeColor="hyperlink"/>
      <w:u w:val="single"/>
    </w:rPr>
  </w:style>
  <w:style w:type="character" w:customStyle="1" w:styleId="Heading2Char">
    <w:name w:val="Heading 2 Char"/>
    <w:basedOn w:val="DefaultParagraphFont"/>
    <w:link w:val="Heading2"/>
    <w:uiPriority w:val="9"/>
    <w:rsid w:val="00B74001"/>
    <w:rPr>
      <w:rFonts w:ascii="EC Square Sans Pro" w:eastAsia="Times New Roman" w:hAnsi="EC Square Sans Pro" w:cstheme="majorBidi"/>
      <w:b/>
      <w:color w:val="2E74B5" w:themeColor="accent1" w:themeShade="BF"/>
      <w:sz w:val="32"/>
      <w:szCs w:val="26"/>
    </w:rPr>
  </w:style>
  <w:style w:type="character" w:styleId="FollowedHyperlink">
    <w:name w:val="FollowedHyperlink"/>
    <w:basedOn w:val="DefaultParagraphFont"/>
    <w:uiPriority w:val="99"/>
    <w:semiHidden/>
    <w:unhideWhenUsed/>
    <w:rsid w:val="00FA769E"/>
    <w:rPr>
      <w:color w:val="954F72" w:themeColor="followedHyperlink"/>
      <w:u w:val="single"/>
    </w:rPr>
  </w:style>
  <w:style w:type="character" w:styleId="CommentReference">
    <w:name w:val="annotation reference"/>
    <w:basedOn w:val="DefaultParagraphFont"/>
    <w:uiPriority w:val="99"/>
    <w:semiHidden/>
    <w:unhideWhenUsed/>
    <w:rsid w:val="00943FA9"/>
    <w:rPr>
      <w:sz w:val="16"/>
      <w:szCs w:val="16"/>
    </w:rPr>
  </w:style>
  <w:style w:type="paragraph" w:styleId="CommentText">
    <w:name w:val="annotation text"/>
    <w:basedOn w:val="Normal"/>
    <w:link w:val="CommentTextChar"/>
    <w:uiPriority w:val="99"/>
    <w:unhideWhenUsed/>
    <w:rsid w:val="00943FA9"/>
    <w:pPr>
      <w:spacing w:line="240" w:lineRule="auto"/>
    </w:pPr>
    <w:rPr>
      <w:sz w:val="20"/>
      <w:szCs w:val="20"/>
    </w:rPr>
  </w:style>
  <w:style w:type="character" w:customStyle="1" w:styleId="CommentTextChar">
    <w:name w:val="Comment Text Char"/>
    <w:basedOn w:val="DefaultParagraphFont"/>
    <w:link w:val="CommentText"/>
    <w:uiPriority w:val="99"/>
    <w:rsid w:val="00943FA9"/>
    <w:rPr>
      <w:sz w:val="20"/>
      <w:szCs w:val="20"/>
    </w:rPr>
  </w:style>
  <w:style w:type="paragraph" w:styleId="CommentSubject">
    <w:name w:val="annotation subject"/>
    <w:basedOn w:val="CommentText"/>
    <w:next w:val="CommentText"/>
    <w:link w:val="CommentSubjectChar"/>
    <w:uiPriority w:val="99"/>
    <w:semiHidden/>
    <w:unhideWhenUsed/>
    <w:rsid w:val="00943FA9"/>
    <w:rPr>
      <w:b/>
      <w:bCs/>
    </w:rPr>
  </w:style>
  <w:style w:type="character" w:customStyle="1" w:styleId="CommentSubjectChar">
    <w:name w:val="Comment Subject Char"/>
    <w:basedOn w:val="CommentTextChar"/>
    <w:link w:val="CommentSubject"/>
    <w:uiPriority w:val="99"/>
    <w:semiHidden/>
    <w:rsid w:val="00943FA9"/>
    <w:rPr>
      <w:b/>
      <w:bCs/>
      <w:sz w:val="20"/>
      <w:szCs w:val="20"/>
    </w:rPr>
  </w:style>
  <w:style w:type="paragraph" w:styleId="BalloonText">
    <w:name w:val="Balloon Text"/>
    <w:basedOn w:val="Normal"/>
    <w:link w:val="BalloonTextChar"/>
    <w:uiPriority w:val="99"/>
    <w:semiHidden/>
    <w:unhideWhenUsed/>
    <w:rsid w:val="00943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A9"/>
    <w:rPr>
      <w:rFonts w:ascii="Segoe UI" w:hAnsi="Segoe UI" w:cs="Segoe UI"/>
      <w:sz w:val="18"/>
      <w:szCs w:val="18"/>
    </w:rPr>
  </w:style>
  <w:style w:type="paragraph" w:styleId="ListParagraph">
    <w:name w:val="List Paragraph"/>
    <w:basedOn w:val="Normal"/>
    <w:uiPriority w:val="34"/>
    <w:qFormat/>
    <w:rsid w:val="00914388"/>
    <w:pPr>
      <w:ind w:left="720"/>
      <w:contextualSpacing/>
    </w:pPr>
  </w:style>
  <w:style w:type="character" w:customStyle="1" w:styleId="Heading3Char">
    <w:name w:val="Heading 3 Char"/>
    <w:basedOn w:val="DefaultParagraphFont"/>
    <w:link w:val="Heading3"/>
    <w:uiPriority w:val="9"/>
    <w:rsid w:val="00243808"/>
    <w:rPr>
      <w:rFonts w:ascii="EC Square Sans Pro" w:eastAsiaTheme="majorEastAsia" w:hAnsi="EC Square Sans Pro" w:cstheme="majorBidi"/>
      <w:b/>
      <w:color w:val="2E74B5" w:themeColor="accent1" w:themeShade="BF"/>
      <w:sz w:val="28"/>
      <w:szCs w:val="24"/>
    </w:rPr>
  </w:style>
  <w:style w:type="paragraph" w:styleId="FootnoteText">
    <w:name w:val="footnote text"/>
    <w:basedOn w:val="Normal"/>
    <w:link w:val="FootnoteTextChar"/>
    <w:uiPriority w:val="99"/>
    <w:unhideWhenUsed/>
    <w:rsid w:val="00914388"/>
    <w:pPr>
      <w:spacing w:after="0" w:line="240" w:lineRule="auto"/>
    </w:pPr>
    <w:rPr>
      <w:sz w:val="20"/>
      <w:szCs w:val="20"/>
    </w:rPr>
  </w:style>
  <w:style w:type="character" w:customStyle="1" w:styleId="FootnoteTextChar">
    <w:name w:val="Footnote Text Char"/>
    <w:basedOn w:val="DefaultParagraphFont"/>
    <w:link w:val="FootnoteText"/>
    <w:uiPriority w:val="99"/>
    <w:rsid w:val="00914388"/>
    <w:rPr>
      <w:sz w:val="20"/>
      <w:szCs w:val="20"/>
    </w:rPr>
  </w:style>
  <w:style w:type="character" w:styleId="FootnoteReference">
    <w:name w:val="footnote reference"/>
    <w:basedOn w:val="DefaultParagraphFont"/>
    <w:uiPriority w:val="99"/>
    <w:semiHidden/>
    <w:unhideWhenUsed/>
    <w:rsid w:val="00914388"/>
    <w:rPr>
      <w:vertAlign w:val="superscript"/>
    </w:rPr>
  </w:style>
  <w:style w:type="paragraph" w:styleId="TOCHeading">
    <w:name w:val="TOC Heading"/>
    <w:basedOn w:val="Heading1"/>
    <w:next w:val="Normal"/>
    <w:uiPriority w:val="39"/>
    <w:unhideWhenUsed/>
    <w:qFormat/>
    <w:rsid w:val="00943FA4"/>
    <w:pPr>
      <w:outlineLvl w:val="9"/>
    </w:pPr>
    <w:rPr>
      <w:color w:val="2E74B5" w:themeColor="accent1" w:themeShade="BF"/>
    </w:rPr>
  </w:style>
  <w:style w:type="paragraph" w:styleId="TOC1">
    <w:name w:val="toc 1"/>
    <w:basedOn w:val="Normal"/>
    <w:next w:val="Normal"/>
    <w:autoRedefine/>
    <w:uiPriority w:val="39"/>
    <w:unhideWhenUsed/>
    <w:rsid w:val="00393567"/>
    <w:pPr>
      <w:tabs>
        <w:tab w:val="right" w:leader="dot" w:pos="9204"/>
      </w:tabs>
      <w:spacing w:after="100"/>
    </w:pPr>
  </w:style>
  <w:style w:type="paragraph" w:styleId="Header">
    <w:name w:val="header"/>
    <w:basedOn w:val="Normal"/>
    <w:link w:val="HeaderChar"/>
    <w:uiPriority w:val="99"/>
    <w:unhideWhenUsed/>
    <w:rsid w:val="00555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CA"/>
  </w:style>
  <w:style w:type="paragraph" w:styleId="Footer">
    <w:name w:val="footer"/>
    <w:basedOn w:val="Normal"/>
    <w:link w:val="FooterChar"/>
    <w:uiPriority w:val="99"/>
    <w:unhideWhenUsed/>
    <w:rsid w:val="00555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CA"/>
  </w:style>
  <w:style w:type="paragraph" w:styleId="TOC2">
    <w:name w:val="toc 2"/>
    <w:basedOn w:val="Normal"/>
    <w:next w:val="Normal"/>
    <w:autoRedefine/>
    <w:uiPriority w:val="39"/>
    <w:unhideWhenUsed/>
    <w:rsid w:val="00DE3A07"/>
    <w:pPr>
      <w:tabs>
        <w:tab w:val="right" w:leader="dot" w:pos="9204"/>
      </w:tabs>
      <w:spacing w:after="100"/>
      <w:ind w:left="220"/>
    </w:pPr>
  </w:style>
  <w:style w:type="paragraph" w:styleId="NoSpacing">
    <w:name w:val="No Spacing"/>
    <w:link w:val="NoSpacingChar"/>
    <w:uiPriority w:val="1"/>
    <w:qFormat/>
    <w:rsid w:val="00994AD5"/>
    <w:pPr>
      <w:spacing w:after="0" w:line="240" w:lineRule="auto"/>
    </w:pPr>
    <w:rPr>
      <w:rFonts w:eastAsiaTheme="minorEastAsia"/>
    </w:rPr>
  </w:style>
  <w:style w:type="character" w:customStyle="1" w:styleId="NoSpacingChar">
    <w:name w:val="No Spacing Char"/>
    <w:basedOn w:val="DefaultParagraphFont"/>
    <w:link w:val="NoSpacing"/>
    <w:uiPriority w:val="1"/>
    <w:rsid w:val="00994AD5"/>
    <w:rPr>
      <w:rFonts w:eastAsiaTheme="minorEastAsia"/>
      <w:lang w:val="hu-HU"/>
    </w:rPr>
  </w:style>
  <w:style w:type="paragraph" w:styleId="Revision">
    <w:name w:val="Revision"/>
    <w:hidden/>
    <w:uiPriority w:val="99"/>
    <w:semiHidden/>
    <w:rsid w:val="008F08FC"/>
    <w:pPr>
      <w:spacing w:after="0" w:line="240" w:lineRule="auto"/>
    </w:pPr>
  </w:style>
  <w:style w:type="character" w:styleId="Strong">
    <w:name w:val="Strong"/>
    <w:basedOn w:val="DefaultParagraphFont"/>
    <w:uiPriority w:val="22"/>
    <w:qFormat/>
    <w:rsid w:val="002D66F3"/>
    <w:rPr>
      <w:b/>
      <w:bCs/>
    </w:rPr>
  </w:style>
  <w:style w:type="paragraph" w:styleId="NormalWeb">
    <w:name w:val="Normal (Web)"/>
    <w:basedOn w:val="Normal"/>
    <w:uiPriority w:val="99"/>
    <w:unhideWhenUsed/>
    <w:rsid w:val="004E70A5"/>
    <w:pPr>
      <w:spacing w:before="100" w:beforeAutospacing="1" w:after="100" w:afterAutospacing="1" w:line="240" w:lineRule="auto"/>
    </w:pPr>
    <w:rPr>
      <w:rFonts w:ascii="Times New Roman" w:eastAsia="Times New Roman" w:hAnsi="Times New Roman" w:cs="Times New Roman"/>
      <w:lang w:eastAsia="en-IE"/>
    </w:rPr>
  </w:style>
  <w:style w:type="table" w:styleId="GridTable2-Accent1">
    <w:name w:val="Grid Table 2 Accent 1"/>
    <w:basedOn w:val="TableNormal"/>
    <w:uiPriority w:val="47"/>
    <w:rsid w:val="006879A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879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4-Accent1">
    <w:name w:val="List Table 4 Accent 1"/>
    <w:basedOn w:val="TableNormal"/>
    <w:uiPriority w:val="49"/>
    <w:rsid w:val="006879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23640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23640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1">
    <w:name w:val="Grid Table 3 Accent 1"/>
    <w:basedOn w:val="TableNormal"/>
    <w:uiPriority w:val="48"/>
    <w:rsid w:val="00CA1ED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CA1ED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2-Accent1">
    <w:name w:val="List Table 2 Accent 1"/>
    <w:basedOn w:val="TableNormal"/>
    <w:uiPriority w:val="47"/>
    <w:rsid w:val="00CA1ED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4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4036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403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A4036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7Colorful-Accent1">
    <w:name w:val="List Table 7 Colorful Accent 1"/>
    <w:basedOn w:val="TableNormal"/>
    <w:uiPriority w:val="52"/>
    <w:rsid w:val="00071BD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071B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071BD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wtoffscreen">
    <w:name w:val="wtoffscreen"/>
    <w:basedOn w:val="DefaultParagraphFont"/>
    <w:rsid w:val="00BD6576"/>
  </w:style>
  <w:style w:type="character" w:customStyle="1" w:styleId="UnresolvedMention">
    <w:name w:val="Unresolved Mention"/>
    <w:basedOn w:val="DefaultParagraphFont"/>
    <w:uiPriority w:val="99"/>
    <w:semiHidden/>
    <w:unhideWhenUsed/>
    <w:rsid w:val="002A5350"/>
    <w:rPr>
      <w:color w:val="605E5C"/>
      <w:shd w:val="clear" w:color="auto" w:fill="E1DFDD"/>
    </w:rPr>
  </w:style>
  <w:style w:type="paragraph" w:styleId="Title">
    <w:name w:val="Title"/>
    <w:basedOn w:val="Normal"/>
    <w:next w:val="Normal"/>
    <w:link w:val="TitleChar"/>
    <w:uiPriority w:val="10"/>
    <w:qFormat/>
    <w:rsid w:val="004C3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C30"/>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CC0A99"/>
    <w:pPr>
      <w:tabs>
        <w:tab w:val="right" w:leader="dot" w:pos="9204"/>
      </w:tabs>
      <w:spacing w:after="100"/>
      <w:ind w:left="440"/>
    </w:pPr>
  </w:style>
  <w:style w:type="character" w:customStyle="1" w:styleId="Heading4Char">
    <w:name w:val="Heading 4 Char"/>
    <w:basedOn w:val="DefaultParagraphFont"/>
    <w:link w:val="Heading4"/>
    <w:uiPriority w:val="9"/>
    <w:rsid w:val="00FF3058"/>
    <w:rPr>
      <w:rFonts w:asciiTheme="majorHAnsi" w:eastAsiaTheme="majorEastAsia" w:hAnsiTheme="majorHAnsi" w:cstheme="majorBidi"/>
      <w:b/>
      <w:iCs/>
      <w:color w:val="2E74B5" w:themeColor="accent1" w:themeShade="BF"/>
      <w:sz w:val="28"/>
      <w:szCs w:val="28"/>
    </w:rPr>
  </w:style>
  <w:style w:type="paragraph" w:styleId="Caption">
    <w:name w:val="caption"/>
    <w:basedOn w:val="Normal"/>
    <w:next w:val="Normal"/>
    <w:uiPriority w:val="35"/>
    <w:unhideWhenUsed/>
    <w:qFormat/>
    <w:rsid w:val="00F6434A"/>
    <w:pPr>
      <w:spacing w:before="120" w:after="200" w:line="240" w:lineRule="auto"/>
      <w:jc w:val="center"/>
    </w:pPr>
    <w:rPr>
      <w:b/>
      <w:i/>
      <w:iCs/>
      <w:color w:val="2E74B5" w:themeColor="accent1" w:themeShade="BF"/>
      <w:sz w:val="20"/>
      <w:szCs w:val="18"/>
    </w:rPr>
  </w:style>
  <w:style w:type="character" w:customStyle="1" w:styleId="Mention">
    <w:name w:val="Mention"/>
    <w:basedOn w:val="DefaultParagraphFont"/>
    <w:uiPriority w:val="99"/>
    <w:unhideWhenUsed/>
    <w:rPr>
      <w:color w:val="2B579A"/>
      <w:shd w:val="clear" w:color="auto" w:fill="E6E6E6"/>
    </w:rPr>
  </w:style>
  <w:style w:type="paragraph" w:customStyle="1" w:styleId="ListNumberLevel4">
    <w:name w:val="List Number (Level 4)"/>
    <w:basedOn w:val="Normal"/>
    <w:uiPriority w:val="1"/>
    <w:semiHidden/>
    <w:unhideWhenUsed/>
    <w:rsid w:val="004107E0"/>
    <w:pPr>
      <w:tabs>
        <w:tab w:val="num" w:pos="2835"/>
      </w:tabs>
      <w:spacing w:after="0" w:line="240" w:lineRule="auto"/>
      <w:ind w:left="2835" w:hanging="709"/>
      <w:jc w:val="left"/>
    </w:pPr>
    <w:rPr>
      <w:rFonts w:ascii="Times New Roman" w:eastAsia="Times New Roman" w:hAnsi="Times New Roman" w:cs="Times New Roman"/>
      <w:szCs w:val="20"/>
    </w:rPr>
  </w:style>
  <w:style w:type="paragraph" w:customStyle="1" w:styleId="ListNumberLevel3">
    <w:name w:val="List Number (Level 3)"/>
    <w:basedOn w:val="Normal"/>
    <w:uiPriority w:val="1"/>
    <w:semiHidden/>
    <w:unhideWhenUsed/>
    <w:rsid w:val="004107E0"/>
    <w:pPr>
      <w:tabs>
        <w:tab w:val="num" w:pos="2126"/>
      </w:tabs>
      <w:spacing w:after="0" w:line="240" w:lineRule="auto"/>
      <w:ind w:left="2126" w:hanging="709"/>
      <w:jc w:val="left"/>
    </w:pPr>
    <w:rPr>
      <w:rFonts w:ascii="Times New Roman" w:eastAsia="Times New Roman" w:hAnsi="Times New Roman" w:cs="Times New Roman"/>
      <w:szCs w:val="20"/>
    </w:rPr>
  </w:style>
  <w:style w:type="paragraph" w:customStyle="1" w:styleId="ListNumberLevel2">
    <w:name w:val="List Number (Level 2)"/>
    <w:basedOn w:val="Normal"/>
    <w:uiPriority w:val="1"/>
    <w:rsid w:val="004107E0"/>
    <w:pPr>
      <w:tabs>
        <w:tab w:val="num" w:pos="1417"/>
      </w:tabs>
      <w:spacing w:after="0" w:line="240" w:lineRule="auto"/>
      <w:ind w:left="1417" w:hanging="708"/>
      <w:jc w:val="left"/>
    </w:pPr>
    <w:rPr>
      <w:rFonts w:ascii="Times New Roman" w:eastAsia="Times New Roman" w:hAnsi="Times New Roman" w:cs="Times New Roman"/>
      <w:szCs w:val="20"/>
    </w:rPr>
  </w:style>
  <w:style w:type="paragraph" w:styleId="ListNumber">
    <w:name w:val="List Number"/>
    <w:basedOn w:val="Normal"/>
    <w:uiPriority w:val="1"/>
    <w:rsid w:val="004107E0"/>
    <w:pPr>
      <w:tabs>
        <w:tab w:val="num" w:pos="709"/>
      </w:tabs>
      <w:spacing w:after="0" w:line="240" w:lineRule="auto"/>
      <w:ind w:left="709" w:hanging="709"/>
      <w:jc w:val="left"/>
    </w:pPr>
    <w:rPr>
      <w:rFonts w:ascii="Times New Roman" w:eastAsia="Times New Roman" w:hAnsi="Times New Roman" w:cs="Times New Roman"/>
      <w:szCs w:val="20"/>
    </w:rPr>
  </w:style>
  <w:style w:type="paragraph" w:customStyle="1" w:styleId="Typedudocument">
    <w:name w:val="Type du document"/>
    <w:basedOn w:val="Normal"/>
    <w:next w:val="Normal"/>
    <w:link w:val="TypedudocumentChar"/>
    <w:rsid w:val="00CA1528"/>
    <w:pPr>
      <w:spacing w:before="360" w:after="0" w:line="240" w:lineRule="auto"/>
      <w:jc w:val="center"/>
    </w:pPr>
    <w:rPr>
      <w:rFonts w:ascii="Times New Roman" w:hAnsi="Times New Roman" w:cs="Times New Roman"/>
      <w:b/>
      <w:szCs w:val="22"/>
    </w:rPr>
  </w:style>
  <w:style w:type="paragraph" w:customStyle="1" w:styleId="Titreobjet">
    <w:name w:val="Titre objet"/>
    <w:basedOn w:val="Normal"/>
    <w:next w:val="Normal"/>
    <w:rsid w:val="00CA1528"/>
    <w:pPr>
      <w:spacing w:before="360" w:after="360" w:line="240" w:lineRule="auto"/>
      <w:jc w:val="center"/>
    </w:pPr>
    <w:rPr>
      <w:rFonts w:ascii="Times New Roman" w:hAnsi="Times New Roman" w:cs="Times New Roman"/>
      <w:b/>
      <w:szCs w:val="22"/>
    </w:rPr>
  </w:style>
  <w:style w:type="character" w:customStyle="1" w:styleId="TypedudocumentChar">
    <w:name w:val="Type du document Char"/>
    <w:basedOn w:val="DefaultParagraphFont"/>
    <w:link w:val="Typedudocument"/>
    <w:rsid w:val="00CA1528"/>
    <w:rPr>
      <w:rFonts w:ascii="Times New Roman" w:hAnsi="Times New Roman" w:cs="Times New Roman"/>
      <w:b/>
      <w:color w:val="000000"/>
      <w:sz w:val="24"/>
      <w:lang w:val="hu-HU"/>
      <w14:textFill>
        <w14:solidFill>
          <w14:srgbClr w14:val="000000">
            <w14:lumMod w14:val="75000"/>
          </w14:srgbClr>
        </w14:solidFill>
      </w14:textFill>
    </w:rPr>
  </w:style>
  <w:style w:type="character" w:customStyle="1" w:styleId="Marker">
    <w:name w:val="Marker"/>
    <w:basedOn w:val="DefaultParagraphFont"/>
    <w:rsid w:val="00670CD2"/>
    <w:rPr>
      <w:color w:val="0000FF"/>
      <w:shd w:val="clear" w:color="auto" w:fill="auto"/>
    </w:rPr>
  </w:style>
  <w:style w:type="paragraph" w:customStyle="1" w:styleId="Pagedecouverture">
    <w:name w:val="Page de couverture"/>
    <w:basedOn w:val="Normal"/>
    <w:next w:val="Normal"/>
    <w:rsid w:val="00670CD2"/>
    <w:pPr>
      <w:spacing w:after="0" w:line="240" w:lineRule="auto"/>
    </w:pPr>
    <w:rPr>
      <w:rFonts w:ascii="Times New Roman" w:hAnsi="Times New Roman" w:cs="Times New Roman"/>
      <w:szCs w:val="22"/>
    </w:rPr>
  </w:style>
  <w:style w:type="paragraph" w:customStyle="1" w:styleId="FooterCoverPage">
    <w:name w:val="Footer Cover Page"/>
    <w:basedOn w:val="Normal"/>
    <w:link w:val="FooterCoverPageChar"/>
    <w:rsid w:val="00670CD2"/>
    <w:pPr>
      <w:tabs>
        <w:tab w:val="center" w:pos="4535"/>
        <w:tab w:val="right" w:pos="9071"/>
        <w:tab w:val="right" w:pos="9921"/>
      </w:tabs>
      <w:spacing w:before="360" w:after="0" w:line="240" w:lineRule="auto"/>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sid w:val="00670CD2"/>
    <w:rPr>
      <w:rFonts w:ascii="Times New Roman" w:hAnsi="Times New Roman" w:cs="Times New Roman"/>
      <w:color w:val="000000"/>
      <w:sz w:val="24"/>
      <w:szCs w:val="24"/>
      <w14:textFill>
        <w14:solidFill>
          <w14:srgbClr w14:val="000000">
            <w14:lumMod w14:val="75000"/>
          </w14:srgbClr>
        </w14:solidFill>
      </w14:textFill>
    </w:rPr>
  </w:style>
  <w:style w:type="paragraph" w:customStyle="1" w:styleId="FooterSensitivity">
    <w:name w:val="Footer Sensitivity"/>
    <w:basedOn w:val="Normal"/>
    <w:link w:val="FooterSensitivityChar"/>
    <w:rsid w:val="00670CD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70CD2"/>
    <w:rPr>
      <w:rFonts w:ascii="Times New Roman" w:hAnsi="Times New Roman" w:cs="Times New Roman"/>
      <w:b/>
      <w:color w:val="000000"/>
      <w:sz w:val="32"/>
      <w:szCs w:val="24"/>
      <w14:textFill>
        <w14:solidFill>
          <w14:srgbClr w14:val="000000">
            <w14:lumMod w14:val="75000"/>
          </w14:srgbClr>
        </w14:solidFill>
      </w14:textFill>
    </w:rPr>
  </w:style>
  <w:style w:type="paragraph" w:customStyle="1" w:styleId="HeaderCoverPage">
    <w:name w:val="Header Cover Page"/>
    <w:basedOn w:val="Normal"/>
    <w:link w:val="HeaderCoverPageChar"/>
    <w:rsid w:val="00670CD2"/>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DefaultParagraphFont"/>
    <w:link w:val="HeaderCoverPage"/>
    <w:rsid w:val="00670CD2"/>
    <w:rPr>
      <w:rFonts w:ascii="Times New Roman" w:hAnsi="Times New Roman" w:cs="Times New Roman"/>
      <w:color w:val="000000"/>
      <w:sz w:val="24"/>
      <w:szCs w:val="24"/>
      <w14:textFill>
        <w14:solidFill>
          <w14:srgbClr w14:val="000000">
            <w14:lumMod w14:val="75000"/>
          </w14:srgbClr>
        </w14:solidFill>
      </w14:textFill>
    </w:rPr>
  </w:style>
  <w:style w:type="paragraph" w:customStyle="1" w:styleId="HeaderSensitivity">
    <w:name w:val="Header Sensitivity"/>
    <w:basedOn w:val="Normal"/>
    <w:link w:val="HeaderSensitivityChar"/>
    <w:rsid w:val="00670CD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70CD2"/>
    <w:rPr>
      <w:rFonts w:ascii="Times New Roman" w:hAnsi="Times New Roman" w:cs="Times New Roman"/>
      <w:b/>
      <w:color w:val="000000"/>
      <w:sz w:val="32"/>
      <w:szCs w:val="24"/>
      <w14:textFill>
        <w14:solidFill>
          <w14:srgbClr w14:val="000000">
            <w14:lumMod w14:val="75000"/>
          </w14:srgbClr>
        </w14:solidFill>
      </w14:textFill>
    </w:rPr>
  </w:style>
  <w:style w:type="paragraph" w:customStyle="1" w:styleId="HeaderSensitivityRight">
    <w:name w:val="Header Sensitivity Right"/>
    <w:basedOn w:val="Normal"/>
    <w:link w:val="HeaderSensitivityRightChar"/>
    <w:rsid w:val="00670CD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0CD2"/>
    <w:rPr>
      <w:rFonts w:ascii="Times New Roman" w:hAnsi="Times New Roman" w:cs="Times New Roman"/>
      <w:color w:val="000000"/>
      <w:sz w:val="28"/>
      <w:szCs w:val="24"/>
      <w14:textFill>
        <w14:solidFill>
          <w14:srgbClr w14:val="000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26">
      <w:bodyDiv w:val="1"/>
      <w:marLeft w:val="0"/>
      <w:marRight w:val="0"/>
      <w:marTop w:val="0"/>
      <w:marBottom w:val="0"/>
      <w:divBdr>
        <w:top w:val="none" w:sz="0" w:space="0" w:color="auto"/>
        <w:left w:val="none" w:sz="0" w:space="0" w:color="auto"/>
        <w:bottom w:val="none" w:sz="0" w:space="0" w:color="auto"/>
        <w:right w:val="none" w:sz="0" w:space="0" w:color="auto"/>
      </w:divBdr>
    </w:div>
    <w:div w:id="42798173">
      <w:bodyDiv w:val="1"/>
      <w:marLeft w:val="0"/>
      <w:marRight w:val="0"/>
      <w:marTop w:val="0"/>
      <w:marBottom w:val="0"/>
      <w:divBdr>
        <w:top w:val="none" w:sz="0" w:space="0" w:color="auto"/>
        <w:left w:val="none" w:sz="0" w:space="0" w:color="auto"/>
        <w:bottom w:val="none" w:sz="0" w:space="0" w:color="auto"/>
        <w:right w:val="none" w:sz="0" w:space="0" w:color="auto"/>
      </w:divBdr>
    </w:div>
    <w:div w:id="68550892">
      <w:bodyDiv w:val="1"/>
      <w:marLeft w:val="0"/>
      <w:marRight w:val="0"/>
      <w:marTop w:val="0"/>
      <w:marBottom w:val="0"/>
      <w:divBdr>
        <w:top w:val="none" w:sz="0" w:space="0" w:color="auto"/>
        <w:left w:val="none" w:sz="0" w:space="0" w:color="auto"/>
        <w:bottom w:val="none" w:sz="0" w:space="0" w:color="auto"/>
        <w:right w:val="none" w:sz="0" w:space="0" w:color="auto"/>
      </w:divBdr>
    </w:div>
    <w:div w:id="75782630">
      <w:bodyDiv w:val="1"/>
      <w:marLeft w:val="0"/>
      <w:marRight w:val="0"/>
      <w:marTop w:val="0"/>
      <w:marBottom w:val="0"/>
      <w:divBdr>
        <w:top w:val="none" w:sz="0" w:space="0" w:color="auto"/>
        <w:left w:val="none" w:sz="0" w:space="0" w:color="auto"/>
        <w:bottom w:val="none" w:sz="0" w:space="0" w:color="auto"/>
        <w:right w:val="none" w:sz="0" w:space="0" w:color="auto"/>
      </w:divBdr>
    </w:div>
    <w:div w:id="93748375">
      <w:bodyDiv w:val="1"/>
      <w:marLeft w:val="0"/>
      <w:marRight w:val="0"/>
      <w:marTop w:val="0"/>
      <w:marBottom w:val="0"/>
      <w:divBdr>
        <w:top w:val="none" w:sz="0" w:space="0" w:color="auto"/>
        <w:left w:val="none" w:sz="0" w:space="0" w:color="auto"/>
        <w:bottom w:val="none" w:sz="0" w:space="0" w:color="auto"/>
        <w:right w:val="none" w:sz="0" w:space="0" w:color="auto"/>
      </w:divBdr>
    </w:div>
    <w:div w:id="120073683">
      <w:bodyDiv w:val="1"/>
      <w:marLeft w:val="0"/>
      <w:marRight w:val="0"/>
      <w:marTop w:val="0"/>
      <w:marBottom w:val="0"/>
      <w:divBdr>
        <w:top w:val="none" w:sz="0" w:space="0" w:color="auto"/>
        <w:left w:val="none" w:sz="0" w:space="0" w:color="auto"/>
        <w:bottom w:val="none" w:sz="0" w:space="0" w:color="auto"/>
        <w:right w:val="none" w:sz="0" w:space="0" w:color="auto"/>
      </w:divBdr>
    </w:div>
    <w:div w:id="142164445">
      <w:bodyDiv w:val="1"/>
      <w:marLeft w:val="0"/>
      <w:marRight w:val="0"/>
      <w:marTop w:val="0"/>
      <w:marBottom w:val="0"/>
      <w:divBdr>
        <w:top w:val="none" w:sz="0" w:space="0" w:color="auto"/>
        <w:left w:val="none" w:sz="0" w:space="0" w:color="auto"/>
        <w:bottom w:val="none" w:sz="0" w:space="0" w:color="auto"/>
        <w:right w:val="none" w:sz="0" w:space="0" w:color="auto"/>
      </w:divBdr>
    </w:div>
    <w:div w:id="204679796">
      <w:bodyDiv w:val="1"/>
      <w:marLeft w:val="0"/>
      <w:marRight w:val="0"/>
      <w:marTop w:val="0"/>
      <w:marBottom w:val="0"/>
      <w:divBdr>
        <w:top w:val="none" w:sz="0" w:space="0" w:color="auto"/>
        <w:left w:val="none" w:sz="0" w:space="0" w:color="auto"/>
        <w:bottom w:val="none" w:sz="0" w:space="0" w:color="auto"/>
        <w:right w:val="none" w:sz="0" w:space="0" w:color="auto"/>
      </w:divBdr>
    </w:div>
    <w:div w:id="208805595">
      <w:bodyDiv w:val="1"/>
      <w:marLeft w:val="0"/>
      <w:marRight w:val="0"/>
      <w:marTop w:val="0"/>
      <w:marBottom w:val="0"/>
      <w:divBdr>
        <w:top w:val="none" w:sz="0" w:space="0" w:color="auto"/>
        <w:left w:val="none" w:sz="0" w:space="0" w:color="auto"/>
        <w:bottom w:val="none" w:sz="0" w:space="0" w:color="auto"/>
        <w:right w:val="none" w:sz="0" w:space="0" w:color="auto"/>
      </w:divBdr>
    </w:div>
    <w:div w:id="262805443">
      <w:bodyDiv w:val="1"/>
      <w:marLeft w:val="0"/>
      <w:marRight w:val="0"/>
      <w:marTop w:val="0"/>
      <w:marBottom w:val="0"/>
      <w:divBdr>
        <w:top w:val="none" w:sz="0" w:space="0" w:color="auto"/>
        <w:left w:val="none" w:sz="0" w:space="0" w:color="auto"/>
        <w:bottom w:val="none" w:sz="0" w:space="0" w:color="auto"/>
        <w:right w:val="none" w:sz="0" w:space="0" w:color="auto"/>
      </w:divBdr>
    </w:div>
    <w:div w:id="402534913">
      <w:bodyDiv w:val="1"/>
      <w:marLeft w:val="0"/>
      <w:marRight w:val="0"/>
      <w:marTop w:val="0"/>
      <w:marBottom w:val="0"/>
      <w:divBdr>
        <w:top w:val="none" w:sz="0" w:space="0" w:color="auto"/>
        <w:left w:val="none" w:sz="0" w:space="0" w:color="auto"/>
        <w:bottom w:val="none" w:sz="0" w:space="0" w:color="auto"/>
        <w:right w:val="none" w:sz="0" w:space="0" w:color="auto"/>
      </w:divBdr>
    </w:div>
    <w:div w:id="471675371">
      <w:bodyDiv w:val="1"/>
      <w:marLeft w:val="0"/>
      <w:marRight w:val="0"/>
      <w:marTop w:val="0"/>
      <w:marBottom w:val="0"/>
      <w:divBdr>
        <w:top w:val="none" w:sz="0" w:space="0" w:color="auto"/>
        <w:left w:val="none" w:sz="0" w:space="0" w:color="auto"/>
        <w:bottom w:val="none" w:sz="0" w:space="0" w:color="auto"/>
        <w:right w:val="none" w:sz="0" w:space="0" w:color="auto"/>
      </w:divBdr>
    </w:div>
    <w:div w:id="472019178">
      <w:bodyDiv w:val="1"/>
      <w:marLeft w:val="0"/>
      <w:marRight w:val="0"/>
      <w:marTop w:val="0"/>
      <w:marBottom w:val="0"/>
      <w:divBdr>
        <w:top w:val="none" w:sz="0" w:space="0" w:color="auto"/>
        <w:left w:val="none" w:sz="0" w:space="0" w:color="auto"/>
        <w:bottom w:val="none" w:sz="0" w:space="0" w:color="auto"/>
        <w:right w:val="none" w:sz="0" w:space="0" w:color="auto"/>
      </w:divBdr>
    </w:div>
    <w:div w:id="473721739">
      <w:bodyDiv w:val="1"/>
      <w:marLeft w:val="0"/>
      <w:marRight w:val="0"/>
      <w:marTop w:val="0"/>
      <w:marBottom w:val="0"/>
      <w:divBdr>
        <w:top w:val="none" w:sz="0" w:space="0" w:color="auto"/>
        <w:left w:val="none" w:sz="0" w:space="0" w:color="auto"/>
        <w:bottom w:val="none" w:sz="0" w:space="0" w:color="auto"/>
        <w:right w:val="none" w:sz="0" w:space="0" w:color="auto"/>
      </w:divBdr>
      <w:divsChild>
        <w:div w:id="976449594">
          <w:marLeft w:val="0"/>
          <w:marRight w:val="0"/>
          <w:marTop w:val="0"/>
          <w:marBottom w:val="0"/>
          <w:divBdr>
            <w:top w:val="none" w:sz="0" w:space="0" w:color="auto"/>
            <w:left w:val="none" w:sz="0" w:space="0" w:color="auto"/>
            <w:bottom w:val="none" w:sz="0" w:space="0" w:color="auto"/>
            <w:right w:val="none" w:sz="0" w:space="0" w:color="auto"/>
          </w:divBdr>
          <w:divsChild>
            <w:div w:id="1058438196">
              <w:marLeft w:val="0"/>
              <w:marRight w:val="0"/>
              <w:marTop w:val="0"/>
              <w:marBottom w:val="0"/>
              <w:divBdr>
                <w:top w:val="none" w:sz="0" w:space="0" w:color="auto"/>
                <w:left w:val="none" w:sz="0" w:space="0" w:color="auto"/>
                <w:bottom w:val="none" w:sz="0" w:space="0" w:color="auto"/>
                <w:right w:val="none" w:sz="0" w:space="0" w:color="auto"/>
              </w:divBdr>
              <w:divsChild>
                <w:div w:id="633213401">
                  <w:marLeft w:val="0"/>
                  <w:marRight w:val="0"/>
                  <w:marTop w:val="0"/>
                  <w:marBottom w:val="0"/>
                  <w:divBdr>
                    <w:top w:val="none" w:sz="0" w:space="0" w:color="auto"/>
                    <w:left w:val="none" w:sz="0" w:space="0" w:color="auto"/>
                    <w:bottom w:val="none" w:sz="0" w:space="0" w:color="auto"/>
                    <w:right w:val="none" w:sz="0" w:space="0" w:color="auto"/>
                  </w:divBdr>
                </w:div>
                <w:div w:id="1369992141">
                  <w:marLeft w:val="0"/>
                  <w:marRight w:val="0"/>
                  <w:marTop w:val="0"/>
                  <w:marBottom w:val="0"/>
                  <w:divBdr>
                    <w:top w:val="none" w:sz="0" w:space="0" w:color="auto"/>
                    <w:left w:val="none" w:sz="0" w:space="0" w:color="auto"/>
                    <w:bottom w:val="none" w:sz="0" w:space="0" w:color="auto"/>
                    <w:right w:val="none" w:sz="0" w:space="0" w:color="auto"/>
                  </w:divBdr>
                </w:div>
                <w:div w:id="1446656382">
                  <w:marLeft w:val="0"/>
                  <w:marRight w:val="0"/>
                  <w:marTop w:val="0"/>
                  <w:marBottom w:val="0"/>
                  <w:divBdr>
                    <w:top w:val="none" w:sz="0" w:space="0" w:color="auto"/>
                    <w:left w:val="none" w:sz="0" w:space="0" w:color="auto"/>
                    <w:bottom w:val="none" w:sz="0" w:space="0" w:color="auto"/>
                    <w:right w:val="none" w:sz="0" w:space="0" w:color="auto"/>
                  </w:divBdr>
                </w:div>
                <w:div w:id="1485465867">
                  <w:marLeft w:val="0"/>
                  <w:marRight w:val="0"/>
                  <w:marTop w:val="0"/>
                  <w:marBottom w:val="0"/>
                  <w:divBdr>
                    <w:top w:val="none" w:sz="0" w:space="0" w:color="auto"/>
                    <w:left w:val="none" w:sz="0" w:space="0" w:color="auto"/>
                    <w:bottom w:val="none" w:sz="0" w:space="0" w:color="auto"/>
                    <w:right w:val="none" w:sz="0" w:space="0" w:color="auto"/>
                  </w:divBdr>
                </w:div>
                <w:div w:id="1692609107">
                  <w:marLeft w:val="0"/>
                  <w:marRight w:val="0"/>
                  <w:marTop w:val="0"/>
                  <w:marBottom w:val="0"/>
                  <w:divBdr>
                    <w:top w:val="none" w:sz="0" w:space="0" w:color="auto"/>
                    <w:left w:val="none" w:sz="0" w:space="0" w:color="auto"/>
                    <w:bottom w:val="none" w:sz="0" w:space="0" w:color="auto"/>
                    <w:right w:val="none" w:sz="0" w:space="0" w:color="auto"/>
                  </w:divBdr>
                </w:div>
                <w:div w:id="1911236083">
                  <w:marLeft w:val="0"/>
                  <w:marRight w:val="0"/>
                  <w:marTop w:val="0"/>
                  <w:marBottom w:val="0"/>
                  <w:divBdr>
                    <w:top w:val="none" w:sz="0" w:space="0" w:color="auto"/>
                    <w:left w:val="none" w:sz="0" w:space="0" w:color="auto"/>
                    <w:bottom w:val="none" w:sz="0" w:space="0" w:color="auto"/>
                    <w:right w:val="none" w:sz="0" w:space="0" w:color="auto"/>
                  </w:divBdr>
                </w:div>
                <w:div w:id="1932279692">
                  <w:marLeft w:val="0"/>
                  <w:marRight w:val="0"/>
                  <w:marTop w:val="0"/>
                  <w:marBottom w:val="0"/>
                  <w:divBdr>
                    <w:top w:val="none" w:sz="0" w:space="0" w:color="auto"/>
                    <w:left w:val="none" w:sz="0" w:space="0" w:color="auto"/>
                    <w:bottom w:val="none" w:sz="0" w:space="0" w:color="auto"/>
                    <w:right w:val="none" w:sz="0" w:space="0" w:color="auto"/>
                  </w:divBdr>
                </w:div>
              </w:divsChild>
            </w:div>
            <w:div w:id="1795517416">
              <w:marLeft w:val="0"/>
              <w:marRight w:val="0"/>
              <w:marTop w:val="0"/>
              <w:marBottom w:val="0"/>
              <w:divBdr>
                <w:top w:val="none" w:sz="0" w:space="0" w:color="auto"/>
                <w:left w:val="none" w:sz="0" w:space="0" w:color="auto"/>
                <w:bottom w:val="none" w:sz="0" w:space="0" w:color="auto"/>
                <w:right w:val="none" w:sz="0" w:space="0" w:color="auto"/>
              </w:divBdr>
              <w:divsChild>
                <w:div w:id="1147891180">
                  <w:marLeft w:val="0"/>
                  <w:marRight w:val="0"/>
                  <w:marTop w:val="0"/>
                  <w:marBottom w:val="0"/>
                  <w:divBdr>
                    <w:top w:val="none" w:sz="0" w:space="0" w:color="auto"/>
                    <w:left w:val="none" w:sz="0" w:space="0" w:color="auto"/>
                    <w:bottom w:val="none" w:sz="0" w:space="0" w:color="auto"/>
                    <w:right w:val="none" w:sz="0" w:space="0" w:color="auto"/>
                  </w:divBdr>
                </w:div>
                <w:div w:id="1215965129">
                  <w:marLeft w:val="0"/>
                  <w:marRight w:val="0"/>
                  <w:marTop w:val="0"/>
                  <w:marBottom w:val="0"/>
                  <w:divBdr>
                    <w:top w:val="none" w:sz="0" w:space="0" w:color="auto"/>
                    <w:left w:val="none" w:sz="0" w:space="0" w:color="auto"/>
                    <w:bottom w:val="none" w:sz="0" w:space="0" w:color="auto"/>
                    <w:right w:val="none" w:sz="0" w:space="0" w:color="auto"/>
                  </w:divBdr>
                </w:div>
                <w:div w:id="1355381145">
                  <w:marLeft w:val="0"/>
                  <w:marRight w:val="0"/>
                  <w:marTop w:val="0"/>
                  <w:marBottom w:val="0"/>
                  <w:divBdr>
                    <w:top w:val="none" w:sz="0" w:space="0" w:color="auto"/>
                    <w:left w:val="none" w:sz="0" w:space="0" w:color="auto"/>
                    <w:bottom w:val="none" w:sz="0" w:space="0" w:color="auto"/>
                    <w:right w:val="none" w:sz="0" w:space="0" w:color="auto"/>
                  </w:divBdr>
                </w:div>
                <w:div w:id="1393965523">
                  <w:marLeft w:val="0"/>
                  <w:marRight w:val="0"/>
                  <w:marTop w:val="0"/>
                  <w:marBottom w:val="0"/>
                  <w:divBdr>
                    <w:top w:val="none" w:sz="0" w:space="0" w:color="auto"/>
                    <w:left w:val="none" w:sz="0" w:space="0" w:color="auto"/>
                    <w:bottom w:val="none" w:sz="0" w:space="0" w:color="auto"/>
                    <w:right w:val="none" w:sz="0" w:space="0" w:color="auto"/>
                  </w:divBdr>
                </w:div>
                <w:div w:id="18145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0056">
      <w:bodyDiv w:val="1"/>
      <w:marLeft w:val="0"/>
      <w:marRight w:val="0"/>
      <w:marTop w:val="0"/>
      <w:marBottom w:val="0"/>
      <w:divBdr>
        <w:top w:val="none" w:sz="0" w:space="0" w:color="auto"/>
        <w:left w:val="none" w:sz="0" w:space="0" w:color="auto"/>
        <w:bottom w:val="none" w:sz="0" w:space="0" w:color="auto"/>
        <w:right w:val="none" w:sz="0" w:space="0" w:color="auto"/>
      </w:divBdr>
    </w:div>
    <w:div w:id="475732019">
      <w:bodyDiv w:val="1"/>
      <w:marLeft w:val="0"/>
      <w:marRight w:val="0"/>
      <w:marTop w:val="0"/>
      <w:marBottom w:val="0"/>
      <w:divBdr>
        <w:top w:val="none" w:sz="0" w:space="0" w:color="auto"/>
        <w:left w:val="none" w:sz="0" w:space="0" w:color="auto"/>
        <w:bottom w:val="none" w:sz="0" w:space="0" w:color="auto"/>
        <w:right w:val="none" w:sz="0" w:space="0" w:color="auto"/>
      </w:divBdr>
    </w:div>
    <w:div w:id="551161202">
      <w:bodyDiv w:val="1"/>
      <w:marLeft w:val="0"/>
      <w:marRight w:val="0"/>
      <w:marTop w:val="0"/>
      <w:marBottom w:val="0"/>
      <w:divBdr>
        <w:top w:val="none" w:sz="0" w:space="0" w:color="auto"/>
        <w:left w:val="none" w:sz="0" w:space="0" w:color="auto"/>
        <w:bottom w:val="none" w:sz="0" w:space="0" w:color="auto"/>
        <w:right w:val="none" w:sz="0" w:space="0" w:color="auto"/>
      </w:divBdr>
    </w:div>
    <w:div w:id="583689110">
      <w:bodyDiv w:val="1"/>
      <w:marLeft w:val="0"/>
      <w:marRight w:val="0"/>
      <w:marTop w:val="0"/>
      <w:marBottom w:val="0"/>
      <w:divBdr>
        <w:top w:val="none" w:sz="0" w:space="0" w:color="auto"/>
        <w:left w:val="none" w:sz="0" w:space="0" w:color="auto"/>
        <w:bottom w:val="none" w:sz="0" w:space="0" w:color="auto"/>
        <w:right w:val="none" w:sz="0" w:space="0" w:color="auto"/>
      </w:divBdr>
    </w:div>
    <w:div w:id="594364876">
      <w:bodyDiv w:val="1"/>
      <w:marLeft w:val="0"/>
      <w:marRight w:val="0"/>
      <w:marTop w:val="0"/>
      <w:marBottom w:val="0"/>
      <w:divBdr>
        <w:top w:val="none" w:sz="0" w:space="0" w:color="auto"/>
        <w:left w:val="none" w:sz="0" w:space="0" w:color="auto"/>
        <w:bottom w:val="none" w:sz="0" w:space="0" w:color="auto"/>
        <w:right w:val="none" w:sz="0" w:space="0" w:color="auto"/>
      </w:divBdr>
    </w:div>
    <w:div w:id="614825320">
      <w:bodyDiv w:val="1"/>
      <w:marLeft w:val="0"/>
      <w:marRight w:val="0"/>
      <w:marTop w:val="0"/>
      <w:marBottom w:val="0"/>
      <w:divBdr>
        <w:top w:val="none" w:sz="0" w:space="0" w:color="auto"/>
        <w:left w:val="none" w:sz="0" w:space="0" w:color="auto"/>
        <w:bottom w:val="none" w:sz="0" w:space="0" w:color="auto"/>
        <w:right w:val="none" w:sz="0" w:space="0" w:color="auto"/>
      </w:divBdr>
    </w:div>
    <w:div w:id="632950422">
      <w:bodyDiv w:val="1"/>
      <w:marLeft w:val="0"/>
      <w:marRight w:val="0"/>
      <w:marTop w:val="0"/>
      <w:marBottom w:val="0"/>
      <w:divBdr>
        <w:top w:val="none" w:sz="0" w:space="0" w:color="auto"/>
        <w:left w:val="none" w:sz="0" w:space="0" w:color="auto"/>
        <w:bottom w:val="none" w:sz="0" w:space="0" w:color="auto"/>
        <w:right w:val="none" w:sz="0" w:space="0" w:color="auto"/>
      </w:divBdr>
    </w:div>
    <w:div w:id="645742732">
      <w:bodyDiv w:val="1"/>
      <w:marLeft w:val="0"/>
      <w:marRight w:val="0"/>
      <w:marTop w:val="0"/>
      <w:marBottom w:val="0"/>
      <w:divBdr>
        <w:top w:val="none" w:sz="0" w:space="0" w:color="auto"/>
        <w:left w:val="none" w:sz="0" w:space="0" w:color="auto"/>
        <w:bottom w:val="none" w:sz="0" w:space="0" w:color="auto"/>
        <w:right w:val="none" w:sz="0" w:space="0" w:color="auto"/>
      </w:divBdr>
    </w:div>
    <w:div w:id="670837194">
      <w:bodyDiv w:val="1"/>
      <w:marLeft w:val="0"/>
      <w:marRight w:val="0"/>
      <w:marTop w:val="0"/>
      <w:marBottom w:val="0"/>
      <w:divBdr>
        <w:top w:val="none" w:sz="0" w:space="0" w:color="auto"/>
        <w:left w:val="none" w:sz="0" w:space="0" w:color="auto"/>
        <w:bottom w:val="none" w:sz="0" w:space="0" w:color="auto"/>
        <w:right w:val="none" w:sz="0" w:space="0" w:color="auto"/>
      </w:divBdr>
    </w:div>
    <w:div w:id="677318463">
      <w:bodyDiv w:val="1"/>
      <w:marLeft w:val="0"/>
      <w:marRight w:val="0"/>
      <w:marTop w:val="0"/>
      <w:marBottom w:val="0"/>
      <w:divBdr>
        <w:top w:val="none" w:sz="0" w:space="0" w:color="auto"/>
        <w:left w:val="none" w:sz="0" w:space="0" w:color="auto"/>
        <w:bottom w:val="none" w:sz="0" w:space="0" w:color="auto"/>
        <w:right w:val="none" w:sz="0" w:space="0" w:color="auto"/>
      </w:divBdr>
    </w:div>
    <w:div w:id="692727607">
      <w:bodyDiv w:val="1"/>
      <w:marLeft w:val="0"/>
      <w:marRight w:val="0"/>
      <w:marTop w:val="0"/>
      <w:marBottom w:val="0"/>
      <w:divBdr>
        <w:top w:val="none" w:sz="0" w:space="0" w:color="auto"/>
        <w:left w:val="none" w:sz="0" w:space="0" w:color="auto"/>
        <w:bottom w:val="none" w:sz="0" w:space="0" w:color="auto"/>
        <w:right w:val="none" w:sz="0" w:space="0" w:color="auto"/>
      </w:divBdr>
    </w:div>
    <w:div w:id="699354852">
      <w:bodyDiv w:val="1"/>
      <w:marLeft w:val="0"/>
      <w:marRight w:val="0"/>
      <w:marTop w:val="0"/>
      <w:marBottom w:val="0"/>
      <w:divBdr>
        <w:top w:val="none" w:sz="0" w:space="0" w:color="auto"/>
        <w:left w:val="none" w:sz="0" w:space="0" w:color="auto"/>
        <w:bottom w:val="none" w:sz="0" w:space="0" w:color="auto"/>
        <w:right w:val="none" w:sz="0" w:space="0" w:color="auto"/>
      </w:divBdr>
    </w:div>
    <w:div w:id="705300401">
      <w:bodyDiv w:val="1"/>
      <w:marLeft w:val="0"/>
      <w:marRight w:val="0"/>
      <w:marTop w:val="0"/>
      <w:marBottom w:val="0"/>
      <w:divBdr>
        <w:top w:val="none" w:sz="0" w:space="0" w:color="auto"/>
        <w:left w:val="none" w:sz="0" w:space="0" w:color="auto"/>
        <w:bottom w:val="none" w:sz="0" w:space="0" w:color="auto"/>
        <w:right w:val="none" w:sz="0" w:space="0" w:color="auto"/>
      </w:divBdr>
    </w:div>
    <w:div w:id="742484124">
      <w:bodyDiv w:val="1"/>
      <w:marLeft w:val="0"/>
      <w:marRight w:val="0"/>
      <w:marTop w:val="0"/>
      <w:marBottom w:val="0"/>
      <w:divBdr>
        <w:top w:val="none" w:sz="0" w:space="0" w:color="auto"/>
        <w:left w:val="none" w:sz="0" w:space="0" w:color="auto"/>
        <w:bottom w:val="none" w:sz="0" w:space="0" w:color="auto"/>
        <w:right w:val="none" w:sz="0" w:space="0" w:color="auto"/>
      </w:divBdr>
    </w:div>
    <w:div w:id="755982927">
      <w:bodyDiv w:val="1"/>
      <w:marLeft w:val="0"/>
      <w:marRight w:val="0"/>
      <w:marTop w:val="0"/>
      <w:marBottom w:val="0"/>
      <w:divBdr>
        <w:top w:val="none" w:sz="0" w:space="0" w:color="auto"/>
        <w:left w:val="none" w:sz="0" w:space="0" w:color="auto"/>
        <w:bottom w:val="none" w:sz="0" w:space="0" w:color="auto"/>
        <w:right w:val="none" w:sz="0" w:space="0" w:color="auto"/>
      </w:divBdr>
    </w:div>
    <w:div w:id="812916695">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34733830">
      <w:bodyDiv w:val="1"/>
      <w:marLeft w:val="0"/>
      <w:marRight w:val="0"/>
      <w:marTop w:val="0"/>
      <w:marBottom w:val="0"/>
      <w:divBdr>
        <w:top w:val="none" w:sz="0" w:space="0" w:color="auto"/>
        <w:left w:val="none" w:sz="0" w:space="0" w:color="auto"/>
        <w:bottom w:val="none" w:sz="0" w:space="0" w:color="auto"/>
        <w:right w:val="none" w:sz="0" w:space="0" w:color="auto"/>
      </w:divBdr>
    </w:div>
    <w:div w:id="835267194">
      <w:bodyDiv w:val="1"/>
      <w:marLeft w:val="0"/>
      <w:marRight w:val="0"/>
      <w:marTop w:val="0"/>
      <w:marBottom w:val="0"/>
      <w:divBdr>
        <w:top w:val="none" w:sz="0" w:space="0" w:color="auto"/>
        <w:left w:val="none" w:sz="0" w:space="0" w:color="auto"/>
        <w:bottom w:val="none" w:sz="0" w:space="0" w:color="auto"/>
        <w:right w:val="none" w:sz="0" w:space="0" w:color="auto"/>
      </w:divBdr>
    </w:div>
    <w:div w:id="848063668">
      <w:bodyDiv w:val="1"/>
      <w:marLeft w:val="0"/>
      <w:marRight w:val="0"/>
      <w:marTop w:val="0"/>
      <w:marBottom w:val="0"/>
      <w:divBdr>
        <w:top w:val="none" w:sz="0" w:space="0" w:color="auto"/>
        <w:left w:val="none" w:sz="0" w:space="0" w:color="auto"/>
        <w:bottom w:val="none" w:sz="0" w:space="0" w:color="auto"/>
        <w:right w:val="none" w:sz="0" w:space="0" w:color="auto"/>
      </w:divBdr>
    </w:div>
    <w:div w:id="853962924">
      <w:bodyDiv w:val="1"/>
      <w:marLeft w:val="0"/>
      <w:marRight w:val="0"/>
      <w:marTop w:val="0"/>
      <w:marBottom w:val="0"/>
      <w:divBdr>
        <w:top w:val="none" w:sz="0" w:space="0" w:color="auto"/>
        <w:left w:val="none" w:sz="0" w:space="0" w:color="auto"/>
        <w:bottom w:val="none" w:sz="0" w:space="0" w:color="auto"/>
        <w:right w:val="none" w:sz="0" w:space="0" w:color="auto"/>
      </w:divBdr>
    </w:div>
    <w:div w:id="875048374">
      <w:bodyDiv w:val="1"/>
      <w:marLeft w:val="0"/>
      <w:marRight w:val="0"/>
      <w:marTop w:val="0"/>
      <w:marBottom w:val="0"/>
      <w:divBdr>
        <w:top w:val="none" w:sz="0" w:space="0" w:color="auto"/>
        <w:left w:val="none" w:sz="0" w:space="0" w:color="auto"/>
        <w:bottom w:val="none" w:sz="0" w:space="0" w:color="auto"/>
        <w:right w:val="none" w:sz="0" w:space="0" w:color="auto"/>
      </w:divBdr>
      <w:divsChild>
        <w:div w:id="785272091">
          <w:marLeft w:val="0"/>
          <w:marRight w:val="0"/>
          <w:marTop w:val="0"/>
          <w:marBottom w:val="0"/>
          <w:divBdr>
            <w:top w:val="none" w:sz="0" w:space="0" w:color="auto"/>
            <w:left w:val="none" w:sz="0" w:space="0" w:color="auto"/>
            <w:bottom w:val="none" w:sz="0" w:space="0" w:color="auto"/>
            <w:right w:val="none" w:sz="0" w:space="0" w:color="auto"/>
          </w:divBdr>
        </w:div>
      </w:divsChild>
    </w:div>
    <w:div w:id="883367032">
      <w:bodyDiv w:val="1"/>
      <w:marLeft w:val="0"/>
      <w:marRight w:val="0"/>
      <w:marTop w:val="0"/>
      <w:marBottom w:val="0"/>
      <w:divBdr>
        <w:top w:val="none" w:sz="0" w:space="0" w:color="auto"/>
        <w:left w:val="none" w:sz="0" w:space="0" w:color="auto"/>
        <w:bottom w:val="none" w:sz="0" w:space="0" w:color="auto"/>
        <w:right w:val="none" w:sz="0" w:space="0" w:color="auto"/>
      </w:divBdr>
      <w:divsChild>
        <w:div w:id="336005916">
          <w:marLeft w:val="547"/>
          <w:marRight w:val="0"/>
          <w:marTop w:val="0"/>
          <w:marBottom w:val="0"/>
          <w:divBdr>
            <w:top w:val="none" w:sz="0" w:space="0" w:color="auto"/>
            <w:left w:val="none" w:sz="0" w:space="0" w:color="auto"/>
            <w:bottom w:val="none" w:sz="0" w:space="0" w:color="auto"/>
            <w:right w:val="none" w:sz="0" w:space="0" w:color="auto"/>
          </w:divBdr>
        </w:div>
      </w:divsChild>
    </w:div>
    <w:div w:id="887185795">
      <w:bodyDiv w:val="1"/>
      <w:marLeft w:val="0"/>
      <w:marRight w:val="0"/>
      <w:marTop w:val="0"/>
      <w:marBottom w:val="0"/>
      <w:divBdr>
        <w:top w:val="none" w:sz="0" w:space="0" w:color="auto"/>
        <w:left w:val="none" w:sz="0" w:space="0" w:color="auto"/>
        <w:bottom w:val="none" w:sz="0" w:space="0" w:color="auto"/>
        <w:right w:val="none" w:sz="0" w:space="0" w:color="auto"/>
      </w:divBdr>
    </w:div>
    <w:div w:id="922566852">
      <w:bodyDiv w:val="1"/>
      <w:marLeft w:val="0"/>
      <w:marRight w:val="0"/>
      <w:marTop w:val="0"/>
      <w:marBottom w:val="0"/>
      <w:divBdr>
        <w:top w:val="none" w:sz="0" w:space="0" w:color="auto"/>
        <w:left w:val="none" w:sz="0" w:space="0" w:color="auto"/>
        <w:bottom w:val="none" w:sz="0" w:space="0" w:color="auto"/>
        <w:right w:val="none" w:sz="0" w:space="0" w:color="auto"/>
      </w:divBdr>
    </w:div>
    <w:div w:id="924143335">
      <w:bodyDiv w:val="1"/>
      <w:marLeft w:val="0"/>
      <w:marRight w:val="0"/>
      <w:marTop w:val="0"/>
      <w:marBottom w:val="0"/>
      <w:divBdr>
        <w:top w:val="none" w:sz="0" w:space="0" w:color="auto"/>
        <w:left w:val="none" w:sz="0" w:space="0" w:color="auto"/>
        <w:bottom w:val="none" w:sz="0" w:space="0" w:color="auto"/>
        <w:right w:val="none" w:sz="0" w:space="0" w:color="auto"/>
      </w:divBdr>
    </w:div>
    <w:div w:id="930044296">
      <w:bodyDiv w:val="1"/>
      <w:marLeft w:val="0"/>
      <w:marRight w:val="0"/>
      <w:marTop w:val="0"/>
      <w:marBottom w:val="0"/>
      <w:divBdr>
        <w:top w:val="none" w:sz="0" w:space="0" w:color="auto"/>
        <w:left w:val="none" w:sz="0" w:space="0" w:color="auto"/>
        <w:bottom w:val="none" w:sz="0" w:space="0" w:color="auto"/>
        <w:right w:val="none" w:sz="0" w:space="0" w:color="auto"/>
      </w:divBdr>
      <w:divsChild>
        <w:div w:id="1030031085">
          <w:marLeft w:val="0"/>
          <w:marRight w:val="0"/>
          <w:marTop w:val="0"/>
          <w:marBottom w:val="0"/>
          <w:divBdr>
            <w:top w:val="none" w:sz="0" w:space="0" w:color="auto"/>
            <w:left w:val="none" w:sz="0" w:space="0" w:color="auto"/>
            <w:bottom w:val="none" w:sz="0" w:space="0" w:color="auto"/>
            <w:right w:val="none" w:sz="0" w:space="0" w:color="auto"/>
          </w:divBdr>
        </w:div>
      </w:divsChild>
    </w:div>
    <w:div w:id="944968558">
      <w:bodyDiv w:val="1"/>
      <w:marLeft w:val="0"/>
      <w:marRight w:val="0"/>
      <w:marTop w:val="0"/>
      <w:marBottom w:val="0"/>
      <w:divBdr>
        <w:top w:val="none" w:sz="0" w:space="0" w:color="auto"/>
        <w:left w:val="none" w:sz="0" w:space="0" w:color="auto"/>
        <w:bottom w:val="none" w:sz="0" w:space="0" w:color="auto"/>
        <w:right w:val="none" w:sz="0" w:space="0" w:color="auto"/>
      </w:divBdr>
    </w:div>
    <w:div w:id="1000423899">
      <w:bodyDiv w:val="1"/>
      <w:marLeft w:val="0"/>
      <w:marRight w:val="0"/>
      <w:marTop w:val="0"/>
      <w:marBottom w:val="0"/>
      <w:divBdr>
        <w:top w:val="none" w:sz="0" w:space="0" w:color="auto"/>
        <w:left w:val="none" w:sz="0" w:space="0" w:color="auto"/>
        <w:bottom w:val="none" w:sz="0" w:space="0" w:color="auto"/>
        <w:right w:val="none" w:sz="0" w:space="0" w:color="auto"/>
      </w:divBdr>
    </w:div>
    <w:div w:id="1064331288">
      <w:bodyDiv w:val="1"/>
      <w:marLeft w:val="0"/>
      <w:marRight w:val="0"/>
      <w:marTop w:val="0"/>
      <w:marBottom w:val="0"/>
      <w:divBdr>
        <w:top w:val="none" w:sz="0" w:space="0" w:color="auto"/>
        <w:left w:val="none" w:sz="0" w:space="0" w:color="auto"/>
        <w:bottom w:val="none" w:sz="0" w:space="0" w:color="auto"/>
        <w:right w:val="none" w:sz="0" w:space="0" w:color="auto"/>
      </w:divBdr>
    </w:div>
    <w:div w:id="1071776853">
      <w:bodyDiv w:val="1"/>
      <w:marLeft w:val="0"/>
      <w:marRight w:val="0"/>
      <w:marTop w:val="0"/>
      <w:marBottom w:val="0"/>
      <w:divBdr>
        <w:top w:val="none" w:sz="0" w:space="0" w:color="auto"/>
        <w:left w:val="none" w:sz="0" w:space="0" w:color="auto"/>
        <w:bottom w:val="none" w:sz="0" w:space="0" w:color="auto"/>
        <w:right w:val="none" w:sz="0" w:space="0" w:color="auto"/>
      </w:divBdr>
    </w:div>
    <w:div w:id="1081293037">
      <w:bodyDiv w:val="1"/>
      <w:marLeft w:val="0"/>
      <w:marRight w:val="0"/>
      <w:marTop w:val="0"/>
      <w:marBottom w:val="0"/>
      <w:divBdr>
        <w:top w:val="none" w:sz="0" w:space="0" w:color="auto"/>
        <w:left w:val="none" w:sz="0" w:space="0" w:color="auto"/>
        <w:bottom w:val="none" w:sz="0" w:space="0" w:color="auto"/>
        <w:right w:val="none" w:sz="0" w:space="0" w:color="auto"/>
      </w:divBdr>
    </w:div>
    <w:div w:id="1082335441">
      <w:bodyDiv w:val="1"/>
      <w:marLeft w:val="0"/>
      <w:marRight w:val="0"/>
      <w:marTop w:val="0"/>
      <w:marBottom w:val="0"/>
      <w:divBdr>
        <w:top w:val="none" w:sz="0" w:space="0" w:color="auto"/>
        <w:left w:val="none" w:sz="0" w:space="0" w:color="auto"/>
        <w:bottom w:val="none" w:sz="0" w:space="0" w:color="auto"/>
        <w:right w:val="none" w:sz="0" w:space="0" w:color="auto"/>
      </w:divBdr>
    </w:div>
    <w:div w:id="1093167739">
      <w:bodyDiv w:val="1"/>
      <w:marLeft w:val="0"/>
      <w:marRight w:val="0"/>
      <w:marTop w:val="0"/>
      <w:marBottom w:val="0"/>
      <w:divBdr>
        <w:top w:val="none" w:sz="0" w:space="0" w:color="auto"/>
        <w:left w:val="none" w:sz="0" w:space="0" w:color="auto"/>
        <w:bottom w:val="none" w:sz="0" w:space="0" w:color="auto"/>
        <w:right w:val="none" w:sz="0" w:space="0" w:color="auto"/>
      </w:divBdr>
    </w:div>
    <w:div w:id="1103065673">
      <w:bodyDiv w:val="1"/>
      <w:marLeft w:val="0"/>
      <w:marRight w:val="0"/>
      <w:marTop w:val="0"/>
      <w:marBottom w:val="0"/>
      <w:divBdr>
        <w:top w:val="none" w:sz="0" w:space="0" w:color="auto"/>
        <w:left w:val="none" w:sz="0" w:space="0" w:color="auto"/>
        <w:bottom w:val="none" w:sz="0" w:space="0" w:color="auto"/>
        <w:right w:val="none" w:sz="0" w:space="0" w:color="auto"/>
      </w:divBdr>
    </w:div>
    <w:div w:id="1111127533">
      <w:bodyDiv w:val="1"/>
      <w:marLeft w:val="0"/>
      <w:marRight w:val="0"/>
      <w:marTop w:val="0"/>
      <w:marBottom w:val="0"/>
      <w:divBdr>
        <w:top w:val="none" w:sz="0" w:space="0" w:color="auto"/>
        <w:left w:val="none" w:sz="0" w:space="0" w:color="auto"/>
        <w:bottom w:val="none" w:sz="0" w:space="0" w:color="auto"/>
        <w:right w:val="none" w:sz="0" w:space="0" w:color="auto"/>
      </w:divBdr>
      <w:divsChild>
        <w:div w:id="1241715154">
          <w:marLeft w:val="0"/>
          <w:marRight w:val="0"/>
          <w:marTop w:val="0"/>
          <w:marBottom w:val="0"/>
          <w:divBdr>
            <w:top w:val="none" w:sz="0" w:space="0" w:color="auto"/>
            <w:left w:val="none" w:sz="0" w:space="0" w:color="auto"/>
            <w:bottom w:val="none" w:sz="0" w:space="0" w:color="auto"/>
            <w:right w:val="none" w:sz="0" w:space="0" w:color="auto"/>
          </w:divBdr>
          <w:divsChild>
            <w:div w:id="140587143">
              <w:marLeft w:val="0"/>
              <w:marRight w:val="0"/>
              <w:marTop w:val="0"/>
              <w:marBottom w:val="0"/>
              <w:divBdr>
                <w:top w:val="none" w:sz="0" w:space="0" w:color="auto"/>
                <w:left w:val="none" w:sz="0" w:space="0" w:color="auto"/>
                <w:bottom w:val="none" w:sz="0" w:space="0" w:color="auto"/>
                <w:right w:val="none" w:sz="0" w:space="0" w:color="auto"/>
              </w:divBdr>
            </w:div>
            <w:div w:id="940798993">
              <w:marLeft w:val="0"/>
              <w:marRight w:val="0"/>
              <w:marTop w:val="0"/>
              <w:marBottom w:val="0"/>
              <w:divBdr>
                <w:top w:val="none" w:sz="0" w:space="0" w:color="auto"/>
                <w:left w:val="none" w:sz="0" w:space="0" w:color="auto"/>
                <w:bottom w:val="none" w:sz="0" w:space="0" w:color="auto"/>
                <w:right w:val="none" w:sz="0" w:space="0" w:color="auto"/>
              </w:divBdr>
            </w:div>
            <w:div w:id="1114012767">
              <w:marLeft w:val="0"/>
              <w:marRight w:val="0"/>
              <w:marTop w:val="0"/>
              <w:marBottom w:val="0"/>
              <w:divBdr>
                <w:top w:val="none" w:sz="0" w:space="0" w:color="auto"/>
                <w:left w:val="none" w:sz="0" w:space="0" w:color="auto"/>
                <w:bottom w:val="none" w:sz="0" w:space="0" w:color="auto"/>
                <w:right w:val="none" w:sz="0" w:space="0" w:color="auto"/>
              </w:divBdr>
            </w:div>
            <w:div w:id="13254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435">
      <w:bodyDiv w:val="1"/>
      <w:marLeft w:val="0"/>
      <w:marRight w:val="0"/>
      <w:marTop w:val="0"/>
      <w:marBottom w:val="0"/>
      <w:divBdr>
        <w:top w:val="none" w:sz="0" w:space="0" w:color="auto"/>
        <w:left w:val="none" w:sz="0" w:space="0" w:color="auto"/>
        <w:bottom w:val="none" w:sz="0" w:space="0" w:color="auto"/>
        <w:right w:val="none" w:sz="0" w:space="0" w:color="auto"/>
      </w:divBdr>
    </w:div>
    <w:div w:id="1176266226">
      <w:bodyDiv w:val="1"/>
      <w:marLeft w:val="0"/>
      <w:marRight w:val="0"/>
      <w:marTop w:val="0"/>
      <w:marBottom w:val="0"/>
      <w:divBdr>
        <w:top w:val="none" w:sz="0" w:space="0" w:color="auto"/>
        <w:left w:val="none" w:sz="0" w:space="0" w:color="auto"/>
        <w:bottom w:val="none" w:sz="0" w:space="0" w:color="auto"/>
        <w:right w:val="none" w:sz="0" w:space="0" w:color="auto"/>
      </w:divBdr>
    </w:div>
    <w:div w:id="1178424422">
      <w:bodyDiv w:val="1"/>
      <w:marLeft w:val="0"/>
      <w:marRight w:val="0"/>
      <w:marTop w:val="0"/>
      <w:marBottom w:val="0"/>
      <w:divBdr>
        <w:top w:val="none" w:sz="0" w:space="0" w:color="auto"/>
        <w:left w:val="none" w:sz="0" w:space="0" w:color="auto"/>
        <w:bottom w:val="none" w:sz="0" w:space="0" w:color="auto"/>
        <w:right w:val="none" w:sz="0" w:space="0" w:color="auto"/>
      </w:divBdr>
      <w:divsChild>
        <w:div w:id="406847960">
          <w:marLeft w:val="0"/>
          <w:marRight w:val="0"/>
          <w:marTop w:val="0"/>
          <w:marBottom w:val="0"/>
          <w:divBdr>
            <w:top w:val="none" w:sz="0" w:space="0" w:color="auto"/>
            <w:left w:val="none" w:sz="0" w:space="0" w:color="auto"/>
            <w:bottom w:val="none" w:sz="0" w:space="0" w:color="auto"/>
            <w:right w:val="none" w:sz="0" w:space="0" w:color="auto"/>
          </w:divBdr>
        </w:div>
      </w:divsChild>
    </w:div>
    <w:div w:id="1188828915">
      <w:bodyDiv w:val="1"/>
      <w:marLeft w:val="0"/>
      <w:marRight w:val="0"/>
      <w:marTop w:val="0"/>
      <w:marBottom w:val="0"/>
      <w:divBdr>
        <w:top w:val="none" w:sz="0" w:space="0" w:color="auto"/>
        <w:left w:val="none" w:sz="0" w:space="0" w:color="auto"/>
        <w:bottom w:val="none" w:sz="0" w:space="0" w:color="auto"/>
        <w:right w:val="none" w:sz="0" w:space="0" w:color="auto"/>
      </w:divBdr>
    </w:div>
    <w:div w:id="1211838919">
      <w:bodyDiv w:val="1"/>
      <w:marLeft w:val="0"/>
      <w:marRight w:val="0"/>
      <w:marTop w:val="0"/>
      <w:marBottom w:val="0"/>
      <w:divBdr>
        <w:top w:val="none" w:sz="0" w:space="0" w:color="auto"/>
        <w:left w:val="none" w:sz="0" w:space="0" w:color="auto"/>
        <w:bottom w:val="none" w:sz="0" w:space="0" w:color="auto"/>
        <w:right w:val="none" w:sz="0" w:space="0" w:color="auto"/>
      </w:divBdr>
      <w:divsChild>
        <w:div w:id="1774977940">
          <w:marLeft w:val="0"/>
          <w:marRight w:val="0"/>
          <w:marTop w:val="0"/>
          <w:marBottom w:val="0"/>
          <w:divBdr>
            <w:top w:val="none" w:sz="0" w:space="0" w:color="auto"/>
            <w:left w:val="none" w:sz="0" w:space="0" w:color="auto"/>
            <w:bottom w:val="none" w:sz="0" w:space="0" w:color="auto"/>
            <w:right w:val="none" w:sz="0" w:space="0" w:color="auto"/>
          </w:divBdr>
          <w:divsChild>
            <w:div w:id="2015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3340">
      <w:bodyDiv w:val="1"/>
      <w:marLeft w:val="0"/>
      <w:marRight w:val="0"/>
      <w:marTop w:val="0"/>
      <w:marBottom w:val="0"/>
      <w:divBdr>
        <w:top w:val="none" w:sz="0" w:space="0" w:color="auto"/>
        <w:left w:val="none" w:sz="0" w:space="0" w:color="auto"/>
        <w:bottom w:val="none" w:sz="0" w:space="0" w:color="auto"/>
        <w:right w:val="none" w:sz="0" w:space="0" w:color="auto"/>
      </w:divBdr>
    </w:div>
    <w:div w:id="1330403824">
      <w:bodyDiv w:val="1"/>
      <w:marLeft w:val="0"/>
      <w:marRight w:val="0"/>
      <w:marTop w:val="0"/>
      <w:marBottom w:val="0"/>
      <w:divBdr>
        <w:top w:val="none" w:sz="0" w:space="0" w:color="auto"/>
        <w:left w:val="none" w:sz="0" w:space="0" w:color="auto"/>
        <w:bottom w:val="none" w:sz="0" w:space="0" w:color="auto"/>
        <w:right w:val="none" w:sz="0" w:space="0" w:color="auto"/>
      </w:divBdr>
    </w:div>
    <w:div w:id="1335956172">
      <w:bodyDiv w:val="1"/>
      <w:marLeft w:val="0"/>
      <w:marRight w:val="0"/>
      <w:marTop w:val="0"/>
      <w:marBottom w:val="0"/>
      <w:divBdr>
        <w:top w:val="none" w:sz="0" w:space="0" w:color="auto"/>
        <w:left w:val="none" w:sz="0" w:space="0" w:color="auto"/>
        <w:bottom w:val="none" w:sz="0" w:space="0" w:color="auto"/>
        <w:right w:val="none" w:sz="0" w:space="0" w:color="auto"/>
      </w:divBdr>
    </w:div>
    <w:div w:id="1399011243">
      <w:bodyDiv w:val="1"/>
      <w:marLeft w:val="0"/>
      <w:marRight w:val="0"/>
      <w:marTop w:val="0"/>
      <w:marBottom w:val="0"/>
      <w:divBdr>
        <w:top w:val="none" w:sz="0" w:space="0" w:color="auto"/>
        <w:left w:val="none" w:sz="0" w:space="0" w:color="auto"/>
        <w:bottom w:val="none" w:sz="0" w:space="0" w:color="auto"/>
        <w:right w:val="none" w:sz="0" w:space="0" w:color="auto"/>
      </w:divBdr>
    </w:div>
    <w:div w:id="1399208821">
      <w:bodyDiv w:val="1"/>
      <w:marLeft w:val="0"/>
      <w:marRight w:val="0"/>
      <w:marTop w:val="0"/>
      <w:marBottom w:val="0"/>
      <w:divBdr>
        <w:top w:val="none" w:sz="0" w:space="0" w:color="auto"/>
        <w:left w:val="none" w:sz="0" w:space="0" w:color="auto"/>
        <w:bottom w:val="none" w:sz="0" w:space="0" w:color="auto"/>
        <w:right w:val="none" w:sz="0" w:space="0" w:color="auto"/>
      </w:divBdr>
    </w:div>
    <w:div w:id="1400667892">
      <w:bodyDiv w:val="1"/>
      <w:marLeft w:val="0"/>
      <w:marRight w:val="0"/>
      <w:marTop w:val="0"/>
      <w:marBottom w:val="0"/>
      <w:divBdr>
        <w:top w:val="none" w:sz="0" w:space="0" w:color="auto"/>
        <w:left w:val="none" w:sz="0" w:space="0" w:color="auto"/>
        <w:bottom w:val="none" w:sz="0" w:space="0" w:color="auto"/>
        <w:right w:val="none" w:sz="0" w:space="0" w:color="auto"/>
      </w:divBdr>
    </w:div>
    <w:div w:id="1411196133">
      <w:bodyDiv w:val="1"/>
      <w:marLeft w:val="0"/>
      <w:marRight w:val="0"/>
      <w:marTop w:val="0"/>
      <w:marBottom w:val="0"/>
      <w:divBdr>
        <w:top w:val="none" w:sz="0" w:space="0" w:color="auto"/>
        <w:left w:val="none" w:sz="0" w:space="0" w:color="auto"/>
        <w:bottom w:val="none" w:sz="0" w:space="0" w:color="auto"/>
        <w:right w:val="none" w:sz="0" w:space="0" w:color="auto"/>
      </w:divBdr>
    </w:div>
    <w:div w:id="1428886571">
      <w:bodyDiv w:val="1"/>
      <w:marLeft w:val="0"/>
      <w:marRight w:val="0"/>
      <w:marTop w:val="0"/>
      <w:marBottom w:val="0"/>
      <w:divBdr>
        <w:top w:val="none" w:sz="0" w:space="0" w:color="auto"/>
        <w:left w:val="none" w:sz="0" w:space="0" w:color="auto"/>
        <w:bottom w:val="none" w:sz="0" w:space="0" w:color="auto"/>
        <w:right w:val="none" w:sz="0" w:space="0" w:color="auto"/>
      </w:divBdr>
    </w:div>
    <w:div w:id="1441101620">
      <w:bodyDiv w:val="1"/>
      <w:marLeft w:val="0"/>
      <w:marRight w:val="0"/>
      <w:marTop w:val="0"/>
      <w:marBottom w:val="0"/>
      <w:divBdr>
        <w:top w:val="none" w:sz="0" w:space="0" w:color="auto"/>
        <w:left w:val="none" w:sz="0" w:space="0" w:color="auto"/>
        <w:bottom w:val="none" w:sz="0" w:space="0" w:color="auto"/>
        <w:right w:val="none" w:sz="0" w:space="0" w:color="auto"/>
      </w:divBdr>
    </w:div>
    <w:div w:id="1453135454">
      <w:bodyDiv w:val="1"/>
      <w:marLeft w:val="0"/>
      <w:marRight w:val="0"/>
      <w:marTop w:val="0"/>
      <w:marBottom w:val="0"/>
      <w:divBdr>
        <w:top w:val="none" w:sz="0" w:space="0" w:color="auto"/>
        <w:left w:val="none" w:sz="0" w:space="0" w:color="auto"/>
        <w:bottom w:val="none" w:sz="0" w:space="0" w:color="auto"/>
        <w:right w:val="none" w:sz="0" w:space="0" w:color="auto"/>
      </w:divBdr>
    </w:div>
    <w:div w:id="1468818025">
      <w:bodyDiv w:val="1"/>
      <w:marLeft w:val="0"/>
      <w:marRight w:val="0"/>
      <w:marTop w:val="0"/>
      <w:marBottom w:val="0"/>
      <w:divBdr>
        <w:top w:val="none" w:sz="0" w:space="0" w:color="auto"/>
        <w:left w:val="none" w:sz="0" w:space="0" w:color="auto"/>
        <w:bottom w:val="none" w:sz="0" w:space="0" w:color="auto"/>
        <w:right w:val="none" w:sz="0" w:space="0" w:color="auto"/>
      </w:divBdr>
    </w:div>
    <w:div w:id="1502700469">
      <w:bodyDiv w:val="1"/>
      <w:marLeft w:val="0"/>
      <w:marRight w:val="0"/>
      <w:marTop w:val="0"/>
      <w:marBottom w:val="0"/>
      <w:divBdr>
        <w:top w:val="none" w:sz="0" w:space="0" w:color="auto"/>
        <w:left w:val="none" w:sz="0" w:space="0" w:color="auto"/>
        <w:bottom w:val="none" w:sz="0" w:space="0" w:color="auto"/>
        <w:right w:val="none" w:sz="0" w:space="0" w:color="auto"/>
      </w:divBdr>
    </w:div>
    <w:div w:id="1540623183">
      <w:bodyDiv w:val="1"/>
      <w:marLeft w:val="0"/>
      <w:marRight w:val="0"/>
      <w:marTop w:val="0"/>
      <w:marBottom w:val="0"/>
      <w:divBdr>
        <w:top w:val="none" w:sz="0" w:space="0" w:color="auto"/>
        <w:left w:val="none" w:sz="0" w:space="0" w:color="auto"/>
        <w:bottom w:val="none" w:sz="0" w:space="0" w:color="auto"/>
        <w:right w:val="none" w:sz="0" w:space="0" w:color="auto"/>
      </w:divBdr>
    </w:div>
    <w:div w:id="1542669857">
      <w:bodyDiv w:val="1"/>
      <w:marLeft w:val="0"/>
      <w:marRight w:val="0"/>
      <w:marTop w:val="0"/>
      <w:marBottom w:val="0"/>
      <w:divBdr>
        <w:top w:val="none" w:sz="0" w:space="0" w:color="auto"/>
        <w:left w:val="none" w:sz="0" w:space="0" w:color="auto"/>
        <w:bottom w:val="none" w:sz="0" w:space="0" w:color="auto"/>
        <w:right w:val="none" w:sz="0" w:space="0" w:color="auto"/>
      </w:divBdr>
    </w:div>
    <w:div w:id="1545210851">
      <w:bodyDiv w:val="1"/>
      <w:marLeft w:val="0"/>
      <w:marRight w:val="0"/>
      <w:marTop w:val="0"/>
      <w:marBottom w:val="0"/>
      <w:divBdr>
        <w:top w:val="none" w:sz="0" w:space="0" w:color="auto"/>
        <w:left w:val="none" w:sz="0" w:space="0" w:color="auto"/>
        <w:bottom w:val="none" w:sz="0" w:space="0" w:color="auto"/>
        <w:right w:val="none" w:sz="0" w:space="0" w:color="auto"/>
      </w:divBdr>
    </w:div>
    <w:div w:id="1549027800">
      <w:bodyDiv w:val="1"/>
      <w:marLeft w:val="0"/>
      <w:marRight w:val="0"/>
      <w:marTop w:val="0"/>
      <w:marBottom w:val="0"/>
      <w:divBdr>
        <w:top w:val="none" w:sz="0" w:space="0" w:color="auto"/>
        <w:left w:val="none" w:sz="0" w:space="0" w:color="auto"/>
        <w:bottom w:val="none" w:sz="0" w:space="0" w:color="auto"/>
        <w:right w:val="none" w:sz="0" w:space="0" w:color="auto"/>
      </w:divBdr>
    </w:div>
    <w:div w:id="1569538232">
      <w:bodyDiv w:val="1"/>
      <w:marLeft w:val="0"/>
      <w:marRight w:val="0"/>
      <w:marTop w:val="0"/>
      <w:marBottom w:val="0"/>
      <w:divBdr>
        <w:top w:val="none" w:sz="0" w:space="0" w:color="auto"/>
        <w:left w:val="none" w:sz="0" w:space="0" w:color="auto"/>
        <w:bottom w:val="none" w:sz="0" w:space="0" w:color="auto"/>
        <w:right w:val="none" w:sz="0" w:space="0" w:color="auto"/>
      </w:divBdr>
    </w:div>
    <w:div w:id="1581989245">
      <w:bodyDiv w:val="1"/>
      <w:marLeft w:val="0"/>
      <w:marRight w:val="0"/>
      <w:marTop w:val="0"/>
      <w:marBottom w:val="0"/>
      <w:divBdr>
        <w:top w:val="none" w:sz="0" w:space="0" w:color="auto"/>
        <w:left w:val="none" w:sz="0" w:space="0" w:color="auto"/>
        <w:bottom w:val="none" w:sz="0" w:space="0" w:color="auto"/>
        <w:right w:val="none" w:sz="0" w:space="0" w:color="auto"/>
      </w:divBdr>
      <w:divsChild>
        <w:div w:id="769010803">
          <w:marLeft w:val="0"/>
          <w:marRight w:val="0"/>
          <w:marTop w:val="0"/>
          <w:marBottom w:val="0"/>
          <w:divBdr>
            <w:top w:val="none" w:sz="0" w:space="0" w:color="auto"/>
            <w:left w:val="none" w:sz="0" w:space="0" w:color="auto"/>
            <w:bottom w:val="none" w:sz="0" w:space="0" w:color="auto"/>
            <w:right w:val="none" w:sz="0" w:space="0" w:color="auto"/>
          </w:divBdr>
        </w:div>
      </w:divsChild>
    </w:div>
    <w:div w:id="1599830831">
      <w:bodyDiv w:val="1"/>
      <w:marLeft w:val="0"/>
      <w:marRight w:val="0"/>
      <w:marTop w:val="0"/>
      <w:marBottom w:val="0"/>
      <w:divBdr>
        <w:top w:val="none" w:sz="0" w:space="0" w:color="auto"/>
        <w:left w:val="none" w:sz="0" w:space="0" w:color="auto"/>
        <w:bottom w:val="none" w:sz="0" w:space="0" w:color="auto"/>
        <w:right w:val="none" w:sz="0" w:space="0" w:color="auto"/>
      </w:divBdr>
    </w:div>
    <w:div w:id="1599869264">
      <w:bodyDiv w:val="1"/>
      <w:marLeft w:val="0"/>
      <w:marRight w:val="0"/>
      <w:marTop w:val="0"/>
      <w:marBottom w:val="0"/>
      <w:divBdr>
        <w:top w:val="none" w:sz="0" w:space="0" w:color="auto"/>
        <w:left w:val="none" w:sz="0" w:space="0" w:color="auto"/>
        <w:bottom w:val="none" w:sz="0" w:space="0" w:color="auto"/>
        <w:right w:val="none" w:sz="0" w:space="0" w:color="auto"/>
      </w:divBdr>
    </w:div>
    <w:div w:id="1620530249">
      <w:bodyDiv w:val="1"/>
      <w:marLeft w:val="0"/>
      <w:marRight w:val="0"/>
      <w:marTop w:val="0"/>
      <w:marBottom w:val="0"/>
      <w:divBdr>
        <w:top w:val="none" w:sz="0" w:space="0" w:color="auto"/>
        <w:left w:val="none" w:sz="0" w:space="0" w:color="auto"/>
        <w:bottom w:val="none" w:sz="0" w:space="0" w:color="auto"/>
        <w:right w:val="none" w:sz="0" w:space="0" w:color="auto"/>
      </w:divBdr>
    </w:div>
    <w:div w:id="1668940452">
      <w:bodyDiv w:val="1"/>
      <w:marLeft w:val="0"/>
      <w:marRight w:val="0"/>
      <w:marTop w:val="0"/>
      <w:marBottom w:val="0"/>
      <w:divBdr>
        <w:top w:val="none" w:sz="0" w:space="0" w:color="auto"/>
        <w:left w:val="none" w:sz="0" w:space="0" w:color="auto"/>
        <w:bottom w:val="none" w:sz="0" w:space="0" w:color="auto"/>
        <w:right w:val="none" w:sz="0" w:space="0" w:color="auto"/>
      </w:divBdr>
    </w:div>
    <w:div w:id="1682855180">
      <w:bodyDiv w:val="1"/>
      <w:marLeft w:val="0"/>
      <w:marRight w:val="0"/>
      <w:marTop w:val="0"/>
      <w:marBottom w:val="0"/>
      <w:divBdr>
        <w:top w:val="none" w:sz="0" w:space="0" w:color="auto"/>
        <w:left w:val="none" w:sz="0" w:space="0" w:color="auto"/>
        <w:bottom w:val="none" w:sz="0" w:space="0" w:color="auto"/>
        <w:right w:val="none" w:sz="0" w:space="0" w:color="auto"/>
      </w:divBdr>
      <w:divsChild>
        <w:div w:id="685182316">
          <w:marLeft w:val="0"/>
          <w:marRight w:val="0"/>
          <w:marTop w:val="0"/>
          <w:marBottom w:val="0"/>
          <w:divBdr>
            <w:top w:val="none" w:sz="0" w:space="0" w:color="auto"/>
            <w:left w:val="none" w:sz="0" w:space="0" w:color="auto"/>
            <w:bottom w:val="none" w:sz="0" w:space="0" w:color="auto"/>
            <w:right w:val="none" w:sz="0" w:space="0" w:color="auto"/>
          </w:divBdr>
          <w:divsChild>
            <w:div w:id="1011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8073">
      <w:bodyDiv w:val="1"/>
      <w:marLeft w:val="0"/>
      <w:marRight w:val="0"/>
      <w:marTop w:val="0"/>
      <w:marBottom w:val="0"/>
      <w:divBdr>
        <w:top w:val="none" w:sz="0" w:space="0" w:color="auto"/>
        <w:left w:val="none" w:sz="0" w:space="0" w:color="auto"/>
        <w:bottom w:val="none" w:sz="0" w:space="0" w:color="auto"/>
        <w:right w:val="none" w:sz="0" w:space="0" w:color="auto"/>
      </w:divBdr>
      <w:divsChild>
        <w:div w:id="193426539">
          <w:marLeft w:val="0"/>
          <w:marRight w:val="0"/>
          <w:marTop w:val="0"/>
          <w:marBottom w:val="0"/>
          <w:divBdr>
            <w:top w:val="none" w:sz="0" w:space="0" w:color="auto"/>
            <w:left w:val="none" w:sz="0" w:space="0" w:color="auto"/>
            <w:bottom w:val="none" w:sz="0" w:space="0" w:color="auto"/>
            <w:right w:val="none" w:sz="0" w:space="0" w:color="auto"/>
          </w:divBdr>
        </w:div>
      </w:divsChild>
    </w:div>
    <w:div w:id="1711176954">
      <w:bodyDiv w:val="1"/>
      <w:marLeft w:val="0"/>
      <w:marRight w:val="0"/>
      <w:marTop w:val="0"/>
      <w:marBottom w:val="0"/>
      <w:divBdr>
        <w:top w:val="none" w:sz="0" w:space="0" w:color="auto"/>
        <w:left w:val="none" w:sz="0" w:space="0" w:color="auto"/>
        <w:bottom w:val="none" w:sz="0" w:space="0" w:color="auto"/>
        <w:right w:val="none" w:sz="0" w:space="0" w:color="auto"/>
      </w:divBdr>
    </w:div>
    <w:div w:id="1754281169">
      <w:bodyDiv w:val="1"/>
      <w:marLeft w:val="0"/>
      <w:marRight w:val="0"/>
      <w:marTop w:val="0"/>
      <w:marBottom w:val="0"/>
      <w:divBdr>
        <w:top w:val="none" w:sz="0" w:space="0" w:color="auto"/>
        <w:left w:val="none" w:sz="0" w:space="0" w:color="auto"/>
        <w:bottom w:val="none" w:sz="0" w:space="0" w:color="auto"/>
        <w:right w:val="none" w:sz="0" w:space="0" w:color="auto"/>
      </w:divBdr>
    </w:div>
    <w:div w:id="1791895245">
      <w:bodyDiv w:val="1"/>
      <w:marLeft w:val="0"/>
      <w:marRight w:val="0"/>
      <w:marTop w:val="0"/>
      <w:marBottom w:val="0"/>
      <w:divBdr>
        <w:top w:val="none" w:sz="0" w:space="0" w:color="auto"/>
        <w:left w:val="none" w:sz="0" w:space="0" w:color="auto"/>
        <w:bottom w:val="none" w:sz="0" w:space="0" w:color="auto"/>
        <w:right w:val="none" w:sz="0" w:space="0" w:color="auto"/>
      </w:divBdr>
    </w:div>
    <w:div w:id="1825319207">
      <w:bodyDiv w:val="1"/>
      <w:marLeft w:val="0"/>
      <w:marRight w:val="0"/>
      <w:marTop w:val="0"/>
      <w:marBottom w:val="0"/>
      <w:divBdr>
        <w:top w:val="none" w:sz="0" w:space="0" w:color="auto"/>
        <w:left w:val="none" w:sz="0" w:space="0" w:color="auto"/>
        <w:bottom w:val="none" w:sz="0" w:space="0" w:color="auto"/>
        <w:right w:val="none" w:sz="0" w:space="0" w:color="auto"/>
      </w:divBdr>
    </w:div>
    <w:div w:id="1828592261">
      <w:bodyDiv w:val="1"/>
      <w:marLeft w:val="0"/>
      <w:marRight w:val="0"/>
      <w:marTop w:val="0"/>
      <w:marBottom w:val="0"/>
      <w:divBdr>
        <w:top w:val="none" w:sz="0" w:space="0" w:color="auto"/>
        <w:left w:val="none" w:sz="0" w:space="0" w:color="auto"/>
        <w:bottom w:val="none" w:sz="0" w:space="0" w:color="auto"/>
        <w:right w:val="none" w:sz="0" w:space="0" w:color="auto"/>
      </w:divBdr>
    </w:div>
    <w:div w:id="1853300358">
      <w:bodyDiv w:val="1"/>
      <w:marLeft w:val="0"/>
      <w:marRight w:val="0"/>
      <w:marTop w:val="0"/>
      <w:marBottom w:val="0"/>
      <w:divBdr>
        <w:top w:val="none" w:sz="0" w:space="0" w:color="auto"/>
        <w:left w:val="none" w:sz="0" w:space="0" w:color="auto"/>
        <w:bottom w:val="none" w:sz="0" w:space="0" w:color="auto"/>
        <w:right w:val="none" w:sz="0" w:space="0" w:color="auto"/>
      </w:divBdr>
    </w:div>
    <w:div w:id="1863057650">
      <w:bodyDiv w:val="1"/>
      <w:marLeft w:val="0"/>
      <w:marRight w:val="0"/>
      <w:marTop w:val="0"/>
      <w:marBottom w:val="0"/>
      <w:divBdr>
        <w:top w:val="none" w:sz="0" w:space="0" w:color="auto"/>
        <w:left w:val="none" w:sz="0" w:space="0" w:color="auto"/>
        <w:bottom w:val="none" w:sz="0" w:space="0" w:color="auto"/>
        <w:right w:val="none" w:sz="0" w:space="0" w:color="auto"/>
      </w:divBdr>
    </w:div>
    <w:div w:id="1869759715">
      <w:bodyDiv w:val="1"/>
      <w:marLeft w:val="0"/>
      <w:marRight w:val="0"/>
      <w:marTop w:val="0"/>
      <w:marBottom w:val="0"/>
      <w:divBdr>
        <w:top w:val="none" w:sz="0" w:space="0" w:color="auto"/>
        <w:left w:val="none" w:sz="0" w:space="0" w:color="auto"/>
        <w:bottom w:val="none" w:sz="0" w:space="0" w:color="auto"/>
        <w:right w:val="none" w:sz="0" w:space="0" w:color="auto"/>
      </w:divBdr>
    </w:div>
    <w:div w:id="1971744993">
      <w:bodyDiv w:val="1"/>
      <w:marLeft w:val="0"/>
      <w:marRight w:val="0"/>
      <w:marTop w:val="0"/>
      <w:marBottom w:val="0"/>
      <w:divBdr>
        <w:top w:val="none" w:sz="0" w:space="0" w:color="auto"/>
        <w:left w:val="none" w:sz="0" w:space="0" w:color="auto"/>
        <w:bottom w:val="none" w:sz="0" w:space="0" w:color="auto"/>
        <w:right w:val="none" w:sz="0" w:space="0" w:color="auto"/>
      </w:divBdr>
    </w:div>
    <w:div w:id="1986737480">
      <w:bodyDiv w:val="1"/>
      <w:marLeft w:val="0"/>
      <w:marRight w:val="0"/>
      <w:marTop w:val="0"/>
      <w:marBottom w:val="0"/>
      <w:divBdr>
        <w:top w:val="none" w:sz="0" w:space="0" w:color="auto"/>
        <w:left w:val="none" w:sz="0" w:space="0" w:color="auto"/>
        <w:bottom w:val="none" w:sz="0" w:space="0" w:color="auto"/>
        <w:right w:val="none" w:sz="0" w:space="0" w:color="auto"/>
      </w:divBdr>
      <w:divsChild>
        <w:div w:id="1881283282">
          <w:marLeft w:val="547"/>
          <w:marRight w:val="0"/>
          <w:marTop w:val="0"/>
          <w:marBottom w:val="0"/>
          <w:divBdr>
            <w:top w:val="none" w:sz="0" w:space="0" w:color="auto"/>
            <w:left w:val="none" w:sz="0" w:space="0" w:color="auto"/>
            <w:bottom w:val="none" w:sz="0" w:space="0" w:color="auto"/>
            <w:right w:val="none" w:sz="0" w:space="0" w:color="auto"/>
          </w:divBdr>
        </w:div>
      </w:divsChild>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6514585">
      <w:bodyDiv w:val="1"/>
      <w:marLeft w:val="0"/>
      <w:marRight w:val="0"/>
      <w:marTop w:val="0"/>
      <w:marBottom w:val="0"/>
      <w:divBdr>
        <w:top w:val="none" w:sz="0" w:space="0" w:color="auto"/>
        <w:left w:val="none" w:sz="0" w:space="0" w:color="auto"/>
        <w:bottom w:val="none" w:sz="0" w:space="0" w:color="auto"/>
        <w:right w:val="none" w:sz="0" w:space="0" w:color="auto"/>
      </w:divBdr>
    </w:div>
    <w:div w:id="2049797922">
      <w:bodyDiv w:val="1"/>
      <w:marLeft w:val="0"/>
      <w:marRight w:val="0"/>
      <w:marTop w:val="0"/>
      <w:marBottom w:val="0"/>
      <w:divBdr>
        <w:top w:val="none" w:sz="0" w:space="0" w:color="auto"/>
        <w:left w:val="none" w:sz="0" w:space="0" w:color="auto"/>
        <w:bottom w:val="none" w:sz="0" w:space="0" w:color="auto"/>
        <w:right w:val="none" w:sz="0" w:space="0" w:color="auto"/>
      </w:divBdr>
    </w:div>
    <w:div w:id="2115591774">
      <w:bodyDiv w:val="1"/>
      <w:marLeft w:val="0"/>
      <w:marRight w:val="0"/>
      <w:marTop w:val="0"/>
      <w:marBottom w:val="0"/>
      <w:divBdr>
        <w:top w:val="none" w:sz="0" w:space="0" w:color="auto"/>
        <w:left w:val="none" w:sz="0" w:space="0" w:color="auto"/>
        <w:bottom w:val="none" w:sz="0" w:space="0" w:color="auto"/>
        <w:right w:val="none" w:sz="0" w:space="0" w:color="auto"/>
      </w:divBdr>
    </w:div>
    <w:div w:id="2132287148">
      <w:bodyDiv w:val="1"/>
      <w:marLeft w:val="0"/>
      <w:marRight w:val="0"/>
      <w:marTop w:val="0"/>
      <w:marBottom w:val="0"/>
      <w:divBdr>
        <w:top w:val="none" w:sz="0" w:space="0" w:color="auto"/>
        <w:left w:val="none" w:sz="0" w:space="0" w:color="auto"/>
        <w:bottom w:val="none" w:sz="0" w:space="0" w:color="auto"/>
        <w:right w:val="none" w:sz="0" w:space="0" w:color="auto"/>
      </w:divBdr>
    </w:div>
    <w:div w:id="2138255948">
      <w:bodyDiv w:val="1"/>
      <w:marLeft w:val="0"/>
      <w:marRight w:val="0"/>
      <w:marTop w:val="0"/>
      <w:marBottom w:val="0"/>
      <w:divBdr>
        <w:top w:val="none" w:sz="0" w:space="0" w:color="auto"/>
        <w:left w:val="none" w:sz="0" w:space="0" w:color="auto"/>
        <w:bottom w:val="none" w:sz="0" w:space="0" w:color="auto"/>
        <w:right w:val="none" w:sz="0" w:space="0" w:color="auto"/>
      </w:divBdr>
    </w:div>
    <w:div w:id="21391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reform-support.ec.europa.eu/what-we-do/financial-sector-and-access-finance/eu-supervisory-digital-finance-academy_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form-support.ec.europa.eu/what-we-do/revenue-administration-and-public-financial-management/supporting-implementation-green-budgeting-practices-eu_en"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reform-support.ec.europa.eu/what-we-do/labour-market-social-protection-and-migration/accelerating-access-essential-services-displaced-ukrainians-romania_en"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eighbourhood-enlargement.ec.europa.eu/funding-and-technical-assistance/taiex_en" TargetMode="External"/><Relationship Id="rId29" Type="http://schemas.openxmlformats.org/officeDocument/2006/relationships/hyperlink" Target="https://reform-support.ec.europa.eu/our-projects/country-factsheets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form-support.ec.europa.eu/what-we-do/revenue-administration-and-public-financial-management/gender-mainstreaming-public-policy-and-budget-processes_en"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reform-support.ec.europa.eu/our-projects/flagship-technical-support-projects_en%20ref-2022-flagship-technical-support-projects" TargetMode="External"/><Relationship Id="rId28" Type="http://schemas.openxmlformats.org/officeDocument/2006/relationships/hyperlink" Target="https://reform-support.ec.europa.eu/what-we-do_en"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commission.europa.eu/funding-tenders/find-funding/eu-funding-programmes/technical-support-instrument/technical-support-instrument-tsi_hu" TargetMode="External"/><Relationship Id="rId31" Type="http://schemas.openxmlformats.org/officeDocument/2006/relationships/hyperlink" Target="https://twitter.com/EU_re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ommission.europa.eu/funding-tenders/find-funding/eu-funding-programmes/technical-support-instrument/technical-support-instrument-tsi/technical-support-instrument-annual-conference-2021_en" TargetMode="External"/><Relationship Id="rId27" Type="http://schemas.openxmlformats.org/officeDocument/2006/relationships/hyperlink" Target="https://reform-support.ec.europa.eu/index_hu" TargetMode="External"/><Relationship Id="rId30" Type="http://schemas.openxmlformats.org/officeDocument/2006/relationships/hyperlink" Target="https://reform-support.ec.europa.eu/publications-0_en?f%5B0%5D=funding_programme_funding_programme%3A1027"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21/240/oj" TargetMode="External"/><Relationship Id="rId3" Type="http://schemas.openxmlformats.org/officeDocument/2006/relationships/hyperlink" Target="https://eur-lex.europa.eu/eli/reg/2021/241/oj" TargetMode="External"/><Relationship Id="rId7" Type="http://schemas.openxmlformats.org/officeDocument/2006/relationships/hyperlink" Target="https://eur-lex.europa.eu/legal-content/HU/TXT/?uri=CELEX%3A52023DC0545R%2801%29&amp;qid=1705400609301" TargetMode="External"/><Relationship Id="rId2" Type="http://schemas.openxmlformats.org/officeDocument/2006/relationships/hyperlink" Target="https://eur-lex.europa.eu/legal-content/HU/TXT/?uri=CELEX%3A32017R0825" TargetMode="External"/><Relationship Id="rId1" Type="http://schemas.openxmlformats.org/officeDocument/2006/relationships/hyperlink" Target="https://eur-lex.europa.eu/eli/reg/2021/240/oj" TargetMode="External"/><Relationship Id="rId6" Type="http://schemas.openxmlformats.org/officeDocument/2006/relationships/hyperlink" Target="https://commission.europa.eu/funding-tenders/find-funding/eu-funding-programmes/technical-support-instrument/technical-support-instrument-tsi_hu%23uni%C3%B3s-forr%C3%A1sokat-k%C3%B6zvetett-ir%C3%A1ny%C3%ADt%C3%A1s-keret%C3%A9ben-kezel%C5%91-szervezetek" TargetMode="External"/><Relationship Id="rId5" Type="http://schemas.openxmlformats.org/officeDocument/2006/relationships/hyperlink" Target="https://neighbourhood-enlargement.ec.europa.eu/funding-and-technical-assistance/taiex_en" TargetMode="External"/><Relationship Id="rId4" Type="http://schemas.openxmlformats.org/officeDocument/2006/relationships/hyperlink" Target="https://eur-lex.europa.eu/eli/reg/2021/240/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Report has as purpose to provide the European Parliament and the Council with an annual monitoring on the implementation of the Technical Support Instrument, including information on requests for support submitted by Member States, on analyses of the application of the criteria for assessing the requests for support, on cooperation and support plans, on participation of reform partners, and on special measures adopted.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48720-65ca-4d9d-a954-f64b3d9cc4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ba0941e-b5c2-4031-bcd1-7e0f9f0f36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FD0F7B257CC4BACBC6B75308D865C" ma:contentTypeVersion="13" ma:contentTypeDescription="Create a new document." ma:contentTypeScope="" ma:versionID="272cc5c3962e63f24228b9400624ba8f">
  <xsd:schema xmlns:xsd="http://www.w3.org/2001/XMLSchema" xmlns:xs="http://www.w3.org/2001/XMLSchema" xmlns:p="http://schemas.microsoft.com/office/2006/metadata/properties" xmlns:ns2="8d82ef2e-2665-4d75-ad12-ca052c5613cd" xmlns:ns3="49348720-65ca-4d9d-a954-f64b3d9cc462" xmlns:ns4="0ba0941e-b5c2-4031-bcd1-7e0f9f0f36e7" targetNamespace="http://schemas.microsoft.com/office/2006/metadata/properties" ma:root="true" ma:fieldsID="fafcbec2e1815690fd8358a2bf8504cb" ns2:_="" ns3:_="" ns4:_="">
    <xsd:import namespace="8d82ef2e-2665-4d75-ad12-ca052c5613cd"/>
    <xsd:import namespace="49348720-65ca-4d9d-a954-f64b3d9cc462"/>
    <xsd:import namespace="0ba0941e-b5c2-4031-bcd1-7e0f9f0f36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2ef2e-2665-4d75-ad12-ca052c5613c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48720-65ca-4d9d-a954-f64b3d9cc4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0941e-b5c2-4031-bcd1-7e0f9f0f3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f730ef-0004-4d10-92bb-fbb726e1be6b}" ma:internalName="TaxCatchAll" ma:showField="CatchAllData" ma:web="0ba0941e-b5c2-4031-bcd1-7e0f9f0f3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B5786F-B21B-46F4-BE87-A3F64B160858}">
  <ds:schemaRefs>
    <ds:schemaRef ds:uri="http://purl.org/dc/terms/"/>
    <ds:schemaRef ds:uri="http://purl.org/dc/elements/1.1/"/>
    <ds:schemaRef ds:uri="http://purl.org/dc/dcmitype/"/>
    <ds:schemaRef ds:uri="0ba0941e-b5c2-4031-bcd1-7e0f9f0f36e7"/>
    <ds:schemaRef ds:uri="http://www.w3.org/XML/1998/namespace"/>
    <ds:schemaRef ds:uri="http://schemas.microsoft.com/office/2006/documentManagement/types"/>
    <ds:schemaRef ds:uri="http://schemas.microsoft.com/office/infopath/2007/PartnerControls"/>
    <ds:schemaRef ds:uri="8d82ef2e-2665-4d75-ad12-ca052c5613cd"/>
    <ds:schemaRef ds:uri="http://schemas.microsoft.com/office/2006/metadata/properties"/>
    <ds:schemaRef ds:uri="http://schemas.openxmlformats.org/package/2006/metadata/core-properties"/>
    <ds:schemaRef ds:uri="49348720-65ca-4d9d-a954-f64b3d9cc462"/>
  </ds:schemaRefs>
</ds:datastoreItem>
</file>

<file path=customXml/itemProps3.xml><?xml version="1.0" encoding="utf-8"?>
<ds:datastoreItem xmlns:ds="http://schemas.openxmlformats.org/officeDocument/2006/customXml" ds:itemID="{0B964649-282F-4B1C-B0EB-92838A09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ef2e-2665-4d75-ad12-ca052c5613cd"/>
    <ds:schemaRef ds:uri="49348720-65ca-4d9d-a954-f64b3d9cc462"/>
    <ds:schemaRef ds:uri="0ba0941e-b5c2-4031-bcd1-7e0f9f0f3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589CF-4BC2-4949-A8CA-F9C213406C71}">
  <ds:schemaRefs>
    <ds:schemaRef ds:uri="http://schemas.microsoft.com/sharepoint/v3/contenttype/forms"/>
  </ds:schemaRefs>
</ds:datastoreItem>
</file>

<file path=customXml/itemProps5.xml><?xml version="1.0" encoding="utf-8"?>
<ds:datastoreItem xmlns:ds="http://schemas.openxmlformats.org/officeDocument/2006/customXml" ds:itemID="{A95FD70F-D4E2-43EC-B366-158BDED4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technical support instrument 2021</vt:lpstr>
    </vt:vector>
  </TitlesOfParts>
  <Manager/>
  <Company/>
  <LinksUpToDate>false</LinksUpToDate>
  <CharactersWithSpaces>24430</CharactersWithSpaces>
  <SharedDoc>false</SharedDoc>
  <HLinks>
    <vt:vector size="126" baseType="variant">
      <vt:variant>
        <vt:i4>7929864</vt:i4>
      </vt:variant>
      <vt:variant>
        <vt:i4>45</vt:i4>
      </vt:variant>
      <vt:variant>
        <vt:i4>0</vt:i4>
      </vt:variant>
      <vt:variant>
        <vt:i4>5</vt:i4>
      </vt:variant>
      <vt:variant>
        <vt:lpwstr>https://twitter.com/EU_reforms</vt:lpwstr>
      </vt:variant>
      <vt:variant>
        <vt:lpwstr/>
      </vt:variant>
      <vt:variant>
        <vt:i4>5898316</vt:i4>
      </vt:variant>
      <vt:variant>
        <vt:i4>42</vt:i4>
      </vt:variant>
      <vt:variant>
        <vt:i4>0</vt:i4>
      </vt:variant>
      <vt:variant>
        <vt:i4>5</vt:i4>
      </vt:variant>
      <vt:variant>
        <vt:lpwstr>https://reform-support.ec.europa.eu/publications-0_en?f%5B0%5D=funding_programme_funding_programme%3A1027</vt:lpwstr>
      </vt:variant>
      <vt:variant>
        <vt:lpwstr/>
      </vt:variant>
      <vt:variant>
        <vt:i4>589921</vt:i4>
      </vt:variant>
      <vt:variant>
        <vt:i4>39</vt:i4>
      </vt:variant>
      <vt:variant>
        <vt:i4>0</vt:i4>
      </vt:variant>
      <vt:variant>
        <vt:i4>5</vt:i4>
      </vt:variant>
      <vt:variant>
        <vt:lpwstr>https://reform-support.ec.europa.eu/our-projects/country-factsheets_en</vt:lpwstr>
      </vt:variant>
      <vt:variant>
        <vt:lpwstr/>
      </vt:variant>
      <vt:variant>
        <vt:i4>5767272</vt:i4>
      </vt:variant>
      <vt:variant>
        <vt:i4>36</vt:i4>
      </vt:variant>
      <vt:variant>
        <vt:i4>0</vt:i4>
      </vt:variant>
      <vt:variant>
        <vt:i4>5</vt:i4>
      </vt:variant>
      <vt:variant>
        <vt:lpwstr>https://reform-support.ec.europa.eu/what-we-do_en</vt:lpwstr>
      </vt:variant>
      <vt:variant>
        <vt:lpwstr/>
      </vt:variant>
      <vt:variant>
        <vt:i4>3014685</vt:i4>
      </vt:variant>
      <vt:variant>
        <vt:i4>33</vt:i4>
      </vt:variant>
      <vt:variant>
        <vt:i4>0</vt:i4>
      </vt:variant>
      <vt:variant>
        <vt:i4>5</vt:i4>
      </vt:variant>
      <vt:variant>
        <vt:lpwstr>https://reform-support.ec.europa.eu/index_en</vt:lpwstr>
      </vt:variant>
      <vt:variant>
        <vt:lpwstr/>
      </vt:variant>
      <vt:variant>
        <vt:i4>6946907</vt:i4>
      </vt:variant>
      <vt:variant>
        <vt:i4>30</vt:i4>
      </vt:variant>
      <vt:variant>
        <vt:i4>0</vt:i4>
      </vt:variant>
      <vt:variant>
        <vt:i4>5</vt:i4>
      </vt:variant>
      <vt:variant>
        <vt:lpwstr>https://reform-support.ec.europa.eu/what-we-do/financial-sector-and-access-finance/eu-supervisory-digital-finance-academy_en</vt:lpwstr>
      </vt:variant>
      <vt:variant>
        <vt:lpwstr/>
      </vt:variant>
      <vt:variant>
        <vt:i4>7471108</vt:i4>
      </vt:variant>
      <vt:variant>
        <vt:i4>27</vt:i4>
      </vt:variant>
      <vt:variant>
        <vt:i4>0</vt:i4>
      </vt:variant>
      <vt:variant>
        <vt:i4>5</vt:i4>
      </vt:variant>
      <vt:variant>
        <vt:lpwstr>https://reform-support.ec.europa.eu/what-we-do/labour-market-social-protection-and-migration/accelerating-access-essential-services-displaced-ukrainians-romania_en</vt:lpwstr>
      </vt:variant>
      <vt:variant>
        <vt:lpwstr/>
      </vt:variant>
      <vt:variant>
        <vt:i4>3670101</vt:i4>
      </vt:variant>
      <vt:variant>
        <vt:i4>24</vt:i4>
      </vt:variant>
      <vt:variant>
        <vt:i4>0</vt:i4>
      </vt:variant>
      <vt:variant>
        <vt:i4>5</vt:i4>
      </vt:variant>
      <vt:variant>
        <vt:lpwstr>https://reform-support.ec.europa.eu/what-we-do/revenue-administration-and-public-financial-management/gender-mainstreaming-public-policy-and-budget-processes_en</vt:lpwstr>
      </vt:variant>
      <vt:variant>
        <vt:lpwstr/>
      </vt:variant>
      <vt:variant>
        <vt:i4>7012439</vt:i4>
      </vt:variant>
      <vt:variant>
        <vt:i4>18</vt:i4>
      </vt:variant>
      <vt:variant>
        <vt:i4>0</vt:i4>
      </vt:variant>
      <vt:variant>
        <vt:i4>5</vt:i4>
      </vt:variant>
      <vt:variant>
        <vt:lpwstr>https://reform-support.ec.europa.eu/our-projects/flagship-technical-support-projects_en</vt:lpwstr>
      </vt:variant>
      <vt:variant>
        <vt:lpwstr>ref-2022-flagship-technical-support-projects</vt:lpwstr>
      </vt:variant>
      <vt:variant>
        <vt:i4>7012370</vt:i4>
      </vt:variant>
      <vt:variant>
        <vt:i4>15</vt:i4>
      </vt:variant>
      <vt:variant>
        <vt:i4>0</vt:i4>
      </vt:variant>
      <vt:variant>
        <vt:i4>5</vt:i4>
      </vt:variant>
      <vt:variant>
        <vt:lpwstr>https://commission.europa.eu/funding-tenders/find-funding/eu-funding-programmes/technical-support-instrument/technical-support-instrument-tsi/technical-support-instrument-annual-conference-2021_en</vt:lpwstr>
      </vt:variant>
      <vt:variant>
        <vt:lpwstr/>
      </vt:variant>
      <vt:variant>
        <vt:i4>6815815</vt:i4>
      </vt:variant>
      <vt:variant>
        <vt:i4>12</vt:i4>
      </vt:variant>
      <vt:variant>
        <vt:i4>0</vt:i4>
      </vt:variant>
      <vt:variant>
        <vt:i4>5</vt:i4>
      </vt:variant>
      <vt:variant>
        <vt:lpwstr>https://reform-support.ec.europa.eu/what-we-do/revenue-administration-and-public-financial-management/supporting-implementation-green-budgeting-practices-eu_en</vt:lpwstr>
      </vt:variant>
      <vt:variant>
        <vt:lpwstr/>
      </vt:variant>
      <vt:variant>
        <vt:i4>3670032</vt:i4>
      </vt:variant>
      <vt:variant>
        <vt:i4>6</vt:i4>
      </vt:variant>
      <vt:variant>
        <vt:i4>0</vt:i4>
      </vt:variant>
      <vt:variant>
        <vt:i4>5</vt:i4>
      </vt:variant>
      <vt:variant>
        <vt:lpwstr>https://neighbourhood-enlargement.ec.europa.eu/funding-and-technical-assistance/taiex_en</vt:lpwstr>
      </vt:variant>
      <vt:variant>
        <vt:lpwstr/>
      </vt:variant>
      <vt:variant>
        <vt:i4>4522101</vt:i4>
      </vt:variant>
      <vt:variant>
        <vt:i4>0</vt:i4>
      </vt:variant>
      <vt:variant>
        <vt:i4>0</vt:i4>
      </vt:variant>
      <vt:variant>
        <vt:i4>5</vt:i4>
      </vt:variant>
      <vt:variant>
        <vt:lpwstr>https://ec.europa.eu/info/funding-tenders/find-funding/eu-funding-programmes/technical-support-instrument/technical-support-instrument-tsi_en</vt:lpwstr>
      </vt:variant>
      <vt:variant>
        <vt:lpwstr/>
      </vt:variant>
      <vt:variant>
        <vt:i4>5636178</vt:i4>
      </vt:variant>
      <vt:variant>
        <vt:i4>21</vt:i4>
      </vt:variant>
      <vt:variant>
        <vt:i4>0</vt:i4>
      </vt:variant>
      <vt:variant>
        <vt:i4>5</vt:i4>
      </vt:variant>
      <vt:variant>
        <vt:lpwstr>https://eur-lex.europa.eu/eli/reg/2021/240/oj</vt:lpwstr>
      </vt:variant>
      <vt:variant>
        <vt:lpwstr/>
      </vt:variant>
      <vt:variant>
        <vt:i4>2621535</vt:i4>
      </vt:variant>
      <vt:variant>
        <vt:i4>18</vt:i4>
      </vt:variant>
      <vt:variant>
        <vt:i4>0</vt:i4>
      </vt:variant>
      <vt:variant>
        <vt:i4>5</vt:i4>
      </vt:variant>
      <vt:variant>
        <vt:lpwstr>https://commission.europa.eu/publications/recovery-and-resilience-facility-annual-report-2023_en</vt:lpwstr>
      </vt:variant>
      <vt:variant>
        <vt:lpwstr/>
      </vt:variant>
      <vt:variant>
        <vt:i4>6291469</vt:i4>
      </vt:variant>
      <vt:variant>
        <vt:i4>15</vt:i4>
      </vt:variant>
      <vt:variant>
        <vt:i4>0</vt:i4>
      </vt:variant>
      <vt:variant>
        <vt:i4>5</vt:i4>
      </vt:variant>
      <vt:variant>
        <vt:lpwstr>https://commission.europa.eu/funding-tenders/find-funding/eu-funding-programmes/technical-support-instrument/technical-support-instrument-tsi_en</vt:lpwstr>
      </vt:variant>
      <vt:variant>
        <vt:lpwstr>entities-implementing-eu-funds-under-indirect-management</vt:lpwstr>
      </vt:variant>
      <vt:variant>
        <vt:i4>3670032</vt:i4>
      </vt:variant>
      <vt:variant>
        <vt:i4>12</vt:i4>
      </vt:variant>
      <vt:variant>
        <vt:i4>0</vt:i4>
      </vt:variant>
      <vt:variant>
        <vt:i4>5</vt:i4>
      </vt:variant>
      <vt:variant>
        <vt:lpwstr>https://neighbourhood-enlargement.ec.europa.eu/funding-and-technical-assistance/taiex_en</vt:lpwstr>
      </vt:variant>
      <vt:variant>
        <vt:lpwstr/>
      </vt:variant>
      <vt:variant>
        <vt:i4>5636178</vt:i4>
      </vt:variant>
      <vt:variant>
        <vt:i4>9</vt:i4>
      </vt:variant>
      <vt:variant>
        <vt:i4>0</vt:i4>
      </vt:variant>
      <vt:variant>
        <vt:i4>5</vt:i4>
      </vt:variant>
      <vt:variant>
        <vt:lpwstr>https://eur-lex.europa.eu/eli/reg/2021/240/oj</vt:lpwstr>
      </vt:variant>
      <vt:variant>
        <vt:lpwstr/>
      </vt:variant>
      <vt:variant>
        <vt:i4>5701714</vt:i4>
      </vt:variant>
      <vt:variant>
        <vt:i4>6</vt:i4>
      </vt:variant>
      <vt:variant>
        <vt:i4>0</vt:i4>
      </vt:variant>
      <vt:variant>
        <vt:i4>5</vt:i4>
      </vt:variant>
      <vt:variant>
        <vt:lpwstr>https://eur-lex.europa.eu/eli/reg/2021/241/oj</vt:lpwstr>
      </vt:variant>
      <vt:variant>
        <vt:lpwstr/>
      </vt:variant>
      <vt:variant>
        <vt:i4>1572932</vt:i4>
      </vt:variant>
      <vt:variant>
        <vt:i4>3</vt:i4>
      </vt:variant>
      <vt:variant>
        <vt:i4>0</vt:i4>
      </vt:variant>
      <vt:variant>
        <vt:i4>5</vt:i4>
      </vt:variant>
      <vt:variant>
        <vt:lpwstr>https://eur-lex.europa.eu/legal-content/EN/TXT/?uri=CELEX:32017R0825</vt:lpwstr>
      </vt:variant>
      <vt:variant>
        <vt:lpwstr/>
      </vt:variant>
      <vt:variant>
        <vt:i4>5636178</vt:i4>
      </vt:variant>
      <vt:variant>
        <vt:i4>0</vt:i4>
      </vt:variant>
      <vt:variant>
        <vt:i4>0</vt:i4>
      </vt:variant>
      <vt:variant>
        <vt:i4>5</vt:i4>
      </vt:variant>
      <vt:variant>
        <vt:lpwstr>https://eur-lex.europa.eu/eli/reg/2021/240/oj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support instrument 2021</dc:title>
  <dc:subject/>
  <dc:creator/>
  <cp:keywords/>
  <dc:description/>
  <cp:lastModifiedBy>EC CoDe</cp:lastModifiedBy>
  <cp:revision>6</cp:revision>
  <cp:lastPrinted>2023-05-26T21:16:00Z</cp:lastPrinted>
  <dcterms:created xsi:type="dcterms:W3CDTF">2024-01-17T13:12:00Z</dcterms:created>
  <dcterms:modified xsi:type="dcterms:W3CDTF">2024-01-29T09:46:00Z</dcterms:modified>
  <cp:category>Unit A2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2022-07-29T06:57:36Z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1cfadfbb-614e-42a5-9d66-e2a901553179</vt:lpwstr>
  </property>
  <property fmtid="{D5CDD505-2E9C-101B-9397-08002B2CF9AE}" pid="8" name="MSIP_Label_6bd9ddd1-4d20-43f6-abfa-fc3c07406f94_ContentBits">
    <vt:lpwstr>0</vt:lpwstr>
  </property>
  <property fmtid="{D5CDD505-2E9C-101B-9397-08002B2CF9AE}" pid="9" name="ContentTypeId">
    <vt:lpwstr>0x010100455FD0F7B257CC4BACBC6B75308D865C</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9.0, Build 20230317</vt:lpwstr>
  </property>
  <property fmtid="{D5CDD505-2E9C-101B-9397-08002B2CF9AE}" pid="17" name="Created using">
    <vt:lpwstr>LW 9.0, Build 20230317</vt:lpwstr>
  </property>
</Properties>
</file>