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094" w:rsidRPr="00971FBD" w:rsidRDefault="008E3BFB" w:rsidP="008E3BFB">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83415E6A-DD0F-4F1E-BDC9-1FF094A423DF" style="width:455.25pt;height:369.75pt">
            <v:imagedata r:id="rId11" o:title=""/>
          </v:shape>
        </w:pict>
      </w:r>
    </w:p>
    <w:p w:rsidR="00FB0094" w:rsidRPr="00971FBD" w:rsidRDefault="00FB0094" w:rsidP="00FB0094">
      <w:pPr>
        <w:rPr>
          <w:noProof/>
        </w:rPr>
        <w:sectPr w:rsidR="00FB0094" w:rsidRPr="00971FBD" w:rsidSect="008E3BFB">
          <w:footerReference w:type="even" r:id="rId12"/>
          <w:footerReference w:type="default" r:id="rId13"/>
          <w:pgSz w:w="11907" w:h="16839"/>
          <w:pgMar w:top="1134" w:right="1417" w:bottom="1134" w:left="1417" w:header="709" w:footer="709" w:gutter="0"/>
          <w:pgNumType w:start="0"/>
          <w:cols w:space="720"/>
          <w:docGrid w:linePitch="360"/>
        </w:sectPr>
      </w:pPr>
    </w:p>
    <w:p w:rsidR="00FB0094" w:rsidRPr="00971FBD" w:rsidRDefault="00FB0094" w:rsidP="00BB6B30">
      <w:pPr>
        <w:pStyle w:val="Exposdesmotifstitre"/>
        <w:rPr>
          <w:noProof/>
        </w:rPr>
      </w:pPr>
      <w:bookmarkStart w:id="0" w:name="_GoBack"/>
      <w:bookmarkEnd w:id="0"/>
      <w:r w:rsidRPr="00971FBD">
        <w:rPr>
          <w:noProof/>
        </w:rPr>
        <w:lastRenderedPageBreak/>
        <w:t>EXPOSIÇÃO DE MOTIVOS</w:t>
      </w:r>
    </w:p>
    <w:p w:rsidR="00FB0094" w:rsidRPr="00971FBD" w:rsidRDefault="00FB0094" w:rsidP="00BB6B30">
      <w:pPr>
        <w:pStyle w:val="ManualHeading1"/>
        <w:rPr>
          <w:noProof/>
        </w:rPr>
      </w:pPr>
      <w:r w:rsidRPr="00971FBD">
        <w:rPr>
          <w:noProof/>
        </w:rPr>
        <w:t>1.</w:t>
      </w:r>
      <w:r w:rsidRPr="00971FBD">
        <w:rPr>
          <w:noProof/>
        </w:rPr>
        <w:tab/>
        <w:t>CONTEXTO DA PROPOSTA</w:t>
      </w:r>
    </w:p>
    <w:p w:rsidR="00FB0094" w:rsidRPr="00971FBD" w:rsidRDefault="00FB0094" w:rsidP="00044058">
      <w:pPr>
        <w:pStyle w:val="ManualHeading2"/>
        <w:rPr>
          <w:rFonts w:eastAsia="Arial Unicode MS"/>
          <w:noProof/>
        </w:rPr>
      </w:pPr>
      <w:r w:rsidRPr="00971FBD">
        <w:rPr>
          <w:noProof/>
          <w:color w:val="000000"/>
          <w:u w:color="000000"/>
          <w:bdr w:val="nil"/>
        </w:rPr>
        <w:t>•</w:t>
      </w:r>
      <w:r w:rsidRPr="00971FBD">
        <w:rPr>
          <w:noProof/>
          <w:color w:val="000000"/>
          <w:u w:color="000000"/>
          <w:bdr w:val="nil"/>
        </w:rPr>
        <w:tab/>
      </w:r>
      <w:r w:rsidRPr="00971FBD">
        <w:rPr>
          <w:noProof/>
        </w:rPr>
        <w:t>Razões e objetivos da proposta</w:t>
      </w:r>
    </w:p>
    <w:p w:rsidR="00D45911" w:rsidRPr="00971FBD" w:rsidRDefault="00D45911" w:rsidP="00D45911">
      <w:pPr>
        <w:rPr>
          <w:rFonts w:eastAsia="Times New Roman"/>
          <w:noProof/>
          <w:szCs w:val="24"/>
        </w:rPr>
      </w:pPr>
      <w:r w:rsidRPr="00971FBD">
        <w:rPr>
          <w:noProof/>
        </w:rPr>
        <w:t>A tributação dos produtos energéticos e da eletricidade na União rege-se pela Diretiva 2003/96/CE do Conselho</w:t>
      </w:r>
      <w:r w:rsidRPr="00971FBD">
        <w:rPr>
          <w:rStyle w:val="FootnoteReference"/>
          <w:noProof/>
        </w:rPr>
        <w:footnoteReference w:id="1"/>
      </w:r>
      <w:r w:rsidRPr="00971FBD">
        <w:rPr>
          <w:noProof/>
        </w:rPr>
        <w:t xml:space="preserve"> (</w:t>
      </w:r>
      <w:r w:rsidRPr="00971FBD">
        <w:rPr>
          <w:i/>
          <w:noProof/>
        </w:rPr>
        <w:t>a seguir</w:t>
      </w:r>
      <w:r w:rsidRPr="00971FBD">
        <w:rPr>
          <w:noProof/>
        </w:rPr>
        <w:t xml:space="preserve"> designada por «Diretiva Tributação da Energia» ou «Diretiva»).</w:t>
      </w:r>
    </w:p>
    <w:p w:rsidR="00D45911" w:rsidRPr="00971FBD" w:rsidRDefault="00D45911" w:rsidP="00D45911">
      <w:pPr>
        <w:rPr>
          <w:rFonts w:eastAsia="Times New Roman"/>
          <w:noProof/>
          <w:szCs w:val="24"/>
        </w:rPr>
      </w:pPr>
      <w:r w:rsidRPr="00971FBD">
        <w:rPr>
          <w:noProof/>
        </w:rPr>
        <w:t>Nos termos do artigo 19.º, n.º 1, da Diretiva, para além do disposto, nomeadamente, nos artigos 5.º, 15.º e 17.º, o Conselho, deliberando por unanimidade sob proposta da Comissão, pode autorizar qualquer Estado-Membro a introduzir outras isenções ou reduções nos níveis de tributação por motivos relacionados com políticas específicas.</w:t>
      </w:r>
    </w:p>
    <w:p w:rsidR="00D45911" w:rsidRPr="00971FBD" w:rsidRDefault="00D45911" w:rsidP="00D45911">
      <w:pPr>
        <w:rPr>
          <w:rFonts w:eastAsia="Times New Roman"/>
          <w:noProof/>
          <w:szCs w:val="24"/>
        </w:rPr>
      </w:pPr>
      <w:r w:rsidRPr="00971FBD">
        <w:rPr>
          <w:noProof/>
        </w:rPr>
        <w:t>O objetivo da presente proposta é autorizar a Suécia a continuar a aplicar, dentro de limites definidos, uma taxa reduzida do imposto especial sobre a eletricidade consumida por famílias e empresas do setor dos serviços em determinadas zonas do norte da Suécia. A presente medida destina-se a compensar os custos de aquecimento mais elevados nestas zonas devidos às condições climáticas específicas da região.</w:t>
      </w:r>
    </w:p>
    <w:p w:rsidR="00BF4283" w:rsidRPr="00971FBD" w:rsidRDefault="00BF4283" w:rsidP="00BF4283">
      <w:pPr>
        <w:rPr>
          <w:rFonts w:eastAsia="Times New Roman"/>
          <w:noProof/>
          <w:szCs w:val="24"/>
        </w:rPr>
      </w:pPr>
      <w:r w:rsidRPr="00971FBD">
        <w:rPr>
          <w:noProof/>
        </w:rPr>
        <w:t>A Decisão de Execução (UE) 2017/2409 do Conselho, de 18 de dezembro de 2017</w:t>
      </w:r>
      <w:r w:rsidR="00A955FF" w:rsidRPr="00971FBD">
        <w:rPr>
          <w:rStyle w:val="FootnoteReference"/>
          <w:rFonts w:eastAsia="Times New Roman"/>
          <w:noProof/>
          <w:szCs w:val="24"/>
        </w:rPr>
        <w:footnoteReference w:id="2"/>
      </w:r>
      <w:r w:rsidRPr="00971FBD">
        <w:rPr>
          <w:noProof/>
        </w:rPr>
        <w:t>, autoriza atualmente a Suécia a aplicar uma taxa reduzida do imposto especial sobre a eletricidade consumida por famílias e empresas do setor dos serviços situadas em certos municípios enumerados no anexo da decisão. A redução fiscal é proporcional aos custos suplementares com o aquecimento suportados nas zonas do norte, comparativamente ao resto da Suécia, e a taxa reduzida está em conformidade com as exigências impostas pela Diretiva 2003/96/CE, em especial os níveis mínimos de tributação estabelecidos no artigo 10.º da mesma. Esta autorização expira em 31 de dezembro de 2023.</w:t>
      </w:r>
    </w:p>
    <w:p w:rsidR="00BF4283" w:rsidRPr="00971FBD" w:rsidRDefault="00BF4283" w:rsidP="00BF4283">
      <w:pPr>
        <w:rPr>
          <w:rFonts w:eastAsia="Times New Roman"/>
          <w:noProof/>
          <w:szCs w:val="24"/>
        </w:rPr>
      </w:pPr>
      <w:r w:rsidRPr="00971FBD">
        <w:rPr>
          <w:noProof/>
        </w:rPr>
        <w:t>Por ofício de 11 de abril de 2023, as autoridades suecas informaram a Comissão da sua intenção de continuarem a aplicar essa taxa reduzida do imposto especial. A redução não deve exceder 96 SEK por MWh (ou 0,096 SEK/kWh), o que corresponde a cerca de 8,8 EUR/MWh (ou 0,0088 EUR/kWh)</w:t>
      </w:r>
      <w:r w:rsidRPr="00971FBD">
        <w:rPr>
          <w:rStyle w:val="FootnoteReference"/>
          <w:noProof/>
        </w:rPr>
        <w:footnoteReference w:id="3"/>
      </w:r>
      <w:r w:rsidRPr="00971FBD">
        <w:rPr>
          <w:noProof/>
        </w:rPr>
        <w:t>. A Suécia solicitou que lhe fosse autorizada uma redução por um período de quatro anos, ou seja, até 31 de dezembro de 2027, o que corresponde ao período máximo indicado no artigo 19.º, n.º 2, da Diretiva.</w:t>
      </w:r>
    </w:p>
    <w:p w:rsidR="00BF4283" w:rsidRPr="00971FBD" w:rsidRDefault="00BF4283" w:rsidP="00BF4283">
      <w:pPr>
        <w:rPr>
          <w:rFonts w:eastAsia="Times New Roman"/>
          <w:noProof/>
          <w:szCs w:val="24"/>
        </w:rPr>
      </w:pPr>
      <w:r w:rsidRPr="00971FBD">
        <w:rPr>
          <w:noProof/>
        </w:rPr>
        <w:t>A Suécia forneceu informações e esclarecimentos adicionais em 10 de outubro de 2023.</w:t>
      </w:r>
    </w:p>
    <w:p w:rsidR="00A12BFC" w:rsidRPr="00971FBD" w:rsidRDefault="00ED32BC" w:rsidP="00BF4283">
      <w:pPr>
        <w:rPr>
          <w:rFonts w:eastAsia="Times New Roman"/>
          <w:noProof/>
          <w:szCs w:val="24"/>
        </w:rPr>
      </w:pPr>
      <w:r w:rsidRPr="00971FBD">
        <w:rPr>
          <w:noProof/>
        </w:rPr>
        <w:t>A Suécia referiu que o âmbito do presente pedido de derrogação é idêntico ao do pedido anterior. A redução fiscal continuaria a aplicar-se à energia elétrica consumida para outros fins que não i) atividades industriais, ii) atividades profissionais agrícolas ou silvícolas, iii) atividades profissionais aquícolas, iv) eletricidade da rede de terra ou v) em comboios ou outros meios de transporte ferroviários, ou para o funcionamento do motor ou o aquecimento em ligação imediata com esse consumo. Com exceção da redução para o consumo de eletricidade da rede de terra (que beneficia de uma redução concedida com base no artigo 19.º da Diretiva), o consumo de eletricidade para estas atividades beneficia de outras possibilidades de redução previstas na lei sueca relativa à tributação da energia e, por conseguinte, não é concedida com base no artigo 19.º da Diretiva.</w:t>
      </w:r>
    </w:p>
    <w:p w:rsidR="00BF4283" w:rsidRPr="00971FBD" w:rsidRDefault="00BF4283" w:rsidP="00BF4283">
      <w:pPr>
        <w:rPr>
          <w:rFonts w:eastAsia="Times New Roman"/>
          <w:noProof/>
          <w:szCs w:val="24"/>
        </w:rPr>
      </w:pPr>
      <w:r w:rsidRPr="00971FBD">
        <w:rPr>
          <w:noProof/>
        </w:rPr>
        <w:lastRenderedPageBreak/>
        <w:t xml:space="preserve">A Suécia justificou a medida por objetivos ambientais, bem como de política regional e de coesão. Sublinhou ainda que as </w:t>
      </w:r>
      <w:r w:rsidRPr="00971FBD">
        <w:rPr>
          <w:rStyle w:val="Bodytext2"/>
          <w:noProof/>
          <w:color w:val="000000"/>
        </w:rPr>
        <w:t>taxas nacionais do imposto especial</w:t>
      </w:r>
      <w:r w:rsidRPr="00971FBD">
        <w:rPr>
          <w:noProof/>
        </w:rPr>
        <w:t xml:space="preserve"> sobre a eletricidade ultrapassam consideravelmente os níveis mínimos de tributação estabelecidos na Diretiva 2003/96/CE e que, consequentemente, o sistema fiscal a nível nacional dá um maior incentivo à eficiência energética do que as taxas mínimas exigidas pela UE. No entanto, de acordo com as autoridades suecas, este elevado nível geral de tributação só pode manter-se se for concedida uma redução fiscal às zonas do norte, que estão em desvantagem competitiva devido às condições climáticas. Ao mesmo tempo, a medida solicitada permitirá reduzir as diferenças de custos de aquecimento entre as diferentes partes do país, contribuindo, assim, para os objetivos das políticas regionais e de coesão da UE.</w:t>
      </w:r>
    </w:p>
    <w:p w:rsidR="00696F3C" w:rsidRPr="00971FBD" w:rsidRDefault="00BF4283" w:rsidP="00696F3C">
      <w:pPr>
        <w:rPr>
          <w:rFonts w:eastAsia="Times New Roman"/>
          <w:noProof/>
          <w:szCs w:val="24"/>
        </w:rPr>
      </w:pPr>
      <w:bookmarkStart w:id="1" w:name="_Hlk149573160"/>
      <w:r w:rsidRPr="00971FBD">
        <w:rPr>
          <w:noProof/>
        </w:rPr>
        <w:t>No que diz respeito à natureza da desvantagem provocada pelas diferenças climáticas, as autoridades suecas reiteraram a declaração feita no seu pedido anterior de que os custos de aquecimento são, em média, 30 % mais elevados nas regiões (de eletricidade) do norte</w:t>
      </w:r>
      <w:r w:rsidR="00421F34" w:rsidRPr="00971FBD">
        <w:rPr>
          <w:rStyle w:val="FootnoteReference"/>
          <w:rFonts w:eastAsia="Times New Roman"/>
          <w:noProof/>
          <w:szCs w:val="24"/>
        </w:rPr>
        <w:footnoteReference w:id="4"/>
      </w:r>
      <w:r w:rsidRPr="00971FBD">
        <w:rPr>
          <w:noProof/>
        </w:rPr>
        <w:t>, dado que o período de aquecimento nestas zonas é mais longo</w:t>
      </w:r>
      <w:r w:rsidR="005708F9" w:rsidRPr="00971FBD">
        <w:rPr>
          <w:rStyle w:val="FootnoteReference"/>
          <w:rFonts w:eastAsia="Times New Roman"/>
          <w:noProof/>
          <w:szCs w:val="24"/>
        </w:rPr>
        <w:footnoteReference w:id="5"/>
      </w:r>
      <w:r w:rsidRPr="00971FBD">
        <w:rPr>
          <w:noProof/>
        </w:rPr>
        <w:t>.</w:t>
      </w:r>
    </w:p>
    <w:bookmarkEnd w:id="1"/>
    <w:p w:rsidR="00C776D1" w:rsidRPr="00971FBD" w:rsidRDefault="00696F3C" w:rsidP="00696F3C">
      <w:pPr>
        <w:rPr>
          <w:rFonts w:eastAsia="Times New Roman"/>
          <w:noProof/>
          <w:szCs w:val="24"/>
        </w:rPr>
      </w:pPr>
      <w:r w:rsidRPr="00971FBD">
        <w:rPr>
          <w:noProof/>
        </w:rPr>
        <w:t xml:space="preserve">O quadro A </w:t>
      </w:r>
      <w:r w:rsidRPr="00971FBD">
        <w:rPr>
          <w:i/>
          <w:noProof/>
        </w:rPr>
        <w:t>infra</w:t>
      </w:r>
      <w:r w:rsidRPr="00971FBD">
        <w:rPr>
          <w:noProof/>
        </w:rPr>
        <w:t xml:space="preserve"> mostra a evolução dos níveis aplicáveis do imposto energético sobre a eletricidade</w:t>
      </w:r>
    </w:p>
    <w:p w:rsidR="001F2D7A" w:rsidRPr="00971FBD" w:rsidRDefault="001F2D7A" w:rsidP="00331BD3">
      <w:pPr>
        <w:rPr>
          <w:rFonts w:eastAsia="Times New Roman"/>
          <w:b/>
          <w:bCs/>
          <w:noProof/>
          <w:szCs w:val="24"/>
        </w:rPr>
      </w:pPr>
    </w:p>
    <w:p w:rsidR="00150D7F" w:rsidRPr="00971FBD" w:rsidRDefault="001F2D7A" w:rsidP="00331BD3">
      <w:pPr>
        <w:rPr>
          <w:rFonts w:eastAsia="Times New Roman"/>
          <w:b/>
          <w:bCs/>
          <w:noProof/>
          <w:szCs w:val="24"/>
        </w:rPr>
      </w:pPr>
      <w:r w:rsidRPr="00971FBD">
        <w:rPr>
          <w:b/>
          <w:noProof/>
        </w:rPr>
        <w:t>Quadro A — Níveis do imposto energético sobre a eletricidade (2018-2023)</w:t>
      </w:r>
    </w:p>
    <w:tbl>
      <w:tblPr>
        <w:tblStyle w:val="TableGrid"/>
        <w:tblW w:w="0" w:type="auto"/>
        <w:tblLook w:val="04A0" w:firstRow="1" w:lastRow="0" w:firstColumn="1" w:lastColumn="0" w:noHBand="0" w:noVBand="1"/>
      </w:tblPr>
      <w:tblGrid>
        <w:gridCol w:w="2232"/>
        <w:gridCol w:w="2232"/>
        <w:gridCol w:w="2233"/>
      </w:tblGrid>
      <w:tr w:rsidR="001F2D7A" w:rsidRPr="00971FBD" w:rsidTr="001F2D7A">
        <w:trPr>
          <w:trHeight w:val="689"/>
        </w:trPr>
        <w:tc>
          <w:tcPr>
            <w:tcW w:w="2232" w:type="dxa"/>
          </w:tcPr>
          <w:p w:rsidR="001F2D7A" w:rsidRPr="00971FBD" w:rsidRDefault="001F2D7A" w:rsidP="001F2D7A">
            <w:pPr>
              <w:jc w:val="center"/>
              <w:rPr>
                <w:rFonts w:eastAsia="Times New Roman"/>
                <w:b/>
                <w:bCs/>
                <w:noProof/>
                <w:szCs w:val="24"/>
              </w:rPr>
            </w:pPr>
            <w:r w:rsidRPr="00971FBD">
              <w:rPr>
                <w:b/>
                <w:noProof/>
              </w:rPr>
              <w:t xml:space="preserve">Ano </w:t>
            </w:r>
          </w:p>
        </w:tc>
        <w:tc>
          <w:tcPr>
            <w:tcW w:w="2232" w:type="dxa"/>
          </w:tcPr>
          <w:p w:rsidR="001F2D7A" w:rsidRPr="00971FBD" w:rsidRDefault="001F2D7A" w:rsidP="001F2D7A">
            <w:pPr>
              <w:jc w:val="center"/>
              <w:rPr>
                <w:rFonts w:eastAsia="Times New Roman"/>
                <w:b/>
                <w:bCs/>
                <w:noProof/>
                <w:szCs w:val="24"/>
              </w:rPr>
            </w:pPr>
            <w:r w:rsidRPr="00971FBD">
              <w:rPr>
                <w:b/>
                <w:noProof/>
              </w:rPr>
              <w:t>Nível normal</w:t>
            </w:r>
          </w:p>
          <w:p w:rsidR="001F2D7A" w:rsidRPr="00971FBD" w:rsidRDefault="001F2D7A" w:rsidP="001F2D7A">
            <w:pPr>
              <w:jc w:val="center"/>
              <w:rPr>
                <w:rFonts w:eastAsia="Times New Roman"/>
                <w:b/>
                <w:bCs/>
                <w:noProof/>
                <w:szCs w:val="24"/>
              </w:rPr>
            </w:pPr>
            <w:r w:rsidRPr="00971FBD">
              <w:rPr>
                <w:b/>
                <w:noProof/>
              </w:rPr>
              <w:t>(öre/kWh)</w:t>
            </w:r>
          </w:p>
        </w:tc>
        <w:tc>
          <w:tcPr>
            <w:tcW w:w="2233" w:type="dxa"/>
          </w:tcPr>
          <w:p w:rsidR="001F2D7A" w:rsidRPr="00971FBD" w:rsidRDefault="001F2D7A" w:rsidP="001F2D7A">
            <w:pPr>
              <w:jc w:val="center"/>
              <w:rPr>
                <w:rFonts w:eastAsia="Times New Roman"/>
                <w:b/>
                <w:bCs/>
                <w:noProof/>
                <w:szCs w:val="24"/>
              </w:rPr>
            </w:pPr>
            <w:r w:rsidRPr="00971FBD">
              <w:rPr>
                <w:b/>
                <w:noProof/>
              </w:rPr>
              <w:t>Nível reduzido</w:t>
            </w:r>
          </w:p>
          <w:p w:rsidR="001F2D7A" w:rsidRPr="00971FBD" w:rsidRDefault="001F2D7A" w:rsidP="001F2D7A">
            <w:pPr>
              <w:jc w:val="center"/>
              <w:rPr>
                <w:rFonts w:eastAsia="Times New Roman"/>
                <w:b/>
                <w:bCs/>
                <w:noProof/>
                <w:szCs w:val="24"/>
              </w:rPr>
            </w:pPr>
            <w:r w:rsidRPr="00971FBD">
              <w:rPr>
                <w:b/>
                <w:noProof/>
              </w:rPr>
              <w:t>(öre/kWh)</w:t>
            </w:r>
          </w:p>
        </w:tc>
      </w:tr>
      <w:tr w:rsidR="001F2D7A" w:rsidRPr="00971FBD" w:rsidTr="001F2D7A">
        <w:trPr>
          <w:trHeight w:val="393"/>
        </w:trPr>
        <w:tc>
          <w:tcPr>
            <w:tcW w:w="2232" w:type="dxa"/>
          </w:tcPr>
          <w:p w:rsidR="001F2D7A" w:rsidRPr="00971FBD" w:rsidRDefault="001F2D7A" w:rsidP="001F2D7A">
            <w:pPr>
              <w:jc w:val="center"/>
              <w:rPr>
                <w:rFonts w:eastAsia="Times New Roman"/>
                <w:b/>
                <w:bCs/>
                <w:noProof/>
                <w:szCs w:val="24"/>
              </w:rPr>
            </w:pPr>
            <w:r w:rsidRPr="00971FBD">
              <w:rPr>
                <w:b/>
                <w:noProof/>
              </w:rPr>
              <w:t>2018</w:t>
            </w:r>
          </w:p>
        </w:tc>
        <w:tc>
          <w:tcPr>
            <w:tcW w:w="2232" w:type="dxa"/>
          </w:tcPr>
          <w:p w:rsidR="001F2D7A" w:rsidRPr="00971FBD" w:rsidRDefault="001F2D7A" w:rsidP="001F2D7A">
            <w:pPr>
              <w:jc w:val="center"/>
              <w:rPr>
                <w:rFonts w:eastAsia="Times New Roman"/>
                <w:b/>
                <w:bCs/>
                <w:noProof/>
                <w:szCs w:val="24"/>
              </w:rPr>
            </w:pPr>
            <w:r w:rsidRPr="00971FBD">
              <w:rPr>
                <w:b/>
                <w:noProof/>
              </w:rPr>
              <w:t>33,1</w:t>
            </w:r>
          </w:p>
        </w:tc>
        <w:tc>
          <w:tcPr>
            <w:tcW w:w="2233" w:type="dxa"/>
          </w:tcPr>
          <w:p w:rsidR="001F2D7A" w:rsidRPr="00971FBD" w:rsidRDefault="001F2D7A" w:rsidP="001F2D7A">
            <w:pPr>
              <w:jc w:val="center"/>
              <w:rPr>
                <w:rFonts w:eastAsia="Times New Roman"/>
                <w:b/>
                <w:bCs/>
                <w:noProof/>
                <w:szCs w:val="24"/>
              </w:rPr>
            </w:pPr>
            <w:r w:rsidRPr="00971FBD">
              <w:rPr>
                <w:b/>
                <w:noProof/>
              </w:rPr>
              <w:t>23,5</w:t>
            </w:r>
          </w:p>
        </w:tc>
      </w:tr>
      <w:tr w:rsidR="001F2D7A" w:rsidRPr="00971FBD" w:rsidTr="001F2D7A">
        <w:trPr>
          <w:trHeight w:val="386"/>
        </w:trPr>
        <w:tc>
          <w:tcPr>
            <w:tcW w:w="2232" w:type="dxa"/>
          </w:tcPr>
          <w:p w:rsidR="001F2D7A" w:rsidRPr="00971FBD" w:rsidRDefault="001F2D7A" w:rsidP="001F2D7A">
            <w:pPr>
              <w:jc w:val="center"/>
              <w:rPr>
                <w:rFonts w:eastAsia="Times New Roman"/>
                <w:b/>
                <w:bCs/>
                <w:noProof/>
                <w:szCs w:val="24"/>
              </w:rPr>
            </w:pPr>
            <w:r w:rsidRPr="00971FBD">
              <w:rPr>
                <w:b/>
                <w:noProof/>
              </w:rPr>
              <w:t>2019</w:t>
            </w:r>
          </w:p>
        </w:tc>
        <w:tc>
          <w:tcPr>
            <w:tcW w:w="2232" w:type="dxa"/>
          </w:tcPr>
          <w:p w:rsidR="001F2D7A" w:rsidRPr="00971FBD" w:rsidRDefault="001F2D7A" w:rsidP="001F2D7A">
            <w:pPr>
              <w:jc w:val="center"/>
              <w:rPr>
                <w:rFonts w:eastAsia="Times New Roman"/>
                <w:b/>
                <w:bCs/>
                <w:noProof/>
                <w:szCs w:val="24"/>
              </w:rPr>
            </w:pPr>
            <w:r w:rsidRPr="00971FBD">
              <w:rPr>
                <w:b/>
                <w:noProof/>
              </w:rPr>
              <w:t>34,7</w:t>
            </w:r>
          </w:p>
        </w:tc>
        <w:tc>
          <w:tcPr>
            <w:tcW w:w="2233" w:type="dxa"/>
          </w:tcPr>
          <w:p w:rsidR="001F2D7A" w:rsidRPr="00971FBD" w:rsidRDefault="001F2D7A" w:rsidP="001F2D7A">
            <w:pPr>
              <w:jc w:val="center"/>
              <w:rPr>
                <w:rFonts w:eastAsia="Times New Roman"/>
                <w:b/>
                <w:bCs/>
                <w:noProof/>
                <w:szCs w:val="24"/>
              </w:rPr>
            </w:pPr>
            <w:r w:rsidRPr="00971FBD">
              <w:rPr>
                <w:b/>
                <w:noProof/>
              </w:rPr>
              <w:t>25,1</w:t>
            </w:r>
          </w:p>
        </w:tc>
      </w:tr>
      <w:tr w:rsidR="001F2D7A" w:rsidRPr="00971FBD" w:rsidTr="001F2D7A">
        <w:trPr>
          <w:trHeight w:val="393"/>
        </w:trPr>
        <w:tc>
          <w:tcPr>
            <w:tcW w:w="2232" w:type="dxa"/>
          </w:tcPr>
          <w:p w:rsidR="001F2D7A" w:rsidRPr="00971FBD" w:rsidRDefault="001F2D7A" w:rsidP="001F2D7A">
            <w:pPr>
              <w:jc w:val="center"/>
              <w:rPr>
                <w:rFonts w:eastAsia="Times New Roman"/>
                <w:b/>
                <w:bCs/>
                <w:noProof/>
                <w:szCs w:val="24"/>
              </w:rPr>
            </w:pPr>
            <w:r w:rsidRPr="00971FBD">
              <w:rPr>
                <w:b/>
                <w:noProof/>
              </w:rPr>
              <w:t>2020</w:t>
            </w:r>
          </w:p>
        </w:tc>
        <w:tc>
          <w:tcPr>
            <w:tcW w:w="2232" w:type="dxa"/>
          </w:tcPr>
          <w:p w:rsidR="001F2D7A" w:rsidRPr="00971FBD" w:rsidRDefault="001F2D7A" w:rsidP="001F2D7A">
            <w:pPr>
              <w:jc w:val="center"/>
              <w:rPr>
                <w:rFonts w:eastAsia="Times New Roman"/>
                <w:b/>
                <w:bCs/>
                <w:noProof/>
                <w:szCs w:val="24"/>
              </w:rPr>
            </w:pPr>
            <w:r w:rsidRPr="00971FBD">
              <w:rPr>
                <w:b/>
                <w:noProof/>
              </w:rPr>
              <w:t>35,3</w:t>
            </w:r>
          </w:p>
        </w:tc>
        <w:tc>
          <w:tcPr>
            <w:tcW w:w="2233" w:type="dxa"/>
          </w:tcPr>
          <w:p w:rsidR="001F2D7A" w:rsidRPr="00971FBD" w:rsidRDefault="001F2D7A" w:rsidP="001F2D7A">
            <w:pPr>
              <w:jc w:val="center"/>
              <w:rPr>
                <w:rFonts w:eastAsia="Times New Roman"/>
                <w:b/>
                <w:bCs/>
                <w:noProof/>
                <w:szCs w:val="24"/>
              </w:rPr>
            </w:pPr>
            <w:r w:rsidRPr="00971FBD">
              <w:rPr>
                <w:b/>
                <w:noProof/>
              </w:rPr>
              <w:t>25,7</w:t>
            </w:r>
          </w:p>
        </w:tc>
      </w:tr>
      <w:tr w:rsidR="001F2D7A" w:rsidRPr="00971FBD" w:rsidTr="001F2D7A">
        <w:trPr>
          <w:trHeight w:val="393"/>
        </w:trPr>
        <w:tc>
          <w:tcPr>
            <w:tcW w:w="2232" w:type="dxa"/>
          </w:tcPr>
          <w:p w:rsidR="001F2D7A" w:rsidRPr="00971FBD" w:rsidRDefault="001F2D7A" w:rsidP="001F2D7A">
            <w:pPr>
              <w:jc w:val="center"/>
              <w:rPr>
                <w:rFonts w:eastAsia="Times New Roman"/>
                <w:b/>
                <w:bCs/>
                <w:noProof/>
                <w:szCs w:val="24"/>
              </w:rPr>
            </w:pPr>
            <w:r w:rsidRPr="00971FBD">
              <w:rPr>
                <w:b/>
                <w:noProof/>
              </w:rPr>
              <w:t>2021</w:t>
            </w:r>
          </w:p>
        </w:tc>
        <w:tc>
          <w:tcPr>
            <w:tcW w:w="2232" w:type="dxa"/>
          </w:tcPr>
          <w:p w:rsidR="001F2D7A" w:rsidRPr="00971FBD" w:rsidRDefault="001F2D7A" w:rsidP="001F2D7A">
            <w:pPr>
              <w:jc w:val="center"/>
              <w:rPr>
                <w:rFonts w:eastAsia="Times New Roman"/>
                <w:b/>
                <w:bCs/>
                <w:noProof/>
                <w:szCs w:val="24"/>
              </w:rPr>
            </w:pPr>
            <w:r w:rsidRPr="00971FBD">
              <w:rPr>
                <w:b/>
                <w:noProof/>
              </w:rPr>
              <w:t>35,6</w:t>
            </w:r>
          </w:p>
        </w:tc>
        <w:tc>
          <w:tcPr>
            <w:tcW w:w="2233" w:type="dxa"/>
          </w:tcPr>
          <w:p w:rsidR="001F2D7A" w:rsidRPr="00971FBD" w:rsidRDefault="001F2D7A" w:rsidP="001F2D7A">
            <w:pPr>
              <w:jc w:val="center"/>
              <w:rPr>
                <w:rFonts w:eastAsia="Times New Roman"/>
                <w:b/>
                <w:bCs/>
                <w:noProof/>
                <w:szCs w:val="24"/>
              </w:rPr>
            </w:pPr>
            <w:r w:rsidRPr="00971FBD">
              <w:rPr>
                <w:b/>
                <w:noProof/>
              </w:rPr>
              <w:t>26,0</w:t>
            </w:r>
          </w:p>
        </w:tc>
      </w:tr>
      <w:tr w:rsidR="001F2D7A" w:rsidRPr="00971FBD" w:rsidTr="001F2D7A">
        <w:trPr>
          <w:trHeight w:val="386"/>
        </w:trPr>
        <w:tc>
          <w:tcPr>
            <w:tcW w:w="2232" w:type="dxa"/>
          </w:tcPr>
          <w:p w:rsidR="001F2D7A" w:rsidRPr="00971FBD" w:rsidRDefault="001F2D7A" w:rsidP="001F2D7A">
            <w:pPr>
              <w:jc w:val="center"/>
              <w:rPr>
                <w:rFonts w:eastAsia="Times New Roman"/>
                <w:b/>
                <w:bCs/>
                <w:noProof/>
                <w:szCs w:val="24"/>
              </w:rPr>
            </w:pPr>
            <w:r w:rsidRPr="00971FBD">
              <w:rPr>
                <w:b/>
                <w:noProof/>
              </w:rPr>
              <w:t>2022</w:t>
            </w:r>
          </w:p>
        </w:tc>
        <w:tc>
          <w:tcPr>
            <w:tcW w:w="2232" w:type="dxa"/>
          </w:tcPr>
          <w:p w:rsidR="001F2D7A" w:rsidRPr="00971FBD" w:rsidRDefault="001F2D7A" w:rsidP="001F2D7A">
            <w:pPr>
              <w:jc w:val="center"/>
              <w:rPr>
                <w:rFonts w:eastAsia="Times New Roman"/>
                <w:b/>
                <w:bCs/>
                <w:noProof/>
                <w:szCs w:val="24"/>
              </w:rPr>
            </w:pPr>
            <w:r w:rsidRPr="00971FBD">
              <w:rPr>
                <w:b/>
                <w:noProof/>
              </w:rPr>
              <w:t>36,0</w:t>
            </w:r>
          </w:p>
        </w:tc>
        <w:tc>
          <w:tcPr>
            <w:tcW w:w="2233" w:type="dxa"/>
          </w:tcPr>
          <w:p w:rsidR="001F2D7A" w:rsidRPr="00971FBD" w:rsidRDefault="001F2D7A" w:rsidP="001F2D7A">
            <w:pPr>
              <w:jc w:val="center"/>
              <w:rPr>
                <w:rFonts w:eastAsia="Times New Roman"/>
                <w:b/>
                <w:bCs/>
                <w:noProof/>
                <w:szCs w:val="24"/>
              </w:rPr>
            </w:pPr>
            <w:r w:rsidRPr="00971FBD">
              <w:rPr>
                <w:b/>
                <w:noProof/>
              </w:rPr>
              <w:t>26,4</w:t>
            </w:r>
          </w:p>
        </w:tc>
      </w:tr>
      <w:tr w:rsidR="001F2D7A" w:rsidRPr="00971FBD" w:rsidTr="001F2D7A">
        <w:trPr>
          <w:trHeight w:val="393"/>
        </w:trPr>
        <w:tc>
          <w:tcPr>
            <w:tcW w:w="2232" w:type="dxa"/>
          </w:tcPr>
          <w:p w:rsidR="001F2D7A" w:rsidRPr="00971FBD" w:rsidRDefault="001F2D7A" w:rsidP="001F2D7A">
            <w:pPr>
              <w:jc w:val="center"/>
              <w:rPr>
                <w:rFonts w:eastAsia="Times New Roman"/>
                <w:b/>
                <w:bCs/>
                <w:noProof/>
                <w:szCs w:val="24"/>
              </w:rPr>
            </w:pPr>
            <w:r w:rsidRPr="00971FBD">
              <w:rPr>
                <w:b/>
                <w:noProof/>
              </w:rPr>
              <w:t>2023</w:t>
            </w:r>
          </w:p>
        </w:tc>
        <w:tc>
          <w:tcPr>
            <w:tcW w:w="2232" w:type="dxa"/>
          </w:tcPr>
          <w:p w:rsidR="001F2D7A" w:rsidRPr="00971FBD" w:rsidRDefault="001F2D7A" w:rsidP="001F2D7A">
            <w:pPr>
              <w:jc w:val="center"/>
              <w:rPr>
                <w:rFonts w:eastAsia="Times New Roman"/>
                <w:b/>
                <w:bCs/>
                <w:noProof/>
                <w:szCs w:val="24"/>
              </w:rPr>
            </w:pPr>
            <w:r w:rsidRPr="00971FBD">
              <w:rPr>
                <w:b/>
                <w:noProof/>
              </w:rPr>
              <w:t>39,2</w:t>
            </w:r>
          </w:p>
        </w:tc>
        <w:tc>
          <w:tcPr>
            <w:tcW w:w="2233" w:type="dxa"/>
          </w:tcPr>
          <w:p w:rsidR="001F2D7A" w:rsidRPr="00971FBD" w:rsidRDefault="001F2D7A" w:rsidP="001F2D7A">
            <w:pPr>
              <w:jc w:val="center"/>
              <w:rPr>
                <w:rFonts w:eastAsia="Times New Roman"/>
                <w:b/>
                <w:bCs/>
                <w:noProof/>
                <w:szCs w:val="24"/>
              </w:rPr>
            </w:pPr>
            <w:r w:rsidRPr="00971FBD">
              <w:rPr>
                <w:b/>
                <w:noProof/>
              </w:rPr>
              <w:t>29,6</w:t>
            </w:r>
          </w:p>
        </w:tc>
      </w:tr>
    </w:tbl>
    <w:p w:rsidR="001F2D7A" w:rsidRPr="00971FBD" w:rsidRDefault="001F2D7A" w:rsidP="00331BD3">
      <w:pPr>
        <w:rPr>
          <w:rFonts w:eastAsia="Times New Roman"/>
          <w:b/>
          <w:bCs/>
          <w:noProof/>
          <w:szCs w:val="24"/>
        </w:rPr>
      </w:pPr>
    </w:p>
    <w:p w:rsidR="00331BD3" w:rsidRPr="00971FBD" w:rsidRDefault="00331BD3" w:rsidP="00331BD3">
      <w:pPr>
        <w:rPr>
          <w:rFonts w:eastAsia="Times New Roman"/>
          <w:noProof/>
          <w:szCs w:val="24"/>
        </w:rPr>
      </w:pPr>
      <w:r w:rsidRPr="00971FBD">
        <w:rPr>
          <w:noProof/>
        </w:rPr>
        <w:t xml:space="preserve">Para ilustrar o impacto da redução fiscal, as autoridades suecas explicaram que esta corresponde a 6 % do custo total anual calculado da eletricidade para uma pequena habitação média com aquecimento elétrico no norte da Suécia. Este valor representa uma poupança média anual de 210 EUR por agregado familiar numa fatura de eletricidade de consumo de 3 363 EUR. A parte da redução no custo total varia em função do nível do preço retalhista da eletricidade. As autoridades suecas referiram igualmente que, uma vez que 2022 foi, em média, um ano com preços relativamente elevados, a parte da redução fiscal em percentagem do custo total da eletricidade durante esse ano tinha sido comparativamente baixa. </w:t>
      </w:r>
    </w:p>
    <w:p w:rsidR="0033593A" w:rsidRPr="00971FBD" w:rsidRDefault="0033593A" w:rsidP="00BF4283">
      <w:pPr>
        <w:rPr>
          <w:rFonts w:eastAsia="Times New Roman"/>
          <w:noProof/>
          <w:szCs w:val="24"/>
        </w:rPr>
      </w:pPr>
      <w:r w:rsidRPr="00971FBD">
        <w:rPr>
          <w:noProof/>
        </w:rPr>
        <w:t>As autoridades suecas acrescentaram ainda que a Suécia não aplica isenções ou reduções do nível de tributação da eletricidade na aceção do artigo 15.º, n.º 1, alínea h), da Diretiva.</w:t>
      </w:r>
    </w:p>
    <w:p w:rsidR="00BF4283" w:rsidRPr="00971FBD" w:rsidRDefault="00BF4283" w:rsidP="00BF4283">
      <w:pPr>
        <w:rPr>
          <w:rFonts w:eastAsia="Times New Roman"/>
          <w:noProof/>
          <w:szCs w:val="24"/>
        </w:rPr>
      </w:pPr>
      <w:r w:rsidRPr="00971FBD">
        <w:rPr>
          <w:noProof/>
        </w:rPr>
        <w:lastRenderedPageBreak/>
        <w:t>A Suécia estima que a perda de receitas fiscais resultante da redução de 96 SEK por MWh ascenda a 760 milhões de SEK (cerca de 70 milhões de EUR) por ano para o período de 2024</w:t>
      </w:r>
      <w:r w:rsidR="00971FBD">
        <w:rPr>
          <w:noProof/>
        </w:rPr>
        <w:noBreakHyphen/>
      </w:r>
      <w:r w:rsidRPr="00971FBD">
        <w:rPr>
          <w:noProof/>
        </w:rPr>
        <w:t>2027 objeto do pedido.</w:t>
      </w:r>
    </w:p>
    <w:p w:rsidR="007C3433" w:rsidRPr="00971FBD" w:rsidRDefault="007C3433" w:rsidP="00BF4283">
      <w:pPr>
        <w:rPr>
          <w:rFonts w:eastAsia="Times New Roman"/>
          <w:noProof/>
          <w:szCs w:val="24"/>
        </w:rPr>
      </w:pPr>
    </w:p>
    <w:p w:rsidR="00BF4283" w:rsidRPr="00971FBD" w:rsidRDefault="00BF4283" w:rsidP="005645E4">
      <w:pPr>
        <w:pStyle w:val="Point0"/>
        <w:rPr>
          <w:i/>
          <w:noProof/>
        </w:rPr>
      </w:pPr>
      <w:r>
        <w:rPr>
          <w:noProof/>
        </w:rPr>
        <w:t>(1)</w:t>
      </w:r>
      <w:r>
        <w:rPr>
          <w:noProof/>
        </w:rPr>
        <w:tab/>
      </w:r>
      <w:r w:rsidRPr="00971FBD">
        <w:rPr>
          <w:i/>
          <w:noProof/>
        </w:rPr>
        <w:t>Funcionamento da medida</w:t>
      </w:r>
    </w:p>
    <w:p w:rsidR="00BF4283" w:rsidRPr="00971FBD" w:rsidRDefault="00BF4283" w:rsidP="00BF4283">
      <w:pPr>
        <w:rPr>
          <w:rFonts w:eastAsia="Times New Roman"/>
          <w:noProof/>
          <w:szCs w:val="24"/>
        </w:rPr>
      </w:pPr>
      <w:r w:rsidRPr="00971FBD">
        <w:rPr>
          <w:noProof/>
        </w:rPr>
        <w:t xml:space="preserve">A medida é concedida sob a forma de uma taxa reduzida do imposto especial sobre a eletricidade. Esta redução é diretamente aplicável no momento em que o imposto é cobrado. </w:t>
      </w:r>
    </w:p>
    <w:p w:rsidR="00017314" w:rsidRPr="00971FBD" w:rsidRDefault="00017314" w:rsidP="00BF4283">
      <w:pPr>
        <w:rPr>
          <w:rFonts w:eastAsia="Times New Roman"/>
          <w:noProof/>
          <w:szCs w:val="24"/>
        </w:rPr>
      </w:pPr>
      <w:r w:rsidRPr="00971FBD">
        <w:rPr>
          <w:noProof/>
        </w:rPr>
        <w:t xml:space="preserve">A este respeito, a Suécia sublinhou que, mesmo após a redução fiscal, as taxas mínimas de imposto previstas na Diretiva são respeitadas, uma vez que a carga fiscal é cerca de 70 vezes superior às taxas mínimas de tributação no que respeita à utilização profissional (tal como estabelecido no anexo I da Diretiva) e cerca de 35 vezes superiores às taxas mínimas de tributação para a utilização não profissional, de acordo com o mesmo anexo da Diretiva. </w:t>
      </w:r>
    </w:p>
    <w:p w:rsidR="00BF4283" w:rsidRPr="00971FBD" w:rsidRDefault="00BF4283" w:rsidP="00BF4283">
      <w:pPr>
        <w:pStyle w:val="Point0"/>
        <w:rPr>
          <w:i/>
          <w:noProof/>
        </w:rPr>
      </w:pPr>
      <w:r>
        <w:rPr>
          <w:noProof/>
        </w:rPr>
        <w:t>(2)</w:t>
      </w:r>
      <w:r>
        <w:rPr>
          <w:noProof/>
        </w:rPr>
        <w:tab/>
      </w:r>
      <w:r w:rsidRPr="00971FBD">
        <w:rPr>
          <w:i/>
          <w:noProof/>
        </w:rPr>
        <w:t>Âmbito de aplicação</w:t>
      </w:r>
    </w:p>
    <w:p w:rsidR="00A023B8" w:rsidRPr="00971FBD" w:rsidRDefault="00A023B8" w:rsidP="00BF4283">
      <w:pPr>
        <w:rPr>
          <w:rStyle w:val="Bodytext2"/>
          <w:noProof/>
          <w:color w:val="000000"/>
        </w:rPr>
      </w:pPr>
      <w:r w:rsidRPr="00971FBD">
        <w:rPr>
          <w:rStyle w:val="Bodytext2"/>
          <w:noProof/>
          <w:color w:val="000000"/>
        </w:rPr>
        <w:t>O imposto especial de consumo sobre a eletricidade foi introduzido na Suécia em 1951. As famílias e as empresas do setor dos serviços pagam, de modo geral, a taxa normal sobre a eletricidade de 392 SEK por MWh (recalculada todos os anos). O consumo de eletricidade i)</w:t>
      </w:r>
      <w:r w:rsidR="00971FBD">
        <w:rPr>
          <w:rStyle w:val="Bodytext2"/>
          <w:noProof/>
          <w:color w:val="000000"/>
        </w:rPr>
        <w:t> </w:t>
      </w:r>
      <w:r w:rsidRPr="00971FBD">
        <w:rPr>
          <w:rStyle w:val="Bodytext2"/>
          <w:noProof/>
          <w:color w:val="000000"/>
        </w:rPr>
        <w:t>na indústria transformadora e da agricultura comercial, ii) nas atividades profissionais agrícolas, silvícolas ou aquícolas, iii) enquanto eletricidade da rede de terra ou iv) em comboios ou outros meios de transporte ferroviários (ou para o funcionamento do motor ou o aquecimento em ligação imediata com esse consumo) é tributada a uma taxa inferior, em conformidade com as taxas mínimas estabelecidas na Diretiva.</w:t>
      </w:r>
    </w:p>
    <w:p w:rsidR="00BF4283" w:rsidRPr="00971FBD" w:rsidRDefault="00BF4283" w:rsidP="00BF4283">
      <w:pPr>
        <w:rPr>
          <w:rFonts w:eastAsia="Times New Roman"/>
          <w:noProof/>
          <w:szCs w:val="24"/>
        </w:rPr>
      </w:pPr>
      <w:r w:rsidRPr="00971FBD">
        <w:rPr>
          <w:rStyle w:val="Bodytext2"/>
          <w:noProof/>
          <w:color w:val="000000"/>
        </w:rPr>
        <w:t>As autoridades suecas declararam que a diferenciação geográfica foi introduzida em 1 de julho de 1981 com base em dados objetivos relativos às temperaturas médias durante o período de aquecimento. Neste contexto, uma taxa reduzida do imposto especial de consumo sobre a eletricidade</w:t>
      </w:r>
      <w:r w:rsidR="00B379C4" w:rsidRPr="00971FBD">
        <w:rPr>
          <w:rStyle w:val="FootnoteReference"/>
          <w:noProof/>
          <w:color w:val="000000"/>
        </w:rPr>
        <w:footnoteReference w:id="6"/>
      </w:r>
      <w:r w:rsidRPr="00971FBD">
        <w:rPr>
          <w:rStyle w:val="Bodytext2"/>
          <w:noProof/>
          <w:color w:val="000000"/>
        </w:rPr>
        <w:t xml:space="preserve"> é aplicável em todos os municípios dos distritos de Norrbotten, Västerbotten e Jämtland, e nos municípios de Sollefteå, Ånge, Örnsköldsvik (no distrito de Västernorrland), Ljusdal (no distrito de Gävleborg), Malung-Sälen, Mora, Orsa, Älvdalen (no distrito de Dalarna) e Torsby (no distrito de Värmland).</w:t>
      </w:r>
      <w:r w:rsidRPr="00971FBD">
        <w:rPr>
          <w:noProof/>
        </w:rPr>
        <w:t xml:space="preserve"> Esta medida está limitada às famílias e empresas do setor dos serviços às quais se aplica uma taxa normal do imposto especial sobre a eletricidade (mais de 10 000 beneficiários).</w:t>
      </w:r>
    </w:p>
    <w:p w:rsidR="00BF4283" w:rsidRPr="00971FBD" w:rsidRDefault="00BF4283" w:rsidP="00BF4283">
      <w:pPr>
        <w:pBdr>
          <w:top w:val="nil"/>
          <w:left w:val="nil"/>
          <w:bottom w:val="nil"/>
          <w:right w:val="nil"/>
          <w:between w:val="nil"/>
          <w:bar w:val="nil"/>
        </w:pBdr>
        <w:spacing w:before="0" w:after="240"/>
        <w:rPr>
          <w:rStyle w:val="Bodytext2"/>
          <w:noProof/>
          <w:color w:val="000000"/>
        </w:rPr>
      </w:pPr>
      <w:r w:rsidRPr="00971FBD">
        <w:rPr>
          <w:rStyle w:val="Bodytext2"/>
          <w:noProof/>
          <w:color w:val="000000"/>
        </w:rPr>
        <w:t>Por conseguinte, a medida confere aos grupos de consumidores de eletricidade nessas partes do país as mesmas condições de que gozam os mesmos grupos de consumidores no sul da Suécia.</w:t>
      </w:r>
    </w:p>
    <w:p w:rsidR="00BF4283" w:rsidRPr="00971FBD" w:rsidRDefault="00BF4283" w:rsidP="00BF4283">
      <w:pPr>
        <w:pStyle w:val="Point0"/>
        <w:rPr>
          <w:i/>
          <w:noProof/>
        </w:rPr>
      </w:pPr>
      <w:r>
        <w:rPr>
          <w:noProof/>
        </w:rPr>
        <w:t>(3)</w:t>
      </w:r>
      <w:r>
        <w:rPr>
          <w:noProof/>
        </w:rPr>
        <w:tab/>
      </w:r>
      <w:r w:rsidRPr="00971FBD">
        <w:rPr>
          <w:i/>
          <w:noProof/>
        </w:rPr>
        <w:t>Argumentos das autoridades suecas referentes ao impacto da medida no mercado interno</w:t>
      </w:r>
    </w:p>
    <w:p w:rsidR="00BF4283" w:rsidRPr="00971FBD" w:rsidRDefault="00BF4283" w:rsidP="00BF4283">
      <w:pPr>
        <w:rPr>
          <w:rFonts w:eastAsia="Times New Roman"/>
          <w:noProof/>
          <w:szCs w:val="24"/>
        </w:rPr>
      </w:pPr>
      <w:r w:rsidRPr="00971FBD">
        <w:rPr>
          <w:noProof/>
        </w:rPr>
        <w:t>As autoridades suecas consideram que a medida não afetará o bom funcionamento do mercado interno. Consideram que, embora a medida possa ter um efeito sobre as trocas comerciais entre os Estados-Membros, ao reduzir os custos das empresas do setor dos serviços em determinadas zonas do norte da Suécia, esse efeito será limitado, uma vez que a maior parte das empresas deste setor opera normalmente no interior de uma área geográfica limitada.</w:t>
      </w:r>
    </w:p>
    <w:p w:rsidR="00697C57" w:rsidRPr="00971FBD" w:rsidRDefault="00697C57" w:rsidP="00BF4283">
      <w:pPr>
        <w:rPr>
          <w:rFonts w:eastAsia="Arial Unicode MS"/>
          <w:noProof/>
          <w:color w:val="000000"/>
          <w:u w:color="000000"/>
          <w:bdr w:val="nil"/>
          <w:lang w:eastAsia="en-GB"/>
        </w:rPr>
      </w:pPr>
    </w:p>
    <w:p w:rsidR="00FB0094" w:rsidRPr="00971FBD" w:rsidRDefault="00FB0094" w:rsidP="00044058">
      <w:pPr>
        <w:pStyle w:val="ManualHeading2"/>
        <w:rPr>
          <w:rFonts w:eastAsia="Arial Unicode MS"/>
          <w:noProof/>
          <w:color w:val="000000"/>
          <w:u w:color="000000"/>
          <w:bdr w:val="nil"/>
        </w:rPr>
      </w:pPr>
      <w:r w:rsidRPr="00971FBD">
        <w:rPr>
          <w:noProof/>
          <w:color w:val="000000"/>
          <w:u w:color="000000"/>
          <w:bdr w:val="nil"/>
        </w:rPr>
        <w:lastRenderedPageBreak/>
        <w:t>•</w:t>
      </w:r>
      <w:r w:rsidRPr="00971FBD">
        <w:rPr>
          <w:noProof/>
          <w:color w:val="000000"/>
          <w:u w:color="000000"/>
          <w:bdr w:val="nil"/>
        </w:rPr>
        <w:tab/>
      </w:r>
      <w:r w:rsidRPr="00971FBD">
        <w:rPr>
          <w:noProof/>
        </w:rPr>
        <w:t>Coerência com as disposições existentes da mesma política setorial</w:t>
      </w:r>
    </w:p>
    <w:p w:rsidR="0096160B" w:rsidRPr="00971FBD" w:rsidRDefault="0096160B" w:rsidP="0096160B">
      <w:pPr>
        <w:pBdr>
          <w:top w:val="nil"/>
          <w:left w:val="nil"/>
          <w:bottom w:val="nil"/>
          <w:right w:val="nil"/>
          <w:between w:val="nil"/>
          <w:bar w:val="nil"/>
        </w:pBdr>
        <w:spacing w:before="0" w:after="240"/>
        <w:rPr>
          <w:noProof/>
        </w:rPr>
      </w:pPr>
      <w:r w:rsidRPr="00971FBD">
        <w:rPr>
          <w:noProof/>
        </w:rPr>
        <w:t xml:space="preserve">O artigo 19.º, n.º 1, primeiro parágrafo, da Diretiva dispõe o seguinte: </w:t>
      </w:r>
    </w:p>
    <w:p w:rsidR="0096160B" w:rsidRPr="00971FBD" w:rsidRDefault="0096160B" w:rsidP="0096160B">
      <w:pPr>
        <w:pBdr>
          <w:top w:val="nil"/>
          <w:left w:val="nil"/>
          <w:bottom w:val="nil"/>
          <w:right w:val="nil"/>
          <w:between w:val="nil"/>
          <w:bar w:val="nil"/>
        </w:pBdr>
        <w:spacing w:before="0" w:after="240"/>
        <w:rPr>
          <w:noProof/>
        </w:rPr>
      </w:pPr>
      <w:r w:rsidRPr="00971FBD">
        <w:rPr>
          <w:noProof/>
        </w:rPr>
        <w:t>«Para além do disposto nos artigos anteriores, nomeadamente nos artigos 5.º, 15.º e 17.º, o Conselho, deliberando por unanimidade sob proposta da Comissão, pode autorizar qualquer Estado-Membro a introduzir outras isenções ou reduções por motivos relacionados com políticas específicas».</w:t>
      </w:r>
    </w:p>
    <w:p w:rsidR="0096160B" w:rsidRPr="00971FBD" w:rsidRDefault="0096160B" w:rsidP="0096160B">
      <w:pPr>
        <w:rPr>
          <w:rFonts w:eastAsia="Times New Roman"/>
          <w:noProof/>
          <w:szCs w:val="24"/>
        </w:rPr>
      </w:pPr>
      <w:r w:rsidRPr="00971FBD">
        <w:rPr>
          <w:noProof/>
        </w:rPr>
        <w:t xml:space="preserve">A medida prevista pela Suécia consiste em reduzir a taxa normal do imposto especial sobre a eletricidade consumida por famílias e empresas do setor dos serviços em determinadas zonas do norte da Suécia. </w:t>
      </w:r>
    </w:p>
    <w:p w:rsidR="0096160B" w:rsidRPr="00971FBD" w:rsidRDefault="0096160B" w:rsidP="0096160B">
      <w:pPr>
        <w:rPr>
          <w:rFonts w:eastAsia="Times New Roman"/>
          <w:noProof/>
          <w:szCs w:val="24"/>
        </w:rPr>
      </w:pPr>
      <w:r w:rsidRPr="00971FBD">
        <w:rPr>
          <w:noProof/>
        </w:rPr>
        <w:t xml:space="preserve">As autoridades suecas salientam dois objetivos desta medida. </w:t>
      </w:r>
    </w:p>
    <w:p w:rsidR="0096160B" w:rsidRPr="00971FBD" w:rsidRDefault="0096160B" w:rsidP="0096160B">
      <w:pPr>
        <w:rPr>
          <w:rFonts w:eastAsia="Times New Roman"/>
          <w:noProof/>
          <w:szCs w:val="24"/>
        </w:rPr>
      </w:pPr>
      <w:r w:rsidRPr="00971FBD">
        <w:rPr>
          <w:noProof/>
        </w:rPr>
        <w:t>Em primeiro lugar, referem que a taxa reduzida do imposto especial de consumo tem um efeito positivo indireto no ambiente, permitindo à Suécia aplicar uma taxa de tributação mais elevada no resto do país que, de outro modo, teria de ser reduzida, devido ao caso especial do norte da Suécia. A este respeito, importa salientar que as exigências relativas à proteção do ambiente são já, enquanto tais, uma parte integrante da Diretiva 2003/96/CE</w:t>
      </w:r>
      <w:r w:rsidRPr="00971FBD">
        <w:rPr>
          <w:rStyle w:val="FootnoteReference"/>
          <w:noProof/>
        </w:rPr>
        <w:footnoteReference w:id="7"/>
      </w:r>
      <w:r w:rsidRPr="00971FBD">
        <w:rPr>
          <w:noProof/>
        </w:rPr>
        <w:t>, pelo que não podem ser consideradas como motivos relacionados com políticas específicas. No entanto, a Diretiva não permite, de um modo geral, abordar as necessidades específicas das regiões com condições climáticas muito particulares. Nesse contexto, o objetivo de contribuir para a manutenção de um nível relativamente elevado de tributação, evitando, através de uma taxa reduzida, encargos de outro modo excessivos em regiões sujeitas a tais condições pode, por conseguinte, ser considerada como um motivo relacionado com uma política específica.</w:t>
      </w:r>
    </w:p>
    <w:p w:rsidR="0096160B" w:rsidRPr="00971FBD" w:rsidRDefault="0096160B" w:rsidP="0096160B">
      <w:pPr>
        <w:rPr>
          <w:rFonts w:eastAsia="Times New Roman"/>
          <w:noProof/>
          <w:szCs w:val="24"/>
        </w:rPr>
      </w:pPr>
      <w:r w:rsidRPr="00971FBD">
        <w:rPr>
          <w:noProof/>
        </w:rPr>
        <w:t>Em segundo lugar, as autoridades suecas consideram que a redução permitirá que as despesas gerais de aquecimento para os consumidores em determinadas zonas do norte da Suécia fiquem mais próximas dos custos suportados pelos consumidores noutras partes do país, o que responde a objetivos de política regional e de coesão. Por este motivo, a autorização solicitada pode ser considerada como baseada em motivos relacionados com políticas específicas.</w:t>
      </w:r>
    </w:p>
    <w:p w:rsidR="00924912" w:rsidRPr="00971FBD" w:rsidRDefault="00924912" w:rsidP="0096160B">
      <w:pPr>
        <w:rPr>
          <w:rFonts w:eastAsia="Times New Roman"/>
          <w:noProof/>
          <w:szCs w:val="24"/>
        </w:rPr>
      </w:pPr>
    </w:p>
    <w:p w:rsidR="00043CD4" w:rsidRPr="00971FBD" w:rsidRDefault="00043CD4" w:rsidP="0096160B">
      <w:pPr>
        <w:rPr>
          <w:rFonts w:eastAsia="Times New Roman"/>
          <w:i/>
          <w:iCs/>
          <w:noProof/>
          <w:szCs w:val="24"/>
        </w:rPr>
      </w:pPr>
      <w:r w:rsidRPr="00971FBD">
        <w:rPr>
          <w:i/>
          <w:noProof/>
        </w:rPr>
        <w:t>Regras relativas aos auxílios estatais</w:t>
      </w:r>
    </w:p>
    <w:p w:rsidR="00043CD4" w:rsidRPr="00971FBD" w:rsidRDefault="00043CD4" w:rsidP="00043CD4">
      <w:pPr>
        <w:rPr>
          <w:rFonts w:eastAsia="Arial Unicode MS"/>
          <w:noProof/>
        </w:rPr>
      </w:pPr>
      <w:r w:rsidRPr="00971FBD">
        <w:rPr>
          <w:noProof/>
        </w:rPr>
        <w:t>A redução fiscal temporária prevista pelas autoridades suecas respeita os níveis mínimos de tributação estabelecidos no artigo 10.º da Diretiva.</w:t>
      </w:r>
    </w:p>
    <w:p w:rsidR="009C4609" w:rsidRPr="00971FBD" w:rsidRDefault="009C4609" w:rsidP="009C4609">
      <w:pPr>
        <w:rPr>
          <w:rFonts w:eastAsia="Arial Unicode MS"/>
          <w:noProof/>
          <w:color w:val="000000"/>
          <w:u w:color="000000"/>
          <w:bdr w:val="nil"/>
        </w:rPr>
      </w:pPr>
      <w:r w:rsidRPr="00971FBD">
        <w:rPr>
          <w:noProof/>
        </w:rPr>
        <w:t>A presente proposta não prejudica qualquer apreciação da medida sueca no âmbito das regras em matéria de auxílios estatais. Além disso, a proposta de decisão de execução do Conselho não prejudica a obrigação que incumbe aos Estados-Membros de assegurarem a conformidade com as regras em matéria de auxílios estatais.</w:t>
      </w:r>
    </w:p>
    <w:p w:rsidR="00AC24F0" w:rsidRPr="00971FBD" w:rsidRDefault="00AC24F0" w:rsidP="0096160B">
      <w:pPr>
        <w:pBdr>
          <w:top w:val="nil"/>
          <w:left w:val="nil"/>
          <w:bottom w:val="nil"/>
          <w:right w:val="nil"/>
          <w:between w:val="nil"/>
          <w:bar w:val="nil"/>
        </w:pBdr>
        <w:spacing w:before="0" w:after="240"/>
        <w:rPr>
          <w:rFonts w:eastAsia="Arial Unicode MS"/>
          <w:noProof/>
          <w:color w:val="000000"/>
          <w:u w:color="000000"/>
          <w:bdr w:val="nil"/>
          <w:lang w:eastAsia="en-GB"/>
        </w:rPr>
      </w:pPr>
    </w:p>
    <w:p w:rsidR="00FB0094" w:rsidRPr="00971FBD" w:rsidRDefault="00FB0094" w:rsidP="0096160B">
      <w:pPr>
        <w:pBdr>
          <w:top w:val="nil"/>
          <w:left w:val="nil"/>
          <w:bottom w:val="nil"/>
          <w:right w:val="nil"/>
          <w:between w:val="nil"/>
          <w:bar w:val="nil"/>
        </w:pBdr>
        <w:spacing w:before="0" w:after="240"/>
        <w:rPr>
          <w:rFonts w:eastAsia="Arial Unicode MS"/>
          <w:noProof/>
        </w:rPr>
      </w:pPr>
      <w:r w:rsidRPr="00971FBD">
        <w:rPr>
          <w:noProof/>
          <w:color w:val="000000"/>
          <w:u w:color="000000"/>
          <w:bdr w:val="nil"/>
        </w:rPr>
        <w:t>•</w:t>
      </w:r>
      <w:r w:rsidRPr="00971FBD">
        <w:rPr>
          <w:noProof/>
          <w:color w:val="000000"/>
          <w:u w:color="000000"/>
          <w:bdr w:val="nil"/>
        </w:rPr>
        <w:tab/>
      </w:r>
      <w:r w:rsidRPr="00971FBD">
        <w:rPr>
          <w:b/>
          <w:noProof/>
        </w:rPr>
        <w:t>Coerência com outras políticas da União</w:t>
      </w:r>
    </w:p>
    <w:p w:rsidR="00B216E7" w:rsidRPr="00971FBD" w:rsidRDefault="00B216E7" w:rsidP="00B216E7">
      <w:pPr>
        <w:pBdr>
          <w:top w:val="nil"/>
          <w:left w:val="nil"/>
          <w:bottom w:val="nil"/>
          <w:right w:val="nil"/>
          <w:between w:val="nil"/>
          <w:bar w:val="nil"/>
        </w:pBdr>
        <w:spacing w:before="0" w:after="240"/>
        <w:rPr>
          <w:noProof/>
        </w:rPr>
      </w:pPr>
      <w:r w:rsidRPr="00971FBD">
        <w:rPr>
          <w:noProof/>
        </w:rPr>
        <w:t>Os pedidos de derrogação ao abrigo do artigo 19.º da Diretiva Tributação da Energia devem ser examinados pela Comissão, tendo em vista o bom funcionamento do mercado interno, a necessidade de garantir a concorrência leal e as políticas da UE nos domínios da saúde, do ambiente, da energia e dos transportes.</w:t>
      </w:r>
    </w:p>
    <w:p w:rsidR="0096160B" w:rsidRPr="00971FBD" w:rsidRDefault="0096160B" w:rsidP="0096160B">
      <w:pPr>
        <w:rPr>
          <w:rFonts w:eastAsia="Times New Roman"/>
          <w:noProof/>
          <w:szCs w:val="24"/>
        </w:rPr>
      </w:pPr>
      <w:r w:rsidRPr="00971FBD">
        <w:rPr>
          <w:noProof/>
        </w:rPr>
        <w:lastRenderedPageBreak/>
        <w:t>A taxa normal do imposto especial de consumo sobre a eletricidade aplicável às famílias e às empresas do setor dos serviços na Suécia é de 392 SEK por MWh</w:t>
      </w:r>
      <w:r w:rsidRPr="00971FBD">
        <w:rPr>
          <w:rStyle w:val="FootnoteReference"/>
          <w:noProof/>
        </w:rPr>
        <w:footnoteReference w:id="8"/>
      </w:r>
      <w:r w:rsidRPr="00971FBD">
        <w:rPr>
          <w:noProof/>
        </w:rPr>
        <w:t>. Com a redução proposta, a taxa aplicável em certas zonas do norte da Suécia passa a ser, pelo menos, de 296 SEK por MWh. Uma vez que os níveis de tributação da eletricidade são muito superiores aos níveis mínimos, tanto no norte da Suécia como no resto do país, pode presumir-se que a redução fiscal em questão poderia contribuir indiretamente para a consecução de um nível geral de proteção do ambiente mais elevado, conforme explicado pelas autoridades suecas.</w:t>
      </w:r>
    </w:p>
    <w:p w:rsidR="0096160B" w:rsidRPr="00971FBD" w:rsidRDefault="0096160B" w:rsidP="0096160B">
      <w:pPr>
        <w:rPr>
          <w:rFonts w:eastAsia="Times New Roman"/>
          <w:noProof/>
          <w:szCs w:val="24"/>
        </w:rPr>
      </w:pPr>
      <w:r w:rsidRPr="00971FBD">
        <w:rPr>
          <w:noProof/>
        </w:rPr>
        <w:t xml:space="preserve">Neste contexto, o objetivo da medida é compensar parcialmente os custos de aquecimento mais elevados nas zonas onde a taxa reduzida do imposto especial de consumo é aplicável. De acordo com as autoridades suecas, as condições climáticas nessas zonas dão origem a um consumo de eletricidade que é, em média, superior ao do resto do país, devido principalmente a um período de aquecimento mais longo. </w:t>
      </w:r>
    </w:p>
    <w:p w:rsidR="0096160B" w:rsidRPr="00971FBD" w:rsidRDefault="00640032" w:rsidP="0096160B">
      <w:pPr>
        <w:rPr>
          <w:rFonts w:eastAsia="Times New Roman"/>
          <w:noProof/>
          <w:szCs w:val="24"/>
        </w:rPr>
      </w:pPr>
      <w:r w:rsidRPr="00971FBD">
        <w:rPr>
          <w:noProof/>
        </w:rPr>
        <w:t xml:space="preserve">A Suécia considera que a medida é compatível com as políticas em matéria de saúde, ambiente, energia e transportes da União. </w:t>
      </w:r>
    </w:p>
    <w:p w:rsidR="0033129A" w:rsidRPr="00971FBD" w:rsidRDefault="0085520B" w:rsidP="0096160B">
      <w:pPr>
        <w:rPr>
          <w:rFonts w:eastAsia="Times New Roman"/>
          <w:noProof/>
          <w:szCs w:val="24"/>
        </w:rPr>
      </w:pPr>
      <w:r w:rsidRPr="00971FBD">
        <w:rPr>
          <w:noProof/>
        </w:rPr>
        <w:t xml:space="preserve">Segundo a Suécia, nas circunstâncias descritas, a medida também parece não prejudicar o bom funcionamento do mercado interno e a necessidade de garantir a concorrência leal. Em especial, devido à natureza isolada das zonas a que se aplica e ao facto de se limitar às famílias e às empresas do setor dos serviços, as autoridades suecas não esperam que conduza a distorções significativas da concorrência ou a alterações dos padrões comerciais entre os Estados-Membros. </w:t>
      </w:r>
    </w:p>
    <w:p w:rsidR="0096160B" w:rsidRPr="00971FBD" w:rsidRDefault="0096160B" w:rsidP="0096160B">
      <w:pPr>
        <w:rPr>
          <w:rFonts w:eastAsia="Times New Roman"/>
          <w:noProof/>
          <w:szCs w:val="24"/>
        </w:rPr>
      </w:pPr>
      <w:r w:rsidRPr="00971FBD">
        <w:rPr>
          <w:noProof/>
        </w:rPr>
        <w:t>Por último, a Suécia recordou que tem estado em vigor, nos últimos 30 anos, uma redução fiscal para as zonas em questão, sem que isso tenha dado origem, tanto quanto é do conhecimento da Comissão, a quaisquer problemas relativos ao bom funcionamento do mercado interno ou a outros objetivos da política da UE.</w:t>
      </w:r>
    </w:p>
    <w:p w:rsidR="009C4609" w:rsidRPr="00971FBD" w:rsidRDefault="009C4609" w:rsidP="0096160B">
      <w:pPr>
        <w:rPr>
          <w:rFonts w:eastAsia="Times New Roman"/>
          <w:noProof/>
          <w:szCs w:val="24"/>
        </w:rPr>
      </w:pPr>
    </w:p>
    <w:p w:rsidR="0096160B" w:rsidRPr="00971FBD" w:rsidRDefault="0096160B" w:rsidP="0096160B">
      <w:pPr>
        <w:pStyle w:val="Point0"/>
        <w:rPr>
          <w:i/>
          <w:noProof/>
        </w:rPr>
      </w:pPr>
      <w:r>
        <w:rPr>
          <w:noProof/>
        </w:rPr>
        <w:t>(4)</w:t>
      </w:r>
      <w:r>
        <w:rPr>
          <w:noProof/>
        </w:rPr>
        <w:tab/>
      </w:r>
      <w:r w:rsidRPr="00971FBD">
        <w:rPr>
          <w:i/>
          <w:noProof/>
        </w:rPr>
        <w:t>Período de aplicação da medida e desenvolvimento do quadro da UE em matéria de tributação da energia</w:t>
      </w:r>
    </w:p>
    <w:p w:rsidR="00973648" w:rsidRPr="00971FBD" w:rsidRDefault="0096160B" w:rsidP="0096160B">
      <w:pPr>
        <w:rPr>
          <w:rFonts w:eastAsia="Times New Roman"/>
          <w:noProof/>
          <w:szCs w:val="24"/>
        </w:rPr>
      </w:pPr>
      <w:r w:rsidRPr="00971FBD">
        <w:rPr>
          <w:noProof/>
        </w:rPr>
        <w:t>A Comissão considera que o período de aplicação (quatro anos) respeita o prazo permitido pela Diretiva 2003/96/CE. Este período afigura-se adequado, a fim de dar aos consumidores em causa um grau suficiente de certeza.</w:t>
      </w:r>
    </w:p>
    <w:p w:rsidR="00B216E7" w:rsidRPr="00971FBD" w:rsidRDefault="00973648" w:rsidP="0096160B">
      <w:pPr>
        <w:rPr>
          <w:rFonts w:eastAsia="Times New Roman"/>
          <w:noProof/>
          <w:szCs w:val="24"/>
        </w:rPr>
      </w:pPr>
      <w:r w:rsidRPr="00971FBD">
        <w:rPr>
          <w:noProof/>
        </w:rPr>
        <w:t>A medida solicitada segue igualmente as instruções da Comissão decorrentes da Comunicação REPowerEU</w:t>
      </w:r>
      <w:r w:rsidR="00B216E7" w:rsidRPr="00971FBD">
        <w:rPr>
          <w:rStyle w:val="FootnoteReference"/>
          <w:noProof/>
        </w:rPr>
        <w:footnoteReference w:id="9"/>
      </w:r>
      <w:r w:rsidRPr="00971FBD">
        <w:rPr>
          <w:noProof/>
        </w:rPr>
        <w:t xml:space="preserve">, que sublinha que, embora centrando-se nos agregados familiares e nas empresas vulneráveis, os Estados-Membros são convidados a adotar medidas que incentivem a poupança de energia e reduzam o consumo de combustíveis fósseis. Tendo em conta a sua duração, bem como as circunstâncias geográficas e climáticas, a derrogação solicitada é considerada adequada e proporcionada. A medida tem igualmente em conta a necessidade de </w:t>
      </w:r>
      <w:r w:rsidRPr="00971FBD">
        <w:rPr>
          <w:noProof/>
        </w:rPr>
        <w:lastRenderedPageBreak/>
        <w:t xml:space="preserve">encontrar um equilíbrio entre os objetivos políticos específicos enumerados no artigo 19.º da Diretiva Tributação da Energia, nomeadamente a política ambiental da UE e a necessidade de assegurar a acessibilidade dos preços da energia para as empresas e os agregados familiares situados nas zonas em causa da Suécia. </w:t>
      </w:r>
    </w:p>
    <w:p w:rsidR="00FB0094" w:rsidRPr="00971FBD" w:rsidRDefault="00FB0094" w:rsidP="00550536">
      <w:pPr>
        <w:pStyle w:val="ManualHeading1"/>
        <w:rPr>
          <w:noProof/>
        </w:rPr>
      </w:pPr>
      <w:r w:rsidRPr="00971FBD">
        <w:rPr>
          <w:noProof/>
        </w:rPr>
        <w:t>2.</w:t>
      </w:r>
      <w:r w:rsidRPr="00971FBD">
        <w:rPr>
          <w:noProof/>
        </w:rPr>
        <w:tab/>
        <w:t>BASE JURÍDICA, SUBSIDIARIEDADE E PROPORCIONALIDADE</w:t>
      </w:r>
    </w:p>
    <w:p w:rsidR="00FB0094" w:rsidRPr="00971FBD" w:rsidRDefault="00FB0094" w:rsidP="00A4693B">
      <w:pPr>
        <w:pStyle w:val="ManualHeading2"/>
        <w:rPr>
          <w:rFonts w:eastAsia="Arial Unicode MS"/>
          <w:noProof/>
          <w:u w:color="000000"/>
          <w:bdr w:val="nil"/>
        </w:rPr>
      </w:pPr>
      <w:r w:rsidRPr="00971FBD">
        <w:rPr>
          <w:noProof/>
          <w:u w:color="000000"/>
          <w:bdr w:val="nil"/>
        </w:rPr>
        <w:t>•</w:t>
      </w:r>
      <w:r w:rsidRPr="00971FBD">
        <w:rPr>
          <w:noProof/>
          <w:u w:color="000000"/>
          <w:bdr w:val="nil"/>
        </w:rPr>
        <w:tab/>
        <w:t>Base jurídica</w:t>
      </w:r>
    </w:p>
    <w:p w:rsidR="008D20FC" w:rsidRPr="00971FBD" w:rsidRDefault="008D20FC" w:rsidP="00D00140">
      <w:pPr>
        <w:rPr>
          <w:rFonts w:eastAsia="Times New Roman"/>
          <w:noProof/>
          <w:szCs w:val="24"/>
        </w:rPr>
      </w:pPr>
      <w:r w:rsidRPr="00971FBD">
        <w:rPr>
          <w:noProof/>
        </w:rPr>
        <w:t>Artigo 19.º da Diretiva 2003/96/CE do Conselho.</w:t>
      </w:r>
    </w:p>
    <w:p w:rsidR="00FB0094" w:rsidRPr="00971FBD" w:rsidRDefault="00FB0094" w:rsidP="00A4693B">
      <w:pPr>
        <w:pStyle w:val="ManualHeading2"/>
        <w:rPr>
          <w:rFonts w:eastAsia="Arial Unicode MS"/>
          <w:noProof/>
          <w:u w:color="000000"/>
          <w:bdr w:val="nil"/>
        </w:rPr>
      </w:pPr>
      <w:r w:rsidRPr="00971FBD">
        <w:rPr>
          <w:noProof/>
          <w:u w:color="000000"/>
          <w:bdr w:val="nil"/>
        </w:rPr>
        <w:t>•</w:t>
      </w:r>
      <w:r w:rsidRPr="00971FBD">
        <w:rPr>
          <w:noProof/>
          <w:u w:color="000000"/>
          <w:bdr w:val="nil"/>
        </w:rPr>
        <w:tab/>
        <w:t xml:space="preserve">Subsidiariedade (no caso de competência não exclusiva) </w:t>
      </w:r>
    </w:p>
    <w:p w:rsidR="008D20FC" w:rsidRPr="00971FBD" w:rsidRDefault="008D20FC" w:rsidP="008D20FC">
      <w:pPr>
        <w:rPr>
          <w:rFonts w:eastAsia="Times New Roman"/>
          <w:noProof/>
          <w:szCs w:val="24"/>
        </w:rPr>
      </w:pPr>
      <w:r w:rsidRPr="00971FBD">
        <w:rPr>
          <w:noProof/>
        </w:rPr>
        <w:t>O domínio da tributação indireta abrangido pelo artigo 113.º do Tratado sobre o Funcionamento da União Europeia não se insere, por si só, na competência exclusiva da UE, na aceção do artigo 3.º do Tratado.</w:t>
      </w:r>
    </w:p>
    <w:p w:rsidR="008D20FC" w:rsidRPr="00971FBD" w:rsidRDefault="008D20FC" w:rsidP="008D20FC">
      <w:pPr>
        <w:pBdr>
          <w:top w:val="nil"/>
          <w:left w:val="nil"/>
          <w:bottom w:val="nil"/>
          <w:right w:val="nil"/>
          <w:between w:val="nil"/>
          <w:bar w:val="nil"/>
        </w:pBdr>
        <w:spacing w:before="0" w:after="240"/>
        <w:rPr>
          <w:rFonts w:eastAsia="Times New Roman"/>
          <w:noProof/>
          <w:szCs w:val="24"/>
        </w:rPr>
      </w:pPr>
      <w:r w:rsidRPr="00971FBD">
        <w:rPr>
          <w:noProof/>
        </w:rPr>
        <w:t>No entanto, nos termos do artigo 19.º da Diretiva 2003/96/CE, o Conselho tem competência exclusiva, enquanto instrumento de direito derivado, para autorizar um Estado-Membro a adotar derrogações ou reduções suplementares, na aceção da referida disposição. Os Estados</w:t>
      </w:r>
      <w:r w:rsidR="00971FBD">
        <w:rPr>
          <w:noProof/>
        </w:rPr>
        <w:noBreakHyphen/>
      </w:r>
      <w:r w:rsidRPr="00971FBD">
        <w:rPr>
          <w:noProof/>
        </w:rPr>
        <w:t>Membros não podem, assim, substituir-se ao Conselho. Por conseguinte, o princípio da subsidiariedade não é aplicável à presente decisão de execução.</w:t>
      </w:r>
    </w:p>
    <w:p w:rsidR="00FB0094" w:rsidRPr="00971FBD" w:rsidRDefault="00FB0094" w:rsidP="00A4693B">
      <w:pPr>
        <w:pStyle w:val="ManualHeading2"/>
        <w:rPr>
          <w:rFonts w:eastAsia="Arial Unicode MS"/>
          <w:noProof/>
          <w:u w:color="000000"/>
          <w:bdr w:val="nil"/>
        </w:rPr>
      </w:pPr>
      <w:r w:rsidRPr="00971FBD">
        <w:rPr>
          <w:noProof/>
          <w:u w:color="000000"/>
          <w:bdr w:val="nil"/>
        </w:rPr>
        <w:t>•</w:t>
      </w:r>
      <w:r w:rsidRPr="00971FBD">
        <w:rPr>
          <w:noProof/>
          <w:u w:color="000000"/>
          <w:bdr w:val="nil"/>
        </w:rPr>
        <w:tab/>
        <w:t>Proporcionalidade</w:t>
      </w:r>
    </w:p>
    <w:p w:rsidR="004368BC" w:rsidRPr="00971FBD" w:rsidRDefault="008D20FC" w:rsidP="004368BC">
      <w:pPr>
        <w:contextualSpacing/>
        <w:rPr>
          <w:rFonts w:eastAsia="Times New Roman"/>
          <w:noProof/>
          <w:szCs w:val="24"/>
        </w:rPr>
      </w:pPr>
      <w:r w:rsidRPr="00971FBD">
        <w:rPr>
          <w:noProof/>
        </w:rPr>
        <w:t xml:space="preserve">A proposta respeita o princípio da proporcionalidade. </w:t>
      </w:r>
    </w:p>
    <w:p w:rsidR="008D20FC" w:rsidRPr="00971FBD" w:rsidRDefault="008D20FC" w:rsidP="004368BC">
      <w:pPr>
        <w:contextualSpacing/>
        <w:rPr>
          <w:rFonts w:eastAsia="Times New Roman"/>
          <w:noProof/>
          <w:szCs w:val="24"/>
        </w:rPr>
      </w:pPr>
      <w:r w:rsidRPr="00971FBD">
        <w:rPr>
          <w:noProof/>
        </w:rPr>
        <w:t>A redução fiscal não excede o que é necessário para alcançar o objetivo em questão.</w:t>
      </w:r>
    </w:p>
    <w:p w:rsidR="004368BC" w:rsidRPr="00971FBD" w:rsidRDefault="004368BC" w:rsidP="004368BC">
      <w:pPr>
        <w:pBdr>
          <w:top w:val="nil"/>
          <w:left w:val="nil"/>
          <w:bottom w:val="nil"/>
          <w:right w:val="nil"/>
          <w:between w:val="nil"/>
          <w:bar w:val="nil"/>
        </w:pBdr>
        <w:spacing w:before="0" w:after="240"/>
        <w:rPr>
          <w:noProof/>
        </w:rPr>
      </w:pPr>
      <w:r w:rsidRPr="00971FBD">
        <w:rPr>
          <w:noProof/>
        </w:rPr>
        <w:t xml:space="preserve">A redução fiscal é aplicável durante um período limitado de quatro anos. </w:t>
      </w:r>
    </w:p>
    <w:p w:rsidR="00FB0094" w:rsidRPr="00971FBD" w:rsidRDefault="00FB0094" w:rsidP="00A4693B">
      <w:pPr>
        <w:pStyle w:val="ManualHeading2"/>
        <w:rPr>
          <w:rFonts w:eastAsia="Arial Unicode MS"/>
          <w:noProof/>
          <w:u w:color="000000"/>
          <w:bdr w:val="nil"/>
        </w:rPr>
      </w:pPr>
      <w:r w:rsidRPr="00971FBD">
        <w:rPr>
          <w:noProof/>
          <w:u w:color="000000"/>
          <w:bdr w:val="nil"/>
        </w:rPr>
        <w:t>•</w:t>
      </w:r>
      <w:r w:rsidRPr="00971FBD">
        <w:rPr>
          <w:noProof/>
          <w:u w:color="000000"/>
          <w:bdr w:val="nil"/>
        </w:rPr>
        <w:tab/>
        <w:t>Escolha do instrumento</w:t>
      </w:r>
    </w:p>
    <w:p w:rsidR="00F60F13" w:rsidRPr="00971FBD" w:rsidRDefault="00F60F13" w:rsidP="00F60F13">
      <w:pPr>
        <w:pBdr>
          <w:top w:val="nil"/>
          <w:left w:val="nil"/>
          <w:bottom w:val="nil"/>
          <w:right w:val="nil"/>
          <w:between w:val="nil"/>
          <w:bar w:val="nil"/>
        </w:pBdr>
        <w:spacing w:before="0" w:after="240"/>
        <w:contextualSpacing/>
        <w:rPr>
          <w:noProof/>
        </w:rPr>
      </w:pPr>
      <w:r w:rsidRPr="00971FBD">
        <w:rPr>
          <w:noProof/>
        </w:rPr>
        <w:t xml:space="preserve">O instrumento proposto é uma decisão de execução do Conselho. </w:t>
      </w:r>
    </w:p>
    <w:p w:rsidR="00F60F13" w:rsidRPr="00971FBD" w:rsidRDefault="00F60F13" w:rsidP="00F60F13">
      <w:pPr>
        <w:pBdr>
          <w:top w:val="nil"/>
          <w:left w:val="nil"/>
          <w:bottom w:val="nil"/>
          <w:right w:val="nil"/>
          <w:between w:val="nil"/>
          <w:bar w:val="nil"/>
        </w:pBdr>
        <w:spacing w:before="0" w:after="240"/>
        <w:rPr>
          <w:rFonts w:eastAsia="Arial Unicode MS"/>
          <w:noProof/>
        </w:rPr>
      </w:pPr>
      <w:r w:rsidRPr="00971FBD">
        <w:rPr>
          <w:noProof/>
        </w:rPr>
        <w:t>O artigo 19.º da Diretiva 2003/96/CE só prevê este tipo de medida.</w:t>
      </w:r>
    </w:p>
    <w:p w:rsidR="00FB0094" w:rsidRPr="00971FBD" w:rsidRDefault="00FB0094" w:rsidP="00550536">
      <w:pPr>
        <w:pStyle w:val="ManualHeading1"/>
        <w:rPr>
          <w:noProof/>
        </w:rPr>
      </w:pPr>
      <w:r w:rsidRPr="00971FBD">
        <w:rPr>
          <w:noProof/>
        </w:rPr>
        <w:t>3.</w:t>
      </w:r>
      <w:r w:rsidRPr="00971FBD">
        <w:rPr>
          <w:noProof/>
        </w:rPr>
        <w:tab/>
        <w:t xml:space="preserve">RESULTADOS DAS AVALIAÇÕES </w:t>
      </w:r>
      <w:r w:rsidRPr="00971FBD">
        <w:rPr>
          <w:i/>
          <w:noProof/>
        </w:rPr>
        <w:t>EX POST</w:t>
      </w:r>
      <w:r w:rsidRPr="00971FBD">
        <w:rPr>
          <w:noProof/>
        </w:rPr>
        <w:t>, DAS CONSULTAS DAS PARTES INTERESSADAS E DAS AVALIAÇÕES DE IMPACTO</w:t>
      </w:r>
    </w:p>
    <w:p w:rsidR="00FB0094" w:rsidRPr="00971FBD" w:rsidRDefault="00FB0094" w:rsidP="00A4693B">
      <w:pPr>
        <w:pStyle w:val="ManualHeading2"/>
        <w:rPr>
          <w:rFonts w:eastAsia="Arial Unicode MS"/>
          <w:noProof/>
          <w:u w:color="000000"/>
          <w:bdr w:val="nil"/>
        </w:rPr>
      </w:pPr>
      <w:r w:rsidRPr="00971FBD">
        <w:rPr>
          <w:noProof/>
          <w:u w:color="000000"/>
          <w:bdr w:val="nil"/>
        </w:rPr>
        <w:t>•</w:t>
      </w:r>
      <w:r w:rsidRPr="00971FBD">
        <w:rPr>
          <w:noProof/>
          <w:u w:color="000000"/>
          <w:bdr w:val="nil"/>
        </w:rPr>
        <w:tab/>
        <w:t xml:space="preserve">Avaliações </w:t>
      </w:r>
      <w:r w:rsidRPr="00971FBD">
        <w:rPr>
          <w:i/>
          <w:noProof/>
          <w:u w:color="000000"/>
          <w:bdr w:val="nil"/>
        </w:rPr>
        <w:t>ex post</w:t>
      </w:r>
      <w:r w:rsidRPr="00971FBD">
        <w:rPr>
          <w:noProof/>
          <w:u w:color="000000"/>
          <w:bdr w:val="nil"/>
        </w:rPr>
        <w:t>/balanços de qualidade da legislação existente</w:t>
      </w:r>
    </w:p>
    <w:p w:rsidR="008D20FC" w:rsidRPr="00971FBD" w:rsidRDefault="008D20FC" w:rsidP="008D20FC">
      <w:pPr>
        <w:pBdr>
          <w:top w:val="nil"/>
          <w:left w:val="nil"/>
          <w:bottom w:val="nil"/>
          <w:right w:val="nil"/>
          <w:between w:val="nil"/>
          <w:bar w:val="nil"/>
        </w:pBdr>
        <w:spacing w:before="0" w:after="240"/>
        <w:rPr>
          <w:rFonts w:eastAsia="Arial Unicode MS"/>
          <w:noProof/>
        </w:rPr>
      </w:pPr>
      <w:r w:rsidRPr="00971FBD">
        <w:rPr>
          <w:noProof/>
        </w:rPr>
        <w:t>A medida não exige a avaliação da legislação em vigor.</w:t>
      </w:r>
    </w:p>
    <w:p w:rsidR="00FB0094" w:rsidRPr="00971FBD" w:rsidRDefault="00FB0094" w:rsidP="00A4693B">
      <w:pPr>
        <w:pStyle w:val="ManualHeading2"/>
        <w:rPr>
          <w:rFonts w:eastAsia="Arial Unicode MS"/>
          <w:noProof/>
          <w:u w:color="000000"/>
          <w:bdr w:val="nil"/>
        </w:rPr>
      </w:pPr>
      <w:r w:rsidRPr="00971FBD">
        <w:rPr>
          <w:noProof/>
          <w:u w:color="000000"/>
          <w:bdr w:val="nil"/>
        </w:rPr>
        <w:t>•</w:t>
      </w:r>
      <w:r w:rsidRPr="00971FBD">
        <w:rPr>
          <w:noProof/>
          <w:u w:color="000000"/>
          <w:bdr w:val="nil"/>
        </w:rPr>
        <w:tab/>
        <w:t>Consultas das partes interessadas</w:t>
      </w:r>
    </w:p>
    <w:p w:rsidR="008D20FC" w:rsidRPr="00971FBD" w:rsidRDefault="008D20FC" w:rsidP="00550536">
      <w:pPr>
        <w:pBdr>
          <w:top w:val="nil"/>
          <w:left w:val="nil"/>
          <w:bottom w:val="nil"/>
          <w:right w:val="nil"/>
          <w:between w:val="nil"/>
          <w:bar w:val="nil"/>
        </w:pBdr>
        <w:spacing w:before="0" w:after="240"/>
        <w:rPr>
          <w:rFonts w:eastAsia="Arial Unicode MS"/>
          <w:noProof/>
        </w:rPr>
      </w:pPr>
      <w:r w:rsidRPr="00971FBD">
        <w:rPr>
          <w:noProof/>
        </w:rPr>
        <w:t>A presente proposta tem por base um pedido apresentado pela Suécia e refere-se apenas a este Estado-Membro. Por conseguinte, não foi realizada qualquer consulta das partes interessadas.</w:t>
      </w:r>
    </w:p>
    <w:p w:rsidR="00FB0094" w:rsidRPr="00971FBD" w:rsidRDefault="00FB0094" w:rsidP="00A4693B">
      <w:pPr>
        <w:pStyle w:val="ManualHeading2"/>
        <w:rPr>
          <w:rFonts w:eastAsia="Arial Unicode MS"/>
          <w:noProof/>
          <w:u w:color="000000"/>
          <w:bdr w:val="nil"/>
        </w:rPr>
      </w:pPr>
      <w:r w:rsidRPr="00971FBD">
        <w:rPr>
          <w:noProof/>
          <w:u w:color="000000"/>
          <w:bdr w:val="nil"/>
        </w:rPr>
        <w:t>•</w:t>
      </w:r>
      <w:r w:rsidRPr="00971FBD">
        <w:rPr>
          <w:noProof/>
          <w:u w:color="000000"/>
          <w:bdr w:val="nil"/>
        </w:rPr>
        <w:tab/>
        <w:t>Recolha e utilização de conhecimentos especializados</w:t>
      </w:r>
    </w:p>
    <w:p w:rsidR="008D20FC" w:rsidRPr="00971FBD" w:rsidRDefault="008D20FC" w:rsidP="008D20FC">
      <w:pPr>
        <w:rPr>
          <w:rFonts w:eastAsia="Arial Unicode MS"/>
          <w:noProof/>
        </w:rPr>
      </w:pPr>
      <w:r w:rsidRPr="00971FBD">
        <w:rPr>
          <w:noProof/>
        </w:rPr>
        <w:t>Não foi necessário recorrer a peritos externos.</w:t>
      </w:r>
    </w:p>
    <w:p w:rsidR="00FB0094" w:rsidRPr="00971FBD" w:rsidRDefault="00FB0094" w:rsidP="00A4693B">
      <w:pPr>
        <w:pStyle w:val="ManualHeading2"/>
        <w:rPr>
          <w:rFonts w:eastAsia="Arial Unicode MS"/>
          <w:noProof/>
          <w:u w:color="000000"/>
          <w:bdr w:val="nil"/>
        </w:rPr>
      </w:pPr>
      <w:r w:rsidRPr="00971FBD">
        <w:rPr>
          <w:noProof/>
          <w:u w:color="000000"/>
          <w:bdr w:val="nil"/>
        </w:rPr>
        <w:t>•</w:t>
      </w:r>
      <w:r w:rsidRPr="00971FBD">
        <w:rPr>
          <w:noProof/>
          <w:u w:color="000000"/>
          <w:bdr w:val="nil"/>
        </w:rPr>
        <w:tab/>
        <w:t>Avaliação de impacto</w:t>
      </w:r>
    </w:p>
    <w:p w:rsidR="00F60F13" w:rsidRPr="00971FBD" w:rsidRDefault="00F60F13" w:rsidP="00F60F13">
      <w:pPr>
        <w:pBdr>
          <w:top w:val="nil"/>
          <w:left w:val="nil"/>
          <w:bottom w:val="nil"/>
          <w:right w:val="nil"/>
          <w:between w:val="nil"/>
          <w:bar w:val="nil"/>
        </w:pBdr>
        <w:spacing w:before="0" w:after="240"/>
        <w:rPr>
          <w:rFonts w:eastAsia="Times New Roman"/>
          <w:noProof/>
          <w:szCs w:val="24"/>
        </w:rPr>
      </w:pPr>
      <w:r w:rsidRPr="00971FBD">
        <w:rPr>
          <w:noProof/>
        </w:rPr>
        <w:t>A presente proposta diz respeito a uma autorização para um Estado-Membro específico, a pedido deste, e não exige uma avaliação de impacto.</w:t>
      </w:r>
    </w:p>
    <w:p w:rsidR="00F60F13" w:rsidRPr="00971FBD" w:rsidRDefault="00F60F13" w:rsidP="00F60F13">
      <w:pPr>
        <w:pBdr>
          <w:top w:val="nil"/>
          <w:left w:val="nil"/>
          <w:bottom w:val="nil"/>
          <w:right w:val="nil"/>
          <w:between w:val="nil"/>
          <w:bar w:val="nil"/>
        </w:pBdr>
        <w:spacing w:before="0" w:after="240"/>
        <w:rPr>
          <w:rFonts w:eastAsia="Arial Unicode MS"/>
          <w:noProof/>
        </w:rPr>
      </w:pPr>
      <w:r w:rsidRPr="00971FBD">
        <w:rPr>
          <w:noProof/>
        </w:rPr>
        <w:t xml:space="preserve">As informações fornecidas pela Suécia indicam que a medida teria um impacto limitado sobre as receitas fiscais e, além disso, a taxa de imposto especial de consumo sobre a eletricidade no norte da Suécia continuaria a ser superior ao nível mínimo de tributação estabelecido na </w:t>
      </w:r>
      <w:r w:rsidRPr="00971FBD">
        <w:rPr>
          <w:noProof/>
        </w:rPr>
        <w:lastRenderedPageBreak/>
        <w:t>Diretiva 2003/96/CE. A Suécia espera que a medida tenha um impacto positivo na realização dos seus objetivos em matéria de política social e de coesão.</w:t>
      </w:r>
    </w:p>
    <w:p w:rsidR="00FB0094" w:rsidRPr="00971FBD" w:rsidRDefault="00FB0094" w:rsidP="00A4693B">
      <w:pPr>
        <w:pStyle w:val="ManualHeading2"/>
        <w:rPr>
          <w:rFonts w:eastAsia="Arial Unicode MS"/>
          <w:noProof/>
          <w:u w:color="000000"/>
          <w:bdr w:val="nil"/>
        </w:rPr>
      </w:pPr>
      <w:r w:rsidRPr="00971FBD">
        <w:rPr>
          <w:noProof/>
          <w:u w:color="000000"/>
          <w:bdr w:val="nil"/>
        </w:rPr>
        <w:t>•</w:t>
      </w:r>
      <w:r w:rsidRPr="00971FBD">
        <w:rPr>
          <w:noProof/>
          <w:u w:color="000000"/>
          <w:bdr w:val="nil"/>
        </w:rPr>
        <w:tab/>
        <w:t>Adequação da regulamentação e simplificação</w:t>
      </w:r>
    </w:p>
    <w:p w:rsidR="00F60F13" w:rsidRPr="00971FBD" w:rsidRDefault="00F60F13" w:rsidP="00F60F13">
      <w:pPr>
        <w:pBdr>
          <w:top w:val="nil"/>
          <w:left w:val="nil"/>
          <w:bottom w:val="nil"/>
          <w:right w:val="nil"/>
          <w:between w:val="nil"/>
          <w:bar w:val="nil"/>
        </w:pBdr>
        <w:spacing w:before="0" w:after="240"/>
        <w:contextualSpacing/>
        <w:rPr>
          <w:noProof/>
        </w:rPr>
      </w:pPr>
      <w:r w:rsidRPr="00971FBD">
        <w:rPr>
          <w:noProof/>
        </w:rPr>
        <w:t xml:space="preserve">A medida não prevê uma simplificação. </w:t>
      </w:r>
    </w:p>
    <w:p w:rsidR="00F60F13" w:rsidRPr="00971FBD" w:rsidRDefault="00F60F13" w:rsidP="00F60F13">
      <w:pPr>
        <w:pBdr>
          <w:top w:val="nil"/>
          <w:left w:val="nil"/>
          <w:bottom w:val="nil"/>
          <w:right w:val="nil"/>
          <w:between w:val="nil"/>
          <w:bar w:val="nil"/>
        </w:pBdr>
        <w:spacing w:before="0" w:after="240"/>
        <w:contextualSpacing/>
        <w:rPr>
          <w:rFonts w:eastAsia="Arial Unicode MS"/>
          <w:noProof/>
        </w:rPr>
      </w:pPr>
      <w:r w:rsidRPr="00971FBD">
        <w:rPr>
          <w:noProof/>
        </w:rPr>
        <w:t>É o resultado de um pedido apresentado pela Suécia e refere-se apenas a este Estado-Membro.</w:t>
      </w:r>
    </w:p>
    <w:p w:rsidR="00FB0094" w:rsidRPr="00971FBD" w:rsidRDefault="00FB0094" w:rsidP="00A4693B">
      <w:pPr>
        <w:pStyle w:val="ManualHeading2"/>
        <w:rPr>
          <w:rFonts w:eastAsia="Arial Unicode MS"/>
          <w:noProof/>
          <w:u w:color="000000"/>
          <w:bdr w:val="nil"/>
        </w:rPr>
      </w:pPr>
      <w:r w:rsidRPr="00971FBD">
        <w:rPr>
          <w:noProof/>
          <w:u w:color="000000"/>
          <w:bdr w:val="nil"/>
        </w:rPr>
        <w:t>•</w:t>
      </w:r>
      <w:r w:rsidRPr="00971FBD">
        <w:rPr>
          <w:noProof/>
          <w:u w:color="000000"/>
          <w:bdr w:val="nil"/>
        </w:rPr>
        <w:tab/>
        <w:t>Direitos fundamentais</w:t>
      </w:r>
    </w:p>
    <w:p w:rsidR="00F60F13" w:rsidRPr="00971FBD" w:rsidRDefault="00F60F13" w:rsidP="00F60F13">
      <w:pPr>
        <w:pBdr>
          <w:top w:val="nil"/>
          <w:left w:val="nil"/>
          <w:bottom w:val="nil"/>
          <w:right w:val="nil"/>
          <w:between w:val="nil"/>
          <w:bar w:val="nil"/>
        </w:pBdr>
        <w:spacing w:before="0" w:after="240"/>
        <w:rPr>
          <w:rFonts w:eastAsia="Arial Unicode MS"/>
          <w:noProof/>
        </w:rPr>
      </w:pPr>
      <w:r w:rsidRPr="00971FBD">
        <w:rPr>
          <w:noProof/>
        </w:rPr>
        <w:t>A medida não tem qualquer impacto sobre os direitos fundamentais.</w:t>
      </w:r>
    </w:p>
    <w:p w:rsidR="00FB0094" w:rsidRPr="00971FBD" w:rsidRDefault="00FB0094" w:rsidP="00550536">
      <w:pPr>
        <w:pStyle w:val="ManualHeading1"/>
        <w:rPr>
          <w:noProof/>
        </w:rPr>
      </w:pPr>
      <w:r w:rsidRPr="00971FBD">
        <w:rPr>
          <w:noProof/>
        </w:rPr>
        <w:t>4.</w:t>
      </w:r>
      <w:r w:rsidRPr="00971FBD">
        <w:rPr>
          <w:noProof/>
        </w:rPr>
        <w:tab/>
        <w:t>INCIDÊNCIA ORÇAMENTAL</w:t>
      </w:r>
    </w:p>
    <w:p w:rsidR="00F60F13" w:rsidRPr="00971FBD" w:rsidRDefault="00F60F13" w:rsidP="00F60F13">
      <w:pPr>
        <w:contextualSpacing/>
        <w:rPr>
          <w:rFonts w:eastAsia="Times New Roman"/>
          <w:noProof/>
          <w:szCs w:val="24"/>
        </w:rPr>
      </w:pPr>
      <w:r w:rsidRPr="00971FBD">
        <w:rPr>
          <w:noProof/>
        </w:rPr>
        <w:t xml:space="preserve">A medida não impõe encargos financeiros e administrativos para a UE. </w:t>
      </w:r>
    </w:p>
    <w:p w:rsidR="00F60F13" w:rsidRPr="00971FBD" w:rsidRDefault="00F60F13" w:rsidP="00F60F13">
      <w:pPr>
        <w:contextualSpacing/>
        <w:rPr>
          <w:rFonts w:eastAsia="Times New Roman"/>
          <w:noProof/>
          <w:szCs w:val="24"/>
        </w:rPr>
      </w:pPr>
      <w:r w:rsidRPr="00971FBD">
        <w:rPr>
          <w:noProof/>
        </w:rPr>
        <w:t>Consequentemente, a proposta não tem incidência no orçamento da UE.</w:t>
      </w:r>
    </w:p>
    <w:p w:rsidR="00FB0094" w:rsidRPr="00971FBD" w:rsidRDefault="00FB0094" w:rsidP="00550536">
      <w:pPr>
        <w:pStyle w:val="ManualHeading1"/>
        <w:rPr>
          <w:noProof/>
        </w:rPr>
      </w:pPr>
      <w:r w:rsidRPr="00971FBD">
        <w:rPr>
          <w:noProof/>
        </w:rPr>
        <w:t>5.</w:t>
      </w:r>
      <w:r w:rsidRPr="00971FBD">
        <w:rPr>
          <w:noProof/>
        </w:rPr>
        <w:tab/>
        <w:t>OUTROS ELEMENTOS</w:t>
      </w:r>
    </w:p>
    <w:p w:rsidR="00FB0094" w:rsidRPr="00971FBD" w:rsidRDefault="00FB0094" w:rsidP="00A4693B">
      <w:pPr>
        <w:pStyle w:val="ManualHeading2"/>
        <w:rPr>
          <w:rFonts w:eastAsia="Arial Unicode MS"/>
          <w:noProof/>
          <w:u w:color="000000"/>
          <w:bdr w:val="nil"/>
        </w:rPr>
      </w:pPr>
      <w:r w:rsidRPr="00971FBD">
        <w:rPr>
          <w:noProof/>
          <w:u w:color="000000"/>
          <w:bdr w:val="nil"/>
        </w:rPr>
        <w:t>•</w:t>
      </w:r>
      <w:r w:rsidRPr="00971FBD">
        <w:rPr>
          <w:noProof/>
          <w:u w:color="000000"/>
          <w:bdr w:val="nil"/>
        </w:rPr>
        <w:tab/>
        <w:t>Planos de execução e acompanhamento, avaliação e prestação de informações</w:t>
      </w:r>
    </w:p>
    <w:p w:rsidR="002349A5" w:rsidRPr="00971FBD" w:rsidRDefault="002349A5" w:rsidP="002349A5">
      <w:pPr>
        <w:pBdr>
          <w:top w:val="nil"/>
          <w:left w:val="nil"/>
          <w:bottom w:val="nil"/>
          <w:right w:val="nil"/>
          <w:between w:val="nil"/>
          <w:bar w:val="nil"/>
        </w:pBdr>
        <w:spacing w:before="0" w:after="240"/>
        <w:rPr>
          <w:noProof/>
        </w:rPr>
      </w:pPr>
      <w:r w:rsidRPr="00971FBD">
        <w:rPr>
          <w:noProof/>
        </w:rPr>
        <w:t xml:space="preserve">Não é necessário um plano de execução. A presente proposta diz respeito a uma autorização de redução fiscal para um Estado-Membro específico, a pedido deste. É prevista para um período limitado de quatro anos. </w:t>
      </w:r>
    </w:p>
    <w:p w:rsidR="002349A5" w:rsidRPr="00971FBD" w:rsidRDefault="002349A5" w:rsidP="002349A5">
      <w:pPr>
        <w:pBdr>
          <w:top w:val="nil"/>
          <w:left w:val="nil"/>
          <w:bottom w:val="nil"/>
          <w:right w:val="nil"/>
          <w:between w:val="nil"/>
          <w:bar w:val="nil"/>
        </w:pBdr>
        <w:spacing w:before="0" w:after="240"/>
        <w:rPr>
          <w:noProof/>
        </w:rPr>
      </w:pPr>
      <w:r w:rsidRPr="00971FBD">
        <w:rPr>
          <w:noProof/>
        </w:rPr>
        <w:t xml:space="preserve">As taxas de imposto aplicáveis serão superiores aos níveis mínimos de tributação estabelecidos pela Diretiva Tributação da Energia (artigo 10.º). </w:t>
      </w:r>
    </w:p>
    <w:p w:rsidR="002349A5" w:rsidRPr="00971FBD" w:rsidRDefault="002349A5" w:rsidP="002349A5">
      <w:pPr>
        <w:pBdr>
          <w:top w:val="nil"/>
          <w:left w:val="nil"/>
          <w:bottom w:val="nil"/>
          <w:right w:val="nil"/>
          <w:between w:val="nil"/>
          <w:bar w:val="nil"/>
        </w:pBdr>
        <w:spacing w:before="0" w:after="240"/>
        <w:rPr>
          <w:rFonts w:eastAsia="Arial Unicode MS"/>
          <w:noProof/>
        </w:rPr>
      </w:pPr>
      <w:r w:rsidRPr="00971FBD">
        <w:rPr>
          <w:noProof/>
        </w:rPr>
        <w:t>A medida pode ser avaliada em caso de pedido de renovação depois do termo do período de validade.</w:t>
      </w:r>
    </w:p>
    <w:p w:rsidR="00FB0094" w:rsidRPr="00971FBD" w:rsidRDefault="00FB0094" w:rsidP="00A4693B">
      <w:pPr>
        <w:pStyle w:val="ManualHeading2"/>
        <w:rPr>
          <w:rFonts w:eastAsia="Arial Unicode MS"/>
          <w:noProof/>
          <w:u w:color="000000"/>
          <w:bdr w:val="nil"/>
        </w:rPr>
      </w:pPr>
      <w:r w:rsidRPr="00971FBD">
        <w:rPr>
          <w:noProof/>
          <w:u w:color="000000"/>
          <w:bdr w:val="nil"/>
        </w:rPr>
        <w:t>•</w:t>
      </w:r>
      <w:r w:rsidRPr="00971FBD">
        <w:rPr>
          <w:noProof/>
          <w:u w:color="000000"/>
          <w:bdr w:val="nil"/>
        </w:rPr>
        <w:tab/>
        <w:t>Documentos explicativos (para as diretivas)</w:t>
      </w:r>
    </w:p>
    <w:p w:rsidR="002349A5" w:rsidRPr="00971FBD" w:rsidRDefault="002349A5" w:rsidP="002349A5">
      <w:pPr>
        <w:pBdr>
          <w:top w:val="nil"/>
          <w:left w:val="nil"/>
          <w:bottom w:val="nil"/>
          <w:right w:val="nil"/>
          <w:between w:val="nil"/>
          <w:bar w:val="nil"/>
        </w:pBdr>
        <w:spacing w:before="0" w:after="240"/>
        <w:rPr>
          <w:rFonts w:eastAsia="Arial Unicode MS"/>
          <w:noProof/>
        </w:rPr>
      </w:pPr>
      <w:r w:rsidRPr="00971FBD">
        <w:rPr>
          <w:noProof/>
        </w:rPr>
        <w:t>A proposta não exige documentos explicativos sobre a transposição.</w:t>
      </w:r>
    </w:p>
    <w:p w:rsidR="00FB0094" w:rsidRPr="00971FBD" w:rsidRDefault="00FB0094" w:rsidP="00A4693B">
      <w:pPr>
        <w:pStyle w:val="ManualHeading2"/>
        <w:rPr>
          <w:rFonts w:eastAsia="Arial Unicode MS"/>
          <w:noProof/>
          <w:u w:color="000000"/>
          <w:bdr w:val="nil"/>
        </w:rPr>
      </w:pPr>
      <w:r w:rsidRPr="00971FBD">
        <w:rPr>
          <w:noProof/>
          <w:u w:color="000000"/>
          <w:bdr w:val="nil"/>
        </w:rPr>
        <w:t>•</w:t>
      </w:r>
      <w:r w:rsidRPr="00971FBD">
        <w:rPr>
          <w:noProof/>
          <w:u w:color="000000"/>
          <w:bdr w:val="nil"/>
        </w:rPr>
        <w:tab/>
        <w:t>Explicação pormenorizada das disposições específicas da proposta</w:t>
      </w:r>
    </w:p>
    <w:p w:rsidR="00E875EA" w:rsidRPr="00971FBD" w:rsidRDefault="00E875EA" w:rsidP="00E875EA">
      <w:pPr>
        <w:pBdr>
          <w:top w:val="nil"/>
          <w:left w:val="nil"/>
          <w:bottom w:val="nil"/>
          <w:right w:val="nil"/>
          <w:between w:val="nil"/>
          <w:bar w:val="nil"/>
        </w:pBdr>
        <w:spacing w:before="0" w:after="240"/>
        <w:ind w:left="60"/>
        <w:rPr>
          <w:rFonts w:eastAsia="Times New Roman"/>
          <w:noProof/>
          <w:szCs w:val="24"/>
        </w:rPr>
      </w:pPr>
      <w:r w:rsidRPr="00971FBD">
        <w:rPr>
          <w:noProof/>
        </w:rPr>
        <w:t xml:space="preserve">O artigo 1.º estabelece que a Suécia será autorizada a continuar a aplicar uma taxa reduzida do imposto especial de consumo sobre a eletricidade em determinadas zonas do norte.  </w:t>
      </w:r>
    </w:p>
    <w:p w:rsidR="00E875EA" w:rsidRPr="00971FBD" w:rsidRDefault="00E875EA" w:rsidP="00E875EA">
      <w:pPr>
        <w:pBdr>
          <w:top w:val="nil"/>
          <w:left w:val="nil"/>
          <w:bottom w:val="nil"/>
          <w:right w:val="nil"/>
          <w:between w:val="nil"/>
          <w:bar w:val="nil"/>
        </w:pBdr>
        <w:spacing w:before="0" w:after="240"/>
        <w:ind w:left="60"/>
        <w:rPr>
          <w:rFonts w:eastAsia="Times New Roman"/>
          <w:noProof/>
          <w:szCs w:val="24"/>
        </w:rPr>
      </w:pPr>
      <w:r w:rsidRPr="00971FBD">
        <w:rPr>
          <w:noProof/>
        </w:rPr>
        <w:t>O nível de tributação após as reduções não pode ser inferior aos níveis mínimos da UE fixados pela Diretiva 2003/96/CE e a redução aplica-se a todos os consumidores de eletricidade sujeitos ao pagamento da taxa normal do imposto especial de consumo no norte da Suécia.</w:t>
      </w:r>
    </w:p>
    <w:p w:rsidR="00E875EA" w:rsidRPr="00971FBD" w:rsidRDefault="00E875EA" w:rsidP="00E875EA">
      <w:pPr>
        <w:pBdr>
          <w:top w:val="nil"/>
          <w:left w:val="nil"/>
          <w:bottom w:val="nil"/>
          <w:right w:val="nil"/>
          <w:between w:val="nil"/>
          <w:bar w:val="nil"/>
        </w:pBdr>
        <w:spacing w:before="0" w:after="240"/>
        <w:ind w:left="60"/>
        <w:rPr>
          <w:rFonts w:eastAsia="Times New Roman"/>
          <w:noProof/>
          <w:szCs w:val="24"/>
        </w:rPr>
      </w:pPr>
      <w:r w:rsidRPr="00971FBD">
        <w:rPr>
          <w:noProof/>
        </w:rPr>
        <w:t xml:space="preserve">A medida visa ajudar estas regiões desfavorecidas a compensar os custos mais elevados de eletricidade devido ao clima frio. </w:t>
      </w:r>
    </w:p>
    <w:p w:rsidR="0042482A" w:rsidRPr="00971FBD" w:rsidRDefault="00E875EA" w:rsidP="0042482A">
      <w:pPr>
        <w:pBdr>
          <w:top w:val="nil"/>
          <w:left w:val="nil"/>
          <w:bottom w:val="nil"/>
          <w:right w:val="nil"/>
          <w:between w:val="nil"/>
          <w:bar w:val="nil"/>
        </w:pBdr>
        <w:spacing w:before="0" w:after="240"/>
        <w:rPr>
          <w:rFonts w:eastAsia="Arial Unicode MS"/>
          <w:iCs/>
          <w:noProof/>
        </w:rPr>
      </w:pPr>
      <w:r w:rsidRPr="00971FBD">
        <w:rPr>
          <w:noProof/>
        </w:rPr>
        <w:t>O artigo 2.º estabelece que a autorização solicitada é concedida com efeitos a partir de 1 de janeiro de 2024 por um período de quatro anos, tal como solicitado pela Suécia, pelo período máximo de seis anos permitido pela Diretiva.</w:t>
      </w:r>
    </w:p>
    <w:p w:rsidR="00E875EA" w:rsidRPr="00971FBD" w:rsidRDefault="00E875EA" w:rsidP="0042482A">
      <w:pPr>
        <w:pBdr>
          <w:top w:val="nil"/>
          <w:left w:val="nil"/>
          <w:bottom w:val="nil"/>
          <w:right w:val="nil"/>
          <w:between w:val="nil"/>
          <w:bar w:val="nil"/>
        </w:pBdr>
        <w:spacing w:before="0" w:after="240"/>
        <w:ind w:left="60"/>
        <w:rPr>
          <w:noProof/>
        </w:rPr>
        <w:sectPr w:rsidR="00E875EA" w:rsidRPr="00971FBD" w:rsidSect="008E3BFB">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pPr>
    </w:p>
    <w:p w:rsidR="00EC3D73" w:rsidRDefault="009F5111">
      <w:pPr>
        <w:pStyle w:val="Rfrenceinterinstitutionnelle"/>
        <w:rPr>
          <w:noProof/>
        </w:rPr>
      </w:pPr>
      <w:r>
        <w:rPr>
          <w:noProof/>
        </w:rPr>
        <w:lastRenderedPageBreak/>
        <w:t>2024/0015 (NLE)</w:t>
      </w:r>
    </w:p>
    <w:p w:rsidR="00FB0094" w:rsidRPr="00971FBD" w:rsidRDefault="00971FBD" w:rsidP="00971FBD">
      <w:pPr>
        <w:pStyle w:val="Statut"/>
        <w:rPr>
          <w:noProof/>
        </w:rPr>
      </w:pPr>
      <w:r w:rsidRPr="00971FBD">
        <w:rPr>
          <w:noProof/>
        </w:rPr>
        <w:t>Proposta de</w:t>
      </w:r>
    </w:p>
    <w:p w:rsidR="00FB0094" w:rsidRPr="00971FBD" w:rsidRDefault="00971FBD" w:rsidP="00971FBD">
      <w:pPr>
        <w:pStyle w:val="Typedudocument"/>
        <w:rPr>
          <w:noProof/>
        </w:rPr>
      </w:pPr>
      <w:r w:rsidRPr="00971FBD">
        <w:rPr>
          <w:noProof/>
        </w:rPr>
        <w:t>DECISÃO DE EXECUÇÃO DO CONSELHO</w:t>
      </w:r>
    </w:p>
    <w:p w:rsidR="00FB0094" w:rsidRPr="00971FBD" w:rsidRDefault="00971FBD" w:rsidP="00971FBD">
      <w:pPr>
        <w:pStyle w:val="Titreobjet"/>
        <w:rPr>
          <w:noProof/>
        </w:rPr>
      </w:pPr>
      <w:r w:rsidRPr="00971FBD">
        <w:rPr>
          <w:noProof/>
        </w:rPr>
        <w:t>que autoriza a Suécia a aplicar taxas reduzidas do imposto especial sobre a eletricidade consumida por famílias e empresas do setor dos serviços situadas em determinadas zonas do norte da Suécia</w:t>
      </w:r>
    </w:p>
    <w:p w:rsidR="00FB0094" w:rsidRPr="00971FBD" w:rsidRDefault="00FB0094" w:rsidP="00CE1658">
      <w:pPr>
        <w:pStyle w:val="Institutionquiagit"/>
        <w:rPr>
          <w:noProof/>
        </w:rPr>
      </w:pPr>
      <w:r w:rsidRPr="00971FBD">
        <w:rPr>
          <w:noProof/>
        </w:rPr>
        <w:t>O CONSELHO DA UNIÃO EUROPEIA,</w:t>
      </w:r>
    </w:p>
    <w:p w:rsidR="00FB0094" w:rsidRPr="00971FBD" w:rsidRDefault="00FB0094" w:rsidP="00CE1658">
      <w:pPr>
        <w:rPr>
          <w:noProof/>
        </w:rPr>
      </w:pPr>
      <w:r w:rsidRPr="00971FBD">
        <w:rPr>
          <w:noProof/>
        </w:rPr>
        <w:t xml:space="preserve">Tendo em conta o Tratado sobre o Funcionamento da União Europeia, </w:t>
      </w:r>
    </w:p>
    <w:p w:rsidR="00B96D7F" w:rsidRPr="00971FBD" w:rsidRDefault="00B96D7F" w:rsidP="00B96D7F">
      <w:pPr>
        <w:rPr>
          <w:noProof/>
        </w:rPr>
      </w:pPr>
      <w:r w:rsidRPr="00971FBD">
        <w:rPr>
          <w:noProof/>
        </w:rPr>
        <w:t>Tendo em conta a Diretiva 2003/96/CE do Conselho, de 27 de outubro de 2003, que reestrutura o quadro comunitário de tributação dos produtos energéticos e da eletricidade</w:t>
      </w:r>
      <w:r w:rsidRPr="00971FBD">
        <w:rPr>
          <w:rStyle w:val="FootnoteReference"/>
          <w:noProof/>
        </w:rPr>
        <w:footnoteReference w:id="10"/>
      </w:r>
      <w:r w:rsidRPr="00971FBD">
        <w:rPr>
          <w:noProof/>
        </w:rPr>
        <w:t>, nomeadamente o artigo 19.º, n.º 1,</w:t>
      </w:r>
    </w:p>
    <w:p w:rsidR="00FB0094" w:rsidRPr="00971FBD" w:rsidRDefault="00FB0094" w:rsidP="00CE1658">
      <w:pPr>
        <w:rPr>
          <w:noProof/>
        </w:rPr>
      </w:pPr>
      <w:r w:rsidRPr="00971FBD">
        <w:rPr>
          <w:noProof/>
        </w:rPr>
        <w:t>Tendo em conta a proposta da Comissão Europeia,</w:t>
      </w:r>
    </w:p>
    <w:p w:rsidR="00FB0094" w:rsidRPr="00971FBD" w:rsidRDefault="00FB0094" w:rsidP="00CE1658">
      <w:pPr>
        <w:rPr>
          <w:noProof/>
        </w:rPr>
      </w:pPr>
      <w:r w:rsidRPr="00971FBD">
        <w:rPr>
          <w:noProof/>
        </w:rPr>
        <w:t>Considerando o seguinte:</w:t>
      </w:r>
    </w:p>
    <w:p w:rsidR="002E44B0" w:rsidRPr="00971FBD" w:rsidRDefault="002E44B0" w:rsidP="005645E4">
      <w:pPr>
        <w:pStyle w:val="ManualConsidrant"/>
        <w:rPr>
          <w:noProof/>
        </w:rPr>
      </w:pPr>
      <w:r>
        <w:rPr>
          <w:noProof/>
        </w:rPr>
        <w:t>(1)</w:t>
      </w:r>
      <w:r>
        <w:rPr>
          <w:noProof/>
        </w:rPr>
        <w:tab/>
      </w:r>
      <w:r w:rsidRPr="00971FBD">
        <w:rPr>
          <w:noProof/>
        </w:rPr>
        <w:t>A Decisão de Execução (UE) 2017/2409 do Conselho</w:t>
      </w:r>
      <w:r w:rsidRPr="00971FBD">
        <w:rPr>
          <w:rStyle w:val="FootnoteReference"/>
          <w:noProof/>
        </w:rPr>
        <w:footnoteReference w:id="11"/>
      </w:r>
      <w:r w:rsidRPr="00971FBD">
        <w:rPr>
          <w:noProof/>
        </w:rPr>
        <w:t xml:space="preserve"> autoriza a Suécia a aplicar, até 31 de dezembro de 2023, uma taxa reduzida do imposto especial sobre a eletricidade consumida por famílias e empresas do setor dos serviços em determinadas zonas do norte da Suécia, nos termos do artigo 19.º da Diretiva 2003/96/CE.</w:t>
      </w:r>
    </w:p>
    <w:p w:rsidR="002E44B0" w:rsidRPr="00971FBD" w:rsidRDefault="002E44B0" w:rsidP="002E44B0">
      <w:pPr>
        <w:pStyle w:val="ManualConsidrant"/>
        <w:rPr>
          <w:noProof/>
        </w:rPr>
      </w:pPr>
      <w:r>
        <w:rPr>
          <w:noProof/>
        </w:rPr>
        <w:t>(2)</w:t>
      </w:r>
      <w:r>
        <w:rPr>
          <w:noProof/>
        </w:rPr>
        <w:tab/>
      </w:r>
      <w:r w:rsidRPr="00971FBD">
        <w:rPr>
          <w:noProof/>
        </w:rPr>
        <w:t>Por ofício de 11 de abril de 2023, a Suécia solicitou autorização para continuar a aplicar uma taxa reduzida do imposto especial sobre a eletricidade consumida pelos mesmos beneficiários durante um período adicional de quatro anos, ou seja, de 1 de janeiro de 2024 até 31 de dezembro de 2027. A redução é limitada a 96 SEK por MWh. Por ofício de 10 de outubro de 2023, a Suécia transmitiu informações adicionais e esclarecimentos.</w:t>
      </w:r>
    </w:p>
    <w:p w:rsidR="002E44B0" w:rsidRPr="00971FBD" w:rsidRDefault="002E44B0" w:rsidP="002E44B0">
      <w:pPr>
        <w:pStyle w:val="ManualConsidrant"/>
        <w:rPr>
          <w:noProof/>
        </w:rPr>
      </w:pPr>
      <w:r>
        <w:rPr>
          <w:noProof/>
        </w:rPr>
        <w:t>(3)</w:t>
      </w:r>
      <w:r>
        <w:rPr>
          <w:noProof/>
        </w:rPr>
        <w:tab/>
      </w:r>
      <w:r w:rsidRPr="00971FBD">
        <w:rPr>
          <w:noProof/>
        </w:rPr>
        <w:t>Nas zonas em causa, os custos do aquecimento são, em média, mais elevados do que no resto do país, devido a um período de aquecimento mais longo. A redução dos custos da eletricidade para as famílias e as empresas do setor dos serviços nestas zonas diminui, assim, a diferença entre os custos gerais do aquecimento para os consumidores no norte da Suécia e os custos suportados pelos consumidores no resto do país. A medida contribui, deste modo, para a consecução de objetivos de política regional e de coesão. A redução fiscal não deverá exceder o necessário para compensar os custos adicionais de aquecimento suportados pelas famílias e as empresas do setor dos serviços em determinadas zonas do norte da Suécia.</w:t>
      </w:r>
    </w:p>
    <w:p w:rsidR="002E44B0" w:rsidRPr="00971FBD" w:rsidRDefault="002E44B0" w:rsidP="002E44B0">
      <w:pPr>
        <w:pStyle w:val="ManualConsidrant"/>
        <w:rPr>
          <w:noProof/>
        </w:rPr>
      </w:pPr>
      <w:r>
        <w:rPr>
          <w:noProof/>
        </w:rPr>
        <w:t>(4)</w:t>
      </w:r>
      <w:r>
        <w:rPr>
          <w:noProof/>
        </w:rPr>
        <w:tab/>
      </w:r>
      <w:r w:rsidRPr="00971FBD">
        <w:rPr>
          <w:noProof/>
        </w:rPr>
        <w:t xml:space="preserve">As taxas reduzidas de tributação serão superiores às taxas mínimas previstas no artigo 10.º da Diretiva 2003/96/CE. </w:t>
      </w:r>
    </w:p>
    <w:p w:rsidR="002E44B0" w:rsidRPr="00971FBD" w:rsidRDefault="002E44B0" w:rsidP="002E44B0">
      <w:pPr>
        <w:pStyle w:val="ManualConsidrant"/>
        <w:rPr>
          <w:noProof/>
        </w:rPr>
      </w:pPr>
      <w:r>
        <w:rPr>
          <w:noProof/>
        </w:rPr>
        <w:lastRenderedPageBreak/>
        <w:t>(5)</w:t>
      </w:r>
      <w:r>
        <w:rPr>
          <w:noProof/>
        </w:rPr>
        <w:tab/>
      </w:r>
      <w:r w:rsidRPr="00971FBD">
        <w:rPr>
          <w:noProof/>
        </w:rPr>
        <w:t>Tendo em conta a natureza isolada das zonas a que se aplica e o facto de a redução fiscal se limitar às famílias e às empresas do setor dos serviços, sem exceder os custos adicionais do aquecimento no norte da Suécia, a medida não deverá conduzir a distorções significativas da concorrência ou a alterações nas trocas comerciais entre os Estados</w:t>
      </w:r>
      <w:r w:rsidR="00971FBD">
        <w:rPr>
          <w:noProof/>
        </w:rPr>
        <w:noBreakHyphen/>
      </w:r>
      <w:r w:rsidRPr="00971FBD">
        <w:rPr>
          <w:noProof/>
        </w:rPr>
        <w:t xml:space="preserve">Membros. </w:t>
      </w:r>
    </w:p>
    <w:p w:rsidR="002E44B0" w:rsidRPr="00971FBD" w:rsidRDefault="002E44B0" w:rsidP="002E44B0">
      <w:pPr>
        <w:pStyle w:val="ManualConsidrant"/>
        <w:rPr>
          <w:noProof/>
        </w:rPr>
      </w:pPr>
      <w:r>
        <w:rPr>
          <w:noProof/>
        </w:rPr>
        <w:t>(6)</w:t>
      </w:r>
      <w:r>
        <w:rPr>
          <w:noProof/>
        </w:rPr>
        <w:tab/>
      </w:r>
      <w:r w:rsidRPr="00971FBD">
        <w:rPr>
          <w:noProof/>
        </w:rPr>
        <w:t xml:space="preserve">Por conseguinte, a medida é aceitável no que diz respeito ao bom funcionamento do mercado interno e à necessidade de garantir a concorrência leal. A medida também é compatível com as políticas da União em matéria de saúde, ambiente, energia e transportes. </w:t>
      </w:r>
    </w:p>
    <w:p w:rsidR="002E44B0" w:rsidRPr="00971FBD" w:rsidRDefault="00623E57" w:rsidP="002E44B0">
      <w:pPr>
        <w:pStyle w:val="ManualConsidrant"/>
        <w:rPr>
          <w:noProof/>
        </w:rPr>
      </w:pPr>
      <w:r>
        <w:rPr>
          <w:noProof/>
        </w:rPr>
        <w:t>(7)</w:t>
      </w:r>
      <w:r>
        <w:rPr>
          <w:noProof/>
        </w:rPr>
        <w:tab/>
      </w:r>
      <w:r w:rsidRPr="00971FBD">
        <w:rPr>
          <w:noProof/>
        </w:rPr>
        <w:t>Nos termos do artigo 19.º, n.º 2, da Diretiva 2003/96/CE, cada autorização concedida ao abrigo dessa disposição deve ser limitada no tempo. Para dar aos consumidores em questão um grau suficiente de certeza, a autorização deverá ser concedida por um período de quatro anos, como solicitado.</w:t>
      </w:r>
    </w:p>
    <w:p w:rsidR="002E44B0" w:rsidRPr="00971FBD" w:rsidRDefault="002E44B0" w:rsidP="002E44B0">
      <w:pPr>
        <w:pStyle w:val="ManualConsidrant"/>
        <w:rPr>
          <w:noProof/>
        </w:rPr>
      </w:pPr>
      <w:r>
        <w:rPr>
          <w:noProof/>
        </w:rPr>
        <w:t>(8)</w:t>
      </w:r>
      <w:r>
        <w:rPr>
          <w:noProof/>
        </w:rPr>
        <w:tab/>
      </w:r>
      <w:r w:rsidRPr="00971FBD">
        <w:rPr>
          <w:noProof/>
        </w:rPr>
        <w:t>É importante assegurar que a autorização concedida ao abrigo da Decisão (UE)</w:t>
      </w:r>
      <w:r w:rsidR="000602F4">
        <w:rPr>
          <w:noProof/>
        </w:rPr>
        <w:t> </w:t>
      </w:r>
      <w:r w:rsidRPr="00971FBD">
        <w:rPr>
          <w:noProof/>
        </w:rPr>
        <w:t>2017/2409 continua a aplicar-se, para evitar um vazio entre o termo de vigência dessa decisão e a data de aplicação da presente decisão.</w:t>
      </w:r>
    </w:p>
    <w:p w:rsidR="000328BA" w:rsidRPr="00971FBD" w:rsidRDefault="00623E57" w:rsidP="000328BA">
      <w:pPr>
        <w:pStyle w:val="ManualConsidrant"/>
        <w:rPr>
          <w:noProof/>
        </w:rPr>
      </w:pPr>
      <w:r>
        <w:rPr>
          <w:noProof/>
        </w:rPr>
        <w:t>(9)</w:t>
      </w:r>
      <w:r>
        <w:rPr>
          <w:noProof/>
        </w:rPr>
        <w:tab/>
      </w:r>
      <w:r w:rsidRPr="00971FBD">
        <w:rPr>
          <w:noProof/>
        </w:rPr>
        <w:t xml:space="preserve">Para não comprometer a futura evolução geral do quadro jurídico vigente, é oportuno prever que, se o Conselho, deliberando com base no artigo 113.º ou em qualquer outra disposição pertinente do Tratado sobre o Funcionamento da União Europeia, vier a adotar, durante o período de autorização estabelecido na presente decisão, um sistema geral alterado de tributação dos produtos energéticos e da eletricidade com o qual a presente autorização não seja compatível, a autorização deve deixar de se aplicar no dia em que essas regras gerais se tornarem aplicáveis. </w:t>
      </w:r>
    </w:p>
    <w:p w:rsidR="002E44B0" w:rsidRPr="00971FBD" w:rsidRDefault="002E44B0" w:rsidP="002E44B0">
      <w:pPr>
        <w:pStyle w:val="ManualConsidrant"/>
        <w:rPr>
          <w:noProof/>
        </w:rPr>
      </w:pPr>
      <w:r>
        <w:rPr>
          <w:noProof/>
        </w:rPr>
        <w:t>(10)</w:t>
      </w:r>
      <w:r>
        <w:rPr>
          <w:noProof/>
        </w:rPr>
        <w:tab/>
      </w:r>
      <w:r w:rsidRPr="00971FBD">
        <w:rPr>
          <w:noProof/>
        </w:rPr>
        <w:t xml:space="preserve">A presente decisão não prejudica a aplicação das regras da União em matéria de auxílios estatais, </w:t>
      </w:r>
    </w:p>
    <w:p w:rsidR="00FB0094" w:rsidRPr="00971FBD" w:rsidRDefault="00FB0094" w:rsidP="00CE1658">
      <w:pPr>
        <w:pStyle w:val="Formuledadoption"/>
        <w:rPr>
          <w:noProof/>
        </w:rPr>
      </w:pPr>
      <w:r w:rsidRPr="00971FBD">
        <w:rPr>
          <w:noProof/>
        </w:rPr>
        <w:t xml:space="preserve">ADOTOU A PRESENTE DECISÃO: </w:t>
      </w:r>
    </w:p>
    <w:p w:rsidR="00FB0094" w:rsidRPr="00971FBD" w:rsidRDefault="00FB0094" w:rsidP="00CE1658">
      <w:pPr>
        <w:pStyle w:val="Titrearticle"/>
        <w:rPr>
          <w:noProof/>
        </w:rPr>
      </w:pPr>
      <w:r w:rsidRPr="00971FBD">
        <w:rPr>
          <w:noProof/>
        </w:rPr>
        <w:t>Artigo 1.º</w:t>
      </w:r>
    </w:p>
    <w:p w:rsidR="007459E1" w:rsidRPr="00971FBD" w:rsidRDefault="007459E1" w:rsidP="005645E4">
      <w:pPr>
        <w:pStyle w:val="ManualNumPar1"/>
        <w:rPr>
          <w:noProof/>
        </w:rPr>
      </w:pPr>
      <w:r>
        <w:rPr>
          <w:noProof/>
        </w:rPr>
        <w:t>1.</w:t>
      </w:r>
      <w:r>
        <w:rPr>
          <w:noProof/>
        </w:rPr>
        <w:tab/>
      </w:r>
      <w:r w:rsidRPr="00971FBD">
        <w:rPr>
          <w:noProof/>
        </w:rPr>
        <w:t>A Suécia é autorizada a aplicar uma taxa reduzida do imposto especial sobre a eletricidade consumida por famílias e empresas do setor dos serviços situadas nos municípios enumerados no anexo.</w:t>
      </w:r>
      <w:r w:rsidRPr="00971FBD">
        <w:rPr>
          <w:noProof/>
        </w:rPr>
        <w:tab/>
      </w:r>
      <w:r w:rsidRPr="00971FBD">
        <w:rPr>
          <w:noProof/>
        </w:rPr>
        <w:br/>
      </w:r>
      <w:r w:rsidRPr="00971FBD">
        <w:rPr>
          <w:noProof/>
        </w:rPr>
        <w:br/>
        <w:t>A redução relativamente à taxa nacional do imposto sobre a eletricidade não deve ser superior ao necessário para compensar os custos suplementares com o aquecimento suportados nas zonas do norte, em comparação com o resto da Suécia, e não deve exceder o montante de 96 SEK por MWh.</w:t>
      </w:r>
    </w:p>
    <w:p w:rsidR="007459E1" w:rsidRPr="00971FBD" w:rsidRDefault="007459E1" w:rsidP="007459E1">
      <w:pPr>
        <w:pStyle w:val="ManualNumPar1"/>
        <w:rPr>
          <w:noProof/>
        </w:rPr>
      </w:pPr>
      <w:r>
        <w:rPr>
          <w:noProof/>
        </w:rPr>
        <w:t>2.</w:t>
      </w:r>
      <w:r>
        <w:rPr>
          <w:noProof/>
        </w:rPr>
        <w:tab/>
      </w:r>
      <w:r w:rsidRPr="00971FBD">
        <w:rPr>
          <w:noProof/>
        </w:rPr>
        <w:t>As taxas reduzidas devem respeitar as exigências impostas pela Diretiva 2003/96/CE, nomeadamente, as taxas mínimas referidas no artigo 10.º.</w:t>
      </w:r>
    </w:p>
    <w:p w:rsidR="00F60B91" w:rsidRPr="00971FBD" w:rsidRDefault="00F60B91" w:rsidP="00B96D7F">
      <w:pPr>
        <w:jc w:val="center"/>
        <w:rPr>
          <w:i/>
          <w:iCs/>
          <w:noProof/>
        </w:rPr>
      </w:pPr>
    </w:p>
    <w:p w:rsidR="00B96D7F" w:rsidRPr="00971FBD" w:rsidRDefault="00B96D7F" w:rsidP="00B96D7F">
      <w:pPr>
        <w:jc w:val="center"/>
        <w:rPr>
          <w:i/>
          <w:iCs/>
          <w:noProof/>
        </w:rPr>
      </w:pPr>
      <w:r w:rsidRPr="00971FBD">
        <w:rPr>
          <w:i/>
          <w:noProof/>
        </w:rPr>
        <w:t>Artigo 2.º</w:t>
      </w:r>
    </w:p>
    <w:p w:rsidR="00B96D7F" w:rsidRPr="00971FBD" w:rsidRDefault="00B96D7F" w:rsidP="00B96D7F">
      <w:pPr>
        <w:keepNext/>
        <w:keepLines/>
        <w:widowControl w:val="0"/>
        <w:rPr>
          <w:rFonts w:eastAsia="Times New Roman"/>
          <w:noProof/>
          <w:szCs w:val="24"/>
        </w:rPr>
      </w:pPr>
      <w:r w:rsidRPr="00971FBD">
        <w:rPr>
          <w:noProof/>
        </w:rPr>
        <w:lastRenderedPageBreak/>
        <w:t>A presente decisão é aplicável de 1 de janeiro de 2024 a 31 de dezembro de 2027.</w:t>
      </w:r>
    </w:p>
    <w:p w:rsidR="00FB0094" w:rsidRPr="00971FBD" w:rsidRDefault="00FB0094" w:rsidP="005B55E9">
      <w:pPr>
        <w:pStyle w:val="Titrearticle"/>
        <w:rPr>
          <w:noProof/>
        </w:rPr>
      </w:pPr>
      <w:r w:rsidRPr="00971FBD">
        <w:rPr>
          <w:noProof/>
        </w:rPr>
        <w:t>Artigo 3.º</w:t>
      </w:r>
    </w:p>
    <w:p w:rsidR="00B96D7F" w:rsidRPr="00971FBD" w:rsidRDefault="00B96D7F" w:rsidP="00B96D7F">
      <w:pPr>
        <w:keepNext/>
        <w:keepLines/>
        <w:rPr>
          <w:rFonts w:eastAsia="Times New Roman"/>
          <w:noProof/>
          <w:szCs w:val="24"/>
        </w:rPr>
      </w:pPr>
      <w:r w:rsidRPr="00971FBD">
        <w:rPr>
          <w:noProof/>
          <w:color w:val="000000"/>
        </w:rPr>
        <w:t xml:space="preserve">O destinatário da presente decisão é </w:t>
      </w:r>
      <w:r w:rsidRPr="00971FBD">
        <w:rPr>
          <w:noProof/>
        </w:rPr>
        <w:t>o Reino da Suécia.</w:t>
      </w:r>
    </w:p>
    <w:p w:rsidR="009F1042" w:rsidRPr="00971FBD" w:rsidRDefault="00971FBD" w:rsidP="005B55E9">
      <w:pPr>
        <w:pStyle w:val="Fait"/>
        <w:rPr>
          <w:noProof/>
        </w:rPr>
      </w:pPr>
      <w:r>
        <w:rPr>
          <w:noProof/>
        </w:rPr>
        <w:t>Feito em Bruxelas, em</w:t>
      </w:r>
    </w:p>
    <w:p w:rsidR="009F1042" w:rsidRPr="00971FBD" w:rsidRDefault="009F1042" w:rsidP="005B55E9">
      <w:pPr>
        <w:pStyle w:val="Institutionquisigne"/>
        <w:rPr>
          <w:noProof/>
        </w:rPr>
      </w:pPr>
      <w:r w:rsidRPr="00971FBD">
        <w:rPr>
          <w:noProof/>
        </w:rPr>
        <w:tab/>
        <w:t>Pelo Conselho</w:t>
      </w:r>
    </w:p>
    <w:p w:rsidR="009F1042" w:rsidRPr="00971FBD" w:rsidRDefault="009F1042" w:rsidP="009F1042">
      <w:pPr>
        <w:pStyle w:val="Personnequisigne"/>
        <w:rPr>
          <w:noProof/>
        </w:rPr>
      </w:pPr>
      <w:r w:rsidRPr="00971FBD">
        <w:rPr>
          <w:noProof/>
        </w:rPr>
        <w:tab/>
        <w:t>O Presidente</w:t>
      </w:r>
    </w:p>
    <w:sectPr w:rsidR="009F1042" w:rsidRPr="00971FBD" w:rsidSect="008E3BFB">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0094" w:rsidRDefault="00FB0094" w:rsidP="00FB0094">
      <w:pPr>
        <w:spacing w:before="0" w:after="0"/>
      </w:pPr>
      <w:r>
        <w:separator/>
      </w:r>
    </w:p>
  </w:endnote>
  <w:endnote w:type="continuationSeparator" w:id="0">
    <w:p w:rsidR="00FB0094" w:rsidRDefault="00FB0094" w:rsidP="00FB009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BFB" w:rsidRPr="008E3BFB" w:rsidRDefault="008E3BFB" w:rsidP="008E3BFB">
    <w:pPr>
      <w:pStyle w:val="Footer"/>
      <w:rPr>
        <w:rFonts w:ascii="Arial" w:hAnsi="Arial" w:cs="Arial"/>
        <w:b/>
        <w:sz w:val="48"/>
      </w:rPr>
    </w:pPr>
    <w:r w:rsidRPr="008E3BFB">
      <w:rPr>
        <w:rFonts w:ascii="Arial" w:hAnsi="Arial" w:cs="Arial"/>
        <w:b/>
        <w:sz w:val="48"/>
      </w:rPr>
      <w:t>PT</w:t>
    </w:r>
    <w:r w:rsidRPr="008E3BFB">
      <w:rPr>
        <w:rFonts w:ascii="Arial" w:hAnsi="Arial" w:cs="Arial"/>
        <w:b/>
        <w:sz w:val="48"/>
      </w:rPr>
      <w:tab/>
    </w:r>
    <w:r w:rsidRPr="008E3BFB">
      <w:rPr>
        <w:rFonts w:ascii="Arial" w:hAnsi="Arial" w:cs="Arial"/>
        <w:b/>
        <w:sz w:val="48"/>
      </w:rPr>
      <w:tab/>
    </w:r>
    <w:r w:rsidRPr="008E3BFB">
      <w:tab/>
    </w:r>
    <w:r w:rsidRPr="008E3BFB">
      <w:rPr>
        <w:rFonts w:ascii="Arial" w:hAnsi="Arial" w:cs="Arial"/>
        <w:b/>
        <w:sz w:val="48"/>
      </w:rPr>
      <w:t>PT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BFB" w:rsidRPr="008E3BFB" w:rsidRDefault="008E3BFB" w:rsidP="008E3BFB">
    <w:pPr>
      <w:pStyle w:val="Footer"/>
      <w:rPr>
        <w:rFonts w:ascii="Arial" w:hAnsi="Arial" w:cs="Arial"/>
        <w:b/>
        <w:sz w:val="48"/>
      </w:rPr>
    </w:pPr>
    <w:r w:rsidRPr="008E3BFB">
      <w:rPr>
        <w:rFonts w:ascii="Arial" w:hAnsi="Arial" w:cs="Arial"/>
        <w:b/>
        <w:sz w:val="48"/>
      </w:rPr>
      <w:t>PT</w:t>
    </w:r>
    <w:r w:rsidRPr="008E3BFB">
      <w:rPr>
        <w:rFonts w:ascii="Arial" w:hAnsi="Arial" w:cs="Arial"/>
        <w:b/>
        <w:sz w:val="48"/>
      </w:rPr>
      <w:tab/>
    </w:r>
    <w:r w:rsidRPr="008E3BFB">
      <w:rPr>
        <w:rFonts w:ascii="Arial" w:hAnsi="Arial" w:cs="Arial"/>
        <w:b/>
        <w:sz w:val="48"/>
      </w:rPr>
      <w:tab/>
    </w:r>
    <w:r w:rsidRPr="008E3BFB">
      <w:tab/>
    </w:r>
    <w:r w:rsidRPr="008E3BFB">
      <w:rPr>
        <w:rFonts w:ascii="Arial" w:hAnsi="Arial" w:cs="Arial"/>
        <w:b/>
        <w:sz w:val="48"/>
      </w:rPr>
      <w:t>PT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BFB" w:rsidRDefault="008E3BF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BFB" w:rsidRPr="008E3BFB" w:rsidRDefault="008E3BFB" w:rsidP="008E3BFB">
    <w:pPr>
      <w:pStyle w:val="Footer"/>
      <w:rPr>
        <w:rFonts w:ascii="Arial" w:hAnsi="Arial" w:cs="Arial"/>
        <w:b/>
        <w:sz w:val="48"/>
      </w:rPr>
    </w:pPr>
    <w:r w:rsidRPr="008E3BFB">
      <w:rPr>
        <w:rFonts w:ascii="Arial" w:hAnsi="Arial" w:cs="Arial"/>
        <w:b/>
        <w:sz w:val="48"/>
      </w:rPr>
      <w:t>PT</w:t>
    </w:r>
    <w:r w:rsidRPr="008E3BFB">
      <w:rPr>
        <w:rFonts w:ascii="Arial" w:hAnsi="Arial" w:cs="Arial"/>
        <w:b/>
        <w:sz w:val="48"/>
      </w:rPr>
      <w:tab/>
    </w:r>
    <w:r>
      <w:fldChar w:fldCharType="begin"/>
    </w:r>
    <w:r>
      <w:instrText xml:space="preserve"> PAGE  \* MERGEFORMAT </w:instrText>
    </w:r>
    <w:r>
      <w:fldChar w:fldCharType="separate"/>
    </w:r>
    <w:r w:rsidR="005B55E9">
      <w:rPr>
        <w:noProof/>
      </w:rPr>
      <w:t>10</w:t>
    </w:r>
    <w:r>
      <w:fldChar w:fldCharType="end"/>
    </w:r>
    <w:r>
      <w:tab/>
    </w:r>
    <w:r w:rsidRPr="008E3BFB">
      <w:tab/>
    </w:r>
    <w:r w:rsidRPr="008E3BFB">
      <w:rPr>
        <w:rFonts w:ascii="Arial" w:hAnsi="Arial" w:cs="Arial"/>
        <w:b/>
        <w:sz w:val="48"/>
      </w:rPr>
      <w:t>PT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BFB" w:rsidRDefault="008E3BFB" w:rsidP="008E3B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0094" w:rsidRDefault="00FB0094" w:rsidP="00FB0094">
      <w:pPr>
        <w:spacing w:before="0" w:after="0"/>
      </w:pPr>
      <w:r>
        <w:separator/>
      </w:r>
    </w:p>
  </w:footnote>
  <w:footnote w:type="continuationSeparator" w:id="0">
    <w:p w:rsidR="00FB0094" w:rsidRDefault="00FB0094" w:rsidP="00FB0094">
      <w:pPr>
        <w:spacing w:before="0" w:after="0"/>
      </w:pPr>
      <w:r>
        <w:continuationSeparator/>
      </w:r>
    </w:p>
  </w:footnote>
  <w:footnote w:id="1">
    <w:p w:rsidR="00D45911" w:rsidRPr="006B0F8A" w:rsidRDefault="00D45911" w:rsidP="00D45911">
      <w:pPr>
        <w:pStyle w:val="FootnoteText"/>
      </w:pPr>
      <w:r>
        <w:rPr>
          <w:rStyle w:val="FootnoteReference"/>
        </w:rPr>
        <w:footnoteRef/>
      </w:r>
      <w:r>
        <w:tab/>
        <w:t>Diretiva 2003/96/CE do Conselho, de 27 de outubro de 2003, que reestrutura o quadro comunitário de tributação dos produtos energéticos e da eletricidade (JO L 283 de 31.10.2003, p. 51).</w:t>
      </w:r>
    </w:p>
  </w:footnote>
  <w:footnote w:id="2">
    <w:p w:rsidR="00A955FF" w:rsidRPr="00303C2A" w:rsidRDefault="00A955FF">
      <w:pPr>
        <w:pStyle w:val="FootnoteText"/>
      </w:pPr>
      <w:r>
        <w:rPr>
          <w:rStyle w:val="FootnoteReference"/>
        </w:rPr>
        <w:footnoteRef/>
      </w:r>
      <w:r>
        <w:tab/>
        <w:t>JO L 342 de 21.12.2017, p. 10.</w:t>
      </w:r>
    </w:p>
  </w:footnote>
  <w:footnote w:id="3">
    <w:p w:rsidR="00BF4283" w:rsidRDefault="00BF4283" w:rsidP="00BF4283">
      <w:pPr>
        <w:pStyle w:val="FootnoteText"/>
      </w:pPr>
      <w:r>
        <w:rPr>
          <w:rStyle w:val="FootnoteReference"/>
        </w:rPr>
        <w:footnoteRef/>
      </w:r>
      <w:r>
        <w:tab/>
        <w:t>Com base na taxa de câmbio SEK/EUR em vigor em 3 de outubro de 2022 (10,8743 SEK = 1 EUR). Ver, a este respeito, o artigo 13.º, n.º 1 da Diretiva 2003/96/CE e JO C 331 de 3.10.2017, p. 3.</w:t>
      </w:r>
    </w:p>
  </w:footnote>
  <w:footnote w:id="4">
    <w:p w:rsidR="00421F34" w:rsidRPr="00421F34" w:rsidRDefault="00421F34" w:rsidP="00421F34">
      <w:pPr>
        <w:pStyle w:val="FootnoteText"/>
      </w:pPr>
      <w:r>
        <w:rPr>
          <w:rStyle w:val="FootnoteReference"/>
        </w:rPr>
        <w:footnoteRef/>
      </w:r>
      <w:r>
        <w:tab/>
        <w:t>A Suécia está subdividida em quatro zonas de preços (de sul a norte): Malmö (SE4), Estocolmo (SE3), Sundsvall (SE2) e Luleå (SE1).</w:t>
      </w:r>
    </w:p>
  </w:footnote>
  <w:footnote w:id="5">
    <w:p w:rsidR="005708F9" w:rsidRPr="00C776D1" w:rsidRDefault="005708F9" w:rsidP="005708F9">
      <w:pPr>
        <w:pStyle w:val="FootnoteText"/>
      </w:pPr>
      <w:r>
        <w:rPr>
          <w:rStyle w:val="FootnoteReference"/>
        </w:rPr>
        <w:footnoteRef/>
      </w:r>
      <w:r>
        <w:tab/>
        <w:t>Regiões de eletricidade SE1 e SE2.</w:t>
      </w:r>
    </w:p>
  </w:footnote>
  <w:footnote w:id="6">
    <w:p w:rsidR="00B379C4" w:rsidRPr="00B379C4" w:rsidRDefault="00B379C4">
      <w:pPr>
        <w:pStyle w:val="FootnoteText"/>
      </w:pPr>
      <w:r>
        <w:rPr>
          <w:rStyle w:val="FootnoteReference"/>
        </w:rPr>
        <w:footnoteRef/>
      </w:r>
      <w:r>
        <w:tab/>
        <w:t>Ver Lei n.º 1776 de 1994 relativa à tributação da energia, capítulo 11, secções 4, 9 e 17.</w:t>
      </w:r>
    </w:p>
  </w:footnote>
  <w:footnote w:id="7">
    <w:p w:rsidR="0096160B" w:rsidRDefault="0096160B" w:rsidP="0096160B">
      <w:pPr>
        <w:pStyle w:val="FootnoteText"/>
      </w:pPr>
      <w:r>
        <w:rPr>
          <w:rStyle w:val="FootnoteReference"/>
        </w:rPr>
        <w:footnoteRef/>
      </w:r>
      <w:r>
        <w:tab/>
        <w:t>Ver, nomeadamente, os considerandos 6 e 7.</w:t>
      </w:r>
    </w:p>
  </w:footnote>
  <w:footnote w:id="8">
    <w:p w:rsidR="0096160B" w:rsidRDefault="0096160B" w:rsidP="0096160B">
      <w:pPr>
        <w:pStyle w:val="FootnoteText"/>
      </w:pPr>
      <w:r>
        <w:rPr>
          <w:rStyle w:val="FootnoteReference"/>
        </w:rPr>
        <w:footnoteRef/>
      </w:r>
      <w:r>
        <w:tab/>
        <w:t xml:space="preserve">Com base no artigo 5.º da Diretiva 2003/96/CE, os Estados-Membros podem aplicar taxas de imposto diferenciadas entre a utilização profissional e a utilização não profissional. Com base no artigo 11.º, n.º 4, da Diretiva 2003/96/CE, os Estados-Membros podem limitar o âmbito de aplicação do nível reduzido de tributação para a utilização profissional. Segundo as informações fornecidas pela Suécia, o âmbito de aplicação da taxa aplicável à utilização profissional da eletricidade foi limitado ao setor da indústria transformadora. Por conseguinte, a taxa de imposto para a utilização não profissional aplica-se tanto às famílias como às empresas do setor dos serviços. O nível mínimo de tributação da UE para a utilização não profissional é de 1 EUR por MWh. </w:t>
      </w:r>
    </w:p>
  </w:footnote>
  <w:footnote w:id="9">
    <w:p w:rsidR="00B216E7" w:rsidRPr="00D42B9B" w:rsidRDefault="00B216E7" w:rsidP="00B216E7">
      <w:pPr>
        <w:pStyle w:val="FootnoteText"/>
      </w:pPr>
      <w:r>
        <w:rPr>
          <w:rStyle w:val="FootnoteReference"/>
        </w:rPr>
        <w:footnoteRef/>
      </w:r>
      <w:r>
        <w:tab/>
        <w:t xml:space="preserve">Comunicação da Comissão ao Parlamento Europeu, ao Conselho Europeu, ao Conselho, ao Comité Económico e Social Europeu e ao Comité das Regiões </w:t>
      </w:r>
      <w:r>
        <w:rPr>
          <w:i/>
        </w:rPr>
        <w:t>REPowerEU: ação conjunta europeia para uma energia mais segura e mais sustentável a preços mais acessíveis</w:t>
      </w:r>
      <w:r>
        <w:t xml:space="preserve"> [COM(2022) 108 final de 8.3.2022].</w:t>
      </w:r>
    </w:p>
    <w:p w:rsidR="00B216E7" w:rsidRPr="00BF6772" w:rsidRDefault="00B216E7" w:rsidP="00B216E7">
      <w:pPr>
        <w:pStyle w:val="FootnoteText"/>
        <w:rPr>
          <w:lang w:val="en-IE"/>
        </w:rPr>
      </w:pPr>
    </w:p>
  </w:footnote>
  <w:footnote w:id="10">
    <w:p w:rsidR="00B96D7F" w:rsidRDefault="00B96D7F" w:rsidP="00B96D7F">
      <w:pPr>
        <w:pStyle w:val="FootnoteText"/>
      </w:pPr>
      <w:r>
        <w:rPr>
          <w:rStyle w:val="FootnoteReference"/>
        </w:rPr>
        <w:footnoteRef/>
      </w:r>
      <w:r>
        <w:tab/>
        <w:t>JO L 283 de 31.10.2003, p. 51.</w:t>
      </w:r>
    </w:p>
  </w:footnote>
  <w:footnote w:id="11">
    <w:p w:rsidR="002E44B0" w:rsidRPr="00754A43" w:rsidRDefault="002E44B0" w:rsidP="00754A43">
      <w:pPr>
        <w:pStyle w:val="FootnoteText"/>
      </w:pPr>
      <w:r>
        <w:rPr>
          <w:rStyle w:val="FootnoteReference"/>
        </w:rPr>
        <w:footnoteRef/>
      </w:r>
      <w:r>
        <w:tab/>
        <w:t>Decisão de Execução (UE) 2017/2409 do Conselho, de 18 de dezembro de 2017, que autoriza a Suécia a aplicar uma taxa reduzida do imposto especial sobre a eletricidade consumida por famílias e empresas do setor dos serviços situadas em determinadas zonas do norte da Suécia, nos termos do artigo 19.º da Diretiva 2003/96/CE (JO L 342 de 21.12.2017, p. 10, ELI: http://data.europa.eu/eli/dec_impl/2017/2409/oj).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BFB" w:rsidRDefault="008E3B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BFB" w:rsidRDefault="008E3B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566EE36"/>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6A581C88"/>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DECBFA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7E68CE20"/>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538C9B00"/>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8"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0"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1"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2"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3"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4"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5"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7"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9"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4"/>
  </w:num>
  <w:num w:numId="2">
    <w:abstractNumId w:val="19"/>
    <w:lvlOverride w:ilvl="0">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0"/>
  </w:num>
  <w:num w:numId="9">
    <w:abstractNumId w:val="16"/>
  </w:num>
  <w:num w:numId="10">
    <w:abstractNumId w:val="9"/>
  </w:num>
  <w:num w:numId="11">
    <w:abstractNumId w:val="18"/>
  </w:num>
  <w:num w:numId="12">
    <w:abstractNumId w:val="8"/>
  </w:num>
  <w:num w:numId="13">
    <w:abstractNumId w:val="10"/>
  </w:num>
  <w:num w:numId="14">
    <w:abstractNumId w:val="11"/>
  </w:num>
  <w:num w:numId="15">
    <w:abstractNumId w:val="6"/>
  </w:num>
  <w:num w:numId="16">
    <w:abstractNumId w:val="17"/>
  </w:num>
  <w:num w:numId="17">
    <w:abstractNumId w:val="5"/>
  </w:num>
  <w:num w:numId="18">
    <w:abstractNumId w:val="12"/>
  </w:num>
  <w:num w:numId="19">
    <w:abstractNumId w:val="14"/>
  </w:num>
  <w:num w:numId="20">
    <w:abstractNumId w:val="15"/>
  </w:num>
  <w:num w:numId="21">
    <w:abstractNumId w:val="7"/>
  </w:num>
  <w:num w:numId="22">
    <w:abstractNumId w:val="13"/>
  </w:num>
  <w:num w:numId="23">
    <w:abstractNumId w:val="19"/>
  </w:num>
  <w:num w:numId="24">
    <w:abstractNumId w:val="16"/>
  </w:num>
  <w:num w:numId="25">
    <w:abstractNumId w:val="9"/>
  </w:num>
  <w:num w:numId="26">
    <w:abstractNumId w:val="18"/>
  </w:num>
  <w:num w:numId="27">
    <w:abstractNumId w:val="8"/>
  </w:num>
  <w:num w:numId="28">
    <w:abstractNumId w:val="10"/>
  </w:num>
  <w:num w:numId="29">
    <w:abstractNumId w:val="11"/>
  </w:num>
  <w:num w:numId="30">
    <w:abstractNumId w:val="6"/>
  </w:num>
  <w:num w:numId="31">
    <w:abstractNumId w:val="17"/>
  </w:num>
  <w:num w:numId="32">
    <w:abstractNumId w:val="5"/>
  </w:num>
  <w:num w:numId="33">
    <w:abstractNumId w:val="12"/>
  </w:num>
  <w:num w:numId="34">
    <w:abstractNumId w:val="14"/>
  </w:num>
  <w:num w:numId="35">
    <w:abstractNumId w:val="15"/>
  </w:num>
  <w:num w:numId="36">
    <w:abstractNumId w:val="7"/>
  </w:num>
  <w:num w:numId="37">
    <w:abstractNumId w:val="13"/>
  </w:num>
  <w:num w:numId="38">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4-01-23 10:31:05"/>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83415E6A-DD0F-4F1E-BDC9-1FF094A423DF"/>
    <w:docVar w:name="LW_COVERPAGE_TYPE" w:val="1"/>
    <w:docVar w:name="LW_CROSSREFERENCE" w:val="&lt;UNUSED&gt;"/>
    <w:docVar w:name="LW_DocType" w:val="COM"/>
    <w:docVar w:name="LW_EMISSION" w:val="30.1.2024"/>
    <w:docVar w:name="LW_EMISSION_ISODATE" w:val="2024-01-30"/>
    <w:docVar w:name="LW_EMISSION_LOCATION" w:val="BRX"/>
    <w:docVar w:name="LW_EMISSION_PREFIX" w:val="Bruxelas, "/>
    <w:docVar w:name="LW_EMISSION_SUFFIX" w:val=" "/>
    <w:docVar w:name="LW_ID_DOCMODEL" w:val="SJ-020"/>
    <w:docVar w:name="LW_ID_DOCSIGNATURE" w:val="SJ-020"/>
    <w:docVar w:name="LW_ID_DOCSTRUCTURE" w:val="COM/PL/ORG"/>
    <w:docVar w:name="LW_ID_DOCTYPE" w:val="SJ-020"/>
    <w:docVar w:name="LW_ID_STATUT" w:val="SJ-020"/>
    <w:docVar w:name="LW_INSERT_EXP.MOTIFS.NEW" w:val="1"/>
    <w:docVar w:name="LW_INTERETEEE.CP" w:val="&lt;UNUSED&gt;"/>
    <w:docVar w:name="LW_LANGUE" w:val="PT"/>
    <w:docVar w:name="LW_LEVEL_OF_SENSITIVITY" w:val="Standard treatment"/>
    <w:docVar w:name="LW_NOM.INST" w:val="COMISSÃO EUROPEIA"/>
    <w:docVar w:name="LW_NOM.INST_JOINTDOC" w:val="&lt;EMPTY&gt;"/>
    <w:docVar w:name="LW_PART_NBR" w:val="1"/>
    <w:docVar w:name="LW_PART_NBR_TOTAL" w:val="1"/>
    <w:docVar w:name="LW_REF.II.NEW.CP" w:val="NLE"/>
    <w:docVar w:name="LW_REF.II.NEW.CP_NUMBER" w:val="0015"/>
    <w:docVar w:name="LW_REF.II.NEW.CP_YEAR" w:val="2024"/>
    <w:docVar w:name="LW_REF.INST.NEW" w:val="COM"/>
    <w:docVar w:name="LW_REF.INST.NEW_ADOPTED" w:val="final"/>
    <w:docVar w:name="LW_REF.INST.NEW_TEXT" w:val="(2024) 39"/>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ta de"/>
    <w:docVar w:name="LW_SUPERTITRE" w:val="&lt;UNUSED&gt;"/>
    <w:docVar w:name="LW_TITRE.OBJ.CP" w:val="que autoriza a Suécia a aplicar taxas reduzidas do imposto especial sobre a eletricidade consumida por famílias e empresas do setor dos serviços situadas em determinadas zonas do norte da Suécia"/>
    <w:docVar w:name="LW_TYPE.DOC.CP" w:val="DECISÃO DE EXECUÇÃO DO CONSELHO"/>
    <w:docVar w:name="LwApiVersions" w:val="LW4CoDe 1.24.4.0; LW 9.0, Build 20240109"/>
  </w:docVars>
  <w:rsids>
    <w:rsidRoot w:val="00FB0094"/>
    <w:rsid w:val="00005D1A"/>
    <w:rsid w:val="00017314"/>
    <w:rsid w:val="00021A98"/>
    <w:rsid w:val="000328BA"/>
    <w:rsid w:val="00037FD7"/>
    <w:rsid w:val="00043CD4"/>
    <w:rsid w:val="0004733A"/>
    <w:rsid w:val="000602F4"/>
    <w:rsid w:val="000622E0"/>
    <w:rsid w:val="0006290A"/>
    <w:rsid w:val="0007641D"/>
    <w:rsid w:val="000A0C34"/>
    <w:rsid w:val="000A781C"/>
    <w:rsid w:val="000A7B17"/>
    <w:rsid w:val="000B5787"/>
    <w:rsid w:val="000C260F"/>
    <w:rsid w:val="000C2F1A"/>
    <w:rsid w:val="000C5FE7"/>
    <w:rsid w:val="000E75BC"/>
    <w:rsid w:val="000F2839"/>
    <w:rsid w:val="001065F5"/>
    <w:rsid w:val="00113024"/>
    <w:rsid w:val="001219B6"/>
    <w:rsid w:val="001238EF"/>
    <w:rsid w:val="00134750"/>
    <w:rsid w:val="00140AC7"/>
    <w:rsid w:val="00141FC6"/>
    <w:rsid w:val="0014510D"/>
    <w:rsid w:val="00150D7F"/>
    <w:rsid w:val="0016514C"/>
    <w:rsid w:val="00197613"/>
    <w:rsid w:val="001978C8"/>
    <w:rsid w:val="001A2F82"/>
    <w:rsid w:val="001A4A3C"/>
    <w:rsid w:val="001A4F5B"/>
    <w:rsid w:val="001A5953"/>
    <w:rsid w:val="001B1F1B"/>
    <w:rsid w:val="001C27F9"/>
    <w:rsid w:val="001D089E"/>
    <w:rsid w:val="001E3ACA"/>
    <w:rsid w:val="001F2D7A"/>
    <w:rsid w:val="002027A0"/>
    <w:rsid w:val="00206CB6"/>
    <w:rsid w:val="00233DC7"/>
    <w:rsid w:val="002349A5"/>
    <w:rsid w:val="00247779"/>
    <w:rsid w:val="002478AD"/>
    <w:rsid w:val="00254108"/>
    <w:rsid w:val="00264410"/>
    <w:rsid w:val="0027557A"/>
    <w:rsid w:val="00285BEE"/>
    <w:rsid w:val="0029533F"/>
    <w:rsid w:val="00295AAF"/>
    <w:rsid w:val="002966B1"/>
    <w:rsid w:val="002B30AF"/>
    <w:rsid w:val="002B68B7"/>
    <w:rsid w:val="002E44B0"/>
    <w:rsid w:val="002F55D2"/>
    <w:rsid w:val="0030169B"/>
    <w:rsid w:val="00303C2A"/>
    <w:rsid w:val="00327B22"/>
    <w:rsid w:val="0033129A"/>
    <w:rsid w:val="00331BD3"/>
    <w:rsid w:val="0033344A"/>
    <w:rsid w:val="0033593A"/>
    <w:rsid w:val="00340331"/>
    <w:rsid w:val="00352DDA"/>
    <w:rsid w:val="003664D0"/>
    <w:rsid w:val="00381CDB"/>
    <w:rsid w:val="0039505A"/>
    <w:rsid w:val="003B7546"/>
    <w:rsid w:val="003C0B7B"/>
    <w:rsid w:val="003C7DD6"/>
    <w:rsid w:val="003D04C8"/>
    <w:rsid w:val="003D3B06"/>
    <w:rsid w:val="003E16D4"/>
    <w:rsid w:val="003E64F8"/>
    <w:rsid w:val="003F5674"/>
    <w:rsid w:val="00407428"/>
    <w:rsid w:val="00407B54"/>
    <w:rsid w:val="0041249C"/>
    <w:rsid w:val="00421F34"/>
    <w:rsid w:val="0042482A"/>
    <w:rsid w:val="0042648E"/>
    <w:rsid w:val="004368BC"/>
    <w:rsid w:val="00437AF2"/>
    <w:rsid w:val="004551C6"/>
    <w:rsid w:val="0046490E"/>
    <w:rsid w:val="00471969"/>
    <w:rsid w:val="00471B11"/>
    <w:rsid w:val="00483734"/>
    <w:rsid w:val="004936D2"/>
    <w:rsid w:val="00494D3B"/>
    <w:rsid w:val="004C4F0F"/>
    <w:rsid w:val="004D562A"/>
    <w:rsid w:val="004D7C16"/>
    <w:rsid w:val="004F357D"/>
    <w:rsid w:val="004F4EE3"/>
    <w:rsid w:val="004F5013"/>
    <w:rsid w:val="005137DC"/>
    <w:rsid w:val="0052255E"/>
    <w:rsid w:val="005367F7"/>
    <w:rsid w:val="005368DA"/>
    <w:rsid w:val="005511E5"/>
    <w:rsid w:val="0056352B"/>
    <w:rsid w:val="005645E4"/>
    <w:rsid w:val="005708F9"/>
    <w:rsid w:val="005742FF"/>
    <w:rsid w:val="0059329D"/>
    <w:rsid w:val="005A4F21"/>
    <w:rsid w:val="005B1EB6"/>
    <w:rsid w:val="005B55E9"/>
    <w:rsid w:val="005F2EED"/>
    <w:rsid w:val="00623E57"/>
    <w:rsid w:val="00630170"/>
    <w:rsid w:val="00632182"/>
    <w:rsid w:val="006349AB"/>
    <w:rsid w:val="00640032"/>
    <w:rsid w:val="006818F9"/>
    <w:rsid w:val="006845F5"/>
    <w:rsid w:val="00696F3C"/>
    <w:rsid w:val="00697C57"/>
    <w:rsid w:val="006A47C4"/>
    <w:rsid w:val="006A7F66"/>
    <w:rsid w:val="006B28A5"/>
    <w:rsid w:val="006B60A2"/>
    <w:rsid w:val="006C791A"/>
    <w:rsid w:val="006D0875"/>
    <w:rsid w:val="006E1AD0"/>
    <w:rsid w:val="006E3058"/>
    <w:rsid w:val="006F0333"/>
    <w:rsid w:val="006F70EF"/>
    <w:rsid w:val="00724484"/>
    <w:rsid w:val="00733976"/>
    <w:rsid w:val="007459E1"/>
    <w:rsid w:val="00754A43"/>
    <w:rsid w:val="007725CF"/>
    <w:rsid w:val="00773331"/>
    <w:rsid w:val="007765F4"/>
    <w:rsid w:val="0078249F"/>
    <w:rsid w:val="0079022C"/>
    <w:rsid w:val="007932EF"/>
    <w:rsid w:val="007A64F9"/>
    <w:rsid w:val="007C001B"/>
    <w:rsid w:val="007C3433"/>
    <w:rsid w:val="007D46C2"/>
    <w:rsid w:val="007E05B0"/>
    <w:rsid w:val="008202C1"/>
    <w:rsid w:val="008210F2"/>
    <w:rsid w:val="00827905"/>
    <w:rsid w:val="00843478"/>
    <w:rsid w:val="0085520B"/>
    <w:rsid w:val="008607B5"/>
    <w:rsid w:val="00874D22"/>
    <w:rsid w:val="008759BA"/>
    <w:rsid w:val="008A2914"/>
    <w:rsid w:val="008C1AC3"/>
    <w:rsid w:val="008D20FC"/>
    <w:rsid w:val="008E3BFB"/>
    <w:rsid w:val="008E4D8E"/>
    <w:rsid w:val="009067B2"/>
    <w:rsid w:val="00907991"/>
    <w:rsid w:val="00921A34"/>
    <w:rsid w:val="00924664"/>
    <w:rsid w:val="00924912"/>
    <w:rsid w:val="00927E3B"/>
    <w:rsid w:val="00941901"/>
    <w:rsid w:val="00952189"/>
    <w:rsid w:val="00953A99"/>
    <w:rsid w:val="00953B72"/>
    <w:rsid w:val="0095678F"/>
    <w:rsid w:val="0096160B"/>
    <w:rsid w:val="00971FBD"/>
    <w:rsid w:val="00973648"/>
    <w:rsid w:val="00987C0D"/>
    <w:rsid w:val="0099156C"/>
    <w:rsid w:val="009B428B"/>
    <w:rsid w:val="009B48E6"/>
    <w:rsid w:val="009C4609"/>
    <w:rsid w:val="009D7A61"/>
    <w:rsid w:val="009F1042"/>
    <w:rsid w:val="009F7D7F"/>
    <w:rsid w:val="00A023B8"/>
    <w:rsid w:val="00A12BFC"/>
    <w:rsid w:val="00A62069"/>
    <w:rsid w:val="00A74898"/>
    <w:rsid w:val="00A85115"/>
    <w:rsid w:val="00A955FF"/>
    <w:rsid w:val="00AA04AB"/>
    <w:rsid w:val="00AA130B"/>
    <w:rsid w:val="00AA3B1C"/>
    <w:rsid w:val="00AA7332"/>
    <w:rsid w:val="00AC24F0"/>
    <w:rsid w:val="00AD769D"/>
    <w:rsid w:val="00AF2A63"/>
    <w:rsid w:val="00AF547D"/>
    <w:rsid w:val="00B16E33"/>
    <w:rsid w:val="00B202B3"/>
    <w:rsid w:val="00B21245"/>
    <w:rsid w:val="00B216E7"/>
    <w:rsid w:val="00B379C4"/>
    <w:rsid w:val="00B40B40"/>
    <w:rsid w:val="00B43851"/>
    <w:rsid w:val="00B456A0"/>
    <w:rsid w:val="00B51141"/>
    <w:rsid w:val="00B62030"/>
    <w:rsid w:val="00B64247"/>
    <w:rsid w:val="00B72693"/>
    <w:rsid w:val="00B75A92"/>
    <w:rsid w:val="00B96D7F"/>
    <w:rsid w:val="00BD580E"/>
    <w:rsid w:val="00BE3F20"/>
    <w:rsid w:val="00BF4283"/>
    <w:rsid w:val="00C12301"/>
    <w:rsid w:val="00C26A75"/>
    <w:rsid w:val="00C331F5"/>
    <w:rsid w:val="00C36883"/>
    <w:rsid w:val="00C45ADF"/>
    <w:rsid w:val="00C46D84"/>
    <w:rsid w:val="00C54E69"/>
    <w:rsid w:val="00C63843"/>
    <w:rsid w:val="00C64F10"/>
    <w:rsid w:val="00C776D1"/>
    <w:rsid w:val="00CD6250"/>
    <w:rsid w:val="00CE1793"/>
    <w:rsid w:val="00D00140"/>
    <w:rsid w:val="00D01E34"/>
    <w:rsid w:val="00D14D46"/>
    <w:rsid w:val="00D20381"/>
    <w:rsid w:val="00D24B25"/>
    <w:rsid w:val="00D4259A"/>
    <w:rsid w:val="00D4415A"/>
    <w:rsid w:val="00D45911"/>
    <w:rsid w:val="00D655DD"/>
    <w:rsid w:val="00D70F80"/>
    <w:rsid w:val="00D80F76"/>
    <w:rsid w:val="00D97686"/>
    <w:rsid w:val="00DC5816"/>
    <w:rsid w:val="00E12FFD"/>
    <w:rsid w:val="00E332B9"/>
    <w:rsid w:val="00E376A6"/>
    <w:rsid w:val="00E37DEE"/>
    <w:rsid w:val="00E4283A"/>
    <w:rsid w:val="00E50379"/>
    <w:rsid w:val="00E551C5"/>
    <w:rsid w:val="00E76906"/>
    <w:rsid w:val="00E875EA"/>
    <w:rsid w:val="00E91848"/>
    <w:rsid w:val="00EB3F4C"/>
    <w:rsid w:val="00EC26BC"/>
    <w:rsid w:val="00EC3D73"/>
    <w:rsid w:val="00ED32BC"/>
    <w:rsid w:val="00ED7059"/>
    <w:rsid w:val="00EE02D5"/>
    <w:rsid w:val="00EE6BC5"/>
    <w:rsid w:val="00EF6023"/>
    <w:rsid w:val="00F17650"/>
    <w:rsid w:val="00F21051"/>
    <w:rsid w:val="00F250B8"/>
    <w:rsid w:val="00F34F78"/>
    <w:rsid w:val="00F503D6"/>
    <w:rsid w:val="00F60B91"/>
    <w:rsid w:val="00F60F13"/>
    <w:rsid w:val="00F858C5"/>
    <w:rsid w:val="00FA2A73"/>
    <w:rsid w:val="00FA35CF"/>
    <w:rsid w:val="00FA6231"/>
    <w:rsid w:val="00FB0094"/>
    <w:rsid w:val="00FC1F7D"/>
    <w:rsid w:val="00FC38F8"/>
    <w:rsid w:val="00FE16B6"/>
    <w:rsid w:val="00FF2C31"/>
    <w:rsid w:val="00FF2E67"/>
    <w:rsid w:val="00FF7DD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15:docId w15:val="{2E744F5E-BB24-4D64-A028-9A1C3A919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pt-PT"/>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1"/>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1"/>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1"/>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FB0094"/>
    <w:pPr>
      <w:numPr>
        <w:numId w:val="1"/>
      </w:numPr>
    </w:pPr>
    <w:rPr>
      <w:rFonts w:eastAsia="Times New Roman"/>
      <w:lang w:eastAsia="en-GB"/>
    </w:rPr>
  </w:style>
  <w:style w:type="character" w:customStyle="1" w:styleId="Bodytext2">
    <w:name w:val="Body text (2)"/>
    <w:basedOn w:val="DefaultParagraphFont"/>
    <w:uiPriority w:val="99"/>
    <w:rsid w:val="00BF4283"/>
    <w:rPr>
      <w:u w:val="none"/>
    </w:rPr>
  </w:style>
  <w:style w:type="paragraph" w:styleId="ListNumber">
    <w:name w:val="List Number"/>
    <w:basedOn w:val="Normal"/>
    <w:uiPriority w:val="99"/>
    <w:semiHidden/>
    <w:unhideWhenUsed/>
    <w:rsid w:val="00BF4283"/>
    <w:pPr>
      <w:numPr>
        <w:numId w:val="4"/>
      </w:numPr>
      <w:contextualSpacing/>
    </w:pPr>
  </w:style>
  <w:style w:type="paragraph" w:styleId="ListBullet2">
    <w:name w:val="List Bullet 2"/>
    <w:basedOn w:val="Normal"/>
    <w:uiPriority w:val="99"/>
    <w:semiHidden/>
    <w:unhideWhenUsed/>
    <w:rsid w:val="00A955FF"/>
    <w:pPr>
      <w:numPr>
        <w:numId w:val="6"/>
      </w:numPr>
      <w:contextualSpacing/>
    </w:pPr>
  </w:style>
  <w:style w:type="paragraph" w:styleId="ListBullet3">
    <w:name w:val="List Bullet 3"/>
    <w:basedOn w:val="Normal"/>
    <w:uiPriority w:val="99"/>
    <w:semiHidden/>
    <w:unhideWhenUsed/>
    <w:rsid w:val="00A955FF"/>
    <w:pPr>
      <w:numPr>
        <w:numId w:val="7"/>
      </w:numPr>
      <w:contextualSpacing/>
    </w:pPr>
  </w:style>
  <w:style w:type="paragraph" w:styleId="ListBullet4">
    <w:name w:val="List Bullet 4"/>
    <w:basedOn w:val="Normal"/>
    <w:uiPriority w:val="99"/>
    <w:semiHidden/>
    <w:unhideWhenUsed/>
    <w:rsid w:val="00A955FF"/>
    <w:pPr>
      <w:numPr>
        <w:numId w:val="8"/>
      </w:numPr>
      <w:contextualSpacing/>
    </w:pPr>
  </w:style>
  <w:style w:type="character" w:styleId="CommentReference">
    <w:name w:val="annotation reference"/>
    <w:basedOn w:val="DefaultParagraphFont"/>
    <w:uiPriority w:val="99"/>
    <w:semiHidden/>
    <w:unhideWhenUsed/>
    <w:rsid w:val="0027557A"/>
    <w:rPr>
      <w:sz w:val="16"/>
      <w:szCs w:val="16"/>
    </w:rPr>
  </w:style>
  <w:style w:type="paragraph" w:styleId="CommentText">
    <w:name w:val="annotation text"/>
    <w:basedOn w:val="Normal"/>
    <w:link w:val="CommentTextChar"/>
    <w:uiPriority w:val="99"/>
    <w:unhideWhenUsed/>
    <w:rsid w:val="0027557A"/>
    <w:rPr>
      <w:sz w:val="20"/>
      <w:szCs w:val="20"/>
    </w:rPr>
  </w:style>
  <w:style w:type="character" w:customStyle="1" w:styleId="CommentTextChar">
    <w:name w:val="Comment Text Char"/>
    <w:basedOn w:val="DefaultParagraphFont"/>
    <w:link w:val="CommentText"/>
    <w:uiPriority w:val="99"/>
    <w:rsid w:val="0027557A"/>
    <w:rPr>
      <w:rFonts w:ascii="Times New Roman" w:hAnsi="Times New Roman" w:cs="Times New Roman"/>
      <w:sz w:val="20"/>
      <w:szCs w:val="20"/>
      <w:lang w:val="pt-PT"/>
    </w:rPr>
  </w:style>
  <w:style w:type="paragraph" w:styleId="CommentSubject">
    <w:name w:val="annotation subject"/>
    <w:basedOn w:val="CommentText"/>
    <w:next w:val="CommentText"/>
    <w:link w:val="CommentSubjectChar"/>
    <w:uiPriority w:val="99"/>
    <w:semiHidden/>
    <w:unhideWhenUsed/>
    <w:rsid w:val="0027557A"/>
    <w:rPr>
      <w:b/>
      <w:bCs/>
    </w:rPr>
  </w:style>
  <w:style w:type="character" w:customStyle="1" w:styleId="CommentSubjectChar">
    <w:name w:val="Comment Subject Char"/>
    <w:basedOn w:val="CommentTextChar"/>
    <w:link w:val="CommentSubject"/>
    <w:uiPriority w:val="99"/>
    <w:semiHidden/>
    <w:rsid w:val="0027557A"/>
    <w:rPr>
      <w:rFonts w:ascii="Times New Roman" w:hAnsi="Times New Roman" w:cs="Times New Roman"/>
      <w:b/>
      <w:bCs/>
      <w:sz w:val="20"/>
      <w:szCs w:val="20"/>
      <w:lang w:val="pt-PT"/>
    </w:rPr>
  </w:style>
  <w:style w:type="table" w:styleId="TableGrid">
    <w:name w:val="Table Grid"/>
    <w:basedOn w:val="TableNormal"/>
    <w:uiPriority w:val="59"/>
    <w:rsid w:val="001F2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75A92"/>
    <w:rPr>
      <w:color w:val="0000FF" w:themeColor="hyperlink"/>
      <w:u w:val="single"/>
    </w:rPr>
  </w:style>
  <w:style w:type="character" w:customStyle="1" w:styleId="UnresolvedMention">
    <w:name w:val="Unresolved Mention"/>
    <w:basedOn w:val="DefaultParagraphFont"/>
    <w:uiPriority w:val="99"/>
    <w:semiHidden/>
    <w:unhideWhenUsed/>
    <w:rsid w:val="00E332B9"/>
    <w:rPr>
      <w:color w:val="605E5C"/>
      <w:shd w:val="clear" w:color="auto" w:fill="E1DFDD"/>
    </w:rPr>
  </w:style>
  <w:style w:type="paragraph" w:styleId="Revision">
    <w:name w:val="Revision"/>
    <w:hidden/>
    <w:uiPriority w:val="99"/>
    <w:semiHidden/>
    <w:rsid w:val="00E332B9"/>
    <w:pPr>
      <w:spacing w:after="0" w:line="240" w:lineRule="auto"/>
    </w:pPr>
    <w:rPr>
      <w:rFonts w:ascii="Times New Roman" w:hAnsi="Times New Roman" w:cs="Times New Roman"/>
      <w:sz w:val="24"/>
    </w:rPr>
  </w:style>
  <w:style w:type="character" w:customStyle="1" w:styleId="HeaderChar">
    <w:name w:val="Header Char"/>
    <w:basedOn w:val="DefaultParagraphFont"/>
    <w:link w:val="Header"/>
    <w:uiPriority w:val="99"/>
    <w:rsid w:val="008E3BFB"/>
    <w:rPr>
      <w:rFonts w:ascii="Times New Roman" w:hAnsi="Times New Roman" w:cs="Times New Roman"/>
      <w:sz w:val="24"/>
      <w:lang w:val="pt-PT"/>
    </w:rPr>
  </w:style>
  <w:style w:type="character" w:customStyle="1" w:styleId="FooterChar">
    <w:name w:val="Footer Char"/>
    <w:basedOn w:val="DefaultParagraphFont"/>
    <w:link w:val="Footer"/>
    <w:uiPriority w:val="99"/>
    <w:rsid w:val="008E3BFB"/>
    <w:rPr>
      <w:rFonts w:ascii="Times New Roman" w:hAnsi="Times New Roman" w:cs="Times New Roman"/>
      <w:sz w:val="24"/>
      <w:lang w:val="pt-P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8E3BFB"/>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8E3BFB"/>
    <w:pPr>
      <w:spacing w:before="0"/>
      <w:jc w:val="right"/>
    </w:pPr>
    <w:rPr>
      <w:sz w:val="28"/>
    </w:rPr>
  </w:style>
  <w:style w:type="paragraph" w:customStyle="1" w:styleId="FooterSensitivity">
    <w:name w:val="Footer Sensitivity"/>
    <w:basedOn w:val="Normal"/>
    <w:rsid w:val="008E3BFB"/>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Tiret5">
    <w:name w:val="Tiret 5"/>
    <w:basedOn w:val="Point5"/>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NumPar5">
    <w:name w:val="NumPar 5"/>
    <w:basedOn w:val="Normal"/>
    <w:next w:val="Text2"/>
    <w:pPr>
      <w:numPr>
        <w:ilvl w:val="4"/>
        <w:numId w:val="30"/>
      </w:numPr>
    </w:pPr>
  </w:style>
  <w:style w:type="paragraph" w:customStyle="1" w:styleId="NumPar6">
    <w:name w:val="NumPar 6"/>
    <w:basedOn w:val="Normal"/>
    <w:next w:val="Text2"/>
    <w:pPr>
      <w:numPr>
        <w:ilvl w:val="5"/>
        <w:numId w:val="30"/>
      </w:numPr>
    </w:pPr>
  </w:style>
  <w:style w:type="paragraph" w:customStyle="1" w:styleId="NumPar7">
    <w:name w:val="NumPar 7"/>
    <w:basedOn w:val="Normal"/>
    <w:next w:val="Text2"/>
    <w:pPr>
      <w:numPr>
        <w:ilvl w:val="6"/>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8E3BFB"/>
    <w:pPr>
      <w:tabs>
        <w:tab w:val="center" w:pos="4535"/>
        <w:tab w:val="right" w:pos="9071"/>
      </w:tabs>
      <w:spacing w:before="0"/>
    </w:pPr>
  </w:style>
  <w:style w:type="paragraph" w:customStyle="1" w:styleId="HeaderLandscape">
    <w:name w:val="HeaderLandscape"/>
    <w:basedOn w:val="Normal"/>
    <w:rsid w:val="008E3BFB"/>
    <w:pPr>
      <w:tabs>
        <w:tab w:val="center" w:pos="7285"/>
        <w:tab w:val="right" w:pos="14003"/>
      </w:tabs>
      <w:spacing w:before="0"/>
    </w:pPr>
  </w:style>
  <w:style w:type="paragraph" w:styleId="Footer">
    <w:name w:val="footer"/>
    <w:basedOn w:val="Normal"/>
    <w:link w:val="FooterChar"/>
    <w:uiPriority w:val="99"/>
    <w:unhideWhenUsed/>
    <w:rsid w:val="008E3BFB"/>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8E3BFB"/>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33285A78CCB54F4DA2ECE5FA2B2AF218" ma:contentTypeVersion="2" ma:contentTypeDescription="Create a new document in this library." ma:contentTypeScope="" ma:versionID="75423994a2259ac637dc03e8133cded3">
  <xsd:schema xmlns:xsd="http://www.w3.org/2001/XMLSchema" xmlns:xs="http://www.w3.org/2001/XMLSchema" xmlns:p="http://schemas.microsoft.com/office/2006/metadata/properties" xmlns:ns2="http://schemas.microsoft.com/sharepoint/v3/fields" xmlns:ns3="39d607b5-3019-4139-86e9-2e131faaffa8" xmlns:ns4="379e0a09-5deb-44c7-a703-b352a170740d" targetNamespace="http://schemas.microsoft.com/office/2006/metadata/properties" ma:root="true" ma:fieldsID="7f417d262b26c14067de857753d6d876" ns2:_="" ns3:_="" ns4:_="">
    <xsd:import namespace="http://schemas.microsoft.com/sharepoint/v3/fields"/>
    <xsd:import namespace="39d607b5-3019-4139-86e9-2e131faaffa8"/>
    <xsd:import namespace="379e0a09-5deb-44c7-a703-b352a170740d"/>
    <xsd:element name="properties">
      <xsd:complexType>
        <xsd:sequence>
          <xsd:element name="documentManagement">
            <xsd:complexType>
              <xsd:all>
                <xsd:element ref="ns3:EC_Collab_Reference" minOccurs="0"/>
                <xsd:element ref="ns2:_Status" minOccurs="0"/>
                <xsd:element ref="ns3:EC_Collab_DocumentLanguage"/>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39d607b5-3019-4139-86e9-2e131faaffa8"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xsd="http://www.w3.org/2001/XMLSchema" xmlns:xs="http://www.w3.org/2001/XMLSchema" xmlns:dms="http://schemas.microsoft.com/office/2006/documentManagement/types" xmlns:pc="http://schemas.microsoft.com/office/infopath/2007/PartnerControls" targetNamespace="379e0a09-5deb-44c7-a703-b352a170740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C_Collab_DocumentLanguage xmlns="39d607b5-3019-4139-86e9-2e131faaffa8">EN</EC_Collab_DocumentLanguage>
    <_Status xmlns="http://schemas.microsoft.com/sharepoint/v3/fields">Not Started</_Status>
    <EC_Collab_Reference xmlns="39d607b5-3019-4139-86e9-2e131faaffa8">-</EC_Collab_Refere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3A7D2-5D6F-493B-B196-6A53F5E89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39d607b5-3019-4139-86e9-2e131faaffa8"/>
    <ds:schemaRef ds:uri="379e0a09-5deb-44c7-a703-b352a17074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9E474D-19E2-4D2A-8763-39C4486E1848}">
  <ds:schemaRefs>
    <ds:schemaRef ds:uri="http://schemas.openxmlformats.org/package/2006/metadata/core-properties"/>
    <ds:schemaRef ds:uri="http://purl.org/dc/terms/"/>
    <ds:schemaRef ds:uri="http://purl.org/dc/elements/1.1/"/>
    <ds:schemaRef ds:uri="http://schemas.microsoft.com/office/2006/metadata/properties"/>
    <ds:schemaRef ds:uri="http://purl.org/dc/dcmitype/"/>
    <ds:schemaRef ds:uri="http://schemas.microsoft.com/office/infopath/2007/PartnerControls"/>
    <ds:schemaRef ds:uri="http://schemas.microsoft.com/office/2006/documentManagement/types"/>
    <ds:schemaRef ds:uri="379e0a09-5deb-44c7-a703-b352a170740d"/>
    <ds:schemaRef ds:uri="39d607b5-3019-4139-86e9-2e131faaffa8"/>
    <ds:schemaRef ds:uri="http://schemas.microsoft.com/sharepoint/v3/fields"/>
    <ds:schemaRef ds:uri="http://www.w3.org/XML/1998/namespace"/>
  </ds:schemaRefs>
</ds:datastoreItem>
</file>

<file path=customXml/itemProps3.xml><?xml version="1.0" encoding="utf-8"?>
<ds:datastoreItem xmlns:ds="http://schemas.openxmlformats.org/officeDocument/2006/customXml" ds:itemID="{9C8935D9-90B3-409B-869A-B100163CC9E2}">
  <ds:schemaRefs>
    <ds:schemaRef ds:uri="http://schemas.microsoft.com/sharepoint/v3/contenttype/forms"/>
  </ds:schemaRefs>
</ds:datastoreItem>
</file>

<file path=customXml/itemProps4.xml><?xml version="1.0" encoding="utf-8"?>
<ds:datastoreItem xmlns:ds="http://schemas.openxmlformats.org/officeDocument/2006/customXml" ds:itemID="{9BAFECF1-D827-4B2C-A94F-98CF1F435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38</TotalTime>
  <Pages>11</Pages>
  <Words>3560</Words>
  <Characters>20296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c:subject>
  <dc:creator/>
  <cp:keywords/>
  <dc:description/>
  <cp:lastModifiedBy>EC CoDe</cp:lastModifiedBy>
  <cp:revision>23</cp:revision>
  <cp:lastPrinted>2023-12-19T14:52:00Z</cp:lastPrinted>
  <dcterms:created xsi:type="dcterms:W3CDTF">2024-01-11T14:03:00Z</dcterms:created>
  <dcterms:modified xsi:type="dcterms:W3CDTF">2024-01-23T09:31:00Z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MSIP_Label_6bd9ddd1-4d20-43f6-abfa-fc3c07406f94_Enabled">
    <vt:lpwstr>true</vt:lpwstr>
  </property>
  <property fmtid="{D5CDD505-2E9C-101B-9397-08002B2CF9AE}" pid="6" name="MSIP_Label_6bd9ddd1-4d20-43f6-abfa-fc3c07406f94_SetDate">
    <vt:lpwstr>2023-08-22T12:59:23Z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53a50880-167e-4d2a-b440-cfa5883f6836</vt:lpwstr>
  </property>
  <property fmtid="{D5CDD505-2E9C-101B-9397-08002B2CF9AE}" pid="11" name="MSIP_Label_6bd9ddd1-4d20-43f6-abfa-fc3c07406f94_ContentBits">
    <vt:lpwstr>0</vt:lpwstr>
  </property>
  <property fmtid="{D5CDD505-2E9C-101B-9397-08002B2CF9AE}" pid="12" name="Created using">
    <vt:lpwstr>LW 9.0, Build 20230317</vt:lpwstr>
  </property>
  <property fmtid="{D5CDD505-2E9C-101B-9397-08002B2CF9AE}" pid="13" name="Part">
    <vt:lpwstr>1</vt:lpwstr>
  </property>
  <property fmtid="{D5CDD505-2E9C-101B-9397-08002B2CF9AE}" pid="14" name="Total parts">
    <vt:lpwstr>1</vt:lpwstr>
  </property>
  <property fmtid="{D5CDD505-2E9C-101B-9397-08002B2CF9AE}" pid="15" name="Level of sensitivity">
    <vt:lpwstr>Standard treatment</vt:lpwstr>
  </property>
  <property fmtid="{D5CDD505-2E9C-101B-9397-08002B2CF9AE}" pid="16" name="LWTemplateID">
    <vt:lpwstr>SJ-020</vt:lpwstr>
  </property>
  <property fmtid="{D5CDD505-2E9C-101B-9397-08002B2CF9AE}" pid="17" name="ContentTypeId">
    <vt:lpwstr>0x010100258AA79CEB83498886A3A086811232500033285A78CCB54F4DA2ECE5FA2B2AF218</vt:lpwstr>
  </property>
  <property fmtid="{D5CDD505-2E9C-101B-9397-08002B2CF9AE}" pid="18" name="DQCStatus">
    <vt:lpwstr>Green (DQC version 03)</vt:lpwstr>
  </property>
</Properties>
</file>