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B9BD9" w14:textId="1A49E4E9" w:rsidR="00FE634C" w:rsidRDefault="00DA42A4" w:rsidP="00DA42A4">
      <w:pPr>
        <w:pStyle w:val="Pagedecouverture"/>
        <w:rPr>
          <w:noProof/>
        </w:rPr>
      </w:pPr>
      <w:bookmarkStart w:id="0" w:name="LW_BM_COVERPAGE"/>
      <w:r>
        <w:rPr>
          <w:noProof/>
        </w:rPr>
        <w:pict w14:anchorId="2AC0B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211A78F-FB85-4EFE-8CFA-319F48CA2F04" style="width:455.25pt;height:336.75pt">
            <v:imagedata r:id="rId11" o:title=""/>
          </v:shape>
        </w:pict>
      </w:r>
    </w:p>
    <w:bookmarkEnd w:id="0"/>
    <w:p w14:paraId="16FFAAAA" w14:textId="77777777" w:rsidR="00FE634C" w:rsidRDefault="00FE634C" w:rsidP="00FE634C">
      <w:pPr>
        <w:rPr>
          <w:noProof/>
        </w:rPr>
        <w:sectPr w:rsidR="00FE634C" w:rsidSect="00DA42A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B5887E3" w14:textId="3E620D0C" w:rsidR="00326F76" w:rsidRPr="00326F76" w:rsidRDefault="00326F76" w:rsidP="00326F76">
      <w:pPr>
        <w:pStyle w:val="Typedudocument"/>
        <w:rPr>
          <w:noProof/>
        </w:rPr>
      </w:pPr>
      <w:bookmarkStart w:id="1" w:name="_GoBack"/>
      <w:bookmarkEnd w:id="1"/>
      <w:r w:rsidRPr="00326F76">
        <w:rPr>
          <w:noProof/>
        </w:rPr>
        <w:lastRenderedPageBreak/>
        <w:t>SPRAWOZDANIE KOMISJI DLA PARLAMENTU EUROPEJSKIEGO I RADY</w:t>
      </w:r>
    </w:p>
    <w:p w14:paraId="6D937463" w14:textId="04223A9E" w:rsidR="00326F76" w:rsidRPr="00326F76" w:rsidRDefault="00326F76" w:rsidP="00326F76">
      <w:pPr>
        <w:pStyle w:val="Titreobjet"/>
        <w:rPr>
          <w:noProof/>
        </w:rPr>
      </w:pPr>
      <w:r w:rsidRPr="00326F76">
        <w:rPr>
          <w:noProof/>
        </w:rPr>
        <w:t>Sprawozdanie za okres 2017–2022 w sprawie sytuacji finansowej systemu ubezpieczenia od bezrobocia byłych pracowników zatrudnionych na czas określony lub pracowników kontraktowych oraz asystentów parlamentarnych, którzy stali się bezrobotni w momencie zakończenia służby w instytucji Unii Europejskiej</w:t>
      </w:r>
    </w:p>
    <w:p w14:paraId="7D32BF08" w14:textId="24D72AD8" w:rsidR="00F679B3" w:rsidRPr="00361309" w:rsidRDefault="00F679B3" w:rsidP="002F66EB">
      <w:pPr>
        <w:pStyle w:val="Heading1"/>
        <w:rPr>
          <w:noProof/>
          <w:szCs w:val="24"/>
        </w:rPr>
      </w:pPr>
      <w:r>
        <w:rPr>
          <w:noProof/>
        </w:rPr>
        <w:t>Podsumowanie</w:t>
      </w:r>
    </w:p>
    <w:p w14:paraId="1ED78B8C" w14:textId="6040956F" w:rsidR="00F679B3" w:rsidRPr="00D82042" w:rsidRDefault="00F679B3" w:rsidP="00F679B3">
      <w:pPr>
        <w:jc w:val="both"/>
        <w:rPr>
          <w:rFonts w:ascii="Times New Roman" w:hAnsi="Times New Roman" w:cs="Times New Roman"/>
          <w:noProof/>
          <w:sz w:val="24"/>
          <w:szCs w:val="24"/>
        </w:rPr>
      </w:pPr>
      <w:r>
        <w:rPr>
          <w:rFonts w:ascii="Times New Roman" w:hAnsi="Times New Roman"/>
          <w:noProof/>
          <w:sz w:val="24"/>
        </w:rPr>
        <w:t>Zgodnie</w:t>
      </w:r>
      <w:r w:rsidR="00332C06">
        <w:rPr>
          <w:rFonts w:ascii="Times New Roman" w:hAnsi="Times New Roman"/>
          <w:noProof/>
          <w:sz w:val="24"/>
        </w:rPr>
        <w:t xml:space="preserve"> z war</w:t>
      </w:r>
      <w:r>
        <w:rPr>
          <w:rFonts w:ascii="Times New Roman" w:hAnsi="Times New Roman"/>
          <w:noProof/>
          <w:sz w:val="24"/>
        </w:rPr>
        <w:t>unkami zatrudnienia innych pracowników Unii Europejskiej unijny zasiłek dla bezrobotnych przeznaczony jest dla byłych pracowników zatrudnionych na czas określony (TA), pracowników kontraktowych (CA) lub akredytowanych asystentów parlamentarnych (APA), którzy stali się bezrobotni wbrew swojej woli (co wyklucza np. pracowników, którzy złożyli rezygnację)</w:t>
      </w:r>
      <w:r w:rsidR="00332C06">
        <w:rPr>
          <w:rFonts w:ascii="Times New Roman" w:hAnsi="Times New Roman"/>
          <w:noProof/>
          <w:sz w:val="24"/>
        </w:rPr>
        <w:t xml:space="preserve"> w mom</w:t>
      </w:r>
      <w:r>
        <w:rPr>
          <w:rFonts w:ascii="Times New Roman" w:hAnsi="Times New Roman"/>
          <w:noProof/>
          <w:sz w:val="24"/>
        </w:rPr>
        <w:t>encie zakończenia służby</w:t>
      </w:r>
      <w:r w:rsidR="00332C06">
        <w:rPr>
          <w:rFonts w:ascii="Times New Roman" w:hAnsi="Times New Roman"/>
          <w:noProof/>
          <w:sz w:val="24"/>
        </w:rPr>
        <w:t xml:space="preserve"> w ins</w:t>
      </w:r>
      <w:r>
        <w:rPr>
          <w:rFonts w:ascii="Times New Roman" w:hAnsi="Times New Roman"/>
          <w:noProof/>
          <w:sz w:val="24"/>
        </w:rPr>
        <w:t>tytucji Unii Europejskiej,</w:t>
      </w:r>
      <w:r w:rsidR="00332C06">
        <w:rPr>
          <w:rFonts w:ascii="Times New Roman" w:hAnsi="Times New Roman"/>
          <w:noProof/>
          <w:sz w:val="24"/>
        </w:rPr>
        <w:t xml:space="preserve"> w roz</w:t>
      </w:r>
      <w:r>
        <w:rPr>
          <w:rFonts w:ascii="Times New Roman" w:hAnsi="Times New Roman"/>
          <w:noProof/>
          <w:sz w:val="24"/>
        </w:rPr>
        <w:t xml:space="preserve">umieniu </w:t>
      </w:r>
      <w:r w:rsidRPr="00332C06">
        <w:rPr>
          <w:rFonts w:ascii="Times New Roman" w:hAnsi="Times New Roman"/>
          <w:noProof/>
          <w:sz w:val="24"/>
        </w:rPr>
        <w:t>art.</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 xml:space="preserve"> Regulaminu pracowniczego urzędników Unii Europejskiej</w:t>
      </w:r>
      <w:r w:rsidRPr="00D82042">
        <w:rPr>
          <w:rStyle w:val="FootnoteReference"/>
          <w:rFonts w:ascii="Times New Roman" w:hAnsi="Times New Roman" w:cs="Times New Roman"/>
          <w:noProof/>
          <w:sz w:val="24"/>
          <w:szCs w:val="24"/>
        </w:rPr>
        <w:footnoteReference w:id="2"/>
      </w:r>
      <w:r>
        <w:rPr>
          <w:rFonts w:ascii="Times New Roman" w:hAnsi="Times New Roman"/>
          <w:noProof/>
          <w:sz w:val="24"/>
        </w:rPr>
        <w:t>. Zasiłek ten stanowi uzupełnienie ewentualnego krajowego zasiłku dla bezrobotnych, który pobiera były pracownik.</w:t>
      </w:r>
    </w:p>
    <w:p w14:paraId="4E11343A" w14:textId="7523AE8E" w:rsidR="00F679B3" w:rsidRPr="00D82042" w:rsidRDefault="00F679B3" w:rsidP="00F679B3">
      <w:pPr>
        <w:jc w:val="both"/>
        <w:rPr>
          <w:rFonts w:ascii="Times New Roman" w:hAnsi="Times New Roman" w:cs="Times New Roman"/>
          <w:noProof/>
          <w:sz w:val="24"/>
          <w:szCs w:val="24"/>
        </w:rPr>
      </w:pPr>
      <w:r>
        <w:rPr>
          <w:rFonts w:ascii="Times New Roman" w:hAnsi="Times New Roman"/>
          <w:noProof/>
          <w:sz w:val="24"/>
        </w:rPr>
        <w:t>Zasiłki te wypłaca się</w:t>
      </w:r>
      <w:r w:rsidR="00332C06">
        <w:rPr>
          <w:rFonts w:ascii="Times New Roman" w:hAnsi="Times New Roman"/>
          <w:noProof/>
          <w:sz w:val="24"/>
        </w:rPr>
        <w:t xml:space="preserve"> z fun</w:t>
      </w:r>
      <w:r>
        <w:rPr>
          <w:rFonts w:ascii="Times New Roman" w:hAnsi="Times New Roman"/>
          <w:noProof/>
          <w:sz w:val="24"/>
        </w:rPr>
        <w:t>duszu dla bezrobotnych („fundusz”). Fundusz ten jest finansowany ze składek pracowników, którzy podlegają warunkom zatrudnienia innych pracowników Unii Europejskiej i są potencjalnymi osobami uprawnionymi, oraz składek pracodawcy.</w:t>
      </w:r>
    </w:p>
    <w:p w14:paraId="050D8205" w14:textId="2FD72B24"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W trakcie ostatnich reform regulaminu znacznie zmieniono warunki przyznawania tego zasiłku, kategorie osób uprawnionych</w:t>
      </w:r>
      <w:r w:rsidR="00332C06">
        <w:rPr>
          <w:rFonts w:ascii="Times New Roman" w:hAnsi="Times New Roman"/>
          <w:noProof/>
          <w:sz w:val="24"/>
        </w:rPr>
        <w:t xml:space="preserve"> i sta</w:t>
      </w:r>
      <w:r>
        <w:rPr>
          <w:rFonts w:ascii="Times New Roman" w:hAnsi="Times New Roman"/>
          <w:noProof/>
          <w:sz w:val="24"/>
        </w:rPr>
        <w:t>wki składek, co wpłynęło</w:t>
      </w:r>
      <w:r w:rsidR="00332C06">
        <w:rPr>
          <w:rFonts w:ascii="Times New Roman" w:hAnsi="Times New Roman"/>
          <w:noProof/>
          <w:sz w:val="24"/>
        </w:rPr>
        <w:t xml:space="preserve"> w szc</w:t>
      </w:r>
      <w:r>
        <w:rPr>
          <w:rFonts w:ascii="Times New Roman" w:hAnsi="Times New Roman"/>
          <w:noProof/>
          <w:sz w:val="24"/>
        </w:rPr>
        <w:t>zególności na stan środków pieniężnych funduszu.</w:t>
      </w:r>
    </w:p>
    <w:p w14:paraId="7241B156" w14:textId="582C0867"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W ramach reformy Regulaminu pracowniczego urzędników Unii Europejskiej</w:t>
      </w:r>
      <w:r w:rsidR="00332C06">
        <w:rPr>
          <w:rFonts w:ascii="Times New Roman" w:hAnsi="Times New Roman"/>
          <w:noProof/>
          <w:sz w:val="24"/>
        </w:rPr>
        <w:t xml:space="preserve"> i war</w:t>
      </w:r>
      <w:r>
        <w:rPr>
          <w:rFonts w:ascii="Times New Roman" w:hAnsi="Times New Roman"/>
          <w:noProof/>
          <w:sz w:val="24"/>
        </w:rPr>
        <w:t>unków zatrudnienia innych pracowników Unii Europejskiej, która weszła</w:t>
      </w:r>
      <w:r w:rsidR="00332C06">
        <w:rPr>
          <w:rFonts w:ascii="Times New Roman" w:hAnsi="Times New Roman"/>
          <w:noProof/>
          <w:sz w:val="24"/>
        </w:rPr>
        <w:t xml:space="preserve"> w życ</w:t>
      </w:r>
      <w:r>
        <w:rPr>
          <w:rFonts w:ascii="Times New Roman" w:hAnsi="Times New Roman"/>
          <w:noProof/>
          <w:sz w:val="24"/>
        </w:rPr>
        <w:t>ie 1 maja 20</w:t>
      </w:r>
      <w:r w:rsidRPr="00332C06">
        <w:rPr>
          <w:rFonts w:ascii="Times New Roman" w:hAnsi="Times New Roman"/>
          <w:noProof/>
          <w:sz w:val="24"/>
        </w:rPr>
        <w:t>04</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do warunków zatrudnienia innych pracowników Unii Europejskiej wprowadzono nową kategorię pracowników zatrudnionych na podstawie umowy (pracownik kontraktowy – CA), jak również nowe zasady dotyczące składek wpłacanych na rzecz funduszu dla bezrobotnych. </w:t>
      </w:r>
    </w:p>
    <w:p w14:paraId="5D3D20EF" w14:textId="4E81D8E6"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Zgodnie</w:t>
      </w:r>
      <w:r w:rsidR="00332C06">
        <w:rPr>
          <w:rFonts w:ascii="Times New Roman" w:hAnsi="Times New Roman"/>
          <w:noProof/>
          <w:sz w:val="24"/>
        </w:rPr>
        <w:t xml:space="preserve"> z roz</w:t>
      </w:r>
      <w:r>
        <w:rPr>
          <w:rFonts w:ascii="Times New Roman" w:hAnsi="Times New Roman"/>
          <w:noProof/>
          <w:sz w:val="24"/>
        </w:rPr>
        <w:t xml:space="preserve">porządzeniem Rady (WE) </w:t>
      </w:r>
      <w:r w:rsidRPr="00332C06">
        <w:rPr>
          <w:rFonts w:ascii="Times New Roman" w:hAnsi="Times New Roman"/>
          <w:noProof/>
          <w:sz w:val="24"/>
        </w:rPr>
        <w:t>nr</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60/2009</w:t>
      </w:r>
      <w:r w:rsidR="00332C06">
        <w:rPr>
          <w:rFonts w:ascii="Times New Roman" w:hAnsi="Times New Roman"/>
          <w:noProof/>
          <w:sz w:val="24"/>
        </w:rPr>
        <w:t xml:space="preserve"> z dni</w:t>
      </w:r>
      <w:r>
        <w:rPr>
          <w:rFonts w:ascii="Times New Roman" w:hAnsi="Times New Roman"/>
          <w:noProof/>
          <w:sz w:val="24"/>
        </w:rPr>
        <w:t>a 23 lutego 20</w:t>
      </w:r>
      <w:r w:rsidRPr="00332C06">
        <w:rPr>
          <w:rFonts w:ascii="Times New Roman" w:hAnsi="Times New Roman"/>
          <w:noProof/>
          <w:sz w:val="24"/>
        </w:rPr>
        <w:t>09</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zmieniającym warunki zatrudnienia innych pracowników Unii Europejskiej</w:t>
      </w:r>
      <w:r>
        <w:rPr>
          <w:rStyle w:val="FootnoteReference"/>
          <w:rFonts w:ascii="Times New Roman" w:hAnsi="Times New Roman" w:cs="Times New Roman"/>
          <w:noProof/>
          <w:sz w:val="24"/>
          <w:szCs w:val="24"/>
        </w:rPr>
        <w:footnoteReference w:id="3"/>
      </w:r>
      <w:r>
        <w:rPr>
          <w:rFonts w:ascii="Times New Roman" w:hAnsi="Times New Roman"/>
          <w:noProof/>
          <w:sz w:val="24"/>
        </w:rPr>
        <w:t xml:space="preserve"> fundusz dla bezrobotnych obejmuje obecnie również akredytowanych asystentów parlamentarnych.</w:t>
      </w:r>
    </w:p>
    <w:p w14:paraId="0D2551DC" w14:textId="6A759DCF"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W ramach reformy Regulaminu pracowniczego urzędników Unii Europejskiej</w:t>
      </w:r>
      <w:r w:rsidR="00332C06">
        <w:rPr>
          <w:rFonts w:ascii="Times New Roman" w:hAnsi="Times New Roman"/>
          <w:noProof/>
          <w:sz w:val="24"/>
        </w:rPr>
        <w:t xml:space="preserve"> i war</w:t>
      </w:r>
      <w:r>
        <w:rPr>
          <w:rFonts w:ascii="Times New Roman" w:hAnsi="Times New Roman"/>
          <w:noProof/>
          <w:sz w:val="24"/>
        </w:rPr>
        <w:t>unków zatrudnienia innych pracowników Unii Europejskiej, która weszła</w:t>
      </w:r>
      <w:r w:rsidR="00332C06">
        <w:rPr>
          <w:rFonts w:ascii="Times New Roman" w:hAnsi="Times New Roman"/>
          <w:noProof/>
          <w:sz w:val="24"/>
        </w:rPr>
        <w:t xml:space="preserve"> w życ</w:t>
      </w:r>
      <w:r>
        <w:rPr>
          <w:rFonts w:ascii="Times New Roman" w:hAnsi="Times New Roman"/>
          <w:noProof/>
          <w:sz w:val="24"/>
        </w:rPr>
        <w:t>ie 1 stycznia 20</w:t>
      </w:r>
      <w:r w:rsidRPr="00332C06">
        <w:rPr>
          <w:rFonts w:ascii="Times New Roman" w:hAnsi="Times New Roman"/>
          <w:noProof/>
          <w:sz w:val="24"/>
        </w:rPr>
        <w:t>14</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zmieniono maksymalny czas trwania umów zawieranych</w:t>
      </w:r>
      <w:r w:rsidR="00332C06">
        <w:rPr>
          <w:rFonts w:ascii="Times New Roman" w:hAnsi="Times New Roman"/>
          <w:noProof/>
          <w:sz w:val="24"/>
        </w:rPr>
        <w:t xml:space="preserve"> z pra</w:t>
      </w:r>
      <w:r>
        <w:rPr>
          <w:rFonts w:ascii="Times New Roman" w:hAnsi="Times New Roman"/>
          <w:noProof/>
          <w:sz w:val="24"/>
        </w:rPr>
        <w:t>cownikami kontraktowymi,</w:t>
      </w:r>
      <w:r w:rsidR="00332C06">
        <w:rPr>
          <w:rFonts w:ascii="Times New Roman" w:hAnsi="Times New Roman"/>
          <w:noProof/>
          <w:sz w:val="24"/>
        </w:rPr>
        <w:t xml:space="preserve"> o któ</w:t>
      </w:r>
      <w:r>
        <w:rPr>
          <w:rFonts w:ascii="Times New Roman" w:hAnsi="Times New Roman"/>
          <w:noProof/>
          <w:sz w:val="24"/>
        </w:rPr>
        <w:t>rych mowa</w:t>
      </w:r>
      <w:r w:rsidR="00332C06">
        <w:rPr>
          <w:rFonts w:ascii="Times New Roman" w:hAnsi="Times New Roman"/>
          <w:noProof/>
          <w:sz w:val="24"/>
        </w:rPr>
        <w:t xml:space="preserve"> w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3</w:t>
      </w:r>
      <w:r>
        <w:rPr>
          <w:rFonts w:ascii="Times New Roman" w:hAnsi="Times New Roman"/>
          <w:noProof/>
          <w:sz w:val="24"/>
        </w:rPr>
        <w:t xml:space="preserve">b warunków zatrudnienia innych pracowników Unii Europejskiej (zwanymi dalej „pracownikami kontraktowymi podlegającymi </w:t>
      </w:r>
      <w:r w:rsidRPr="00332C06">
        <w:rPr>
          <w:rFonts w:ascii="Times New Roman" w:hAnsi="Times New Roman"/>
          <w:noProof/>
          <w:sz w:val="24"/>
        </w:rPr>
        <w:t>art.</w:t>
      </w:r>
      <w:r w:rsidR="00332C06" w:rsidRPr="00332C06">
        <w:rPr>
          <w:rFonts w:ascii="Times New Roman" w:hAnsi="Times New Roman"/>
          <w:noProof/>
          <w:sz w:val="24"/>
        </w:rPr>
        <w:t> </w:t>
      </w:r>
      <w:r w:rsidRPr="00332C06">
        <w:rPr>
          <w:rFonts w:ascii="Times New Roman" w:hAnsi="Times New Roman"/>
          <w:noProof/>
          <w:sz w:val="24"/>
        </w:rPr>
        <w:t>3</w:t>
      </w:r>
      <w:r>
        <w:rPr>
          <w:rFonts w:ascii="Times New Roman" w:hAnsi="Times New Roman"/>
          <w:noProof/>
          <w:sz w:val="24"/>
        </w:rPr>
        <w:t>b”), wydłużając ten czas</w:t>
      </w:r>
      <w:r w:rsidR="00332C06">
        <w:rPr>
          <w:rFonts w:ascii="Times New Roman" w:hAnsi="Times New Roman"/>
          <w:noProof/>
          <w:sz w:val="24"/>
        </w:rPr>
        <w:t xml:space="preserve"> z 3</w:t>
      </w:r>
      <w:r>
        <w:rPr>
          <w:rFonts w:ascii="Times New Roman" w:hAnsi="Times New Roman"/>
          <w:noProof/>
          <w:sz w:val="24"/>
        </w:rPr>
        <w:t xml:space="preserve">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6</w:t>
      </w:r>
      <w:r>
        <w:rPr>
          <w:rFonts w:ascii="Times New Roman" w:hAnsi="Times New Roman"/>
          <w:noProof/>
          <w:sz w:val="24"/>
        </w:rPr>
        <w:t xml:space="preserve"> lat.</w:t>
      </w:r>
    </w:p>
    <w:p w14:paraId="6BC22103" w14:textId="53001766" w:rsidR="00F679B3" w:rsidRDefault="00F679B3" w:rsidP="00F679B3">
      <w:pPr>
        <w:jc w:val="both"/>
        <w:rPr>
          <w:rFonts w:ascii="Times New Roman" w:hAnsi="Times New Roman" w:cs="Times New Roman"/>
          <w:noProof/>
          <w:sz w:val="24"/>
          <w:szCs w:val="24"/>
        </w:rPr>
      </w:pPr>
      <w:r>
        <w:rPr>
          <w:rFonts w:ascii="Times New Roman" w:hAnsi="Times New Roman"/>
          <w:noProof/>
          <w:sz w:val="24"/>
        </w:rPr>
        <w:t xml:space="preserve">W </w:t>
      </w:r>
      <w:r w:rsidRPr="00332C06">
        <w:rPr>
          <w:rFonts w:ascii="Times New Roman" w:hAnsi="Times New Roman"/>
          <w:noProof/>
          <w:sz w:val="24"/>
        </w:rPr>
        <w:t>art.</w:t>
      </w:r>
      <w:r w:rsidR="00332C06" w:rsidRPr="00332C06">
        <w:rPr>
          <w:rFonts w:ascii="Times New Roman" w:hAnsi="Times New Roman"/>
          <w:noProof/>
          <w:sz w:val="24"/>
        </w:rPr>
        <w:t> </w:t>
      </w:r>
      <w:r w:rsidRPr="00332C06">
        <w:rPr>
          <w:rFonts w:ascii="Times New Roman" w:hAnsi="Times New Roman"/>
          <w:noProof/>
          <w:sz w:val="24"/>
        </w:rPr>
        <w:t>2</w:t>
      </w:r>
      <w:r>
        <w:rPr>
          <w:rFonts w:ascii="Times New Roman" w:hAnsi="Times New Roman"/>
          <w:noProof/>
          <w:sz w:val="24"/>
        </w:rPr>
        <w:t xml:space="preserve">8a </w:t>
      </w:r>
      <w:r w:rsidRPr="00332C06">
        <w:rPr>
          <w:rFonts w:ascii="Times New Roman" w:hAnsi="Times New Roman"/>
          <w:noProof/>
          <w:sz w:val="24"/>
        </w:rPr>
        <w:t>ust.</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1</w:t>
      </w:r>
      <w:r w:rsidR="00332C06">
        <w:rPr>
          <w:rFonts w:ascii="Times New Roman" w:hAnsi="Times New Roman"/>
          <w:noProof/>
          <w:sz w:val="24"/>
        </w:rPr>
        <w:t xml:space="preserve"> i w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9</w:t>
      </w:r>
      <w:r>
        <w:rPr>
          <w:rFonts w:ascii="Times New Roman" w:hAnsi="Times New Roman"/>
          <w:noProof/>
          <w:sz w:val="24"/>
        </w:rPr>
        <w:t xml:space="preserve">6 </w:t>
      </w:r>
      <w:r w:rsidRPr="00332C06">
        <w:rPr>
          <w:rFonts w:ascii="Times New Roman" w:hAnsi="Times New Roman"/>
          <w:noProof/>
          <w:sz w:val="24"/>
        </w:rPr>
        <w:t>ust.</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 xml:space="preserve">1 warunków zatrudnienia innych pracowników Unii Europejskiej przewiduje się, że Komisja ma obowiązek przedłożyć </w:t>
      </w:r>
      <w:r w:rsidRPr="00332C06">
        <w:rPr>
          <w:rFonts w:ascii="Times New Roman" w:hAnsi="Times New Roman"/>
          <w:noProof/>
          <w:sz w:val="24"/>
        </w:rPr>
        <w:t>co</w:t>
      </w:r>
      <w:r w:rsidR="00332C06" w:rsidRPr="00332C06">
        <w:rPr>
          <w:rFonts w:ascii="Times New Roman" w:hAnsi="Times New Roman"/>
          <w:noProof/>
          <w:sz w:val="24"/>
        </w:rPr>
        <w:t> </w:t>
      </w:r>
      <w:r w:rsidRPr="00332C06">
        <w:rPr>
          <w:rFonts w:ascii="Times New Roman" w:hAnsi="Times New Roman"/>
          <w:noProof/>
          <w:sz w:val="24"/>
        </w:rPr>
        <w:t>2</w:t>
      </w:r>
      <w:r>
        <w:rPr>
          <w:rFonts w:ascii="Times New Roman" w:hAnsi="Times New Roman"/>
          <w:noProof/>
          <w:sz w:val="24"/>
        </w:rPr>
        <w:t xml:space="preserve"> lata sprawozdanie</w:t>
      </w:r>
      <w:r w:rsidR="00332C06">
        <w:rPr>
          <w:rFonts w:ascii="Times New Roman" w:hAnsi="Times New Roman"/>
          <w:noProof/>
          <w:sz w:val="24"/>
        </w:rPr>
        <w:t xml:space="preserve"> z syt</w:t>
      </w:r>
      <w:r>
        <w:rPr>
          <w:rFonts w:ascii="Times New Roman" w:hAnsi="Times New Roman"/>
          <w:noProof/>
          <w:sz w:val="24"/>
        </w:rPr>
        <w:t>uacji finansowej systemu ubezpieczenia od bezrobocia. Ponadto, niezależnie od niniejszego sprawozdania, Komisja może</w:t>
      </w:r>
      <w:r w:rsidR="00332C06">
        <w:rPr>
          <w:rFonts w:ascii="Times New Roman" w:hAnsi="Times New Roman"/>
          <w:noProof/>
          <w:sz w:val="24"/>
        </w:rPr>
        <w:t xml:space="preserve"> w dro</w:t>
      </w:r>
      <w:r>
        <w:rPr>
          <w:rFonts w:ascii="Times New Roman" w:hAnsi="Times New Roman"/>
          <w:noProof/>
          <w:sz w:val="24"/>
        </w:rPr>
        <w:t>dze aktów delegowanych zgodnie</w:t>
      </w:r>
      <w:r w:rsidR="00332C06">
        <w:rPr>
          <w:rFonts w:ascii="Times New Roman" w:hAnsi="Times New Roman"/>
          <w:noProof/>
          <w:sz w:val="24"/>
        </w:rPr>
        <w:t xml:space="preserve"> z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11</w:t>
      </w:r>
      <w:r w:rsidR="00332C06">
        <w:rPr>
          <w:rFonts w:ascii="Times New Roman" w:hAnsi="Times New Roman"/>
          <w:noProof/>
          <w:sz w:val="24"/>
        </w:rPr>
        <w:t xml:space="preserve"> i 1</w:t>
      </w:r>
      <w:r>
        <w:rPr>
          <w:rFonts w:ascii="Times New Roman" w:hAnsi="Times New Roman"/>
          <w:noProof/>
          <w:sz w:val="24"/>
        </w:rPr>
        <w:t>12 regulaminu dostosować składki,</w:t>
      </w:r>
      <w:r w:rsidR="00332C06">
        <w:rPr>
          <w:rFonts w:ascii="Times New Roman" w:hAnsi="Times New Roman"/>
          <w:noProof/>
          <w:sz w:val="24"/>
        </w:rPr>
        <w:t xml:space="preserve"> o któ</w:t>
      </w:r>
      <w:r>
        <w:rPr>
          <w:rFonts w:ascii="Times New Roman" w:hAnsi="Times New Roman"/>
          <w:noProof/>
          <w:sz w:val="24"/>
        </w:rPr>
        <w:t>rych mowa</w:t>
      </w:r>
      <w:r w:rsidR="00332C06">
        <w:rPr>
          <w:rFonts w:ascii="Times New Roman" w:hAnsi="Times New Roman"/>
          <w:noProof/>
          <w:sz w:val="24"/>
        </w:rPr>
        <w:t xml:space="preserve"> w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2</w:t>
      </w:r>
      <w:r>
        <w:rPr>
          <w:rFonts w:ascii="Times New Roman" w:hAnsi="Times New Roman"/>
          <w:noProof/>
          <w:sz w:val="24"/>
        </w:rPr>
        <w:t xml:space="preserve">8a </w:t>
      </w:r>
      <w:r w:rsidRPr="00332C06">
        <w:rPr>
          <w:rFonts w:ascii="Times New Roman" w:hAnsi="Times New Roman"/>
          <w:noProof/>
          <w:sz w:val="24"/>
        </w:rPr>
        <w:t>ust.</w:t>
      </w:r>
      <w:r w:rsidR="00332C06" w:rsidRPr="00332C06">
        <w:rPr>
          <w:rFonts w:ascii="Times New Roman" w:hAnsi="Times New Roman"/>
          <w:noProof/>
          <w:sz w:val="24"/>
        </w:rPr>
        <w:t> </w:t>
      </w:r>
      <w:r w:rsidRPr="00332C06">
        <w:rPr>
          <w:rFonts w:ascii="Times New Roman" w:hAnsi="Times New Roman"/>
          <w:noProof/>
          <w:sz w:val="24"/>
        </w:rPr>
        <w:t>7</w:t>
      </w:r>
      <w:r w:rsidR="00332C06">
        <w:rPr>
          <w:rFonts w:ascii="Times New Roman" w:hAnsi="Times New Roman"/>
          <w:noProof/>
          <w:sz w:val="24"/>
        </w:rPr>
        <w:t xml:space="preserve"> i w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9</w:t>
      </w:r>
      <w:r>
        <w:rPr>
          <w:rFonts w:ascii="Times New Roman" w:hAnsi="Times New Roman"/>
          <w:noProof/>
          <w:sz w:val="24"/>
        </w:rPr>
        <w:t xml:space="preserve">6 </w:t>
      </w:r>
      <w:r w:rsidRPr="00332C06">
        <w:rPr>
          <w:rFonts w:ascii="Times New Roman" w:hAnsi="Times New Roman"/>
          <w:noProof/>
          <w:sz w:val="24"/>
        </w:rPr>
        <w:t>ust.</w:t>
      </w:r>
      <w:r w:rsidR="00332C06" w:rsidRPr="00332C06">
        <w:rPr>
          <w:rFonts w:ascii="Times New Roman" w:hAnsi="Times New Roman"/>
          <w:noProof/>
          <w:sz w:val="24"/>
        </w:rPr>
        <w:t> </w:t>
      </w:r>
      <w:r w:rsidRPr="00332C06">
        <w:rPr>
          <w:rFonts w:ascii="Times New Roman" w:hAnsi="Times New Roman"/>
          <w:noProof/>
          <w:sz w:val="24"/>
        </w:rPr>
        <w:t>7</w:t>
      </w:r>
      <w:r>
        <w:rPr>
          <w:rFonts w:ascii="Times New Roman" w:hAnsi="Times New Roman"/>
          <w:noProof/>
          <w:sz w:val="24"/>
        </w:rPr>
        <w:t xml:space="preserve"> warunków zatrudnienia innych pracowników Unii Europejskiej, jeżeli wymaga tego równowaga systemu. </w:t>
      </w:r>
    </w:p>
    <w:p w14:paraId="2513B387" w14:textId="5D415950" w:rsidR="00B61EDA" w:rsidRDefault="00F679B3" w:rsidP="00B61EDA">
      <w:pPr>
        <w:jc w:val="both"/>
        <w:rPr>
          <w:rFonts w:ascii="Times New Roman" w:hAnsi="Times New Roman" w:cs="Times New Roman"/>
          <w:noProof/>
          <w:sz w:val="24"/>
          <w:szCs w:val="24"/>
        </w:rPr>
      </w:pPr>
      <w:r>
        <w:rPr>
          <w:rFonts w:ascii="Times New Roman" w:hAnsi="Times New Roman"/>
          <w:noProof/>
          <w:sz w:val="24"/>
        </w:rPr>
        <w:lastRenderedPageBreak/>
        <w:t>Aby lepiej prześledzić zmiany funduszu, Komisja zawsze sporządza to dwuletnie sprawozdanie</w:t>
      </w:r>
      <w:r w:rsidR="00332C06">
        <w:rPr>
          <w:rFonts w:ascii="Times New Roman" w:hAnsi="Times New Roman"/>
          <w:noProof/>
          <w:sz w:val="24"/>
        </w:rPr>
        <w:t xml:space="preserve"> z pię</w:t>
      </w:r>
      <w:r>
        <w:rPr>
          <w:rFonts w:ascii="Times New Roman" w:hAnsi="Times New Roman"/>
          <w:noProof/>
          <w:sz w:val="24"/>
        </w:rPr>
        <w:t>cioletnim okresem odniesienia. Poprzednie sprawozdanie obejmowało lata 2015–2020</w:t>
      </w:r>
      <w:r w:rsidR="00B50D55">
        <w:rPr>
          <w:rStyle w:val="FootnoteReference"/>
          <w:rFonts w:ascii="Times New Roman" w:hAnsi="Times New Roman"/>
          <w:noProof/>
          <w:sz w:val="24"/>
          <w:szCs w:val="24"/>
        </w:rPr>
        <w:footnoteReference w:id="4"/>
      </w:r>
      <w:r>
        <w:rPr>
          <w:rFonts w:ascii="Times New Roman" w:hAnsi="Times New Roman"/>
          <w:noProof/>
          <w:sz w:val="24"/>
        </w:rPr>
        <w:t>, a do celów niniejszego sprawozdania przyjęto okres odniesienia od grudnia 20</w:t>
      </w:r>
      <w:r w:rsidRPr="00332C06">
        <w:rPr>
          <w:rFonts w:ascii="Times New Roman" w:hAnsi="Times New Roman"/>
          <w:noProof/>
          <w:sz w:val="24"/>
        </w:rPr>
        <w:t>17</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do grudnia 20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p>
    <w:p w14:paraId="73644CC7" w14:textId="77777777" w:rsidR="00856407" w:rsidRPr="00F76FC6" w:rsidRDefault="00856407" w:rsidP="00F679B3">
      <w:pPr>
        <w:jc w:val="both"/>
        <w:rPr>
          <w:rFonts w:ascii="Times New Roman" w:hAnsi="Times New Roman" w:cs="Times New Roman"/>
          <w:noProof/>
          <w:sz w:val="24"/>
          <w:szCs w:val="24"/>
        </w:rPr>
      </w:pPr>
    </w:p>
    <w:p w14:paraId="096DD2F7" w14:textId="57ADF00A" w:rsidR="006D307E" w:rsidRDefault="00243055" w:rsidP="00E76ED9">
      <w:pPr>
        <w:spacing w:before="120" w:after="120" w:line="240" w:lineRule="auto"/>
        <w:jc w:val="both"/>
        <w:rPr>
          <w:rFonts w:ascii="Times New Roman" w:hAnsi="Times New Roman"/>
          <w:b/>
          <w:bCs/>
          <w:noProof/>
          <w:sz w:val="24"/>
          <w:szCs w:val="24"/>
        </w:rPr>
      </w:pPr>
      <w:r>
        <w:rPr>
          <w:rFonts w:ascii="Times New Roman" w:hAnsi="Times New Roman"/>
          <w:b/>
          <w:noProof/>
          <w:sz w:val="24"/>
        </w:rPr>
        <w:t>Rozwój sytuacji funduszu</w:t>
      </w:r>
    </w:p>
    <w:p w14:paraId="2C438B50" w14:textId="1519E5AC" w:rsidR="00E76ED9" w:rsidRDefault="00F76FC6" w:rsidP="002C213C">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14:anchorId="192AB0ED" wp14:editId="1AC0554B">
            <wp:extent cx="5944235" cy="38411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3841115"/>
                    </a:xfrm>
                    <a:prstGeom prst="rect">
                      <a:avLst/>
                    </a:prstGeom>
                    <a:noFill/>
                  </pic:spPr>
                </pic:pic>
              </a:graphicData>
            </a:graphic>
          </wp:inline>
        </w:drawing>
      </w:r>
    </w:p>
    <w:p w14:paraId="0E1B02BB" w14:textId="374419CC" w:rsidR="00F679B3" w:rsidRPr="00590AEF" w:rsidRDefault="001E2BD4" w:rsidP="00F679B3">
      <w:pPr>
        <w:jc w:val="both"/>
        <w:rPr>
          <w:rFonts w:ascii="Times New Roman" w:hAnsi="Times New Roman"/>
          <w:noProof/>
          <w:sz w:val="24"/>
          <w:szCs w:val="24"/>
        </w:rPr>
      </w:pPr>
      <w:r>
        <w:rPr>
          <w:rFonts w:ascii="Times New Roman" w:hAnsi="Times New Roman"/>
          <w:noProof/>
          <w:sz w:val="24"/>
        </w:rPr>
        <w:t xml:space="preserve">Z powyższego wykresu wynika, że </w:t>
      </w:r>
      <w:r w:rsidRPr="00332C06">
        <w:rPr>
          <w:rFonts w:ascii="Times New Roman" w:hAnsi="Times New Roman"/>
          <w:noProof/>
          <w:sz w:val="24"/>
        </w:rPr>
        <w:t>od</w:t>
      </w:r>
      <w:r w:rsidR="00332C06" w:rsidRPr="00332C06">
        <w:rPr>
          <w:rFonts w:ascii="Times New Roman" w:hAnsi="Times New Roman"/>
          <w:noProof/>
          <w:sz w:val="24"/>
        </w:rPr>
        <w:t> </w:t>
      </w:r>
      <w:r w:rsidRPr="00332C06">
        <w:rPr>
          <w:rFonts w:ascii="Times New Roman" w:hAnsi="Times New Roman"/>
          <w:noProof/>
          <w:sz w:val="24"/>
        </w:rPr>
        <w:t>2</w:t>
      </w:r>
      <w:r>
        <w:rPr>
          <w:rFonts w:ascii="Times New Roman" w:hAnsi="Times New Roman"/>
          <w:noProof/>
          <w:sz w:val="24"/>
        </w:rPr>
        <w:t>0</w:t>
      </w:r>
      <w:r w:rsidRPr="00332C06">
        <w:rPr>
          <w:rFonts w:ascii="Times New Roman" w:hAnsi="Times New Roman"/>
          <w:noProof/>
          <w:sz w:val="24"/>
        </w:rPr>
        <w:t>17</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wynik bieżący nieustannie się zwiększał,</w:t>
      </w:r>
      <w:r w:rsidR="00332C06">
        <w:rPr>
          <w:rFonts w:ascii="Times New Roman" w:hAnsi="Times New Roman"/>
          <w:noProof/>
          <w:sz w:val="24"/>
        </w:rPr>
        <w:t xml:space="preserve"> z wyj</w:t>
      </w:r>
      <w:r>
        <w:rPr>
          <w:rFonts w:ascii="Times New Roman" w:hAnsi="Times New Roman"/>
          <w:noProof/>
          <w:sz w:val="24"/>
        </w:rPr>
        <w:t>ątkiem 20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kiedy to odnotowano deficyt operacyjny</w:t>
      </w:r>
      <w:r w:rsidR="00332C06">
        <w:rPr>
          <w:rFonts w:ascii="Times New Roman" w:hAnsi="Times New Roman"/>
          <w:noProof/>
          <w:sz w:val="24"/>
        </w:rPr>
        <w:t xml:space="preserve"> w wys</w:t>
      </w:r>
      <w:r>
        <w:rPr>
          <w:rFonts w:ascii="Times New Roman" w:hAnsi="Times New Roman"/>
          <w:noProof/>
          <w:sz w:val="24"/>
        </w:rPr>
        <w:t>okości 0,5 mln EUR. Dodatni wynik bieżący kumulował się na przestrzeni ostatnich sześciu lat, dzięki czemu saldo skumulowane na koniec 20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wyniosło 60,5 mln EUR. </w:t>
      </w:r>
    </w:p>
    <w:p w14:paraId="3D4477AE" w14:textId="77777777" w:rsidR="00856407" w:rsidRPr="00F76FC6" w:rsidRDefault="00856407" w:rsidP="00F679B3">
      <w:pPr>
        <w:jc w:val="both"/>
        <w:rPr>
          <w:rFonts w:ascii="Times New Roman" w:hAnsi="Times New Roman" w:cs="Times New Roman"/>
          <w:noProof/>
          <w:sz w:val="24"/>
          <w:szCs w:val="24"/>
        </w:rPr>
      </w:pPr>
    </w:p>
    <w:p w14:paraId="75D13D71" w14:textId="401A5B65" w:rsidR="00E76ED9" w:rsidRPr="00520D23" w:rsidRDefault="00243055" w:rsidP="00520D23">
      <w:pPr>
        <w:jc w:val="both"/>
        <w:rPr>
          <w:rFonts w:ascii="Times New Roman" w:hAnsi="Times New Roman"/>
          <w:b/>
          <w:bCs/>
          <w:noProof/>
          <w:sz w:val="24"/>
          <w:szCs w:val="24"/>
        </w:rPr>
      </w:pPr>
      <w:r>
        <w:rPr>
          <w:rFonts w:ascii="Times New Roman" w:hAnsi="Times New Roman"/>
          <w:b/>
          <w:noProof/>
          <w:sz w:val="24"/>
        </w:rPr>
        <w:t>Zmiana liczby wypłaconych zasiłków</w:t>
      </w:r>
    </w:p>
    <w:p w14:paraId="6DF19725" w14:textId="09B6094D" w:rsidR="00520D23" w:rsidRDefault="00F76FC6" w:rsidP="3D8654D2">
      <w:pPr>
        <w:spacing w:before="120" w:after="120" w:line="240" w:lineRule="auto"/>
        <w:jc w:val="both"/>
        <w:rPr>
          <w:noProof/>
        </w:rPr>
      </w:pPr>
      <w:r>
        <w:rPr>
          <w:noProof/>
          <w:lang w:val="en-GB" w:eastAsia="en-GB"/>
        </w:rPr>
        <w:drawing>
          <wp:inline distT="0" distB="0" distL="0" distR="0" wp14:anchorId="39756472" wp14:editId="37FC43DF">
            <wp:extent cx="4797631" cy="2238163"/>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5634" cy="2260557"/>
                    </a:xfrm>
                    <a:prstGeom prst="rect">
                      <a:avLst/>
                    </a:prstGeom>
                    <a:noFill/>
                  </pic:spPr>
                </pic:pic>
              </a:graphicData>
            </a:graphic>
          </wp:inline>
        </w:drawing>
      </w:r>
    </w:p>
    <w:p w14:paraId="6F114E4D" w14:textId="4C09A575" w:rsidR="00F361DE" w:rsidRPr="00332C06" w:rsidRDefault="00F679B3" w:rsidP="00D11710">
      <w:pPr>
        <w:jc w:val="both"/>
        <w:rPr>
          <w:rFonts w:ascii="Times New Roman" w:hAnsi="Times New Roman" w:cs="Times New Roman"/>
          <w:noProof/>
          <w:sz w:val="24"/>
          <w:szCs w:val="24"/>
        </w:rPr>
      </w:pPr>
      <w:r>
        <w:rPr>
          <w:rFonts w:ascii="Times New Roman" w:hAnsi="Times New Roman"/>
          <w:noProof/>
          <w:sz w:val="24"/>
        </w:rPr>
        <w:lastRenderedPageBreak/>
        <w:t>W okresie odniesienia liczba wypłacanych miesięcznych zasiłków dla bezrobotnych wzrosła</w:t>
      </w:r>
      <w:r w:rsidR="00332C06">
        <w:rPr>
          <w:rFonts w:ascii="Times New Roman" w:hAnsi="Times New Roman"/>
          <w:noProof/>
          <w:sz w:val="24"/>
        </w:rPr>
        <w:t xml:space="preserve"> o 3</w:t>
      </w:r>
      <w:r w:rsidRPr="00332C06">
        <w:rPr>
          <w:rFonts w:ascii="Times New Roman" w:hAnsi="Times New Roman"/>
          <w:noProof/>
          <w:sz w:val="24"/>
        </w:rPr>
        <w:t>7</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w:t>
      </w:r>
      <w:r w:rsidR="00332C06">
        <w:rPr>
          <w:rFonts w:ascii="Times New Roman" w:hAnsi="Times New Roman"/>
          <w:noProof/>
          <w:sz w:val="24"/>
        </w:rPr>
        <w:t xml:space="preserve"> z poz</w:t>
      </w:r>
      <w:r>
        <w:rPr>
          <w:rFonts w:ascii="Times New Roman" w:hAnsi="Times New Roman"/>
          <w:noProof/>
          <w:sz w:val="24"/>
        </w:rPr>
        <w:t>iomu 8 183</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17</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do poziomu 11 230</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Ogółem</w:t>
      </w:r>
      <w:r w:rsidR="00332C06">
        <w:rPr>
          <w:rFonts w:ascii="Times New Roman" w:hAnsi="Times New Roman"/>
          <w:noProof/>
          <w:sz w:val="24"/>
        </w:rPr>
        <w:t xml:space="preserve"> w okr</w:t>
      </w:r>
      <w:r>
        <w:rPr>
          <w:rFonts w:ascii="Times New Roman" w:hAnsi="Times New Roman"/>
          <w:noProof/>
          <w:sz w:val="24"/>
        </w:rPr>
        <w:t>esie odniesienia wypłacono ponad 65 000 świadczeń na rzecz pracowników zatrudnionych na czas określony, pracowników kontraktowych</w:t>
      </w:r>
      <w:r w:rsidR="00332C06">
        <w:rPr>
          <w:rFonts w:ascii="Times New Roman" w:hAnsi="Times New Roman"/>
          <w:noProof/>
          <w:sz w:val="24"/>
        </w:rPr>
        <w:t xml:space="preserve"> i akr</w:t>
      </w:r>
      <w:r>
        <w:rPr>
          <w:rFonts w:ascii="Times New Roman" w:hAnsi="Times New Roman"/>
          <w:noProof/>
          <w:sz w:val="24"/>
        </w:rPr>
        <w:t>edytowanych asystentów parlamentarnych. Tendencje dotyczące beneficjentów funduszu są związane</w:t>
      </w:r>
      <w:r w:rsidR="00332C06">
        <w:rPr>
          <w:rFonts w:ascii="Times New Roman" w:hAnsi="Times New Roman"/>
          <w:noProof/>
          <w:sz w:val="24"/>
        </w:rPr>
        <w:t xml:space="preserve"> z nas</w:t>
      </w:r>
      <w:r>
        <w:rPr>
          <w:rFonts w:ascii="Times New Roman" w:hAnsi="Times New Roman"/>
          <w:noProof/>
          <w:sz w:val="24"/>
        </w:rPr>
        <w:t>tępującymi czynnikami cyklicznymi</w:t>
      </w:r>
      <w:r w:rsidRPr="00332C06">
        <w:rPr>
          <w:rFonts w:ascii="Times New Roman" w:hAnsi="Times New Roman"/>
          <w:noProof/>
          <w:sz w:val="24"/>
        </w:rPr>
        <w:t>:</w:t>
      </w:r>
      <w:r w:rsidR="00332C06" w:rsidRPr="00332C06">
        <w:rPr>
          <w:rFonts w:ascii="Times New Roman" w:hAnsi="Times New Roman"/>
          <w:noProof/>
          <w:sz w:val="24"/>
        </w:rPr>
        <w:t xml:space="preserve"> </w:t>
      </w:r>
    </w:p>
    <w:p w14:paraId="4E73664E" w14:textId="6EC85A84" w:rsidR="00F679B3" w:rsidRPr="00332C06" w:rsidRDefault="00F679B3" w:rsidP="00F679B3">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zakończeniem umów zawartych</w:t>
      </w:r>
      <w:r w:rsidR="00332C06">
        <w:rPr>
          <w:rFonts w:ascii="Times New Roman" w:hAnsi="Times New Roman"/>
          <w:noProof/>
          <w:sz w:val="24"/>
        </w:rPr>
        <w:t xml:space="preserve"> z akr</w:t>
      </w:r>
      <w:r>
        <w:rPr>
          <w:rFonts w:ascii="Times New Roman" w:hAnsi="Times New Roman"/>
          <w:noProof/>
          <w:sz w:val="24"/>
        </w:rPr>
        <w:t>edytowanymi asystentami parlamentarnymi</w:t>
      </w:r>
      <w:r w:rsidR="00332C06">
        <w:rPr>
          <w:rFonts w:ascii="Times New Roman" w:hAnsi="Times New Roman"/>
          <w:noProof/>
          <w:sz w:val="24"/>
        </w:rPr>
        <w:t xml:space="preserve"> w zwi</w:t>
      </w:r>
      <w:r>
        <w:rPr>
          <w:rFonts w:ascii="Times New Roman" w:hAnsi="Times New Roman"/>
          <w:noProof/>
          <w:sz w:val="24"/>
        </w:rPr>
        <w:t>ązku</w:t>
      </w:r>
      <w:r w:rsidR="00332C06">
        <w:rPr>
          <w:rFonts w:ascii="Times New Roman" w:hAnsi="Times New Roman"/>
          <w:noProof/>
          <w:sz w:val="24"/>
        </w:rPr>
        <w:t xml:space="preserve"> z zak</w:t>
      </w:r>
      <w:r>
        <w:rPr>
          <w:rFonts w:ascii="Times New Roman" w:hAnsi="Times New Roman"/>
          <w:noProof/>
          <w:sz w:val="24"/>
        </w:rPr>
        <w:t>ończeniem kadencji Parlamentu</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19</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co wywarło wpływ na liczbę świadczeń wypłaconych</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19</w:t>
      </w:r>
      <w:r w:rsidR="00332C06" w:rsidRPr="00332C06">
        <w:rPr>
          <w:rFonts w:ascii="Times New Roman" w:hAnsi="Times New Roman"/>
          <w:noProof/>
          <w:sz w:val="24"/>
        </w:rPr>
        <w:t> </w:t>
      </w:r>
      <w:r w:rsidRPr="00332C06">
        <w:rPr>
          <w:rFonts w:ascii="Times New Roman" w:hAnsi="Times New Roman"/>
          <w:noProof/>
          <w:sz w:val="24"/>
        </w:rPr>
        <w:t>r.</w:t>
      </w:r>
      <w:r w:rsidR="00332C06">
        <w:rPr>
          <w:rFonts w:ascii="Times New Roman" w:hAnsi="Times New Roman"/>
          <w:noProof/>
          <w:sz w:val="24"/>
        </w:rPr>
        <w:t xml:space="preserve"> i 2</w:t>
      </w:r>
      <w:r>
        <w:rPr>
          <w:rFonts w:ascii="Times New Roman" w:hAnsi="Times New Roman"/>
          <w:noProof/>
          <w:sz w:val="24"/>
        </w:rPr>
        <w:t>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sidR="00332C06" w:rsidRPr="00332C06">
        <w:rPr>
          <w:rFonts w:ascii="Times New Roman" w:hAnsi="Times New Roman"/>
          <w:noProof/>
          <w:sz w:val="24"/>
        </w:rPr>
        <w:t xml:space="preserve"> </w:t>
      </w:r>
    </w:p>
    <w:p w14:paraId="20611328" w14:textId="66260CE1" w:rsidR="007C1AE7" w:rsidRPr="007C1AE7" w:rsidRDefault="00F679B3" w:rsidP="007C1AE7">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wzrostem liczby zasiłków dla pracowników zatrudnionych na czas określony</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sidR="00332C06">
        <w:rPr>
          <w:rFonts w:ascii="Times New Roman" w:hAnsi="Times New Roman"/>
          <w:noProof/>
          <w:sz w:val="24"/>
        </w:rPr>
        <w:t xml:space="preserve"> w zwi</w:t>
      </w:r>
      <w:r>
        <w:rPr>
          <w:rFonts w:ascii="Times New Roman" w:hAnsi="Times New Roman"/>
          <w:noProof/>
          <w:sz w:val="24"/>
        </w:rPr>
        <w:t>ązku</w:t>
      </w:r>
      <w:r w:rsidR="00332C06">
        <w:rPr>
          <w:rFonts w:ascii="Times New Roman" w:hAnsi="Times New Roman"/>
          <w:noProof/>
          <w:sz w:val="24"/>
        </w:rPr>
        <w:t xml:space="preserve"> z ode</w:t>
      </w:r>
      <w:r>
        <w:rPr>
          <w:rFonts w:ascii="Times New Roman" w:hAnsi="Times New Roman"/>
          <w:noProof/>
          <w:sz w:val="24"/>
        </w:rPr>
        <w:t>jściem pracowników zatrudnionych na czas określony</w:t>
      </w:r>
      <w:r w:rsidR="00332C06">
        <w:rPr>
          <w:rFonts w:ascii="Times New Roman" w:hAnsi="Times New Roman"/>
          <w:noProof/>
          <w:sz w:val="24"/>
        </w:rPr>
        <w:t xml:space="preserve"> w gab</w:t>
      </w:r>
      <w:r>
        <w:rPr>
          <w:rFonts w:ascii="Times New Roman" w:hAnsi="Times New Roman"/>
          <w:noProof/>
          <w:sz w:val="24"/>
        </w:rPr>
        <w:t>inetach (marzec 20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w:t>
      </w:r>
    </w:p>
    <w:p w14:paraId="1E448E0C" w14:textId="1D1221D5" w:rsidR="00856407" w:rsidRDefault="007C1AE7" w:rsidP="00F679B3">
      <w:pPr>
        <w:jc w:val="both"/>
        <w:rPr>
          <w:rFonts w:ascii="Times New Roman" w:hAnsi="Times New Roman" w:cs="Times New Roman"/>
          <w:noProof/>
          <w:sz w:val="24"/>
          <w:szCs w:val="24"/>
        </w:rPr>
      </w:pPr>
      <w:r>
        <w:rPr>
          <w:rFonts w:ascii="Times New Roman" w:hAnsi="Times New Roman"/>
          <w:noProof/>
          <w:sz w:val="24"/>
        </w:rPr>
        <w:t>Największą liczbę świadczeń wypłaca się na rzecz pracowników kontraktowych. Największą liczbę zasiłków miesięcznych wypłacono</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18</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(6 191). </w:t>
      </w:r>
    </w:p>
    <w:p w14:paraId="15DFD246" w14:textId="77777777" w:rsidR="001B1A89" w:rsidRPr="001B1A89" w:rsidRDefault="001B1A89" w:rsidP="00F679B3">
      <w:pPr>
        <w:jc w:val="both"/>
        <w:rPr>
          <w:rFonts w:ascii="Times New Roman" w:hAnsi="Times New Roman" w:cs="Times New Roman"/>
          <w:noProof/>
          <w:sz w:val="24"/>
          <w:szCs w:val="24"/>
        </w:rPr>
      </w:pPr>
    </w:p>
    <w:p w14:paraId="496B0C27" w14:textId="666BA92A" w:rsidR="003F28BB" w:rsidRPr="002A03B9" w:rsidRDefault="00243055" w:rsidP="002A03B9">
      <w:pPr>
        <w:jc w:val="both"/>
        <w:rPr>
          <w:rFonts w:ascii="Times New Roman" w:hAnsi="Times New Roman" w:cs="Times New Roman"/>
          <w:noProof/>
          <w:sz w:val="24"/>
          <w:szCs w:val="24"/>
        </w:rPr>
      </w:pPr>
      <w:r>
        <w:rPr>
          <w:rFonts w:ascii="Times New Roman" w:hAnsi="Times New Roman"/>
          <w:b/>
          <w:noProof/>
          <w:sz w:val="24"/>
        </w:rPr>
        <w:t>Zmiana średniego zasiłku miesięcznego (EUR)</w:t>
      </w:r>
    </w:p>
    <w:p w14:paraId="6BC82CA4" w14:textId="7676D140" w:rsidR="002A03B9" w:rsidRPr="009F09EB" w:rsidRDefault="00F76FC6" w:rsidP="3D8654D2">
      <w:pPr>
        <w:spacing w:before="120" w:after="120" w:line="240" w:lineRule="auto"/>
        <w:rPr>
          <w:noProof/>
        </w:rPr>
      </w:pPr>
      <w:r>
        <w:rPr>
          <w:noProof/>
          <w:lang w:val="en-GB" w:eastAsia="en-GB"/>
        </w:rPr>
        <w:drawing>
          <wp:inline distT="0" distB="0" distL="0" distR="0" wp14:anchorId="45110408" wp14:editId="316345D9">
            <wp:extent cx="5588000" cy="257856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7733" cy="2601511"/>
                    </a:xfrm>
                    <a:prstGeom prst="rect">
                      <a:avLst/>
                    </a:prstGeom>
                    <a:noFill/>
                  </pic:spPr>
                </pic:pic>
              </a:graphicData>
            </a:graphic>
          </wp:inline>
        </w:drawing>
      </w:r>
    </w:p>
    <w:p w14:paraId="41ECF759" w14:textId="77777777" w:rsidR="002A03B9" w:rsidRDefault="002A03B9" w:rsidP="00F679B3">
      <w:pPr>
        <w:spacing w:before="120" w:after="120" w:line="240" w:lineRule="auto"/>
        <w:jc w:val="both"/>
        <w:rPr>
          <w:rFonts w:ascii="Times New Roman" w:hAnsi="Times New Roman"/>
          <w:noProof/>
          <w:sz w:val="24"/>
          <w:szCs w:val="24"/>
        </w:rPr>
      </w:pPr>
    </w:p>
    <w:p w14:paraId="73B3F0CC" w14:textId="57848145" w:rsidR="004E52FE" w:rsidRDefault="00813D5C" w:rsidP="00F679B3">
      <w:pPr>
        <w:spacing w:before="120" w:after="120" w:line="240" w:lineRule="auto"/>
        <w:jc w:val="both"/>
        <w:rPr>
          <w:rFonts w:ascii="Times New Roman" w:hAnsi="Times New Roman"/>
          <w:noProof/>
          <w:sz w:val="24"/>
          <w:szCs w:val="24"/>
        </w:rPr>
      </w:pPr>
      <w:r>
        <w:rPr>
          <w:rFonts w:ascii="Times New Roman" w:hAnsi="Times New Roman"/>
          <w:noProof/>
          <w:sz w:val="24"/>
        </w:rPr>
        <w:t>Średnia kwota zasiłku miesięcznego dla pracowników zatrudnionych na czas określony nieznacznie się zmniejszyła</w:t>
      </w:r>
      <w:r w:rsidR="00332C06">
        <w:rPr>
          <w:rFonts w:ascii="Times New Roman" w:hAnsi="Times New Roman"/>
          <w:noProof/>
          <w:sz w:val="24"/>
        </w:rPr>
        <w:t>. W lat</w:t>
      </w:r>
      <w:r>
        <w:rPr>
          <w:rFonts w:ascii="Times New Roman" w:hAnsi="Times New Roman"/>
          <w:noProof/>
          <w:sz w:val="24"/>
        </w:rPr>
        <w:t>ach 2017–2022 średnia kwota środków wypłacanych pracownikom kontraktowym utrzymywała się na stabilnym poziomie, podczas gdy średnia kwota środków wypłacanych akredytowanym asystentom parlamentarnym zmniejszyła się, co było spowodowane</w:t>
      </w:r>
      <w:r w:rsidR="00332C06">
        <w:rPr>
          <w:rFonts w:ascii="Times New Roman" w:hAnsi="Times New Roman"/>
          <w:noProof/>
          <w:sz w:val="24"/>
        </w:rPr>
        <w:t xml:space="preserve"> w szc</w:t>
      </w:r>
      <w:r>
        <w:rPr>
          <w:rFonts w:ascii="Times New Roman" w:hAnsi="Times New Roman"/>
          <w:noProof/>
          <w:sz w:val="24"/>
        </w:rPr>
        <w:t xml:space="preserve">zególności malejącą kwotą funduszy wypłacanych od zakończenia kadencji parlamentarnej. </w:t>
      </w:r>
    </w:p>
    <w:p w14:paraId="7AED5D4E" w14:textId="021D4FF0" w:rsidR="00F679B3" w:rsidRPr="00B804EE" w:rsidRDefault="00F679B3" w:rsidP="002F66EB">
      <w:pPr>
        <w:pStyle w:val="Heading1"/>
        <w:rPr>
          <w:noProof/>
          <w:szCs w:val="24"/>
        </w:rPr>
      </w:pPr>
      <w:bookmarkStart w:id="2" w:name="_Toc257299230"/>
      <w:r>
        <w:rPr>
          <w:noProof/>
        </w:rPr>
        <w:lastRenderedPageBreak/>
        <w:t>Ramy prawne</w:t>
      </w:r>
      <w:bookmarkEnd w:id="2"/>
      <w:r>
        <w:rPr>
          <w:noProof/>
        </w:rPr>
        <w:t xml:space="preserve"> </w:t>
      </w:r>
    </w:p>
    <w:p w14:paraId="7F2176D6" w14:textId="18015712" w:rsidR="00F679B3" w:rsidRPr="00B804EE" w:rsidRDefault="00F679B3" w:rsidP="005661D8">
      <w:pPr>
        <w:pStyle w:val="Heading2"/>
        <w:rPr>
          <w:noProof/>
        </w:rPr>
      </w:pPr>
      <w:bookmarkStart w:id="3" w:name="_Toc257299231"/>
      <w:bookmarkStart w:id="4" w:name="_Ref445387307"/>
      <w:bookmarkStart w:id="5" w:name="_Ref445387384"/>
      <w:bookmarkStart w:id="6" w:name="_Ref445387404"/>
      <w:r>
        <w:rPr>
          <w:noProof/>
        </w:rPr>
        <w:t>Opis systemu</w:t>
      </w:r>
      <w:bookmarkEnd w:id="3"/>
      <w:bookmarkEnd w:id="4"/>
      <w:bookmarkEnd w:id="5"/>
      <w:bookmarkEnd w:id="6"/>
    </w:p>
    <w:p w14:paraId="41D8F989" w14:textId="20DAF52A" w:rsidR="00F679B3" w:rsidRDefault="00F679B3" w:rsidP="00F679B3">
      <w:pPr>
        <w:keepNext/>
        <w:keepLines/>
        <w:jc w:val="both"/>
        <w:rPr>
          <w:rFonts w:ascii="Times New Roman" w:hAnsi="Times New Roman" w:cs="Times New Roman"/>
          <w:noProof/>
          <w:sz w:val="24"/>
          <w:szCs w:val="24"/>
        </w:rPr>
      </w:pPr>
      <w:r>
        <w:rPr>
          <w:rFonts w:ascii="Times New Roman" w:hAnsi="Times New Roman"/>
          <w:noProof/>
          <w:sz w:val="24"/>
        </w:rPr>
        <w:t>W ramach reformy Regulaminu pracowniczego urzędników Unii Europejskiej</w:t>
      </w:r>
      <w:r w:rsidR="00332C06">
        <w:rPr>
          <w:rFonts w:ascii="Times New Roman" w:hAnsi="Times New Roman"/>
          <w:noProof/>
          <w:sz w:val="24"/>
        </w:rPr>
        <w:t xml:space="preserve"> i war</w:t>
      </w:r>
      <w:r>
        <w:rPr>
          <w:rFonts w:ascii="Times New Roman" w:hAnsi="Times New Roman"/>
          <w:noProof/>
          <w:sz w:val="24"/>
        </w:rPr>
        <w:t>unków zatrudnienia innych pracowników Unii Europejskiej, która weszła</w:t>
      </w:r>
      <w:r w:rsidR="00332C06">
        <w:rPr>
          <w:rFonts w:ascii="Times New Roman" w:hAnsi="Times New Roman"/>
          <w:noProof/>
          <w:sz w:val="24"/>
        </w:rPr>
        <w:t xml:space="preserve"> w życ</w:t>
      </w:r>
      <w:r>
        <w:rPr>
          <w:rFonts w:ascii="Times New Roman" w:hAnsi="Times New Roman"/>
          <w:noProof/>
          <w:sz w:val="24"/>
        </w:rPr>
        <w:t>ie 1 maja 20</w:t>
      </w:r>
      <w:r w:rsidRPr="00332C06">
        <w:rPr>
          <w:rFonts w:ascii="Times New Roman" w:hAnsi="Times New Roman"/>
          <w:noProof/>
          <w:sz w:val="24"/>
        </w:rPr>
        <w:t>04</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zmieniono podstawę prawną regulującą kwalifikowalność do korzystania</w:t>
      </w:r>
      <w:r w:rsidR="00332C06">
        <w:rPr>
          <w:rFonts w:ascii="Times New Roman" w:hAnsi="Times New Roman"/>
          <w:noProof/>
          <w:sz w:val="24"/>
        </w:rPr>
        <w:t xml:space="preserve"> z fun</w:t>
      </w:r>
      <w:r>
        <w:rPr>
          <w:rFonts w:ascii="Times New Roman" w:hAnsi="Times New Roman"/>
          <w:noProof/>
          <w:sz w:val="24"/>
        </w:rPr>
        <w:t xml:space="preserve">duszu dla bezrobotnych oraz zasady dotyczące składek wpłacanych na rzecz tego funduszu </w:t>
      </w:r>
      <w:r w:rsidRPr="00332C06">
        <w:rPr>
          <w:rFonts w:ascii="Times New Roman" w:hAnsi="Times New Roman"/>
          <w:noProof/>
          <w:sz w:val="24"/>
        </w:rPr>
        <w:t>od</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9</w:t>
      </w:r>
      <w:r w:rsidRPr="00332C06">
        <w:rPr>
          <w:rFonts w:ascii="Times New Roman" w:hAnsi="Times New Roman"/>
          <w:noProof/>
          <w:sz w:val="24"/>
        </w:rPr>
        <w:t>85</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Zmiany te można podsumować</w:t>
      </w:r>
      <w:r w:rsidR="00332C06">
        <w:rPr>
          <w:rFonts w:ascii="Times New Roman" w:hAnsi="Times New Roman"/>
          <w:noProof/>
          <w:sz w:val="24"/>
        </w:rPr>
        <w:t xml:space="preserve"> w nas</w:t>
      </w:r>
      <w:r>
        <w:rPr>
          <w:rFonts w:ascii="Times New Roman" w:hAnsi="Times New Roman"/>
          <w:noProof/>
          <w:sz w:val="24"/>
        </w:rPr>
        <w:t>tępujący sposób:</w:t>
      </w:r>
    </w:p>
    <w:tbl>
      <w:tblPr>
        <w:tblStyle w:val="TableGrid"/>
        <w:tblW w:w="0" w:type="auto"/>
        <w:tblLook w:val="04A0" w:firstRow="1" w:lastRow="0" w:firstColumn="1" w:lastColumn="0" w:noHBand="0" w:noVBand="1"/>
      </w:tblPr>
      <w:tblGrid>
        <w:gridCol w:w="3369"/>
        <w:gridCol w:w="6184"/>
      </w:tblGrid>
      <w:tr w:rsidR="00F679B3" w14:paraId="4BC37F2C" w14:textId="77777777">
        <w:tc>
          <w:tcPr>
            <w:tcW w:w="3369" w:type="dxa"/>
          </w:tcPr>
          <w:p w14:paraId="3BE9D81C" w14:textId="526A047D" w:rsidR="00F679B3" w:rsidRDefault="00F679B3">
            <w:pPr>
              <w:keepNext/>
              <w:keepLines/>
              <w:jc w:val="both"/>
              <w:rPr>
                <w:rFonts w:ascii="Times New Roman" w:hAnsi="Times New Roman" w:cs="Times New Roman"/>
                <w:noProof/>
                <w:sz w:val="24"/>
                <w:szCs w:val="24"/>
              </w:rPr>
            </w:pPr>
            <w:r>
              <w:rPr>
                <w:rFonts w:ascii="Times New Roman" w:hAnsi="Times New Roman"/>
                <w:noProof/>
                <w:sz w:val="24"/>
              </w:rPr>
              <w:t>Przed majem 20</w:t>
            </w:r>
            <w:r w:rsidRPr="00332C06">
              <w:rPr>
                <w:rFonts w:ascii="Times New Roman" w:hAnsi="Times New Roman"/>
                <w:noProof/>
                <w:sz w:val="24"/>
              </w:rPr>
              <w:t>04</w:t>
            </w:r>
            <w:r w:rsidR="00332C06" w:rsidRPr="00332C06">
              <w:rPr>
                <w:rFonts w:ascii="Times New Roman" w:hAnsi="Times New Roman"/>
                <w:noProof/>
                <w:sz w:val="24"/>
              </w:rPr>
              <w:t> </w:t>
            </w:r>
            <w:r w:rsidRPr="00332C06">
              <w:rPr>
                <w:rFonts w:ascii="Times New Roman" w:hAnsi="Times New Roman"/>
                <w:noProof/>
                <w:sz w:val="24"/>
              </w:rPr>
              <w:t>r.</w:t>
            </w:r>
          </w:p>
        </w:tc>
        <w:tc>
          <w:tcPr>
            <w:tcW w:w="6184" w:type="dxa"/>
          </w:tcPr>
          <w:p w14:paraId="15146DC3" w14:textId="1DE416A5" w:rsidR="00F679B3" w:rsidRDefault="00F679B3">
            <w:pPr>
              <w:keepNext/>
              <w:keepLines/>
              <w:jc w:val="both"/>
              <w:rPr>
                <w:rFonts w:ascii="Times New Roman" w:hAnsi="Times New Roman" w:cs="Times New Roman"/>
                <w:noProof/>
                <w:sz w:val="24"/>
                <w:szCs w:val="24"/>
              </w:rPr>
            </w:pPr>
            <w:r>
              <w:rPr>
                <w:rFonts w:ascii="Times New Roman" w:hAnsi="Times New Roman"/>
                <w:noProof/>
                <w:sz w:val="24"/>
              </w:rPr>
              <w:t>Po maju 20</w:t>
            </w:r>
            <w:r w:rsidRPr="00332C06">
              <w:rPr>
                <w:rFonts w:ascii="Times New Roman" w:hAnsi="Times New Roman"/>
                <w:noProof/>
                <w:sz w:val="24"/>
              </w:rPr>
              <w:t>04</w:t>
            </w:r>
            <w:r w:rsidR="00332C06" w:rsidRPr="00332C06">
              <w:rPr>
                <w:rFonts w:ascii="Times New Roman" w:hAnsi="Times New Roman"/>
                <w:noProof/>
                <w:sz w:val="24"/>
              </w:rPr>
              <w:t> </w:t>
            </w:r>
            <w:r w:rsidRPr="00332C06">
              <w:rPr>
                <w:rFonts w:ascii="Times New Roman" w:hAnsi="Times New Roman"/>
                <w:noProof/>
                <w:sz w:val="24"/>
              </w:rPr>
              <w:t>r.</w:t>
            </w:r>
          </w:p>
        </w:tc>
      </w:tr>
      <w:tr w:rsidR="00F679B3" w:rsidRPr="00D04C77" w14:paraId="70B2C091" w14:textId="77777777">
        <w:tc>
          <w:tcPr>
            <w:tcW w:w="3369" w:type="dxa"/>
          </w:tcPr>
          <w:p w14:paraId="25F290B4" w14:textId="14B366FA" w:rsidR="00F679B3" w:rsidRDefault="00F679B3" w:rsidP="00D6191D">
            <w:pPr>
              <w:keepNext/>
              <w:keepLines/>
              <w:jc w:val="both"/>
              <w:rPr>
                <w:rFonts w:ascii="Times New Roman" w:hAnsi="Times New Roman" w:cs="Times New Roman"/>
                <w:noProof/>
                <w:sz w:val="24"/>
                <w:szCs w:val="24"/>
              </w:rPr>
            </w:pPr>
            <w:r>
              <w:rPr>
                <w:rFonts w:ascii="Times New Roman" w:hAnsi="Times New Roman"/>
                <w:noProof/>
                <w:sz w:val="24"/>
              </w:rPr>
              <w:t>Ubezpieczenie na wypadek bezrobocia wyłącznie dla pracowników zatrudnionych na czas określony po zakończeniu służby</w:t>
            </w:r>
          </w:p>
        </w:tc>
        <w:tc>
          <w:tcPr>
            <w:tcW w:w="6184" w:type="dxa"/>
          </w:tcPr>
          <w:p w14:paraId="65A61B6F" w14:textId="26C0E12B" w:rsidR="00F679B3" w:rsidRPr="00E072D2" w:rsidRDefault="00F679B3">
            <w:pPr>
              <w:keepNext/>
              <w:keepLines/>
              <w:jc w:val="both"/>
              <w:rPr>
                <w:rFonts w:ascii="Times New Roman" w:hAnsi="Times New Roman" w:cs="Times New Roman"/>
                <w:noProof/>
                <w:sz w:val="24"/>
                <w:szCs w:val="24"/>
              </w:rPr>
            </w:pPr>
            <w:r>
              <w:rPr>
                <w:rFonts w:ascii="Times New Roman" w:hAnsi="Times New Roman"/>
                <w:noProof/>
                <w:sz w:val="24"/>
              </w:rPr>
              <w:t>Nowa kategoria pracownika zatrudnionego na podstawie umowy (tj. pracownika kontraktowego) objętego ubezpieczeniem na wypadek bezrobocia</w:t>
            </w:r>
          </w:p>
          <w:p w14:paraId="30776D8E" w14:textId="77777777" w:rsidR="00F679B3" w:rsidRPr="00F76FC6" w:rsidRDefault="00F679B3">
            <w:pPr>
              <w:keepNext/>
              <w:keepLines/>
              <w:jc w:val="both"/>
              <w:rPr>
                <w:rFonts w:ascii="Times New Roman" w:hAnsi="Times New Roman" w:cs="Times New Roman"/>
                <w:noProof/>
                <w:sz w:val="24"/>
                <w:szCs w:val="24"/>
              </w:rPr>
            </w:pPr>
          </w:p>
        </w:tc>
      </w:tr>
      <w:tr w:rsidR="00F679B3" w:rsidRPr="00D04C77" w14:paraId="66E558F1" w14:textId="77777777">
        <w:tc>
          <w:tcPr>
            <w:tcW w:w="3369" w:type="dxa"/>
          </w:tcPr>
          <w:p w14:paraId="14926EAB" w14:textId="08856AA0" w:rsidR="00F679B3" w:rsidRDefault="00F679B3">
            <w:pPr>
              <w:keepNext/>
              <w:keepLines/>
              <w:jc w:val="both"/>
              <w:rPr>
                <w:rFonts w:ascii="Times New Roman" w:hAnsi="Times New Roman" w:cs="Times New Roman"/>
                <w:noProof/>
                <w:sz w:val="24"/>
                <w:szCs w:val="24"/>
              </w:rPr>
            </w:pPr>
            <w:r>
              <w:rPr>
                <w:rFonts w:ascii="Times New Roman" w:hAnsi="Times New Roman"/>
                <w:noProof/>
                <w:sz w:val="24"/>
              </w:rPr>
              <w:t>Stawka składek wynosząca 0,</w:t>
            </w:r>
            <w:r w:rsidRPr="00332C06">
              <w:rPr>
                <w:rFonts w:ascii="Times New Roman" w:hAnsi="Times New Roman"/>
                <w:noProof/>
                <w:sz w:val="24"/>
              </w:rPr>
              <w:t>4</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 xml:space="preserve"> dla składki wpłacanej przez pracownika</w:t>
            </w:r>
            <w:r w:rsidR="00332C06">
              <w:rPr>
                <w:rFonts w:ascii="Times New Roman" w:hAnsi="Times New Roman"/>
                <w:noProof/>
                <w:sz w:val="24"/>
              </w:rPr>
              <w:t xml:space="preserve"> i 0</w:t>
            </w:r>
            <w:r>
              <w:rPr>
                <w:rFonts w:ascii="Times New Roman" w:hAnsi="Times New Roman"/>
                <w:noProof/>
                <w:sz w:val="24"/>
              </w:rPr>
              <w:t>,</w:t>
            </w:r>
            <w:r w:rsidRPr="00332C06">
              <w:rPr>
                <w:rFonts w:ascii="Times New Roman" w:hAnsi="Times New Roman"/>
                <w:noProof/>
                <w:sz w:val="24"/>
              </w:rPr>
              <w:t>8</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 xml:space="preserve"> dla składki wpłacanej przez pracodawcę</w:t>
            </w:r>
          </w:p>
        </w:tc>
        <w:tc>
          <w:tcPr>
            <w:tcW w:w="6184" w:type="dxa"/>
          </w:tcPr>
          <w:p w14:paraId="50AC507D" w14:textId="0E07410B" w:rsidR="00F679B3" w:rsidRPr="00E072D2" w:rsidRDefault="00F679B3">
            <w:pPr>
              <w:jc w:val="both"/>
              <w:rPr>
                <w:rFonts w:ascii="Times New Roman" w:hAnsi="Times New Roman" w:cs="Times New Roman"/>
                <w:noProof/>
                <w:sz w:val="24"/>
                <w:szCs w:val="24"/>
              </w:rPr>
            </w:pPr>
            <w:r>
              <w:rPr>
                <w:rFonts w:ascii="Times New Roman" w:hAnsi="Times New Roman"/>
                <w:noProof/>
                <w:sz w:val="24"/>
              </w:rPr>
              <w:t xml:space="preserve">Nowe zasady dotyczące składek wpłacanych na rzecz funduszu dla bezrobotnych (tj. podniesienie stawki składki wpłacanej przez pracownika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0</w:t>
            </w:r>
            <w:r>
              <w:rPr>
                <w:rFonts w:ascii="Times New Roman" w:hAnsi="Times New Roman"/>
                <w:noProof/>
                <w:sz w:val="24"/>
              </w:rPr>
              <w:t>,8</w:t>
            </w:r>
            <w:r w:rsidRPr="00332C06">
              <w:rPr>
                <w:rFonts w:ascii="Times New Roman" w:hAnsi="Times New Roman"/>
                <w:noProof/>
                <w:sz w:val="24"/>
              </w:rPr>
              <w:t>1</w:t>
            </w:r>
            <w:r w:rsidR="00332C06" w:rsidRPr="00332C06">
              <w:rPr>
                <w:rFonts w:ascii="Times New Roman" w:hAnsi="Times New Roman"/>
                <w:noProof/>
                <w:sz w:val="24"/>
              </w:rPr>
              <w:t> </w:t>
            </w:r>
            <w:r w:rsidRPr="00332C06">
              <w:rPr>
                <w:rFonts w:ascii="Times New Roman" w:hAnsi="Times New Roman"/>
                <w:noProof/>
                <w:sz w:val="24"/>
              </w:rPr>
              <w:t>%</w:t>
            </w:r>
            <w:r w:rsidR="00332C06">
              <w:rPr>
                <w:rFonts w:ascii="Times New Roman" w:hAnsi="Times New Roman"/>
                <w:noProof/>
                <w:sz w:val="24"/>
              </w:rPr>
              <w:t xml:space="preserve"> i skł</w:t>
            </w:r>
            <w:r>
              <w:rPr>
                <w:rFonts w:ascii="Times New Roman" w:hAnsi="Times New Roman"/>
                <w:noProof/>
                <w:sz w:val="24"/>
              </w:rPr>
              <w:t xml:space="preserve">adki wpłacanej przez pracodawcę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,6</w:t>
            </w:r>
            <w:r w:rsidRPr="00332C06">
              <w:rPr>
                <w:rFonts w:ascii="Times New Roman" w:hAnsi="Times New Roman"/>
                <w:noProof/>
                <w:sz w:val="24"/>
              </w:rPr>
              <w:t>2</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w:t>
            </w:r>
          </w:p>
          <w:p w14:paraId="7D98B85A" w14:textId="77777777" w:rsidR="00F679B3" w:rsidRPr="00F76FC6" w:rsidRDefault="00F679B3">
            <w:pPr>
              <w:keepNext/>
              <w:keepLines/>
              <w:jc w:val="both"/>
              <w:rPr>
                <w:rFonts w:ascii="Times New Roman" w:hAnsi="Times New Roman" w:cs="Times New Roman"/>
                <w:noProof/>
                <w:sz w:val="24"/>
                <w:szCs w:val="24"/>
              </w:rPr>
            </w:pPr>
          </w:p>
        </w:tc>
      </w:tr>
      <w:tr w:rsidR="00F679B3" w:rsidRPr="00D04C77" w14:paraId="6FB0E699" w14:textId="77777777">
        <w:tc>
          <w:tcPr>
            <w:tcW w:w="3369" w:type="dxa"/>
          </w:tcPr>
          <w:p w14:paraId="07920652" w14:textId="77777777" w:rsidR="00F679B3" w:rsidRDefault="00F679B3">
            <w:pPr>
              <w:keepNext/>
              <w:keepLines/>
              <w:jc w:val="both"/>
              <w:rPr>
                <w:rFonts w:ascii="Times New Roman" w:hAnsi="Times New Roman" w:cs="Times New Roman"/>
                <w:noProof/>
                <w:sz w:val="24"/>
                <w:szCs w:val="24"/>
              </w:rPr>
            </w:pPr>
            <w:r>
              <w:rPr>
                <w:rFonts w:ascii="Times New Roman" w:hAnsi="Times New Roman"/>
                <w:noProof/>
                <w:sz w:val="24"/>
              </w:rPr>
              <w:t>Uprawnienie do zasiłku dla bezrobotnych ograniczone do okresu, który nie może przekraczać 24 miesięcy</w:t>
            </w:r>
          </w:p>
        </w:tc>
        <w:tc>
          <w:tcPr>
            <w:tcW w:w="6184" w:type="dxa"/>
          </w:tcPr>
          <w:p w14:paraId="0809396E" w14:textId="311C7707" w:rsidR="00F679B3" w:rsidRPr="00E072D2" w:rsidRDefault="00F679B3">
            <w:pPr>
              <w:keepNext/>
              <w:keepLines/>
              <w:jc w:val="both"/>
              <w:rPr>
                <w:rFonts w:ascii="Times New Roman" w:hAnsi="Times New Roman" w:cs="Times New Roman"/>
                <w:noProof/>
                <w:sz w:val="24"/>
                <w:szCs w:val="24"/>
              </w:rPr>
            </w:pPr>
            <w:r>
              <w:rPr>
                <w:rFonts w:ascii="Times New Roman" w:hAnsi="Times New Roman"/>
                <w:noProof/>
                <w:sz w:val="24"/>
              </w:rPr>
              <w:t>Uprawnienie do zasiłku dla bezrobotnych ograniczono do jednej trzeciej okresu, który dany pracownik faktycznie przepracował jako pracownik zatrudniony na czas określony, pracownik kontraktowy lub akredytowany asystent parlamentarny,</w:t>
            </w:r>
            <w:r w:rsidR="00332C06">
              <w:rPr>
                <w:rFonts w:ascii="Times New Roman" w:hAnsi="Times New Roman"/>
                <w:noProof/>
                <w:sz w:val="24"/>
              </w:rPr>
              <w:t xml:space="preserve"> z zas</w:t>
            </w:r>
            <w:r>
              <w:rPr>
                <w:rFonts w:ascii="Times New Roman" w:hAnsi="Times New Roman"/>
                <w:noProof/>
                <w:sz w:val="24"/>
              </w:rPr>
              <w:t xml:space="preserve">trzeżeniem, że nie może być on dłuższy niż 36 miesięcy Kwota zasiłku osiąga poziom maksymalny począwszy </w:t>
            </w:r>
            <w:r w:rsidRPr="00332C06">
              <w:rPr>
                <w:rFonts w:ascii="Times New Roman" w:hAnsi="Times New Roman"/>
                <w:noProof/>
                <w:sz w:val="24"/>
              </w:rPr>
              <w:t>od</w:t>
            </w:r>
            <w:r w:rsidR="00332C06" w:rsidRPr="00332C06">
              <w:rPr>
                <w:rFonts w:ascii="Times New Roman" w:hAnsi="Times New Roman"/>
                <w:noProof/>
                <w:sz w:val="24"/>
              </w:rPr>
              <w:t> </w:t>
            </w:r>
            <w:r w:rsidRPr="00332C06">
              <w:rPr>
                <w:rFonts w:ascii="Times New Roman" w:hAnsi="Times New Roman"/>
                <w:noProof/>
                <w:sz w:val="24"/>
              </w:rPr>
              <w:t>7</w:t>
            </w:r>
            <w:r>
              <w:rPr>
                <w:rFonts w:ascii="Times New Roman" w:hAnsi="Times New Roman"/>
                <w:noProof/>
                <w:sz w:val="24"/>
              </w:rPr>
              <w:t>. miesiąca bezrobocia,</w:t>
            </w:r>
            <w:r w:rsidR="00332C06">
              <w:rPr>
                <w:rFonts w:ascii="Times New Roman" w:hAnsi="Times New Roman"/>
                <w:noProof/>
                <w:sz w:val="24"/>
              </w:rPr>
              <w:t xml:space="preserve"> a min</w:t>
            </w:r>
            <w:r>
              <w:rPr>
                <w:rFonts w:ascii="Times New Roman" w:hAnsi="Times New Roman"/>
                <w:noProof/>
                <w:sz w:val="24"/>
              </w:rPr>
              <w:t>imalną wysokość zasiłku (poziom minimalny) poddaje się rewaloryzacji.</w:t>
            </w:r>
          </w:p>
          <w:p w14:paraId="64ECE8EE" w14:textId="77777777" w:rsidR="00F679B3" w:rsidRPr="00F76FC6" w:rsidRDefault="00F679B3">
            <w:pPr>
              <w:keepNext/>
              <w:keepLines/>
              <w:jc w:val="both"/>
              <w:rPr>
                <w:rFonts w:ascii="Times New Roman" w:hAnsi="Times New Roman" w:cs="Times New Roman"/>
                <w:noProof/>
                <w:sz w:val="24"/>
                <w:szCs w:val="24"/>
              </w:rPr>
            </w:pPr>
          </w:p>
        </w:tc>
      </w:tr>
    </w:tbl>
    <w:p w14:paraId="3B490451" w14:textId="77777777" w:rsidR="00B47467" w:rsidRDefault="00B47467" w:rsidP="00F679B3">
      <w:pPr>
        <w:jc w:val="both"/>
        <w:rPr>
          <w:rFonts w:ascii="Times New Roman" w:hAnsi="Times New Roman"/>
          <w:noProof/>
          <w:sz w:val="24"/>
          <w:szCs w:val="24"/>
        </w:rPr>
      </w:pPr>
    </w:p>
    <w:p w14:paraId="708B6A40" w14:textId="14462EB9"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W poniższej tabeli przedstawiono poziomy maksymalne</w:t>
      </w:r>
      <w:r w:rsidR="00332C06">
        <w:rPr>
          <w:rFonts w:ascii="Times New Roman" w:hAnsi="Times New Roman"/>
          <w:noProof/>
          <w:sz w:val="24"/>
        </w:rPr>
        <w:t xml:space="preserve"> i min</w:t>
      </w:r>
      <w:r>
        <w:rPr>
          <w:rFonts w:ascii="Times New Roman" w:hAnsi="Times New Roman"/>
          <w:noProof/>
          <w:sz w:val="24"/>
        </w:rPr>
        <w:t>imalne</w:t>
      </w:r>
      <w:r w:rsidR="00332C06">
        <w:rPr>
          <w:rFonts w:ascii="Times New Roman" w:hAnsi="Times New Roman"/>
          <w:noProof/>
          <w:sz w:val="24"/>
        </w:rPr>
        <w:t xml:space="preserve"> z pod</w:t>
      </w:r>
      <w:r>
        <w:rPr>
          <w:rFonts w:ascii="Times New Roman" w:hAnsi="Times New Roman"/>
          <w:noProof/>
          <w:sz w:val="24"/>
        </w:rPr>
        <w:t>ziałem na kategorie pracowników:</w:t>
      </w:r>
    </w:p>
    <w:p w14:paraId="2F77FE08" w14:textId="3D5FB4C6" w:rsidR="00F679B3" w:rsidRPr="00B40428" w:rsidRDefault="00F679B3" w:rsidP="00F679B3">
      <w:pPr>
        <w:spacing w:after="0"/>
        <w:ind w:right="1475"/>
        <w:jc w:val="both"/>
        <w:rPr>
          <w:rFonts w:ascii="Times New Roman" w:hAnsi="Times New Roman" w:cs="Times New Roman"/>
          <w:noProof/>
          <w:sz w:val="24"/>
          <w:szCs w:val="24"/>
        </w:rPr>
      </w:pPr>
      <w:r>
        <w:rPr>
          <w:rFonts w:ascii="Times New Roman" w:hAnsi="Times New Roman"/>
          <w:noProof/>
          <w:sz w:val="24"/>
        </w:rPr>
        <w:t>w EUR, stan na styczeń 20</w:t>
      </w:r>
      <w:r w:rsidRPr="00332C06">
        <w:rPr>
          <w:rFonts w:ascii="Times New Roman" w:hAnsi="Times New Roman"/>
          <w:noProof/>
          <w:sz w:val="24"/>
        </w:rPr>
        <w:t>23</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w:t>
      </w:r>
    </w:p>
    <w:p w14:paraId="29593839" w14:textId="77777777" w:rsidR="00F679B3" w:rsidRPr="00F76FC6" w:rsidRDefault="00F679B3" w:rsidP="00F679B3">
      <w:pPr>
        <w:spacing w:after="0"/>
        <w:ind w:right="1475"/>
        <w:jc w:val="both"/>
        <w:rPr>
          <w:rFonts w:ascii="Times New Roman" w:hAnsi="Times New Roman" w:cs="Times New Roman"/>
          <w:i/>
          <w:noProof/>
          <w:color w:val="FF0000"/>
          <w:sz w:val="24"/>
          <w:szCs w:val="24"/>
        </w:rPr>
      </w:pPr>
    </w:p>
    <w:tbl>
      <w:tblPr>
        <w:tblW w:w="9312" w:type="dxa"/>
        <w:tblInd w:w="108" w:type="dxa"/>
        <w:tblLook w:val="04A0" w:firstRow="1" w:lastRow="0" w:firstColumn="1" w:lastColumn="0" w:noHBand="0" w:noVBand="1"/>
      </w:tblPr>
      <w:tblGrid>
        <w:gridCol w:w="2328"/>
        <w:gridCol w:w="2328"/>
        <w:gridCol w:w="2328"/>
        <w:gridCol w:w="2328"/>
      </w:tblGrid>
      <w:tr w:rsidR="00F679B3" w:rsidRPr="00B40428" w14:paraId="5D3B4EF3" w14:textId="77777777" w:rsidTr="27D443E8">
        <w:trPr>
          <w:trHeight w:val="520"/>
        </w:trPr>
        <w:tc>
          <w:tcPr>
            <w:tcW w:w="2328" w:type="dxa"/>
            <w:tcBorders>
              <w:top w:val="nil"/>
              <w:left w:val="nil"/>
              <w:bottom w:val="single" w:sz="8" w:space="0" w:color="auto"/>
              <w:right w:val="single" w:sz="8" w:space="0" w:color="auto"/>
            </w:tcBorders>
            <w:shd w:val="clear" w:color="auto" w:fill="auto"/>
            <w:vAlign w:val="center"/>
            <w:hideMark/>
          </w:tcPr>
          <w:p w14:paraId="5ECEA8D7" w14:textId="77777777" w:rsidR="00F679B3" w:rsidRPr="00B40428" w:rsidRDefault="00F679B3" w:rsidP="4B3A239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23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301A8B" w14:textId="77777777" w:rsidR="00F679B3" w:rsidRPr="007370F7" w:rsidRDefault="00F679B3" w:rsidP="27D443E8">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TA</w:t>
            </w:r>
          </w:p>
        </w:tc>
        <w:tc>
          <w:tcPr>
            <w:tcW w:w="23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577298E" w14:textId="77777777" w:rsidR="00F679B3" w:rsidRPr="007370F7" w:rsidRDefault="00F679B3" w:rsidP="27D443E8">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CA</w:t>
            </w:r>
          </w:p>
        </w:tc>
        <w:tc>
          <w:tcPr>
            <w:tcW w:w="23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781E502" w14:textId="77777777" w:rsidR="00F679B3" w:rsidRPr="007370F7" w:rsidRDefault="00F679B3" w:rsidP="27D443E8">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APA</w:t>
            </w:r>
          </w:p>
        </w:tc>
      </w:tr>
      <w:tr w:rsidR="00F679B3" w:rsidRPr="00B40428" w14:paraId="113B53E1" w14:textId="77777777" w:rsidTr="27D443E8">
        <w:trPr>
          <w:trHeight w:val="826"/>
        </w:trPr>
        <w:tc>
          <w:tcPr>
            <w:tcW w:w="2328" w:type="dxa"/>
            <w:tcBorders>
              <w:top w:val="nil"/>
              <w:left w:val="single" w:sz="8" w:space="0" w:color="auto"/>
              <w:bottom w:val="single" w:sz="8" w:space="0" w:color="auto"/>
              <w:right w:val="single" w:sz="8" w:space="0" w:color="auto"/>
            </w:tcBorders>
            <w:shd w:val="clear" w:color="auto" w:fill="auto"/>
            <w:vAlign w:val="center"/>
            <w:hideMark/>
          </w:tcPr>
          <w:p w14:paraId="47509638" w14:textId="6B916831" w:rsidR="00F679B3" w:rsidRPr="00B40428" w:rsidRDefault="00F679B3" w:rsidP="4B3A239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Poziom maksymalny (</w:t>
            </w:r>
            <w:r w:rsidRPr="00332C06">
              <w:rPr>
                <w:rFonts w:ascii="Times New Roman" w:hAnsi="Times New Roman"/>
                <w:noProof/>
                <w:sz w:val="24"/>
              </w:rPr>
              <w:t>od</w:t>
            </w:r>
            <w:r w:rsidR="00332C06" w:rsidRPr="00332C06">
              <w:rPr>
                <w:rFonts w:ascii="Times New Roman" w:hAnsi="Times New Roman"/>
                <w:noProof/>
                <w:sz w:val="24"/>
              </w:rPr>
              <w:t> </w:t>
            </w:r>
            <w:r w:rsidRPr="00332C06">
              <w:rPr>
                <w:rFonts w:ascii="Times New Roman" w:hAnsi="Times New Roman"/>
                <w:noProof/>
                <w:sz w:val="24"/>
              </w:rPr>
              <w:t>7</w:t>
            </w:r>
            <w:r>
              <w:rPr>
                <w:rFonts w:ascii="Times New Roman" w:hAnsi="Times New Roman"/>
                <w:noProof/>
                <w:sz w:val="24"/>
              </w:rPr>
              <w:t>. miesiąca)</w:t>
            </w:r>
          </w:p>
        </w:tc>
        <w:tc>
          <w:tcPr>
            <w:tcW w:w="2328" w:type="dxa"/>
            <w:tcBorders>
              <w:top w:val="nil"/>
              <w:left w:val="nil"/>
              <w:bottom w:val="single" w:sz="8" w:space="0" w:color="auto"/>
              <w:right w:val="single" w:sz="8" w:space="0" w:color="auto"/>
            </w:tcBorders>
            <w:shd w:val="clear" w:color="auto" w:fill="auto"/>
            <w:vAlign w:val="center"/>
            <w:hideMark/>
          </w:tcPr>
          <w:p w14:paraId="799FC94B" w14:textId="009DB249" w:rsidR="00F679B3" w:rsidRPr="007370F7" w:rsidRDefault="00F679B3" w:rsidP="27D443E8">
            <w:pPr>
              <w:spacing w:after="0" w:line="240" w:lineRule="auto"/>
              <w:jc w:val="both"/>
              <w:rPr>
                <w:rFonts w:ascii="Times New Roman" w:hAnsi="Times New Roman"/>
                <w:noProof/>
                <w:sz w:val="24"/>
                <w:szCs w:val="24"/>
              </w:rPr>
            </w:pPr>
            <w:r>
              <w:rPr>
                <w:rFonts w:ascii="Times New Roman" w:hAnsi="Times New Roman"/>
                <w:noProof/>
                <w:sz w:val="24"/>
              </w:rPr>
              <w:t>3 352,86</w:t>
            </w:r>
          </w:p>
        </w:tc>
        <w:tc>
          <w:tcPr>
            <w:tcW w:w="2328" w:type="dxa"/>
            <w:tcBorders>
              <w:top w:val="nil"/>
              <w:left w:val="nil"/>
              <w:bottom w:val="single" w:sz="8" w:space="0" w:color="auto"/>
              <w:right w:val="single" w:sz="8" w:space="0" w:color="auto"/>
            </w:tcBorders>
            <w:shd w:val="clear" w:color="auto" w:fill="auto"/>
            <w:vAlign w:val="center"/>
            <w:hideMark/>
          </w:tcPr>
          <w:p w14:paraId="01FA321E" w14:textId="0ACC7CCC" w:rsidR="00F679B3" w:rsidRPr="007370F7" w:rsidRDefault="00F679B3" w:rsidP="27D443E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2 514,60</w:t>
            </w:r>
          </w:p>
        </w:tc>
        <w:tc>
          <w:tcPr>
            <w:tcW w:w="2328" w:type="dxa"/>
            <w:tcBorders>
              <w:top w:val="nil"/>
              <w:left w:val="nil"/>
              <w:bottom w:val="single" w:sz="8" w:space="0" w:color="auto"/>
              <w:right w:val="single" w:sz="8" w:space="0" w:color="auto"/>
            </w:tcBorders>
            <w:shd w:val="clear" w:color="auto" w:fill="auto"/>
            <w:vAlign w:val="center"/>
            <w:hideMark/>
          </w:tcPr>
          <w:p w14:paraId="766163B7" w14:textId="08D4E6E5" w:rsidR="00F679B3" w:rsidRPr="007370F7" w:rsidRDefault="00F679B3" w:rsidP="27D443E8">
            <w:pPr>
              <w:spacing w:after="0" w:line="240" w:lineRule="auto"/>
              <w:jc w:val="both"/>
              <w:rPr>
                <w:rFonts w:ascii="Times New Roman" w:hAnsi="Times New Roman"/>
                <w:noProof/>
                <w:sz w:val="24"/>
                <w:szCs w:val="24"/>
              </w:rPr>
            </w:pPr>
            <w:r>
              <w:rPr>
                <w:rFonts w:ascii="Times New Roman" w:hAnsi="Times New Roman"/>
                <w:noProof/>
                <w:sz w:val="24"/>
              </w:rPr>
              <w:t>2 602,75</w:t>
            </w:r>
          </w:p>
        </w:tc>
      </w:tr>
      <w:tr w:rsidR="00F679B3" w:rsidRPr="009F09EB" w14:paraId="6BB7BA68" w14:textId="77777777" w:rsidTr="27D443E8">
        <w:trPr>
          <w:trHeight w:val="350"/>
        </w:trPr>
        <w:tc>
          <w:tcPr>
            <w:tcW w:w="2328" w:type="dxa"/>
            <w:tcBorders>
              <w:top w:val="nil"/>
              <w:left w:val="single" w:sz="8" w:space="0" w:color="auto"/>
              <w:bottom w:val="single" w:sz="8" w:space="0" w:color="auto"/>
              <w:right w:val="single" w:sz="8" w:space="0" w:color="auto"/>
            </w:tcBorders>
            <w:shd w:val="clear" w:color="auto" w:fill="auto"/>
            <w:vAlign w:val="center"/>
            <w:hideMark/>
          </w:tcPr>
          <w:p w14:paraId="2C0D949D" w14:textId="77777777" w:rsidR="00F679B3" w:rsidRPr="00B40428" w:rsidRDefault="00F679B3" w:rsidP="4B3A239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Poziom minimalny</w:t>
            </w:r>
          </w:p>
        </w:tc>
        <w:tc>
          <w:tcPr>
            <w:tcW w:w="2328" w:type="dxa"/>
            <w:tcBorders>
              <w:top w:val="nil"/>
              <w:left w:val="nil"/>
              <w:bottom w:val="single" w:sz="8" w:space="0" w:color="auto"/>
              <w:right w:val="single" w:sz="8" w:space="0" w:color="auto"/>
            </w:tcBorders>
            <w:shd w:val="clear" w:color="auto" w:fill="auto"/>
            <w:vAlign w:val="center"/>
            <w:hideMark/>
          </w:tcPr>
          <w:p w14:paraId="200B1584" w14:textId="4CE50398" w:rsidR="00F679B3" w:rsidRPr="007370F7" w:rsidRDefault="00F679B3" w:rsidP="27D443E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1 676,42</w:t>
            </w:r>
          </w:p>
        </w:tc>
        <w:tc>
          <w:tcPr>
            <w:tcW w:w="2328" w:type="dxa"/>
            <w:tcBorders>
              <w:top w:val="nil"/>
              <w:left w:val="nil"/>
              <w:bottom w:val="single" w:sz="8" w:space="0" w:color="auto"/>
              <w:right w:val="single" w:sz="8" w:space="0" w:color="auto"/>
            </w:tcBorders>
            <w:shd w:val="clear" w:color="auto" w:fill="auto"/>
            <w:vAlign w:val="center"/>
            <w:hideMark/>
          </w:tcPr>
          <w:p w14:paraId="6445318F" w14:textId="74B353EA" w:rsidR="00F679B3" w:rsidRPr="007370F7" w:rsidRDefault="00F679B3" w:rsidP="27D443E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1 257,32</w:t>
            </w:r>
          </w:p>
        </w:tc>
        <w:tc>
          <w:tcPr>
            <w:tcW w:w="2328" w:type="dxa"/>
            <w:tcBorders>
              <w:top w:val="nil"/>
              <w:left w:val="nil"/>
              <w:bottom w:val="single" w:sz="8" w:space="0" w:color="auto"/>
              <w:right w:val="single" w:sz="8" w:space="0" w:color="auto"/>
            </w:tcBorders>
            <w:shd w:val="clear" w:color="auto" w:fill="auto"/>
            <w:vAlign w:val="center"/>
            <w:hideMark/>
          </w:tcPr>
          <w:p w14:paraId="4D8B152A" w14:textId="3C44D1F4" w:rsidR="00F679B3" w:rsidRPr="007370F7" w:rsidRDefault="00F679B3" w:rsidP="27D443E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1 106,15</w:t>
            </w:r>
          </w:p>
        </w:tc>
      </w:tr>
    </w:tbl>
    <w:p w14:paraId="027712EF" w14:textId="77777777" w:rsidR="00F679B3" w:rsidRPr="009F09EB" w:rsidRDefault="00F679B3" w:rsidP="00F679B3">
      <w:pPr>
        <w:jc w:val="both"/>
        <w:rPr>
          <w:rFonts w:ascii="Times New Roman" w:hAnsi="Times New Roman" w:cs="Times New Roman"/>
          <w:noProof/>
          <w:sz w:val="24"/>
          <w:szCs w:val="24"/>
          <w:highlight w:val="yellow"/>
        </w:rPr>
      </w:pPr>
    </w:p>
    <w:p w14:paraId="2D1E04B6" w14:textId="7F1A14AE" w:rsidR="00F679B3" w:rsidRPr="000C1B73" w:rsidRDefault="00BF4793" w:rsidP="00F679B3">
      <w:pPr>
        <w:jc w:val="both"/>
        <w:rPr>
          <w:rFonts w:ascii="Times New Roman" w:hAnsi="Times New Roman" w:cs="Times New Roman"/>
          <w:noProof/>
          <w:sz w:val="24"/>
          <w:szCs w:val="24"/>
        </w:rPr>
      </w:pPr>
      <w:r>
        <w:rPr>
          <w:rFonts w:ascii="Times New Roman" w:hAnsi="Times New Roman"/>
          <w:noProof/>
          <w:sz w:val="24"/>
        </w:rPr>
        <w:t>Standardowy zasiłek oraz poziomy maksymalne</w:t>
      </w:r>
      <w:r w:rsidR="00332C06">
        <w:rPr>
          <w:rFonts w:ascii="Times New Roman" w:hAnsi="Times New Roman"/>
          <w:noProof/>
          <w:sz w:val="24"/>
        </w:rPr>
        <w:t xml:space="preserve"> i min</w:t>
      </w:r>
      <w:r>
        <w:rPr>
          <w:rFonts w:ascii="Times New Roman" w:hAnsi="Times New Roman"/>
          <w:noProof/>
          <w:sz w:val="24"/>
        </w:rPr>
        <w:t>imalne aktualizuje się co roku</w:t>
      </w:r>
      <w:r w:rsidR="00332C06">
        <w:rPr>
          <w:rFonts w:ascii="Times New Roman" w:hAnsi="Times New Roman"/>
          <w:noProof/>
          <w:sz w:val="24"/>
        </w:rPr>
        <w:t xml:space="preserve"> w ten</w:t>
      </w:r>
      <w:r>
        <w:rPr>
          <w:rFonts w:ascii="Times New Roman" w:hAnsi="Times New Roman"/>
          <w:noProof/>
          <w:sz w:val="24"/>
        </w:rPr>
        <w:t xml:space="preserve"> sam sposób co wynagrodzenia oraz zgodnie</w:t>
      </w:r>
      <w:r w:rsidR="00332C06">
        <w:rPr>
          <w:rFonts w:ascii="Times New Roman" w:hAnsi="Times New Roman"/>
          <w:noProof/>
          <w:sz w:val="24"/>
        </w:rPr>
        <w:t xml:space="preserve"> z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6</w:t>
      </w:r>
      <w:r>
        <w:rPr>
          <w:rFonts w:ascii="Times New Roman" w:hAnsi="Times New Roman"/>
          <w:noProof/>
          <w:sz w:val="24"/>
        </w:rPr>
        <w:t>5 regulaminu pracowniczego.</w:t>
      </w:r>
    </w:p>
    <w:p w14:paraId="73A78233" w14:textId="1A1429EE"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Ewentualne dodatki rodzinne dolicza się do zasiłku dla bezrobotnych. Składki na rzecz wspólnego systemu ubezpieczenia chorobowego Unii Europejskiej (JSIS) (5,</w:t>
      </w:r>
      <w:r w:rsidRPr="00332C06">
        <w:rPr>
          <w:rFonts w:ascii="Times New Roman" w:hAnsi="Times New Roman"/>
          <w:noProof/>
          <w:sz w:val="24"/>
        </w:rPr>
        <w:t>1</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 xml:space="preserve"> referencyjnego wynagrodzenia podstawowego osoby uprawnionej do zasiłku dla bezrobotnych) pokrywa się</w:t>
      </w:r>
      <w:r w:rsidR="00332C06">
        <w:rPr>
          <w:rFonts w:ascii="Times New Roman" w:hAnsi="Times New Roman"/>
          <w:noProof/>
          <w:sz w:val="24"/>
        </w:rPr>
        <w:t xml:space="preserve"> z fun</w:t>
      </w:r>
      <w:r>
        <w:rPr>
          <w:rFonts w:ascii="Times New Roman" w:hAnsi="Times New Roman"/>
          <w:noProof/>
          <w:sz w:val="24"/>
        </w:rPr>
        <w:t xml:space="preserve">duszu dla bezrobotnych. </w:t>
      </w:r>
    </w:p>
    <w:p w14:paraId="7C3AC553" w14:textId="77777777" w:rsidR="00F679B3" w:rsidRDefault="00F679B3" w:rsidP="005661D8">
      <w:pPr>
        <w:pStyle w:val="Heading2"/>
        <w:rPr>
          <w:noProof/>
        </w:rPr>
      </w:pPr>
      <w:bookmarkStart w:id="7" w:name="_Toc257299232"/>
      <w:r>
        <w:rPr>
          <w:noProof/>
        </w:rPr>
        <w:lastRenderedPageBreak/>
        <w:t>Ramy prawne</w:t>
      </w:r>
      <w:bookmarkEnd w:id="7"/>
    </w:p>
    <w:p w14:paraId="75B10972" w14:textId="1D08E785" w:rsidR="00F679B3" w:rsidRDefault="00F679B3" w:rsidP="00F679B3">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Art. 28a warunków zatrudnienia innych pracowników Unii Europejskiej, ze zmianami wprowadzonymi rozporządzeniem Parlamentu Europejskiego</w:t>
      </w:r>
      <w:r w:rsidR="00332C06">
        <w:rPr>
          <w:rFonts w:ascii="Times New Roman" w:hAnsi="Times New Roman"/>
          <w:noProof/>
          <w:sz w:val="24"/>
        </w:rPr>
        <w:t xml:space="preserve"> i Rad</w:t>
      </w:r>
      <w:r>
        <w:rPr>
          <w:rFonts w:ascii="Times New Roman" w:hAnsi="Times New Roman"/>
          <w:noProof/>
          <w:sz w:val="24"/>
        </w:rPr>
        <w:t xml:space="preserve">y </w:t>
      </w:r>
      <w:r w:rsidRPr="00332C06">
        <w:rPr>
          <w:rFonts w:ascii="Times New Roman" w:hAnsi="Times New Roman"/>
          <w:noProof/>
          <w:sz w:val="24"/>
        </w:rPr>
        <w:t>nr</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023/2013</w:t>
      </w:r>
      <w:r w:rsidR="00332C06">
        <w:rPr>
          <w:rFonts w:ascii="Times New Roman" w:hAnsi="Times New Roman"/>
          <w:noProof/>
          <w:sz w:val="24"/>
        </w:rPr>
        <w:t xml:space="preserve"> z dni</w:t>
      </w:r>
      <w:r>
        <w:rPr>
          <w:rFonts w:ascii="Times New Roman" w:hAnsi="Times New Roman"/>
          <w:noProof/>
          <w:sz w:val="24"/>
        </w:rPr>
        <w:t>a 22 października 20</w:t>
      </w:r>
      <w:r w:rsidRPr="00332C06">
        <w:rPr>
          <w:rFonts w:ascii="Times New Roman" w:hAnsi="Times New Roman"/>
          <w:noProof/>
          <w:sz w:val="24"/>
        </w:rPr>
        <w:t>13</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w:t>
      </w:r>
    </w:p>
    <w:p w14:paraId="23C443D7" w14:textId="2067E1A3" w:rsidR="00F679B3" w:rsidRDefault="00F679B3" w:rsidP="00F679B3">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Art. 96 warunków zatrudnienia innych pracowników Unii Europejskiej</w:t>
      </w:r>
      <w:r w:rsidR="00332C06">
        <w:rPr>
          <w:rFonts w:ascii="Times New Roman" w:hAnsi="Times New Roman"/>
          <w:noProof/>
          <w:sz w:val="24"/>
        </w:rPr>
        <w:t xml:space="preserve"> i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5</w:t>
      </w:r>
      <w:r>
        <w:rPr>
          <w:rFonts w:ascii="Times New Roman" w:hAnsi="Times New Roman"/>
          <w:noProof/>
          <w:sz w:val="24"/>
        </w:rPr>
        <w:t xml:space="preserve"> załącznika do warunków zatrudnienia innych pracowników Unii Europejskiej zmienionych rozporządzeniem Parlamentu Europejskiego</w:t>
      </w:r>
      <w:r w:rsidR="00332C06">
        <w:rPr>
          <w:rFonts w:ascii="Times New Roman" w:hAnsi="Times New Roman"/>
          <w:noProof/>
          <w:sz w:val="24"/>
        </w:rPr>
        <w:t xml:space="preserve"> i Rad</w:t>
      </w:r>
      <w:r>
        <w:rPr>
          <w:rFonts w:ascii="Times New Roman" w:hAnsi="Times New Roman"/>
          <w:noProof/>
          <w:sz w:val="24"/>
        </w:rPr>
        <w:t xml:space="preserve">y </w:t>
      </w:r>
      <w:r w:rsidRPr="00332C06">
        <w:rPr>
          <w:rFonts w:ascii="Times New Roman" w:hAnsi="Times New Roman"/>
          <w:noProof/>
          <w:sz w:val="24"/>
        </w:rPr>
        <w:t>nr</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023/2013</w:t>
      </w:r>
      <w:r w:rsidR="00332C06">
        <w:rPr>
          <w:rFonts w:ascii="Times New Roman" w:hAnsi="Times New Roman"/>
          <w:noProof/>
          <w:sz w:val="24"/>
        </w:rPr>
        <w:t xml:space="preserve"> z dni</w:t>
      </w:r>
      <w:r>
        <w:rPr>
          <w:rFonts w:ascii="Times New Roman" w:hAnsi="Times New Roman"/>
          <w:noProof/>
          <w:sz w:val="24"/>
        </w:rPr>
        <w:t>a 22 października 20</w:t>
      </w:r>
      <w:r w:rsidRPr="00332C06">
        <w:rPr>
          <w:rFonts w:ascii="Times New Roman" w:hAnsi="Times New Roman"/>
          <w:noProof/>
          <w:sz w:val="24"/>
        </w:rPr>
        <w:t>13</w:t>
      </w:r>
      <w:r w:rsidR="00332C06" w:rsidRPr="00332C06">
        <w:rPr>
          <w:rFonts w:ascii="Times New Roman" w:hAnsi="Times New Roman"/>
          <w:noProof/>
          <w:sz w:val="24"/>
        </w:rPr>
        <w:t> </w:t>
      </w:r>
      <w:r w:rsidRPr="00332C06">
        <w:rPr>
          <w:rFonts w:ascii="Times New Roman" w:hAnsi="Times New Roman"/>
          <w:noProof/>
          <w:sz w:val="24"/>
        </w:rPr>
        <w:t>r.</w:t>
      </w:r>
    </w:p>
    <w:p w14:paraId="3B6B5876" w14:textId="2AA30B71" w:rsidR="00F679B3" w:rsidRDefault="00F679B3" w:rsidP="00F679B3">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Art. 135</w:t>
      </w:r>
      <w:r w:rsidR="00332C06">
        <w:rPr>
          <w:rFonts w:ascii="Times New Roman" w:hAnsi="Times New Roman"/>
          <w:noProof/>
          <w:sz w:val="24"/>
        </w:rPr>
        <w:t xml:space="preserve"> i 1</w:t>
      </w:r>
      <w:r>
        <w:rPr>
          <w:rFonts w:ascii="Times New Roman" w:hAnsi="Times New Roman"/>
          <w:noProof/>
          <w:sz w:val="24"/>
        </w:rPr>
        <w:t>36 warunków zatrudnienia innych pracowników Unii Europejskiej zmienionych rozporządzeniem Parlamentu Europejskiego</w:t>
      </w:r>
      <w:r w:rsidR="00332C06">
        <w:rPr>
          <w:rFonts w:ascii="Times New Roman" w:hAnsi="Times New Roman"/>
          <w:noProof/>
          <w:sz w:val="24"/>
        </w:rPr>
        <w:t xml:space="preserve"> i Rad</w:t>
      </w:r>
      <w:r>
        <w:rPr>
          <w:rFonts w:ascii="Times New Roman" w:hAnsi="Times New Roman"/>
          <w:noProof/>
          <w:sz w:val="24"/>
        </w:rPr>
        <w:t xml:space="preserve">y </w:t>
      </w:r>
      <w:r w:rsidRPr="00332C06">
        <w:rPr>
          <w:rFonts w:ascii="Times New Roman" w:hAnsi="Times New Roman"/>
          <w:noProof/>
          <w:sz w:val="24"/>
        </w:rPr>
        <w:t>nr</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239/2010</w:t>
      </w:r>
      <w:r w:rsidR="00332C06">
        <w:rPr>
          <w:rFonts w:ascii="Times New Roman" w:hAnsi="Times New Roman"/>
          <w:noProof/>
          <w:sz w:val="24"/>
        </w:rPr>
        <w:t xml:space="preserve"> z dni</w:t>
      </w:r>
      <w:r>
        <w:rPr>
          <w:rFonts w:ascii="Times New Roman" w:hAnsi="Times New Roman"/>
          <w:noProof/>
          <w:sz w:val="24"/>
        </w:rPr>
        <w:t>a 20 grudnia 20</w:t>
      </w:r>
      <w:r w:rsidRPr="00332C06">
        <w:rPr>
          <w:rFonts w:ascii="Times New Roman" w:hAnsi="Times New Roman"/>
          <w:noProof/>
          <w:sz w:val="24"/>
        </w:rPr>
        <w:t>10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(Dz.U. L 338</w:t>
      </w:r>
      <w:r w:rsidR="00332C06">
        <w:rPr>
          <w:rFonts w:ascii="Times New Roman" w:hAnsi="Times New Roman"/>
          <w:noProof/>
          <w:sz w:val="24"/>
        </w:rPr>
        <w:t xml:space="preserve"> z 2</w:t>
      </w:r>
      <w:r>
        <w:rPr>
          <w:rFonts w:ascii="Times New Roman" w:hAnsi="Times New Roman"/>
          <w:noProof/>
          <w:sz w:val="24"/>
        </w:rPr>
        <w:t>2.12.2010)</w:t>
      </w:r>
      <w:r>
        <w:rPr>
          <w:rStyle w:val="FootnoteReference"/>
          <w:rFonts w:ascii="Times New Roman" w:hAnsi="Times New Roman" w:cs="Times New Roman"/>
          <w:noProof/>
          <w:sz w:val="24"/>
          <w:szCs w:val="24"/>
          <w:lang w:val="fr-BE"/>
        </w:rPr>
        <w:footnoteReference w:id="5"/>
      </w:r>
      <w:r>
        <w:rPr>
          <w:rFonts w:ascii="Times New Roman" w:hAnsi="Times New Roman"/>
          <w:noProof/>
          <w:sz w:val="24"/>
        </w:rPr>
        <w:t>.</w:t>
      </w:r>
    </w:p>
    <w:p w14:paraId="202D7A0A" w14:textId="2381B0F6" w:rsidR="00F679B3" w:rsidRDefault="00F679B3" w:rsidP="00F679B3">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 xml:space="preserve">Art. 65 </w:t>
      </w:r>
      <w:r w:rsidRPr="00332C06">
        <w:rPr>
          <w:rFonts w:ascii="Times New Roman" w:hAnsi="Times New Roman"/>
          <w:noProof/>
          <w:sz w:val="24"/>
        </w:rPr>
        <w:t>ust.</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 xml:space="preserve"> regulaminu dotyczący aktualizacji wynagrodzeń</w:t>
      </w:r>
      <w:r w:rsidR="00332C06">
        <w:rPr>
          <w:rFonts w:ascii="Times New Roman" w:hAnsi="Times New Roman"/>
          <w:noProof/>
          <w:sz w:val="24"/>
        </w:rPr>
        <w:t xml:space="preserve"> i nie</w:t>
      </w:r>
      <w:r>
        <w:rPr>
          <w:rFonts w:ascii="Times New Roman" w:hAnsi="Times New Roman"/>
          <w:noProof/>
          <w:sz w:val="24"/>
        </w:rPr>
        <w:t>których kwot.</w:t>
      </w:r>
    </w:p>
    <w:p w14:paraId="0BAF9CF0" w14:textId="562A686C" w:rsidR="00F679B3" w:rsidRDefault="00F679B3" w:rsidP="00F679B3">
      <w:pPr>
        <w:pStyle w:val="ListParagraph"/>
        <w:numPr>
          <w:ilvl w:val="0"/>
          <w:numId w:val="5"/>
        </w:numPr>
        <w:jc w:val="both"/>
        <w:rPr>
          <w:noProof/>
          <w:szCs w:val="24"/>
        </w:rPr>
      </w:pPr>
      <w:r>
        <w:rPr>
          <w:rFonts w:ascii="Times New Roman" w:hAnsi="Times New Roman"/>
          <w:noProof/>
          <w:sz w:val="24"/>
        </w:rPr>
        <w:t xml:space="preserve">Rozporządzenie Komisji </w:t>
      </w:r>
      <w:r w:rsidRPr="00332C06">
        <w:rPr>
          <w:rFonts w:ascii="Times New Roman" w:hAnsi="Times New Roman"/>
          <w:noProof/>
          <w:sz w:val="24"/>
        </w:rPr>
        <w:t>nr</w:t>
      </w:r>
      <w:r w:rsidR="00332C06" w:rsidRPr="00332C06">
        <w:rPr>
          <w:rFonts w:ascii="Times New Roman" w:hAnsi="Times New Roman"/>
          <w:noProof/>
          <w:sz w:val="24"/>
        </w:rPr>
        <w:t> </w:t>
      </w:r>
      <w:r w:rsidRPr="00332C06">
        <w:rPr>
          <w:rFonts w:ascii="Times New Roman" w:hAnsi="Times New Roman"/>
          <w:noProof/>
          <w:sz w:val="24"/>
        </w:rPr>
        <w:t>9</w:t>
      </w:r>
      <w:r>
        <w:rPr>
          <w:rFonts w:ascii="Times New Roman" w:hAnsi="Times New Roman"/>
          <w:noProof/>
          <w:sz w:val="24"/>
        </w:rPr>
        <w:t>1/88</w:t>
      </w:r>
      <w:r w:rsidR="00332C06">
        <w:rPr>
          <w:rFonts w:ascii="Times New Roman" w:hAnsi="Times New Roman"/>
          <w:noProof/>
          <w:sz w:val="24"/>
        </w:rPr>
        <w:t xml:space="preserve"> z dni</w:t>
      </w:r>
      <w:r>
        <w:rPr>
          <w:rFonts w:ascii="Times New Roman" w:hAnsi="Times New Roman"/>
          <w:noProof/>
          <w:sz w:val="24"/>
        </w:rPr>
        <w:t>a 13 stycznia 19</w:t>
      </w:r>
      <w:r w:rsidRPr="00332C06">
        <w:rPr>
          <w:rFonts w:ascii="Times New Roman" w:hAnsi="Times New Roman"/>
          <w:noProof/>
          <w:sz w:val="24"/>
        </w:rPr>
        <w:t>88</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ustanawiające przepisy wykonawcze do </w:t>
      </w:r>
      <w:r w:rsidRPr="00332C06">
        <w:rPr>
          <w:rFonts w:ascii="Times New Roman" w:hAnsi="Times New Roman"/>
          <w:noProof/>
          <w:sz w:val="24"/>
        </w:rPr>
        <w:t>art.</w:t>
      </w:r>
      <w:r w:rsidR="00332C06" w:rsidRPr="00332C06">
        <w:rPr>
          <w:rFonts w:ascii="Times New Roman" w:hAnsi="Times New Roman"/>
          <w:noProof/>
          <w:sz w:val="24"/>
        </w:rPr>
        <w:t> </w:t>
      </w:r>
      <w:r w:rsidRPr="00332C06">
        <w:rPr>
          <w:rFonts w:ascii="Times New Roman" w:hAnsi="Times New Roman"/>
          <w:noProof/>
          <w:sz w:val="24"/>
        </w:rPr>
        <w:t>2</w:t>
      </w:r>
      <w:r>
        <w:rPr>
          <w:rFonts w:ascii="Times New Roman" w:hAnsi="Times New Roman"/>
          <w:noProof/>
          <w:sz w:val="24"/>
        </w:rPr>
        <w:t xml:space="preserve">8a </w:t>
      </w:r>
      <w:r w:rsidRPr="00332C06">
        <w:rPr>
          <w:rFonts w:ascii="Times New Roman" w:hAnsi="Times New Roman"/>
          <w:noProof/>
          <w:sz w:val="24"/>
        </w:rPr>
        <w:t>ust.</w:t>
      </w:r>
      <w:r w:rsidR="00332C06" w:rsidRPr="00332C06">
        <w:rPr>
          <w:rFonts w:ascii="Times New Roman" w:hAnsi="Times New Roman"/>
          <w:noProof/>
          <w:sz w:val="24"/>
        </w:rPr>
        <w:t> </w:t>
      </w:r>
      <w:r w:rsidRPr="00332C06">
        <w:rPr>
          <w:rFonts w:ascii="Times New Roman" w:hAnsi="Times New Roman"/>
          <w:noProof/>
          <w:sz w:val="24"/>
        </w:rPr>
        <w:t>2</w:t>
      </w:r>
      <w:r>
        <w:rPr>
          <w:rFonts w:ascii="Times New Roman" w:hAnsi="Times New Roman"/>
          <w:noProof/>
          <w:sz w:val="24"/>
        </w:rPr>
        <w:t xml:space="preserve"> warunków zatrudnienia innych pracowników (Dz.U. L 11</w:t>
      </w:r>
      <w:r w:rsidR="00332C06">
        <w:rPr>
          <w:rFonts w:ascii="Times New Roman" w:hAnsi="Times New Roman"/>
          <w:noProof/>
          <w:sz w:val="24"/>
        </w:rPr>
        <w:t xml:space="preserve"> z 1</w:t>
      </w:r>
      <w:r>
        <w:rPr>
          <w:rFonts w:ascii="Times New Roman" w:hAnsi="Times New Roman"/>
          <w:noProof/>
          <w:sz w:val="24"/>
        </w:rPr>
        <w:t>5.1.1989)</w:t>
      </w:r>
      <w:r>
        <w:rPr>
          <w:rStyle w:val="FootnoteReference"/>
          <w:rFonts w:ascii="Times New Roman" w:hAnsi="Times New Roman" w:cs="Times New Roman"/>
          <w:noProof/>
          <w:sz w:val="24"/>
          <w:szCs w:val="24"/>
          <w:lang w:val="fr-BE"/>
        </w:rPr>
        <w:footnoteReference w:id="6"/>
      </w:r>
      <w:r>
        <w:rPr>
          <w:rFonts w:ascii="Times New Roman" w:hAnsi="Times New Roman"/>
          <w:noProof/>
          <w:sz w:val="24"/>
        </w:rPr>
        <w:t>.</w:t>
      </w:r>
    </w:p>
    <w:p w14:paraId="6B246BB7" w14:textId="757AA318" w:rsidR="00F679B3" w:rsidRPr="00E072D2" w:rsidRDefault="00F679B3" w:rsidP="00F679B3">
      <w:pPr>
        <w:pStyle w:val="ListParagraph"/>
        <w:numPr>
          <w:ilvl w:val="0"/>
          <w:numId w:val="5"/>
        </w:numPr>
        <w:jc w:val="both"/>
        <w:rPr>
          <w:noProof/>
          <w:szCs w:val="24"/>
        </w:rPr>
      </w:pPr>
      <w:r>
        <w:rPr>
          <w:rFonts w:ascii="Times New Roman" w:hAnsi="Times New Roman"/>
          <w:noProof/>
          <w:sz w:val="24"/>
        </w:rPr>
        <w:t>Zasady Komisji</w:t>
      </w:r>
      <w:r w:rsidR="00332C06">
        <w:rPr>
          <w:rFonts w:ascii="Times New Roman" w:hAnsi="Times New Roman"/>
          <w:noProof/>
          <w:sz w:val="24"/>
        </w:rPr>
        <w:t xml:space="preserve"> z dni</w:t>
      </w:r>
      <w:r>
        <w:rPr>
          <w:rFonts w:ascii="Times New Roman" w:hAnsi="Times New Roman"/>
          <w:noProof/>
          <w:sz w:val="24"/>
        </w:rPr>
        <w:t>a 14 lipca 19</w:t>
      </w:r>
      <w:r w:rsidRPr="00332C06">
        <w:rPr>
          <w:rFonts w:ascii="Times New Roman" w:hAnsi="Times New Roman"/>
          <w:noProof/>
          <w:sz w:val="24"/>
        </w:rPr>
        <w:t>88</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za wspólnym porozumieniem stwierdzonym przez prezesa Trybunału Sprawiedliwości Wspólnot Europejskich dnia 4 lipca 19</w:t>
      </w:r>
      <w:r w:rsidRPr="00332C06">
        <w:rPr>
          <w:rFonts w:ascii="Times New Roman" w:hAnsi="Times New Roman"/>
          <w:noProof/>
          <w:sz w:val="24"/>
        </w:rPr>
        <w:t>89</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określające szczegółowe zasady stosowania przepisów dotyczących przyznawania zasiłków dla bezrobotnych pracownikom zatrudnionym na czas określony na mocy </w:t>
      </w:r>
      <w:r w:rsidRPr="00332C06">
        <w:rPr>
          <w:rFonts w:ascii="Times New Roman" w:hAnsi="Times New Roman"/>
          <w:noProof/>
          <w:sz w:val="24"/>
        </w:rPr>
        <w:t>art.</w:t>
      </w:r>
      <w:r w:rsidR="00332C06" w:rsidRPr="00332C06">
        <w:rPr>
          <w:rFonts w:ascii="Times New Roman" w:hAnsi="Times New Roman"/>
          <w:noProof/>
          <w:sz w:val="24"/>
        </w:rPr>
        <w:t> </w:t>
      </w:r>
      <w:r w:rsidRPr="00332C06">
        <w:rPr>
          <w:rFonts w:ascii="Times New Roman" w:hAnsi="Times New Roman"/>
          <w:noProof/>
          <w:sz w:val="24"/>
        </w:rPr>
        <w:t>2</w:t>
      </w:r>
      <w:r>
        <w:rPr>
          <w:rFonts w:ascii="Times New Roman" w:hAnsi="Times New Roman"/>
          <w:noProof/>
          <w:sz w:val="24"/>
        </w:rPr>
        <w:t xml:space="preserve">8a </w:t>
      </w:r>
      <w:r w:rsidRPr="00332C06">
        <w:rPr>
          <w:rFonts w:ascii="Times New Roman" w:hAnsi="Times New Roman"/>
          <w:noProof/>
          <w:sz w:val="24"/>
        </w:rPr>
        <w:t>ust.</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0 warunków zatrudnienia innych pracowników Unii Europejskiej.</w:t>
      </w:r>
    </w:p>
    <w:p w14:paraId="6F454516" w14:textId="60024BFE" w:rsidR="00F679B3" w:rsidRPr="00B804EE" w:rsidRDefault="002E78B1" w:rsidP="002F66EB">
      <w:pPr>
        <w:pStyle w:val="Heading1"/>
        <w:rPr>
          <w:noProof/>
          <w:szCs w:val="24"/>
        </w:rPr>
      </w:pPr>
      <w:bookmarkStart w:id="8" w:name="_Toc257299233"/>
      <w:r>
        <w:rPr>
          <w:noProof/>
        </w:rPr>
        <w:t>2 Sytuacja funduszu dla bezrobotnych</w:t>
      </w:r>
      <w:r w:rsidR="00332C06">
        <w:rPr>
          <w:noProof/>
        </w:rPr>
        <w:t xml:space="preserve"> w lat</w:t>
      </w:r>
      <w:r>
        <w:rPr>
          <w:noProof/>
        </w:rPr>
        <w:t>ach 2017–2022</w:t>
      </w:r>
      <w:r w:rsidR="00332C06">
        <w:rPr>
          <w:noProof/>
        </w:rPr>
        <w:t xml:space="preserve"> w uję</w:t>
      </w:r>
      <w:r>
        <w:rPr>
          <w:noProof/>
        </w:rPr>
        <w:t>ciu kasowym</w:t>
      </w:r>
      <w:r w:rsidR="00332C06">
        <w:rPr>
          <w:noProof/>
        </w:rPr>
        <w:t xml:space="preserve"> i mem</w:t>
      </w:r>
      <w:r>
        <w:rPr>
          <w:noProof/>
        </w:rPr>
        <w:t>oriałowym</w:t>
      </w:r>
      <w:bookmarkEnd w:id="8"/>
      <w:r>
        <w:rPr>
          <w:noProof/>
        </w:rPr>
        <w:t xml:space="preserve"> </w:t>
      </w:r>
    </w:p>
    <w:p w14:paraId="4F7855B3" w14:textId="65DD26CE"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W tej sekcji przedstawiono zmiany zachodzące</w:t>
      </w:r>
      <w:r w:rsidR="00332C06">
        <w:rPr>
          <w:rFonts w:ascii="Times New Roman" w:hAnsi="Times New Roman"/>
          <w:noProof/>
          <w:sz w:val="24"/>
        </w:rPr>
        <w:t xml:space="preserve"> w syt</w:t>
      </w:r>
      <w:r>
        <w:rPr>
          <w:rFonts w:ascii="Times New Roman" w:hAnsi="Times New Roman"/>
          <w:noProof/>
          <w:sz w:val="24"/>
        </w:rPr>
        <w:t>uacji finansowej funduszu dla bezrobotnych,</w:t>
      </w:r>
      <w:r w:rsidR="00332C06">
        <w:rPr>
          <w:rFonts w:ascii="Times New Roman" w:hAnsi="Times New Roman"/>
          <w:noProof/>
          <w:sz w:val="24"/>
        </w:rPr>
        <w:t xml:space="preserve"> a w szc</w:t>
      </w:r>
      <w:r>
        <w:rPr>
          <w:rFonts w:ascii="Times New Roman" w:hAnsi="Times New Roman"/>
          <w:noProof/>
          <w:sz w:val="24"/>
        </w:rPr>
        <w:t>zególności jego dochody</w:t>
      </w:r>
      <w:r w:rsidR="00332C06">
        <w:rPr>
          <w:rFonts w:ascii="Times New Roman" w:hAnsi="Times New Roman"/>
          <w:noProof/>
          <w:sz w:val="24"/>
        </w:rPr>
        <w:t xml:space="preserve"> i wyd</w:t>
      </w:r>
      <w:r>
        <w:rPr>
          <w:rFonts w:ascii="Times New Roman" w:hAnsi="Times New Roman"/>
          <w:noProof/>
          <w:sz w:val="24"/>
        </w:rPr>
        <w:t>atki.</w:t>
      </w:r>
    </w:p>
    <w:p w14:paraId="3257A422" w14:textId="007A7C33" w:rsidR="002F66EB" w:rsidRDefault="00F679B3" w:rsidP="00F679B3">
      <w:pPr>
        <w:jc w:val="both"/>
        <w:rPr>
          <w:rFonts w:ascii="Times New Roman" w:hAnsi="Times New Roman"/>
          <w:noProof/>
          <w:sz w:val="24"/>
          <w:szCs w:val="24"/>
        </w:rPr>
      </w:pPr>
      <w:r>
        <w:rPr>
          <w:rFonts w:ascii="Times New Roman" w:hAnsi="Times New Roman"/>
          <w:noProof/>
          <w:sz w:val="24"/>
        </w:rPr>
        <w:t>Kwoty ujęte</w:t>
      </w:r>
      <w:r w:rsidR="00332C06">
        <w:rPr>
          <w:rFonts w:ascii="Times New Roman" w:hAnsi="Times New Roman"/>
          <w:noProof/>
          <w:sz w:val="24"/>
        </w:rPr>
        <w:t xml:space="preserve"> w poz</w:t>
      </w:r>
      <w:r>
        <w:rPr>
          <w:rFonts w:ascii="Times New Roman" w:hAnsi="Times New Roman"/>
          <w:noProof/>
          <w:sz w:val="24"/>
        </w:rPr>
        <w:t>ycji „Zasiłki dla bezrobotnych” obejmują zasadniczo podstawowy zasiłek dla bezrobotnych, składki na rzecz wspólnego systemu ubezpieczenia chorobowego</w:t>
      </w:r>
      <w:r w:rsidR="002F66EB">
        <w:rPr>
          <w:rStyle w:val="FootnoteReference"/>
          <w:rFonts w:ascii="Times New Roman" w:hAnsi="Times New Roman"/>
          <w:noProof/>
          <w:sz w:val="24"/>
          <w:szCs w:val="24"/>
        </w:rPr>
        <w:footnoteReference w:id="7"/>
      </w:r>
      <w:r w:rsidR="00332C06">
        <w:rPr>
          <w:rFonts w:ascii="Times New Roman" w:hAnsi="Times New Roman"/>
          <w:noProof/>
          <w:sz w:val="24"/>
        </w:rPr>
        <w:t xml:space="preserve"> i wsz</w:t>
      </w:r>
      <w:r>
        <w:rPr>
          <w:rFonts w:ascii="Times New Roman" w:hAnsi="Times New Roman"/>
          <w:noProof/>
          <w:sz w:val="24"/>
        </w:rPr>
        <w:t>elkie dodatki rodzinne. Potrąca się świadczenia społeczne</w:t>
      </w:r>
      <w:r w:rsidR="00332C06">
        <w:rPr>
          <w:rFonts w:ascii="Times New Roman" w:hAnsi="Times New Roman"/>
          <w:noProof/>
          <w:sz w:val="24"/>
        </w:rPr>
        <w:t xml:space="preserve"> z sys</w:t>
      </w:r>
      <w:r>
        <w:rPr>
          <w:rFonts w:ascii="Times New Roman" w:hAnsi="Times New Roman"/>
          <w:noProof/>
          <w:sz w:val="24"/>
        </w:rPr>
        <w:t xml:space="preserve">temu krajowego (zasiłki dla bezrobotnych, dodatki rodzinne, świadczenia chorobowe, świadczenia rodzicielskie itd.). </w:t>
      </w:r>
    </w:p>
    <w:p w14:paraId="567CA5D8" w14:textId="3A9123A9"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Ponadto, jak wskazano powyżej (1.1), składkę na rzecz wspólnego systemu ubezpieczenia chorobowego pokrywa się</w:t>
      </w:r>
      <w:r w:rsidR="00332C06">
        <w:rPr>
          <w:rFonts w:ascii="Times New Roman" w:hAnsi="Times New Roman"/>
          <w:noProof/>
          <w:sz w:val="24"/>
        </w:rPr>
        <w:t xml:space="preserve"> z fun</w:t>
      </w:r>
      <w:r>
        <w:rPr>
          <w:rFonts w:ascii="Times New Roman" w:hAnsi="Times New Roman"/>
          <w:noProof/>
          <w:sz w:val="24"/>
        </w:rPr>
        <w:t>duszu dla bezrobotnych (5,</w:t>
      </w:r>
      <w:r w:rsidRPr="00332C06">
        <w:rPr>
          <w:rFonts w:ascii="Times New Roman" w:hAnsi="Times New Roman"/>
          <w:noProof/>
          <w:sz w:val="24"/>
        </w:rPr>
        <w:t>1</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 xml:space="preserve"> referencyjnego wynagrodzenia podstawowego osoby uprawnionej do zasiłku dla bezrobotnych).</w:t>
      </w:r>
    </w:p>
    <w:p w14:paraId="06F325F1" w14:textId="6040F111"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W ramach funduszu dla bezrobotnych stosuje się dwa instrumenty zarządzania wydatkami</w:t>
      </w:r>
      <w:r w:rsidR="00332C06">
        <w:rPr>
          <w:rFonts w:ascii="Times New Roman" w:hAnsi="Times New Roman"/>
          <w:noProof/>
          <w:sz w:val="24"/>
        </w:rPr>
        <w:t xml:space="preserve"> i doc</w:t>
      </w:r>
      <w:r>
        <w:rPr>
          <w:rFonts w:ascii="Times New Roman" w:hAnsi="Times New Roman"/>
          <w:noProof/>
          <w:sz w:val="24"/>
        </w:rPr>
        <w:t xml:space="preserve">hodami: </w:t>
      </w:r>
    </w:p>
    <w:p w14:paraId="39033331" w14:textId="61E9DFA6" w:rsidR="00F679B3" w:rsidRPr="00B804EE" w:rsidRDefault="00F679B3" w:rsidP="00F679B3">
      <w:pPr>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rachunek bieżący</w:t>
      </w:r>
      <w:r w:rsidR="00332C06">
        <w:rPr>
          <w:rFonts w:ascii="Times New Roman" w:hAnsi="Times New Roman"/>
          <w:noProof/>
          <w:sz w:val="24"/>
        </w:rPr>
        <w:t xml:space="preserve"> w cel</w:t>
      </w:r>
      <w:r>
        <w:rPr>
          <w:rFonts w:ascii="Times New Roman" w:hAnsi="Times New Roman"/>
          <w:noProof/>
          <w:sz w:val="24"/>
        </w:rPr>
        <w:t>u przyjmowania wpływów</w:t>
      </w:r>
      <w:r w:rsidR="00332C06">
        <w:rPr>
          <w:rFonts w:ascii="Times New Roman" w:hAnsi="Times New Roman"/>
          <w:noProof/>
          <w:sz w:val="24"/>
        </w:rPr>
        <w:t xml:space="preserve"> i dok</w:t>
      </w:r>
      <w:r>
        <w:rPr>
          <w:rFonts w:ascii="Times New Roman" w:hAnsi="Times New Roman"/>
          <w:noProof/>
          <w:sz w:val="24"/>
        </w:rPr>
        <w:t>onywania płatności zasiłków;</w:t>
      </w:r>
    </w:p>
    <w:p w14:paraId="4ACFB1D2" w14:textId="77777777" w:rsidR="00F679B3" w:rsidRPr="005B5297" w:rsidRDefault="00F679B3" w:rsidP="00F679B3">
      <w:pPr>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lokaty terminowe do celów inwestowania skumulowanych nadwyżek.</w:t>
      </w:r>
    </w:p>
    <w:p w14:paraId="1CE5A905" w14:textId="77777777" w:rsidR="00F679B3" w:rsidRPr="00F76FC6" w:rsidRDefault="00F679B3" w:rsidP="00F679B3">
      <w:pPr>
        <w:spacing w:before="120" w:after="120" w:line="240" w:lineRule="auto"/>
        <w:ind w:left="720"/>
        <w:jc w:val="both"/>
        <w:rPr>
          <w:rFonts w:ascii="Times New Roman" w:hAnsi="Times New Roman" w:cs="Times New Roman"/>
          <w:noProof/>
          <w:sz w:val="24"/>
          <w:szCs w:val="24"/>
        </w:rPr>
      </w:pPr>
    </w:p>
    <w:p w14:paraId="3191F597" w14:textId="54F03732" w:rsidR="00F679B3" w:rsidRPr="00B804EE" w:rsidRDefault="002E78B1" w:rsidP="005661D8">
      <w:pPr>
        <w:pStyle w:val="Heading2"/>
        <w:numPr>
          <w:ilvl w:val="0"/>
          <w:numId w:val="0"/>
        </w:numPr>
        <w:rPr>
          <w:noProof/>
        </w:rPr>
      </w:pPr>
      <w:r>
        <w:rPr>
          <w:noProof/>
        </w:rPr>
        <w:t xml:space="preserve">2.1. Ujęcie kasowe: </w:t>
      </w:r>
      <w:bookmarkStart w:id="9" w:name="_Toc257299234"/>
      <w:r>
        <w:rPr>
          <w:noProof/>
        </w:rPr>
        <w:t>wyniki bieżące</w:t>
      </w:r>
      <w:r w:rsidR="00332C06">
        <w:rPr>
          <w:noProof/>
        </w:rPr>
        <w:t xml:space="preserve"> i sal</w:t>
      </w:r>
      <w:r>
        <w:rPr>
          <w:noProof/>
        </w:rPr>
        <w:t>da skumulowane</w:t>
      </w:r>
      <w:r w:rsidR="00332C06">
        <w:rPr>
          <w:noProof/>
        </w:rPr>
        <w:t xml:space="preserve"> w lat</w:t>
      </w:r>
      <w:r>
        <w:rPr>
          <w:noProof/>
        </w:rPr>
        <w:t>ach 2017–2022</w:t>
      </w:r>
      <w:bookmarkEnd w:id="9"/>
    </w:p>
    <w:p w14:paraId="4787745A" w14:textId="77777777"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 xml:space="preserve">W rachunkowości kasowej transakcje rejestruje się wyłącznie, gdy następuje wpływ lub wypłata środków pieniężnych. </w:t>
      </w:r>
    </w:p>
    <w:p w14:paraId="32877A03" w14:textId="31FAC679" w:rsidR="00F679B3" w:rsidRPr="00332C06" w:rsidRDefault="00F679B3" w:rsidP="00F679B3">
      <w:pPr>
        <w:pStyle w:val="CommentText"/>
        <w:jc w:val="both"/>
        <w:rPr>
          <w:noProof/>
        </w:rPr>
      </w:pPr>
      <w:r>
        <w:rPr>
          <w:rFonts w:ascii="Times New Roman" w:hAnsi="Times New Roman"/>
          <w:noProof/>
          <w:sz w:val="24"/>
        </w:rPr>
        <w:t>W tabeli 1 przedstawiono zestawienie dochodów</w:t>
      </w:r>
      <w:r w:rsidR="00332C06">
        <w:rPr>
          <w:rFonts w:ascii="Times New Roman" w:hAnsi="Times New Roman"/>
          <w:noProof/>
          <w:sz w:val="24"/>
        </w:rPr>
        <w:t xml:space="preserve"> i wyd</w:t>
      </w:r>
      <w:r>
        <w:rPr>
          <w:rFonts w:ascii="Times New Roman" w:hAnsi="Times New Roman"/>
          <w:noProof/>
          <w:sz w:val="24"/>
        </w:rPr>
        <w:t>atków zaksięgowanych oraz wynikające</w:t>
      </w:r>
      <w:r w:rsidR="00332C06">
        <w:rPr>
          <w:rFonts w:ascii="Times New Roman" w:hAnsi="Times New Roman"/>
          <w:noProof/>
          <w:sz w:val="24"/>
        </w:rPr>
        <w:t xml:space="preserve"> z nic</w:t>
      </w:r>
      <w:r>
        <w:rPr>
          <w:rFonts w:ascii="Times New Roman" w:hAnsi="Times New Roman"/>
          <w:noProof/>
          <w:sz w:val="24"/>
        </w:rPr>
        <w:t>h saldo bieżące</w:t>
      </w:r>
      <w:r w:rsidRPr="00332C06">
        <w:rPr>
          <w:rFonts w:ascii="Times New Roman" w:hAnsi="Times New Roman"/>
          <w:noProof/>
          <w:sz w:val="24"/>
        </w:rPr>
        <w:t>.</w:t>
      </w:r>
      <w:r w:rsidR="00332C06" w:rsidRPr="00332C06">
        <w:rPr>
          <w:rFonts w:ascii="Times New Roman" w:hAnsi="Times New Roman"/>
          <w:noProof/>
          <w:sz w:val="24"/>
        </w:rPr>
        <w:t xml:space="preserve"> </w:t>
      </w:r>
    </w:p>
    <w:p w14:paraId="7E6276DA" w14:textId="07E000BB" w:rsidR="00637197" w:rsidRDefault="00F76FC6" w:rsidP="27D443E8">
      <w:pPr>
        <w:pStyle w:val="CommentText"/>
        <w:jc w:val="both"/>
        <w:rPr>
          <w:noProof/>
        </w:rPr>
      </w:pPr>
      <w:r w:rsidRPr="00F76FC6">
        <w:rPr>
          <w:noProof/>
          <w:lang w:val="en-GB" w:eastAsia="en-GB"/>
        </w:rPr>
        <w:drawing>
          <wp:inline distT="0" distB="0" distL="0" distR="0" wp14:anchorId="0F51A345" wp14:editId="2898C590">
            <wp:extent cx="5509451" cy="32479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3300" cy="3261960"/>
                    </a:xfrm>
                    <a:prstGeom prst="rect">
                      <a:avLst/>
                    </a:prstGeom>
                    <a:noFill/>
                    <a:ln>
                      <a:noFill/>
                    </a:ln>
                  </pic:spPr>
                </pic:pic>
              </a:graphicData>
            </a:graphic>
          </wp:inline>
        </w:drawing>
      </w:r>
      <w:r w:rsidR="00B8143E">
        <w:rPr>
          <w:rStyle w:val="FootnoteReference"/>
          <w:noProof/>
        </w:rPr>
        <w:footnoteReference w:id="8"/>
      </w:r>
    </w:p>
    <w:p w14:paraId="42914642" w14:textId="0147B758" w:rsidR="005A72D5" w:rsidRDefault="00F679B3" w:rsidP="00F679B3">
      <w:pPr>
        <w:jc w:val="both"/>
        <w:rPr>
          <w:rFonts w:ascii="Times New Roman" w:hAnsi="Times New Roman"/>
          <w:noProof/>
          <w:sz w:val="24"/>
          <w:szCs w:val="24"/>
        </w:rPr>
      </w:pPr>
      <w:r>
        <w:rPr>
          <w:rFonts w:ascii="Times New Roman" w:hAnsi="Times New Roman"/>
          <w:noProof/>
          <w:sz w:val="24"/>
        </w:rPr>
        <w:t>W tabeli 2 przedstawiono zmiany aktywów finansowych funduszu dla bezrobotnych na rachunku bieżącym włączonym do rachunkowości Komisji Europejskiej (część I) i na rachunkach inwestycyjnych zarządzanych przez DG BUDG (przed 20</w:t>
      </w:r>
      <w:r w:rsidRPr="00332C06">
        <w:rPr>
          <w:rFonts w:ascii="Times New Roman" w:hAnsi="Times New Roman"/>
          <w:noProof/>
          <w:sz w:val="24"/>
        </w:rPr>
        <w:t>19</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DG ECFIN) (część II)</w:t>
      </w:r>
      <w:r w:rsidR="00332C06">
        <w:rPr>
          <w:rFonts w:ascii="Times New Roman" w:hAnsi="Times New Roman"/>
          <w:noProof/>
          <w:sz w:val="24"/>
        </w:rPr>
        <w:t>. W lat</w:t>
      </w:r>
      <w:r>
        <w:rPr>
          <w:rFonts w:ascii="Times New Roman" w:hAnsi="Times New Roman"/>
          <w:noProof/>
          <w:sz w:val="24"/>
        </w:rPr>
        <w:t>ach 2017–2022 inwestowane kwoty utrzymywały się na stabilnym poziomie, choć podmioty odpowiedzialne zainicjowały dyskusje dotyczące potencjalnej możliwości zwiększenia portfela inwestycyjnego</w:t>
      </w:r>
      <w:r w:rsidR="00332C06">
        <w:rPr>
          <w:rFonts w:ascii="Times New Roman" w:hAnsi="Times New Roman"/>
          <w:noProof/>
          <w:sz w:val="24"/>
        </w:rPr>
        <w:t>. W czę</w:t>
      </w:r>
      <w:r>
        <w:rPr>
          <w:rFonts w:ascii="Times New Roman" w:hAnsi="Times New Roman"/>
          <w:noProof/>
          <w:sz w:val="24"/>
        </w:rPr>
        <w:t>ści trzeciej przedstawiono skumulowane nadwyżki skonsolidowane na tych dwóch rachunkach (część III)</w:t>
      </w:r>
      <w:r w:rsidR="00332C06">
        <w:rPr>
          <w:rFonts w:ascii="Times New Roman" w:hAnsi="Times New Roman"/>
          <w:noProof/>
          <w:sz w:val="24"/>
        </w:rPr>
        <w:t>. W lat</w:t>
      </w:r>
      <w:r>
        <w:rPr>
          <w:rFonts w:ascii="Times New Roman" w:hAnsi="Times New Roman"/>
          <w:noProof/>
          <w:sz w:val="24"/>
        </w:rPr>
        <w:t>ach 2017–2022 skumulowana nadwyżka wzrosła</w:t>
      </w:r>
      <w:r w:rsidR="00332C06">
        <w:rPr>
          <w:rFonts w:ascii="Times New Roman" w:hAnsi="Times New Roman"/>
          <w:noProof/>
          <w:sz w:val="24"/>
        </w:rPr>
        <w:t xml:space="preserve"> o 2</w:t>
      </w:r>
      <w:r>
        <w:rPr>
          <w:rFonts w:ascii="Times New Roman" w:hAnsi="Times New Roman"/>
          <w:noProof/>
          <w:sz w:val="24"/>
        </w:rPr>
        <w:t>0</w:t>
      </w:r>
      <w:r w:rsidRPr="00332C06">
        <w:rPr>
          <w:rFonts w:ascii="Times New Roman" w:hAnsi="Times New Roman"/>
          <w:noProof/>
          <w:sz w:val="24"/>
        </w:rPr>
        <w:t>9</w:t>
      </w:r>
      <w:r w:rsidR="00332C06" w:rsidRPr="00332C06">
        <w:rPr>
          <w:rFonts w:ascii="Times New Roman" w:hAnsi="Times New Roman"/>
          <w:noProof/>
          <w:sz w:val="24"/>
        </w:rPr>
        <w:t> </w:t>
      </w:r>
      <w:r w:rsidRPr="00332C06">
        <w:rPr>
          <w:rFonts w:ascii="Times New Roman" w:hAnsi="Times New Roman"/>
          <w:noProof/>
          <w:sz w:val="24"/>
        </w:rPr>
        <w:t>%</w:t>
      </w:r>
      <w:r w:rsidR="00332C06">
        <w:rPr>
          <w:rFonts w:ascii="Times New Roman" w:hAnsi="Times New Roman"/>
          <w:noProof/>
          <w:sz w:val="24"/>
        </w:rPr>
        <w:t xml:space="preserve"> z poz</w:t>
      </w:r>
      <w:r>
        <w:rPr>
          <w:rFonts w:ascii="Times New Roman" w:hAnsi="Times New Roman"/>
          <w:noProof/>
          <w:sz w:val="24"/>
        </w:rPr>
        <w:t>iomu 19,6 mln EUR</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17</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do poziomu 60,5 mln EUR</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p>
    <w:p w14:paraId="3A172D7E" w14:textId="7E0581BA" w:rsidR="00637197" w:rsidRDefault="00F76FC6" w:rsidP="27D443E8">
      <w:pPr>
        <w:jc w:val="both"/>
        <w:rPr>
          <w:noProof/>
        </w:rPr>
      </w:pPr>
      <w:r w:rsidRPr="00F76FC6">
        <w:rPr>
          <w:noProof/>
          <w:lang w:val="en-GB" w:eastAsia="en-GB"/>
        </w:rPr>
        <w:lastRenderedPageBreak/>
        <w:drawing>
          <wp:inline distT="0" distB="0" distL="0" distR="0" wp14:anchorId="48F46664" wp14:editId="032E6D94">
            <wp:extent cx="5385369" cy="3437907"/>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0149" cy="3453726"/>
                    </a:xfrm>
                    <a:prstGeom prst="rect">
                      <a:avLst/>
                    </a:prstGeom>
                    <a:noFill/>
                    <a:ln>
                      <a:noFill/>
                    </a:ln>
                  </pic:spPr>
                </pic:pic>
              </a:graphicData>
            </a:graphic>
          </wp:inline>
        </w:drawing>
      </w:r>
    </w:p>
    <w:p w14:paraId="6E49DB06" w14:textId="77777777" w:rsidR="000F7C15" w:rsidRDefault="000F7C15" w:rsidP="27D443E8">
      <w:pPr>
        <w:jc w:val="both"/>
        <w:rPr>
          <w:rFonts w:ascii="Times New Roman" w:hAnsi="Times New Roman"/>
          <w:noProof/>
          <w:sz w:val="24"/>
          <w:szCs w:val="24"/>
        </w:rPr>
      </w:pPr>
    </w:p>
    <w:p w14:paraId="391B802F" w14:textId="0C6826C6" w:rsidR="000F7C15" w:rsidRPr="00A377EF" w:rsidRDefault="00F679B3" w:rsidP="27D443E8">
      <w:pPr>
        <w:jc w:val="both"/>
        <w:rPr>
          <w:rFonts w:ascii="Times New Roman" w:hAnsi="Times New Roman"/>
          <w:noProof/>
          <w:sz w:val="24"/>
          <w:szCs w:val="24"/>
        </w:rPr>
      </w:pPr>
      <w:r>
        <w:rPr>
          <w:rFonts w:ascii="Times New Roman" w:hAnsi="Times New Roman"/>
          <w:noProof/>
          <w:sz w:val="24"/>
        </w:rPr>
        <w:t>W tabeli 3 przedstawiono saldo skumulowane funduszu. Dochody ze składek poszczególnych instytucji</w:t>
      </w:r>
      <w:r w:rsidR="00332C06">
        <w:rPr>
          <w:rFonts w:ascii="Times New Roman" w:hAnsi="Times New Roman"/>
          <w:noProof/>
          <w:sz w:val="24"/>
        </w:rPr>
        <w:t xml:space="preserve"> i age</w:t>
      </w:r>
      <w:r>
        <w:rPr>
          <w:rFonts w:ascii="Times New Roman" w:hAnsi="Times New Roman"/>
          <w:noProof/>
          <w:sz w:val="24"/>
        </w:rPr>
        <w:t>ncji wzrosły</w:t>
      </w:r>
      <w:r w:rsidR="00332C06">
        <w:rPr>
          <w:rFonts w:ascii="Times New Roman" w:hAnsi="Times New Roman"/>
          <w:noProof/>
          <w:sz w:val="24"/>
        </w:rPr>
        <w:t xml:space="preserve"> w dan</w:t>
      </w:r>
      <w:r>
        <w:rPr>
          <w:rFonts w:ascii="Times New Roman" w:hAnsi="Times New Roman"/>
          <w:noProof/>
          <w:sz w:val="24"/>
        </w:rPr>
        <w:t>ym okresie</w:t>
      </w:r>
      <w:r w:rsidR="00332C06">
        <w:rPr>
          <w:rFonts w:ascii="Times New Roman" w:hAnsi="Times New Roman"/>
          <w:noProof/>
          <w:sz w:val="24"/>
        </w:rPr>
        <w:t xml:space="preserve"> o nie</w:t>
      </w:r>
      <w:r>
        <w:rPr>
          <w:rFonts w:ascii="Times New Roman" w:hAnsi="Times New Roman"/>
          <w:noProof/>
          <w:sz w:val="24"/>
        </w:rPr>
        <w:t>mal 41 mln EUR.</w:t>
      </w:r>
    </w:p>
    <w:p w14:paraId="23762EAC" w14:textId="06F78DD9" w:rsidR="00A377EF" w:rsidRDefault="00F76FC6" w:rsidP="27D443E8">
      <w:pPr>
        <w:jc w:val="both"/>
        <w:rPr>
          <w:noProof/>
        </w:rPr>
      </w:pPr>
      <w:r w:rsidRPr="00F76FC6">
        <w:rPr>
          <w:noProof/>
          <w:lang w:val="en-GB" w:eastAsia="en-GB"/>
        </w:rPr>
        <w:drawing>
          <wp:inline distT="0" distB="0" distL="0" distR="0" wp14:anchorId="5B6CA3B1" wp14:editId="6F6B6B12">
            <wp:extent cx="5977255" cy="1395351"/>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5927" cy="1402044"/>
                    </a:xfrm>
                    <a:prstGeom prst="rect">
                      <a:avLst/>
                    </a:prstGeom>
                    <a:noFill/>
                    <a:ln>
                      <a:noFill/>
                    </a:ln>
                  </pic:spPr>
                </pic:pic>
              </a:graphicData>
            </a:graphic>
          </wp:inline>
        </w:drawing>
      </w:r>
    </w:p>
    <w:p w14:paraId="6E114EFD" w14:textId="77777777" w:rsidR="00E76ED9" w:rsidRPr="00332C06" w:rsidRDefault="00E76ED9" w:rsidP="27D443E8">
      <w:pPr>
        <w:jc w:val="both"/>
        <w:rPr>
          <w:noProof/>
        </w:rPr>
      </w:pPr>
    </w:p>
    <w:p w14:paraId="282B8ECF" w14:textId="7D3E51F5" w:rsidR="00F679B3" w:rsidRPr="00B804EE" w:rsidRDefault="00DF3AB9" w:rsidP="005661D8">
      <w:pPr>
        <w:pStyle w:val="Heading2"/>
        <w:numPr>
          <w:ilvl w:val="1"/>
          <w:numId w:val="9"/>
        </w:numPr>
        <w:rPr>
          <w:noProof/>
        </w:rPr>
      </w:pPr>
      <w:r w:rsidRPr="00332C06">
        <w:rPr>
          <w:noProof/>
        </w:rPr>
        <w:t>U</w:t>
      </w:r>
      <w:r>
        <w:rPr>
          <w:noProof/>
        </w:rPr>
        <w:t xml:space="preserve">jęcie memoriałowe: </w:t>
      </w:r>
      <w:bookmarkStart w:id="10" w:name="_Toc257299235"/>
      <w:r>
        <w:rPr>
          <w:noProof/>
        </w:rPr>
        <w:t>wyniki bieżące</w:t>
      </w:r>
      <w:r w:rsidR="00332C06">
        <w:rPr>
          <w:noProof/>
        </w:rPr>
        <w:t xml:space="preserve"> w lat</w:t>
      </w:r>
      <w:r>
        <w:rPr>
          <w:noProof/>
        </w:rPr>
        <w:t>ach 2017–2022</w:t>
      </w:r>
      <w:bookmarkEnd w:id="10"/>
    </w:p>
    <w:p w14:paraId="2A126E4C" w14:textId="039D6E2A" w:rsidR="00F679B3" w:rsidRPr="00332C06" w:rsidRDefault="00F679B3" w:rsidP="00F679B3">
      <w:pPr>
        <w:jc w:val="both"/>
        <w:rPr>
          <w:rFonts w:ascii="Times New Roman" w:hAnsi="Times New Roman" w:cs="Times New Roman"/>
          <w:noProof/>
          <w:sz w:val="24"/>
          <w:szCs w:val="24"/>
        </w:rPr>
      </w:pPr>
      <w:r>
        <w:rPr>
          <w:rFonts w:ascii="Times New Roman" w:hAnsi="Times New Roman"/>
          <w:noProof/>
          <w:sz w:val="24"/>
        </w:rPr>
        <w:t>W rachunkowości memoriałowej transakcje księguje się</w:t>
      </w:r>
      <w:r w:rsidR="00332C06">
        <w:rPr>
          <w:rFonts w:ascii="Times New Roman" w:hAnsi="Times New Roman"/>
          <w:noProof/>
          <w:sz w:val="24"/>
        </w:rPr>
        <w:t xml:space="preserve"> w mom</w:t>
      </w:r>
      <w:r>
        <w:rPr>
          <w:rFonts w:ascii="Times New Roman" w:hAnsi="Times New Roman"/>
          <w:noProof/>
          <w:sz w:val="24"/>
        </w:rPr>
        <w:t>encie, gdy składki do funduszu dla bezrobotnych lub płatności zasiłków dla bezrobotnych staną się należne</w:t>
      </w:r>
      <w:r w:rsidRPr="00332C06">
        <w:rPr>
          <w:rFonts w:ascii="Times New Roman" w:hAnsi="Times New Roman"/>
          <w:noProof/>
          <w:sz w:val="24"/>
        </w:rPr>
        <w:t>.</w:t>
      </w:r>
      <w:r w:rsidR="00332C06" w:rsidRPr="00332C06">
        <w:rPr>
          <w:rFonts w:ascii="Times New Roman" w:hAnsi="Times New Roman"/>
          <w:noProof/>
          <w:sz w:val="24"/>
        </w:rPr>
        <w:t xml:space="preserve"> </w:t>
      </w:r>
      <w:r w:rsidRPr="00332C06">
        <w:rPr>
          <w:rFonts w:ascii="Times New Roman" w:hAnsi="Times New Roman"/>
          <w:noProof/>
          <w:sz w:val="24"/>
        </w:rPr>
        <w:t>O</w:t>
      </w:r>
      <w:r>
        <w:rPr>
          <w:rFonts w:ascii="Times New Roman" w:hAnsi="Times New Roman"/>
          <w:noProof/>
          <w:sz w:val="24"/>
        </w:rPr>
        <w:t>znacza to, że</w:t>
      </w:r>
      <w:r w:rsidRPr="00332C06">
        <w:rPr>
          <w:rFonts w:ascii="Times New Roman" w:hAnsi="Times New Roman"/>
          <w:noProof/>
          <w:sz w:val="24"/>
        </w:rPr>
        <w:t>:</w:t>
      </w:r>
      <w:r w:rsidR="00332C06" w:rsidRPr="00332C06">
        <w:rPr>
          <w:rFonts w:ascii="Times New Roman" w:hAnsi="Times New Roman"/>
          <w:noProof/>
          <w:sz w:val="24"/>
        </w:rPr>
        <w:t xml:space="preserve"> </w:t>
      </w:r>
    </w:p>
    <w:p w14:paraId="201E1DF2" w14:textId="3E740526" w:rsidR="00F679B3" w:rsidRPr="00B804EE" w:rsidRDefault="00F679B3" w:rsidP="00F679B3">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niektóre składki otrzymane na początku roku N obejmują okresy aktywności</w:t>
      </w:r>
      <w:r w:rsidR="00332C06">
        <w:rPr>
          <w:rFonts w:ascii="Times New Roman" w:hAnsi="Times New Roman"/>
          <w:noProof/>
          <w:sz w:val="24"/>
        </w:rPr>
        <w:t xml:space="preserve"> z koń</w:t>
      </w:r>
      <w:r>
        <w:rPr>
          <w:rFonts w:ascii="Times New Roman" w:hAnsi="Times New Roman"/>
          <w:noProof/>
          <w:sz w:val="24"/>
        </w:rPr>
        <w:t xml:space="preserve">ca roku N-1; </w:t>
      </w:r>
    </w:p>
    <w:p w14:paraId="3E6F9991" w14:textId="2829E676" w:rsidR="00F679B3" w:rsidRPr="00B804EE" w:rsidRDefault="00F679B3" w:rsidP="00F679B3">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niektóre kwoty wypłacone na początku roku N obejmują okresy bezrobocia</w:t>
      </w:r>
      <w:r w:rsidR="00332C06">
        <w:rPr>
          <w:rFonts w:ascii="Times New Roman" w:hAnsi="Times New Roman"/>
          <w:noProof/>
          <w:sz w:val="24"/>
        </w:rPr>
        <w:t xml:space="preserve"> z koń</w:t>
      </w:r>
      <w:r>
        <w:rPr>
          <w:rFonts w:ascii="Times New Roman" w:hAnsi="Times New Roman"/>
          <w:noProof/>
          <w:sz w:val="24"/>
        </w:rPr>
        <w:t xml:space="preserve">ca roku N-1. </w:t>
      </w:r>
    </w:p>
    <w:p w14:paraId="5A63228C" w14:textId="59684A70"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Zgodnie</w:t>
      </w:r>
      <w:r w:rsidR="00332C06">
        <w:rPr>
          <w:rFonts w:ascii="Times New Roman" w:hAnsi="Times New Roman"/>
          <w:noProof/>
          <w:sz w:val="24"/>
        </w:rPr>
        <w:t xml:space="preserve"> z obo</w:t>
      </w:r>
      <w:r>
        <w:rPr>
          <w:rFonts w:ascii="Times New Roman" w:hAnsi="Times New Roman"/>
          <w:noProof/>
          <w:sz w:val="24"/>
        </w:rPr>
        <w:t>wiązującymi normami rachunkowości transakcje te zalicza się na poczet roku obrotowego N-1.</w:t>
      </w:r>
    </w:p>
    <w:p w14:paraId="013E21B0" w14:textId="65F876BA" w:rsidR="00F679B3" w:rsidRDefault="00F679B3" w:rsidP="00F679B3">
      <w:pPr>
        <w:jc w:val="both"/>
        <w:rPr>
          <w:rFonts w:ascii="Times New Roman" w:hAnsi="Times New Roman"/>
          <w:noProof/>
          <w:sz w:val="24"/>
          <w:szCs w:val="24"/>
        </w:rPr>
      </w:pPr>
      <w:r>
        <w:rPr>
          <w:rFonts w:ascii="Times New Roman" w:hAnsi="Times New Roman"/>
          <w:noProof/>
          <w:sz w:val="24"/>
        </w:rPr>
        <w:t>W tabeli 4 przedstawiono dochody</w:t>
      </w:r>
      <w:r w:rsidR="00332C06">
        <w:rPr>
          <w:rFonts w:ascii="Times New Roman" w:hAnsi="Times New Roman"/>
          <w:noProof/>
          <w:sz w:val="24"/>
        </w:rPr>
        <w:t xml:space="preserve"> i wyd</w:t>
      </w:r>
      <w:r>
        <w:rPr>
          <w:rFonts w:ascii="Times New Roman" w:hAnsi="Times New Roman"/>
          <w:noProof/>
          <w:sz w:val="24"/>
        </w:rPr>
        <w:t>atki według tej koncepcji, pokazując</w:t>
      </w:r>
      <w:r w:rsidR="00332C06">
        <w:rPr>
          <w:rFonts w:ascii="Times New Roman" w:hAnsi="Times New Roman"/>
          <w:noProof/>
          <w:sz w:val="24"/>
        </w:rPr>
        <w:t xml:space="preserve"> w ten</w:t>
      </w:r>
      <w:r>
        <w:rPr>
          <w:rFonts w:ascii="Times New Roman" w:hAnsi="Times New Roman"/>
          <w:noProof/>
          <w:sz w:val="24"/>
        </w:rPr>
        <w:t xml:space="preserve"> sposób roczny stan dochodów</w:t>
      </w:r>
      <w:r w:rsidR="00332C06">
        <w:rPr>
          <w:rFonts w:ascii="Times New Roman" w:hAnsi="Times New Roman"/>
          <w:noProof/>
          <w:sz w:val="24"/>
        </w:rPr>
        <w:t xml:space="preserve"> i wyd</w:t>
      </w:r>
      <w:r>
        <w:rPr>
          <w:rFonts w:ascii="Times New Roman" w:hAnsi="Times New Roman"/>
          <w:noProof/>
          <w:sz w:val="24"/>
        </w:rPr>
        <w:t>atków funduszu dla bezrobotnych</w:t>
      </w:r>
      <w:r w:rsidR="00332C06">
        <w:rPr>
          <w:rFonts w:ascii="Times New Roman" w:hAnsi="Times New Roman"/>
          <w:noProof/>
          <w:sz w:val="24"/>
        </w:rPr>
        <w:t xml:space="preserve"> w uję</w:t>
      </w:r>
      <w:r>
        <w:rPr>
          <w:rFonts w:ascii="Times New Roman" w:hAnsi="Times New Roman"/>
          <w:noProof/>
          <w:sz w:val="24"/>
        </w:rPr>
        <w:t>ciu memoriałowym.</w:t>
      </w:r>
    </w:p>
    <w:p w14:paraId="479F0852" w14:textId="620AFCB9" w:rsidR="00637197" w:rsidRPr="00F442D3" w:rsidRDefault="00F76FC6" w:rsidP="27D443E8">
      <w:pPr>
        <w:jc w:val="both"/>
        <w:rPr>
          <w:rFonts w:ascii="Times New Roman" w:hAnsi="Times New Roman" w:cs="Times New Roman"/>
          <w:noProof/>
          <w:sz w:val="24"/>
          <w:szCs w:val="24"/>
        </w:rPr>
      </w:pPr>
      <w:r w:rsidRPr="00F76FC6">
        <w:rPr>
          <w:noProof/>
          <w:lang w:val="en-GB" w:eastAsia="en-GB"/>
        </w:rPr>
        <w:lastRenderedPageBreak/>
        <w:drawing>
          <wp:inline distT="0" distB="0" distL="0" distR="0" wp14:anchorId="699A9DFC" wp14:editId="54AF3ED9">
            <wp:extent cx="5977255" cy="333502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7255" cy="3335020"/>
                    </a:xfrm>
                    <a:prstGeom prst="rect">
                      <a:avLst/>
                    </a:prstGeom>
                    <a:noFill/>
                    <a:ln>
                      <a:noFill/>
                    </a:ln>
                  </pic:spPr>
                </pic:pic>
              </a:graphicData>
            </a:graphic>
          </wp:inline>
        </w:drawing>
      </w:r>
    </w:p>
    <w:p w14:paraId="7A151A7E" w14:textId="710F58FE" w:rsidR="00F249C5" w:rsidRDefault="00F679B3" w:rsidP="00F679B3">
      <w:pPr>
        <w:jc w:val="both"/>
        <w:rPr>
          <w:rFonts w:ascii="Times New Roman" w:hAnsi="Times New Roman"/>
          <w:noProof/>
          <w:sz w:val="24"/>
          <w:szCs w:val="24"/>
        </w:rPr>
      </w:pPr>
      <w:r>
        <w:rPr>
          <w:rFonts w:ascii="Times New Roman" w:hAnsi="Times New Roman"/>
          <w:noProof/>
          <w:sz w:val="24"/>
        </w:rPr>
        <w:t>W latach 2017–2020 odnotowano znaczny wzrost wydatków, który wynikał przede wszystkim ze zmiany kadencji Parlamentu Europejskiego oraz wypłaty zasiłku dla bezrobotnych uprawnionym akredytowanym asystentom parlamentarnym. Od 20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wydatki zmniejszyły się</w:t>
      </w:r>
      <w:r w:rsidR="00332C06">
        <w:rPr>
          <w:rFonts w:ascii="Times New Roman" w:hAnsi="Times New Roman"/>
          <w:noProof/>
          <w:sz w:val="24"/>
        </w:rPr>
        <w:t xml:space="preserve"> z poz</w:t>
      </w:r>
      <w:r>
        <w:rPr>
          <w:rFonts w:ascii="Times New Roman" w:hAnsi="Times New Roman"/>
          <w:noProof/>
          <w:sz w:val="24"/>
        </w:rPr>
        <w:t>iomu 32 mln EUR do poziomu 20 mln EUR według stanu na koniec 20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w:t>
      </w:r>
    </w:p>
    <w:p w14:paraId="4C38115F" w14:textId="1601BBF1" w:rsidR="00F679B3" w:rsidRDefault="00F249C5" w:rsidP="00F679B3">
      <w:pPr>
        <w:jc w:val="both"/>
        <w:rPr>
          <w:rFonts w:ascii="Times New Roman" w:hAnsi="Times New Roman" w:cs="Times New Roman"/>
          <w:noProof/>
          <w:sz w:val="24"/>
          <w:szCs w:val="24"/>
        </w:rPr>
      </w:pPr>
      <w:r>
        <w:rPr>
          <w:rFonts w:ascii="Times New Roman" w:hAnsi="Times New Roman"/>
          <w:noProof/>
          <w:sz w:val="24"/>
        </w:rPr>
        <w:t>Jeżeli chodzi</w:t>
      </w:r>
      <w:r w:rsidR="00332C06">
        <w:rPr>
          <w:rFonts w:ascii="Times New Roman" w:hAnsi="Times New Roman"/>
          <w:noProof/>
          <w:sz w:val="24"/>
        </w:rPr>
        <w:t xml:space="preserve"> o wyn</w:t>
      </w:r>
      <w:r>
        <w:rPr>
          <w:rFonts w:ascii="Times New Roman" w:hAnsi="Times New Roman"/>
          <w:noProof/>
          <w:sz w:val="24"/>
        </w:rPr>
        <w:t xml:space="preserve">ik bieżący funduszu, wyniósł </w:t>
      </w:r>
      <w:r w:rsidRPr="00332C06">
        <w:rPr>
          <w:rFonts w:ascii="Times New Roman" w:hAnsi="Times New Roman"/>
          <w:noProof/>
          <w:sz w:val="24"/>
        </w:rPr>
        <w:t>on</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0 mln EUR</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17</w:t>
      </w:r>
      <w:r w:rsidR="00332C06" w:rsidRPr="00332C06">
        <w:rPr>
          <w:rFonts w:ascii="Times New Roman" w:hAnsi="Times New Roman"/>
          <w:noProof/>
          <w:sz w:val="24"/>
        </w:rPr>
        <w:t> </w:t>
      </w:r>
      <w:r w:rsidRPr="00332C06">
        <w:rPr>
          <w:rFonts w:ascii="Times New Roman" w:hAnsi="Times New Roman"/>
          <w:noProof/>
          <w:sz w:val="24"/>
        </w:rPr>
        <w:t>r.</w:t>
      </w:r>
      <w:r w:rsidR="00332C06">
        <w:rPr>
          <w:rFonts w:ascii="Times New Roman" w:hAnsi="Times New Roman"/>
          <w:noProof/>
          <w:sz w:val="24"/>
        </w:rPr>
        <w:t xml:space="preserve"> i 2</w:t>
      </w:r>
      <w:r>
        <w:rPr>
          <w:rFonts w:ascii="Times New Roman" w:hAnsi="Times New Roman"/>
          <w:noProof/>
          <w:sz w:val="24"/>
        </w:rPr>
        <w:t>0</w:t>
      </w:r>
      <w:r w:rsidRPr="00332C06">
        <w:rPr>
          <w:rFonts w:ascii="Times New Roman" w:hAnsi="Times New Roman"/>
          <w:noProof/>
          <w:sz w:val="24"/>
        </w:rPr>
        <w:t>18</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Po mniejszej nadwyżce</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19</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(4,2 mln EUR)</w:t>
      </w:r>
      <w:r w:rsidR="00332C06">
        <w:rPr>
          <w:rFonts w:ascii="Times New Roman" w:hAnsi="Times New Roman"/>
          <w:noProof/>
          <w:sz w:val="24"/>
        </w:rPr>
        <w:t xml:space="preserve"> w ram</w:t>
      </w:r>
      <w:r>
        <w:rPr>
          <w:rFonts w:ascii="Times New Roman" w:hAnsi="Times New Roman"/>
          <w:noProof/>
          <w:sz w:val="24"/>
        </w:rPr>
        <w:t>ach funduszu odnotowano deficyt</w:t>
      </w:r>
      <w:r w:rsidR="00332C06">
        <w:rPr>
          <w:rFonts w:ascii="Times New Roman" w:hAnsi="Times New Roman"/>
          <w:noProof/>
          <w:sz w:val="24"/>
        </w:rPr>
        <w:t xml:space="preserve"> w wys</w:t>
      </w:r>
      <w:r>
        <w:rPr>
          <w:rFonts w:ascii="Times New Roman" w:hAnsi="Times New Roman"/>
          <w:noProof/>
          <w:sz w:val="24"/>
        </w:rPr>
        <w:t>okości 0,5 mln EUR</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ze względu na koniec kadencji Parlamentu Europejskiego</w:t>
      </w:r>
      <w:r w:rsidR="00332C06">
        <w:rPr>
          <w:rFonts w:ascii="Times New Roman" w:hAnsi="Times New Roman"/>
          <w:noProof/>
          <w:sz w:val="24"/>
        </w:rPr>
        <w:t xml:space="preserve"> i kon</w:t>
      </w:r>
      <w:r>
        <w:rPr>
          <w:rFonts w:ascii="Times New Roman" w:hAnsi="Times New Roman"/>
          <w:noProof/>
          <w:sz w:val="24"/>
        </w:rPr>
        <w:t>iec kadencji Komisji. W 2021</w:t>
      </w:r>
      <w:r w:rsidR="00332C06">
        <w:rPr>
          <w:rFonts w:ascii="Times New Roman" w:hAnsi="Times New Roman"/>
          <w:noProof/>
          <w:sz w:val="24"/>
        </w:rPr>
        <w:t xml:space="preserve"> i 2</w:t>
      </w:r>
      <w:r>
        <w:rPr>
          <w:rFonts w:ascii="Times New Roman" w:hAnsi="Times New Roman"/>
          <w:noProof/>
          <w:sz w:val="24"/>
        </w:rPr>
        <w:t>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fundusz odnotował nadwyżkę</w:t>
      </w:r>
      <w:r w:rsidR="00332C06">
        <w:rPr>
          <w:rFonts w:ascii="Times New Roman" w:hAnsi="Times New Roman"/>
          <w:noProof/>
          <w:sz w:val="24"/>
        </w:rPr>
        <w:t xml:space="preserve"> w wys</w:t>
      </w:r>
      <w:r>
        <w:rPr>
          <w:rFonts w:ascii="Times New Roman" w:hAnsi="Times New Roman"/>
          <w:noProof/>
          <w:sz w:val="24"/>
        </w:rPr>
        <w:t>okości, odpowiednio, 11,2 mln EUR</w:t>
      </w:r>
      <w:r w:rsidR="00332C06">
        <w:rPr>
          <w:rFonts w:ascii="Times New Roman" w:hAnsi="Times New Roman"/>
          <w:noProof/>
          <w:sz w:val="24"/>
        </w:rPr>
        <w:t xml:space="preserve"> i 1</w:t>
      </w:r>
      <w:r>
        <w:rPr>
          <w:rFonts w:ascii="Times New Roman" w:hAnsi="Times New Roman"/>
          <w:noProof/>
          <w:sz w:val="24"/>
        </w:rPr>
        <w:t xml:space="preserve">9,9 mln EUR. </w:t>
      </w:r>
    </w:p>
    <w:p w14:paraId="1DFF53FD" w14:textId="4EF70F7B" w:rsidR="00F679B3" w:rsidRDefault="00F679B3" w:rsidP="00F679B3">
      <w:pPr>
        <w:spacing w:after="0"/>
        <w:jc w:val="both"/>
        <w:rPr>
          <w:rFonts w:ascii="Times New Roman" w:hAnsi="Times New Roman" w:cs="Times New Roman"/>
          <w:noProof/>
          <w:sz w:val="24"/>
          <w:szCs w:val="24"/>
        </w:rPr>
      </w:pPr>
      <w:r>
        <w:rPr>
          <w:rFonts w:ascii="Times New Roman" w:hAnsi="Times New Roman"/>
          <w:b/>
          <w:noProof/>
          <w:sz w:val="24"/>
          <w:u w:val="single"/>
        </w:rPr>
        <w:t>Wyniki bieżące</w:t>
      </w:r>
      <w:r w:rsidR="00332C06">
        <w:rPr>
          <w:rFonts w:ascii="Times New Roman" w:hAnsi="Times New Roman"/>
          <w:b/>
          <w:noProof/>
          <w:sz w:val="24"/>
          <w:u w:val="single"/>
        </w:rPr>
        <w:t xml:space="preserve"> w lat</w:t>
      </w:r>
      <w:r>
        <w:rPr>
          <w:rFonts w:ascii="Times New Roman" w:hAnsi="Times New Roman"/>
          <w:b/>
          <w:noProof/>
          <w:sz w:val="24"/>
          <w:u w:val="single"/>
        </w:rPr>
        <w:t>ach 2017–2022</w:t>
      </w:r>
      <w:bookmarkStart w:id="11" w:name="_Toc257299236"/>
    </w:p>
    <w:p w14:paraId="6745C8A8" w14:textId="6CF7260F" w:rsidR="00F679B3" w:rsidRDefault="00F679B3" w:rsidP="00F679B3">
      <w:pPr>
        <w:spacing w:after="0"/>
        <w:jc w:val="both"/>
        <w:rPr>
          <w:rFonts w:ascii="Times New Roman" w:hAnsi="Times New Roman" w:cs="Times New Roman"/>
          <w:noProof/>
          <w:sz w:val="24"/>
          <w:szCs w:val="24"/>
        </w:rPr>
      </w:pPr>
    </w:p>
    <w:p w14:paraId="7B2FB443" w14:textId="59957480" w:rsidR="00856407" w:rsidRDefault="00F76FC6" w:rsidP="00F679B3">
      <w:pPr>
        <w:spacing w:after="0"/>
        <w:jc w:val="both"/>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14:anchorId="528A8179" wp14:editId="51C7E63C">
            <wp:extent cx="5590540" cy="310324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90540" cy="3103245"/>
                    </a:xfrm>
                    <a:prstGeom prst="rect">
                      <a:avLst/>
                    </a:prstGeom>
                    <a:noFill/>
                  </pic:spPr>
                </pic:pic>
              </a:graphicData>
            </a:graphic>
          </wp:inline>
        </w:drawing>
      </w:r>
    </w:p>
    <w:p w14:paraId="7023695F" w14:textId="77777777" w:rsidR="00F679B3" w:rsidRPr="00332C06" w:rsidRDefault="00F679B3" w:rsidP="00F679B3">
      <w:pPr>
        <w:spacing w:after="0"/>
        <w:jc w:val="both"/>
        <w:rPr>
          <w:rFonts w:ascii="Times New Roman" w:hAnsi="Times New Roman" w:cs="Times New Roman"/>
          <w:noProof/>
          <w:sz w:val="24"/>
          <w:szCs w:val="24"/>
        </w:rPr>
      </w:pPr>
    </w:p>
    <w:p w14:paraId="4D53CF1C" w14:textId="77777777" w:rsidR="00DF3AB9" w:rsidRPr="00332C06" w:rsidRDefault="00DF3AB9" w:rsidP="00DF3AB9">
      <w:pPr>
        <w:pStyle w:val="ListParagraph"/>
        <w:keepNext/>
        <w:numPr>
          <w:ilvl w:val="0"/>
          <w:numId w:val="2"/>
        </w:numPr>
        <w:spacing w:before="120" w:after="120" w:line="240" w:lineRule="auto"/>
        <w:contextualSpacing w:val="0"/>
        <w:jc w:val="both"/>
        <w:outlineLvl w:val="1"/>
        <w:rPr>
          <w:rFonts w:ascii="Times New Roman" w:eastAsia="Times New Roman" w:hAnsi="Times New Roman" w:cs="Times New Roman"/>
          <w:b/>
          <w:bCs/>
          <w:iCs/>
          <w:noProof/>
          <w:sz w:val="24"/>
          <w:szCs w:val="28"/>
        </w:rPr>
      </w:pPr>
    </w:p>
    <w:p w14:paraId="1D898159" w14:textId="77777777" w:rsidR="00DF3AB9" w:rsidRPr="00332C06" w:rsidRDefault="00DF3AB9" w:rsidP="00DF3AB9">
      <w:pPr>
        <w:pStyle w:val="ListParagraph"/>
        <w:keepNext/>
        <w:numPr>
          <w:ilvl w:val="1"/>
          <w:numId w:val="2"/>
        </w:numPr>
        <w:spacing w:before="120" w:after="120" w:line="240" w:lineRule="auto"/>
        <w:contextualSpacing w:val="0"/>
        <w:jc w:val="both"/>
        <w:outlineLvl w:val="1"/>
        <w:rPr>
          <w:rFonts w:ascii="Times New Roman" w:eastAsia="Times New Roman" w:hAnsi="Times New Roman" w:cs="Times New Roman"/>
          <w:b/>
          <w:bCs/>
          <w:iCs/>
          <w:noProof/>
          <w:sz w:val="24"/>
          <w:szCs w:val="28"/>
        </w:rPr>
      </w:pPr>
    </w:p>
    <w:p w14:paraId="48A85CA7" w14:textId="77777777" w:rsidR="00DF3AB9" w:rsidRPr="00332C06" w:rsidRDefault="00DF3AB9" w:rsidP="00DF3AB9">
      <w:pPr>
        <w:pStyle w:val="ListParagraph"/>
        <w:keepNext/>
        <w:numPr>
          <w:ilvl w:val="1"/>
          <w:numId w:val="2"/>
        </w:numPr>
        <w:spacing w:before="120" w:after="120" w:line="240" w:lineRule="auto"/>
        <w:contextualSpacing w:val="0"/>
        <w:jc w:val="both"/>
        <w:outlineLvl w:val="1"/>
        <w:rPr>
          <w:rFonts w:ascii="Times New Roman" w:eastAsia="Times New Roman" w:hAnsi="Times New Roman" w:cs="Times New Roman"/>
          <w:b/>
          <w:bCs/>
          <w:iCs/>
          <w:noProof/>
          <w:sz w:val="24"/>
          <w:szCs w:val="28"/>
        </w:rPr>
      </w:pPr>
    </w:p>
    <w:p w14:paraId="24E8E230" w14:textId="2AD32C83" w:rsidR="00FB33EE" w:rsidRPr="00FB33EE" w:rsidRDefault="00F679B3" w:rsidP="00FB33EE">
      <w:pPr>
        <w:pStyle w:val="Heading2"/>
        <w:rPr>
          <w:noProof/>
        </w:rPr>
      </w:pPr>
      <w:r>
        <w:rPr>
          <w:noProof/>
        </w:rPr>
        <w:t>Ujęcie memoriałowe: wydatki</w:t>
      </w:r>
      <w:r w:rsidR="00332C06">
        <w:rPr>
          <w:noProof/>
        </w:rPr>
        <w:t xml:space="preserve"> i doc</w:t>
      </w:r>
      <w:r>
        <w:rPr>
          <w:noProof/>
        </w:rPr>
        <w:t>hody</w:t>
      </w:r>
      <w:r w:rsidR="00332C06">
        <w:rPr>
          <w:noProof/>
        </w:rPr>
        <w:t xml:space="preserve"> w pod</w:t>
      </w:r>
      <w:r>
        <w:rPr>
          <w:noProof/>
        </w:rPr>
        <w:t>ziale na poszczególne instytucje</w:t>
      </w:r>
      <w:r w:rsidR="00332C06">
        <w:rPr>
          <w:noProof/>
        </w:rPr>
        <w:t xml:space="preserve"> i dla</w:t>
      </w:r>
      <w:r>
        <w:rPr>
          <w:noProof/>
        </w:rPr>
        <w:t xml:space="preserve"> ogółu agencji</w:t>
      </w:r>
      <w:bookmarkEnd w:id="11"/>
      <w:r w:rsidR="00332C06">
        <w:rPr>
          <w:noProof/>
        </w:rPr>
        <w:t xml:space="preserve"> w lat</w:t>
      </w:r>
      <w:r>
        <w:rPr>
          <w:noProof/>
        </w:rPr>
        <w:t>ach 2017–2022</w:t>
      </w:r>
    </w:p>
    <w:p w14:paraId="3DC4F5BC" w14:textId="18AD2570" w:rsidR="00F679B3" w:rsidRPr="001E4DB7" w:rsidRDefault="00F679B3" w:rsidP="27D443E8">
      <w:pPr>
        <w:jc w:val="both"/>
        <w:rPr>
          <w:rFonts w:ascii="Times New Roman" w:hAnsi="Times New Roman" w:cs="Times New Roman"/>
          <w:noProof/>
          <w:sz w:val="24"/>
          <w:szCs w:val="24"/>
        </w:rPr>
      </w:pPr>
      <w:r>
        <w:rPr>
          <w:rFonts w:ascii="Times New Roman" w:hAnsi="Times New Roman"/>
          <w:noProof/>
          <w:sz w:val="24"/>
        </w:rPr>
        <w:t>W tabeli 5 przedstawiono wydatki</w:t>
      </w:r>
      <w:r w:rsidR="00332C06">
        <w:rPr>
          <w:rFonts w:ascii="Times New Roman" w:hAnsi="Times New Roman"/>
          <w:noProof/>
          <w:sz w:val="24"/>
        </w:rPr>
        <w:t xml:space="preserve"> i doc</w:t>
      </w:r>
      <w:r>
        <w:rPr>
          <w:rFonts w:ascii="Times New Roman" w:hAnsi="Times New Roman"/>
          <w:noProof/>
          <w:sz w:val="24"/>
        </w:rPr>
        <w:t>hody</w:t>
      </w:r>
      <w:r w:rsidR="00332C06">
        <w:rPr>
          <w:rFonts w:ascii="Times New Roman" w:hAnsi="Times New Roman"/>
          <w:noProof/>
          <w:sz w:val="24"/>
        </w:rPr>
        <w:t xml:space="preserve"> w pod</w:t>
      </w:r>
      <w:r>
        <w:rPr>
          <w:rFonts w:ascii="Times New Roman" w:hAnsi="Times New Roman"/>
          <w:noProof/>
          <w:sz w:val="24"/>
        </w:rPr>
        <w:t>ziale na poszczególne instytucje</w:t>
      </w:r>
      <w:r w:rsidR="00332C06">
        <w:rPr>
          <w:rFonts w:ascii="Times New Roman" w:hAnsi="Times New Roman"/>
          <w:noProof/>
          <w:sz w:val="24"/>
        </w:rPr>
        <w:t xml:space="preserve"> i dla</w:t>
      </w:r>
      <w:r>
        <w:rPr>
          <w:rFonts w:ascii="Times New Roman" w:hAnsi="Times New Roman"/>
          <w:noProof/>
          <w:sz w:val="24"/>
        </w:rPr>
        <w:t xml:space="preserve"> ogółu agencji</w:t>
      </w:r>
      <w:r w:rsidR="00332C06">
        <w:rPr>
          <w:rFonts w:ascii="Times New Roman" w:hAnsi="Times New Roman"/>
          <w:noProof/>
          <w:sz w:val="24"/>
        </w:rPr>
        <w:t>. W pie</w:t>
      </w:r>
      <w:r>
        <w:rPr>
          <w:rFonts w:ascii="Times New Roman" w:hAnsi="Times New Roman"/>
          <w:noProof/>
          <w:sz w:val="24"/>
        </w:rPr>
        <w:t>rwszej części tabeli przedstawiono wartości bezwzględne, zaś</w:t>
      </w:r>
      <w:r w:rsidR="00332C06">
        <w:rPr>
          <w:rFonts w:ascii="Times New Roman" w:hAnsi="Times New Roman"/>
          <w:noProof/>
          <w:sz w:val="24"/>
        </w:rPr>
        <w:t xml:space="preserve"> w dru</w:t>
      </w:r>
      <w:r>
        <w:rPr>
          <w:rFonts w:ascii="Times New Roman" w:hAnsi="Times New Roman"/>
          <w:noProof/>
          <w:sz w:val="24"/>
        </w:rPr>
        <w:t>giej części przedstawiono wartości procentowe</w:t>
      </w:r>
      <w:r w:rsidR="00332C06">
        <w:rPr>
          <w:rFonts w:ascii="Times New Roman" w:hAnsi="Times New Roman"/>
          <w:noProof/>
          <w:sz w:val="24"/>
        </w:rPr>
        <w:t xml:space="preserve"> w sto</w:t>
      </w:r>
      <w:r>
        <w:rPr>
          <w:rFonts w:ascii="Times New Roman" w:hAnsi="Times New Roman"/>
          <w:noProof/>
          <w:sz w:val="24"/>
        </w:rPr>
        <w:t>sunku do całkowitej wartości wydatków</w:t>
      </w:r>
      <w:r w:rsidR="00332C06">
        <w:rPr>
          <w:rFonts w:ascii="Times New Roman" w:hAnsi="Times New Roman"/>
          <w:noProof/>
          <w:sz w:val="24"/>
        </w:rPr>
        <w:t xml:space="preserve"> i doc</w:t>
      </w:r>
      <w:r>
        <w:rPr>
          <w:rFonts w:ascii="Times New Roman" w:hAnsi="Times New Roman"/>
          <w:noProof/>
          <w:sz w:val="24"/>
        </w:rPr>
        <w:t xml:space="preserve">hodów. </w:t>
      </w:r>
    </w:p>
    <w:p w14:paraId="02032C60" w14:textId="589DF65C" w:rsidR="00F679B3" w:rsidRPr="001E4DB7" w:rsidRDefault="00853BCF" w:rsidP="27D443E8">
      <w:pPr>
        <w:jc w:val="both"/>
        <w:rPr>
          <w:rFonts w:ascii="Times New Roman" w:hAnsi="Times New Roman"/>
          <w:noProof/>
          <w:sz w:val="24"/>
          <w:szCs w:val="24"/>
        </w:rPr>
      </w:pPr>
      <w:r>
        <w:rPr>
          <w:rFonts w:ascii="Times New Roman" w:hAnsi="Times New Roman"/>
          <w:noProof/>
          <w:sz w:val="24"/>
        </w:rPr>
        <w:t>Skutek cykliczny zakończenia kadencji Parlamentu Europejskiego znalazł odzwierciedlenie we wzroście wydatków związanych</w:t>
      </w:r>
      <w:r w:rsidR="00332C06">
        <w:rPr>
          <w:rFonts w:ascii="Times New Roman" w:hAnsi="Times New Roman"/>
          <w:noProof/>
          <w:sz w:val="24"/>
        </w:rPr>
        <w:t xml:space="preserve"> z Par</w:t>
      </w:r>
      <w:r>
        <w:rPr>
          <w:rFonts w:ascii="Times New Roman" w:hAnsi="Times New Roman"/>
          <w:noProof/>
          <w:sz w:val="24"/>
        </w:rPr>
        <w:t>lamentem</w:t>
      </w:r>
      <w:r w:rsidR="00332C06">
        <w:rPr>
          <w:rFonts w:ascii="Times New Roman" w:hAnsi="Times New Roman"/>
          <w:noProof/>
          <w:sz w:val="24"/>
        </w:rPr>
        <w:t xml:space="preserve"> w 2</w:t>
      </w:r>
      <w:r>
        <w:rPr>
          <w:rFonts w:ascii="Times New Roman" w:hAnsi="Times New Roman"/>
          <w:noProof/>
          <w:sz w:val="24"/>
        </w:rPr>
        <w:t>019</w:t>
      </w:r>
      <w:r w:rsidR="00332C06">
        <w:rPr>
          <w:rFonts w:ascii="Times New Roman" w:hAnsi="Times New Roman"/>
          <w:noProof/>
          <w:sz w:val="24"/>
        </w:rPr>
        <w:t xml:space="preserve"> i 2</w:t>
      </w:r>
      <w:r>
        <w:rPr>
          <w:rFonts w:ascii="Times New Roman" w:hAnsi="Times New Roman"/>
          <w:noProof/>
          <w:sz w:val="24"/>
        </w:rPr>
        <w:t>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który wyniósł – odpowiednio – 10,4 mln EUR</w:t>
      </w:r>
      <w:r w:rsidR="00332C06">
        <w:rPr>
          <w:rFonts w:ascii="Times New Roman" w:hAnsi="Times New Roman"/>
          <w:noProof/>
          <w:sz w:val="24"/>
        </w:rPr>
        <w:t xml:space="preserve"> i 1</w:t>
      </w:r>
      <w:r>
        <w:rPr>
          <w:rFonts w:ascii="Times New Roman" w:hAnsi="Times New Roman"/>
          <w:noProof/>
          <w:sz w:val="24"/>
        </w:rPr>
        <w:t>3,1 mln EUR. Wydatki związane</w:t>
      </w:r>
      <w:r w:rsidR="00332C06">
        <w:rPr>
          <w:rFonts w:ascii="Times New Roman" w:hAnsi="Times New Roman"/>
          <w:noProof/>
          <w:sz w:val="24"/>
        </w:rPr>
        <w:t xml:space="preserve"> z Par</w:t>
      </w:r>
      <w:r>
        <w:rPr>
          <w:rFonts w:ascii="Times New Roman" w:hAnsi="Times New Roman"/>
          <w:noProof/>
          <w:sz w:val="24"/>
        </w:rPr>
        <w:t xml:space="preserve">lamentem zmniejszyły się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6</w:t>
      </w:r>
      <w:r>
        <w:rPr>
          <w:rFonts w:ascii="Times New Roman" w:hAnsi="Times New Roman"/>
          <w:noProof/>
          <w:sz w:val="24"/>
        </w:rPr>
        <w:t>,6 mln EUR</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21</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i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4</w:t>
      </w:r>
      <w:r>
        <w:rPr>
          <w:rFonts w:ascii="Times New Roman" w:hAnsi="Times New Roman"/>
          <w:noProof/>
          <w:sz w:val="24"/>
        </w:rPr>
        <w:t>,6 mln EUR</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w:t>
      </w:r>
    </w:p>
    <w:p w14:paraId="4C982B7A" w14:textId="5A7FF922" w:rsidR="00346916" w:rsidRDefault="008C7618" w:rsidP="00F679B3">
      <w:pPr>
        <w:jc w:val="both"/>
        <w:rPr>
          <w:rFonts w:ascii="Times New Roman" w:hAnsi="Times New Roman"/>
          <w:noProof/>
          <w:sz w:val="24"/>
          <w:szCs w:val="24"/>
        </w:rPr>
      </w:pPr>
      <w:r>
        <w:rPr>
          <w:rFonts w:ascii="Times New Roman" w:hAnsi="Times New Roman"/>
          <w:noProof/>
          <w:sz w:val="24"/>
        </w:rPr>
        <w:t>Należy odnotować, że kwota wkładu agencji wzrosła</w:t>
      </w:r>
      <w:r w:rsidR="00332C06">
        <w:rPr>
          <w:rFonts w:ascii="Times New Roman" w:hAnsi="Times New Roman"/>
          <w:noProof/>
          <w:sz w:val="24"/>
        </w:rPr>
        <w:t xml:space="preserve"> z poz</w:t>
      </w:r>
      <w:r>
        <w:rPr>
          <w:rFonts w:ascii="Times New Roman" w:hAnsi="Times New Roman"/>
          <w:noProof/>
          <w:sz w:val="24"/>
        </w:rPr>
        <w:t>iomu 13 mln EUR</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17</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do poziomu 21 mln EUR</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w:t>
      </w:r>
    </w:p>
    <w:p w14:paraId="39207904" w14:textId="2FC25088" w:rsidR="00F679B3" w:rsidRPr="003D7C48" w:rsidRDefault="007B28AD" w:rsidP="00F679B3">
      <w:pPr>
        <w:jc w:val="both"/>
        <w:rPr>
          <w:rFonts w:ascii="Times New Roman" w:hAnsi="Times New Roman" w:cs="Times New Roman"/>
          <w:noProof/>
          <w:sz w:val="24"/>
          <w:szCs w:val="24"/>
        </w:rPr>
        <w:sectPr w:rsidR="00F679B3" w:rsidRPr="003D7C48">
          <w:headerReference w:type="even" r:id="rId26"/>
          <w:headerReference w:type="default" r:id="rId27"/>
          <w:footerReference w:type="even" r:id="rId28"/>
          <w:footerReference w:type="default" r:id="rId29"/>
          <w:headerReference w:type="first" r:id="rId30"/>
          <w:footerReference w:type="first" r:id="rId31"/>
          <w:pgSz w:w="11907" w:h="16839"/>
          <w:pgMar w:top="1021" w:right="1247" w:bottom="1021" w:left="1247" w:header="709" w:footer="709" w:gutter="0"/>
          <w:cols w:space="708"/>
          <w:docGrid w:linePitch="360"/>
        </w:sectPr>
      </w:pPr>
      <w:r>
        <w:rPr>
          <w:rFonts w:ascii="Times New Roman" w:hAnsi="Times New Roman"/>
          <w:noProof/>
          <w:sz w:val="24"/>
        </w:rPr>
        <w:t xml:space="preserve"> </w:t>
      </w:r>
    </w:p>
    <w:p w14:paraId="087019D1" w14:textId="77777777" w:rsidR="00976C77" w:rsidRDefault="00976C77" w:rsidP="00F679B3">
      <w:pPr>
        <w:jc w:val="both"/>
        <w:rPr>
          <w:rFonts w:ascii="Times New Roman" w:hAnsi="Times New Roman" w:cs="Times New Roman"/>
          <w:noProof/>
          <w:sz w:val="24"/>
          <w:szCs w:val="24"/>
        </w:rPr>
      </w:pPr>
    </w:p>
    <w:p w14:paraId="463C47C3" w14:textId="13779AAC" w:rsidR="00976C77" w:rsidRPr="00B804EE" w:rsidRDefault="00F76FC6" w:rsidP="00F679B3">
      <w:pPr>
        <w:jc w:val="both"/>
        <w:rPr>
          <w:rFonts w:ascii="Times New Roman" w:hAnsi="Times New Roman" w:cs="Times New Roman"/>
          <w:noProof/>
          <w:sz w:val="24"/>
          <w:szCs w:val="24"/>
        </w:rPr>
        <w:sectPr w:rsidR="00976C77" w:rsidRPr="00B804EE">
          <w:headerReference w:type="even" r:id="rId32"/>
          <w:headerReference w:type="default" r:id="rId33"/>
          <w:footerReference w:type="even" r:id="rId34"/>
          <w:footerReference w:type="default" r:id="rId35"/>
          <w:headerReference w:type="first" r:id="rId36"/>
          <w:footerReference w:type="first" r:id="rId37"/>
          <w:pgSz w:w="16839" w:h="11907" w:orient="landscape"/>
          <w:pgMar w:top="1247" w:right="1021" w:bottom="1247" w:left="1021" w:header="709" w:footer="709" w:gutter="0"/>
          <w:cols w:space="708"/>
          <w:docGrid w:linePitch="360"/>
        </w:sectPr>
      </w:pPr>
      <w:r w:rsidRPr="00F76FC6">
        <w:rPr>
          <w:noProof/>
          <w:lang w:val="en-GB" w:eastAsia="en-GB"/>
        </w:rPr>
        <w:drawing>
          <wp:inline distT="0" distB="0" distL="0" distR="0" wp14:anchorId="3B01F4F5" wp14:editId="0AB3169F">
            <wp:extent cx="9396095" cy="5159829"/>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97375" cy="5160532"/>
                    </a:xfrm>
                    <a:prstGeom prst="rect">
                      <a:avLst/>
                    </a:prstGeom>
                    <a:noFill/>
                    <a:ln>
                      <a:noFill/>
                    </a:ln>
                  </pic:spPr>
                </pic:pic>
              </a:graphicData>
            </a:graphic>
          </wp:inline>
        </w:drawing>
      </w:r>
    </w:p>
    <w:p w14:paraId="1199EA0C" w14:textId="28D21F1C" w:rsidR="00F679B3" w:rsidRPr="00B804EE" w:rsidRDefault="00F679B3" w:rsidP="002F66EB">
      <w:pPr>
        <w:pStyle w:val="Heading1"/>
        <w:numPr>
          <w:ilvl w:val="0"/>
          <w:numId w:val="9"/>
        </w:numPr>
        <w:rPr>
          <w:noProof/>
          <w:szCs w:val="24"/>
        </w:rPr>
      </w:pPr>
      <w:bookmarkStart w:id="12" w:name="_Toc257299237"/>
      <w:r>
        <w:rPr>
          <w:noProof/>
        </w:rPr>
        <w:lastRenderedPageBreak/>
        <w:t>Analiza dotycząca uczestników, osób uprawnionych</w:t>
      </w:r>
      <w:r w:rsidR="00332C06">
        <w:rPr>
          <w:noProof/>
        </w:rPr>
        <w:t xml:space="preserve"> i prz</w:t>
      </w:r>
      <w:r>
        <w:rPr>
          <w:noProof/>
        </w:rPr>
        <w:t>yznanych zasiłków</w:t>
      </w:r>
      <w:bookmarkEnd w:id="12"/>
    </w:p>
    <w:p w14:paraId="421BFA01" w14:textId="77777777" w:rsidR="005661D8" w:rsidRPr="00332C06" w:rsidRDefault="005661D8" w:rsidP="005661D8">
      <w:pPr>
        <w:pStyle w:val="ListParagraph"/>
        <w:keepNext/>
        <w:numPr>
          <w:ilvl w:val="0"/>
          <w:numId w:val="2"/>
        </w:numPr>
        <w:spacing w:before="120" w:after="120" w:line="240" w:lineRule="auto"/>
        <w:contextualSpacing w:val="0"/>
        <w:jc w:val="both"/>
        <w:outlineLvl w:val="1"/>
        <w:rPr>
          <w:rFonts w:ascii="Times New Roman" w:eastAsia="Times New Roman" w:hAnsi="Times New Roman" w:cs="Times New Roman"/>
          <w:b/>
          <w:bCs/>
          <w:iCs/>
          <w:noProof/>
          <w:sz w:val="24"/>
          <w:szCs w:val="28"/>
        </w:rPr>
      </w:pPr>
      <w:bookmarkStart w:id="13" w:name="_Toc257299238"/>
    </w:p>
    <w:p w14:paraId="58B4788B" w14:textId="41FDCB8C" w:rsidR="00F679B3" w:rsidRPr="00B804EE" w:rsidRDefault="00F679B3" w:rsidP="005661D8">
      <w:pPr>
        <w:pStyle w:val="Heading2"/>
        <w:rPr>
          <w:noProof/>
        </w:rPr>
      </w:pPr>
      <w:r>
        <w:rPr>
          <w:noProof/>
        </w:rPr>
        <w:t>Liczba uczestników</w:t>
      </w:r>
      <w:r w:rsidR="00332C06">
        <w:rPr>
          <w:noProof/>
        </w:rPr>
        <w:t xml:space="preserve"> i śre</w:t>
      </w:r>
      <w:r>
        <w:rPr>
          <w:noProof/>
        </w:rPr>
        <w:t>dnia wysokość składki</w:t>
      </w:r>
      <w:bookmarkEnd w:id="13"/>
    </w:p>
    <w:p w14:paraId="098E1BA4" w14:textId="5862FAAF" w:rsidR="00F679B3" w:rsidRPr="009643F4" w:rsidRDefault="00F679B3" w:rsidP="00F679B3">
      <w:pPr>
        <w:jc w:val="both"/>
        <w:rPr>
          <w:rFonts w:ascii="Times New Roman" w:hAnsi="Times New Roman"/>
          <w:noProof/>
          <w:sz w:val="24"/>
          <w:szCs w:val="24"/>
        </w:rPr>
      </w:pPr>
      <w:r>
        <w:rPr>
          <w:rFonts w:ascii="Times New Roman" w:hAnsi="Times New Roman"/>
          <w:noProof/>
          <w:sz w:val="24"/>
        </w:rPr>
        <w:t>W tabeli 6 przedstawiono liczbę pracowników zatrudnionych na czas określony, pracowników kontraktowych</w:t>
      </w:r>
      <w:r w:rsidR="00332C06">
        <w:rPr>
          <w:rFonts w:ascii="Times New Roman" w:hAnsi="Times New Roman"/>
          <w:noProof/>
          <w:sz w:val="24"/>
        </w:rPr>
        <w:t xml:space="preserve"> i akr</w:t>
      </w:r>
      <w:r>
        <w:rPr>
          <w:rFonts w:ascii="Times New Roman" w:hAnsi="Times New Roman"/>
          <w:noProof/>
          <w:sz w:val="24"/>
        </w:rPr>
        <w:t xml:space="preserve">edytowanych asystentów parlamentarnych wpłacających składki na fundusz dla bezrobotnych, zatrudnionych na dzień 31 grudnia każdego roku. </w:t>
      </w:r>
    </w:p>
    <w:p w14:paraId="0017669C" w14:textId="5531578B" w:rsidR="009643F4" w:rsidRDefault="005E0D47" w:rsidP="00F679B3">
      <w:pPr>
        <w:jc w:val="both"/>
        <w:rPr>
          <w:rFonts w:ascii="Times New Roman" w:hAnsi="Times New Roman" w:cs="Times New Roman"/>
          <w:noProof/>
          <w:sz w:val="24"/>
          <w:szCs w:val="24"/>
        </w:rPr>
      </w:pPr>
      <w:r w:rsidRPr="005E0D47">
        <w:rPr>
          <w:noProof/>
          <w:lang w:val="en-GB" w:eastAsia="en-GB"/>
        </w:rPr>
        <w:drawing>
          <wp:inline distT="0" distB="0" distL="0" distR="0" wp14:anchorId="4C235F6D" wp14:editId="7A889804">
            <wp:extent cx="6135522" cy="5153891"/>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36941" cy="5155083"/>
                    </a:xfrm>
                    <a:prstGeom prst="rect">
                      <a:avLst/>
                    </a:prstGeom>
                    <a:noFill/>
                    <a:ln>
                      <a:noFill/>
                    </a:ln>
                  </pic:spPr>
                </pic:pic>
              </a:graphicData>
            </a:graphic>
          </wp:inline>
        </w:drawing>
      </w:r>
    </w:p>
    <w:p w14:paraId="140DF53E" w14:textId="77777777" w:rsidR="00B433C2" w:rsidRPr="00B804EE" w:rsidRDefault="00B433C2" w:rsidP="00F679B3">
      <w:pPr>
        <w:jc w:val="both"/>
        <w:rPr>
          <w:rFonts w:ascii="Times New Roman" w:hAnsi="Times New Roman" w:cs="Times New Roman"/>
          <w:noProof/>
          <w:sz w:val="24"/>
          <w:szCs w:val="24"/>
        </w:rPr>
      </w:pPr>
    </w:p>
    <w:p w14:paraId="0FE4B1FF" w14:textId="1EF7A612" w:rsidR="00CF29F2" w:rsidRPr="001F6F93" w:rsidRDefault="00F679B3" w:rsidP="00F679B3">
      <w:pPr>
        <w:pStyle w:val="Heading2"/>
        <w:rPr>
          <w:noProof/>
        </w:rPr>
      </w:pPr>
      <w:bookmarkStart w:id="14" w:name="_Toc257299239"/>
      <w:r>
        <w:rPr>
          <w:noProof/>
        </w:rPr>
        <w:t>Liczba osób uprawnionych do zasiłku dla bezrobotnych</w:t>
      </w:r>
      <w:r w:rsidR="00332C06">
        <w:rPr>
          <w:noProof/>
        </w:rPr>
        <w:t xml:space="preserve"> w war</w:t>
      </w:r>
      <w:r>
        <w:rPr>
          <w:noProof/>
        </w:rPr>
        <w:t>tościach bezwzględnych</w:t>
      </w:r>
      <w:r w:rsidR="00332C06">
        <w:rPr>
          <w:noProof/>
        </w:rPr>
        <w:t xml:space="preserve"> w sto</w:t>
      </w:r>
      <w:r>
        <w:rPr>
          <w:noProof/>
        </w:rPr>
        <w:t>sunku do liczby uczestników: „stopa bezrobocia” na dzień 31 grudnia każdego roku</w:t>
      </w:r>
      <w:bookmarkEnd w:id="14"/>
    </w:p>
    <w:p w14:paraId="0FBCE7BA" w14:textId="5C53A4C3" w:rsidR="00F679B3" w:rsidRDefault="00F679B3" w:rsidP="00F679B3">
      <w:pPr>
        <w:jc w:val="both"/>
        <w:rPr>
          <w:rFonts w:ascii="Times New Roman" w:hAnsi="Times New Roman"/>
          <w:noProof/>
          <w:sz w:val="24"/>
          <w:szCs w:val="24"/>
        </w:rPr>
      </w:pPr>
      <w:r>
        <w:rPr>
          <w:rFonts w:ascii="Times New Roman" w:hAnsi="Times New Roman"/>
          <w:noProof/>
          <w:sz w:val="24"/>
        </w:rPr>
        <w:t>W tabeli 7 przedstawiono liczbę osób bezrobotnych, które otrzymały pełny zasiłek dla bezrobotnych lub zasiłek uzupełniający wobec systemu krajowego, na grudzień każdego roku.</w:t>
      </w:r>
    </w:p>
    <w:p w14:paraId="35153759" w14:textId="5A9FE198" w:rsidR="008F7EBF" w:rsidRDefault="005E0D47" w:rsidP="00F679B3">
      <w:pPr>
        <w:jc w:val="both"/>
        <w:rPr>
          <w:rFonts w:ascii="Times New Roman" w:hAnsi="Times New Roman"/>
          <w:noProof/>
          <w:sz w:val="24"/>
          <w:szCs w:val="24"/>
        </w:rPr>
      </w:pPr>
      <w:r w:rsidRPr="005E0D47">
        <w:rPr>
          <w:noProof/>
          <w:lang w:val="en-GB" w:eastAsia="en-GB"/>
        </w:rPr>
        <w:lastRenderedPageBreak/>
        <w:drawing>
          <wp:inline distT="0" distB="0" distL="0" distR="0" wp14:anchorId="00D2907C" wp14:editId="61141614">
            <wp:extent cx="5977255" cy="6640830"/>
            <wp:effectExtent l="0" t="0" r="4445"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77255" cy="6640830"/>
                    </a:xfrm>
                    <a:prstGeom prst="rect">
                      <a:avLst/>
                    </a:prstGeom>
                    <a:noFill/>
                    <a:ln>
                      <a:noFill/>
                    </a:ln>
                  </pic:spPr>
                </pic:pic>
              </a:graphicData>
            </a:graphic>
          </wp:inline>
        </w:drawing>
      </w:r>
    </w:p>
    <w:p w14:paraId="03C1DD40" w14:textId="77777777" w:rsidR="00A336D0" w:rsidRDefault="00A336D0" w:rsidP="00F679B3">
      <w:pPr>
        <w:jc w:val="both"/>
        <w:rPr>
          <w:rFonts w:ascii="Times New Roman" w:hAnsi="Times New Roman"/>
          <w:noProof/>
          <w:sz w:val="24"/>
          <w:szCs w:val="24"/>
        </w:rPr>
      </w:pPr>
    </w:p>
    <w:p w14:paraId="357DD0B0" w14:textId="388A3FF1" w:rsidR="00A336D0" w:rsidRDefault="00A336D0" w:rsidP="00F679B3">
      <w:pPr>
        <w:jc w:val="both"/>
        <w:rPr>
          <w:rFonts w:ascii="Times New Roman" w:hAnsi="Times New Roman"/>
          <w:noProof/>
          <w:sz w:val="24"/>
          <w:szCs w:val="24"/>
        </w:rPr>
      </w:pPr>
      <w:r>
        <w:rPr>
          <w:rFonts w:ascii="Times New Roman" w:hAnsi="Times New Roman"/>
          <w:noProof/>
          <w:sz w:val="24"/>
        </w:rPr>
        <w:t>Należy odnotować, że</w:t>
      </w:r>
      <w:r w:rsidR="00332C06">
        <w:rPr>
          <w:rFonts w:ascii="Times New Roman" w:hAnsi="Times New Roman"/>
          <w:noProof/>
          <w:sz w:val="24"/>
        </w:rPr>
        <w:t xml:space="preserve"> w pow</w:t>
      </w:r>
      <w:r>
        <w:rPr>
          <w:rFonts w:ascii="Times New Roman" w:hAnsi="Times New Roman"/>
          <w:noProof/>
          <w:sz w:val="24"/>
        </w:rPr>
        <w:t>yższej tabeli przedstawiono wyniki za grudzień każdego roku.</w:t>
      </w:r>
    </w:p>
    <w:p w14:paraId="4583AD14" w14:textId="7F20C192" w:rsidR="00F679B3" w:rsidRDefault="13F60D77" w:rsidP="00F679B3">
      <w:pPr>
        <w:jc w:val="both"/>
        <w:rPr>
          <w:rFonts w:ascii="Times New Roman" w:hAnsi="Times New Roman"/>
          <w:noProof/>
          <w:sz w:val="24"/>
          <w:szCs w:val="24"/>
        </w:rPr>
      </w:pPr>
      <w:r>
        <w:rPr>
          <w:rFonts w:ascii="Times New Roman" w:hAnsi="Times New Roman"/>
          <w:noProof/>
          <w:sz w:val="24"/>
        </w:rPr>
        <w:t>Na podstawie zestawienia danych dotyczących pracowników zatrudnionych na czas określony, pracowników kontraktowych</w:t>
      </w:r>
      <w:r w:rsidR="00332C06">
        <w:rPr>
          <w:rFonts w:ascii="Times New Roman" w:hAnsi="Times New Roman"/>
          <w:noProof/>
          <w:sz w:val="24"/>
        </w:rPr>
        <w:t xml:space="preserve"> i akr</w:t>
      </w:r>
      <w:r>
        <w:rPr>
          <w:rFonts w:ascii="Times New Roman" w:hAnsi="Times New Roman"/>
          <w:noProof/>
          <w:sz w:val="24"/>
        </w:rPr>
        <w:t>edytowanych asystentów parlamentarnych pełniących służbę na dzień 31 grudnia, które przedstawiono</w:t>
      </w:r>
      <w:r w:rsidR="00332C06">
        <w:rPr>
          <w:rFonts w:ascii="Times New Roman" w:hAnsi="Times New Roman"/>
          <w:noProof/>
          <w:sz w:val="24"/>
        </w:rPr>
        <w:t xml:space="preserve"> w tab</w:t>
      </w:r>
      <w:r>
        <w:rPr>
          <w:rFonts w:ascii="Times New Roman" w:hAnsi="Times New Roman"/>
          <w:noProof/>
          <w:sz w:val="24"/>
        </w:rPr>
        <w:t>eli 6, oraz liczby bezrobotnych, którzy otrzymali zasiłek dla bezrobotnych, przedstawionej</w:t>
      </w:r>
      <w:r w:rsidR="00332C06">
        <w:rPr>
          <w:rFonts w:ascii="Times New Roman" w:hAnsi="Times New Roman"/>
          <w:noProof/>
          <w:sz w:val="24"/>
        </w:rPr>
        <w:t xml:space="preserve"> w tab</w:t>
      </w:r>
      <w:r>
        <w:rPr>
          <w:rFonts w:ascii="Times New Roman" w:hAnsi="Times New Roman"/>
          <w:noProof/>
          <w:sz w:val="24"/>
        </w:rPr>
        <w:t>eli 7, można obliczyć stosunek liczby osób uprawnionych do korzystania</w:t>
      </w:r>
      <w:r w:rsidR="00332C06">
        <w:rPr>
          <w:rFonts w:ascii="Times New Roman" w:hAnsi="Times New Roman"/>
          <w:noProof/>
          <w:sz w:val="24"/>
        </w:rPr>
        <w:t xml:space="preserve"> z fun</w:t>
      </w:r>
      <w:r>
        <w:rPr>
          <w:rFonts w:ascii="Times New Roman" w:hAnsi="Times New Roman"/>
          <w:noProof/>
          <w:sz w:val="24"/>
        </w:rPr>
        <w:t>duszu dla bezrobotnych do liczby uczestników tego funduszu. Wynik przedstawiono</w:t>
      </w:r>
      <w:r w:rsidR="00332C06">
        <w:rPr>
          <w:rFonts w:ascii="Times New Roman" w:hAnsi="Times New Roman"/>
          <w:noProof/>
          <w:sz w:val="24"/>
        </w:rPr>
        <w:t xml:space="preserve"> w tab</w:t>
      </w:r>
      <w:r>
        <w:rPr>
          <w:rFonts w:ascii="Times New Roman" w:hAnsi="Times New Roman"/>
          <w:noProof/>
          <w:sz w:val="24"/>
        </w:rPr>
        <w:t>eli 8.</w:t>
      </w:r>
    </w:p>
    <w:p w14:paraId="665D9644" w14:textId="4204B673" w:rsidR="006D307E" w:rsidRDefault="006D307E" w:rsidP="38DC0611">
      <w:pPr>
        <w:jc w:val="both"/>
        <w:rPr>
          <w:noProof/>
        </w:rPr>
      </w:pPr>
    </w:p>
    <w:p w14:paraId="13DA4B52" w14:textId="77777777" w:rsidR="00F679B3" w:rsidRDefault="00F679B3" w:rsidP="00F679B3">
      <w:pPr>
        <w:jc w:val="both"/>
        <w:rPr>
          <w:noProof/>
        </w:rPr>
      </w:pPr>
    </w:p>
    <w:p w14:paraId="2A1B90DA" w14:textId="64424ED6" w:rsidR="000E5858" w:rsidRPr="00B804EE" w:rsidRDefault="005E0D47" w:rsidP="00F679B3">
      <w:pPr>
        <w:jc w:val="both"/>
        <w:rPr>
          <w:noProof/>
        </w:rPr>
        <w:sectPr w:rsidR="000E5858" w:rsidRPr="00B804EE">
          <w:headerReference w:type="even" r:id="rId41"/>
          <w:headerReference w:type="default" r:id="rId42"/>
          <w:footerReference w:type="even" r:id="rId43"/>
          <w:footerReference w:type="default" r:id="rId44"/>
          <w:headerReference w:type="first" r:id="rId45"/>
          <w:footerReference w:type="first" r:id="rId46"/>
          <w:pgSz w:w="11907" w:h="16839"/>
          <w:pgMar w:top="1021" w:right="1247" w:bottom="1021" w:left="1247" w:header="709" w:footer="709" w:gutter="0"/>
          <w:cols w:space="708"/>
          <w:docGrid w:linePitch="360"/>
        </w:sectPr>
      </w:pPr>
      <w:r w:rsidRPr="005E0D47">
        <w:rPr>
          <w:noProof/>
          <w:lang w:val="en-GB" w:eastAsia="en-GB"/>
        </w:rPr>
        <w:lastRenderedPageBreak/>
        <w:drawing>
          <wp:inline distT="0" distB="0" distL="0" distR="0" wp14:anchorId="0C218CF0" wp14:editId="40ADBD41">
            <wp:extent cx="5977255" cy="2794000"/>
            <wp:effectExtent l="0" t="0" r="444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77255" cy="2794000"/>
                    </a:xfrm>
                    <a:prstGeom prst="rect">
                      <a:avLst/>
                    </a:prstGeom>
                    <a:noFill/>
                    <a:ln>
                      <a:noFill/>
                    </a:ln>
                  </pic:spPr>
                </pic:pic>
              </a:graphicData>
            </a:graphic>
          </wp:inline>
        </w:drawing>
      </w:r>
    </w:p>
    <w:p w14:paraId="74212D5D" w14:textId="77777777" w:rsidR="00F679B3" w:rsidRDefault="00F679B3" w:rsidP="27D443E8">
      <w:pPr>
        <w:jc w:val="both"/>
        <w:rPr>
          <w:noProof/>
        </w:rPr>
      </w:pPr>
      <w:bookmarkStart w:id="15" w:name="_Toc257299240"/>
    </w:p>
    <w:p w14:paraId="4EB8B5B7" w14:textId="7A2CDD62" w:rsidR="00960AFC" w:rsidRPr="00B804EE" w:rsidRDefault="005E0D47" w:rsidP="27D443E8">
      <w:pPr>
        <w:jc w:val="both"/>
        <w:rPr>
          <w:noProof/>
        </w:rPr>
        <w:sectPr w:rsidR="00960AFC" w:rsidRPr="00B804EE">
          <w:headerReference w:type="even" r:id="rId48"/>
          <w:headerReference w:type="default" r:id="rId49"/>
          <w:footerReference w:type="even" r:id="rId50"/>
          <w:footerReference w:type="default" r:id="rId51"/>
          <w:headerReference w:type="first" r:id="rId52"/>
          <w:footerReference w:type="first" r:id="rId53"/>
          <w:pgSz w:w="16839" w:h="11907" w:orient="landscape"/>
          <w:pgMar w:top="1247" w:right="1021" w:bottom="1247" w:left="1021" w:header="709" w:footer="709" w:gutter="0"/>
          <w:cols w:space="708"/>
          <w:docGrid w:linePitch="360"/>
        </w:sectPr>
      </w:pPr>
      <w:r w:rsidRPr="005E0D47">
        <w:rPr>
          <w:noProof/>
          <w:lang w:val="en-GB" w:eastAsia="en-GB"/>
        </w:rPr>
        <w:drawing>
          <wp:inline distT="0" distB="0" distL="0" distR="0" wp14:anchorId="4D920898" wp14:editId="0A69068C">
            <wp:extent cx="9396095" cy="1325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396095" cy="1325880"/>
                    </a:xfrm>
                    <a:prstGeom prst="rect">
                      <a:avLst/>
                    </a:prstGeom>
                    <a:noFill/>
                    <a:ln>
                      <a:noFill/>
                    </a:ln>
                  </pic:spPr>
                </pic:pic>
              </a:graphicData>
            </a:graphic>
          </wp:inline>
        </w:drawing>
      </w:r>
    </w:p>
    <w:p w14:paraId="1F284880" w14:textId="22F89152" w:rsidR="00F679B3" w:rsidRPr="00976C77" w:rsidRDefault="13F60D77" w:rsidP="00F679B3">
      <w:pPr>
        <w:jc w:val="both"/>
        <w:rPr>
          <w:rFonts w:ascii="Times New Roman" w:hAnsi="Times New Roman" w:cs="Times New Roman"/>
          <w:noProof/>
          <w:sz w:val="24"/>
          <w:szCs w:val="24"/>
        </w:rPr>
      </w:pPr>
      <w:r>
        <w:rPr>
          <w:rFonts w:ascii="Times New Roman" w:hAnsi="Times New Roman"/>
          <w:noProof/>
          <w:sz w:val="24"/>
        </w:rPr>
        <w:lastRenderedPageBreak/>
        <w:t xml:space="preserve">W przypadku pracowników zatrudnionych na czas określony odsetek osób uprawnionych do zasiłku dla bezrobotnych wahał się </w:t>
      </w:r>
      <w:r w:rsidRPr="00332C06">
        <w:rPr>
          <w:rFonts w:ascii="Times New Roman" w:hAnsi="Times New Roman"/>
          <w:noProof/>
          <w:sz w:val="24"/>
        </w:rPr>
        <w:t>od</w:t>
      </w:r>
      <w:r w:rsidR="00332C06" w:rsidRPr="00332C06">
        <w:rPr>
          <w:rFonts w:ascii="Times New Roman" w:hAnsi="Times New Roman"/>
          <w:noProof/>
          <w:sz w:val="24"/>
        </w:rPr>
        <w:t> </w:t>
      </w:r>
      <w:r w:rsidRPr="00332C06">
        <w:rPr>
          <w:rFonts w:ascii="Times New Roman" w:hAnsi="Times New Roman"/>
          <w:noProof/>
          <w:sz w:val="24"/>
        </w:rPr>
        <w:t>1</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 xml:space="preserve">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3</w:t>
      </w:r>
      <w:r w:rsidR="00332C06" w:rsidRPr="00332C06">
        <w:rPr>
          <w:rFonts w:ascii="Times New Roman" w:hAnsi="Times New Roman"/>
          <w:noProof/>
          <w:sz w:val="24"/>
        </w:rPr>
        <w:t> </w:t>
      </w:r>
      <w:r w:rsidRPr="00332C06">
        <w:rPr>
          <w:rFonts w:ascii="Times New Roman" w:hAnsi="Times New Roman"/>
          <w:noProof/>
          <w:sz w:val="24"/>
        </w:rPr>
        <w:t>%</w:t>
      </w:r>
      <w:r w:rsidR="00332C06">
        <w:rPr>
          <w:rFonts w:ascii="Times New Roman" w:hAnsi="Times New Roman"/>
          <w:noProof/>
          <w:sz w:val="24"/>
        </w:rPr>
        <w:t>. W okr</w:t>
      </w:r>
      <w:r>
        <w:rPr>
          <w:rFonts w:ascii="Times New Roman" w:hAnsi="Times New Roman"/>
          <w:noProof/>
          <w:sz w:val="24"/>
        </w:rPr>
        <w:t>esie odniesienia najwyższą wartość tego odsetka odnotowano</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(3,0</w:t>
      </w:r>
      <w:r w:rsidRPr="00332C06">
        <w:rPr>
          <w:rFonts w:ascii="Times New Roman" w:hAnsi="Times New Roman"/>
          <w:noProof/>
          <w:sz w:val="24"/>
        </w:rPr>
        <w:t>4</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 po czym uległ on obniżeniu</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21</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(1,2</w:t>
      </w:r>
      <w:r w:rsidRPr="00332C06">
        <w:rPr>
          <w:rFonts w:ascii="Times New Roman" w:hAnsi="Times New Roman"/>
          <w:noProof/>
          <w:sz w:val="24"/>
        </w:rPr>
        <w:t>6</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 i</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(1,0</w:t>
      </w:r>
      <w:r w:rsidRPr="00332C06">
        <w:rPr>
          <w:rFonts w:ascii="Times New Roman" w:hAnsi="Times New Roman"/>
          <w:noProof/>
          <w:sz w:val="24"/>
        </w:rPr>
        <w:t>1</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 Jeżeli chodzi</w:t>
      </w:r>
      <w:r w:rsidR="00332C06">
        <w:rPr>
          <w:rFonts w:ascii="Times New Roman" w:hAnsi="Times New Roman"/>
          <w:noProof/>
          <w:sz w:val="24"/>
        </w:rPr>
        <w:t xml:space="preserve"> o pra</w:t>
      </w:r>
      <w:r>
        <w:rPr>
          <w:rFonts w:ascii="Times New Roman" w:hAnsi="Times New Roman"/>
          <w:noProof/>
          <w:sz w:val="24"/>
        </w:rPr>
        <w:t>cowników kontraktowych, wspomniany odsetek zmniejszył się</w:t>
      </w:r>
      <w:r w:rsidR="00332C06">
        <w:rPr>
          <w:rFonts w:ascii="Times New Roman" w:hAnsi="Times New Roman"/>
          <w:noProof/>
          <w:sz w:val="24"/>
        </w:rPr>
        <w:t xml:space="preserve"> z poz</w:t>
      </w:r>
      <w:r>
        <w:rPr>
          <w:rFonts w:ascii="Times New Roman" w:hAnsi="Times New Roman"/>
          <w:noProof/>
          <w:sz w:val="24"/>
        </w:rPr>
        <w:t>iomu 3,5</w:t>
      </w:r>
      <w:r w:rsidRPr="00332C06">
        <w:rPr>
          <w:rFonts w:ascii="Times New Roman" w:hAnsi="Times New Roman"/>
          <w:noProof/>
          <w:sz w:val="24"/>
        </w:rPr>
        <w:t>3</w:t>
      </w:r>
      <w:r w:rsidR="00332C06" w:rsidRPr="00332C06">
        <w:rPr>
          <w:rFonts w:ascii="Times New Roman" w:hAnsi="Times New Roman"/>
          <w:noProof/>
          <w:sz w:val="24"/>
        </w:rPr>
        <w:t> </w:t>
      </w:r>
      <w:r w:rsidRPr="00332C06">
        <w:rPr>
          <w:rFonts w:ascii="Times New Roman" w:hAnsi="Times New Roman"/>
          <w:noProof/>
          <w:sz w:val="24"/>
        </w:rPr>
        <w:t>%</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17</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do poziomu 1,4</w:t>
      </w:r>
      <w:r w:rsidRPr="00332C06">
        <w:rPr>
          <w:rFonts w:ascii="Times New Roman" w:hAnsi="Times New Roman"/>
          <w:noProof/>
          <w:sz w:val="24"/>
        </w:rPr>
        <w:t>7</w:t>
      </w:r>
      <w:r w:rsidR="00332C06" w:rsidRPr="00332C06">
        <w:rPr>
          <w:rFonts w:ascii="Times New Roman" w:hAnsi="Times New Roman"/>
          <w:noProof/>
          <w:sz w:val="24"/>
        </w:rPr>
        <w:t> </w:t>
      </w:r>
      <w:r w:rsidRPr="00332C06">
        <w:rPr>
          <w:rFonts w:ascii="Times New Roman" w:hAnsi="Times New Roman"/>
          <w:noProof/>
          <w:sz w:val="24"/>
        </w:rPr>
        <w:t>%</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w:t>
      </w:r>
    </w:p>
    <w:p w14:paraId="0461F8A1" w14:textId="4B98CE8E" w:rsidR="00F679B3" w:rsidRPr="00976C77" w:rsidRDefault="328F3AD9" w:rsidP="38DC0611">
      <w:pPr>
        <w:jc w:val="both"/>
        <w:rPr>
          <w:rFonts w:ascii="Times New Roman" w:hAnsi="Times New Roman"/>
          <w:noProof/>
          <w:sz w:val="24"/>
          <w:szCs w:val="24"/>
        </w:rPr>
      </w:pPr>
      <w:r>
        <w:rPr>
          <w:rFonts w:ascii="Times New Roman" w:hAnsi="Times New Roman"/>
          <w:noProof/>
          <w:sz w:val="24"/>
        </w:rPr>
        <w:t>Jeżeli chodzi</w:t>
      </w:r>
      <w:r w:rsidR="00332C06">
        <w:rPr>
          <w:rFonts w:ascii="Times New Roman" w:hAnsi="Times New Roman"/>
          <w:noProof/>
          <w:sz w:val="24"/>
        </w:rPr>
        <w:t xml:space="preserve"> o akr</w:t>
      </w:r>
      <w:r>
        <w:rPr>
          <w:rFonts w:ascii="Times New Roman" w:hAnsi="Times New Roman"/>
          <w:noProof/>
          <w:sz w:val="24"/>
        </w:rPr>
        <w:t>edytowanych asystentów parlamentarnych,</w:t>
      </w:r>
      <w:r w:rsidR="00332C06">
        <w:rPr>
          <w:rFonts w:ascii="Times New Roman" w:hAnsi="Times New Roman"/>
          <w:noProof/>
          <w:sz w:val="24"/>
        </w:rPr>
        <w:t xml:space="preserve"> w lat</w:t>
      </w:r>
      <w:r>
        <w:rPr>
          <w:rFonts w:ascii="Times New Roman" w:hAnsi="Times New Roman"/>
          <w:noProof/>
          <w:sz w:val="24"/>
        </w:rPr>
        <w:t>ach 2019</w:t>
      </w:r>
      <w:r w:rsidR="00332C06">
        <w:rPr>
          <w:rFonts w:ascii="Times New Roman" w:hAnsi="Times New Roman"/>
          <w:noProof/>
          <w:sz w:val="24"/>
        </w:rPr>
        <w:t xml:space="preserve"> i 2</w:t>
      </w:r>
      <w:r>
        <w:rPr>
          <w:rFonts w:ascii="Times New Roman" w:hAnsi="Times New Roman"/>
          <w:noProof/>
          <w:sz w:val="24"/>
        </w:rPr>
        <w:t>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 ze względu na koniec kadencji Parlamentu – zasiłek pobierała duża liczba byłych akredytowanych asystentów parlamentarnych (odpowiednio 400</w:t>
      </w:r>
      <w:r w:rsidR="00332C06">
        <w:rPr>
          <w:rFonts w:ascii="Times New Roman" w:hAnsi="Times New Roman"/>
          <w:noProof/>
          <w:sz w:val="24"/>
        </w:rPr>
        <w:t xml:space="preserve"> i 2</w:t>
      </w:r>
      <w:r>
        <w:rPr>
          <w:rFonts w:ascii="Times New Roman" w:hAnsi="Times New Roman"/>
          <w:noProof/>
          <w:sz w:val="24"/>
        </w:rPr>
        <w:t>91). Od 20</w:t>
      </w:r>
      <w:r w:rsidRPr="00332C06">
        <w:rPr>
          <w:rFonts w:ascii="Times New Roman" w:hAnsi="Times New Roman"/>
          <w:noProof/>
          <w:sz w:val="24"/>
        </w:rPr>
        <w:t>21</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liczba ta znacząco się zmniejszyła,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6</w:t>
      </w:r>
      <w:r>
        <w:rPr>
          <w:rFonts w:ascii="Times New Roman" w:hAnsi="Times New Roman"/>
          <w:noProof/>
          <w:sz w:val="24"/>
        </w:rPr>
        <w:t>8</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21</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i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5</w:t>
      </w:r>
      <w:r>
        <w:rPr>
          <w:rFonts w:ascii="Times New Roman" w:hAnsi="Times New Roman"/>
          <w:noProof/>
          <w:sz w:val="24"/>
        </w:rPr>
        <w:t>1</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w:t>
      </w:r>
    </w:p>
    <w:p w14:paraId="677221F3" w14:textId="669A0755" w:rsidR="00F679B3" w:rsidRPr="00B804EE" w:rsidRDefault="6AA3C75C" w:rsidP="38DC0611">
      <w:pPr>
        <w:jc w:val="both"/>
        <w:rPr>
          <w:rFonts w:ascii="Times New Roman" w:hAnsi="Times New Roman"/>
          <w:noProof/>
          <w:sz w:val="24"/>
          <w:szCs w:val="24"/>
        </w:rPr>
      </w:pPr>
      <w:r>
        <w:rPr>
          <w:rFonts w:ascii="Times New Roman" w:hAnsi="Times New Roman"/>
          <w:noProof/>
          <w:sz w:val="24"/>
        </w:rPr>
        <w:t>Tendencja ta znajduje odzwierciedlenie</w:t>
      </w:r>
      <w:r w:rsidR="00332C06">
        <w:rPr>
          <w:rFonts w:ascii="Times New Roman" w:hAnsi="Times New Roman"/>
          <w:noProof/>
          <w:sz w:val="24"/>
        </w:rPr>
        <w:t xml:space="preserve"> w ods</w:t>
      </w:r>
      <w:r>
        <w:rPr>
          <w:rFonts w:ascii="Times New Roman" w:hAnsi="Times New Roman"/>
          <w:noProof/>
          <w:sz w:val="24"/>
        </w:rPr>
        <w:t>etku akredytowanych asystentów parlamentarnych uprawnionych do zasiłku dla bezrobotnych. Podczas gdy</w:t>
      </w:r>
      <w:r w:rsidR="00332C06">
        <w:rPr>
          <w:rFonts w:ascii="Times New Roman" w:hAnsi="Times New Roman"/>
          <w:noProof/>
          <w:sz w:val="24"/>
        </w:rPr>
        <w:t xml:space="preserve"> w 2</w:t>
      </w:r>
      <w:r>
        <w:rPr>
          <w:rFonts w:ascii="Times New Roman" w:hAnsi="Times New Roman"/>
          <w:noProof/>
          <w:sz w:val="24"/>
        </w:rPr>
        <w:t>019</w:t>
      </w:r>
      <w:r w:rsidR="00332C06">
        <w:rPr>
          <w:rFonts w:ascii="Times New Roman" w:hAnsi="Times New Roman"/>
          <w:noProof/>
          <w:sz w:val="24"/>
        </w:rPr>
        <w:t xml:space="preserve"> i 2</w:t>
      </w:r>
      <w:r>
        <w:rPr>
          <w:rFonts w:ascii="Times New Roman" w:hAnsi="Times New Roman"/>
          <w:noProof/>
          <w:sz w:val="24"/>
        </w:rPr>
        <w:t>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odsetek ten wynosił, odpowiednio, 2</w:t>
      </w:r>
      <w:r w:rsidRPr="00332C06">
        <w:rPr>
          <w:rFonts w:ascii="Times New Roman" w:hAnsi="Times New Roman"/>
          <w:noProof/>
          <w:sz w:val="24"/>
        </w:rPr>
        <w:t>2</w:t>
      </w:r>
      <w:r w:rsidR="00332C06" w:rsidRPr="00332C06">
        <w:rPr>
          <w:rFonts w:ascii="Times New Roman" w:hAnsi="Times New Roman"/>
          <w:noProof/>
          <w:sz w:val="24"/>
        </w:rPr>
        <w:t> </w:t>
      </w:r>
      <w:r w:rsidRPr="00332C06">
        <w:rPr>
          <w:rFonts w:ascii="Times New Roman" w:hAnsi="Times New Roman"/>
          <w:noProof/>
          <w:sz w:val="24"/>
        </w:rPr>
        <w:t>%</w:t>
      </w:r>
      <w:r w:rsidR="00332C06">
        <w:rPr>
          <w:rFonts w:ascii="Times New Roman" w:hAnsi="Times New Roman"/>
          <w:noProof/>
          <w:sz w:val="24"/>
        </w:rPr>
        <w:t xml:space="preserve"> i 1</w:t>
      </w:r>
      <w:r w:rsidRPr="00332C06">
        <w:rPr>
          <w:rFonts w:ascii="Times New Roman" w:hAnsi="Times New Roman"/>
          <w:noProof/>
          <w:sz w:val="24"/>
        </w:rPr>
        <w:t>5</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21</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obniżył się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3</w:t>
      </w:r>
      <w:r>
        <w:rPr>
          <w:rFonts w:ascii="Times New Roman" w:hAnsi="Times New Roman"/>
          <w:noProof/>
          <w:sz w:val="24"/>
        </w:rPr>
        <w:t>,3</w:t>
      </w:r>
      <w:r w:rsidRPr="00332C06">
        <w:rPr>
          <w:rFonts w:ascii="Times New Roman" w:hAnsi="Times New Roman"/>
          <w:noProof/>
          <w:sz w:val="24"/>
        </w:rPr>
        <w:t>8</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 a</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2</w:t>
      </w:r>
      <w:r>
        <w:rPr>
          <w:rFonts w:ascii="Times New Roman" w:hAnsi="Times New Roman"/>
          <w:noProof/>
          <w:sz w:val="24"/>
        </w:rPr>
        <w:t>,5</w:t>
      </w:r>
      <w:r w:rsidRPr="00332C06">
        <w:rPr>
          <w:rFonts w:ascii="Times New Roman" w:hAnsi="Times New Roman"/>
          <w:noProof/>
          <w:sz w:val="24"/>
        </w:rPr>
        <w:t>2</w:t>
      </w:r>
      <w:r w:rsidR="00332C06" w:rsidRPr="00332C06">
        <w:rPr>
          <w:rFonts w:ascii="Times New Roman" w:hAnsi="Times New Roman"/>
          <w:noProof/>
          <w:sz w:val="24"/>
        </w:rPr>
        <w:t> </w:t>
      </w:r>
      <w:r w:rsidRPr="00332C06">
        <w:rPr>
          <w:rFonts w:ascii="Times New Roman" w:hAnsi="Times New Roman"/>
          <w:noProof/>
          <w:sz w:val="24"/>
        </w:rPr>
        <w:t>%</w:t>
      </w:r>
      <w:r>
        <w:rPr>
          <w:rFonts w:ascii="Times New Roman" w:hAnsi="Times New Roman"/>
          <w:noProof/>
          <w:sz w:val="24"/>
        </w:rPr>
        <w:t>.</w:t>
      </w:r>
    </w:p>
    <w:p w14:paraId="208D641C" w14:textId="2C489832" w:rsidR="00F679B3" w:rsidRPr="000B42AB" w:rsidRDefault="00F679B3" w:rsidP="005661D8">
      <w:pPr>
        <w:pStyle w:val="Heading2"/>
        <w:rPr>
          <w:noProof/>
        </w:rPr>
      </w:pPr>
      <w:r>
        <w:rPr>
          <w:noProof/>
        </w:rPr>
        <w:t>Liczba wypłacanych miesięcznych zasiłków dla bezrobotnych, średnia kwota, osoby uprawnione</w:t>
      </w:r>
      <w:r w:rsidR="00332C06">
        <w:rPr>
          <w:noProof/>
        </w:rPr>
        <w:t xml:space="preserve"> i ich</w:t>
      </w:r>
      <w:r>
        <w:rPr>
          <w:noProof/>
        </w:rPr>
        <w:t xml:space="preserve"> państwo zamieszkania</w:t>
      </w:r>
    </w:p>
    <w:p w14:paraId="7A38EB1B" w14:textId="67F05D6F" w:rsidR="005B5B07" w:rsidRPr="00332C06" w:rsidRDefault="13F60D77" w:rsidP="005B5B07">
      <w:pPr>
        <w:keepLines/>
        <w:spacing w:after="0"/>
        <w:jc w:val="both"/>
        <w:rPr>
          <w:rFonts w:ascii="Times New Roman" w:hAnsi="Times New Roman"/>
          <w:noProof/>
          <w:sz w:val="24"/>
          <w:szCs w:val="24"/>
        </w:rPr>
      </w:pPr>
      <w:r>
        <w:rPr>
          <w:rFonts w:ascii="Times New Roman" w:hAnsi="Times New Roman"/>
          <w:noProof/>
          <w:sz w:val="24"/>
        </w:rPr>
        <w:t>Zgodnie</w:t>
      </w:r>
      <w:r w:rsidR="00332C06">
        <w:rPr>
          <w:rFonts w:ascii="Times New Roman" w:hAnsi="Times New Roman"/>
          <w:noProof/>
          <w:sz w:val="24"/>
        </w:rPr>
        <w:t xml:space="preserve"> z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2</w:t>
      </w:r>
      <w:r>
        <w:rPr>
          <w:rFonts w:ascii="Times New Roman" w:hAnsi="Times New Roman"/>
          <w:noProof/>
          <w:sz w:val="24"/>
        </w:rPr>
        <w:t xml:space="preserve">8a </w:t>
      </w:r>
      <w:r w:rsidRPr="00332C06">
        <w:rPr>
          <w:rFonts w:ascii="Times New Roman" w:hAnsi="Times New Roman"/>
          <w:noProof/>
          <w:sz w:val="24"/>
        </w:rPr>
        <w:t>ust.</w:t>
      </w:r>
      <w:r w:rsidR="00332C06" w:rsidRPr="00332C06">
        <w:rPr>
          <w:rFonts w:ascii="Times New Roman" w:hAnsi="Times New Roman"/>
          <w:noProof/>
          <w:sz w:val="24"/>
        </w:rPr>
        <w:t> </w:t>
      </w:r>
      <w:r w:rsidRPr="00332C06">
        <w:rPr>
          <w:rFonts w:ascii="Times New Roman" w:hAnsi="Times New Roman"/>
          <w:noProof/>
          <w:sz w:val="24"/>
        </w:rPr>
        <w:t>4</w:t>
      </w:r>
      <w:r w:rsidR="00332C06">
        <w:rPr>
          <w:rFonts w:ascii="Times New Roman" w:hAnsi="Times New Roman"/>
          <w:noProof/>
          <w:sz w:val="24"/>
        </w:rPr>
        <w:t xml:space="preserve"> i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9</w:t>
      </w:r>
      <w:r>
        <w:rPr>
          <w:rFonts w:ascii="Times New Roman" w:hAnsi="Times New Roman"/>
          <w:noProof/>
          <w:sz w:val="24"/>
        </w:rPr>
        <w:t xml:space="preserve">6 </w:t>
      </w:r>
      <w:r w:rsidRPr="00332C06">
        <w:rPr>
          <w:rFonts w:ascii="Times New Roman" w:hAnsi="Times New Roman"/>
          <w:noProof/>
          <w:sz w:val="24"/>
        </w:rPr>
        <w:t>ust.</w:t>
      </w:r>
      <w:r w:rsidR="00332C06" w:rsidRPr="00332C06">
        <w:rPr>
          <w:rFonts w:ascii="Times New Roman" w:hAnsi="Times New Roman"/>
          <w:noProof/>
          <w:sz w:val="24"/>
        </w:rPr>
        <w:t> </w:t>
      </w:r>
      <w:r w:rsidRPr="00332C06">
        <w:rPr>
          <w:rFonts w:ascii="Times New Roman" w:hAnsi="Times New Roman"/>
          <w:noProof/>
          <w:sz w:val="24"/>
        </w:rPr>
        <w:t>4</w:t>
      </w:r>
      <w:r>
        <w:rPr>
          <w:rFonts w:ascii="Times New Roman" w:hAnsi="Times New Roman"/>
          <w:noProof/>
          <w:sz w:val="24"/>
        </w:rPr>
        <w:t xml:space="preserve"> warunków zatrudnienia innych pracowników Unii Europejskiej</w:t>
      </w:r>
      <w:bookmarkEnd w:id="15"/>
      <w:r>
        <w:rPr>
          <w:rFonts w:ascii="Times New Roman" w:hAnsi="Times New Roman"/>
          <w:noProof/>
          <w:sz w:val="24"/>
        </w:rPr>
        <w:t xml:space="preserve"> zasiłek dla bezrobotnych wypłaca się przez okres odpowiadający jednej trzeciej okresu pełnienia służby, ale nie dłuższy niż 36 miesięcy</w:t>
      </w:r>
      <w:r w:rsidR="00332C06">
        <w:rPr>
          <w:rFonts w:ascii="Times New Roman" w:hAnsi="Times New Roman"/>
          <w:noProof/>
          <w:sz w:val="24"/>
        </w:rPr>
        <w:t>. W tab</w:t>
      </w:r>
      <w:r>
        <w:rPr>
          <w:rFonts w:ascii="Times New Roman" w:hAnsi="Times New Roman"/>
          <w:noProof/>
          <w:sz w:val="24"/>
        </w:rPr>
        <w:t>eli 9 przedstawiono liczbę miesięcznych zasiłków dla bezrobotnych wypłacanych rocznie na rzecz wszystkich osób uprawnionych</w:t>
      </w:r>
      <w:r w:rsidR="00332C06" w:rsidRPr="00332C06">
        <w:rPr>
          <w:rFonts w:ascii="Times New Roman" w:hAnsi="Times New Roman"/>
          <w:noProof/>
          <w:sz w:val="24"/>
        </w:rPr>
        <w:t>. W</w:t>
      </w:r>
      <w:r w:rsidR="00332C06">
        <w:rPr>
          <w:rFonts w:ascii="Times New Roman" w:hAnsi="Times New Roman"/>
          <w:noProof/>
          <w:sz w:val="24"/>
        </w:rPr>
        <w:t> tab</w:t>
      </w:r>
      <w:r>
        <w:rPr>
          <w:rFonts w:ascii="Times New Roman" w:hAnsi="Times New Roman"/>
          <w:noProof/>
          <w:sz w:val="24"/>
        </w:rPr>
        <w:t>eli przedstawiono wpływ zmiany kadencji Parlamentu na akredytowanych asystentów parlamentarnych oraz wpływ zmiany składu Komisji na pracowników zatrudnionych na czas określony (wpływ</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w:t>
      </w:r>
      <w:r w:rsidRPr="00332C06">
        <w:rPr>
          <w:rFonts w:ascii="Times New Roman" w:hAnsi="Times New Roman"/>
          <w:noProof/>
          <w:sz w:val="24"/>
        </w:rPr>
        <w:t>.</w:t>
      </w:r>
      <w:r w:rsidR="00332C06" w:rsidRPr="00332C06">
        <w:rPr>
          <w:rFonts w:ascii="Times New Roman" w:hAnsi="Times New Roman"/>
          <w:noProof/>
          <w:sz w:val="24"/>
        </w:rPr>
        <w:t xml:space="preserve"> </w:t>
      </w:r>
    </w:p>
    <w:p w14:paraId="6B46512C" w14:textId="5DCF7142" w:rsidR="00F679B3" w:rsidRPr="00B804EE" w:rsidRDefault="00811179" w:rsidP="00E27067">
      <w:pPr>
        <w:keepLines/>
        <w:spacing w:after="0"/>
        <w:jc w:val="both"/>
        <w:rPr>
          <w:rFonts w:ascii="Times New Roman" w:hAnsi="Times New Roman" w:cs="Times New Roman"/>
          <w:noProof/>
          <w:sz w:val="24"/>
          <w:szCs w:val="24"/>
        </w:rPr>
        <w:sectPr w:rsidR="00F679B3" w:rsidRPr="00B804EE">
          <w:headerReference w:type="even" r:id="rId55"/>
          <w:headerReference w:type="default" r:id="rId56"/>
          <w:footerReference w:type="even" r:id="rId57"/>
          <w:footerReference w:type="default" r:id="rId58"/>
          <w:headerReference w:type="first" r:id="rId59"/>
          <w:footerReference w:type="first" r:id="rId60"/>
          <w:pgSz w:w="11907" w:h="16839"/>
          <w:pgMar w:top="1021" w:right="1247" w:bottom="1021" w:left="1247" w:header="709" w:footer="709" w:gutter="0"/>
          <w:cols w:space="708"/>
          <w:docGrid w:linePitch="360"/>
        </w:sectPr>
      </w:pPr>
      <w:r>
        <w:rPr>
          <w:rFonts w:ascii="Times New Roman" w:hAnsi="Times New Roman"/>
          <w:noProof/>
          <w:sz w:val="24"/>
        </w:rPr>
        <w:t xml:space="preserve">                      </w:t>
      </w:r>
    </w:p>
    <w:p w14:paraId="0ACB1E0D" w14:textId="77777777" w:rsidR="008B58AB" w:rsidRDefault="008B58AB" w:rsidP="27D443E8">
      <w:pPr>
        <w:jc w:val="both"/>
        <w:rPr>
          <w:noProof/>
        </w:rPr>
      </w:pPr>
    </w:p>
    <w:p w14:paraId="61FD0C0C" w14:textId="00583632" w:rsidR="008B58AB" w:rsidRPr="00B804EE" w:rsidRDefault="005E0D47" w:rsidP="27D443E8">
      <w:pPr>
        <w:jc w:val="both"/>
        <w:rPr>
          <w:noProof/>
        </w:rPr>
        <w:sectPr w:rsidR="008B58AB" w:rsidRPr="00B804EE">
          <w:headerReference w:type="even" r:id="rId61"/>
          <w:headerReference w:type="default" r:id="rId62"/>
          <w:footerReference w:type="even" r:id="rId63"/>
          <w:footerReference w:type="default" r:id="rId64"/>
          <w:headerReference w:type="first" r:id="rId65"/>
          <w:footerReference w:type="first" r:id="rId66"/>
          <w:pgSz w:w="16839" w:h="11907" w:orient="landscape"/>
          <w:pgMar w:top="1247" w:right="1021" w:bottom="1247" w:left="1021" w:header="709" w:footer="709" w:gutter="0"/>
          <w:cols w:space="708"/>
          <w:docGrid w:linePitch="360"/>
        </w:sectPr>
      </w:pPr>
      <w:r w:rsidRPr="005E0D47">
        <w:rPr>
          <w:noProof/>
          <w:lang w:val="en-GB" w:eastAsia="en-GB"/>
        </w:rPr>
        <w:drawing>
          <wp:inline distT="0" distB="0" distL="0" distR="0" wp14:anchorId="16777568" wp14:editId="27AF04CF">
            <wp:extent cx="9396095" cy="16840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96095" cy="1684020"/>
                    </a:xfrm>
                    <a:prstGeom prst="rect">
                      <a:avLst/>
                    </a:prstGeom>
                    <a:noFill/>
                    <a:ln>
                      <a:noFill/>
                    </a:ln>
                  </pic:spPr>
                </pic:pic>
              </a:graphicData>
            </a:graphic>
          </wp:inline>
        </w:drawing>
      </w:r>
    </w:p>
    <w:p w14:paraId="534FDC48" w14:textId="7E52585F" w:rsidR="00637197" w:rsidRPr="004F4952" w:rsidRDefault="00F679B3" w:rsidP="3D8654D2">
      <w:pPr>
        <w:jc w:val="both"/>
        <w:rPr>
          <w:rFonts w:ascii="Times New Roman" w:hAnsi="Times New Roman"/>
          <w:noProof/>
          <w:sz w:val="24"/>
          <w:szCs w:val="24"/>
        </w:rPr>
      </w:pPr>
      <w:r>
        <w:rPr>
          <w:rFonts w:ascii="Times New Roman" w:hAnsi="Times New Roman"/>
          <w:noProof/>
          <w:sz w:val="24"/>
        </w:rPr>
        <w:lastRenderedPageBreak/>
        <w:t>W tabeli 10 poniżej przedstawiono średnią kwotę zasiłku dla bezrobotnych</w:t>
      </w:r>
      <w:r w:rsidR="00332C06">
        <w:rPr>
          <w:rFonts w:ascii="Times New Roman" w:hAnsi="Times New Roman"/>
          <w:noProof/>
          <w:sz w:val="24"/>
        </w:rPr>
        <w:t xml:space="preserve"> w pod</w:t>
      </w:r>
      <w:r>
        <w:rPr>
          <w:rFonts w:ascii="Times New Roman" w:hAnsi="Times New Roman"/>
          <w:noProof/>
          <w:sz w:val="24"/>
        </w:rPr>
        <w:t>ziale na kategorie osób uprawnionych. Kwotę tę obliczono, dzieląc całkowitą kwotę rocznych wydatków</w:t>
      </w:r>
      <w:r w:rsidR="00332C06">
        <w:rPr>
          <w:rFonts w:ascii="Times New Roman" w:hAnsi="Times New Roman"/>
          <w:noProof/>
          <w:sz w:val="24"/>
        </w:rPr>
        <w:t xml:space="preserve"> w pod</w:t>
      </w:r>
      <w:r>
        <w:rPr>
          <w:rFonts w:ascii="Times New Roman" w:hAnsi="Times New Roman"/>
          <w:noProof/>
          <w:sz w:val="24"/>
        </w:rPr>
        <w:t>ziale na rodzaj bezrobotnego/osoby uprawnionej (pracownik zatrudniony na czas określony, pracownik kontraktowy</w:t>
      </w:r>
      <w:r w:rsidR="00332C06">
        <w:rPr>
          <w:rFonts w:ascii="Times New Roman" w:hAnsi="Times New Roman"/>
          <w:noProof/>
          <w:sz w:val="24"/>
        </w:rPr>
        <w:t xml:space="preserve"> i akr</w:t>
      </w:r>
      <w:r>
        <w:rPr>
          <w:rFonts w:ascii="Times New Roman" w:hAnsi="Times New Roman"/>
          <w:noProof/>
          <w:sz w:val="24"/>
        </w:rPr>
        <w:t>edytowany asystent parlamentarny) przez liczbę wypłaconych zasiłków miesięcznych. Należy zauważyć, że zasiłek związany</w:t>
      </w:r>
      <w:r w:rsidR="00332C06">
        <w:rPr>
          <w:rFonts w:ascii="Times New Roman" w:hAnsi="Times New Roman"/>
          <w:noProof/>
          <w:sz w:val="24"/>
        </w:rPr>
        <w:t xml:space="preserve"> z okr</w:t>
      </w:r>
      <w:r>
        <w:rPr>
          <w:rFonts w:ascii="Times New Roman" w:hAnsi="Times New Roman"/>
          <w:noProof/>
          <w:sz w:val="24"/>
        </w:rPr>
        <w:t>eślonym miesiącem może być pełny lub stanowić jedynie część proporcjonalną do liczby dni, podczas których dana osoba faktycznie korzystała</w:t>
      </w:r>
      <w:r w:rsidR="00332C06">
        <w:rPr>
          <w:rFonts w:ascii="Times New Roman" w:hAnsi="Times New Roman"/>
          <w:noProof/>
          <w:sz w:val="24"/>
        </w:rPr>
        <w:t xml:space="preserve"> z zas</w:t>
      </w:r>
      <w:r>
        <w:rPr>
          <w:rFonts w:ascii="Times New Roman" w:hAnsi="Times New Roman"/>
          <w:noProof/>
          <w:sz w:val="24"/>
        </w:rPr>
        <w:t>iłku dla bezrobotnych.</w:t>
      </w:r>
    </w:p>
    <w:p w14:paraId="4C37F02A" w14:textId="0ADCEF71" w:rsidR="004F4952" w:rsidRDefault="005E0D47" w:rsidP="00F679B3">
      <w:pPr>
        <w:jc w:val="both"/>
        <w:rPr>
          <w:rFonts w:ascii="Times New Roman" w:hAnsi="Times New Roman"/>
          <w:noProof/>
          <w:sz w:val="24"/>
          <w:szCs w:val="24"/>
        </w:rPr>
      </w:pPr>
      <w:r w:rsidRPr="005E0D47">
        <w:rPr>
          <w:noProof/>
          <w:lang w:val="en-GB" w:eastAsia="en-GB"/>
        </w:rPr>
        <w:drawing>
          <wp:inline distT="0" distB="0" distL="0" distR="0" wp14:anchorId="3F7F4B0D" wp14:editId="2D28A209">
            <wp:extent cx="5977255" cy="4129405"/>
            <wp:effectExtent l="0" t="0" r="444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77255" cy="4129405"/>
                    </a:xfrm>
                    <a:prstGeom prst="rect">
                      <a:avLst/>
                    </a:prstGeom>
                    <a:noFill/>
                    <a:ln>
                      <a:noFill/>
                    </a:ln>
                  </pic:spPr>
                </pic:pic>
              </a:graphicData>
            </a:graphic>
          </wp:inline>
        </w:drawing>
      </w:r>
    </w:p>
    <w:p w14:paraId="21894842" w14:textId="77777777" w:rsidR="004F4952" w:rsidRDefault="004F4952" w:rsidP="00F679B3">
      <w:pPr>
        <w:jc w:val="both"/>
        <w:rPr>
          <w:rFonts w:ascii="Times New Roman" w:hAnsi="Times New Roman"/>
          <w:noProof/>
          <w:sz w:val="24"/>
          <w:szCs w:val="24"/>
        </w:rPr>
      </w:pPr>
    </w:p>
    <w:p w14:paraId="7AAA5DD2" w14:textId="6AB07D20"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W tabeli 11.1 przedstawiono średni okres uprawnienia do zasiłku dla bezrobotnych wypłacanego na przestrzeni roku,</w:t>
      </w:r>
      <w:r w:rsidR="00332C06">
        <w:rPr>
          <w:rFonts w:ascii="Times New Roman" w:hAnsi="Times New Roman"/>
          <w:noProof/>
          <w:sz w:val="24"/>
        </w:rPr>
        <w:t xml:space="preserve"> w tym</w:t>
      </w:r>
      <w:r>
        <w:rPr>
          <w:rFonts w:ascii="Times New Roman" w:hAnsi="Times New Roman"/>
          <w:noProof/>
          <w:sz w:val="24"/>
        </w:rPr>
        <w:t xml:space="preserve"> ewentualnych wcześniejszych należnych świadczeń, wyrażony</w:t>
      </w:r>
      <w:r w:rsidR="00332C06">
        <w:rPr>
          <w:rFonts w:ascii="Times New Roman" w:hAnsi="Times New Roman"/>
          <w:noProof/>
          <w:sz w:val="24"/>
        </w:rPr>
        <w:t xml:space="preserve"> w lic</w:t>
      </w:r>
      <w:r>
        <w:rPr>
          <w:rFonts w:ascii="Times New Roman" w:hAnsi="Times New Roman"/>
          <w:noProof/>
          <w:sz w:val="24"/>
        </w:rPr>
        <w:t>zbie miesięcy. Okres ten odpowiada całkowitej liczbie dni płatnych do dnia 31 grudnia danego roku podzielonej przez liczbę osób uprawnionych do zasiłku dla bezrobotnych. Otrzymany</w:t>
      </w:r>
      <w:r w:rsidR="00332C06">
        <w:rPr>
          <w:rFonts w:ascii="Times New Roman" w:hAnsi="Times New Roman"/>
          <w:noProof/>
          <w:sz w:val="24"/>
        </w:rPr>
        <w:t xml:space="preserve"> w ten</w:t>
      </w:r>
      <w:r>
        <w:rPr>
          <w:rFonts w:ascii="Times New Roman" w:hAnsi="Times New Roman"/>
          <w:noProof/>
          <w:sz w:val="24"/>
        </w:rPr>
        <w:t xml:space="preserve"> sposób wynik dzieli się przez 30, aby otrzymać średni okres uprawnienia do zasiłku dla bezrobotnych wyrażony</w:t>
      </w:r>
      <w:r w:rsidR="00332C06">
        <w:rPr>
          <w:rFonts w:ascii="Times New Roman" w:hAnsi="Times New Roman"/>
          <w:noProof/>
          <w:sz w:val="24"/>
        </w:rPr>
        <w:t xml:space="preserve"> w lic</w:t>
      </w:r>
      <w:r>
        <w:rPr>
          <w:rFonts w:ascii="Times New Roman" w:hAnsi="Times New Roman"/>
          <w:noProof/>
          <w:sz w:val="24"/>
        </w:rPr>
        <w:t>zbie miesięcy</w:t>
      </w:r>
      <w:r w:rsidRPr="27D443E8">
        <w:rPr>
          <w:rStyle w:val="FootnoteReference"/>
          <w:rFonts w:ascii="Times New Roman" w:hAnsi="Times New Roman"/>
          <w:noProof/>
          <w:sz w:val="24"/>
          <w:szCs w:val="24"/>
        </w:rPr>
        <w:footnoteReference w:id="9"/>
      </w:r>
      <w:r>
        <w:rPr>
          <w:rFonts w:ascii="Times New Roman" w:hAnsi="Times New Roman"/>
          <w:noProof/>
          <w:sz w:val="24"/>
        </w:rPr>
        <w:t>.</w:t>
      </w:r>
    </w:p>
    <w:p w14:paraId="0A9DB1E4" w14:textId="41B0E4DA" w:rsidR="00F679B3" w:rsidRPr="00F76FC6" w:rsidRDefault="00F679B3" w:rsidP="00F679B3">
      <w:pPr>
        <w:jc w:val="both"/>
        <w:rPr>
          <w:rFonts w:ascii="Times New Roman" w:hAnsi="Times New Roman" w:cs="Times New Roman"/>
          <w:noProof/>
          <w:sz w:val="24"/>
          <w:szCs w:val="24"/>
        </w:rPr>
      </w:pPr>
    </w:p>
    <w:p w14:paraId="5EBE26F5" w14:textId="180FED9E" w:rsidR="00637197" w:rsidRPr="00361309" w:rsidRDefault="00637197" w:rsidP="27D443E8">
      <w:pPr>
        <w:jc w:val="both"/>
        <w:rPr>
          <w:noProof/>
        </w:rPr>
      </w:pPr>
    </w:p>
    <w:p w14:paraId="52E2F4F4" w14:textId="57766997" w:rsidR="009D0349" w:rsidRDefault="005E0D47" w:rsidP="00F679B3">
      <w:pPr>
        <w:jc w:val="both"/>
        <w:rPr>
          <w:rFonts w:ascii="Times New Roman" w:hAnsi="Times New Roman"/>
          <w:noProof/>
          <w:sz w:val="24"/>
          <w:szCs w:val="24"/>
        </w:rPr>
      </w:pPr>
      <w:r w:rsidRPr="005E0D47">
        <w:rPr>
          <w:noProof/>
          <w:lang w:val="en-GB" w:eastAsia="en-GB"/>
        </w:rPr>
        <w:lastRenderedPageBreak/>
        <w:drawing>
          <wp:inline distT="0" distB="0" distL="0" distR="0" wp14:anchorId="6BA2AF7D" wp14:editId="699CB646">
            <wp:extent cx="5735955" cy="359791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5955" cy="3597910"/>
                    </a:xfrm>
                    <a:prstGeom prst="rect">
                      <a:avLst/>
                    </a:prstGeom>
                    <a:noFill/>
                    <a:ln>
                      <a:noFill/>
                    </a:ln>
                  </pic:spPr>
                </pic:pic>
              </a:graphicData>
            </a:graphic>
          </wp:inline>
        </w:drawing>
      </w:r>
    </w:p>
    <w:p w14:paraId="3FE96882" w14:textId="4C833394" w:rsidR="00F679B3" w:rsidRDefault="00F679B3" w:rsidP="00F679B3">
      <w:pPr>
        <w:jc w:val="both"/>
        <w:rPr>
          <w:rFonts w:ascii="Times New Roman" w:hAnsi="Times New Roman" w:cs="Times New Roman"/>
          <w:noProof/>
          <w:sz w:val="24"/>
          <w:szCs w:val="24"/>
        </w:rPr>
      </w:pPr>
      <w:r>
        <w:rPr>
          <w:rFonts w:ascii="Times New Roman" w:hAnsi="Times New Roman"/>
          <w:noProof/>
          <w:sz w:val="24"/>
        </w:rPr>
        <w:t>W ciągu ostatnich 6 lat średni okres wypłacania zasiłku dla bezrobotnych</w:t>
      </w:r>
      <w:r w:rsidR="00332C06">
        <w:rPr>
          <w:rFonts w:ascii="Times New Roman" w:hAnsi="Times New Roman"/>
          <w:noProof/>
          <w:sz w:val="24"/>
        </w:rPr>
        <w:t xml:space="preserve"> w mie</w:t>
      </w:r>
      <w:r>
        <w:rPr>
          <w:rFonts w:ascii="Times New Roman" w:hAnsi="Times New Roman"/>
          <w:noProof/>
          <w:sz w:val="24"/>
        </w:rPr>
        <w:t>siącach utrzymywał się na stałym poziomie (</w:t>
      </w:r>
      <w:r w:rsidRPr="00332C06">
        <w:rPr>
          <w:rFonts w:ascii="Times New Roman" w:hAnsi="Times New Roman"/>
          <w:noProof/>
          <w:sz w:val="24"/>
        </w:rPr>
        <w:t>od</w:t>
      </w:r>
      <w:r w:rsidR="00332C06" w:rsidRPr="00332C06">
        <w:rPr>
          <w:rFonts w:ascii="Times New Roman" w:hAnsi="Times New Roman"/>
          <w:noProof/>
          <w:sz w:val="24"/>
        </w:rPr>
        <w:t> </w:t>
      </w:r>
      <w:r w:rsidRPr="00332C06">
        <w:rPr>
          <w:rFonts w:ascii="Times New Roman" w:hAnsi="Times New Roman"/>
          <w:noProof/>
          <w:sz w:val="24"/>
        </w:rPr>
        <w:t>8</w:t>
      </w:r>
      <w:r>
        <w:rPr>
          <w:rFonts w:ascii="Times New Roman" w:hAnsi="Times New Roman"/>
          <w:noProof/>
          <w:sz w:val="24"/>
        </w:rPr>
        <w:t xml:space="preserve">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0 miesięcy).</w:t>
      </w:r>
    </w:p>
    <w:p w14:paraId="27721233" w14:textId="33C6ED20" w:rsidR="009E3BD7" w:rsidRDefault="00F679B3" w:rsidP="00F679B3">
      <w:pPr>
        <w:jc w:val="both"/>
        <w:rPr>
          <w:rFonts w:ascii="Times New Roman" w:hAnsi="Times New Roman" w:cs="Times New Roman"/>
          <w:noProof/>
          <w:sz w:val="24"/>
          <w:szCs w:val="24"/>
        </w:rPr>
      </w:pPr>
      <w:r>
        <w:rPr>
          <w:rFonts w:ascii="Times New Roman" w:hAnsi="Times New Roman"/>
          <w:noProof/>
          <w:sz w:val="24"/>
        </w:rPr>
        <w:t>W poniższych tabelach przedstawiono długość okresu wypłacania zasiłku</w:t>
      </w:r>
      <w:r w:rsidR="00332C06">
        <w:rPr>
          <w:rFonts w:ascii="Times New Roman" w:hAnsi="Times New Roman"/>
          <w:noProof/>
          <w:sz w:val="24"/>
        </w:rPr>
        <w:t xml:space="preserve"> z pod</w:t>
      </w:r>
      <w:r>
        <w:rPr>
          <w:rFonts w:ascii="Times New Roman" w:hAnsi="Times New Roman"/>
          <w:noProof/>
          <w:sz w:val="24"/>
        </w:rPr>
        <w:t>ziałem na rodzaj pracowników [pracowników kontraktowych (CA)/pracowników zatrudnionych na czas określony (TA)</w:t>
      </w:r>
      <w:r w:rsidR="00332C06">
        <w:rPr>
          <w:rFonts w:ascii="Times New Roman" w:hAnsi="Times New Roman"/>
          <w:noProof/>
          <w:sz w:val="24"/>
        </w:rPr>
        <w:t xml:space="preserve"> i akr</w:t>
      </w:r>
      <w:r>
        <w:rPr>
          <w:rFonts w:ascii="Times New Roman" w:hAnsi="Times New Roman"/>
          <w:noProof/>
          <w:sz w:val="24"/>
        </w:rPr>
        <w:t>edytowanych asystentów parlamentarnych (APA)].</w:t>
      </w:r>
    </w:p>
    <w:p w14:paraId="63872E3F" w14:textId="77777777" w:rsidR="000E5858" w:rsidRPr="009E3BD7" w:rsidRDefault="000E5858" w:rsidP="00F679B3">
      <w:pPr>
        <w:jc w:val="both"/>
        <w:rPr>
          <w:rFonts w:ascii="Times New Roman" w:hAnsi="Times New Roman" w:cs="Times New Roman"/>
          <w:noProof/>
          <w:sz w:val="24"/>
          <w:szCs w:val="24"/>
        </w:rPr>
      </w:pPr>
    </w:p>
    <w:p w14:paraId="5D514020" w14:textId="5DD86AA2" w:rsidR="00637197" w:rsidRDefault="005E0D47" w:rsidP="095F7A8A">
      <w:pPr>
        <w:jc w:val="both"/>
        <w:rPr>
          <w:noProof/>
        </w:rPr>
      </w:pPr>
      <w:r w:rsidRPr="005E0D47">
        <w:rPr>
          <w:noProof/>
          <w:lang w:val="en-GB" w:eastAsia="en-GB"/>
        </w:rPr>
        <w:drawing>
          <wp:inline distT="0" distB="0" distL="0" distR="0" wp14:anchorId="5E495655" wp14:editId="5B83CCCF">
            <wp:extent cx="5819140" cy="359791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19140" cy="3597910"/>
                    </a:xfrm>
                    <a:prstGeom prst="rect">
                      <a:avLst/>
                    </a:prstGeom>
                    <a:noFill/>
                    <a:ln>
                      <a:noFill/>
                    </a:ln>
                  </pic:spPr>
                </pic:pic>
              </a:graphicData>
            </a:graphic>
          </wp:inline>
        </w:drawing>
      </w:r>
    </w:p>
    <w:p w14:paraId="10F3EDB0" w14:textId="66BB10F1" w:rsidR="00637197" w:rsidRDefault="00637197" w:rsidP="095F7A8A">
      <w:pPr>
        <w:jc w:val="both"/>
        <w:rPr>
          <w:noProof/>
          <w:lang w:eastAsia="en-GB"/>
        </w:rPr>
      </w:pPr>
    </w:p>
    <w:p w14:paraId="78F23FAB" w14:textId="3B419865" w:rsidR="00F679B3" w:rsidRDefault="672F0DB9" w:rsidP="00F679B3">
      <w:pPr>
        <w:jc w:val="both"/>
        <w:rPr>
          <w:rFonts w:ascii="Times New Roman" w:hAnsi="Times New Roman"/>
          <w:b/>
          <w:noProof/>
          <w:sz w:val="24"/>
          <w:szCs w:val="24"/>
          <w:u w:val="single"/>
        </w:rPr>
      </w:pPr>
      <w:r>
        <w:rPr>
          <w:rFonts w:ascii="Times New Roman" w:hAnsi="Times New Roman"/>
          <w:b/>
          <w:noProof/>
          <w:sz w:val="24"/>
          <w:u w:val="single"/>
        </w:rPr>
        <w:t>APA:</w:t>
      </w:r>
    </w:p>
    <w:p w14:paraId="00816EF2" w14:textId="111AAEA8" w:rsidR="00637197" w:rsidRPr="00B804EE" w:rsidRDefault="005E0D47" w:rsidP="095F7A8A">
      <w:pPr>
        <w:jc w:val="both"/>
        <w:rPr>
          <w:noProof/>
        </w:rPr>
      </w:pPr>
      <w:r w:rsidRPr="005E0D47">
        <w:rPr>
          <w:noProof/>
          <w:lang w:val="en-GB" w:eastAsia="en-GB"/>
        </w:rPr>
        <w:lastRenderedPageBreak/>
        <w:drawing>
          <wp:inline distT="0" distB="0" distL="0" distR="0" wp14:anchorId="63F6098F" wp14:editId="3ABD7412">
            <wp:extent cx="5949538" cy="14960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53805" cy="1497133"/>
                    </a:xfrm>
                    <a:prstGeom prst="rect">
                      <a:avLst/>
                    </a:prstGeom>
                    <a:noFill/>
                    <a:ln>
                      <a:noFill/>
                    </a:ln>
                  </pic:spPr>
                </pic:pic>
              </a:graphicData>
            </a:graphic>
          </wp:inline>
        </w:drawing>
      </w:r>
    </w:p>
    <w:p w14:paraId="4B572330" w14:textId="7E491F66" w:rsidR="0F23325B" w:rsidRDefault="0F23325B" w:rsidP="38DC0611">
      <w:pPr>
        <w:jc w:val="both"/>
        <w:rPr>
          <w:rFonts w:ascii="Times New Roman" w:hAnsi="Times New Roman" w:cs="Times New Roman"/>
          <w:noProof/>
          <w:sz w:val="24"/>
          <w:szCs w:val="24"/>
        </w:rPr>
      </w:pPr>
      <w:r>
        <w:rPr>
          <w:rFonts w:ascii="Times New Roman" w:hAnsi="Times New Roman"/>
          <w:noProof/>
          <w:sz w:val="24"/>
        </w:rPr>
        <w:t>W ciągu ostatnich 6 lat średni okres wypłacania zasiłku dla bezrobotnych</w:t>
      </w:r>
      <w:r w:rsidR="00332C06">
        <w:rPr>
          <w:rFonts w:ascii="Times New Roman" w:hAnsi="Times New Roman"/>
          <w:noProof/>
          <w:sz w:val="24"/>
        </w:rPr>
        <w:t xml:space="preserve"> w prz</w:t>
      </w:r>
      <w:r>
        <w:rPr>
          <w:rFonts w:ascii="Times New Roman" w:hAnsi="Times New Roman"/>
          <w:noProof/>
          <w:sz w:val="24"/>
        </w:rPr>
        <w:t>ypadku pracowników kontraktowych</w:t>
      </w:r>
      <w:r w:rsidR="00332C06">
        <w:rPr>
          <w:rFonts w:ascii="Times New Roman" w:hAnsi="Times New Roman"/>
          <w:noProof/>
          <w:sz w:val="24"/>
        </w:rPr>
        <w:t xml:space="preserve"> i pra</w:t>
      </w:r>
      <w:r>
        <w:rPr>
          <w:rFonts w:ascii="Times New Roman" w:hAnsi="Times New Roman"/>
          <w:noProof/>
          <w:sz w:val="24"/>
        </w:rPr>
        <w:t>cowników zatrudnionych na czas określony</w:t>
      </w:r>
      <w:r w:rsidR="00332C06">
        <w:rPr>
          <w:rFonts w:ascii="Times New Roman" w:hAnsi="Times New Roman"/>
          <w:noProof/>
          <w:sz w:val="24"/>
        </w:rPr>
        <w:t xml:space="preserve"> w mie</w:t>
      </w:r>
      <w:r>
        <w:rPr>
          <w:rFonts w:ascii="Times New Roman" w:hAnsi="Times New Roman"/>
          <w:noProof/>
          <w:sz w:val="24"/>
        </w:rPr>
        <w:t>siącach utrzymywał się na stałym poziomie (</w:t>
      </w:r>
      <w:r w:rsidRPr="00332C06">
        <w:rPr>
          <w:rFonts w:ascii="Times New Roman" w:hAnsi="Times New Roman"/>
          <w:noProof/>
          <w:sz w:val="24"/>
        </w:rPr>
        <w:t>od</w:t>
      </w:r>
      <w:r w:rsidR="00332C06" w:rsidRPr="00332C06">
        <w:rPr>
          <w:rFonts w:ascii="Times New Roman" w:hAnsi="Times New Roman"/>
          <w:noProof/>
          <w:sz w:val="24"/>
        </w:rPr>
        <w:t> </w:t>
      </w:r>
      <w:r w:rsidRPr="00332C06">
        <w:rPr>
          <w:rFonts w:ascii="Times New Roman" w:hAnsi="Times New Roman"/>
          <w:noProof/>
          <w:sz w:val="24"/>
        </w:rPr>
        <w:t>8</w:t>
      </w:r>
      <w:r>
        <w:rPr>
          <w:rFonts w:ascii="Times New Roman" w:hAnsi="Times New Roman"/>
          <w:noProof/>
          <w:sz w:val="24"/>
        </w:rPr>
        <w:t xml:space="preserve">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0 miesięcy).</w:t>
      </w:r>
    </w:p>
    <w:p w14:paraId="70798333" w14:textId="1F28A409" w:rsidR="0F23325B" w:rsidRDefault="0F23325B" w:rsidP="38DC0611">
      <w:pPr>
        <w:jc w:val="both"/>
        <w:rPr>
          <w:rFonts w:ascii="Times New Roman" w:hAnsi="Times New Roman"/>
          <w:noProof/>
          <w:sz w:val="24"/>
          <w:szCs w:val="24"/>
        </w:rPr>
      </w:pPr>
      <w:r>
        <w:rPr>
          <w:rFonts w:ascii="Times New Roman" w:hAnsi="Times New Roman"/>
          <w:noProof/>
          <w:sz w:val="24"/>
        </w:rPr>
        <w:t>Jeżeli chodzi</w:t>
      </w:r>
      <w:r w:rsidR="00332C06">
        <w:rPr>
          <w:rFonts w:ascii="Times New Roman" w:hAnsi="Times New Roman"/>
          <w:noProof/>
          <w:sz w:val="24"/>
        </w:rPr>
        <w:t xml:space="preserve"> o akr</w:t>
      </w:r>
      <w:r>
        <w:rPr>
          <w:rFonts w:ascii="Times New Roman" w:hAnsi="Times New Roman"/>
          <w:noProof/>
          <w:sz w:val="24"/>
        </w:rPr>
        <w:t>edytowanych asystentów parlamentarnych, średni okres wypłacania zasiłku dla bezrobotnych</w:t>
      </w:r>
      <w:r w:rsidR="00332C06">
        <w:rPr>
          <w:rFonts w:ascii="Times New Roman" w:hAnsi="Times New Roman"/>
          <w:noProof/>
          <w:sz w:val="24"/>
        </w:rPr>
        <w:t xml:space="preserve"> w mie</w:t>
      </w:r>
      <w:r>
        <w:rPr>
          <w:rFonts w:ascii="Times New Roman" w:hAnsi="Times New Roman"/>
          <w:noProof/>
          <w:sz w:val="24"/>
        </w:rPr>
        <w:t xml:space="preserve">siącach wahał się </w:t>
      </w:r>
      <w:r w:rsidRPr="00332C06">
        <w:rPr>
          <w:rFonts w:ascii="Times New Roman" w:hAnsi="Times New Roman"/>
          <w:noProof/>
          <w:sz w:val="24"/>
        </w:rPr>
        <w:t>od</w:t>
      </w:r>
      <w:r w:rsidR="00332C06" w:rsidRPr="00332C06">
        <w:rPr>
          <w:rFonts w:ascii="Times New Roman" w:hAnsi="Times New Roman"/>
          <w:noProof/>
          <w:sz w:val="24"/>
        </w:rPr>
        <w:t> </w:t>
      </w:r>
      <w:r w:rsidRPr="00332C06">
        <w:rPr>
          <w:rFonts w:ascii="Times New Roman" w:hAnsi="Times New Roman"/>
          <w:noProof/>
          <w:sz w:val="24"/>
        </w:rPr>
        <w:t>5</w:t>
      </w:r>
      <w:r>
        <w:rPr>
          <w:rFonts w:ascii="Times New Roman" w:hAnsi="Times New Roman"/>
          <w:noProof/>
          <w:sz w:val="24"/>
        </w:rPr>
        <w:t xml:space="preserve"> </w:t>
      </w:r>
      <w:r w:rsidRPr="00332C06">
        <w:rPr>
          <w:rFonts w:ascii="Times New Roman" w:hAnsi="Times New Roman"/>
          <w:noProof/>
          <w:sz w:val="24"/>
        </w:rPr>
        <w:t>do</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0 miesięcy</w:t>
      </w:r>
      <w:r w:rsidR="00332C06">
        <w:rPr>
          <w:rFonts w:ascii="Times New Roman" w:hAnsi="Times New Roman"/>
          <w:noProof/>
          <w:sz w:val="24"/>
        </w:rPr>
        <w:t xml:space="preserve"> w okr</w:t>
      </w:r>
      <w:r>
        <w:rPr>
          <w:rFonts w:ascii="Times New Roman" w:hAnsi="Times New Roman"/>
          <w:noProof/>
          <w:sz w:val="24"/>
        </w:rPr>
        <w:t>esie odniesienia. Najkrótszy okres wypłacania zasiłku odnotowano</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19</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(5 miesięcy), natomiast najdłuższy</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(10 miesięcy). W 20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średni okres wypłacania zasiłku wynosił 9 miesięcy. </w:t>
      </w:r>
    </w:p>
    <w:p w14:paraId="48984DA7" w14:textId="6A722B22" w:rsidR="00F679B3" w:rsidRPr="00B804EE" w:rsidRDefault="00F679B3" w:rsidP="00F679B3">
      <w:pPr>
        <w:jc w:val="both"/>
        <w:rPr>
          <w:rFonts w:ascii="Times New Roman" w:hAnsi="Times New Roman" w:cs="Times New Roman"/>
          <w:noProof/>
          <w:sz w:val="24"/>
          <w:szCs w:val="24"/>
        </w:rPr>
      </w:pPr>
      <w:r>
        <w:rPr>
          <w:rFonts w:ascii="Times New Roman" w:hAnsi="Times New Roman"/>
          <w:noProof/>
          <w:sz w:val="24"/>
        </w:rPr>
        <w:t>Biorąc pod uwagę zasadę komplementarności systemu ubezpieczenia na wypadek bezrobocia, państwo zamieszkania osoby korzystającej</w:t>
      </w:r>
      <w:r w:rsidR="00332C06">
        <w:rPr>
          <w:rFonts w:ascii="Times New Roman" w:hAnsi="Times New Roman"/>
          <w:noProof/>
          <w:sz w:val="24"/>
        </w:rPr>
        <w:t xml:space="preserve"> z zas</w:t>
      </w:r>
      <w:r>
        <w:rPr>
          <w:rFonts w:ascii="Times New Roman" w:hAnsi="Times New Roman"/>
          <w:noProof/>
          <w:sz w:val="24"/>
        </w:rPr>
        <w:t>iłku dla bezrobotnych odgrywa istotną rolę</w:t>
      </w:r>
      <w:r w:rsidR="00332C06">
        <w:rPr>
          <w:rFonts w:ascii="Times New Roman" w:hAnsi="Times New Roman"/>
          <w:noProof/>
          <w:sz w:val="24"/>
        </w:rPr>
        <w:t xml:space="preserve"> w szc</w:t>
      </w:r>
      <w:r>
        <w:rPr>
          <w:rFonts w:ascii="Times New Roman" w:hAnsi="Times New Roman"/>
          <w:noProof/>
          <w:sz w:val="24"/>
        </w:rPr>
        <w:t>zególności</w:t>
      </w:r>
      <w:r w:rsidR="00332C06">
        <w:rPr>
          <w:rFonts w:ascii="Times New Roman" w:hAnsi="Times New Roman"/>
          <w:noProof/>
          <w:sz w:val="24"/>
        </w:rPr>
        <w:t xml:space="preserve"> w świ</w:t>
      </w:r>
      <w:r>
        <w:rPr>
          <w:rFonts w:ascii="Times New Roman" w:hAnsi="Times New Roman"/>
          <w:noProof/>
          <w:sz w:val="24"/>
        </w:rPr>
        <w:t>etle kryteriów kwalifikowalności do zasiłku krajowego, które różnią się</w:t>
      </w:r>
      <w:r w:rsidR="00332C06">
        <w:rPr>
          <w:rFonts w:ascii="Times New Roman" w:hAnsi="Times New Roman"/>
          <w:noProof/>
          <w:sz w:val="24"/>
        </w:rPr>
        <w:t xml:space="preserve"> w pos</w:t>
      </w:r>
      <w:r>
        <w:rPr>
          <w:rFonts w:ascii="Times New Roman" w:hAnsi="Times New Roman"/>
          <w:noProof/>
          <w:sz w:val="24"/>
        </w:rPr>
        <w:t xml:space="preserve">zczególnych państwach członkowskich. </w:t>
      </w:r>
    </w:p>
    <w:p w14:paraId="51E09F20" w14:textId="452DBFFC" w:rsidR="00BD776D" w:rsidRDefault="00F679B3" w:rsidP="00F679B3">
      <w:pPr>
        <w:jc w:val="both"/>
        <w:rPr>
          <w:rFonts w:ascii="Times New Roman" w:hAnsi="Times New Roman"/>
          <w:noProof/>
          <w:sz w:val="24"/>
          <w:szCs w:val="24"/>
        </w:rPr>
      </w:pPr>
      <w:r>
        <w:rPr>
          <w:rFonts w:ascii="Times New Roman" w:hAnsi="Times New Roman"/>
          <w:noProof/>
          <w:sz w:val="24"/>
        </w:rPr>
        <w:t>W tabeli 12 przedstawiono państwa zamieszkania osób uprawnionych, które otrzymały przynajmniej jeden miesięczny zasiłek</w:t>
      </w:r>
      <w:r w:rsidR="00332C06">
        <w:rPr>
          <w:rFonts w:ascii="Times New Roman" w:hAnsi="Times New Roman"/>
          <w:noProof/>
          <w:sz w:val="24"/>
        </w:rPr>
        <w:t xml:space="preserve"> w cią</w:t>
      </w:r>
      <w:r>
        <w:rPr>
          <w:rFonts w:ascii="Times New Roman" w:hAnsi="Times New Roman"/>
          <w:noProof/>
          <w:sz w:val="24"/>
        </w:rPr>
        <w:t xml:space="preserve">gu roku. </w:t>
      </w:r>
    </w:p>
    <w:p w14:paraId="4DFF17D3" w14:textId="222C2ED2" w:rsidR="00BD776D" w:rsidRDefault="005E0D47" w:rsidP="00F679B3">
      <w:pPr>
        <w:jc w:val="both"/>
        <w:rPr>
          <w:rFonts w:ascii="Times New Roman" w:hAnsi="Times New Roman"/>
          <w:noProof/>
          <w:sz w:val="24"/>
          <w:szCs w:val="24"/>
        </w:rPr>
      </w:pPr>
      <w:r w:rsidRPr="005E0D47">
        <w:rPr>
          <w:noProof/>
          <w:lang w:val="en-GB" w:eastAsia="en-GB"/>
        </w:rPr>
        <w:lastRenderedPageBreak/>
        <w:drawing>
          <wp:inline distT="0" distB="0" distL="0" distR="0" wp14:anchorId="1E0BAD1B" wp14:editId="16A3BA3B">
            <wp:extent cx="5977255" cy="5934075"/>
            <wp:effectExtent l="0" t="0" r="444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77255" cy="5934075"/>
                    </a:xfrm>
                    <a:prstGeom prst="rect">
                      <a:avLst/>
                    </a:prstGeom>
                    <a:noFill/>
                    <a:ln>
                      <a:noFill/>
                    </a:ln>
                  </pic:spPr>
                </pic:pic>
              </a:graphicData>
            </a:graphic>
          </wp:inline>
        </w:drawing>
      </w:r>
    </w:p>
    <w:p w14:paraId="0699B3E3" w14:textId="6E467B43" w:rsidR="00F679B3" w:rsidRDefault="00552360" w:rsidP="00F679B3">
      <w:pPr>
        <w:jc w:val="both"/>
        <w:rPr>
          <w:rFonts w:ascii="Times New Roman" w:hAnsi="Times New Roman" w:cs="Times New Roman"/>
          <w:noProof/>
          <w:sz w:val="24"/>
          <w:szCs w:val="24"/>
        </w:rPr>
      </w:pPr>
      <w:r>
        <w:rPr>
          <w:rFonts w:ascii="Times New Roman" w:hAnsi="Times New Roman"/>
          <w:noProof/>
          <w:sz w:val="24"/>
        </w:rPr>
        <w:t>Należy zauważyć, że do końca okresu przejściowego 31 grudnia 20</w:t>
      </w:r>
      <w:r w:rsidRPr="00332C06">
        <w:rPr>
          <w:rFonts w:ascii="Times New Roman" w:hAnsi="Times New Roman"/>
          <w:noProof/>
          <w:sz w:val="24"/>
        </w:rPr>
        <w:t>20</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Zjednoczone Królestwo uznawano za państwo członkowskie</w:t>
      </w:r>
      <w:r>
        <w:rPr>
          <w:rStyle w:val="FootnoteReference"/>
          <w:rFonts w:ascii="Times New Roman" w:hAnsi="Times New Roman" w:cs="Times New Roman"/>
          <w:noProof/>
          <w:sz w:val="24"/>
          <w:szCs w:val="24"/>
          <w:lang w:val="fr-BE"/>
        </w:rPr>
        <w:footnoteReference w:id="10"/>
      </w:r>
      <w:r>
        <w:rPr>
          <w:rFonts w:ascii="Times New Roman" w:hAnsi="Times New Roman"/>
          <w:noProof/>
          <w:sz w:val="24"/>
        </w:rPr>
        <w:t>, co pozwalało byłym pracownikom na otrzymywanie zasiłku dla bezrobotnych, gdy mieszkali</w:t>
      </w:r>
      <w:r w:rsidR="00332C06">
        <w:rPr>
          <w:rFonts w:ascii="Times New Roman" w:hAnsi="Times New Roman"/>
          <w:noProof/>
          <w:sz w:val="24"/>
        </w:rPr>
        <w:t xml:space="preserve"> w Zje</w:t>
      </w:r>
      <w:r>
        <w:rPr>
          <w:rFonts w:ascii="Times New Roman" w:hAnsi="Times New Roman"/>
          <w:noProof/>
          <w:sz w:val="24"/>
        </w:rPr>
        <w:t>dnoczonym Królestwie. Co więcej, po zakończeniu okresu przejściowego</w:t>
      </w:r>
      <w:r w:rsidR="00332C06">
        <w:rPr>
          <w:rFonts w:ascii="Times New Roman" w:hAnsi="Times New Roman"/>
          <w:noProof/>
          <w:sz w:val="24"/>
        </w:rPr>
        <w:t xml:space="preserve"> i zgo</w:t>
      </w:r>
      <w:r>
        <w:rPr>
          <w:rFonts w:ascii="Times New Roman" w:hAnsi="Times New Roman"/>
          <w:noProof/>
          <w:sz w:val="24"/>
        </w:rPr>
        <w:t>dnie</w:t>
      </w:r>
      <w:r w:rsidR="00332C06">
        <w:rPr>
          <w:rFonts w:ascii="Times New Roman" w:hAnsi="Times New Roman"/>
          <w:noProof/>
          <w:sz w:val="24"/>
        </w:rPr>
        <w:t xml:space="preserve"> z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15 umowy</w:t>
      </w:r>
      <w:r w:rsidR="00332C06">
        <w:rPr>
          <w:rFonts w:ascii="Times New Roman" w:hAnsi="Times New Roman"/>
          <w:noProof/>
          <w:sz w:val="24"/>
        </w:rPr>
        <w:t xml:space="preserve"> o wys</w:t>
      </w:r>
      <w:r>
        <w:rPr>
          <w:rFonts w:ascii="Times New Roman" w:hAnsi="Times New Roman"/>
          <w:noProof/>
          <w:sz w:val="24"/>
        </w:rPr>
        <w:t xml:space="preserve">tąpieniu, </w:t>
      </w:r>
      <w:r w:rsidRPr="00332C06">
        <w:rPr>
          <w:rFonts w:ascii="Times New Roman" w:hAnsi="Times New Roman"/>
          <w:noProof/>
          <w:sz w:val="24"/>
        </w:rPr>
        <w:t>art.</w:t>
      </w:r>
      <w:r w:rsidR="00332C06" w:rsidRPr="00332C06">
        <w:rPr>
          <w:rFonts w:ascii="Times New Roman" w:hAnsi="Times New Roman"/>
          <w:noProof/>
          <w:sz w:val="24"/>
        </w:rPr>
        <w:t> </w:t>
      </w:r>
      <w:r w:rsidRPr="00332C06">
        <w:rPr>
          <w:rFonts w:ascii="Times New Roman" w:hAnsi="Times New Roman"/>
          <w:noProof/>
          <w:sz w:val="24"/>
        </w:rPr>
        <w:t>2</w:t>
      </w:r>
      <w:r>
        <w:rPr>
          <w:rFonts w:ascii="Times New Roman" w:hAnsi="Times New Roman"/>
          <w:noProof/>
          <w:sz w:val="24"/>
        </w:rPr>
        <w:t>8a, 96</w:t>
      </w:r>
      <w:r w:rsidR="00332C06">
        <w:rPr>
          <w:rFonts w:ascii="Times New Roman" w:hAnsi="Times New Roman"/>
          <w:noProof/>
          <w:sz w:val="24"/>
        </w:rPr>
        <w:t xml:space="preserve"> i 1</w:t>
      </w:r>
      <w:r>
        <w:rPr>
          <w:rFonts w:ascii="Times New Roman" w:hAnsi="Times New Roman"/>
          <w:noProof/>
          <w:sz w:val="24"/>
        </w:rPr>
        <w:t>36 warunków zatrudnienia innych pracowników Unii Europejskiej będą miały zastosowanie do innych pracowników Unii niezależnie od obywatelstwa,</w:t>
      </w:r>
      <w:r w:rsidR="00332C06">
        <w:rPr>
          <w:rFonts w:ascii="Times New Roman" w:hAnsi="Times New Roman"/>
          <w:noProof/>
          <w:sz w:val="24"/>
        </w:rPr>
        <w:t xml:space="preserve"> w tym</w:t>
      </w:r>
      <w:r>
        <w:rPr>
          <w:rFonts w:ascii="Times New Roman" w:hAnsi="Times New Roman"/>
          <w:noProof/>
          <w:sz w:val="24"/>
        </w:rPr>
        <w:t xml:space="preserve"> byłych pracowników, którzy uczestniczyli</w:t>
      </w:r>
      <w:r w:rsidR="00332C06">
        <w:rPr>
          <w:rFonts w:ascii="Times New Roman" w:hAnsi="Times New Roman"/>
          <w:noProof/>
          <w:sz w:val="24"/>
        </w:rPr>
        <w:t xml:space="preserve"> w uni</w:t>
      </w:r>
      <w:r>
        <w:rPr>
          <w:rFonts w:ascii="Times New Roman" w:hAnsi="Times New Roman"/>
          <w:noProof/>
          <w:sz w:val="24"/>
        </w:rPr>
        <w:t>jnym systemie ubezpieczenia od bezrobocia przed zakończeniem okresu przejściowego, jeżeli mieszkają</w:t>
      </w:r>
      <w:r w:rsidR="00332C06">
        <w:rPr>
          <w:rFonts w:ascii="Times New Roman" w:hAnsi="Times New Roman"/>
          <w:noProof/>
          <w:sz w:val="24"/>
        </w:rPr>
        <w:t xml:space="preserve"> w Zje</w:t>
      </w:r>
      <w:r>
        <w:rPr>
          <w:rFonts w:ascii="Times New Roman" w:hAnsi="Times New Roman"/>
          <w:noProof/>
          <w:sz w:val="24"/>
        </w:rPr>
        <w:t>dnoczonym Królestwie</w:t>
      </w:r>
      <w:r w:rsidR="00332C06">
        <w:rPr>
          <w:rFonts w:ascii="Times New Roman" w:hAnsi="Times New Roman"/>
          <w:noProof/>
          <w:sz w:val="24"/>
        </w:rPr>
        <w:t xml:space="preserve"> i zos</w:t>
      </w:r>
      <w:r>
        <w:rPr>
          <w:rFonts w:ascii="Times New Roman" w:hAnsi="Times New Roman"/>
          <w:noProof/>
          <w:sz w:val="24"/>
        </w:rPr>
        <w:t>tali zarejestrowani przez służby ds. bezrobocia</w:t>
      </w:r>
      <w:r w:rsidR="00332C06">
        <w:rPr>
          <w:rFonts w:ascii="Times New Roman" w:hAnsi="Times New Roman"/>
          <w:noProof/>
          <w:sz w:val="24"/>
        </w:rPr>
        <w:t xml:space="preserve"> w Zje</w:t>
      </w:r>
      <w:r>
        <w:rPr>
          <w:rFonts w:ascii="Times New Roman" w:hAnsi="Times New Roman"/>
          <w:noProof/>
          <w:sz w:val="24"/>
        </w:rPr>
        <w:t xml:space="preserve">dnoczonym Królestwie. </w:t>
      </w:r>
    </w:p>
    <w:p w14:paraId="1D450AF4" w14:textId="39DBBDDE" w:rsidR="00F679B3" w:rsidRDefault="00F679B3" w:rsidP="002F66EB">
      <w:pPr>
        <w:pStyle w:val="Heading1"/>
        <w:numPr>
          <w:ilvl w:val="0"/>
          <w:numId w:val="9"/>
        </w:numPr>
        <w:rPr>
          <w:noProof/>
        </w:rPr>
      </w:pPr>
      <w:r>
        <w:rPr>
          <w:noProof/>
        </w:rPr>
        <w:lastRenderedPageBreak/>
        <w:t>WNIOSKI</w:t>
      </w:r>
    </w:p>
    <w:p w14:paraId="6B7B5757" w14:textId="77777777" w:rsidR="00030837" w:rsidRPr="00332C06" w:rsidRDefault="00030837" w:rsidP="00030837">
      <w:pPr>
        <w:pStyle w:val="ListParagraph"/>
        <w:keepNext/>
        <w:numPr>
          <w:ilvl w:val="0"/>
          <w:numId w:val="2"/>
        </w:numPr>
        <w:spacing w:before="120" w:after="120" w:line="240" w:lineRule="auto"/>
        <w:contextualSpacing w:val="0"/>
        <w:jc w:val="both"/>
        <w:outlineLvl w:val="1"/>
        <w:rPr>
          <w:rFonts w:ascii="Times New Roman" w:eastAsia="Times New Roman" w:hAnsi="Times New Roman" w:cs="Times New Roman"/>
          <w:b/>
          <w:bCs/>
          <w:iCs/>
          <w:noProof/>
          <w:sz w:val="24"/>
          <w:szCs w:val="28"/>
        </w:rPr>
      </w:pPr>
    </w:p>
    <w:p w14:paraId="2E3A5295" w14:textId="7A92C422" w:rsidR="000353EE" w:rsidRPr="000C1B73" w:rsidRDefault="000353EE" w:rsidP="00030837">
      <w:pPr>
        <w:pStyle w:val="Heading2"/>
        <w:rPr>
          <w:noProof/>
        </w:rPr>
      </w:pPr>
      <w:r>
        <w:rPr>
          <w:noProof/>
        </w:rPr>
        <w:t>Lata 2017–2022</w:t>
      </w:r>
    </w:p>
    <w:p w14:paraId="0180E6C9" w14:textId="23056EE9" w:rsidR="04C3FA91" w:rsidRDefault="54C90C18" w:rsidP="2842A3DB">
      <w:pPr>
        <w:spacing w:after="200" w:line="276"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Ogólnie rzecz biorąc, fundusz odnotowywał</w:t>
      </w:r>
      <w:r>
        <w:rPr>
          <w:rFonts w:ascii="Times New Roman" w:hAnsi="Times New Roman"/>
          <w:noProof/>
          <w:color w:val="000000" w:themeColor="text1"/>
          <w:sz w:val="24"/>
        </w:rPr>
        <w:t xml:space="preserve"> dodatnie wyniki bieżące</w:t>
      </w:r>
      <w:r w:rsidR="00332C06">
        <w:rPr>
          <w:rFonts w:ascii="Times New Roman" w:hAnsi="Times New Roman"/>
          <w:noProof/>
          <w:color w:val="000000" w:themeColor="text1"/>
          <w:sz w:val="24"/>
        </w:rPr>
        <w:t xml:space="preserve"> </w:t>
      </w:r>
      <w:r w:rsidR="00332C06">
        <w:rPr>
          <w:rFonts w:ascii="Times New Roman" w:hAnsi="Times New Roman"/>
          <w:noProof/>
          <w:sz w:val="24"/>
        </w:rPr>
        <w:t>w</w:t>
      </w:r>
      <w:r w:rsidR="00332C06">
        <w:rPr>
          <w:rFonts w:ascii="Times New Roman" w:hAnsi="Times New Roman"/>
          <w:noProof/>
          <w:color w:val="000000" w:themeColor="text1"/>
          <w:sz w:val="24"/>
        </w:rPr>
        <w:t> </w:t>
      </w:r>
      <w:r w:rsidR="00332C06">
        <w:rPr>
          <w:rFonts w:ascii="Times New Roman" w:hAnsi="Times New Roman"/>
          <w:noProof/>
          <w:sz w:val="24"/>
        </w:rPr>
        <w:t>lat</w:t>
      </w:r>
      <w:r>
        <w:rPr>
          <w:rFonts w:ascii="Times New Roman" w:hAnsi="Times New Roman"/>
          <w:noProof/>
          <w:sz w:val="24"/>
        </w:rPr>
        <w:t>ach 2017–2022</w:t>
      </w:r>
      <w:r>
        <w:rPr>
          <w:rFonts w:ascii="Times New Roman" w:hAnsi="Times New Roman"/>
          <w:noProof/>
          <w:color w:val="000000" w:themeColor="text1"/>
          <w:sz w:val="24"/>
        </w:rPr>
        <w:t>. Na przestrzeni ostatnich dwóch lat zaobserwowano</w:t>
      </w:r>
      <w:r w:rsidR="00332C06">
        <w:rPr>
          <w:rFonts w:ascii="Times New Roman" w:hAnsi="Times New Roman"/>
          <w:noProof/>
          <w:color w:val="000000" w:themeColor="text1"/>
          <w:sz w:val="24"/>
        </w:rPr>
        <w:t xml:space="preserve"> w szc</w:t>
      </w:r>
      <w:r>
        <w:rPr>
          <w:rFonts w:ascii="Times New Roman" w:hAnsi="Times New Roman"/>
          <w:noProof/>
          <w:color w:val="000000" w:themeColor="text1"/>
          <w:sz w:val="24"/>
        </w:rPr>
        <w:t>zególności znaczący wzrost składek, które</w:t>
      </w:r>
      <w:r w:rsidR="00332C06">
        <w:rPr>
          <w:rFonts w:ascii="Times New Roman" w:hAnsi="Times New Roman"/>
          <w:noProof/>
          <w:color w:val="000000" w:themeColor="text1"/>
          <w:sz w:val="24"/>
        </w:rPr>
        <w:t xml:space="preserve"> w 2</w:t>
      </w:r>
      <w:r>
        <w:rPr>
          <w:rFonts w:ascii="Times New Roman" w:hAnsi="Times New Roman"/>
          <w:noProof/>
          <w:color w:val="000000" w:themeColor="text1"/>
          <w:sz w:val="24"/>
        </w:rPr>
        <w:t>0</w:t>
      </w:r>
      <w:r w:rsidRPr="00332C06">
        <w:rPr>
          <w:rFonts w:ascii="Times New Roman" w:hAnsi="Times New Roman"/>
          <w:noProof/>
          <w:color w:val="000000" w:themeColor="text1"/>
          <w:sz w:val="24"/>
        </w:rPr>
        <w:t>22</w:t>
      </w:r>
      <w:r w:rsidR="00332C06" w:rsidRPr="00332C06">
        <w:rPr>
          <w:rFonts w:ascii="Times New Roman" w:hAnsi="Times New Roman"/>
          <w:noProof/>
          <w:color w:val="000000" w:themeColor="text1"/>
          <w:sz w:val="24"/>
        </w:rPr>
        <w:t> </w:t>
      </w:r>
      <w:r w:rsidRPr="00332C06">
        <w:rPr>
          <w:rFonts w:ascii="Times New Roman" w:hAnsi="Times New Roman"/>
          <w:noProof/>
          <w:color w:val="000000" w:themeColor="text1"/>
          <w:sz w:val="24"/>
        </w:rPr>
        <w:t>r.</w:t>
      </w:r>
      <w:r>
        <w:rPr>
          <w:rFonts w:ascii="Times New Roman" w:hAnsi="Times New Roman"/>
          <w:noProof/>
          <w:color w:val="000000" w:themeColor="text1"/>
          <w:sz w:val="24"/>
        </w:rPr>
        <w:t xml:space="preserve"> osiągnęły kwotę niemal 20 mln EUR.</w:t>
      </w:r>
    </w:p>
    <w:p w14:paraId="6641E251" w14:textId="6B42B059" w:rsidR="6219607A" w:rsidRDefault="6219607A" w:rsidP="2842A3DB">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Wynik bieżący funduszu wywarł wpływ na saldo skumulowane. Według stanu na koniec 20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fundusz zgromadził rezerwę wynoszącą ponad 60 mln EUR. </w:t>
      </w:r>
    </w:p>
    <w:p w14:paraId="731E79DA" w14:textId="350950D7" w:rsidR="2842A3DB" w:rsidRDefault="2842A3DB" w:rsidP="2842A3DB">
      <w:pPr>
        <w:spacing w:after="0" w:line="276" w:lineRule="auto"/>
        <w:jc w:val="both"/>
        <w:rPr>
          <w:rFonts w:ascii="Times New Roman" w:eastAsia="Times New Roman" w:hAnsi="Times New Roman" w:cs="Times New Roman"/>
          <w:noProof/>
          <w:sz w:val="24"/>
          <w:szCs w:val="24"/>
        </w:rPr>
      </w:pPr>
    </w:p>
    <w:p w14:paraId="744936F7" w14:textId="21B3CCFD" w:rsidR="2D9E33B2" w:rsidRDefault="223EB62B" w:rsidP="451BF165">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Pod koniec 20</w:t>
      </w:r>
      <w:r w:rsidRPr="00332C06">
        <w:rPr>
          <w:rFonts w:ascii="Times New Roman" w:hAnsi="Times New Roman"/>
          <w:noProof/>
          <w:sz w:val="24"/>
        </w:rPr>
        <w:t>22</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Komisja postanowiła zainwestować 50 mln EUR zgodnie</w:t>
      </w:r>
      <w:r w:rsidR="00332C06">
        <w:rPr>
          <w:rFonts w:ascii="Times New Roman" w:hAnsi="Times New Roman"/>
          <w:noProof/>
          <w:sz w:val="24"/>
        </w:rPr>
        <w:t xml:space="preserve"> z upr</w:t>
      </w:r>
      <w:r>
        <w:rPr>
          <w:rFonts w:ascii="Times New Roman" w:hAnsi="Times New Roman"/>
          <w:noProof/>
          <w:sz w:val="24"/>
        </w:rPr>
        <w:t>awnieniami inwestycyjnymi przysługującymi jej względem funduszu, aby ochronić rezerwę przed negatywnym wpływem inflacji. Transakcję zrealizowano</w:t>
      </w:r>
      <w:r w:rsidR="00332C06">
        <w:rPr>
          <w:rFonts w:ascii="Times New Roman" w:hAnsi="Times New Roman"/>
          <w:noProof/>
          <w:sz w:val="24"/>
        </w:rPr>
        <w:t xml:space="preserve"> w 2</w:t>
      </w:r>
      <w:r>
        <w:rPr>
          <w:rFonts w:ascii="Times New Roman" w:hAnsi="Times New Roman"/>
          <w:noProof/>
          <w:sz w:val="24"/>
        </w:rPr>
        <w:t>0</w:t>
      </w:r>
      <w:r w:rsidRPr="00332C06">
        <w:rPr>
          <w:rFonts w:ascii="Times New Roman" w:hAnsi="Times New Roman"/>
          <w:noProof/>
          <w:sz w:val="24"/>
        </w:rPr>
        <w:t>23</w:t>
      </w:r>
      <w:r w:rsidR="00332C06" w:rsidRPr="00332C06">
        <w:rPr>
          <w:rFonts w:ascii="Times New Roman" w:hAnsi="Times New Roman"/>
          <w:noProof/>
          <w:sz w:val="24"/>
        </w:rPr>
        <w:t> </w:t>
      </w:r>
      <w:r w:rsidRPr="00332C06">
        <w:rPr>
          <w:rFonts w:ascii="Times New Roman" w:hAnsi="Times New Roman"/>
          <w:noProof/>
          <w:sz w:val="24"/>
        </w:rPr>
        <w:t>r.</w:t>
      </w:r>
      <w:r>
        <w:rPr>
          <w:rFonts w:ascii="Times New Roman" w:hAnsi="Times New Roman"/>
          <w:noProof/>
          <w:sz w:val="24"/>
        </w:rPr>
        <w:t xml:space="preserve"> </w:t>
      </w:r>
    </w:p>
    <w:p w14:paraId="405AE757" w14:textId="18B5F540" w:rsidR="404451A5" w:rsidRDefault="404451A5" w:rsidP="2842A3DB">
      <w:pPr>
        <w:rPr>
          <w:rFonts w:ascii="Times New Roman" w:eastAsia="Times New Roman" w:hAnsi="Times New Roman" w:cs="Times New Roman"/>
          <w:noProof/>
          <w:sz w:val="24"/>
          <w:szCs w:val="24"/>
        </w:rPr>
      </w:pPr>
    </w:p>
    <w:p w14:paraId="27165325" w14:textId="5CD2D26A" w:rsidR="000353EE" w:rsidRPr="000C1B73" w:rsidRDefault="000353EE" w:rsidP="005661D8">
      <w:pPr>
        <w:pStyle w:val="Heading2"/>
        <w:rPr>
          <w:noProof/>
        </w:rPr>
      </w:pPr>
      <w:r>
        <w:rPr>
          <w:noProof/>
        </w:rPr>
        <w:t>Fundusz dla bezrobotnych</w:t>
      </w:r>
      <w:r w:rsidR="00332C06">
        <w:rPr>
          <w:noProof/>
        </w:rPr>
        <w:t xml:space="preserve"> w per</w:t>
      </w:r>
      <w:r>
        <w:rPr>
          <w:noProof/>
        </w:rPr>
        <w:t>spektywie krótko-</w:t>
      </w:r>
      <w:r w:rsidR="00332C06">
        <w:rPr>
          <w:noProof/>
        </w:rPr>
        <w:t xml:space="preserve"> i śre</w:t>
      </w:r>
      <w:r>
        <w:rPr>
          <w:noProof/>
        </w:rPr>
        <w:t>dnioterminowej</w:t>
      </w:r>
    </w:p>
    <w:p w14:paraId="5A168162" w14:textId="7A7B2921" w:rsidR="000542FE" w:rsidRPr="00162748" w:rsidRDefault="655F2AA4" w:rsidP="00162748">
      <w:pPr>
        <w:keepNext/>
        <w:keepLines/>
        <w:jc w:val="both"/>
        <w:rPr>
          <w:rFonts w:ascii="Times New Roman" w:hAnsi="Times New Roman"/>
          <w:noProof/>
          <w:sz w:val="24"/>
          <w:szCs w:val="24"/>
        </w:rPr>
      </w:pPr>
      <w:r>
        <w:rPr>
          <w:rFonts w:ascii="Times New Roman" w:hAnsi="Times New Roman"/>
          <w:noProof/>
          <w:sz w:val="24"/>
        </w:rPr>
        <w:t>Na podstawie spostrzeżeń przedstawionych</w:t>
      </w:r>
      <w:r w:rsidR="00332C06">
        <w:rPr>
          <w:rFonts w:ascii="Times New Roman" w:hAnsi="Times New Roman"/>
          <w:noProof/>
          <w:sz w:val="24"/>
        </w:rPr>
        <w:t xml:space="preserve"> w spr</w:t>
      </w:r>
      <w:r>
        <w:rPr>
          <w:rFonts w:ascii="Times New Roman" w:hAnsi="Times New Roman"/>
          <w:noProof/>
          <w:sz w:val="24"/>
        </w:rPr>
        <w:t>awozdaniu można oczekiwać dalszego zwiększania się kwoty skumulowanej rezerwy. Przewiduje się, że kwota skumulowanej rezerwy byłaby wystarczająca do zaspokojenia bieżących potrzeb funduszu,</w:t>
      </w:r>
      <w:r w:rsidR="00332C06">
        <w:rPr>
          <w:rFonts w:ascii="Times New Roman" w:hAnsi="Times New Roman"/>
          <w:noProof/>
          <w:sz w:val="24"/>
        </w:rPr>
        <w:t xml:space="preserve"> w tym</w:t>
      </w:r>
      <w:r>
        <w:rPr>
          <w:rFonts w:ascii="Times New Roman" w:hAnsi="Times New Roman"/>
          <w:noProof/>
          <w:sz w:val="24"/>
        </w:rPr>
        <w:t xml:space="preserve"> okresowych wahań związanych</w:t>
      </w:r>
      <w:r w:rsidR="00332C06">
        <w:rPr>
          <w:rFonts w:ascii="Times New Roman" w:hAnsi="Times New Roman"/>
          <w:noProof/>
          <w:sz w:val="24"/>
        </w:rPr>
        <w:t xml:space="preserve"> z zak</w:t>
      </w:r>
      <w:r>
        <w:rPr>
          <w:rFonts w:ascii="Times New Roman" w:hAnsi="Times New Roman"/>
          <w:noProof/>
          <w:sz w:val="24"/>
        </w:rPr>
        <w:t>ończeniem obecnej kadencji Parlamentu oraz nowym mandatem kolegium komisarzy</w:t>
      </w:r>
      <w:r w:rsidR="00332C06">
        <w:rPr>
          <w:rFonts w:ascii="Times New Roman" w:hAnsi="Times New Roman"/>
          <w:noProof/>
          <w:sz w:val="24"/>
        </w:rPr>
        <w:t xml:space="preserve"> w lat</w:t>
      </w:r>
      <w:r>
        <w:rPr>
          <w:rFonts w:ascii="Times New Roman" w:hAnsi="Times New Roman"/>
          <w:noProof/>
          <w:sz w:val="24"/>
        </w:rPr>
        <w:t xml:space="preserve">ach 2024–2025, przez szereg lat. </w:t>
      </w:r>
    </w:p>
    <w:p w14:paraId="3EC916CC" w14:textId="35C0C3B6" w:rsidR="00936A67" w:rsidRPr="003D7C48" w:rsidRDefault="00936A67" w:rsidP="00936A67">
      <w:pPr>
        <w:spacing w:after="0" w:line="276" w:lineRule="auto"/>
        <w:jc w:val="both"/>
        <w:rPr>
          <w:rFonts w:ascii="Times New Roman" w:eastAsia="Times New Roman" w:hAnsi="Times New Roman" w:cs="Times New Roman"/>
          <w:noProof/>
          <w:sz w:val="24"/>
          <w:szCs w:val="24"/>
        </w:rPr>
      </w:pPr>
      <w:r>
        <w:rPr>
          <w:rFonts w:ascii="Times New Roman" w:hAnsi="Times New Roman"/>
          <w:noProof/>
          <w:sz w:val="24"/>
        </w:rPr>
        <w:t>W związku</w:t>
      </w:r>
      <w:r w:rsidR="00332C06">
        <w:rPr>
          <w:rFonts w:ascii="Times New Roman" w:hAnsi="Times New Roman"/>
          <w:noProof/>
          <w:sz w:val="24"/>
        </w:rPr>
        <w:t xml:space="preserve"> z pow</w:t>
      </w:r>
      <w:r>
        <w:rPr>
          <w:rFonts w:ascii="Times New Roman" w:hAnsi="Times New Roman"/>
          <w:noProof/>
          <w:sz w:val="24"/>
        </w:rPr>
        <w:t>yższym, aby zapewnić równowagę finansową funduszu, Komisja rozważy możliwość zaproponowania korekty składek na rzecz systemu ubezpieczenia od bezrobocia</w:t>
      </w:r>
      <w:r w:rsidR="00332C06">
        <w:rPr>
          <w:rFonts w:ascii="Times New Roman" w:hAnsi="Times New Roman"/>
          <w:noProof/>
          <w:sz w:val="24"/>
        </w:rPr>
        <w:t xml:space="preserve"> w dro</w:t>
      </w:r>
      <w:r>
        <w:rPr>
          <w:rFonts w:ascii="Times New Roman" w:hAnsi="Times New Roman"/>
          <w:noProof/>
          <w:sz w:val="24"/>
        </w:rPr>
        <w:t>dze aktu delegowanego zgodnie</w:t>
      </w:r>
      <w:r w:rsidR="00332C06">
        <w:rPr>
          <w:rFonts w:ascii="Times New Roman" w:hAnsi="Times New Roman"/>
          <w:noProof/>
          <w:sz w:val="24"/>
        </w:rPr>
        <w:t xml:space="preserve"> z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2</w:t>
      </w:r>
      <w:r>
        <w:rPr>
          <w:rFonts w:ascii="Times New Roman" w:hAnsi="Times New Roman"/>
          <w:noProof/>
          <w:sz w:val="24"/>
        </w:rPr>
        <w:t xml:space="preserve">8a </w:t>
      </w:r>
      <w:r w:rsidRPr="00332C06">
        <w:rPr>
          <w:rFonts w:ascii="Times New Roman" w:hAnsi="Times New Roman"/>
          <w:noProof/>
          <w:sz w:val="24"/>
        </w:rPr>
        <w:t>ust.</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1</w:t>
      </w:r>
      <w:r w:rsidR="00332C06">
        <w:rPr>
          <w:rFonts w:ascii="Times New Roman" w:hAnsi="Times New Roman"/>
          <w:noProof/>
          <w:sz w:val="24"/>
        </w:rPr>
        <w:t xml:space="preserve"> i </w:t>
      </w:r>
      <w:r w:rsidR="00332C06" w:rsidRPr="00332C06">
        <w:rPr>
          <w:rFonts w:ascii="Times New Roman" w:hAnsi="Times New Roman"/>
          <w:noProof/>
          <w:sz w:val="24"/>
        </w:rPr>
        <w:t>art</w:t>
      </w:r>
      <w:r w:rsidRPr="00332C06">
        <w:rPr>
          <w:rFonts w:ascii="Times New Roman" w:hAnsi="Times New Roman"/>
          <w:noProof/>
          <w:sz w:val="24"/>
        </w:rPr>
        <w:t>.</w:t>
      </w:r>
      <w:r w:rsidR="00332C06" w:rsidRPr="00332C06">
        <w:rPr>
          <w:rFonts w:ascii="Times New Roman" w:hAnsi="Times New Roman"/>
          <w:noProof/>
          <w:sz w:val="24"/>
        </w:rPr>
        <w:t> </w:t>
      </w:r>
      <w:r w:rsidRPr="00332C06">
        <w:rPr>
          <w:rFonts w:ascii="Times New Roman" w:hAnsi="Times New Roman"/>
          <w:noProof/>
          <w:sz w:val="24"/>
        </w:rPr>
        <w:t>9</w:t>
      </w:r>
      <w:r>
        <w:rPr>
          <w:rFonts w:ascii="Times New Roman" w:hAnsi="Times New Roman"/>
          <w:noProof/>
          <w:sz w:val="24"/>
        </w:rPr>
        <w:t xml:space="preserve">6 </w:t>
      </w:r>
      <w:r w:rsidRPr="00332C06">
        <w:rPr>
          <w:rFonts w:ascii="Times New Roman" w:hAnsi="Times New Roman"/>
          <w:noProof/>
          <w:sz w:val="24"/>
        </w:rPr>
        <w:t>ust.</w:t>
      </w:r>
      <w:r w:rsidR="00332C06" w:rsidRPr="00332C06">
        <w:rPr>
          <w:rFonts w:ascii="Times New Roman" w:hAnsi="Times New Roman"/>
          <w:noProof/>
          <w:sz w:val="24"/>
        </w:rPr>
        <w:t> </w:t>
      </w:r>
      <w:r w:rsidRPr="00332C06">
        <w:rPr>
          <w:rFonts w:ascii="Times New Roman" w:hAnsi="Times New Roman"/>
          <w:noProof/>
          <w:sz w:val="24"/>
        </w:rPr>
        <w:t>1</w:t>
      </w:r>
      <w:r>
        <w:rPr>
          <w:rFonts w:ascii="Times New Roman" w:hAnsi="Times New Roman"/>
          <w:noProof/>
          <w:sz w:val="24"/>
        </w:rPr>
        <w:t xml:space="preserve">1 warunków zatrudnienia innych pracowników Unii Europejskiej. </w:t>
      </w:r>
    </w:p>
    <w:p w14:paraId="4407E597" w14:textId="77777777" w:rsidR="00936A67" w:rsidRDefault="00936A67" w:rsidP="00936A67">
      <w:pPr>
        <w:spacing w:after="0" w:line="276" w:lineRule="auto"/>
        <w:jc w:val="both"/>
        <w:rPr>
          <w:noProof/>
        </w:rPr>
      </w:pPr>
    </w:p>
    <w:p w14:paraId="784BD275" w14:textId="1DABAA3D" w:rsidR="000542FE" w:rsidRPr="00C21668" w:rsidRDefault="000542FE" w:rsidP="3D8654D2">
      <w:pPr>
        <w:spacing w:after="0" w:line="276" w:lineRule="auto"/>
        <w:jc w:val="both"/>
        <w:rPr>
          <w:rFonts w:ascii="Times New Roman" w:eastAsia="Times New Roman" w:hAnsi="Times New Roman" w:cs="Times New Roman"/>
          <w:noProof/>
          <w:sz w:val="24"/>
          <w:szCs w:val="24"/>
        </w:rPr>
      </w:pPr>
    </w:p>
    <w:sectPr w:rsidR="000542FE" w:rsidRPr="00C21668">
      <w:headerReference w:type="even" r:id="rId73"/>
      <w:headerReference w:type="default" r:id="rId74"/>
      <w:footerReference w:type="even" r:id="rId75"/>
      <w:footerReference w:type="default" r:id="rId76"/>
      <w:headerReference w:type="first" r:id="rId77"/>
      <w:footerReference w:type="first" r:id="rId78"/>
      <w:pgSz w:w="11907" w:h="1683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AAB14" w14:textId="77777777" w:rsidR="00745564" w:rsidRDefault="00745564" w:rsidP="008206F0">
      <w:pPr>
        <w:spacing w:after="0" w:line="240" w:lineRule="auto"/>
      </w:pPr>
      <w:r>
        <w:separator/>
      </w:r>
    </w:p>
  </w:endnote>
  <w:endnote w:type="continuationSeparator" w:id="0">
    <w:p w14:paraId="0D72F896" w14:textId="77777777" w:rsidR="00745564" w:rsidRDefault="00745564" w:rsidP="008206F0">
      <w:pPr>
        <w:spacing w:after="0" w:line="240" w:lineRule="auto"/>
      </w:pPr>
      <w:r>
        <w:continuationSeparator/>
      </w:r>
    </w:p>
  </w:endnote>
  <w:endnote w:type="continuationNotice" w:id="1">
    <w:p w14:paraId="2B45A743" w14:textId="77777777" w:rsidR="00745564" w:rsidRDefault="00745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6216" w14:textId="59DA9692" w:rsidR="00DA42A4" w:rsidRPr="00DA42A4" w:rsidRDefault="00DA42A4" w:rsidP="00DA42A4">
    <w:pPr>
      <w:pStyle w:val="FooterCoverPage"/>
      <w:rPr>
        <w:rFonts w:ascii="Arial" w:hAnsi="Arial" w:cs="Arial"/>
        <w:b/>
        <w:sz w:val="48"/>
      </w:rPr>
    </w:pPr>
    <w:r w:rsidRPr="00DA42A4">
      <w:rPr>
        <w:rFonts w:ascii="Arial" w:hAnsi="Arial" w:cs="Arial"/>
        <w:b/>
        <w:sz w:val="48"/>
      </w:rPr>
      <w:t>PL</w:t>
    </w:r>
    <w:r w:rsidRPr="00DA42A4">
      <w:rPr>
        <w:rFonts w:ascii="Arial" w:hAnsi="Arial" w:cs="Arial"/>
        <w:b/>
        <w:sz w:val="48"/>
      </w:rPr>
      <w:tab/>
    </w:r>
    <w:r w:rsidRPr="00DA42A4">
      <w:rPr>
        <w:rFonts w:ascii="Arial" w:hAnsi="Arial" w:cs="Arial"/>
        <w:b/>
        <w:sz w:val="48"/>
      </w:rPr>
      <w:tab/>
    </w:r>
    <w:r w:rsidRPr="00DA42A4">
      <w:tab/>
    </w:r>
    <w:r w:rsidRPr="00DA42A4">
      <w:rPr>
        <w:rFonts w:ascii="Arial" w:hAnsi="Arial" w:cs="Arial"/>
        <w:b/>
        <w:sz w:val="48"/>
      </w:rPr>
      <w:t>PL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F961" w14:textId="77777777" w:rsidR="00D04C77" w:rsidRDefault="00D04C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3349" w14:textId="2E0F2ABA" w:rsidR="00F679B3" w:rsidRPr="00B2148C" w:rsidRDefault="00F679B3">
    <w:pPr>
      <w:pStyle w:val="Footer"/>
      <w:rPr>
        <w:rFonts w:ascii="Arial" w:hAnsi="Arial" w:cs="Arial"/>
        <w:b/>
        <w:sz w:val="48"/>
      </w:rPr>
    </w:pPr>
    <w:r>
      <w:tab/>
    </w:r>
    <w:r>
      <w:fldChar w:fldCharType="begin"/>
    </w:r>
    <w:r>
      <w:instrText xml:space="preserve"> PAGE  \* MERGEFORMAT </w:instrText>
    </w:r>
    <w:r>
      <w:fldChar w:fldCharType="separate"/>
    </w:r>
    <w:r w:rsidR="00EB415F">
      <w:rPr>
        <w:noProof/>
      </w:rPr>
      <w:t>13</w:t>
    </w:r>
    <w:r>
      <w:fldChar w:fldCharType="end"/>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6F2D" w14:textId="77777777" w:rsidR="00F679B3" w:rsidRPr="00B2148C" w:rsidRDefault="00F679B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E06C" w14:textId="77777777" w:rsidR="00D04C77" w:rsidRDefault="00D04C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BCD7" w14:textId="393CA2E2" w:rsidR="00F679B3" w:rsidRPr="00B2148C" w:rsidRDefault="00F679B3">
    <w:pPr>
      <w:pStyle w:val="FooterLandscape"/>
      <w:rPr>
        <w:rFonts w:ascii="Arial" w:hAnsi="Arial" w:cs="Arial"/>
        <w:b/>
        <w:sz w:val="48"/>
      </w:rPr>
    </w:pPr>
    <w:r>
      <w:tab/>
    </w:r>
    <w:r>
      <w:fldChar w:fldCharType="begin"/>
    </w:r>
    <w:r>
      <w:instrText xml:space="preserve"> PAGE  \* MERGEFORMAT </w:instrText>
    </w:r>
    <w:r>
      <w:fldChar w:fldCharType="separate"/>
    </w:r>
    <w:r w:rsidR="00EB415F">
      <w:rPr>
        <w:noProof/>
      </w:rPr>
      <w:t>14</w:t>
    </w:r>
    <w:r>
      <w:fldChar w:fldCharType="end"/>
    </w:r>
    <w:r>
      <w:tab/>
    </w: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B658" w14:textId="77777777" w:rsidR="00F679B3" w:rsidRPr="00B2148C" w:rsidRDefault="00F679B3">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8F0E" w14:textId="77777777" w:rsidR="00D04C77" w:rsidRDefault="00D04C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E610" w14:textId="79E7FA7B" w:rsidR="00F679B3" w:rsidRPr="00B2148C" w:rsidRDefault="00F679B3">
    <w:pPr>
      <w:pStyle w:val="Footer"/>
      <w:rPr>
        <w:rFonts w:ascii="Arial" w:hAnsi="Arial" w:cs="Arial"/>
        <w:b/>
        <w:sz w:val="48"/>
      </w:rPr>
    </w:pPr>
    <w:r>
      <w:tab/>
    </w:r>
    <w:r>
      <w:fldChar w:fldCharType="begin"/>
    </w:r>
    <w:r>
      <w:instrText xml:space="preserve"> PAGE  \* MERGEFORMAT </w:instrText>
    </w:r>
    <w:r>
      <w:fldChar w:fldCharType="separate"/>
    </w:r>
    <w:r w:rsidR="00EB415F">
      <w:rPr>
        <w:noProof/>
      </w:rPr>
      <w:t>15</w:t>
    </w:r>
    <w:r>
      <w:fldChar w:fldCharType="end"/>
    </w:r>
    <w:r>
      <w:tab/>
    </w:r>
    <w:r>
      <w:tab/>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45DCD" w14:textId="77777777" w:rsidR="00F679B3" w:rsidRPr="00B2148C" w:rsidRDefault="00F679B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D0AC" w14:textId="77777777" w:rsidR="00D04C77" w:rsidRDefault="00D04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E6684" w14:textId="12B41411" w:rsidR="00DA42A4" w:rsidRPr="00DA42A4" w:rsidRDefault="00DA42A4" w:rsidP="00DA42A4">
    <w:pPr>
      <w:pStyle w:val="FooterCoverPage"/>
      <w:rPr>
        <w:rFonts w:ascii="Arial" w:hAnsi="Arial" w:cs="Arial"/>
        <w:b/>
        <w:sz w:val="48"/>
      </w:rPr>
    </w:pPr>
    <w:r w:rsidRPr="00DA42A4">
      <w:rPr>
        <w:rFonts w:ascii="Arial" w:hAnsi="Arial" w:cs="Arial"/>
        <w:b/>
        <w:sz w:val="48"/>
      </w:rPr>
      <w:t>PL</w:t>
    </w:r>
    <w:r w:rsidRPr="00DA42A4">
      <w:rPr>
        <w:rFonts w:ascii="Arial" w:hAnsi="Arial" w:cs="Arial"/>
        <w:b/>
        <w:sz w:val="48"/>
      </w:rPr>
      <w:tab/>
    </w:r>
    <w:r w:rsidRPr="00DA42A4">
      <w:rPr>
        <w:rFonts w:ascii="Arial" w:hAnsi="Arial" w:cs="Arial"/>
        <w:b/>
        <w:sz w:val="48"/>
      </w:rPr>
      <w:tab/>
    </w:r>
    <w:r w:rsidRPr="00DA42A4">
      <w:tab/>
    </w:r>
    <w:r w:rsidRPr="00DA42A4">
      <w:rPr>
        <w:rFonts w:ascii="Arial" w:hAnsi="Arial" w:cs="Arial"/>
        <w:b/>
        <w:sz w:val="48"/>
      </w:rPr>
      <w:t>PL</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D3258" w14:textId="52D84EE7" w:rsidR="00F679B3" w:rsidRPr="00B2148C" w:rsidRDefault="00F679B3">
    <w:pPr>
      <w:pStyle w:val="FooterLandscape"/>
      <w:rPr>
        <w:rFonts w:ascii="Arial" w:hAnsi="Arial" w:cs="Arial"/>
        <w:b/>
        <w:sz w:val="48"/>
      </w:rPr>
    </w:pPr>
    <w:r>
      <w:tab/>
    </w:r>
    <w:r>
      <w:fldChar w:fldCharType="begin"/>
    </w:r>
    <w:r>
      <w:instrText xml:space="preserve"> PAGE  \* MERGEFORMAT </w:instrText>
    </w:r>
    <w:r>
      <w:fldChar w:fldCharType="separate"/>
    </w:r>
    <w:r w:rsidR="00EB415F">
      <w:rPr>
        <w:noProof/>
      </w:rPr>
      <w:t>16</w:t>
    </w:r>
    <w:r>
      <w:fldChar w:fldCharType="end"/>
    </w:r>
    <w:r>
      <w:tab/>
    </w:r>
    <w:r>
      <w:tab/>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9A37" w14:textId="77777777" w:rsidR="00F679B3" w:rsidRPr="00B2148C" w:rsidRDefault="00F679B3">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8315" w14:textId="77777777" w:rsidR="00D04C77" w:rsidRDefault="00D04C77">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0D06" w14:textId="03011332" w:rsidR="00792D5D" w:rsidRPr="00B2148C" w:rsidRDefault="000A5A60">
    <w:pPr>
      <w:pStyle w:val="Footer"/>
      <w:rPr>
        <w:rFonts w:ascii="Arial" w:hAnsi="Arial" w:cs="Arial"/>
        <w:b/>
        <w:sz w:val="48"/>
      </w:rPr>
    </w:pPr>
    <w:r>
      <w:tab/>
    </w:r>
    <w:r>
      <w:fldChar w:fldCharType="begin"/>
    </w:r>
    <w:r>
      <w:instrText xml:space="preserve"> PAGE  \* MERGEFORMAT </w:instrText>
    </w:r>
    <w:r>
      <w:fldChar w:fldCharType="separate"/>
    </w:r>
    <w:r w:rsidR="00EB415F">
      <w:rPr>
        <w:noProof/>
      </w:rPr>
      <w:t>21</w:t>
    </w:r>
    <w:r>
      <w:fldChar w:fldCharType="end"/>
    </w:r>
    <w:r>
      <w:tab/>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0B76" w14:textId="77777777" w:rsidR="00792D5D" w:rsidRPr="00B2148C" w:rsidRDefault="00792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3125" w14:textId="77777777" w:rsidR="00DA42A4" w:rsidRPr="00DA42A4" w:rsidRDefault="00DA42A4" w:rsidP="00DA42A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29E31" w14:textId="77777777" w:rsidR="00D04C77" w:rsidRDefault="00D04C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2E9B" w14:textId="7C68760C" w:rsidR="00F679B3" w:rsidRPr="00330999" w:rsidRDefault="00F679B3">
    <w:pPr>
      <w:pStyle w:val="Footer"/>
    </w:pPr>
    <w:r>
      <w:tab/>
    </w:r>
    <w:r>
      <w:fldChar w:fldCharType="begin"/>
    </w:r>
    <w:r>
      <w:instrText xml:space="preserve"> PAGE  \* MERGEFORMAT </w:instrText>
    </w:r>
    <w:r>
      <w:fldChar w:fldCharType="separate"/>
    </w:r>
    <w:r w:rsidR="00DA42A4">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156D" w14:textId="77777777" w:rsidR="00F679B3" w:rsidRPr="00E275A5" w:rsidRDefault="00F679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7464" w14:textId="77777777" w:rsidR="00D04C77" w:rsidRDefault="00D04C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ECC6" w14:textId="54321478" w:rsidR="00F679B3" w:rsidRPr="00B2148C" w:rsidRDefault="00F679B3">
    <w:pPr>
      <w:pStyle w:val="FooterLandscape"/>
      <w:rPr>
        <w:rFonts w:ascii="Arial" w:hAnsi="Arial" w:cs="Arial"/>
        <w:b/>
        <w:sz w:val="48"/>
      </w:rPr>
    </w:pPr>
    <w:r>
      <w:tab/>
    </w:r>
    <w:r>
      <w:fldChar w:fldCharType="begin"/>
    </w:r>
    <w:r>
      <w:instrText xml:space="preserve"> PAGE  \* MERGEFORMAT </w:instrText>
    </w:r>
    <w:r>
      <w:fldChar w:fldCharType="separate"/>
    </w:r>
    <w:r w:rsidR="00EB415F">
      <w:rPr>
        <w:noProof/>
      </w:rPr>
      <w:t>10</w:t>
    </w:r>
    <w:r>
      <w:fldChar w:fldCharType="end"/>
    </w:r>
    <w:r>
      <w:tab/>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4A5DF" w14:textId="77777777" w:rsidR="00F679B3" w:rsidRPr="00B2148C" w:rsidRDefault="00F679B3">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AC952" w14:textId="77777777" w:rsidR="00745564" w:rsidRDefault="00745564" w:rsidP="008206F0">
      <w:pPr>
        <w:spacing w:after="0" w:line="240" w:lineRule="auto"/>
      </w:pPr>
      <w:r>
        <w:separator/>
      </w:r>
    </w:p>
  </w:footnote>
  <w:footnote w:type="continuationSeparator" w:id="0">
    <w:p w14:paraId="18435D23" w14:textId="77777777" w:rsidR="00745564" w:rsidRDefault="00745564" w:rsidP="008206F0">
      <w:pPr>
        <w:spacing w:after="0" w:line="240" w:lineRule="auto"/>
      </w:pPr>
      <w:r>
        <w:continuationSeparator/>
      </w:r>
    </w:p>
  </w:footnote>
  <w:footnote w:type="continuationNotice" w:id="1">
    <w:p w14:paraId="48B59A15" w14:textId="77777777" w:rsidR="00745564" w:rsidRDefault="00745564">
      <w:pPr>
        <w:spacing w:after="0" w:line="240" w:lineRule="auto"/>
      </w:pPr>
    </w:p>
  </w:footnote>
  <w:footnote w:id="2">
    <w:p w14:paraId="5524EE1F" w14:textId="510C3452" w:rsidR="00F679B3" w:rsidRPr="00E072D2" w:rsidRDefault="00F679B3" w:rsidP="00F679B3">
      <w:pPr>
        <w:pStyle w:val="FootnoteText"/>
      </w:pPr>
      <w:r>
        <w:rPr>
          <w:rStyle w:val="FootnoteReference"/>
        </w:rPr>
        <w:footnoteRef/>
      </w:r>
      <w:r>
        <w:t xml:space="preserve"> Rozporządzenie Parlamentu Europejskiego</w:t>
      </w:r>
      <w:r w:rsidR="00332C06">
        <w:t xml:space="preserve"> i Rad</w:t>
      </w:r>
      <w:r>
        <w:t xml:space="preserve">y (UE, Euratom) </w:t>
      </w:r>
      <w:r w:rsidRPr="00332C06">
        <w:t>nr</w:t>
      </w:r>
      <w:r w:rsidR="00332C06" w:rsidRPr="00332C06">
        <w:t> </w:t>
      </w:r>
      <w:r w:rsidRPr="00332C06">
        <w:t>1</w:t>
      </w:r>
      <w:r>
        <w:t>023/2013</w:t>
      </w:r>
      <w:r w:rsidR="00332C06">
        <w:t xml:space="preserve"> z dni</w:t>
      </w:r>
      <w:r>
        <w:t>a 22 października 20</w:t>
      </w:r>
      <w:r w:rsidRPr="00332C06">
        <w:t>13</w:t>
      </w:r>
      <w:r w:rsidR="00332C06" w:rsidRPr="00332C06">
        <w:t> </w:t>
      </w:r>
      <w:r w:rsidRPr="00332C06">
        <w:t>r.</w:t>
      </w:r>
    </w:p>
  </w:footnote>
  <w:footnote w:id="3">
    <w:p w14:paraId="04CFFFAB" w14:textId="6E9BF5C2" w:rsidR="00F679B3" w:rsidRPr="00D15D1B" w:rsidRDefault="00F679B3" w:rsidP="00F679B3">
      <w:pPr>
        <w:pStyle w:val="FootnoteText"/>
      </w:pPr>
      <w:r>
        <w:rPr>
          <w:rStyle w:val="FootnoteReference"/>
        </w:rPr>
        <w:footnoteRef/>
      </w:r>
      <w:r>
        <w:t xml:space="preserve"> Dz.U. L 55</w:t>
      </w:r>
      <w:r w:rsidR="00332C06">
        <w:t xml:space="preserve"> z 2</w:t>
      </w:r>
      <w:r>
        <w:t>7.2.2009.</w:t>
      </w:r>
    </w:p>
  </w:footnote>
  <w:footnote w:id="4">
    <w:p w14:paraId="699E54A9" w14:textId="32F5AFBB" w:rsidR="00B50D55" w:rsidRPr="00B1682E" w:rsidRDefault="00B50D55" w:rsidP="00AB2CBC">
      <w:pPr>
        <w:pStyle w:val="Default"/>
        <w:rPr>
          <w:sz w:val="20"/>
          <w:szCs w:val="20"/>
        </w:rPr>
      </w:pPr>
      <w:r>
        <w:rPr>
          <w:rStyle w:val="FootnoteReference"/>
          <w:sz w:val="20"/>
          <w:szCs w:val="20"/>
        </w:rPr>
        <w:footnoteRef/>
      </w:r>
      <w:r>
        <w:rPr>
          <w:sz w:val="20"/>
        </w:rPr>
        <w:t>COM(2022) 388 final.</w:t>
      </w:r>
    </w:p>
  </w:footnote>
  <w:footnote w:id="5">
    <w:p w14:paraId="3A9005E2" w14:textId="5D574F18" w:rsidR="00F679B3" w:rsidRPr="003A65B8" w:rsidRDefault="00F679B3" w:rsidP="00F679B3">
      <w:pPr>
        <w:pStyle w:val="FootnoteText"/>
      </w:pPr>
      <w:r>
        <w:rPr>
          <w:rStyle w:val="FootnoteReference"/>
        </w:rPr>
        <w:footnoteRef/>
      </w:r>
      <w:r>
        <w:t xml:space="preserve"> Dz.U. L 338</w:t>
      </w:r>
      <w:r w:rsidR="00332C06">
        <w:t xml:space="preserve"> z 2</w:t>
      </w:r>
      <w:r>
        <w:t xml:space="preserve">2.12.2010. </w:t>
      </w:r>
    </w:p>
  </w:footnote>
  <w:footnote w:id="6">
    <w:p w14:paraId="423E82DF" w14:textId="46D36626" w:rsidR="00F679B3" w:rsidRPr="003A65B8" w:rsidRDefault="00F679B3" w:rsidP="00F679B3">
      <w:pPr>
        <w:pStyle w:val="FootnoteText"/>
      </w:pPr>
      <w:r>
        <w:rPr>
          <w:rStyle w:val="FootnoteReference"/>
        </w:rPr>
        <w:footnoteRef/>
      </w:r>
      <w:r>
        <w:t xml:space="preserve"> Dz.U. L 11</w:t>
      </w:r>
      <w:r w:rsidR="00332C06">
        <w:t xml:space="preserve"> z 1</w:t>
      </w:r>
      <w:r>
        <w:t>5.1.1989.</w:t>
      </w:r>
    </w:p>
  </w:footnote>
  <w:footnote w:id="7">
    <w:p w14:paraId="3EB60130" w14:textId="32F99677" w:rsidR="002F66EB" w:rsidRPr="003D7C48" w:rsidRDefault="002F66EB" w:rsidP="003D7C48">
      <w:pPr>
        <w:pStyle w:val="FootnoteText"/>
        <w:ind w:left="0" w:firstLine="0"/>
      </w:pPr>
      <w:r>
        <w:rPr>
          <w:rStyle w:val="FootnoteReference"/>
        </w:rPr>
        <w:footnoteRef/>
      </w:r>
      <w:r>
        <w:t xml:space="preserve"> Ponieważ </w:t>
      </w:r>
      <w:r w:rsidRPr="00332C06">
        <w:t>od</w:t>
      </w:r>
      <w:r w:rsidR="00332C06" w:rsidRPr="00332C06">
        <w:t> </w:t>
      </w:r>
      <w:r w:rsidRPr="00332C06">
        <w:t>2</w:t>
      </w:r>
      <w:r>
        <w:t>0</w:t>
      </w:r>
      <w:r w:rsidRPr="00332C06">
        <w:t>21</w:t>
      </w:r>
      <w:r w:rsidR="00332C06" w:rsidRPr="00332C06">
        <w:t> </w:t>
      </w:r>
      <w:r w:rsidRPr="00332C06">
        <w:t>r.</w:t>
      </w:r>
      <w:r>
        <w:t xml:space="preserve"> składki na rzecz wspólnego systemu ubezpieczenia chorobowego uiszcza się</w:t>
      </w:r>
      <w:r w:rsidR="00332C06">
        <w:t xml:space="preserve"> w tym</w:t>
      </w:r>
      <w:r>
        <w:t xml:space="preserve"> samym czasie co pozostałe składki</w:t>
      </w:r>
      <w:r w:rsidR="00332C06">
        <w:t xml:space="preserve"> w ram</w:t>
      </w:r>
      <w:r>
        <w:t>ach zautomatyzowanego masowego procesu regulowania płatności, zostały one uwzględnione</w:t>
      </w:r>
      <w:r w:rsidR="00332C06">
        <w:t xml:space="preserve"> w kat</w:t>
      </w:r>
      <w:r>
        <w:t xml:space="preserve">egorii </w:t>
      </w:r>
      <w:r>
        <w:rPr>
          <w:i/>
        </w:rPr>
        <w:t>zasiłki dla bezrobotnych</w:t>
      </w:r>
      <w:r>
        <w:t>. Do 20</w:t>
      </w:r>
      <w:r w:rsidRPr="00332C06">
        <w:t>20</w:t>
      </w:r>
      <w:r w:rsidR="00332C06" w:rsidRPr="00332C06">
        <w:t> </w:t>
      </w:r>
      <w:r w:rsidRPr="00332C06">
        <w:t>r.</w:t>
      </w:r>
      <w:r>
        <w:t xml:space="preserve"> płatności te były jedynymi płatnościami uiszczanymi ręcznie, dlatego też księgowano</w:t>
      </w:r>
      <w:r w:rsidR="00332C06">
        <w:t xml:space="preserve"> i ujm</w:t>
      </w:r>
      <w:r>
        <w:t>owano je odrębnie. Wspomniana zmiana była spowodowana wprowadzeniem rozwiązań informatycznych służących poprawie efektywności</w:t>
      </w:r>
      <w:r w:rsidR="00332C06">
        <w:t xml:space="preserve"> i ogr</w:t>
      </w:r>
      <w:r>
        <w:t>aniczeniu ryzyka błędu związanego</w:t>
      </w:r>
      <w:r w:rsidR="00332C06">
        <w:t xml:space="preserve"> z pła</w:t>
      </w:r>
      <w:r>
        <w:t>tności dokonywanymi ręcznie.</w:t>
      </w:r>
    </w:p>
  </w:footnote>
  <w:footnote w:id="8">
    <w:p w14:paraId="6FA616B4" w14:textId="51471215" w:rsidR="00B8143E" w:rsidRPr="003D7C48" w:rsidRDefault="00B8143E" w:rsidP="003D7C48">
      <w:pPr>
        <w:pStyle w:val="FootnoteText"/>
        <w:ind w:left="0" w:firstLine="0"/>
      </w:pPr>
      <w:r>
        <w:rPr>
          <w:rStyle w:val="FootnoteReference"/>
        </w:rPr>
        <w:footnoteRef/>
      </w:r>
      <w:r>
        <w:t xml:space="preserve"> Do celów informacyjnych należy wspomnieć, że</w:t>
      </w:r>
      <w:r w:rsidR="00332C06">
        <w:t xml:space="preserve"> w 2</w:t>
      </w:r>
      <w:r>
        <w:t>0</w:t>
      </w:r>
      <w:r w:rsidRPr="00332C06">
        <w:t>21</w:t>
      </w:r>
      <w:r w:rsidR="00332C06" w:rsidRPr="00332C06">
        <w:t> </w:t>
      </w:r>
      <w:r w:rsidRPr="00332C06">
        <w:t>r.</w:t>
      </w:r>
      <w:r>
        <w:t xml:space="preserve"> kwota składek na rzecz wspólnego systemu ubezpieczenia chorobowego wyniosła 1 636 067,14 EUR, natomiast</w:t>
      </w:r>
      <w:r w:rsidR="00332C06">
        <w:t xml:space="preserve"> w 2</w:t>
      </w:r>
      <w:r>
        <w:t>0</w:t>
      </w:r>
      <w:r w:rsidRPr="00332C06">
        <w:t>22</w:t>
      </w:r>
      <w:r w:rsidR="00332C06" w:rsidRPr="00332C06">
        <w:t> </w:t>
      </w:r>
      <w:r w:rsidRPr="00332C06">
        <w:t>r.</w:t>
      </w:r>
      <w:r>
        <w:t xml:space="preserve"> 1 209 776,99 EUR – wartości te zostały już uwzględnione</w:t>
      </w:r>
      <w:r w:rsidR="00332C06">
        <w:t xml:space="preserve"> w lin</w:t>
      </w:r>
      <w:r>
        <w:t>ii „Zasiłki dla bezrobotnych”. Na przestrzeni ostatnich dwóch lat danych tych nie ujmowano już odrębnie, ponieważ obecnie stosowne składki uiszcza się wraz</w:t>
      </w:r>
      <w:r w:rsidR="00332C06">
        <w:t xml:space="preserve"> z poz</w:t>
      </w:r>
      <w:r>
        <w:t>ostałymi częściami składowymi zasiłku dla bezrobotnych (których jest ponad 15)</w:t>
      </w:r>
      <w:r w:rsidR="00332C06">
        <w:t xml:space="preserve"> i nie</w:t>
      </w:r>
      <w:r>
        <w:t xml:space="preserve"> stanowią one odrębnego elementu opłacanego ręcznie.</w:t>
      </w:r>
    </w:p>
  </w:footnote>
  <w:footnote w:id="9">
    <w:p w14:paraId="6EFEC658" w14:textId="59CD80FB" w:rsidR="27D443E8" w:rsidRPr="00CB770F" w:rsidRDefault="27D443E8" w:rsidP="00CB770F">
      <w:pPr>
        <w:pStyle w:val="FootnoteText"/>
        <w:ind w:left="0" w:firstLine="0"/>
      </w:pPr>
      <w:r>
        <w:rPr>
          <w:rStyle w:val="FootnoteReference"/>
        </w:rPr>
        <w:footnoteRef/>
      </w:r>
      <w:r>
        <w:t xml:space="preserve"> Jeżeli chodzi</w:t>
      </w:r>
      <w:r w:rsidR="00332C06">
        <w:t xml:space="preserve"> o tab</w:t>
      </w:r>
      <w:r>
        <w:t>ele 11.1, 11.2</w:t>
      </w:r>
      <w:r w:rsidR="00332C06">
        <w:t xml:space="preserve"> i 1</w:t>
      </w:r>
      <w:r>
        <w:t>1.3, długość tego okresu</w:t>
      </w:r>
      <w:r w:rsidR="00332C06">
        <w:t xml:space="preserve"> w lat</w:t>
      </w:r>
      <w:r>
        <w:t>ach 2021</w:t>
      </w:r>
      <w:r w:rsidR="00332C06">
        <w:t xml:space="preserve"> i 2</w:t>
      </w:r>
      <w:r>
        <w:t>022 obliczono na podstawie danych dostępnych</w:t>
      </w:r>
      <w:r w:rsidR="00332C06">
        <w:t xml:space="preserve"> w sys</w:t>
      </w:r>
      <w:r>
        <w:t>temie informacyjnym NAP (Nouvelle Application Paye), które wprowadzono do tego systemu od lipca 20</w:t>
      </w:r>
      <w:r w:rsidRPr="00332C06">
        <w:t>20</w:t>
      </w:r>
      <w:r w:rsidR="00332C06" w:rsidRPr="00332C06">
        <w:t> </w:t>
      </w:r>
      <w:r w:rsidRPr="00332C06">
        <w:t>r.</w:t>
      </w:r>
      <w:r w:rsidR="00332C06">
        <w:t xml:space="preserve"> z uwa</w:t>
      </w:r>
      <w:r>
        <w:t xml:space="preserve">gi na zmianę systemów informacyjnych wykorzystywanych przez Komisję Europejską. </w:t>
      </w:r>
    </w:p>
  </w:footnote>
  <w:footnote w:id="10">
    <w:p w14:paraId="732F81B2" w14:textId="517D1253" w:rsidR="001E1DC6" w:rsidRPr="001E1DC6" w:rsidRDefault="001E1DC6" w:rsidP="00CB770F">
      <w:pPr>
        <w:pStyle w:val="FootnoteText"/>
        <w:ind w:left="0" w:firstLine="0"/>
      </w:pPr>
      <w:r>
        <w:rPr>
          <w:rStyle w:val="FootnoteReference"/>
        </w:rPr>
        <w:footnoteRef/>
      </w:r>
      <w:r>
        <w:t xml:space="preserve"> Art. 127 </w:t>
      </w:r>
      <w:r w:rsidRPr="00332C06">
        <w:t>ust.</w:t>
      </w:r>
      <w:r w:rsidR="00332C06" w:rsidRPr="00332C06">
        <w:t> </w:t>
      </w:r>
      <w:r w:rsidRPr="00332C06">
        <w:t>6</w:t>
      </w:r>
      <w:r>
        <w:t xml:space="preserve"> Umowy</w:t>
      </w:r>
      <w:r w:rsidR="00332C06">
        <w:t xml:space="preserve"> o wys</w:t>
      </w:r>
      <w:r>
        <w:t>tąpieniu Zjednoczonego Królestwa Wielkiej Brytanii</w:t>
      </w:r>
      <w:r w:rsidR="00332C06">
        <w:t xml:space="preserve"> i Irl</w:t>
      </w:r>
      <w:r>
        <w:t>andii Północnej</w:t>
      </w:r>
      <w:r w:rsidR="00332C06">
        <w:t xml:space="preserve"> z Uni</w:t>
      </w:r>
      <w:r>
        <w:t>i Europejskiej</w:t>
      </w:r>
      <w:r w:rsidR="00332C06">
        <w:t xml:space="preserve"> i Eur</w:t>
      </w:r>
      <w:r>
        <w:t>opejskiej Wspólnoty Energii Atomowej, 2019/C 384 I/01.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5E732" w14:textId="77777777" w:rsidR="00DA42A4" w:rsidRPr="00DA42A4" w:rsidRDefault="00DA42A4" w:rsidP="00DA42A4">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D82C9" w14:textId="77777777" w:rsidR="00D04C77" w:rsidRDefault="00D04C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6B127" w14:textId="77777777" w:rsidR="00F679B3" w:rsidRPr="00330999" w:rsidRDefault="00F679B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1FF3" w14:textId="77777777" w:rsidR="00F679B3" w:rsidRPr="00B2148C" w:rsidRDefault="00F679B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4E49" w14:textId="77777777" w:rsidR="00D04C77" w:rsidRDefault="00D04C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CC1C" w14:textId="77777777" w:rsidR="00F679B3" w:rsidRPr="00330999" w:rsidRDefault="00F679B3">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7A01" w14:textId="77777777" w:rsidR="00F679B3" w:rsidRPr="00B2148C" w:rsidRDefault="00F679B3">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3DE1" w14:textId="77777777" w:rsidR="00D04C77" w:rsidRDefault="00D04C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5C90" w14:textId="77777777" w:rsidR="00F679B3" w:rsidRPr="00330999" w:rsidRDefault="00F679B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102A" w14:textId="77777777" w:rsidR="00F679B3" w:rsidRPr="00B2148C" w:rsidRDefault="00F679B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F55DD" w14:textId="77777777" w:rsidR="00D04C77" w:rsidRDefault="00D04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068F" w14:textId="77777777" w:rsidR="00DA42A4" w:rsidRPr="00DA42A4" w:rsidRDefault="00DA42A4" w:rsidP="00DA42A4">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8C2A" w14:textId="77777777" w:rsidR="00F679B3" w:rsidRPr="00330999" w:rsidRDefault="00F679B3">
    <w:pPr>
      <w:pStyle w:val="HeaderLandscap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C46A" w14:textId="77777777" w:rsidR="00F679B3" w:rsidRPr="00B2148C" w:rsidRDefault="00F679B3">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D0D86" w14:textId="77777777" w:rsidR="00D04C77" w:rsidRDefault="00D04C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034E" w14:textId="77777777" w:rsidR="00792D5D" w:rsidRPr="00330999" w:rsidRDefault="00792D5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2705" w14:textId="77777777" w:rsidR="00792D5D" w:rsidRPr="00B2148C" w:rsidRDefault="00792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C416" w14:textId="77777777" w:rsidR="00DA42A4" w:rsidRPr="00DA42A4" w:rsidRDefault="00DA42A4" w:rsidP="00DA42A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ADFB" w14:textId="77777777" w:rsidR="00D04C77" w:rsidRDefault="00D04C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2B9C" w14:textId="77777777" w:rsidR="00D04C77" w:rsidRDefault="00D04C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6B2A" w14:textId="77777777" w:rsidR="00D04C77" w:rsidRDefault="00D04C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824E" w14:textId="77777777" w:rsidR="00D04C77" w:rsidRDefault="00D04C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C3E7" w14:textId="77777777" w:rsidR="00F679B3" w:rsidRPr="00B2148C" w:rsidRDefault="00F679B3">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B91" w14:textId="77777777" w:rsidR="00F679B3" w:rsidRPr="00B2148C" w:rsidRDefault="00F679B3">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A0D0"/>
    <w:multiLevelType w:val="hybridMultilevel"/>
    <w:tmpl w:val="BA4EEA58"/>
    <w:lvl w:ilvl="0" w:tplc="BB462734">
      <w:start w:val="1"/>
      <w:numFmt w:val="bullet"/>
      <w:lvlText w:val="·"/>
      <w:lvlJc w:val="left"/>
      <w:pPr>
        <w:ind w:left="720" w:hanging="360"/>
      </w:pPr>
      <w:rPr>
        <w:rFonts w:ascii="Symbol" w:hAnsi="Symbol" w:hint="default"/>
      </w:rPr>
    </w:lvl>
    <w:lvl w:ilvl="1" w:tplc="4AF86D6C">
      <w:start w:val="1"/>
      <w:numFmt w:val="bullet"/>
      <w:lvlText w:val="o"/>
      <w:lvlJc w:val="left"/>
      <w:pPr>
        <w:ind w:left="1440" w:hanging="360"/>
      </w:pPr>
      <w:rPr>
        <w:rFonts w:ascii="Courier New" w:hAnsi="Courier New" w:hint="default"/>
      </w:rPr>
    </w:lvl>
    <w:lvl w:ilvl="2" w:tplc="59EE7852">
      <w:start w:val="1"/>
      <w:numFmt w:val="bullet"/>
      <w:lvlText w:val=""/>
      <w:lvlJc w:val="left"/>
      <w:pPr>
        <w:ind w:left="2160" w:hanging="360"/>
      </w:pPr>
      <w:rPr>
        <w:rFonts w:ascii="Wingdings" w:hAnsi="Wingdings" w:hint="default"/>
      </w:rPr>
    </w:lvl>
    <w:lvl w:ilvl="3" w:tplc="84981A8E">
      <w:start w:val="1"/>
      <w:numFmt w:val="bullet"/>
      <w:lvlText w:val=""/>
      <w:lvlJc w:val="left"/>
      <w:pPr>
        <w:ind w:left="2880" w:hanging="360"/>
      </w:pPr>
      <w:rPr>
        <w:rFonts w:ascii="Symbol" w:hAnsi="Symbol" w:hint="default"/>
      </w:rPr>
    </w:lvl>
    <w:lvl w:ilvl="4" w:tplc="2DEE9280">
      <w:start w:val="1"/>
      <w:numFmt w:val="bullet"/>
      <w:lvlText w:val="o"/>
      <w:lvlJc w:val="left"/>
      <w:pPr>
        <w:ind w:left="3600" w:hanging="360"/>
      </w:pPr>
      <w:rPr>
        <w:rFonts w:ascii="Courier New" w:hAnsi="Courier New" w:hint="default"/>
      </w:rPr>
    </w:lvl>
    <w:lvl w:ilvl="5" w:tplc="B9F6C9E0">
      <w:start w:val="1"/>
      <w:numFmt w:val="bullet"/>
      <w:lvlText w:val=""/>
      <w:lvlJc w:val="left"/>
      <w:pPr>
        <w:ind w:left="4320" w:hanging="360"/>
      </w:pPr>
      <w:rPr>
        <w:rFonts w:ascii="Wingdings" w:hAnsi="Wingdings" w:hint="default"/>
      </w:rPr>
    </w:lvl>
    <w:lvl w:ilvl="6" w:tplc="0FACB998">
      <w:start w:val="1"/>
      <w:numFmt w:val="bullet"/>
      <w:lvlText w:val=""/>
      <w:lvlJc w:val="left"/>
      <w:pPr>
        <w:ind w:left="5040" w:hanging="360"/>
      </w:pPr>
      <w:rPr>
        <w:rFonts w:ascii="Symbol" w:hAnsi="Symbol" w:hint="default"/>
      </w:rPr>
    </w:lvl>
    <w:lvl w:ilvl="7" w:tplc="A83E03DE">
      <w:start w:val="1"/>
      <w:numFmt w:val="bullet"/>
      <w:lvlText w:val="o"/>
      <w:lvlJc w:val="left"/>
      <w:pPr>
        <w:ind w:left="5760" w:hanging="360"/>
      </w:pPr>
      <w:rPr>
        <w:rFonts w:ascii="Courier New" w:hAnsi="Courier New" w:hint="default"/>
      </w:rPr>
    </w:lvl>
    <w:lvl w:ilvl="8" w:tplc="A8289F06">
      <w:start w:val="1"/>
      <w:numFmt w:val="bullet"/>
      <w:lvlText w:val=""/>
      <w:lvlJc w:val="left"/>
      <w:pPr>
        <w:ind w:left="6480" w:hanging="360"/>
      </w:pPr>
      <w:rPr>
        <w:rFonts w:ascii="Wingdings" w:hAnsi="Wingdings" w:hint="default"/>
      </w:rPr>
    </w:lvl>
  </w:abstractNum>
  <w:abstractNum w:abstractNumId="1" w15:restartNumberingAfterBreak="0">
    <w:nsid w:val="18970A17"/>
    <w:multiLevelType w:val="hybridMultilevel"/>
    <w:tmpl w:val="A0B27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BCE6890"/>
    <w:multiLevelType w:val="multilevel"/>
    <w:tmpl w:val="8312DC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780B2E"/>
    <w:multiLevelType w:val="hybridMultilevel"/>
    <w:tmpl w:val="BE0435FE"/>
    <w:lvl w:ilvl="0" w:tplc="23560A4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E2119"/>
    <w:multiLevelType w:val="hybridMultilevel"/>
    <w:tmpl w:val="97922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D1443C"/>
    <w:multiLevelType w:val="multilevel"/>
    <w:tmpl w:val="7B1C493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5"/>
  </w:num>
  <w:num w:numId="3">
    <w:abstractNumId w:val="1"/>
  </w:num>
  <w:num w:numId="4">
    <w:abstractNumId w:val="4"/>
  </w:num>
  <w:num w:numId="5">
    <w:abstractNumId w:val="3"/>
  </w:num>
  <w:num w:numId="6">
    <w:abstractNumId w:val="5"/>
  </w:num>
  <w:num w:numId="7">
    <w:abstractNumId w:val="5"/>
    <w:lvlOverride w:ilvl="0">
      <w:startOverride w:val="2"/>
    </w:lvlOverride>
    <w:lvlOverride w:ilvl="1">
      <w:startOverride w:val="2"/>
    </w:lvlOverride>
  </w:num>
  <w:num w:numId="8">
    <w:abstractNumId w:val="5"/>
    <w:lvlOverride w:ilvl="0">
      <w:startOverride w:val="2"/>
    </w:lvlOverride>
    <w:lvlOverride w:ilvl="1">
      <w:startOverride w:val="3"/>
    </w:lvlOverride>
  </w:num>
  <w:num w:numId="9">
    <w:abstractNumId w:val="2"/>
  </w:num>
  <w:num w:numId="10">
    <w:abstractNumId w:val="5"/>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0" w:nlCheck="1" w:checkStyle="0"/>
  <w:activeWritingStyle w:appName="MSWord" w:lang="en-IE" w:vendorID="64" w:dllVersion="0" w:nlCheck="1" w:checkStyle="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0" w:nlCheck="1" w:checkStyle="0"/>
  <w:activeWritingStyle w:appName="MSWord" w:lang="en-US" w:vendorID="64" w:dllVersion="6" w:nlCheck="1" w:checkStyle="1"/>
  <w:activeWritingStyle w:appName="MSWord" w:lang="pl-PL"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211A78F-FB85-4EFE-8CFA-319F48CA2F04"/>
    <w:docVar w:name="LW_COVERPAGE_TYPE" w:val="1"/>
    <w:docVar w:name="LW_CROSSREFERENCE" w:val="&lt;UNUSED&gt;"/>
    <w:docVar w:name="LW_DocType" w:val="NORMAL"/>
    <w:docVar w:name="LW_EMISSION" w:val="6.2.2024"/>
    <w:docVar w:name="LW_EMISSION_ISODATE" w:val="2024-02-06"/>
    <w:docVar w:name="LW_EMISSION_LOCATION" w:val="BRX"/>
    <w:docVar w:name="LW_EMISSION_PREFIX" w:val="Bruksela, dnia "/>
    <w:docVar w:name="LW_EMISSION_SUFFIX" w:val=" r."/>
    <w:docVar w:name="LW_ID_DOCTYPE_NONLW" w:val="CP-006"/>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4) 5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awozdanie za okres 2017\u8211?2022 w sprawie sytuacji finansowej systemu ubezpieczenia od bezrobocia by\u322?ych pracowników zatrudnionych na czas okre\u347?lony lub pracowników kontraktowych oraz asystentów parlamentarnych, którzy stali si\u281? bezrobotni w momencie zako\u324?czenia s\u322?u\u380?by w instytucji Unii Europejskiej"/>
    <w:docVar w:name="LW_TYPE.DOC.CP" w:val="SPRAWOZDANIE KOMISJI DLA PARLAMENTU EUROPEJSKIEGO I RADY"/>
    <w:docVar w:name="LwApiVersions" w:val="LW4CoDe 1.24.4.0; LW 9.0, Build 20240125"/>
  </w:docVars>
  <w:rsids>
    <w:rsidRoot w:val="008206F0"/>
    <w:rsid w:val="00003B9F"/>
    <w:rsid w:val="00004673"/>
    <w:rsid w:val="00005775"/>
    <w:rsid w:val="00007BC8"/>
    <w:rsid w:val="00012FF8"/>
    <w:rsid w:val="00015583"/>
    <w:rsid w:val="00017DE2"/>
    <w:rsid w:val="00030837"/>
    <w:rsid w:val="00032386"/>
    <w:rsid w:val="000353EE"/>
    <w:rsid w:val="00044394"/>
    <w:rsid w:val="00047BFF"/>
    <w:rsid w:val="000519AF"/>
    <w:rsid w:val="000521A0"/>
    <w:rsid w:val="00053DED"/>
    <w:rsid w:val="000542FE"/>
    <w:rsid w:val="0005577F"/>
    <w:rsid w:val="00056627"/>
    <w:rsid w:val="0006037D"/>
    <w:rsid w:val="0006132E"/>
    <w:rsid w:val="000667F6"/>
    <w:rsid w:val="00070E48"/>
    <w:rsid w:val="000732B2"/>
    <w:rsid w:val="00075CA4"/>
    <w:rsid w:val="000777C5"/>
    <w:rsid w:val="0008104B"/>
    <w:rsid w:val="000845D6"/>
    <w:rsid w:val="00085754"/>
    <w:rsid w:val="00086020"/>
    <w:rsid w:val="00090A18"/>
    <w:rsid w:val="000916C1"/>
    <w:rsid w:val="00093336"/>
    <w:rsid w:val="000A2515"/>
    <w:rsid w:val="000A2E30"/>
    <w:rsid w:val="000A502D"/>
    <w:rsid w:val="000A5A60"/>
    <w:rsid w:val="000A727B"/>
    <w:rsid w:val="000B1EBE"/>
    <w:rsid w:val="000B42D6"/>
    <w:rsid w:val="000C1B73"/>
    <w:rsid w:val="000C1F1B"/>
    <w:rsid w:val="000C35B2"/>
    <w:rsid w:val="000C4410"/>
    <w:rsid w:val="000C5F69"/>
    <w:rsid w:val="000D0CA3"/>
    <w:rsid w:val="000D0DA9"/>
    <w:rsid w:val="000D5BC1"/>
    <w:rsid w:val="000E10E5"/>
    <w:rsid w:val="000E3A23"/>
    <w:rsid w:val="000E52C3"/>
    <w:rsid w:val="000E5858"/>
    <w:rsid w:val="000F7C15"/>
    <w:rsid w:val="00107250"/>
    <w:rsid w:val="0011133A"/>
    <w:rsid w:val="00112D7A"/>
    <w:rsid w:val="001145EF"/>
    <w:rsid w:val="0011781A"/>
    <w:rsid w:val="0012157F"/>
    <w:rsid w:val="0012205C"/>
    <w:rsid w:val="001277E2"/>
    <w:rsid w:val="00133380"/>
    <w:rsid w:val="00134AA0"/>
    <w:rsid w:val="00136E6E"/>
    <w:rsid w:val="001416DE"/>
    <w:rsid w:val="0014400A"/>
    <w:rsid w:val="0014785D"/>
    <w:rsid w:val="00147A99"/>
    <w:rsid w:val="001535CE"/>
    <w:rsid w:val="00154070"/>
    <w:rsid w:val="0015410C"/>
    <w:rsid w:val="00154B4A"/>
    <w:rsid w:val="00154D6C"/>
    <w:rsid w:val="001562CC"/>
    <w:rsid w:val="00162748"/>
    <w:rsid w:val="00173600"/>
    <w:rsid w:val="00174A1F"/>
    <w:rsid w:val="001755FC"/>
    <w:rsid w:val="00181F86"/>
    <w:rsid w:val="00184D4E"/>
    <w:rsid w:val="00194AE2"/>
    <w:rsid w:val="001A4F50"/>
    <w:rsid w:val="001A6657"/>
    <w:rsid w:val="001B10BC"/>
    <w:rsid w:val="001B1A89"/>
    <w:rsid w:val="001B36E5"/>
    <w:rsid w:val="001C00EB"/>
    <w:rsid w:val="001C28C1"/>
    <w:rsid w:val="001C5271"/>
    <w:rsid w:val="001C5431"/>
    <w:rsid w:val="001D12EE"/>
    <w:rsid w:val="001E1DC6"/>
    <w:rsid w:val="001E2BD4"/>
    <w:rsid w:val="001F24BA"/>
    <w:rsid w:val="001F3502"/>
    <w:rsid w:val="001F569D"/>
    <w:rsid w:val="001F6F93"/>
    <w:rsid w:val="00206CEA"/>
    <w:rsid w:val="0021041C"/>
    <w:rsid w:val="00211DB5"/>
    <w:rsid w:val="002162D7"/>
    <w:rsid w:val="0023050B"/>
    <w:rsid w:val="0024216C"/>
    <w:rsid w:val="00243055"/>
    <w:rsid w:val="00245F68"/>
    <w:rsid w:val="00246A5C"/>
    <w:rsid w:val="00260DE0"/>
    <w:rsid w:val="002630AD"/>
    <w:rsid w:val="002644D0"/>
    <w:rsid w:val="002651E1"/>
    <w:rsid w:val="00265F5E"/>
    <w:rsid w:val="002670E8"/>
    <w:rsid w:val="0027061F"/>
    <w:rsid w:val="00270ABE"/>
    <w:rsid w:val="00275011"/>
    <w:rsid w:val="0027760D"/>
    <w:rsid w:val="00277FA3"/>
    <w:rsid w:val="00292A83"/>
    <w:rsid w:val="00293755"/>
    <w:rsid w:val="0029448C"/>
    <w:rsid w:val="00294F14"/>
    <w:rsid w:val="00295C6B"/>
    <w:rsid w:val="002A01E6"/>
    <w:rsid w:val="002A02B2"/>
    <w:rsid w:val="002A03B9"/>
    <w:rsid w:val="002B1123"/>
    <w:rsid w:val="002B5D69"/>
    <w:rsid w:val="002B6A6E"/>
    <w:rsid w:val="002B6CDA"/>
    <w:rsid w:val="002C09F6"/>
    <w:rsid w:val="002C1857"/>
    <w:rsid w:val="002C2126"/>
    <w:rsid w:val="002C213C"/>
    <w:rsid w:val="002C7D4B"/>
    <w:rsid w:val="002D2B28"/>
    <w:rsid w:val="002D6A4C"/>
    <w:rsid w:val="002E493B"/>
    <w:rsid w:val="002E78B1"/>
    <w:rsid w:val="002F2E5E"/>
    <w:rsid w:val="002F66EB"/>
    <w:rsid w:val="002F7711"/>
    <w:rsid w:val="00306FAE"/>
    <w:rsid w:val="00307B34"/>
    <w:rsid w:val="00320B51"/>
    <w:rsid w:val="00326AC0"/>
    <w:rsid w:val="00326F76"/>
    <w:rsid w:val="00332C06"/>
    <w:rsid w:val="003354E5"/>
    <w:rsid w:val="00337517"/>
    <w:rsid w:val="00337DE6"/>
    <w:rsid w:val="003461DF"/>
    <w:rsid w:val="003462FB"/>
    <w:rsid w:val="00346916"/>
    <w:rsid w:val="00353AB5"/>
    <w:rsid w:val="00355A4C"/>
    <w:rsid w:val="00365137"/>
    <w:rsid w:val="0036661B"/>
    <w:rsid w:val="00367B9A"/>
    <w:rsid w:val="0037264D"/>
    <w:rsid w:val="00381EF1"/>
    <w:rsid w:val="00383BF2"/>
    <w:rsid w:val="00386061"/>
    <w:rsid w:val="0038730D"/>
    <w:rsid w:val="0039141D"/>
    <w:rsid w:val="00393A78"/>
    <w:rsid w:val="00393D82"/>
    <w:rsid w:val="003957CC"/>
    <w:rsid w:val="00395D82"/>
    <w:rsid w:val="003A4396"/>
    <w:rsid w:val="003A57A5"/>
    <w:rsid w:val="003A672B"/>
    <w:rsid w:val="003B177D"/>
    <w:rsid w:val="003B20A1"/>
    <w:rsid w:val="003B4756"/>
    <w:rsid w:val="003B56C8"/>
    <w:rsid w:val="003B64F8"/>
    <w:rsid w:val="003B6FE0"/>
    <w:rsid w:val="003C4330"/>
    <w:rsid w:val="003D6508"/>
    <w:rsid w:val="003D7C48"/>
    <w:rsid w:val="003E0E4C"/>
    <w:rsid w:val="003E471E"/>
    <w:rsid w:val="003E6A8C"/>
    <w:rsid w:val="003F0E3A"/>
    <w:rsid w:val="003F28BB"/>
    <w:rsid w:val="00401F24"/>
    <w:rsid w:val="00402502"/>
    <w:rsid w:val="0040556D"/>
    <w:rsid w:val="00417B9C"/>
    <w:rsid w:val="004223D0"/>
    <w:rsid w:val="00424D17"/>
    <w:rsid w:val="004250EE"/>
    <w:rsid w:val="00434751"/>
    <w:rsid w:val="00434829"/>
    <w:rsid w:val="00442EE3"/>
    <w:rsid w:val="00443DC9"/>
    <w:rsid w:val="00446129"/>
    <w:rsid w:val="00446783"/>
    <w:rsid w:val="004477B9"/>
    <w:rsid w:val="004509E8"/>
    <w:rsid w:val="00452F92"/>
    <w:rsid w:val="00457E5F"/>
    <w:rsid w:val="00467D67"/>
    <w:rsid w:val="004736FE"/>
    <w:rsid w:val="00474138"/>
    <w:rsid w:val="004751C4"/>
    <w:rsid w:val="004760C5"/>
    <w:rsid w:val="0048418A"/>
    <w:rsid w:val="00484C4A"/>
    <w:rsid w:val="00486AD2"/>
    <w:rsid w:val="00497866"/>
    <w:rsid w:val="004A614B"/>
    <w:rsid w:val="004A7CB6"/>
    <w:rsid w:val="004B1FC3"/>
    <w:rsid w:val="004B24FC"/>
    <w:rsid w:val="004B2AB0"/>
    <w:rsid w:val="004B608D"/>
    <w:rsid w:val="004D179E"/>
    <w:rsid w:val="004D59E0"/>
    <w:rsid w:val="004D718D"/>
    <w:rsid w:val="004E3762"/>
    <w:rsid w:val="004E52FE"/>
    <w:rsid w:val="004E7408"/>
    <w:rsid w:val="004F4952"/>
    <w:rsid w:val="00505AED"/>
    <w:rsid w:val="00512CC1"/>
    <w:rsid w:val="00517186"/>
    <w:rsid w:val="00520D23"/>
    <w:rsid w:val="00525D84"/>
    <w:rsid w:val="00536A7D"/>
    <w:rsid w:val="00540A5D"/>
    <w:rsid w:val="00545FFA"/>
    <w:rsid w:val="0054780A"/>
    <w:rsid w:val="00550954"/>
    <w:rsid w:val="00552360"/>
    <w:rsid w:val="005527E7"/>
    <w:rsid w:val="00560B0D"/>
    <w:rsid w:val="005626B7"/>
    <w:rsid w:val="00565A3D"/>
    <w:rsid w:val="005661D8"/>
    <w:rsid w:val="0057395B"/>
    <w:rsid w:val="0057430D"/>
    <w:rsid w:val="00576C8A"/>
    <w:rsid w:val="00577008"/>
    <w:rsid w:val="005806FB"/>
    <w:rsid w:val="005807BF"/>
    <w:rsid w:val="00583284"/>
    <w:rsid w:val="00590AEF"/>
    <w:rsid w:val="005931F6"/>
    <w:rsid w:val="0059460D"/>
    <w:rsid w:val="0059496F"/>
    <w:rsid w:val="00595D55"/>
    <w:rsid w:val="005A59BC"/>
    <w:rsid w:val="005A72D5"/>
    <w:rsid w:val="005B5B07"/>
    <w:rsid w:val="005B7159"/>
    <w:rsid w:val="005D0BAA"/>
    <w:rsid w:val="005D0E15"/>
    <w:rsid w:val="005E0D47"/>
    <w:rsid w:val="005E0D91"/>
    <w:rsid w:val="005E774E"/>
    <w:rsid w:val="005E7B66"/>
    <w:rsid w:val="005F07D9"/>
    <w:rsid w:val="005F4378"/>
    <w:rsid w:val="005F4BD6"/>
    <w:rsid w:val="005F52E7"/>
    <w:rsid w:val="006014E9"/>
    <w:rsid w:val="00602BA3"/>
    <w:rsid w:val="00605592"/>
    <w:rsid w:val="00610588"/>
    <w:rsid w:val="0061743A"/>
    <w:rsid w:val="00622282"/>
    <w:rsid w:val="006223EA"/>
    <w:rsid w:val="006230B4"/>
    <w:rsid w:val="00624B39"/>
    <w:rsid w:val="00631940"/>
    <w:rsid w:val="00632F8A"/>
    <w:rsid w:val="00635A1F"/>
    <w:rsid w:val="00635EA0"/>
    <w:rsid w:val="00637197"/>
    <w:rsid w:val="00646AA1"/>
    <w:rsid w:val="006475DA"/>
    <w:rsid w:val="00651B5F"/>
    <w:rsid w:val="0066086A"/>
    <w:rsid w:val="00663038"/>
    <w:rsid w:val="006658EF"/>
    <w:rsid w:val="00665EFE"/>
    <w:rsid w:val="006662EB"/>
    <w:rsid w:val="00666E35"/>
    <w:rsid w:val="00670229"/>
    <w:rsid w:val="0067602C"/>
    <w:rsid w:val="00682C93"/>
    <w:rsid w:val="00684044"/>
    <w:rsid w:val="00684358"/>
    <w:rsid w:val="00694578"/>
    <w:rsid w:val="006A5172"/>
    <w:rsid w:val="006B1E46"/>
    <w:rsid w:val="006B1FE5"/>
    <w:rsid w:val="006B231F"/>
    <w:rsid w:val="006B5845"/>
    <w:rsid w:val="006C1606"/>
    <w:rsid w:val="006C66FE"/>
    <w:rsid w:val="006D0BD1"/>
    <w:rsid w:val="006D1C3A"/>
    <w:rsid w:val="006D307E"/>
    <w:rsid w:val="006D5BE6"/>
    <w:rsid w:val="006F2AD3"/>
    <w:rsid w:val="007057FA"/>
    <w:rsid w:val="00706458"/>
    <w:rsid w:val="0070751F"/>
    <w:rsid w:val="0071705F"/>
    <w:rsid w:val="00720813"/>
    <w:rsid w:val="007229EA"/>
    <w:rsid w:val="00730EF4"/>
    <w:rsid w:val="00736019"/>
    <w:rsid w:val="007370F7"/>
    <w:rsid w:val="0073796E"/>
    <w:rsid w:val="00745564"/>
    <w:rsid w:val="00746768"/>
    <w:rsid w:val="0075114D"/>
    <w:rsid w:val="00752B38"/>
    <w:rsid w:val="00755406"/>
    <w:rsid w:val="0076050C"/>
    <w:rsid w:val="00764BB4"/>
    <w:rsid w:val="007723F3"/>
    <w:rsid w:val="00776952"/>
    <w:rsid w:val="007773AC"/>
    <w:rsid w:val="00783B28"/>
    <w:rsid w:val="00784D55"/>
    <w:rsid w:val="00785852"/>
    <w:rsid w:val="00786DD1"/>
    <w:rsid w:val="00786F99"/>
    <w:rsid w:val="00792D5D"/>
    <w:rsid w:val="00795D09"/>
    <w:rsid w:val="007A3844"/>
    <w:rsid w:val="007A48FE"/>
    <w:rsid w:val="007B25A3"/>
    <w:rsid w:val="007B28AD"/>
    <w:rsid w:val="007C1AE7"/>
    <w:rsid w:val="007C1B33"/>
    <w:rsid w:val="007C2359"/>
    <w:rsid w:val="007C6DA4"/>
    <w:rsid w:val="007D0656"/>
    <w:rsid w:val="007E0444"/>
    <w:rsid w:val="007E2678"/>
    <w:rsid w:val="007F2855"/>
    <w:rsid w:val="007F7358"/>
    <w:rsid w:val="007FEF42"/>
    <w:rsid w:val="00800D40"/>
    <w:rsid w:val="00803052"/>
    <w:rsid w:val="00804707"/>
    <w:rsid w:val="00811179"/>
    <w:rsid w:val="008128C4"/>
    <w:rsid w:val="00813D5C"/>
    <w:rsid w:val="00816AF8"/>
    <w:rsid w:val="008206F0"/>
    <w:rsid w:val="00821A67"/>
    <w:rsid w:val="00821AA9"/>
    <w:rsid w:val="008235B4"/>
    <w:rsid w:val="00824661"/>
    <w:rsid w:val="00825D5E"/>
    <w:rsid w:val="0082784C"/>
    <w:rsid w:val="0083365D"/>
    <w:rsid w:val="00835337"/>
    <w:rsid w:val="00846ED1"/>
    <w:rsid w:val="00851D4B"/>
    <w:rsid w:val="00853468"/>
    <w:rsid w:val="00853BCF"/>
    <w:rsid w:val="0085400F"/>
    <w:rsid w:val="00856407"/>
    <w:rsid w:val="00856F73"/>
    <w:rsid w:val="00865245"/>
    <w:rsid w:val="0086594B"/>
    <w:rsid w:val="00870837"/>
    <w:rsid w:val="008713E3"/>
    <w:rsid w:val="00874C8E"/>
    <w:rsid w:val="008771B4"/>
    <w:rsid w:val="00883CE1"/>
    <w:rsid w:val="00883E9F"/>
    <w:rsid w:val="00885AA4"/>
    <w:rsid w:val="008879D0"/>
    <w:rsid w:val="00892E84"/>
    <w:rsid w:val="008979C0"/>
    <w:rsid w:val="008A4240"/>
    <w:rsid w:val="008B29AA"/>
    <w:rsid w:val="008B58AB"/>
    <w:rsid w:val="008B76D1"/>
    <w:rsid w:val="008C03A0"/>
    <w:rsid w:val="008C1F29"/>
    <w:rsid w:val="008C3DF0"/>
    <w:rsid w:val="008C7618"/>
    <w:rsid w:val="008D0D97"/>
    <w:rsid w:val="008D4457"/>
    <w:rsid w:val="008E0A14"/>
    <w:rsid w:val="008E174C"/>
    <w:rsid w:val="008E19CE"/>
    <w:rsid w:val="008F37E5"/>
    <w:rsid w:val="008F7EBF"/>
    <w:rsid w:val="00914E36"/>
    <w:rsid w:val="00914E47"/>
    <w:rsid w:val="00917AA1"/>
    <w:rsid w:val="00923E7E"/>
    <w:rsid w:val="00927078"/>
    <w:rsid w:val="00934CE3"/>
    <w:rsid w:val="00936A67"/>
    <w:rsid w:val="00946C8F"/>
    <w:rsid w:val="009515B5"/>
    <w:rsid w:val="00951BFC"/>
    <w:rsid w:val="00957A7D"/>
    <w:rsid w:val="00960AFC"/>
    <w:rsid w:val="009643F4"/>
    <w:rsid w:val="00964898"/>
    <w:rsid w:val="00965BDC"/>
    <w:rsid w:val="00970F1F"/>
    <w:rsid w:val="00971921"/>
    <w:rsid w:val="00971BE3"/>
    <w:rsid w:val="0097262C"/>
    <w:rsid w:val="00976C77"/>
    <w:rsid w:val="00985411"/>
    <w:rsid w:val="00985494"/>
    <w:rsid w:val="00985DE4"/>
    <w:rsid w:val="00995300"/>
    <w:rsid w:val="009A064C"/>
    <w:rsid w:val="009A558C"/>
    <w:rsid w:val="009B32D9"/>
    <w:rsid w:val="009B699E"/>
    <w:rsid w:val="009C260E"/>
    <w:rsid w:val="009C56FC"/>
    <w:rsid w:val="009C6875"/>
    <w:rsid w:val="009D0349"/>
    <w:rsid w:val="009D57EF"/>
    <w:rsid w:val="009D735B"/>
    <w:rsid w:val="009E3BD7"/>
    <w:rsid w:val="009E7908"/>
    <w:rsid w:val="009E7B02"/>
    <w:rsid w:val="009F09EB"/>
    <w:rsid w:val="009F116D"/>
    <w:rsid w:val="009F1864"/>
    <w:rsid w:val="00A032E8"/>
    <w:rsid w:val="00A04F8C"/>
    <w:rsid w:val="00A06F58"/>
    <w:rsid w:val="00A11ECF"/>
    <w:rsid w:val="00A12B90"/>
    <w:rsid w:val="00A12E03"/>
    <w:rsid w:val="00A1316F"/>
    <w:rsid w:val="00A13AD1"/>
    <w:rsid w:val="00A16D40"/>
    <w:rsid w:val="00A2213E"/>
    <w:rsid w:val="00A22E7D"/>
    <w:rsid w:val="00A3141C"/>
    <w:rsid w:val="00A336D0"/>
    <w:rsid w:val="00A377EF"/>
    <w:rsid w:val="00A4262F"/>
    <w:rsid w:val="00A42729"/>
    <w:rsid w:val="00A4407E"/>
    <w:rsid w:val="00A51C96"/>
    <w:rsid w:val="00A54A05"/>
    <w:rsid w:val="00A571C6"/>
    <w:rsid w:val="00A636B6"/>
    <w:rsid w:val="00A64400"/>
    <w:rsid w:val="00A64B11"/>
    <w:rsid w:val="00A71251"/>
    <w:rsid w:val="00A73474"/>
    <w:rsid w:val="00A769E5"/>
    <w:rsid w:val="00A8552A"/>
    <w:rsid w:val="00A9079F"/>
    <w:rsid w:val="00A91997"/>
    <w:rsid w:val="00A93763"/>
    <w:rsid w:val="00A94072"/>
    <w:rsid w:val="00AA55F9"/>
    <w:rsid w:val="00AA5D70"/>
    <w:rsid w:val="00AB2CBC"/>
    <w:rsid w:val="00AB3964"/>
    <w:rsid w:val="00AB3B50"/>
    <w:rsid w:val="00AC3C1F"/>
    <w:rsid w:val="00AC5DC9"/>
    <w:rsid w:val="00AC6327"/>
    <w:rsid w:val="00AD0A4A"/>
    <w:rsid w:val="00AD266C"/>
    <w:rsid w:val="00AD3CCB"/>
    <w:rsid w:val="00AD51CB"/>
    <w:rsid w:val="00AD667B"/>
    <w:rsid w:val="00AE0915"/>
    <w:rsid w:val="00AE2871"/>
    <w:rsid w:val="00AE386D"/>
    <w:rsid w:val="00AE5ACB"/>
    <w:rsid w:val="00AF7004"/>
    <w:rsid w:val="00B06B13"/>
    <w:rsid w:val="00B07790"/>
    <w:rsid w:val="00B07E72"/>
    <w:rsid w:val="00B1682E"/>
    <w:rsid w:val="00B21DB3"/>
    <w:rsid w:val="00B24E5C"/>
    <w:rsid w:val="00B24FCD"/>
    <w:rsid w:val="00B253D7"/>
    <w:rsid w:val="00B26205"/>
    <w:rsid w:val="00B279AE"/>
    <w:rsid w:val="00B32333"/>
    <w:rsid w:val="00B32492"/>
    <w:rsid w:val="00B32D57"/>
    <w:rsid w:val="00B40428"/>
    <w:rsid w:val="00B43394"/>
    <w:rsid w:val="00B433C2"/>
    <w:rsid w:val="00B43A9D"/>
    <w:rsid w:val="00B47467"/>
    <w:rsid w:val="00B50D55"/>
    <w:rsid w:val="00B51980"/>
    <w:rsid w:val="00B53161"/>
    <w:rsid w:val="00B549A5"/>
    <w:rsid w:val="00B54CE3"/>
    <w:rsid w:val="00B61EDA"/>
    <w:rsid w:val="00B662F7"/>
    <w:rsid w:val="00B806BF"/>
    <w:rsid w:val="00B8143E"/>
    <w:rsid w:val="00B84E49"/>
    <w:rsid w:val="00B95484"/>
    <w:rsid w:val="00BA3377"/>
    <w:rsid w:val="00BA5710"/>
    <w:rsid w:val="00BA6EAA"/>
    <w:rsid w:val="00BB0786"/>
    <w:rsid w:val="00BB1F0E"/>
    <w:rsid w:val="00BB4AC5"/>
    <w:rsid w:val="00BC0EA6"/>
    <w:rsid w:val="00BC2095"/>
    <w:rsid w:val="00BC516D"/>
    <w:rsid w:val="00BC5188"/>
    <w:rsid w:val="00BC6E3A"/>
    <w:rsid w:val="00BD0AF0"/>
    <w:rsid w:val="00BD3859"/>
    <w:rsid w:val="00BD423A"/>
    <w:rsid w:val="00BD776D"/>
    <w:rsid w:val="00BE00F9"/>
    <w:rsid w:val="00BF02E2"/>
    <w:rsid w:val="00BF16FD"/>
    <w:rsid w:val="00BF4793"/>
    <w:rsid w:val="00BF5362"/>
    <w:rsid w:val="00C01E17"/>
    <w:rsid w:val="00C10E48"/>
    <w:rsid w:val="00C1506F"/>
    <w:rsid w:val="00C21668"/>
    <w:rsid w:val="00C23EA8"/>
    <w:rsid w:val="00C303A4"/>
    <w:rsid w:val="00C349D0"/>
    <w:rsid w:val="00C44CA9"/>
    <w:rsid w:val="00C453D5"/>
    <w:rsid w:val="00C454AB"/>
    <w:rsid w:val="00C557D1"/>
    <w:rsid w:val="00C569D3"/>
    <w:rsid w:val="00C64273"/>
    <w:rsid w:val="00C672FD"/>
    <w:rsid w:val="00C7028C"/>
    <w:rsid w:val="00C725A6"/>
    <w:rsid w:val="00C77304"/>
    <w:rsid w:val="00C77311"/>
    <w:rsid w:val="00C77951"/>
    <w:rsid w:val="00C96CB5"/>
    <w:rsid w:val="00C96FA5"/>
    <w:rsid w:val="00CB11C3"/>
    <w:rsid w:val="00CB24B2"/>
    <w:rsid w:val="00CB51F8"/>
    <w:rsid w:val="00CB753A"/>
    <w:rsid w:val="00CB770F"/>
    <w:rsid w:val="00CC3746"/>
    <w:rsid w:val="00CC39D8"/>
    <w:rsid w:val="00CC43FF"/>
    <w:rsid w:val="00CE0C5B"/>
    <w:rsid w:val="00CE1DB7"/>
    <w:rsid w:val="00CE529C"/>
    <w:rsid w:val="00CE704C"/>
    <w:rsid w:val="00CF01C0"/>
    <w:rsid w:val="00CF0A00"/>
    <w:rsid w:val="00CF29F2"/>
    <w:rsid w:val="00CF518E"/>
    <w:rsid w:val="00D04970"/>
    <w:rsid w:val="00D04C77"/>
    <w:rsid w:val="00D04D43"/>
    <w:rsid w:val="00D11710"/>
    <w:rsid w:val="00D11A16"/>
    <w:rsid w:val="00D13ED2"/>
    <w:rsid w:val="00D14435"/>
    <w:rsid w:val="00D2452C"/>
    <w:rsid w:val="00D256AF"/>
    <w:rsid w:val="00D3082D"/>
    <w:rsid w:val="00D4387F"/>
    <w:rsid w:val="00D43A48"/>
    <w:rsid w:val="00D4734C"/>
    <w:rsid w:val="00D50ABB"/>
    <w:rsid w:val="00D5300A"/>
    <w:rsid w:val="00D569DE"/>
    <w:rsid w:val="00D60564"/>
    <w:rsid w:val="00D608B5"/>
    <w:rsid w:val="00D6191D"/>
    <w:rsid w:val="00D61AA8"/>
    <w:rsid w:val="00D62E47"/>
    <w:rsid w:val="00D677A4"/>
    <w:rsid w:val="00D70BB9"/>
    <w:rsid w:val="00D71BA8"/>
    <w:rsid w:val="00D71C9B"/>
    <w:rsid w:val="00D74936"/>
    <w:rsid w:val="00D82042"/>
    <w:rsid w:val="00D82257"/>
    <w:rsid w:val="00D8297D"/>
    <w:rsid w:val="00D833FB"/>
    <w:rsid w:val="00D94CA5"/>
    <w:rsid w:val="00D967A6"/>
    <w:rsid w:val="00DA2D96"/>
    <w:rsid w:val="00DA42A4"/>
    <w:rsid w:val="00DA5D8A"/>
    <w:rsid w:val="00DB18AB"/>
    <w:rsid w:val="00DB1FE7"/>
    <w:rsid w:val="00DB221E"/>
    <w:rsid w:val="00DB4705"/>
    <w:rsid w:val="00DB56EF"/>
    <w:rsid w:val="00DC717F"/>
    <w:rsid w:val="00DF0B49"/>
    <w:rsid w:val="00DF3AB9"/>
    <w:rsid w:val="00DF6DA3"/>
    <w:rsid w:val="00DF789F"/>
    <w:rsid w:val="00E02720"/>
    <w:rsid w:val="00E14619"/>
    <w:rsid w:val="00E23B04"/>
    <w:rsid w:val="00E27067"/>
    <w:rsid w:val="00E31ACF"/>
    <w:rsid w:val="00E33B7F"/>
    <w:rsid w:val="00E44AB0"/>
    <w:rsid w:val="00E54508"/>
    <w:rsid w:val="00E60D66"/>
    <w:rsid w:val="00E61123"/>
    <w:rsid w:val="00E6263B"/>
    <w:rsid w:val="00E62BE8"/>
    <w:rsid w:val="00E7144F"/>
    <w:rsid w:val="00E71C04"/>
    <w:rsid w:val="00E71CB6"/>
    <w:rsid w:val="00E75465"/>
    <w:rsid w:val="00E76BC8"/>
    <w:rsid w:val="00E76D8F"/>
    <w:rsid w:val="00E76ED9"/>
    <w:rsid w:val="00E8065C"/>
    <w:rsid w:val="00E80A74"/>
    <w:rsid w:val="00E92D9D"/>
    <w:rsid w:val="00E93ED1"/>
    <w:rsid w:val="00EA737B"/>
    <w:rsid w:val="00EA7640"/>
    <w:rsid w:val="00EB08B4"/>
    <w:rsid w:val="00EB2DE6"/>
    <w:rsid w:val="00EB415F"/>
    <w:rsid w:val="00EB4821"/>
    <w:rsid w:val="00EB4F55"/>
    <w:rsid w:val="00EC651B"/>
    <w:rsid w:val="00EC70CF"/>
    <w:rsid w:val="00ED029A"/>
    <w:rsid w:val="00ED56F2"/>
    <w:rsid w:val="00ED5733"/>
    <w:rsid w:val="00ED70F8"/>
    <w:rsid w:val="00ED7F6B"/>
    <w:rsid w:val="00EF6F16"/>
    <w:rsid w:val="00F06A19"/>
    <w:rsid w:val="00F10844"/>
    <w:rsid w:val="00F12F53"/>
    <w:rsid w:val="00F153A3"/>
    <w:rsid w:val="00F1611B"/>
    <w:rsid w:val="00F17550"/>
    <w:rsid w:val="00F20CBF"/>
    <w:rsid w:val="00F249C5"/>
    <w:rsid w:val="00F324DB"/>
    <w:rsid w:val="00F332B6"/>
    <w:rsid w:val="00F35C6B"/>
    <w:rsid w:val="00F361DE"/>
    <w:rsid w:val="00F36203"/>
    <w:rsid w:val="00F4370A"/>
    <w:rsid w:val="00F442D3"/>
    <w:rsid w:val="00F50F77"/>
    <w:rsid w:val="00F62047"/>
    <w:rsid w:val="00F654F0"/>
    <w:rsid w:val="00F679B3"/>
    <w:rsid w:val="00F7122A"/>
    <w:rsid w:val="00F76FC6"/>
    <w:rsid w:val="00F8062D"/>
    <w:rsid w:val="00F82576"/>
    <w:rsid w:val="00F85EF7"/>
    <w:rsid w:val="00F903DB"/>
    <w:rsid w:val="00F90DCC"/>
    <w:rsid w:val="00F96653"/>
    <w:rsid w:val="00FA5404"/>
    <w:rsid w:val="00FA6643"/>
    <w:rsid w:val="00FB33EE"/>
    <w:rsid w:val="00FB4FBA"/>
    <w:rsid w:val="00FB72DE"/>
    <w:rsid w:val="00FC368B"/>
    <w:rsid w:val="00FC5369"/>
    <w:rsid w:val="00FD0A25"/>
    <w:rsid w:val="00FD1324"/>
    <w:rsid w:val="00FD2A95"/>
    <w:rsid w:val="00FD56F4"/>
    <w:rsid w:val="00FD6000"/>
    <w:rsid w:val="00FE1673"/>
    <w:rsid w:val="00FE16E5"/>
    <w:rsid w:val="00FE3D20"/>
    <w:rsid w:val="00FE634C"/>
    <w:rsid w:val="00FE76FA"/>
    <w:rsid w:val="00FF1614"/>
    <w:rsid w:val="00FF6719"/>
    <w:rsid w:val="00FF79D1"/>
    <w:rsid w:val="019128C4"/>
    <w:rsid w:val="0191A1B8"/>
    <w:rsid w:val="01DC7925"/>
    <w:rsid w:val="0207C159"/>
    <w:rsid w:val="021654D6"/>
    <w:rsid w:val="0234DCFD"/>
    <w:rsid w:val="026266D9"/>
    <w:rsid w:val="02B367C4"/>
    <w:rsid w:val="02D4882F"/>
    <w:rsid w:val="0316B1DA"/>
    <w:rsid w:val="032042A5"/>
    <w:rsid w:val="036511A0"/>
    <w:rsid w:val="03939C68"/>
    <w:rsid w:val="049619A3"/>
    <w:rsid w:val="04A145A3"/>
    <w:rsid w:val="04AE3EE0"/>
    <w:rsid w:val="04BC1306"/>
    <w:rsid w:val="04C3FA91"/>
    <w:rsid w:val="0639C2DC"/>
    <w:rsid w:val="06597787"/>
    <w:rsid w:val="07668D4D"/>
    <w:rsid w:val="0788B44F"/>
    <w:rsid w:val="07B71297"/>
    <w:rsid w:val="07F1650C"/>
    <w:rsid w:val="08D5F86A"/>
    <w:rsid w:val="092FF2A8"/>
    <w:rsid w:val="095F7A8A"/>
    <w:rsid w:val="09720098"/>
    <w:rsid w:val="097608E6"/>
    <w:rsid w:val="09783158"/>
    <w:rsid w:val="09DE2734"/>
    <w:rsid w:val="0A134412"/>
    <w:rsid w:val="0A59144F"/>
    <w:rsid w:val="0AFCB007"/>
    <w:rsid w:val="0AFE8E60"/>
    <w:rsid w:val="0B1401B9"/>
    <w:rsid w:val="0B474E5C"/>
    <w:rsid w:val="0B698394"/>
    <w:rsid w:val="0B753238"/>
    <w:rsid w:val="0C77E0E7"/>
    <w:rsid w:val="0C93F974"/>
    <w:rsid w:val="0CE2BFF2"/>
    <w:rsid w:val="0CF0FFCB"/>
    <w:rsid w:val="0CFB3B12"/>
    <w:rsid w:val="0D4E45AA"/>
    <w:rsid w:val="0E28E040"/>
    <w:rsid w:val="0E8119E6"/>
    <w:rsid w:val="0EC77498"/>
    <w:rsid w:val="0ED5DFA4"/>
    <w:rsid w:val="0EDE95D9"/>
    <w:rsid w:val="0EDEABD4"/>
    <w:rsid w:val="0EEA160B"/>
    <w:rsid w:val="0EF53F84"/>
    <w:rsid w:val="0F0C2299"/>
    <w:rsid w:val="0F19C6AC"/>
    <w:rsid w:val="0F23325B"/>
    <w:rsid w:val="0F2849EB"/>
    <w:rsid w:val="0F873ABF"/>
    <w:rsid w:val="0FC4B0A1"/>
    <w:rsid w:val="0FD5EB78"/>
    <w:rsid w:val="102D1283"/>
    <w:rsid w:val="1058F713"/>
    <w:rsid w:val="10EC12AA"/>
    <w:rsid w:val="113DF537"/>
    <w:rsid w:val="11504659"/>
    <w:rsid w:val="115330CB"/>
    <w:rsid w:val="11E7BA82"/>
    <w:rsid w:val="11FB9A63"/>
    <w:rsid w:val="121D2DDE"/>
    <w:rsid w:val="1233A983"/>
    <w:rsid w:val="12565B8A"/>
    <w:rsid w:val="125A3DC4"/>
    <w:rsid w:val="125E734E"/>
    <w:rsid w:val="12621DF6"/>
    <w:rsid w:val="12788AA3"/>
    <w:rsid w:val="12970EA9"/>
    <w:rsid w:val="13964517"/>
    <w:rsid w:val="13B99B39"/>
    <w:rsid w:val="13BFFDCF"/>
    <w:rsid w:val="13CBDBD1"/>
    <w:rsid w:val="13E88B56"/>
    <w:rsid w:val="13F60D77"/>
    <w:rsid w:val="14780224"/>
    <w:rsid w:val="149821C4"/>
    <w:rsid w:val="14F7B78C"/>
    <w:rsid w:val="15044DE2"/>
    <w:rsid w:val="150D9D91"/>
    <w:rsid w:val="15143A1D"/>
    <w:rsid w:val="15533B09"/>
    <w:rsid w:val="15D16C47"/>
    <w:rsid w:val="16395386"/>
    <w:rsid w:val="165CCC5A"/>
    <w:rsid w:val="1661B813"/>
    <w:rsid w:val="16683EDE"/>
    <w:rsid w:val="168C27C4"/>
    <w:rsid w:val="16918A0D"/>
    <w:rsid w:val="16BE87A4"/>
    <w:rsid w:val="16EA3F36"/>
    <w:rsid w:val="1714B9FB"/>
    <w:rsid w:val="1732D369"/>
    <w:rsid w:val="1741AD38"/>
    <w:rsid w:val="17D5DB1C"/>
    <w:rsid w:val="17E0D314"/>
    <w:rsid w:val="1867F007"/>
    <w:rsid w:val="1869B63A"/>
    <w:rsid w:val="189DFF8C"/>
    <w:rsid w:val="18C1C493"/>
    <w:rsid w:val="18DAE15D"/>
    <w:rsid w:val="19A61C4C"/>
    <w:rsid w:val="1A4F21BA"/>
    <w:rsid w:val="1A8D4138"/>
    <w:rsid w:val="1A932375"/>
    <w:rsid w:val="1A9B1116"/>
    <w:rsid w:val="1AB38760"/>
    <w:rsid w:val="1B2A6A36"/>
    <w:rsid w:val="1B439C8C"/>
    <w:rsid w:val="1BDF9CC6"/>
    <w:rsid w:val="1BE454E7"/>
    <w:rsid w:val="1C8346DA"/>
    <w:rsid w:val="1CA333A9"/>
    <w:rsid w:val="1D285673"/>
    <w:rsid w:val="1D953FFE"/>
    <w:rsid w:val="1DBA10F5"/>
    <w:rsid w:val="1DCC761B"/>
    <w:rsid w:val="1DE7389C"/>
    <w:rsid w:val="1DEE0B6C"/>
    <w:rsid w:val="1E018A0A"/>
    <w:rsid w:val="1E36465F"/>
    <w:rsid w:val="1E73269C"/>
    <w:rsid w:val="1EA9E324"/>
    <w:rsid w:val="1EF66DCD"/>
    <w:rsid w:val="1F4E5000"/>
    <w:rsid w:val="1F6EA176"/>
    <w:rsid w:val="1FB86344"/>
    <w:rsid w:val="1FCCBAB1"/>
    <w:rsid w:val="20345B74"/>
    <w:rsid w:val="207FCD22"/>
    <w:rsid w:val="20C11121"/>
    <w:rsid w:val="21898ABB"/>
    <w:rsid w:val="21AE7FB8"/>
    <w:rsid w:val="21B1AECB"/>
    <w:rsid w:val="21B2F40B"/>
    <w:rsid w:val="2209442B"/>
    <w:rsid w:val="2227BC37"/>
    <w:rsid w:val="223EB62B"/>
    <w:rsid w:val="22689B46"/>
    <w:rsid w:val="22881BD1"/>
    <w:rsid w:val="22B65CAC"/>
    <w:rsid w:val="238197C3"/>
    <w:rsid w:val="242BD9B8"/>
    <w:rsid w:val="2431FFDB"/>
    <w:rsid w:val="2472BC8C"/>
    <w:rsid w:val="24F821A7"/>
    <w:rsid w:val="2593FF70"/>
    <w:rsid w:val="25C11AFC"/>
    <w:rsid w:val="2626DB96"/>
    <w:rsid w:val="262EBC2F"/>
    <w:rsid w:val="26532AD6"/>
    <w:rsid w:val="265C6040"/>
    <w:rsid w:val="269F6B9B"/>
    <w:rsid w:val="26A6D37A"/>
    <w:rsid w:val="26AD89A3"/>
    <w:rsid w:val="27231EAC"/>
    <w:rsid w:val="27D443E8"/>
    <w:rsid w:val="27DE3DBD"/>
    <w:rsid w:val="2842A3DB"/>
    <w:rsid w:val="284BC87B"/>
    <w:rsid w:val="286DA248"/>
    <w:rsid w:val="28B8F22B"/>
    <w:rsid w:val="28C00C4E"/>
    <w:rsid w:val="298F5EDC"/>
    <w:rsid w:val="2A88857B"/>
    <w:rsid w:val="2A8CD588"/>
    <w:rsid w:val="2B067272"/>
    <w:rsid w:val="2B18306C"/>
    <w:rsid w:val="2B1D8712"/>
    <w:rsid w:val="2B670AB1"/>
    <w:rsid w:val="2C7CDB5D"/>
    <w:rsid w:val="2C899680"/>
    <w:rsid w:val="2C999D75"/>
    <w:rsid w:val="2D2451B7"/>
    <w:rsid w:val="2D904D59"/>
    <w:rsid w:val="2D9E33B2"/>
    <w:rsid w:val="2DBAB327"/>
    <w:rsid w:val="2DBBF181"/>
    <w:rsid w:val="2DC8F408"/>
    <w:rsid w:val="2DE21397"/>
    <w:rsid w:val="2E1F3AD1"/>
    <w:rsid w:val="2E2DE5F2"/>
    <w:rsid w:val="2E5A7DD2"/>
    <w:rsid w:val="2E6F57B7"/>
    <w:rsid w:val="2EAC96B3"/>
    <w:rsid w:val="2ED7644E"/>
    <w:rsid w:val="2F0B43D5"/>
    <w:rsid w:val="2F23AC4D"/>
    <w:rsid w:val="2F42CE41"/>
    <w:rsid w:val="2F575D06"/>
    <w:rsid w:val="30061801"/>
    <w:rsid w:val="30CB92CB"/>
    <w:rsid w:val="316EC085"/>
    <w:rsid w:val="321E0DEF"/>
    <w:rsid w:val="324C1FDF"/>
    <w:rsid w:val="326CC48D"/>
    <w:rsid w:val="328F3AD9"/>
    <w:rsid w:val="32BC6602"/>
    <w:rsid w:val="337DE85A"/>
    <w:rsid w:val="340894EE"/>
    <w:rsid w:val="34163F64"/>
    <w:rsid w:val="342E8E24"/>
    <w:rsid w:val="34748B70"/>
    <w:rsid w:val="3492AB00"/>
    <w:rsid w:val="34CECD7F"/>
    <w:rsid w:val="3502743B"/>
    <w:rsid w:val="3508B134"/>
    <w:rsid w:val="354CE4A5"/>
    <w:rsid w:val="35B44056"/>
    <w:rsid w:val="35C7DE23"/>
    <w:rsid w:val="35DE5BE3"/>
    <w:rsid w:val="3642AC2D"/>
    <w:rsid w:val="365415E2"/>
    <w:rsid w:val="367BDD60"/>
    <w:rsid w:val="368AD95B"/>
    <w:rsid w:val="369E2F1B"/>
    <w:rsid w:val="36FEC092"/>
    <w:rsid w:val="372EFB1D"/>
    <w:rsid w:val="375EB656"/>
    <w:rsid w:val="37EB92B5"/>
    <w:rsid w:val="382A2738"/>
    <w:rsid w:val="38DC0611"/>
    <w:rsid w:val="38E9B087"/>
    <w:rsid w:val="38EE0094"/>
    <w:rsid w:val="390B5610"/>
    <w:rsid w:val="3922EAD6"/>
    <w:rsid w:val="394EE5E8"/>
    <w:rsid w:val="398569DD"/>
    <w:rsid w:val="39997D36"/>
    <w:rsid w:val="39AA81AB"/>
    <w:rsid w:val="39AFB4B5"/>
    <w:rsid w:val="3AA59F33"/>
    <w:rsid w:val="3AB00F8A"/>
    <w:rsid w:val="3B917A3F"/>
    <w:rsid w:val="3BEA8471"/>
    <w:rsid w:val="3BEE5F7A"/>
    <w:rsid w:val="3BFECA2C"/>
    <w:rsid w:val="3C732DCB"/>
    <w:rsid w:val="3C920C29"/>
    <w:rsid w:val="3CACFEB8"/>
    <w:rsid w:val="3CF5ACA7"/>
    <w:rsid w:val="3D8654D2"/>
    <w:rsid w:val="3DC5B4D1"/>
    <w:rsid w:val="3DC7653E"/>
    <w:rsid w:val="3E7BD2DD"/>
    <w:rsid w:val="3E7C4E0B"/>
    <w:rsid w:val="3F652F9E"/>
    <w:rsid w:val="402DBC14"/>
    <w:rsid w:val="404451A5"/>
    <w:rsid w:val="40B35F6A"/>
    <w:rsid w:val="40F48E38"/>
    <w:rsid w:val="4100FFFF"/>
    <w:rsid w:val="41550C6B"/>
    <w:rsid w:val="4180305C"/>
    <w:rsid w:val="41A60A85"/>
    <w:rsid w:val="41EAB5F0"/>
    <w:rsid w:val="4241D1A5"/>
    <w:rsid w:val="42D8783D"/>
    <w:rsid w:val="43016B07"/>
    <w:rsid w:val="431F6830"/>
    <w:rsid w:val="447C2C90"/>
    <w:rsid w:val="451BF165"/>
    <w:rsid w:val="45211B69"/>
    <w:rsid w:val="4524762E"/>
    <w:rsid w:val="457432AD"/>
    <w:rsid w:val="458C4797"/>
    <w:rsid w:val="45E3DF75"/>
    <w:rsid w:val="4645CD55"/>
    <w:rsid w:val="464C8CB1"/>
    <w:rsid w:val="468904B3"/>
    <w:rsid w:val="468F438D"/>
    <w:rsid w:val="46C83BCD"/>
    <w:rsid w:val="47222E53"/>
    <w:rsid w:val="475EA4BD"/>
    <w:rsid w:val="481ABE67"/>
    <w:rsid w:val="48640476"/>
    <w:rsid w:val="486D9541"/>
    <w:rsid w:val="48D2189F"/>
    <w:rsid w:val="490190CE"/>
    <w:rsid w:val="494006AB"/>
    <w:rsid w:val="49421720"/>
    <w:rsid w:val="4954546B"/>
    <w:rsid w:val="49615CBB"/>
    <w:rsid w:val="49A106B3"/>
    <w:rsid w:val="49A79389"/>
    <w:rsid w:val="49CCC471"/>
    <w:rsid w:val="4A0B2B0F"/>
    <w:rsid w:val="4A2373B5"/>
    <w:rsid w:val="4AEBAA44"/>
    <w:rsid w:val="4B238DB8"/>
    <w:rsid w:val="4B2F7243"/>
    <w:rsid w:val="4B3A239D"/>
    <w:rsid w:val="4B434D79"/>
    <w:rsid w:val="4B4B145A"/>
    <w:rsid w:val="4BF1A3AA"/>
    <w:rsid w:val="4BFD275A"/>
    <w:rsid w:val="4C2A24DC"/>
    <w:rsid w:val="4C31D95D"/>
    <w:rsid w:val="4C76A01A"/>
    <w:rsid w:val="4CD606EB"/>
    <w:rsid w:val="4DC6A0C6"/>
    <w:rsid w:val="4E135DF1"/>
    <w:rsid w:val="4E410B49"/>
    <w:rsid w:val="4E4EB42B"/>
    <w:rsid w:val="4F4ACF27"/>
    <w:rsid w:val="4FBC270A"/>
    <w:rsid w:val="4FC5D2E6"/>
    <w:rsid w:val="5028D789"/>
    <w:rsid w:val="50421583"/>
    <w:rsid w:val="50F4ECC4"/>
    <w:rsid w:val="511B18C1"/>
    <w:rsid w:val="5177EFBE"/>
    <w:rsid w:val="521EFBAE"/>
    <w:rsid w:val="52CD3778"/>
    <w:rsid w:val="537D0741"/>
    <w:rsid w:val="5382FBE6"/>
    <w:rsid w:val="5460FC50"/>
    <w:rsid w:val="5470DF64"/>
    <w:rsid w:val="54A0314E"/>
    <w:rsid w:val="54C90C18"/>
    <w:rsid w:val="54D65489"/>
    <w:rsid w:val="550CE332"/>
    <w:rsid w:val="55233E14"/>
    <w:rsid w:val="555A4260"/>
    <w:rsid w:val="55A135D1"/>
    <w:rsid w:val="55E7ADA4"/>
    <w:rsid w:val="5624448B"/>
    <w:rsid w:val="56AD6C36"/>
    <w:rsid w:val="56C5618D"/>
    <w:rsid w:val="56E1050F"/>
    <w:rsid w:val="575B8328"/>
    <w:rsid w:val="579B03F5"/>
    <w:rsid w:val="57CA4BD2"/>
    <w:rsid w:val="583EBF9B"/>
    <w:rsid w:val="587A347F"/>
    <w:rsid w:val="588CCDAF"/>
    <w:rsid w:val="58A76754"/>
    <w:rsid w:val="5A3395EE"/>
    <w:rsid w:val="5A59C0A0"/>
    <w:rsid w:val="5B505A54"/>
    <w:rsid w:val="5B52ACD1"/>
    <w:rsid w:val="5B635FCD"/>
    <w:rsid w:val="5BB51A1A"/>
    <w:rsid w:val="5BF0C0E6"/>
    <w:rsid w:val="5C5A05EB"/>
    <w:rsid w:val="5C715B4C"/>
    <w:rsid w:val="5DD85DA7"/>
    <w:rsid w:val="5E0E4875"/>
    <w:rsid w:val="5E489E65"/>
    <w:rsid w:val="5E9CFBC2"/>
    <w:rsid w:val="5EC10EBD"/>
    <w:rsid w:val="5EE97EF4"/>
    <w:rsid w:val="5EFC0F33"/>
    <w:rsid w:val="5F33E942"/>
    <w:rsid w:val="5F6E9B1C"/>
    <w:rsid w:val="5F9979E8"/>
    <w:rsid w:val="5FDD22BC"/>
    <w:rsid w:val="5FF3B15F"/>
    <w:rsid w:val="600727EE"/>
    <w:rsid w:val="60240F8B"/>
    <w:rsid w:val="607D9019"/>
    <w:rsid w:val="6088CFCC"/>
    <w:rsid w:val="60A46B09"/>
    <w:rsid w:val="6103F295"/>
    <w:rsid w:val="61354A49"/>
    <w:rsid w:val="61539728"/>
    <w:rsid w:val="618AB4BE"/>
    <w:rsid w:val="61BD4A54"/>
    <w:rsid w:val="6219607A"/>
    <w:rsid w:val="623DAA63"/>
    <w:rsid w:val="62526E96"/>
    <w:rsid w:val="627FBB7A"/>
    <w:rsid w:val="628A79F9"/>
    <w:rsid w:val="62942E84"/>
    <w:rsid w:val="62D0C152"/>
    <w:rsid w:val="6310759A"/>
    <w:rsid w:val="63534851"/>
    <w:rsid w:val="63A90E99"/>
    <w:rsid w:val="6405CB9D"/>
    <w:rsid w:val="641C8AA3"/>
    <w:rsid w:val="641E4033"/>
    <w:rsid w:val="655F2AA4"/>
    <w:rsid w:val="655F4BE0"/>
    <w:rsid w:val="6607190B"/>
    <w:rsid w:val="6631B9C2"/>
    <w:rsid w:val="668B19A6"/>
    <w:rsid w:val="672F0DB9"/>
    <w:rsid w:val="67BB8399"/>
    <w:rsid w:val="67FCAA73"/>
    <w:rsid w:val="6826B974"/>
    <w:rsid w:val="6853B985"/>
    <w:rsid w:val="68586BDF"/>
    <w:rsid w:val="6908B124"/>
    <w:rsid w:val="69D682BA"/>
    <w:rsid w:val="69FB982A"/>
    <w:rsid w:val="6A0B4A02"/>
    <w:rsid w:val="6A53C7B0"/>
    <w:rsid w:val="6A79CBB7"/>
    <w:rsid w:val="6AA3C75C"/>
    <w:rsid w:val="6AA4A3B8"/>
    <w:rsid w:val="6AF5B1B3"/>
    <w:rsid w:val="6B2094FB"/>
    <w:rsid w:val="6B625275"/>
    <w:rsid w:val="6BBD9823"/>
    <w:rsid w:val="6C0DB7A1"/>
    <w:rsid w:val="6C4A2FA3"/>
    <w:rsid w:val="6C9E2629"/>
    <w:rsid w:val="6CB4C8C9"/>
    <w:rsid w:val="6CCC8299"/>
    <w:rsid w:val="6CEB0BBE"/>
    <w:rsid w:val="6CFA2A97"/>
    <w:rsid w:val="6D8C0FBF"/>
    <w:rsid w:val="6E95FAF8"/>
    <w:rsid w:val="6E9995F1"/>
    <w:rsid w:val="6EABFFB8"/>
    <w:rsid w:val="6F899A3E"/>
    <w:rsid w:val="70467049"/>
    <w:rsid w:val="70479C87"/>
    <w:rsid w:val="707A8B86"/>
    <w:rsid w:val="7097FB35"/>
    <w:rsid w:val="70A360A5"/>
    <w:rsid w:val="719F03CA"/>
    <w:rsid w:val="720507EF"/>
    <w:rsid w:val="72490A71"/>
    <w:rsid w:val="72544239"/>
    <w:rsid w:val="727511B0"/>
    <w:rsid w:val="727CB75C"/>
    <w:rsid w:val="729D51A3"/>
    <w:rsid w:val="72E476C7"/>
    <w:rsid w:val="731628D6"/>
    <w:rsid w:val="7337705A"/>
    <w:rsid w:val="73659112"/>
    <w:rsid w:val="73895213"/>
    <w:rsid w:val="73A13F53"/>
    <w:rsid w:val="74394D07"/>
    <w:rsid w:val="74827667"/>
    <w:rsid w:val="749470EA"/>
    <w:rsid w:val="74FF0F82"/>
    <w:rsid w:val="752B758C"/>
    <w:rsid w:val="75ACF467"/>
    <w:rsid w:val="7655F396"/>
    <w:rsid w:val="7663ACF6"/>
    <w:rsid w:val="76962577"/>
    <w:rsid w:val="769EBF1E"/>
    <w:rsid w:val="77148FCF"/>
    <w:rsid w:val="78786234"/>
    <w:rsid w:val="78881FBB"/>
    <w:rsid w:val="789E47E7"/>
    <w:rsid w:val="78F055EC"/>
    <w:rsid w:val="7917CCCD"/>
    <w:rsid w:val="79261528"/>
    <w:rsid w:val="79508629"/>
    <w:rsid w:val="79534437"/>
    <w:rsid w:val="79639200"/>
    <w:rsid w:val="7964BE9F"/>
    <w:rsid w:val="7964EDB0"/>
    <w:rsid w:val="799B6A8E"/>
    <w:rsid w:val="79AB312A"/>
    <w:rsid w:val="79AD7685"/>
    <w:rsid w:val="7A3571B3"/>
    <w:rsid w:val="7A3EAA22"/>
    <w:rsid w:val="7B87679D"/>
    <w:rsid w:val="7B9463F8"/>
    <w:rsid w:val="7BB67D38"/>
    <w:rsid w:val="7BFC39F8"/>
    <w:rsid w:val="7C0D9B73"/>
    <w:rsid w:val="7CFEF59E"/>
    <w:rsid w:val="7D9AFFB1"/>
    <w:rsid w:val="7DD21593"/>
    <w:rsid w:val="7E2958AD"/>
    <w:rsid w:val="7E614D33"/>
    <w:rsid w:val="7E75ECB9"/>
    <w:rsid w:val="7E85B5A1"/>
    <w:rsid w:val="7EAB8BD6"/>
    <w:rsid w:val="7ECC04BA"/>
    <w:rsid w:val="7F3ED741"/>
    <w:rsid w:val="7F7717B2"/>
    <w:rsid w:val="7FC09BEF"/>
    <w:rsid w:val="7FE8A1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36ED90"/>
  <w15:chartTrackingRefBased/>
  <w15:docId w15:val="{EEFB197E-AEFA-48F4-B36B-7DE729C1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2F66EB"/>
    <w:pPr>
      <w:keepNext/>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autoRedefine/>
    <w:qFormat/>
    <w:rsid w:val="005661D8"/>
    <w:pPr>
      <w:keepNext/>
      <w:numPr>
        <w:ilvl w:val="1"/>
        <w:numId w:val="2"/>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rsid w:val="00F679B3"/>
    <w:pPr>
      <w:keepNext/>
      <w:numPr>
        <w:ilvl w:val="2"/>
        <w:numId w:val="2"/>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rsid w:val="00F679B3"/>
    <w:pPr>
      <w:keepNext/>
      <w:numPr>
        <w:ilvl w:val="3"/>
        <w:numId w:val="2"/>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semiHidden/>
    <w:unhideWhenUsed/>
    <w:qFormat/>
    <w:rsid w:val="00F679B3"/>
    <w:pPr>
      <w:numPr>
        <w:ilvl w:val="4"/>
        <w:numId w:val="2"/>
      </w:numPr>
      <w:spacing w:before="240" w:after="60" w:line="24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F679B3"/>
    <w:pPr>
      <w:numPr>
        <w:ilvl w:val="5"/>
        <w:numId w:val="2"/>
      </w:numPr>
      <w:spacing w:before="240" w:after="60" w:line="24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F679B3"/>
    <w:pPr>
      <w:numPr>
        <w:ilvl w:val="6"/>
        <w:numId w:val="2"/>
      </w:numPr>
      <w:spacing w:before="240" w:after="60" w:line="24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F679B3"/>
    <w:pPr>
      <w:numPr>
        <w:ilvl w:val="7"/>
        <w:numId w:val="2"/>
      </w:numPr>
      <w:spacing w:before="240" w:after="60" w:line="24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F679B3"/>
    <w:pPr>
      <w:numPr>
        <w:ilvl w:val="8"/>
        <w:numId w:val="2"/>
      </w:num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8206F0"/>
    <w:rPr>
      <w:color w:val="0000FF"/>
      <w:shd w:val="clear" w:color="auto" w:fill="auto"/>
    </w:rPr>
  </w:style>
  <w:style w:type="paragraph" w:customStyle="1" w:styleId="Pagedecouverture">
    <w:name w:val="Page de couverture"/>
    <w:basedOn w:val="Normal"/>
    <w:next w:val="Normal"/>
    <w:rsid w:val="008206F0"/>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820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6F0"/>
  </w:style>
  <w:style w:type="paragraph" w:styleId="Footer">
    <w:name w:val="footer"/>
    <w:basedOn w:val="Normal"/>
    <w:link w:val="FooterChar"/>
    <w:uiPriority w:val="99"/>
    <w:unhideWhenUsed/>
    <w:rsid w:val="00820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6F0"/>
  </w:style>
  <w:style w:type="paragraph" w:customStyle="1" w:styleId="FooterCoverPage">
    <w:name w:val="Footer Cover Page"/>
    <w:basedOn w:val="Normal"/>
    <w:link w:val="FooterCoverPageChar"/>
    <w:rsid w:val="008206F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206F0"/>
    <w:rPr>
      <w:rFonts w:ascii="Times New Roman" w:hAnsi="Times New Roman" w:cs="Times New Roman"/>
      <w:sz w:val="24"/>
    </w:rPr>
  </w:style>
  <w:style w:type="paragraph" w:customStyle="1" w:styleId="FooterSensitivity">
    <w:name w:val="Footer Sensitivity"/>
    <w:basedOn w:val="Normal"/>
    <w:link w:val="FooterSensitivityChar"/>
    <w:rsid w:val="008206F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206F0"/>
    <w:rPr>
      <w:rFonts w:ascii="Times New Roman" w:hAnsi="Times New Roman" w:cs="Times New Roman"/>
      <w:b/>
      <w:sz w:val="32"/>
    </w:rPr>
  </w:style>
  <w:style w:type="paragraph" w:customStyle="1" w:styleId="HeaderCoverPage">
    <w:name w:val="Header Cover Page"/>
    <w:basedOn w:val="Normal"/>
    <w:link w:val="HeaderCoverPageChar"/>
    <w:rsid w:val="008206F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206F0"/>
    <w:rPr>
      <w:rFonts w:ascii="Times New Roman" w:hAnsi="Times New Roman" w:cs="Times New Roman"/>
      <w:sz w:val="24"/>
    </w:rPr>
  </w:style>
  <w:style w:type="paragraph" w:customStyle="1" w:styleId="HeaderSensitivity">
    <w:name w:val="Header Sensitivity"/>
    <w:basedOn w:val="Normal"/>
    <w:link w:val="HeaderSensitivityChar"/>
    <w:rsid w:val="008206F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206F0"/>
    <w:rPr>
      <w:rFonts w:ascii="Times New Roman" w:hAnsi="Times New Roman" w:cs="Times New Roman"/>
      <w:b/>
      <w:sz w:val="32"/>
    </w:rPr>
  </w:style>
  <w:style w:type="paragraph" w:customStyle="1" w:styleId="HeaderSensitivityRight">
    <w:name w:val="Header Sensitivity Right"/>
    <w:basedOn w:val="Normal"/>
    <w:link w:val="HeaderSensitivityRightChar"/>
    <w:rsid w:val="008206F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206F0"/>
    <w:rPr>
      <w:rFonts w:ascii="Times New Roman" w:hAnsi="Times New Roman" w:cs="Times New Roman"/>
      <w:sz w:val="28"/>
    </w:rPr>
  </w:style>
  <w:style w:type="character" w:customStyle="1" w:styleId="Heading1Char">
    <w:name w:val="Heading 1 Char"/>
    <w:basedOn w:val="DefaultParagraphFont"/>
    <w:link w:val="Heading1"/>
    <w:rsid w:val="002F66EB"/>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sid w:val="005661D8"/>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F679B3"/>
    <w:rPr>
      <w:rFonts w:ascii="Times New Roman" w:eastAsia="Times New Roman" w:hAnsi="Times New Roman" w:cs="Times New Roman"/>
      <w:bCs/>
      <w:i/>
      <w:sz w:val="24"/>
      <w:szCs w:val="26"/>
      <w:lang w:val="pl-PL"/>
    </w:rPr>
  </w:style>
  <w:style w:type="character" w:customStyle="1" w:styleId="Heading4Char">
    <w:name w:val="Heading 4 Char"/>
    <w:basedOn w:val="DefaultParagraphFont"/>
    <w:link w:val="Heading4"/>
    <w:rsid w:val="00F679B3"/>
    <w:rPr>
      <w:rFonts w:ascii="Times New Roman" w:eastAsia="Times New Roman" w:hAnsi="Times New Roman" w:cs="Times New Roman"/>
      <w:bCs/>
      <w:sz w:val="24"/>
      <w:szCs w:val="28"/>
      <w:lang w:val="pl-PL"/>
    </w:rPr>
  </w:style>
  <w:style w:type="character" w:customStyle="1" w:styleId="Heading5Char">
    <w:name w:val="Heading 5 Char"/>
    <w:basedOn w:val="DefaultParagraphFont"/>
    <w:link w:val="Heading5"/>
    <w:semiHidden/>
    <w:rsid w:val="00F679B3"/>
    <w:rPr>
      <w:rFonts w:ascii="Calibri" w:eastAsia="Times New Roman" w:hAnsi="Calibri" w:cs="Times New Roman"/>
      <w:b/>
      <w:bCs/>
      <w:i/>
      <w:iCs/>
      <w:sz w:val="26"/>
      <w:szCs w:val="26"/>
      <w:lang w:val="pl-PL"/>
    </w:rPr>
  </w:style>
  <w:style w:type="character" w:customStyle="1" w:styleId="Heading6Char">
    <w:name w:val="Heading 6 Char"/>
    <w:basedOn w:val="DefaultParagraphFont"/>
    <w:link w:val="Heading6"/>
    <w:semiHidden/>
    <w:rsid w:val="00F679B3"/>
    <w:rPr>
      <w:rFonts w:ascii="Calibri" w:eastAsia="Times New Roman" w:hAnsi="Calibri" w:cs="Times New Roman"/>
      <w:b/>
      <w:bCs/>
      <w:lang w:val="pl-PL"/>
    </w:rPr>
  </w:style>
  <w:style w:type="character" w:customStyle="1" w:styleId="Heading7Char">
    <w:name w:val="Heading 7 Char"/>
    <w:basedOn w:val="DefaultParagraphFont"/>
    <w:link w:val="Heading7"/>
    <w:semiHidden/>
    <w:rsid w:val="00F679B3"/>
    <w:rPr>
      <w:rFonts w:ascii="Calibri" w:eastAsia="Times New Roman" w:hAnsi="Calibri" w:cs="Times New Roman"/>
      <w:sz w:val="24"/>
      <w:szCs w:val="24"/>
      <w:lang w:val="pl-PL"/>
    </w:rPr>
  </w:style>
  <w:style w:type="character" w:customStyle="1" w:styleId="Heading8Char">
    <w:name w:val="Heading 8 Char"/>
    <w:basedOn w:val="DefaultParagraphFont"/>
    <w:link w:val="Heading8"/>
    <w:semiHidden/>
    <w:rsid w:val="00F679B3"/>
    <w:rPr>
      <w:rFonts w:ascii="Calibri" w:eastAsia="Times New Roman" w:hAnsi="Calibri" w:cs="Times New Roman"/>
      <w:i/>
      <w:iCs/>
      <w:sz w:val="24"/>
      <w:szCs w:val="24"/>
      <w:lang w:val="pl-PL"/>
    </w:rPr>
  </w:style>
  <w:style w:type="character" w:customStyle="1" w:styleId="Heading9Char">
    <w:name w:val="Heading 9 Char"/>
    <w:basedOn w:val="DefaultParagraphFont"/>
    <w:link w:val="Heading9"/>
    <w:semiHidden/>
    <w:rsid w:val="00F679B3"/>
    <w:rPr>
      <w:rFonts w:ascii="Cambria" w:eastAsia="Times New Roman" w:hAnsi="Cambria" w:cs="Times New Roman"/>
      <w:lang w:val="pl-PL"/>
    </w:rPr>
  </w:style>
  <w:style w:type="paragraph" w:styleId="FootnoteText">
    <w:name w:val="footnote text"/>
    <w:basedOn w:val="Normal"/>
    <w:link w:val="FootnoteTextChar"/>
    <w:semiHidden/>
    <w:rsid w:val="00F679B3"/>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679B3"/>
    <w:rPr>
      <w:rFonts w:ascii="Times New Roman" w:eastAsia="Times New Roman" w:hAnsi="Times New Roman" w:cs="Times New Roman"/>
      <w:sz w:val="20"/>
      <w:szCs w:val="20"/>
      <w:lang w:val="pl-PL"/>
    </w:rPr>
  </w:style>
  <w:style w:type="paragraph" w:customStyle="1" w:styleId="HeaderLandscape">
    <w:name w:val="HeaderLandscape"/>
    <w:basedOn w:val="Normal"/>
    <w:rsid w:val="00F679B3"/>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rsid w:val="00F679B3"/>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sid w:val="00F679B3"/>
    <w:rPr>
      <w:shd w:val="clear" w:color="auto" w:fill="auto"/>
      <w:vertAlign w:val="superscript"/>
    </w:rPr>
  </w:style>
  <w:style w:type="paragraph" w:customStyle="1" w:styleId="Titreobjet">
    <w:name w:val="Titre objet"/>
    <w:basedOn w:val="Normal"/>
    <w:next w:val="Normal"/>
    <w:rsid w:val="00F679B3"/>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rsid w:val="00F679B3"/>
    <w:pPr>
      <w:spacing w:before="360" w:after="0" w:line="240" w:lineRule="auto"/>
      <w:jc w:val="center"/>
    </w:pPr>
    <w:rPr>
      <w:rFonts w:ascii="Times New Roman" w:eastAsia="Times New Roman" w:hAnsi="Times New Roman" w:cs="Times New Roman"/>
      <w:b/>
      <w:sz w:val="24"/>
      <w:szCs w:val="24"/>
    </w:rPr>
  </w:style>
  <w:style w:type="character" w:styleId="CommentReference">
    <w:name w:val="annotation reference"/>
    <w:basedOn w:val="DefaultParagraphFont"/>
    <w:uiPriority w:val="99"/>
    <w:semiHidden/>
    <w:unhideWhenUsed/>
    <w:rsid w:val="00F679B3"/>
    <w:rPr>
      <w:sz w:val="16"/>
      <w:szCs w:val="16"/>
    </w:rPr>
  </w:style>
  <w:style w:type="paragraph" w:styleId="CommentText">
    <w:name w:val="annotation text"/>
    <w:basedOn w:val="Normal"/>
    <w:link w:val="CommentTextChar"/>
    <w:uiPriority w:val="99"/>
    <w:unhideWhenUsed/>
    <w:rsid w:val="00F679B3"/>
    <w:pPr>
      <w:spacing w:after="200" w:line="240" w:lineRule="auto"/>
    </w:pPr>
    <w:rPr>
      <w:sz w:val="20"/>
      <w:szCs w:val="20"/>
    </w:rPr>
  </w:style>
  <w:style w:type="character" w:customStyle="1" w:styleId="CommentTextChar">
    <w:name w:val="Comment Text Char"/>
    <w:basedOn w:val="DefaultParagraphFont"/>
    <w:link w:val="CommentText"/>
    <w:uiPriority w:val="99"/>
    <w:rsid w:val="00F679B3"/>
    <w:rPr>
      <w:sz w:val="20"/>
      <w:szCs w:val="20"/>
    </w:rPr>
  </w:style>
  <w:style w:type="paragraph" w:styleId="ListParagraph">
    <w:name w:val="List Paragraph"/>
    <w:basedOn w:val="Normal"/>
    <w:uiPriority w:val="34"/>
    <w:qFormat/>
    <w:rsid w:val="00F679B3"/>
    <w:pPr>
      <w:spacing w:after="200" w:line="276" w:lineRule="auto"/>
      <w:ind w:left="720"/>
      <w:contextualSpacing/>
    </w:pPr>
  </w:style>
  <w:style w:type="table" w:styleId="TableGrid">
    <w:name w:val="Table Grid"/>
    <w:basedOn w:val="TableNormal"/>
    <w:uiPriority w:val="59"/>
    <w:rsid w:val="00F6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CB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0CBF"/>
    <w:pPr>
      <w:spacing w:after="160"/>
    </w:pPr>
    <w:rPr>
      <w:b/>
      <w:bCs/>
    </w:rPr>
  </w:style>
  <w:style w:type="character" w:customStyle="1" w:styleId="CommentSubjectChar">
    <w:name w:val="Comment Subject Char"/>
    <w:basedOn w:val="CommentTextChar"/>
    <w:link w:val="CommentSubject"/>
    <w:uiPriority w:val="99"/>
    <w:semiHidden/>
    <w:rsid w:val="00F20CBF"/>
    <w:rPr>
      <w:b/>
      <w:bCs/>
      <w:sz w:val="20"/>
      <w:szCs w:val="20"/>
    </w:rPr>
  </w:style>
  <w:style w:type="paragraph" w:customStyle="1" w:styleId="Default">
    <w:name w:val="Default"/>
    <w:rsid w:val="00AB2CB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C1B73"/>
    <w:pPr>
      <w:spacing w:after="0" w:line="240" w:lineRule="auto"/>
    </w:pPr>
  </w:style>
  <w:style w:type="character" w:customStyle="1" w:styleId="Mention1">
    <w:name w:val="Mention1"/>
    <w:basedOn w:val="DefaultParagraphFont"/>
    <w:uiPriority w:val="99"/>
    <w:unhideWhenUsed/>
    <w:rsid w:val="00294F14"/>
    <w:rPr>
      <w:color w:val="2B579A"/>
      <w:shd w:val="clear" w:color="auto" w:fill="E1DFDD"/>
    </w:rPr>
  </w:style>
  <w:style w:type="character" w:styleId="Hyperlink">
    <w:name w:val="Hyperlink"/>
    <w:basedOn w:val="DefaultParagraphFont"/>
    <w:uiPriority w:val="99"/>
    <w:semiHidden/>
    <w:unhideWhenUsed/>
    <w:rsid w:val="00D6191D"/>
    <w:rPr>
      <w:color w:val="0000FF"/>
      <w:u w:val="single"/>
    </w:rPr>
  </w:style>
  <w:style w:type="paragraph" w:customStyle="1" w:styleId="Normal1">
    <w:name w:val="Normal1"/>
    <w:basedOn w:val="Normal"/>
    <w:rsid w:val="009E7908"/>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47984">
      <w:bodyDiv w:val="1"/>
      <w:marLeft w:val="0"/>
      <w:marRight w:val="0"/>
      <w:marTop w:val="0"/>
      <w:marBottom w:val="0"/>
      <w:divBdr>
        <w:top w:val="none" w:sz="0" w:space="0" w:color="auto"/>
        <w:left w:val="none" w:sz="0" w:space="0" w:color="auto"/>
        <w:bottom w:val="none" w:sz="0" w:space="0" w:color="auto"/>
        <w:right w:val="none" w:sz="0" w:space="0" w:color="auto"/>
      </w:divBdr>
    </w:div>
    <w:div w:id="1565413329">
      <w:bodyDiv w:val="1"/>
      <w:marLeft w:val="0"/>
      <w:marRight w:val="0"/>
      <w:marTop w:val="0"/>
      <w:marBottom w:val="0"/>
      <w:divBdr>
        <w:top w:val="none" w:sz="0" w:space="0" w:color="auto"/>
        <w:left w:val="none" w:sz="0" w:space="0" w:color="auto"/>
        <w:bottom w:val="none" w:sz="0" w:space="0" w:color="auto"/>
        <w:right w:val="none" w:sz="0" w:space="0" w:color="auto"/>
      </w:divBdr>
    </w:div>
    <w:div w:id="2037346932">
      <w:bodyDiv w:val="1"/>
      <w:marLeft w:val="0"/>
      <w:marRight w:val="0"/>
      <w:marTop w:val="0"/>
      <w:marBottom w:val="0"/>
      <w:divBdr>
        <w:top w:val="none" w:sz="0" w:space="0" w:color="auto"/>
        <w:left w:val="none" w:sz="0" w:space="0" w:color="auto"/>
        <w:bottom w:val="none" w:sz="0" w:space="0" w:color="auto"/>
        <w:right w:val="none" w:sz="0" w:space="0" w:color="auto"/>
      </w:divBdr>
    </w:div>
    <w:div w:id="21140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4.xml"/><Relationship Id="rId39" Type="http://schemas.openxmlformats.org/officeDocument/2006/relationships/image" Target="media/image11.emf"/><Relationship Id="rId21" Type="http://schemas.openxmlformats.org/officeDocument/2006/relationships/image" Target="media/image5.emf"/><Relationship Id="rId34" Type="http://schemas.openxmlformats.org/officeDocument/2006/relationships/footer" Target="footer7.xml"/><Relationship Id="rId42" Type="http://schemas.openxmlformats.org/officeDocument/2006/relationships/header" Target="header11.xml"/><Relationship Id="rId47" Type="http://schemas.openxmlformats.org/officeDocument/2006/relationships/image" Target="media/image13.emf"/><Relationship Id="rId50" Type="http://schemas.openxmlformats.org/officeDocument/2006/relationships/footer" Target="footer13.xml"/><Relationship Id="rId55" Type="http://schemas.openxmlformats.org/officeDocument/2006/relationships/header" Target="header16.xml"/><Relationship Id="rId63" Type="http://schemas.openxmlformats.org/officeDocument/2006/relationships/footer" Target="footer19.xml"/><Relationship Id="rId68" Type="http://schemas.openxmlformats.org/officeDocument/2006/relationships/image" Target="media/image16.emf"/><Relationship Id="rId76" Type="http://schemas.openxmlformats.org/officeDocument/2006/relationships/footer" Target="footer23.xml"/><Relationship Id="rId7" Type="http://schemas.openxmlformats.org/officeDocument/2006/relationships/settings" Target="settings.xml"/><Relationship Id="rId71" Type="http://schemas.openxmlformats.org/officeDocument/2006/relationships/image" Target="media/image19.emf"/><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5.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image" Target="media/image12.emf"/><Relationship Id="rId45" Type="http://schemas.openxmlformats.org/officeDocument/2006/relationships/header" Target="header12.xml"/><Relationship Id="rId53" Type="http://schemas.openxmlformats.org/officeDocument/2006/relationships/footer" Target="footer15.xml"/><Relationship Id="rId58" Type="http://schemas.openxmlformats.org/officeDocument/2006/relationships/footer" Target="footer17.xml"/><Relationship Id="rId66" Type="http://schemas.openxmlformats.org/officeDocument/2006/relationships/footer" Target="footer21.xml"/><Relationship Id="rId74" Type="http://schemas.openxmlformats.org/officeDocument/2006/relationships/header" Target="header23.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6.xml"/><Relationship Id="rId44" Type="http://schemas.openxmlformats.org/officeDocument/2006/relationships/footer" Target="footer11.xml"/><Relationship Id="rId52" Type="http://schemas.openxmlformats.org/officeDocument/2006/relationships/header" Target="header15.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header" Target="header22.xml"/><Relationship Id="rId78" Type="http://schemas.openxmlformats.org/officeDocument/2006/relationships/footer" Target="footer24.xml"/><Relationship Id="rId8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13.xml"/><Relationship Id="rId56" Type="http://schemas.openxmlformats.org/officeDocument/2006/relationships/header" Target="header17.xml"/><Relationship Id="rId64" Type="http://schemas.openxmlformats.org/officeDocument/2006/relationships/footer" Target="footer20.xml"/><Relationship Id="rId69" Type="http://schemas.openxmlformats.org/officeDocument/2006/relationships/image" Target="media/image17.emf"/><Relationship Id="rId77" Type="http://schemas.openxmlformats.org/officeDocument/2006/relationships/header" Target="header24.xml"/><Relationship Id="rId8" Type="http://schemas.openxmlformats.org/officeDocument/2006/relationships/webSettings" Target="webSettings.xml"/><Relationship Id="rId51" Type="http://schemas.openxmlformats.org/officeDocument/2006/relationships/footer" Target="footer14.xml"/><Relationship Id="rId72" Type="http://schemas.openxmlformats.org/officeDocument/2006/relationships/image" Target="media/image20.emf"/><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header" Target="header8.xml"/><Relationship Id="rId38" Type="http://schemas.openxmlformats.org/officeDocument/2006/relationships/image" Target="media/image10.emf"/><Relationship Id="rId46" Type="http://schemas.openxmlformats.org/officeDocument/2006/relationships/footer" Target="footer12.xml"/><Relationship Id="rId59" Type="http://schemas.openxmlformats.org/officeDocument/2006/relationships/header" Target="header18.xml"/><Relationship Id="rId67" Type="http://schemas.openxmlformats.org/officeDocument/2006/relationships/image" Target="media/image15.emf"/><Relationship Id="rId20" Type="http://schemas.openxmlformats.org/officeDocument/2006/relationships/image" Target="media/image4.png"/><Relationship Id="rId41" Type="http://schemas.openxmlformats.org/officeDocument/2006/relationships/header" Target="header10.xml"/><Relationship Id="rId54" Type="http://schemas.openxmlformats.org/officeDocument/2006/relationships/image" Target="media/image14.emf"/><Relationship Id="rId62" Type="http://schemas.openxmlformats.org/officeDocument/2006/relationships/header" Target="header20.xml"/><Relationship Id="rId70" Type="http://schemas.openxmlformats.org/officeDocument/2006/relationships/image" Target="media/image18.emf"/><Relationship Id="rId75"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footer" Target="footer4.xml"/><Relationship Id="rId36" Type="http://schemas.openxmlformats.org/officeDocument/2006/relationships/header" Target="header9.xml"/><Relationship Id="rId49" Type="http://schemas.openxmlformats.org/officeDocument/2006/relationships/header" Target="header14.xml"/><Relationship Id="rId57" Type="http://schemas.openxmlformats.org/officeDocument/2006/relationships/footer" Target="footer16.xml"/></Relationships>
</file>

<file path=word/documenttasks/documenttasks1.xml><?xml version="1.0" encoding="utf-8"?>
<t:Tasks xmlns:t="http://schemas.microsoft.com/office/tasks/2019/documenttasks" xmlns:oel="http://schemas.microsoft.com/office/2019/extlst">
  <t:Task id="{C65C5061-F4DC-46EB-9994-718FCF71A046}">
    <t:Anchor>
      <t:Comment id="1055303492"/>
    </t:Anchor>
    <t:History>
      <t:Event id="{1FDEFC2B-6EE6-46F5-BA63-DE6D4E3F81D4}" time="2023-06-09T09:42:29.496Z">
        <t:Attribution userId="S::kamila.slowikowska@ec.europa.eu::9b4c1f85-6868-46c6-b035-10fc9e143970" userProvider="AD" userName="SLOWIKOWSKA Kamila (PMO)"/>
        <t:Anchor>
          <t:Comment id="1055303492"/>
        </t:Anchor>
        <t:Create/>
      </t:Event>
      <t:Event id="{0877C952-2728-40AA-A46A-20B8E075BC16}" time="2023-06-09T09:42:29.496Z">
        <t:Attribution userId="S::kamila.slowikowska@ec.europa.eu::9b4c1f85-6868-46c6-b035-10fc9e143970" userProvider="AD" userName="SLOWIKOWSKA Kamila (PMO)"/>
        <t:Anchor>
          <t:Comment id="1055303492"/>
        </t:Anchor>
        <t:Assign userId="S::Valerie.DELGADO-PEREZ@ec.europa.eu::b732cc2b-c563-48d5-8755-e2da875a78e3" userProvider="AD" userName="DELGADO PEREZ Valerie (PMO)"/>
      </t:Event>
      <t:Event id="{8687316A-6C86-4275-86E3-9F539E2FE339}" time="2023-06-09T09:42:29.496Z">
        <t:Attribution userId="S::kamila.slowikowska@ec.europa.eu::9b4c1f85-6868-46c6-b035-10fc9e143970" userProvider="AD" userName="SLOWIKOWSKA Kamila (PMO)"/>
        <t:Anchor>
          <t:Comment id="1055303492"/>
        </t:Anchor>
        <t:SetTitle title="@PMO.2 Please feel free to provide the data @DELGADO PEREZ Valerie (PMO) Many thanks"/>
      </t:Event>
      <t:Event id="{286F8F3E-5328-4F83-AE11-E58977295815}" time="2023-06-09T14:01:55.074Z">
        <t:Attribution userId="S::kamila.slowikowska@ec.europa.eu::9b4c1f85-6868-46c6-b035-10fc9e143970" userProvider="AD" userName="SLOWIKOWSKA Kamila (PM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92d5a3b-417c-4665-ad77-443e9e9e94ff">
      <UserInfo>
        <DisplayName>GRP-Council Reply - coordination Members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0D3BD6BD8704B932745BE60C1036B" ma:contentTypeVersion="4" ma:contentTypeDescription="Create a new document." ma:contentTypeScope="" ma:versionID="5c9e31d7959f1a9dff33fd62e1e63fed">
  <xsd:schema xmlns:xsd="http://www.w3.org/2001/XMLSchema" xmlns:xs="http://www.w3.org/2001/XMLSchema" xmlns:p="http://schemas.microsoft.com/office/2006/metadata/properties" xmlns:ns2="c0057e81-76ea-4aa3-aeb4-e85eefca2e5c" xmlns:ns3="b92d5a3b-417c-4665-ad77-443e9e9e94ff" targetNamespace="http://schemas.microsoft.com/office/2006/metadata/properties" ma:root="true" ma:fieldsID="071357a4fc16ca8b227dbc03d7d2f597" ns2:_="" ns3:_="">
    <xsd:import namespace="c0057e81-76ea-4aa3-aeb4-e85eefca2e5c"/>
    <xsd:import namespace="b92d5a3b-417c-4665-ad77-443e9e9e94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57e81-76ea-4aa3-aeb4-e85eefca2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d5a3b-417c-4665-ad77-443e9e9e94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C95F-5947-4195-9FAD-2C01A3938147}">
  <ds:schemaRefs>
    <ds:schemaRef ds:uri="http://schemas.microsoft.com/sharepoint/v3/contenttype/forms"/>
  </ds:schemaRefs>
</ds:datastoreItem>
</file>

<file path=customXml/itemProps2.xml><?xml version="1.0" encoding="utf-8"?>
<ds:datastoreItem xmlns:ds="http://schemas.openxmlformats.org/officeDocument/2006/customXml" ds:itemID="{1F6091D8-9244-4BD5-A311-D3B2DD49AF55}">
  <ds:schemaRefs>
    <ds:schemaRef ds:uri="http://schemas.openxmlformats.org/package/2006/metadata/core-properties"/>
    <ds:schemaRef ds:uri="b92d5a3b-417c-4665-ad77-443e9e9e94ff"/>
    <ds:schemaRef ds:uri="http://schemas.microsoft.com/office/2006/documentManagement/types"/>
    <ds:schemaRef ds:uri="http://schemas.microsoft.com/office/infopath/2007/PartnerControls"/>
    <ds:schemaRef ds:uri="http://purl.org/dc/elements/1.1/"/>
    <ds:schemaRef ds:uri="http://schemas.microsoft.com/office/2006/metadata/properties"/>
    <ds:schemaRef ds:uri="c0057e81-76ea-4aa3-aeb4-e85eefca2e5c"/>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BAEAA2E-04DF-4129-8077-680C16D72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57e81-76ea-4aa3-aeb4-e85eefca2e5c"/>
    <ds:schemaRef ds:uri="b92d5a3b-417c-4665-ad77-443e9e9e9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B1DFE-D044-4F20-87CD-5DD4F558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13</cp:revision>
  <cp:lastPrinted>2023-10-11T12:10:00Z</cp:lastPrinted>
  <dcterms:created xsi:type="dcterms:W3CDTF">2023-12-05T14:29:00Z</dcterms:created>
  <dcterms:modified xsi:type="dcterms:W3CDTF">2024-01-30T12:42:00Z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2023-03-23T21:01:58Z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434bbf46-251a-460b-9507-62d60735d551</vt:lpwstr>
  </property>
  <property fmtid="{D5CDD505-2E9C-101B-9397-08002B2CF9AE}" pid="15" name="MSIP_Label_6bd9ddd1-4d20-43f6-abfa-fc3c07406f94_ContentBits">
    <vt:lpwstr>0</vt:lpwstr>
  </property>
  <property fmtid="{D5CDD505-2E9C-101B-9397-08002B2CF9AE}" pid="16" name="ContentTypeId">
    <vt:lpwstr>0x010100A200D3BD6BD8704B932745BE60C1036B</vt:lpwstr>
  </property>
</Properties>
</file>