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094F8" w14:textId="4A104FE4" w:rsidR="000A37D7" w:rsidRPr="004E3F97" w:rsidRDefault="008F3EB4" w:rsidP="008F3EB4">
      <w:pPr>
        <w:pStyle w:val="Pagedecouverture"/>
        <w:rPr>
          <w:noProof/>
        </w:rPr>
      </w:pPr>
      <w:bookmarkStart w:id="0" w:name="LW_BM_COVERPAGE"/>
      <w:r>
        <w:rPr>
          <w:noProof/>
        </w:rPr>
        <w:pict w14:anchorId="018C7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BD55C5F-C580-45E0-8C19-792B3EBCA808" style="width:455.25pt;height:296.25pt">
            <v:imagedata r:id="rId8" o:title=""/>
          </v:shape>
        </w:pict>
      </w:r>
    </w:p>
    <w:bookmarkEnd w:id="0"/>
    <w:p w14:paraId="1EA1342C" w14:textId="02238637" w:rsidR="00E61246" w:rsidRPr="004E3F97" w:rsidRDefault="00E61246" w:rsidP="00E61246">
      <w:pPr>
        <w:pStyle w:val="Pagedecouverture"/>
        <w:rPr>
          <w:noProof/>
          <w:lang w:val="en-GB"/>
        </w:rPr>
        <w:sectPr w:rsidR="00E61246" w:rsidRPr="004E3F97" w:rsidSect="008F3EB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295B43D8" w14:textId="77777777" w:rsidR="000A37D7" w:rsidRPr="004E3F97" w:rsidRDefault="000A37D7" w:rsidP="000A37D7">
      <w:pPr>
        <w:spacing w:before="360" w:after="0" w:line="240" w:lineRule="auto"/>
        <w:jc w:val="center"/>
        <w:rPr>
          <w:rFonts w:eastAsia="Times New Roman" w:cs="Times New Roman"/>
          <w:b/>
          <w:noProof/>
          <w:szCs w:val="24"/>
        </w:rPr>
      </w:pPr>
      <w:bookmarkStart w:id="1" w:name="_GoBack"/>
      <w:bookmarkEnd w:id="1"/>
      <w:r w:rsidRPr="004E3F97">
        <w:rPr>
          <w:b/>
          <w:noProof/>
        </w:rPr>
        <w:lastRenderedPageBreak/>
        <w:t>BELA KNJIGA</w:t>
      </w:r>
    </w:p>
    <w:p w14:paraId="2D46705D" w14:textId="3527C280" w:rsidR="000A37D7" w:rsidRPr="004E3F97" w:rsidRDefault="000A37D7" w:rsidP="000A37D7">
      <w:pPr>
        <w:spacing w:before="360" w:after="360" w:line="240" w:lineRule="auto"/>
        <w:jc w:val="center"/>
        <w:rPr>
          <w:rFonts w:eastAsia="Times New Roman" w:cs="Times New Roman"/>
          <w:b/>
          <w:noProof/>
          <w:szCs w:val="24"/>
        </w:rPr>
      </w:pPr>
      <w:bookmarkStart w:id="2" w:name="_Hlk151975410"/>
      <w:r w:rsidRPr="004E3F97">
        <w:rPr>
          <w:b/>
          <w:noProof/>
        </w:rPr>
        <w:t>o nadzoru izvoza</w:t>
      </w:r>
      <w:bookmarkEnd w:id="2"/>
    </w:p>
    <w:p w14:paraId="025170C9" w14:textId="77777777" w:rsidR="000A37D7" w:rsidRPr="004E3F97" w:rsidRDefault="000A37D7" w:rsidP="000A37D7">
      <w:pPr>
        <w:spacing w:before="120" w:after="240" w:line="240" w:lineRule="auto"/>
        <w:jc w:val="center"/>
        <w:rPr>
          <w:rFonts w:eastAsia="Times New Roman" w:cs="Times New Roman"/>
          <w:b/>
          <w:noProof/>
          <w:szCs w:val="24"/>
        </w:rPr>
      </w:pPr>
      <w:r w:rsidRPr="004E3F97">
        <w:rPr>
          <w:b/>
          <w:noProof/>
        </w:rPr>
        <w:t>Kazalo</w:t>
      </w:r>
    </w:p>
    <w:sdt>
      <w:sdtPr>
        <w:rPr>
          <w:rFonts w:eastAsia="Calibri" w:cs="Times New Roman"/>
          <w:smallCaps/>
          <w:noProof/>
          <w:szCs w:val="24"/>
        </w:rPr>
        <w:id w:val="-917936440"/>
        <w:docPartObj>
          <w:docPartGallery w:val="Table of Contents"/>
          <w:docPartUnique/>
        </w:docPartObj>
      </w:sdtPr>
      <w:sdtEndPr>
        <w:rPr>
          <w:rFonts w:eastAsia="Times New Roman"/>
          <w:bCs/>
          <w:smallCaps w:val="0"/>
        </w:rPr>
      </w:sdtEndPr>
      <w:sdtContent>
        <w:p w14:paraId="09609010" w14:textId="77777777" w:rsidR="000A37D7" w:rsidRPr="004E3F97" w:rsidRDefault="000A37D7" w:rsidP="000A37D7">
          <w:pPr>
            <w:tabs>
              <w:tab w:val="left" w:pos="2880"/>
            </w:tabs>
            <w:spacing w:after="0" w:line="240" w:lineRule="auto"/>
            <w:rPr>
              <w:rFonts w:eastAsia="Times New Roman" w:cs="Times New Roman"/>
              <w:b/>
              <w:noProof/>
              <w:sz w:val="28"/>
              <w:szCs w:val="24"/>
              <w:lang w:val="en-GB"/>
            </w:rPr>
          </w:pPr>
        </w:p>
        <w:p w14:paraId="58120C8D" w14:textId="628AF6C2" w:rsidR="004E3F97" w:rsidRPr="004E3F97" w:rsidRDefault="000A37D7">
          <w:pPr>
            <w:pStyle w:val="TOC1"/>
            <w:rPr>
              <w:rFonts w:asciiTheme="minorHAnsi" w:eastAsiaTheme="minorEastAsia" w:hAnsiTheme="minorHAnsi"/>
              <w:noProof/>
              <w:kern w:val="2"/>
              <w:sz w:val="22"/>
              <w:lang w:eastAsia="sl-SI"/>
              <w14:ligatures w14:val="standardContextual"/>
            </w:rPr>
          </w:pPr>
          <w:r w:rsidRPr="004E3F97">
            <w:rPr>
              <w:rFonts w:eastAsia="Times New Roman" w:cs="Times New Roman"/>
              <w:noProof/>
            </w:rPr>
            <w:fldChar w:fldCharType="begin"/>
          </w:r>
          <w:r w:rsidRPr="004E3F97">
            <w:rPr>
              <w:rFonts w:eastAsia="Times New Roman" w:cs="Times New Roman"/>
              <w:noProof/>
            </w:rPr>
            <w:instrText xml:space="preserve"> TOC \o "1-3" \h \z \u </w:instrText>
          </w:r>
          <w:r w:rsidRPr="004E3F97">
            <w:rPr>
              <w:rFonts w:eastAsia="Times New Roman" w:cs="Times New Roman"/>
              <w:noProof/>
            </w:rPr>
            <w:fldChar w:fldCharType="separate"/>
          </w:r>
          <w:hyperlink w:anchor="_Toc158189603" w:history="1">
            <w:r w:rsidR="004E3F97" w:rsidRPr="004E3F97">
              <w:rPr>
                <w:rStyle w:val="Hyperlink"/>
                <w:rFonts w:eastAsia="Times New Roman" w:cs="Times New Roman"/>
                <w:b/>
                <w:bCs/>
                <w:smallCaps/>
                <w:noProof/>
              </w:rPr>
              <w:t>1.</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smallCaps/>
                <w:noProof/>
              </w:rPr>
              <w:t>Uvod: kaj je namen bele knjige?</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_Toc158189603 \h </w:instrText>
            </w:r>
            <w:r w:rsidR="004E3F97" w:rsidRPr="004E3F97">
              <w:rPr>
                <w:noProof/>
                <w:webHidden/>
              </w:rPr>
            </w:r>
            <w:r w:rsidR="004E3F97" w:rsidRPr="004E3F97">
              <w:rPr>
                <w:noProof/>
                <w:webHidden/>
              </w:rPr>
              <w:fldChar w:fldCharType="separate"/>
            </w:r>
            <w:r w:rsidR="004E3F97" w:rsidRPr="004E3F97">
              <w:rPr>
                <w:noProof/>
                <w:webHidden/>
              </w:rPr>
              <w:t>2</w:t>
            </w:r>
            <w:r w:rsidR="004E3F97" w:rsidRPr="004E3F97">
              <w:rPr>
                <w:noProof/>
                <w:webHidden/>
              </w:rPr>
              <w:fldChar w:fldCharType="end"/>
            </w:r>
          </w:hyperlink>
        </w:p>
        <w:p w14:paraId="47786838" w14:textId="6C1EFB84" w:rsidR="004E3F97" w:rsidRPr="004E3F97" w:rsidRDefault="008F3EB4">
          <w:pPr>
            <w:pStyle w:val="TOC1"/>
            <w:rPr>
              <w:rFonts w:asciiTheme="minorHAnsi" w:eastAsiaTheme="minorEastAsia" w:hAnsiTheme="minorHAnsi"/>
              <w:noProof/>
              <w:kern w:val="2"/>
              <w:sz w:val="22"/>
              <w:lang w:eastAsia="sl-SI"/>
              <w14:ligatures w14:val="standardContextual"/>
            </w:rPr>
          </w:pPr>
          <w:hyperlink w:anchor="_Toc158189604" w:history="1">
            <w:r w:rsidR="004E3F97" w:rsidRPr="004E3F97">
              <w:rPr>
                <w:rStyle w:val="Hyperlink"/>
                <w:rFonts w:eastAsia="Times New Roman" w:cs="Times New Roman"/>
                <w:b/>
                <w:bCs/>
                <w:smallCaps/>
                <w:noProof/>
              </w:rPr>
              <w:t>2.</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smallCaps/>
                <w:noProof/>
              </w:rPr>
              <w:t>Uredba o blagu z dvojno rabo iz leta 2021: trenutno stanje izvajanja</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_Toc158189604 \h </w:instrText>
            </w:r>
            <w:r w:rsidR="004E3F97" w:rsidRPr="004E3F97">
              <w:rPr>
                <w:noProof/>
                <w:webHidden/>
              </w:rPr>
            </w:r>
            <w:r w:rsidR="004E3F97" w:rsidRPr="004E3F97">
              <w:rPr>
                <w:noProof/>
                <w:webHidden/>
              </w:rPr>
              <w:fldChar w:fldCharType="separate"/>
            </w:r>
            <w:r w:rsidR="004E3F97" w:rsidRPr="004E3F97">
              <w:rPr>
                <w:noProof/>
                <w:webHidden/>
              </w:rPr>
              <w:t>3</w:t>
            </w:r>
            <w:r w:rsidR="004E3F97" w:rsidRPr="004E3F97">
              <w:rPr>
                <w:noProof/>
                <w:webHidden/>
              </w:rPr>
              <w:fldChar w:fldCharType="end"/>
            </w:r>
          </w:hyperlink>
        </w:p>
        <w:p w14:paraId="714314DE" w14:textId="02D20E34" w:rsidR="004E3F97" w:rsidRPr="004E3F97" w:rsidRDefault="008F3EB4">
          <w:pPr>
            <w:pStyle w:val="TOC1"/>
            <w:rPr>
              <w:rFonts w:asciiTheme="minorHAnsi" w:eastAsiaTheme="minorEastAsia" w:hAnsiTheme="minorHAnsi"/>
              <w:noProof/>
              <w:kern w:val="2"/>
              <w:sz w:val="22"/>
              <w:lang w:eastAsia="sl-SI"/>
              <w14:ligatures w14:val="standardContextual"/>
            </w:rPr>
          </w:pPr>
          <w:hyperlink w:anchor="_Toc158189605" w:history="1">
            <w:r w:rsidR="004E3F97" w:rsidRPr="004E3F97">
              <w:rPr>
                <w:rStyle w:val="Hyperlink"/>
                <w:rFonts w:eastAsia="Times New Roman" w:cs="Times New Roman"/>
                <w:b/>
                <w:bCs/>
                <w:smallCaps/>
                <w:noProof/>
              </w:rPr>
              <w:t>3.</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smallCaps/>
                <w:noProof/>
              </w:rPr>
              <w:t>Nedavni razvoj na področju nadzora izvoza</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_Toc158189605 \h </w:instrText>
            </w:r>
            <w:r w:rsidR="004E3F97" w:rsidRPr="004E3F97">
              <w:rPr>
                <w:noProof/>
                <w:webHidden/>
              </w:rPr>
            </w:r>
            <w:r w:rsidR="004E3F97" w:rsidRPr="004E3F97">
              <w:rPr>
                <w:noProof/>
                <w:webHidden/>
              </w:rPr>
              <w:fldChar w:fldCharType="separate"/>
            </w:r>
            <w:r w:rsidR="004E3F97" w:rsidRPr="004E3F97">
              <w:rPr>
                <w:noProof/>
                <w:webHidden/>
              </w:rPr>
              <w:t>4</w:t>
            </w:r>
            <w:r w:rsidR="004E3F97" w:rsidRPr="004E3F97">
              <w:rPr>
                <w:noProof/>
                <w:webHidden/>
              </w:rPr>
              <w:fldChar w:fldCharType="end"/>
            </w:r>
          </w:hyperlink>
        </w:p>
        <w:p w14:paraId="35847166" w14:textId="5E4ECA09"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06" w:history="1">
            <w:r w:rsidR="004E3F97" w:rsidRPr="004E3F97">
              <w:rPr>
                <w:rStyle w:val="Hyperlink"/>
                <w:rFonts w:eastAsia="Times New Roman" w:cs="Times New Roman"/>
                <w:b/>
                <w:bCs/>
                <w:iCs/>
                <w:noProof/>
              </w:rPr>
              <w:t>3.1.</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Vpliv Rusije na delovanje večstranskih režimov za nadzor izvoza</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_Toc158189606 \h </w:instrText>
            </w:r>
            <w:r w:rsidR="004E3F97" w:rsidRPr="004E3F97">
              <w:rPr>
                <w:noProof/>
                <w:webHidden/>
              </w:rPr>
            </w:r>
            <w:r w:rsidR="004E3F97" w:rsidRPr="004E3F97">
              <w:rPr>
                <w:noProof/>
                <w:webHidden/>
              </w:rPr>
              <w:fldChar w:fldCharType="separate"/>
            </w:r>
            <w:r w:rsidR="004E3F97" w:rsidRPr="004E3F97">
              <w:rPr>
                <w:noProof/>
                <w:webHidden/>
              </w:rPr>
              <w:t>4</w:t>
            </w:r>
            <w:r w:rsidR="004E3F97" w:rsidRPr="004E3F97">
              <w:rPr>
                <w:noProof/>
                <w:webHidden/>
              </w:rPr>
              <w:fldChar w:fldCharType="end"/>
            </w:r>
          </w:hyperlink>
        </w:p>
        <w:p w14:paraId="34FF2D7F" w14:textId="7549FDD9"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07" w:history="1">
            <w:r w:rsidR="004E3F97" w:rsidRPr="004E3F97">
              <w:rPr>
                <w:rStyle w:val="Hyperlink"/>
                <w:rFonts w:eastAsia="Times New Roman" w:cs="Times New Roman"/>
                <w:b/>
                <w:bCs/>
                <w:iCs/>
                <w:noProof/>
              </w:rPr>
              <w:t>3.2.</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Pogostejša uporaba enostranskega nadzora izvoza na mednarodni ravni</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_Toc158189607 \h </w:instrText>
            </w:r>
            <w:r w:rsidR="004E3F97" w:rsidRPr="004E3F97">
              <w:rPr>
                <w:noProof/>
                <w:webHidden/>
              </w:rPr>
            </w:r>
            <w:r w:rsidR="004E3F97" w:rsidRPr="004E3F97">
              <w:rPr>
                <w:noProof/>
                <w:webHidden/>
              </w:rPr>
              <w:fldChar w:fldCharType="separate"/>
            </w:r>
            <w:r w:rsidR="004E3F97" w:rsidRPr="004E3F97">
              <w:rPr>
                <w:noProof/>
                <w:webHidden/>
              </w:rPr>
              <w:t>5</w:t>
            </w:r>
            <w:r w:rsidR="004E3F97" w:rsidRPr="004E3F97">
              <w:rPr>
                <w:noProof/>
                <w:webHidden/>
              </w:rPr>
              <w:fldChar w:fldCharType="end"/>
            </w:r>
          </w:hyperlink>
        </w:p>
        <w:p w14:paraId="3C813A01" w14:textId="1D0043AE"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08" w:history="1">
            <w:r w:rsidR="004E3F97" w:rsidRPr="004E3F97">
              <w:rPr>
                <w:rStyle w:val="Hyperlink"/>
                <w:rFonts w:eastAsia="Times New Roman" w:cs="Times New Roman"/>
                <w:b/>
                <w:bCs/>
                <w:iCs/>
                <w:noProof/>
              </w:rPr>
              <w:t>3.3.</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Najnovejši nacionalni nadzor izvoza, ki ga izvajajo države članice EU</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_Toc158189608 \h </w:instrText>
            </w:r>
            <w:r w:rsidR="004E3F97" w:rsidRPr="004E3F97">
              <w:rPr>
                <w:noProof/>
                <w:webHidden/>
              </w:rPr>
            </w:r>
            <w:r w:rsidR="004E3F97" w:rsidRPr="004E3F97">
              <w:rPr>
                <w:noProof/>
                <w:webHidden/>
              </w:rPr>
              <w:fldChar w:fldCharType="separate"/>
            </w:r>
            <w:r w:rsidR="004E3F97" w:rsidRPr="004E3F97">
              <w:rPr>
                <w:noProof/>
                <w:webHidden/>
              </w:rPr>
              <w:t>6</w:t>
            </w:r>
            <w:r w:rsidR="004E3F97" w:rsidRPr="004E3F97">
              <w:rPr>
                <w:noProof/>
                <w:webHidden/>
              </w:rPr>
              <w:fldChar w:fldCharType="end"/>
            </w:r>
          </w:hyperlink>
        </w:p>
        <w:p w14:paraId="449AFC2C" w14:textId="09464769" w:rsidR="004E3F97" w:rsidRPr="004E3F97" w:rsidRDefault="008F3EB4">
          <w:pPr>
            <w:pStyle w:val="TOC1"/>
            <w:rPr>
              <w:rFonts w:asciiTheme="minorHAnsi" w:eastAsiaTheme="minorEastAsia" w:hAnsiTheme="minorHAnsi"/>
              <w:noProof/>
              <w:kern w:val="2"/>
              <w:sz w:val="22"/>
              <w:lang w:eastAsia="sl-SI"/>
              <w14:ligatures w14:val="standardContextual"/>
            </w:rPr>
          </w:pPr>
          <w:hyperlink w:anchor="_Toc158189609" w:history="1">
            <w:r w:rsidR="004E3F97" w:rsidRPr="004E3F97">
              <w:rPr>
                <w:rStyle w:val="Hyperlink"/>
                <w:rFonts w:eastAsia="Times New Roman" w:cs="Times New Roman"/>
                <w:b/>
                <w:bCs/>
                <w:smallCaps/>
                <w:noProof/>
              </w:rPr>
              <w:t>4.</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smallCaps/>
                <w:noProof/>
              </w:rPr>
              <w:t>Analiza sedanjega okvira</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_Toc158189609 \h </w:instrText>
            </w:r>
            <w:r w:rsidR="004E3F97" w:rsidRPr="004E3F97">
              <w:rPr>
                <w:noProof/>
                <w:webHidden/>
              </w:rPr>
            </w:r>
            <w:r w:rsidR="004E3F97" w:rsidRPr="004E3F97">
              <w:rPr>
                <w:noProof/>
                <w:webHidden/>
              </w:rPr>
              <w:fldChar w:fldCharType="separate"/>
            </w:r>
            <w:r w:rsidR="004E3F97" w:rsidRPr="004E3F97">
              <w:rPr>
                <w:noProof/>
                <w:webHidden/>
              </w:rPr>
              <w:t>8</w:t>
            </w:r>
            <w:r w:rsidR="004E3F97" w:rsidRPr="004E3F97">
              <w:rPr>
                <w:noProof/>
                <w:webHidden/>
              </w:rPr>
              <w:fldChar w:fldCharType="end"/>
            </w:r>
          </w:hyperlink>
        </w:p>
        <w:p w14:paraId="08C90C97" w14:textId="42A74262"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0" w:history="1">
            <w:r w:rsidR="004E3F97" w:rsidRPr="004E3F97">
              <w:rPr>
                <w:rStyle w:val="Hyperlink"/>
                <w:rFonts w:eastAsia="Times New Roman" w:cs="Times New Roman"/>
                <w:b/>
                <w:bCs/>
                <w:iCs/>
                <w:noProof/>
              </w:rPr>
              <w:t>4.1.</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Tveganje razlikovanja nadzora izvoza v Evropski uniji</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_Toc158189610 \h </w:instrText>
            </w:r>
            <w:r w:rsidR="004E3F97" w:rsidRPr="004E3F97">
              <w:rPr>
                <w:noProof/>
                <w:webHidden/>
              </w:rPr>
            </w:r>
            <w:r w:rsidR="004E3F97" w:rsidRPr="004E3F97">
              <w:rPr>
                <w:noProof/>
                <w:webHidden/>
              </w:rPr>
              <w:fldChar w:fldCharType="separate"/>
            </w:r>
            <w:r w:rsidR="004E3F97" w:rsidRPr="004E3F97">
              <w:rPr>
                <w:noProof/>
                <w:webHidden/>
              </w:rPr>
              <w:t>8</w:t>
            </w:r>
            <w:r w:rsidR="004E3F97" w:rsidRPr="004E3F97">
              <w:rPr>
                <w:noProof/>
                <w:webHidden/>
              </w:rPr>
              <w:fldChar w:fldCharType="end"/>
            </w:r>
          </w:hyperlink>
        </w:p>
        <w:p w14:paraId="23F49FD9" w14:textId="205852E7"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1" w:history="1">
            <w:r w:rsidR="004E3F97" w:rsidRPr="004E3F97">
              <w:rPr>
                <w:rStyle w:val="Hyperlink"/>
                <w:rFonts w:eastAsia="Times New Roman" w:cs="Times New Roman"/>
                <w:b/>
                <w:bCs/>
                <w:iCs/>
                <w:noProof/>
              </w:rPr>
              <w:t>4.2.</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Pomanjkanje skupnega pristopa k ciljem varnostne in trgovinske politike Unije na področju nadzora izvoza</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_Toc158189611 \h </w:instrText>
            </w:r>
            <w:r w:rsidR="004E3F97" w:rsidRPr="004E3F97">
              <w:rPr>
                <w:noProof/>
                <w:webHidden/>
              </w:rPr>
            </w:r>
            <w:r w:rsidR="004E3F97" w:rsidRPr="004E3F97">
              <w:rPr>
                <w:noProof/>
                <w:webHidden/>
              </w:rPr>
              <w:fldChar w:fldCharType="separate"/>
            </w:r>
            <w:r w:rsidR="004E3F97" w:rsidRPr="004E3F97">
              <w:rPr>
                <w:noProof/>
                <w:webHidden/>
              </w:rPr>
              <w:t>9</w:t>
            </w:r>
            <w:r w:rsidR="004E3F97" w:rsidRPr="004E3F97">
              <w:rPr>
                <w:noProof/>
                <w:webHidden/>
              </w:rPr>
              <w:fldChar w:fldCharType="end"/>
            </w:r>
          </w:hyperlink>
        </w:p>
        <w:p w14:paraId="7AA51B00" w14:textId="317E95C5"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2" w:history="1">
            <w:r w:rsidR="004E3F97" w:rsidRPr="004E3F97">
              <w:rPr>
                <w:rStyle w:val="Hyperlink"/>
                <w:rFonts w:eastAsia="Times New Roman" w:cs="Times New Roman"/>
                <w:b/>
                <w:bCs/>
                <w:iCs/>
                <w:noProof/>
              </w:rPr>
              <w:t>4.3.</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EU na mednarodni ravni ne govori s skupnim glasom</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_Toc158189612 \h </w:instrText>
            </w:r>
            <w:r w:rsidR="004E3F97" w:rsidRPr="004E3F97">
              <w:rPr>
                <w:noProof/>
                <w:webHidden/>
              </w:rPr>
            </w:r>
            <w:r w:rsidR="004E3F97" w:rsidRPr="004E3F97">
              <w:rPr>
                <w:noProof/>
                <w:webHidden/>
              </w:rPr>
              <w:fldChar w:fldCharType="separate"/>
            </w:r>
            <w:r w:rsidR="004E3F97" w:rsidRPr="004E3F97">
              <w:rPr>
                <w:noProof/>
                <w:webHidden/>
              </w:rPr>
              <w:t>10</w:t>
            </w:r>
            <w:r w:rsidR="004E3F97" w:rsidRPr="004E3F97">
              <w:rPr>
                <w:noProof/>
                <w:webHidden/>
              </w:rPr>
              <w:fldChar w:fldCharType="end"/>
            </w:r>
          </w:hyperlink>
        </w:p>
        <w:p w14:paraId="2B09C0AB" w14:textId="608384E0"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3" w:history="1">
            <w:r w:rsidR="004E3F97" w:rsidRPr="004E3F97">
              <w:rPr>
                <w:rStyle w:val="Hyperlink"/>
                <w:rFonts w:eastAsia="Times New Roman" w:cs="Times New Roman"/>
                <w:b/>
                <w:bCs/>
                <w:iCs/>
                <w:noProof/>
              </w:rPr>
              <w:t>4.4.</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Svetovne dobavne verige in vpliv nižje v verigi</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_Toc158189613 \h </w:instrText>
            </w:r>
            <w:r w:rsidR="004E3F97" w:rsidRPr="004E3F97">
              <w:rPr>
                <w:noProof/>
                <w:webHidden/>
              </w:rPr>
            </w:r>
            <w:r w:rsidR="004E3F97" w:rsidRPr="004E3F97">
              <w:rPr>
                <w:noProof/>
                <w:webHidden/>
              </w:rPr>
              <w:fldChar w:fldCharType="separate"/>
            </w:r>
            <w:r w:rsidR="004E3F97" w:rsidRPr="004E3F97">
              <w:rPr>
                <w:noProof/>
                <w:webHidden/>
              </w:rPr>
              <w:t>11</w:t>
            </w:r>
            <w:r w:rsidR="004E3F97" w:rsidRPr="004E3F97">
              <w:rPr>
                <w:noProof/>
                <w:webHidden/>
              </w:rPr>
              <w:fldChar w:fldCharType="end"/>
            </w:r>
          </w:hyperlink>
        </w:p>
        <w:p w14:paraId="303128BA" w14:textId="1E5CC4D0"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4" w:history="1">
            <w:r w:rsidR="004E3F97" w:rsidRPr="004E3F97">
              <w:rPr>
                <w:rStyle w:val="Hyperlink"/>
                <w:rFonts w:eastAsia="Times New Roman" w:cs="Times New Roman"/>
                <w:b/>
                <w:bCs/>
                <w:iCs/>
                <w:noProof/>
              </w:rPr>
              <w:t>4.5.</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Izkušnje, pridobljene v zvezi s sankcijami EU proti Rusiji</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_Toc158189614 \h </w:instrText>
            </w:r>
            <w:r w:rsidR="004E3F97" w:rsidRPr="004E3F97">
              <w:rPr>
                <w:noProof/>
                <w:webHidden/>
              </w:rPr>
            </w:r>
            <w:r w:rsidR="004E3F97" w:rsidRPr="004E3F97">
              <w:rPr>
                <w:noProof/>
                <w:webHidden/>
              </w:rPr>
              <w:fldChar w:fldCharType="separate"/>
            </w:r>
            <w:r w:rsidR="004E3F97" w:rsidRPr="004E3F97">
              <w:rPr>
                <w:noProof/>
                <w:webHidden/>
              </w:rPr>
              <w:t>11</w:t>
            </w:r>
            <w:r w:rsidR="004E3F97" w:rsidRPr="004E3F97">
              <w:rPr>
                <w:noProof/>
                <w:webHidden/>
              </w:rPr>
              <w:fldChar w:fldCharType="end"/>
            </w:r>
          </w:hyperlink>
        </w:p>
        <w:p w14:paraId="68F441C8" w14:textId="63B80A6E" w:rsidR="004E3F97" w:rsidRPr="004E3F97" w:rsidRDefault="008F3EB4">
          <w:pPr>
            <w:pStyle w:val="TOC1"/>
            <w:rPr>
              <w:rFonts w:asciiTheme="minorHAnsi" w:eastAsiaTheme="minorEastAsia" w:hAnsiTheme="minorHAnsi"/>
              <w:noProof/>
              <w:kern w:val="2"/>
              <w:sz w:val="22"/>
              <w:lang w:eastAsia="sl-SI"/>
              <w14:ligatures w14:val="standardContextual"/>
            </w:rPr>
          </w:pPr>
          <w:hyperlink w:anchor="_Toc158189615" w:history="1">
            <w:r w:rsidR="004E3F97" w:rsidRPr="004E3F97">
              <w:rPr>
                <w:rStyle w:val="Hyperlink"/>
                <w:rFonts w:eastAsia="Times New Roman" w:cs="Times New Roman"/>
                <w:b/>
                <w:bCs/>
                <w:smallCaps/>
                <w:noProof/>
              </w:rPr>
              <w:t>5.</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smallCaps/>
                <w:noProof/>
              </w:rPr>
              <w:t>Predlagani odzivi</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_Toc158189615 \h </w:instrText>
            </w:r>
            <w:r w:rsidR="004E3F97" w:rsidRPr="004E3F97">
              <w:rPr>
                <w:noProof/>
                <w:webHidden/>
              </w:rPr>
            </w:r>
            <w:r w:rsidR="004E3F97" w:rsidRPr="004E3F97">
              <w:rPr>
                <w:noProof/>
                <w:webHidden/>
              </w:rPr>
              <w:fldChar w:fldCharType="separate"/>
            </w:r>
            <w:r w:rsidR="004E3F97" w:rsidRPr="004E3F97">
              <w:rPr>
                <w:noProof/>
                <w:webHidden/>
              </w:rPr>
              <w:t>12</w:t>
            </w:r>
            <w:r w:rsidR="004E3F97" w:rsidRPr="004E3F97">
              <w:rPr>
                <w:noProof/>
                <w:webHidden/>
              </w:rPr>
              <w:fldChar w:fldCharType="end"/>
            </w:r>
          </w:hyperlink>
        </w:p>
        <w:p w14:paraId="7D8C8A2B" w14:textId="13D42450"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6" w:history="1">
            <w:r w:rsidR="004E3F97" w:rsidRPr="004E3F97">
              <w:rPr>
                <w:rStyle w:val="Hyperlink"/>
                <w:rFonts w:eastAsia="Times New Roman" w:cs="Times New Roman"/>
                <w:b/>
                <w:bCs/>
                <w:iCs/>
                <w:noProof/>
              </w:rPr>
              <w:t>5.1.</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Zagotavljanje nadaljevanja in krepitve enotnega nadzora v EU</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_Toc158189616 \h </w:instrText>
            </w:r>
            <w:r w:rsidR="004E3F97" w:rsidRPr="004E3F97">
              <w:rPr>
                <w:noProof/>
                <w:webHidden/>
              </w:rPr>
            </w:r>
            <w:r w:rsidR="004E3F97" w:rsidRPr="004E3F97">
              <w:rPr>
                <w:noProof/>
                <w:webHidden/>
              </w:rPr>
              <w:fldChar w:fldCharType="separate"/>
            </w:r>
            <w:r w:rsidR="004E3F97" w:rsidRPr="004E3F97">
              <w:rPr>
                <w:noProof/>
                <w:webHidden/>
              </w:rPr>
              <w:t>12</w:t>
            </w:r>
            <w:r w:rsidR="004E3F97" w:rsidRPr="004E3F97">
              <w:rPr>
                <w:noProof/>
                <w:webHidden/>
              </w:rPr>
              <w:fldChar w:fldCharType="end"/>
            </w:r>
          </w:hyperlink>
        </w:p>
        <w:p w14:paraId="139D7EC6" w14:textId="2216E46C"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7" w:history="1">
            <w:r w:rsidR="004E3F97" w:rsidRPr="004E3F97">
              <w:rPr>
                <w:rStyle w:val="Hyperlink"/>
                <w:rFonts w:eastAsia="Times New Roman" w:cs="Times New Roman"/>
                <w:b/>
                <w:bCs/>
                <w:iCs/>
                <w:noProof/>
              </w:rPr>
              <w:t>5.2.</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Vzpostavitev foruma za politično usklajevanje na področju nadzora izvoza</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_Toc158189617 \h </w:instrText>
            </w:r>
            <w:r w:rsidR="004E3F97" w:rsidRPr="004E3F97">
              <w:rPr>
                <w:noProof/>
                <w:webHidden/>
              </w:rPr>
            </w:r>
            <w:r w:rsidR="004E3F97" w:rsidRPr="004E3F97">
              <w:rPr>
                <w:noProof/>
                <w:webHidden/>
              </w:rPr>
              <w:fldChar w:fldCharType="separate"/>
            </w:r>
            <w:r w:rsidR="004E3F97" w:rsidRPr="004E3F97">
              <w:rPr>
                <w:noProof/>
                <w:webHidden/>
              </w:rPr>
              <w:t>13</w:t>
            </w:r>
            <w:r w:rsidR="004E3F97" w:rsidRPr="004E3F97">
              <w:rPr>
                <w:noProof/>
                <w:webHidden/>
              </w:rPr>
              <w:fldChar w:fldCharType="end"/>
            </w:r>
          </w:hyperlink>
        </w:p>
        <w:p w14:paraId="1C151BD1" w14:textId="425534AC"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8" w:history="1">
            <w:r w:rsidR="004E3F97" w:rsidRPr="004E3F97">
              <w:rPr>
                <w:rStyle w:val="Hyperlink"/>
                <w:rFonts w:eastAsia="Times New Roman" w:cs="Times New Roman"/>
                <w:b/>
                <w:bCs/>
                <w:iCs/>
                <w:noProof/>
              </w:rPr>
              <w:t>5.3.</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Mehanizem za boljše usklajevanje novih nacionalnih seznamov za nadzor</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_Toc158189618 \h </w:instrText>
            </w:r>
            <w:r w:rsidR="004E3F97" w:rsidRPr="004E3F97">
              <w:rPr>
                <w:noProof/>
                <w:webHidden/>
              </w:rPr>
            </w:r>
            <w:r w:rsidR="004E3F97" w:rsidRPr="004E3F97">
              <w:rPr>
                <w:noProof/>
                <w:webHidden/>
              </w:rPr>
              <w:fldChar w:fldCharType="separate"/>
            </w:r>
            <w:r w:rsidR="004E3F97" w:rsidRPr="004E3F97">
              <w:rPr>
                <w:noProof/>
                <w:webHidden/>
              </w:rPr>
              <w:t>13</w:t>
            </w:r>
            <w:r w:rsidR="004E3F97" w:rsidRPr="004E3F97">
              <w:rPr>
                <w:noProof/>
                <w:webHidden/>
              </w:rPr>
              <w:fldChar w:fldCharType="end"/>
            </w:r>
          </w:hyperlink>
        </w:p>
        <w:p w14:paraId="70D8E901" w14:textId="71E03470" w:rsidR="004E3F97" w:rsidRPr="004E3F97" w:rsidRDefault="008F3EB4">
          <w:pPr>
            <w:pStyle w:val="TOC2"/>
            <w:tabs>
              <w:tab w:val="left" w:pos="880"/>
              <w:tab w:val="right" w:leader="dot" w:pos="9016"/>
            </w:tabs>
            <w:rPr>
              <w:rFonts w:asciiTheme="minorHAnsi" w:eastAsiaTheme="minorEastAsia" w:hAnsiTheme="minorHAnsi"/>
              <w:noProof/>
              <w:kern w:val="2"/>
              <w:sz w:val="22"/>
              <w:lang w:eastAsia="sl-SI"/>
              <w14:ligatures w14:val="standardContextual"/>
            </w:rPr>
          </w:pPr>
          <w:hyperlink w:anchor="_Toc158189619" w:history="1">
            <w:r w:rsidR="004E3F97" w:rsidRPr="004E3F97">
              <w:rPr>
                <w:rStyle w:val="Hyperlink"/>
                <w:rFonts w:eastAsia="Times New Roman" w:cs="Times New Roman"/>
                <w:b/>
                <w:bCs/>
                <w:iCs/>
                <w:noProof/>
              </w:rPr>
              <w:t>5.4.</w:t>
            </w:r>
            <w:r w:rsidR="004E3F97" w:rsidRPr="004E3F97">
              <w:rPr>
                <w:rFonts w:asciiTheme="minorHAnsi" w:eastAsiaTheme="minorEastAsia" w:hAnsiTheme="minorHAnsi"/>
                <w:noProof/>
                <w:kern w:val="2"/>
                <w:sz w:val="22"/>
                <w:lang w:eastAsia="sl-SI"/>
                <w14:ligatures w14:val="standardContextual"/>
              </w:rPr>
              <w:tab/>
            </w:r>
            <w:r w:rsidR="004E3F97" w:rsidRPr="004E3F97">
              <w:rPr>
                <w:rStyle w:val="Hyperlink"/>
                <w:b/>
                <w:noProof/>
              </w:rPr>
              <w:t>Pospešitev časovnice za oceno uredbe o blagu z dvojno rabo</w:t>
            </w:r>
            <w:r w:rsidR="004E3F97" w:rsidRPr="004E3F97">
              <w:rPr>
                <w:noProof/>
                <w:webHidden/>
              </w:rPr>
              <w:tab/>
            </w:r>
            <w:r w:rsidR="004E3F97" w:rsidRPr="004E3F97">
              <w:rPr>
                <w:noProof/>
                <w:webHidden/>
              </w:rPr>
              <w:fldChar w:fldCharType="begin"/>
            </w:r>
            <w:r w:rsidR="004E3F97" w:rsidRPr="004E3F97">
              <w:rPr>
                <w:noProof/>
                <w:webHidden/>
              </w:rPr>
              <w:instrText xml:space="preserve"> PAGEREF _Toc158189619 \h </w:instrText>
            </w:r>
            <w:r w:rsidR="004E3F97" w:rsidRPr="004E3F97">
              <w:rPr>
                <w:noProof/>
                <w:webHidden/>
              </w:rPr>
            </w:r>
            <w:r w:rsidR="004E3F97" w:rsidRPr="004E3F97">
              <w:rPr>
                <w:noProof/>
                <w:webHidden/>
              </w:rPr>
              <w:fldChar w:fldCharType="separate"/>
            </w:r>
            <w:r w:rsidR="004E3F97" w:rsidRPr="004E3F97">
              <w:rPr>
                <w:noProof/>
                <w:webHidden/>
              </w:rPr>
              <w:t>13</w:t>
            </w:r>
            <w:r w:rsidR="004E3F97" w:rsidRPr="004E3F97">
              <w:rPr>
                <w:noProof/>
                <w:webHidden/>
              </w:rPr>
              <w:fldChar w:fldCharType="end"/>
            </w:r>
          </w:hyperlink>
        </w:p>
        <w:p w14:paraId="5D28DDB1" w14:textId="4C6FC186" w:rsidR="000A37D7" w:rsidRPr="004E3F97" w:rsidRDefault="000A37D7" w:rsidP="000A37D7">
          <w:pPr>
            <w:rPr>
              <w:rFonts w:eastAsia="Times New Roman" w:cs="Times New Roman"/>
              <w:noProof/>
            </w:rPr>
          </w:pPr>
          <w:r w:rsidRPr="004E3F97">
            <w:rPr>
              <w:rFonts w:eastAsia="Times New Roman" w:cs="Times New Roman"/>
              <w:b/>
              <w:noProof/>
            </w:rPr>
            <w:fldChar w:fldCharType="end"/>
          </w:r>
        </w:p>
      </w:sdtContent>
    </w:sdt>
    <w:p w14:paraId="03CDAD44" w14:textId="77777777" w:rsidR="000A37D7" w:rsidRPr="004E3F97" w:rsidRDefault="000A37D7" w:rsidP="000A37D7">
      <w:pPr>
        <w:spacing w:before="120" w:after="120" w:line="240" w:lineRule="auto"/>
        <w:jc w:val="left"/>
        <w:rPr>
          <w:rFonts w:eastAsia="Times New Roman" w:cs="Times New Roman"/>
          <w:noProof/>
          <w:szCs w:val="24"/>
          <w:lang w:val="en-GB"/>
        </w:rPr>
      </w:pPr>
    </w:p>
    <w:p w14:paraId="047CB4A4" w14:textId="77777777" w:rsidR="000A37D7" w:rsidRPr="004E3F97" w:rsidRDefault="000A37D7" w:rsidP="000A37D7">
      <w:pPr>
        <w:spacing w:before="120" w:after="120" w:line="240" w:lineRule="auto"/>
        <w:jc w:val="left"/>
        <w:rPr>
          <w:rFonts w:eastAsia="Times New Roman" w:cs="Times New Roman"/>
          <w:noProof/>
          <w:szCs w:val="24"/>
          <w:lang w:val="en-GB"/>
        </w:rPr>
      </w:pPr>
    </w:p>
    <w:p w14:paraId="3F2AAE20" w14:textId="6AC2361E" w:rsidR="000A37D7" w:rsidRPr="004E3F97" w:rsidRDefault="00A71AE8">
      <w:pPr>
        <w:jc w:val="left"/>
        <w:rPr>
          <w:rFonts w:eastAsia="Times New Roman" w:cs="Times New Roman"/>
          <w:noProof/>
          <w:szCs w:val="24"/>
        </w:rPr>
      </w:pPr>
      <w:r w:rsidRPr="004E3F97">
        <w:rPr>
          <w:noProof/>
        </w:rPr>
        <w:br w:type="page"/>
      </w:r>
    </w:p>
    <w:p w14:paraId="6366E474" w14:textId="77777777" w:rsidR="000A37D7" w:rsidRPr="004E3F97" w:rsidRDefault="000A37D7" w:rsidP="000A37D7">
      <w:pPr>
        <w:keepNext/>
        <w:numPr>
          <w:ilvl w:val="0"/>
          <w:numId w:val="12"/>
        </w:numPr>
        <w:spacing w:before="360" w:after="120" w:line="240" w:lineRule="auto"/>
        <w:ind w:left="432" w:hanging="432"/>
        <w:outlineLvl w:val="0"/>
        <w:rPr>
          <w:rFonts w:eastAsia="Times New Roman" w:cs="Times New Roman"/>
          <w:b/>
          <w:bCs/>
          <w:smallCaps/>
          <w:noProof/>
          <w:szCs w:val="24"/>
        </w:rPr>
      </w:pPr>
      <w:bookmarkStart w:id="3" w:name="_Toc158189603"/>
      <w:r w:rsidRPr="004E3F97">
        <w:rPr>
          <w:b/>
          <w:smallCaps/>
          <w:noProof/>
        </w:rPr>
        <w:lastRenderedPageBreak/>
        <w:t>Uvod: kaj je namen bele knjige?</w:t>
      </w:r>
      <w:bookmarkEnd w:id="3"/>
    </w:p>
    <w:p w14:paraId="7D572661" w14:textId="0D68D91C" w:rsidR="000A37D7" w:rsidRPr="004E3F97" w:rsidRDefault="000A37D7" w:rsidP="000A37D7">
      <w:pPr>
        <w:spacing w:before="120" w:after="120" w:line="240" w:lineRule="auto"/>
        <w:rPr>
          <w:rFonts w:eastAsia="Times New Roman" w:cs="Times New Roman"/>
          <w:noProof/>
          <w:szCs w:val="24"/>
        </w:rPr>
      </w:pPr>
      <w:r w:rsidRPr="004E3F97">
        <w:rPr>
          <w:noProof/>
        </w:rPr>
        <w:t>Nadzor EU nad izvozom blaga z dvojno rabo</w:t>
      </w:r>
      <w:r w:rsidR="00793411" w:rsidRPr="004E3F97">
        <w:rPr>
          <w:rStyle w:val="FootnoteReference"/>
          <w:rFonts w:eastAsia="Times New Roman" w:cs="Times New Roman"/>
          <w:noProof/>
          <w:szCs w:val="24"/>
          <w:lang w:val="en-GB" w:eastAsia="en-IE"/>
        </w:rPr>
        <w:footnoteReference w:id="2"/>
      </w:r>
      <w:r w:rsidRPr="004E3F97">
        <w:rPr>
          <w:noProof/>
        </w:rPr>
        <w:t xml:space="preserve"> je ključno orodje za mednarodni mir in varnost ter varstvo človekovih pravic. Zagotavlja, da blago, kot so napredna elektronika, toksini, raketna tehnologija ali jedrske komponente, ki se uporabljajo tako v civilne kot tudi vojaške namene, ne pridejo v napačne roke. Za blago z dvojno rabo je zato pri izvozu iz EU potrebno dovoljenje, ki omejuje možnost uporabe takega blaga v vojni ali konfliktnih razmerah, za kršitve človekovih pravic ali za omogočanje širjenja orožja za množično uničevanje.</w:t>
      </w:r>
    </w:p>
    <w:p w14:paraId="13685B31" w14:textId="48198B05" w:rsidR="000A37D7" w:rsidRPr="004E3F97" w:rsidRDefault="000A37D7" w:rsidP="000A37D7">
      <w:pPr>
        <w:spacing w:before="120" w:after="120" w:line="240" w:lineRule="auto"/>
        <w:rPr>
          <w:rFonts w:eastAsia="Times New Roman" w:cs="Times New Roman"/>
          <w:noProof/>
          <w:szCs w:val="24"/>
        </w:rPr>
      </w:pPr>
      <w:r w:rsidRPr="004E3F97">
        <w:rPr>
          <w:noProof/>
        </w:rPr>
        <w:t>Ta nadzor na splošno izhaja iz obveznosti in zavez, ki so jih države članice EU ali Evropska unija sprejele kot članice mednarodnih sporazumov o neširjenju orožja in večstranskih režimov za nadzor izvoza</w:t>
      </w:r>
      <w:r w:rsidR="002C2D9D" w:rsidRPr="004E3F97">
        <w:rPr>
          <w:rStyle w:val="FootnoteReference"/>
          <w:rFonts w:eastAsia="Times New Roman" w:cs="Times New Roman"/>
          <w:noProof/>
          <w:szCs w:val="24"/>
          <w:lang w:val="en-GB"/>
        </w:rPr>
        <w:footnoteReference w:id="3"/>
      </w:r>
      <w:r w:rsidRPr="004E3F97">
        <w:rPr>
          <w:noProof/>
        </w:rPr>
        <w:t>. Ta večstranski pristop je najboljši način za razvoj zanesljivega nadzora izvoza na svetovni ravni. Zaveze se nato v EU izvajajo enotno.</w:t>
      </w:r>
    </w:p>
    <w:p w14:paraId="257F1555" w14:textId="507DEE25" w:rsidR="000A37D7" w:rsidRPr="004E3F97" w:rsidRDefault="000A37D7" w:rsidP="000A37D7">
      <w:pPr>
        <w:spacing w:before="120" w:after="120" w:line="240" w:lineRule="auto"/>
        <w:rPr>
          <w:rFonts w:eastAsia="Times New Roman" w:cs="Times New Roman"/>
          <w:noProof/>
          <w:szCs w:val="24"/>
        </w:rPr>
      </w:pPr>
      <w:r w:rsidRPr="004E3F97">
        <w:rPr>
          <w:noProof/>
        </w:rPr>
        <w:t>Na ravni EU je okvir za izvajanje in urejanje izvoza blaga z dvojno rabo določen v Uredbi (EU) 2021/821 (v nadaljnjem besedilu: uredba o blagu z dvojno rabo)</w:t>
      </w:r>
      <w:r w:rsidRPr="004E3F97">
        <w:rPr>
          <w:rFonts w:eastAsia="Times New Roman" w:cs="Times New Roman"/>
          <w:noProof/>
          <w:szCs w:val="24"/>
          <w:vertAlign w:val="superscript"/>
          <w:lang w:val="en-GB"/>
        </w:rPr>
        <w:footnoteReference w:id="4"/>
      </w:r>
      <w:r w:rsidRPr="004E3F97">
        <w:rPr>
          <w:noProof/>
        </w:rPr>
        <w:t>, s katero so bila leta 2021 bistveno spremenjena pravila EU o blagu z dvojno rabo. Ta sprememba upošteva hiter tehnološki razvoj in vse večjo militarizacijo nastajajočih tehnologij, zagotavlja učinkovitejše izvajanje in krepi usklajevanje med nacionalnimi organi držav članic EU za nadzor izvoza in z Evropsko komisijo.</w:t>
      </w:r>
    </w:p>
    <w:p w14:paraId="4E4E1E39" w14:textId="7C51CC0D" w:rsidR="00290362" w:rsidRPr="004E3F97" w:rsidRDefault="000A37D7" w:rsidP="000A37D7">
      <w:pPr>
        <w:spacing w:before="120" w:after="120" w:line="240" w:lineRule="auto"/>
        <w:rPr>
          <w:rFonts w:eastAsia="Times New Roman" w:cs="Times New Roman"/>
          <w:noProof/>
          <w:szCs w:val="24"/>
        </w:rPr>
      </w:pPr>
      <w:r w:rsidRPr="004E3F97">
        <w:rPr>
          <w:noProof/>
        </w:rPr>
        <w:t xml:space="preserve">Od začetka veljavnosti uredbe o blagu z dvojno rabo se je globalni okvir za nadzor izvoza bistveno spremenil. Zaradi ruske vojne agresije proti Ukrajini so bile hitro uvedene doslej najobsežnejše sankcije. Vključevale so hitro uvedbo omejitev izvoza blaga z dvojno rabo in občutljivega blaga, kar je bilo ključnega pomena za zajezitev dolgoročnih vojnih prizadevanj Rusije. To je pokazalo, da EU potrebuje sistem nadzora izvoza, ki se lahko uporabi hitro in na enoten način. </w:t>
      </w:r>
    </w:p>
    <w:p w14:paraId="757F59E2" w14:textId="2DE29C41" w:rsidR="00290362" w:rsidRPr="004E3F97" w:rsidRDefault="000A37D7" w:rsidP="000A37D7">
      <w:pPr>
        <w:spacing w:before="120" w:after="120" w:line="240" w:lineRule="auto"/>
        <w:rPr>
          <w:rFonts w:eastAsia="Times New Roman" w:cs="Times New Roman"/>
          <w:noProof/>
          <w:szCs w:val="24"/>
        </w:rPr>
      </w:pPr>
      <w:r w:rsidRPr="004E3F97">
        <w:rPr>
          <w:noProof/>
        </w:rPr>
        <w:t xml:space="preserve">Čeprav je bilo na tehnični ravni opravljeno pomembno delo, so nekatere članice ovirale zmožnosti večstranskih režimov za nadzor izvoza, da bi sprejemali nove odločitve o blagu, ki bo predmet nadzora, in sledili tehnološkemu razvoju, kar je ustvarilo vrzeli pri sprejemanju novega nadzora izvoza na večstranski ravni. </w:t>
      </w:r>
    </w:p>
    <w:p w14:paraId="17623001" w14:textId="5DA7F93C" w:rsidR="000A37D7" w:rsidRPr="004E3F97" w:rsidRDefault="000A37D7" w:rsidP="000A37D7">
      <w:pPr>
        <w:spacing w:before="120" w:after="120" w:line="240" w:lineRule="auto"/>
        <w:rPr>
          <w:rFonts w:eastAsia="Times New Roman" w:cs="Times New Roman"/>
          <w:noProof/>
          <w:szCs w:val="24"/>
        </w:rPr>
      </w:pPr>
      <w:r w:rsidRPr="004E3F97">
        <w:rPr>
          <w:noProof/>
        </w:rPr>
        <w:t>Poleg tega so nekatere države, vključno z državami članicami EU, uvedle nove vrste nacionalnega nadzora nad nastajajočimi in naprednimi občutljivimi tehnologijami zunaj večstranskega okvira, kar je povzročilo tveganje razlikovanja nadzornih ukrepov v EU in razdrobljenosti enotnega trga. Vsi ti dogodki so države članice izpostavili geopolitičnemu pritisku in sprožili vprašanja o ustreznosti sedanjega okvira EU za nadzor izvoza, da bi učinkovito prispeval k varnosti EU in njenih držav članic.</w:t>
      </w:r>
    </w:p>
    <w:p w14:paraId="2CD84CD6" w14:textId="39F2C07A" w:rsidR="000A37D7" w:rsidRPr="004E3F97" w:rsidRDefault="000A37D7" w:rsidP="000A37D7">
      <w:pPr>
        <w:spacing w:before="120" w:after="120" w:line="240" w:lineRule="auto"/>
        <w:rPr>
          <w:rFonts w:eastAsia="Times New Roman" w:cs="Times New Roman"/>
          <w:noProof/>
          <w:szCs w:val="24"/>
        </w:rPr>
      </w:pPr>
      <w:r w:rsidRPr="004E3F97">
        <w:rPr>
          <w:noProof/>
        </w:rPr>
        <w:t>Glede na navedeno sta Komisija in visoki predstavnik 20. junija 2023 sprejela sporočilo o evropski strategiji za gospodarsko varnost</w:t>
      </w:r>
      <w:r w:rsidR="00290362" w:rsidRPr="004E3F97">
        <w:rPr>
          <w:rFonts w:eastAsia="Times New Roman" w:cs="Times New Roman"/>
          <w:noProof/>
          <w:szCs w:val="24"/>
          <w:vertAlign w:val="superscript"/>
          <w:lang w:val="en-GB"/>
        </w:rPr>
        <w:footnoteReference w:id="5"/>
      </w:r>
      <w:r w:rsidRPr="004E3F97">
        <w:rPr>
          <w:noProof/>
        </w:rPr>
        <w:t>. Sporočilo poziva k hitrejšemu in bolj usklajenemu ukrepanju na ravni EU na področju nadzora izvoza blaga z dvojno rabo ter k polnemu izkoriščanju možnosti, ki jih ponuja uredba o blagu z dvojno rabo.</w:t>
      </w:r>
    </w:p>
    <w:p w14:paraId="0108899C" w14:textId="77777777" w:rsidR="000A37D7" w:rsidRPr="004E3F97" w:rsidRDefault="000A37D7" w:rsidP="000A37D7">
      <w:pPr>
        <w:spacing w:before="120" w:after="120" w:line="240" w:lineRule="auto"/>
        <w:rPr>
          <w:rFonts w:eastAsia="Times New Roman" w:cs="Times New Roman"/>
          <w:noProof/>
          <w:szCs w:val="24"/>
        </w:rPr>
      </w:pPr>
      <w:r w:rsidRPr="004E3F97">
        <w:rPr>
          <w:noProof/>
        </w:rPr>
        <w:t>Ta bela knjiga je odgovor na omenjeni poziv. V njej je analizirano trenutno stanje in predstavljenih več predlogov za reševanje sedanjih izzivov, tako za spodbujanje enotnega in učinkovitega nadzora po vsej EU kot za začetek razprave z državami članicami, Evropskim parlamentom in deležniki, vključno s poslovno skupnostjo, o oceni delovanja uredbe o blagu z dvojno rabo in zmožnosti sedanjega okvira za učinkovito izpolnjevanje sedanjih in prihodnjih varnostnih potreb EU.</w:t>
      </w:r>
    </w:p>
    <w:p w14:paraId="3F93CD4F" w14:textId="77777777" w:rsidR="000A37D7" w:rsidRPr="004E3F97" w:rsidRDefault="000A37D7" w:rsidP="000A37D7">
      <w:pPr>
        <w:keepNext/>
        <w:numPr>
          <w:ilvl w:val="0"/>
          <w:numId w:val="12"/>
        </w:numPr>
        <w:spacing w:before="360" w:after="120" w:line="240" w:lineRule="auto"/>
        <w:ind w:left="432" w:hanging="432"/>
        <w:outlineLvl w:val="0"/>
        <w:rPr>
          <w:rFonts w:eastAsia="Times New Roman" w:cs="Times New Roman"/>
          <w:b/>
          <w:bCs/>
          <w:smallCaps/>
          <w:noProof/>
          <w:szCs w:val="24"/>
        </w:rPr>
      </w:pPr>
      <w:bookmarkStart w:id="5" w:name="_Toc158189604"/>
      <w:r w:rsidRPr="004E3F97">
        <w:rPr>
          <w:b/>
          <w:smallCaps/>
          <w:noProof/>
        </w:rPr>
        <w:t>Uredba o blagu z dvojno rabo iz leta 2021: trenutno stanje izvajanja</w:t>
      </w:r>
      <w:bookmarkEnd w:id="5"/>
    </w:p>
    <w:p w14:paraId="24382CEA" w14:textId="15253AAF" w:rsidR="000A37D7" w:rsidRPr="004E3F97" w:rsidRDefault="000A37D7" w:rsidP="000A37D7">
      <w:pPr>
        <w:spacing w:before="120" w:after="120" w:line="240" w:lineRule="auto"/>
        <w:rPr>
          <w:rFonts w:eastAsia="Times New Roman" w:cs="Times New Roman"/>
          <w:noProof/>
          <w:szCs w:val="24"/>
        </w:rPr>
      </w:pPr>
      <w:r w:rsidRPr="004E3F97">
        <w:rPr>
          <w:noProof/>
        </w:rPr>
        <w:t>Uredba o blagu z dvojno rabo je okrepila zmogljivost EU za odziv na razvijajoče se varnostno okolje, hiter tehnološki razvoj ter razvoj svetovnih dobavnih verig in mednarodne trgovine.</w:t>
      </w:r>
    </w:p>
    <w:p w14:paraId="1A1FCA74" w14:textId="3ED3A940" w:rsidR="000A37D7" w:rsidRPr="004E3F97" w:rsidRDefault="000A37D7" w:rsidP="000A37D7">
      <w:pPr>
        <w:spacing w:before="120" w:after="120" w:line="240" w:lineRule="auto"/>
        <w:rPr>
          <w:rFonts w:eastAsia="Times New Roman" w:cs="Times New Roman"/>
          <w:noProof/>
          <w:szCs w:val="24"/>
        </w:rPr>
      </w:pPr>
      <w:r w:rsidRPr="004E3F97">
        <w:rPr>
          <w:noProof/>
        </w:rPr>
        <w:t>Vključuje nove pristope za okrepitev usklajevanja med državami članicami pri uvajanju novega nadzora EU nad tehnologijami za kibernetski nadzor in nastajajočimi tehnologijami, da se olajša trgovina z blagom z dvojno rabo z nizkim tveganjem ter okrepi izmenjava informacij med državami članicami in s Komisijo (vključno z razvojem namenske elektronske platforme EU za izdajanje dovoljenj). Njen cilj je tudi večja preglednost nacionalnih odločitev držav članic EU o izdaji dovoljenj ter doslednost pri izvajanju in izvrševanju nadzora.</w:t>
      </w:r>
    </w:p>
    <w:p w14:paraId="50A67585" w14:textId="7847295B" w:rsidR="000A37D7" w:rsidRPr="004E3F97" w:rsidRDefault="000A37D7" w:rsidP="000A37D7">
      <w:pPr>
        <w:spacing w:before="120" w:after="120" w:line="240" w:lineRule="auto"/>
        <w:rPr>
          <w:rFonts w:eastAsia="Times New Roman" w:cs="Times New Roman"/>
          <w:noProof/>
          <w:szCs w:val="24"/>
        </w:rPr>
      </w:pPr>
      <w:r w:rsidRPr="004E3F97">
        <w:rPr>
          <w:noProof/>
        </w:rPr>
        <w:t>Ta razvoj dopolnjujejo ukrepi za podporo izvoznikom EU, vključno z novimi splošnimi izvoznimi dovoljenji EU za tehnologije šifriranja in za prenose tehnologije znotraj podjetij, skupaj z racionaliziranimi postopki za izdajanje dovoljenj. Uredba priznava tudi ključno vlogo industrije kot prve obrambne linije. Komisijo in države članice pooblašča tudi, da spodbujajo sodelovanje z mednarodnimi partnerji v prizadevanju za ohranitev večstranskih sistemov za nadzor izvoza kot ključnih elementov mednarodne trgovine in varnostne infrastrukture.</w:t>
      </w:r>
    </w:p>
    <w:p w14:paraId="1CF73DB2" w14:textId="1B98B632" w:rsidR="000A37D7" w:rsidRPr="004E3F97" w:rsidRDefault="000A37D7" w:rsidP="000A37D7">
      <w:pPr>
        <w:spacing w:before="120" w:after="120" w:line="240" w:lineRule="auto"/>
        <w:rPr>
          <w:rFonts w:eastAsia="Times New Roman" w:cs="Times New Roman"/>
          <w:noProof/>
          <w:szCs w:val="24"/>
        </w:rPr>
      </w:pPr>
      <w:r w:rsidRPr="004E3F97">
        <w:rPr>
          <w:noProof/>
        </w:rPr>
        <w:t>Ukrepi za uvedbo teh določb se že nekaj časa izvajajo. Komisija in države članice so pripravile smernice o programih notranje skladnosti in skladnosti raziskav ter za zagotavljanje preglednosti nacionalnih odločitev o izdaji dovoljenj v okviru letnih poročil držav članic</w:t>
      </w:r>
      <w:r w:rsidRPr="004E3F97">
        <w:rPr>
          <w:rFonts w:eastAsia="Times New Roman" w:cs="Times New Roman"/>
          <w:noProof/>
          <w:szCs w:val="24"/>
          <w:vertAlign w:val="superscript"/>
          <w:lang w:val="en-GB"/>
        </w:rPr>
        <w:footnoteReference w:id="6"/>
      </w:r>
      <w:r w:rsidRPr="004E3F97">
        <w:rPr>
          <w:noProof/>
        </w:rPr>
        <w:t xml:space="preserve">. </w:t>
      </w:r>
      <w:bookmarkStart w:id="6" w:name="_Hlk151988615"/>
      <w:r w:rsidRPr="004E3F97">
        <w:rPr>
          <w:noProof/>
        </w:rPr>
        <w:t>Komisija in države članice pripravljajo smernice za podporo skrbnim pregledom izvoznikov in okrepitev nadzora nad izvozom blaga za kibernetski nadzor</w:t>
      </w:r>
      <w:r w:rsidRPr="004E3F97">
        <w:rPr>
          <w:rFonts w:eastAsia="Times New Roman" w:cs="Times New Roman"/>
          <w:noProof/>
          <w:szCs w:val="24"/>
          <w:vertAlign w:val="superscript"/>
          <w:lang w:val="en-GB"/>
        </w:rPr>
        <w:footnoteReference w:id="7"/>
      </w:r>
      <w:r w:rsidRPr="004E3F97">
        <w:rPr>
          <w:noProof/>
        </w:rPr>
        <w:t xml:space="preserve"> v okviru ukrepov EU za preprečevanje uporabe trgovine v povezavi z notranjo represijo in/ali hujšimi kršitvami in zlorabami človekovih pravic in mednarodnega humanitarnega prava</w:t>
      </w:r>
      <w:r w:rsidRPr="004E3F97">
        <w:rPr>
          <w:rFonts w:eastAsia="Times New Roman" w:cs="Times New Roman"/>
          <w:noProof/>
          <w:szCs w:val="24"/>
          <w:vertAlign w:val="superscript"/>
          <w:lang w:val="en-GB"/>
        </w:rPr>
        <w:footnoteReference w:id="8"/>
      </w:r>
      <w:r w:rsidRPr="004E3F97">
        <w:rPr>
          <w:noProof/>
        </w:rPr>
        <w:t xml:space="preserve">. </w:t>
      </w:r>
    </w:p>
    <w:bookmarkEnd w:id="6"/>
    <w:p w14:paraId="540688FD" w14:textId="2CABFBED" w:rsidR="000A37D7" w:rsidRPr="004E3F97" w:rsidRDefault="000A37D7" w:rsidP="000A37D7">
      <w:pPr>
        <w:spacing w:before="120" w:after="120" w:line="240" w:lineRule="auto"/>
        <w:rPr>
          <w:rFonts w:eastAsia="Times New Roman" w:cs="Times New Roman"/>
          <w:noProof/>
          <w:szCs w:val="24"/>
        </w:rPr>
      </w:pPr>
      <w:r w:rsidRPr="004E3F97">
        <w:rPr>
          <w:noProof/>
        </w:rPr>
        <w:t>EU je tudi okrepila sodelovanje z mednarodnimi partnerji kot del svojih prizadevanj za ohranjanje mednarodne varnosti, na primer v okviru Sveta EU-ZDA za trgovino in tehnologijo, ter razvoja svetovne koalicije za usklajevanje izvoznih omejitev za občutljivo blago v odziv na obsežno rusko invazijo na Ukrajino.</w:t>
      </w:r>
    </w:p>
    <w:p w14:paraId="19C23C03" w14:textId="294C0524" w:rsidR="000A37D7" w:rsidRPr="004E3F97" w:rsidRDefault="000A37D7" w:rsidP="000A37D7">
      <w:pPr>
        <w:spacing w:before="120" w:after="120" w:line="240" w:lineRule="auto"/>
        <w:rPr>
          <w:rFonts w:eastAsia="Times New Roman" w:cs="Times New Roman"/>
          <w:noProof/>
          <w:szCs w:val="24"/>
        </w:rPr>
      </w:pPr>
      <w:r w:rsidRPr="004E3F97">
        <w:rPr>
          <w:noProof/>
        </w:rPr>
        <w:t>Eden najbolj inovativnih elementov uredbe o blagu z dvojno rabo je bila uvedba mehanizma (v členih 9 in 10) za lažje usklajevanje nacionalnega nadzora izvoza na ravni EU. To je podrobneje opisano v oddelkih 3 in 4 v nadaljevanju.</w:t>
      </w:r>
    </w:p>
    <w:p w14:paraId="58FBECA5" w14:textId="6EC4AFF0" w:rsidR="002B3335" w:rsidRPr="004E3F97" w:rsidRDefault="000A37D7" w:rsidP="000A37D7">
      <w:pPr>
        <w:spacing w:before="120" w:after="120" w:line="240" w:lineRule="auto"/>
        <w:rPr>
          <w:rFonts w:eastAsia="Times New Roman" w:cs="Times New Roman"/>
          <w:noProof/>
          <w:szCs w:val="24"/>
        </w:rPr>
      </w:pPr>
      <w:r w:rsidRPr="004E3F97">
        <w:rPr>
          <w:noProof/>
        </w:rPr>
        <w:t xml:space="preserve">Kljub dobremu napredku pri izvajanju različnih vidikov uredbe o blagu z dvojno rabo si je treba še naprej prizadevati, da bi v celoti izkoristili njen potencial in optimizirali njen prispevek k miru in varnosti v trenutnih geopolitičnih razmerah. </w:t>
      </w:r>
    </w:p>
    <w:p w14:paraId="478568E6" w14:textId="77777777" w:rsidR="000A37D7" w:rsidRPr="004E3F97" w:rsidRDefault="000A37D7" w:rsidP="000A37D7">
      <w:pPr>
        <w:keepNext/>
        <w:numPr>
          <w:ilvl w:val="0"/>
          <w:numId w:val="12"/>
        </w:numPr>
        <w:spacing w:before="360" w:after="120" w:line="240" w:lineRule="auto"/>
        <w:ind w:left="432" w:hanging="432"/>
        <w:outlineLvl w:val="0"/>
        <w:rPr>
          <w:rFonts w:eastAsia="Times New Roman" w:cs="Times New Roman"/>
          <w:b/>
          <w:bCs/>
          <w:smallCaps/>
          <w:noProof/>
          <w:szCs w:val="24"/>
        </w:rPr>
      </w:pPr>
      <w:bookmarkStart w:id="7" w:name="_Toc158189605"/>
      <w:r w:rsidRPr="004E3F97">
        <w:rPr>
          <w:b/>
          <w:smallCaps/>
          <w:noProof/>
        </w:rPr>
        <w:t>Nedavni razvoj na področju nadzora izvoza</w:t>
      </w:r>
      <w:bookmarkEnd w:id="7"/>
    </w:p>
    <w:p w14:paraId="64161259" w14:textId="0B015A0D" w:rsidR="000A37D7" w:rsidRPr="004E3F97" w:rsidRDefault="000A37D7" w:rsidP="000A37D7">
      <w:pPr>
        <w:spacing w:before="120" w:after="120" w:line="240" w:lineRule="auto"/>
        <w:rPr>
          <w:rFonts w:eastAsia="Times New Roman" w:cs="Times New Roman"/>
          <w:noProof/>
          <w:szCs w:val="24"/>
        </w:rPr>
      </w:pPr>
      <w:r w:rsidRPr="004E3F97">
        <w:rPr>
          <w:noProof/>
        </w:rPr>
        <w:t>V tem poglavju so opisani nedavni dogodki, ki kažejo na omejenost sedanjega okvira za nadzor izvoza in njegove zmožnosti zmanjševanja tveganj, ki jih predstavlja izvoz blaga z dvojno rabo za varnost in celovitost notranjega trga. Komisija meni, da je potreben prožnejši in učinkovitejši nadzor izvoza EU, ki bo služil interesom in vrednotam varnostne in zunanje politike na nacionalni ravni in na ravni EU, hkrati pa bo trdno zasidran v skupni trgovinski politiki Unije</w:t>
      </w:r>
      <w:r w:rsidRPr="004E3F97">
        <w:rPr>
          <w:rFonts w:eastAsia="Times New Roman" w:cs="Times New Roman"/>
          <w:noProof/>
          <w:szCs w:val="24"/>
          <w:vertAlign w:val="superscript"/>
          <w:lang w:val="en-GB"/>
        </w:rPr>
        <w:footnoteReference w:id="9"/>
      </w:r>
      <w:r w:rsidRPr="004E3F97">
        <w:rPr>
          <w:noProof/>
        </w:rPr>
        <w:t>.</w:t>
      </w:r>
    </w:p>
    <w:p w14:paraId="3DCAD585"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8" w:name="_Toc158189606"/>
      <w:r w:rsidRPr="004E3F97">
        <w:rPr>
          <w:b/>
          <w:noProof/>
        </w:rPr>
        <w:t>Vpliv Rusije na delovanje večstranskih režimov za nadzor izvoza</w:t>
      </w:r>
      <w:bookmarkEnd w:id="8"/>
    </w:p>
    <w:p w14:paraId="02AC2F84" w14:textId="114A4E48" w:rsidR="000A37D7" w:rsidRPr="004E3F97" w:rsidRDefault="000A37D7" w:rsidP="000A37D7">
      <w:pPr>
        <w:spacing w:before="120" w:after="120" w:line="240" w:lineRule="auto"/>
        <w:rPr>
          <w:rFonts w:eastAsia="Times New Roman" w:cs="Times New Roman"/>
          <w:noProof/>
          <w:szCs w:val="24"/>
        </w:rPr>
      </w:pPr>
      <w:r w:rsidRPr="004E3F97">
        <w:rPr>
          <w:noProof/>
        </w:rPr>
        <w:t xml:space="preserve">Vzpostavljeni večstranski režimi za nadzor izvoza že desetletja zagotavljajo potrebne ukrepe za nadzor izvoza, na katerih danes sloni okvir EU za nadzor izvoza, in tako ustrezajo ciljem varnostne politike Unije. EU je zavezana ohranjanju učinkovitosti in krepitvi večstranskih režimov. </w:t>
      </w:r>
    </w:p>
    <w:p w14:paraId="22A79879" w14:textId="6AA9EAC8" w:rsidR="000A37D7" w:rsidRPr="004E3F97" w:rsidRDefault="000A37D7" w:rsidP="000A37D7">
      <w:pPr>
        <w:spacing w:before="120" w:after="120" w:line="240" w:lineRule="auto"/>
        <w:rPr>
          <w:rFonts w:eastAsia="Times New Roman" w:cs="Times New Roman"/>
          <w:noProof/>
          <w:szCs w:val="24"/>
        </w:rPr>
      </w:pPr>
      <w:r w:rsidRPr="004E3F97">
        <w:rPr>
          <w:noProof/>
        </w:rPr>
        <w:t>Večstranski sistem temelji na tem, da lahko režimi predlagajo novo blago, za katero bo veljal nadzor izvoza, in se o njem dogovorijo. Nekateri večstranski režimi za nadzor izvoza (Wassenaarska ureditev, režim kontrole raketne tehnologije in skupina držav dobaviteljic jedrskega blaga) so pod velikim pritiskom, saj naj bi Rusija kot članica ovirala sprejemanje novega nadzora in tako puščala vrzeli v sistemu</w:t>
      </w:r>
      <w:r w:rsidRPr="004E3F97">
        <w:rPr>
          <w:rFonts w:eastAsia="Times New Roman" w:cs="Times New Roman"/>
          <w:noProof/>
          <w:szCs w:val="24"/>
          <w:vertAlign w:val="superscript"/>
          <w:lang w:val="en-GB"/>
        </w:rPr>
        <w:footnoteReference w:id="10"/>
      </w:r>
      <w:r w:rsidRPr="004E3F97">
        <w:rPr>
          <w:noProof/>
        </w:rPr>
        <w:t>. Glede na povezave med Prilogo I k uredbi o blagu z dvojno rabo in večstranskimi režimi se s tem zmanjšuje tudi učinkovitost in celovitost nadzora EU.</w:t>
      </w:r>
    </w:p>
    <w:p w14:paraId="1291124F" w14:textId="335C46E1" w:rsidR="000A37D7" w:rsidRPr="004E3F97" w:rsidRDefault="002B3335" w:rsidP="000A37D7">
      <w:pPr>
        <w:spacing w:before="120" w:after="120" w:line="240" w:lineRule="auto"/>
        <w:rPr>
          <w:rFonts w:eastAsia="Times New Roman" w:cs="Times New Roman"/>
          <w:noProof/>
          <w:szCs w:val="24"/>
        </w:rPr>
      </w:pPr>
      <w:r w:rsidRPr="004E3F97">
        <w:rPr>
          <w:noProof/>
        </w:rPr>
        <w:t>Ker odločanje v teh režimih poteka s soglasjem, ima Rusija – tako kot vse druge članice – pravico veta na vsako pobudo za spremembo seznamov za nadzor, režimov ali njihovega članstva</w:t>
      </w:r>
      <w:r w:rsidR="000A37D7" w:rsidRPr="004E3F97">
        <w:rPr>
          <w:rFonts w:eastAsia="Times New Roman" w:cs="Times New Roman"/>
          <w:noProof/>
          <w:szCs w:val="24"/>
          <w:vertAlign w:val="superscript"/>
          <w:lang w:val="en-GB"/>
        </w:rPr>
        <w:footnoteReference w:id="11"/>
      </w:r>
      <w:r w:rsidRPr="004E3F97">
        <w:rPr>
          <w:noProof/>
        </w:rPr>
        <w:t>. Poroča se, da je Rusija blokirala sprejetje pomembnega nadzora nad nastajajočimi tehnologijami v okviru Wassenaarske ureditve</w:t>
      </w:r>
      <w:r w:rsidR="000A37D7" w:rsidRPr="004E3F97">
        <w:rPr>
          <w:rFonts w:eastAsia="Times New Roman" w:cs="Times New Roman"/>
          <w:noProof/>
          <w:szCs w:val="24"/>
          <w:vertAlign w:val="superscript"/>
          <w:lang w:val="en-GB"/>
        </w:rPr>
        <w:footnoteReference w:id="12"/>
      </w:r>
      <w:r w:rsidRPr="004E3F97">
        <w:rPr>
          <w:noProof/>
        </w:rPr>
        <w:t>, kar v praksi ovira zmožnost režima za sprejemanje novih odločitev in posledično preprečuje s tem povezano posodobitev seznama EU za nadzor izvoza blaga z dvojno rabo. To sproža resna vprašanja o zmožnosti večstranskih režimov za nadzor izvoza, da v času resnih geopolitičnih napetosti zagotovijo varnost EU in drugih članic večstranskih ureditev. Zdi se, da je trenutna blokada večstranskih režimov nekatere članice spodbudila k sprejetju samostojnih ukrepov, ki niso del teh režimov, s čimer se je povečalo tveganje razdrobljenosti enotnega trga in na splošno zmanjšala učinkovitost večstranskega sistema nadzora izvoza.</w:t>
      </w:r>
    </w:p>
    <w:p w14:paraId="62781B97"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9" w:name="_Toc158189607"/>
      <w:r w:rsidRPr="004E3F97">
        <w:rPr>
          <w:b/>
          <w:noProof/>
        </w:rPr>
        <w:t>Pogostejša uporaba enostranskega nadzora izvoza na mednarodni ravni</w:t>
      </w:r>
      <w:bookmarkEnd w:id="9"/>
    </w:p>
    <w:p w14:paraId="34C76738" w14:textId="7675C36F" w:rsidR="000A37D7" w:rsidRPr="004E3F97" w:rsidRDefault="00662A28" w:rsidP="000A37D7">
      <w:pPr>
        <w:spacing w:before="120" w:after="120" w:line="240" w:lineRule="auto"/>
        <w:rPr>
          <w:rFonts w:eastAsia="Times New Roman" w:cs="Times New Roman"/>
          <w:noProof/>
          <w:szCs w:val="24"/>
        </w:rPr>
      </w:pPr>
      <w:r w:rsidRPr="004E3F97">
        <w:rPr>
          <w:noProof/>
        </w:rPr>
        <w:t xml:space="preserve">Od uredbe o blagu z dvojno rabo iz leta 2021 se je povečala uporaba enostranskega nadzora izvoza, v nekaterih primerih zaradi vse obširnejših pomislekov glede nacionalne varnosti, v drugih pa zaradi odpravljanja novih tveganj, ki jih prinašajo nastajajoče tehnologije (glej okvir v nadaljevanju). </w:t>
      </w:r>
    </w:p>
    <w:p w14:paraId="541794B9" w14:textId="61B4B7A7" w:rsidR="005F56D9" w:rsidRPr="004E3F97" w:rsidRDefault="005F56D9" w:rsidP="000A37D7">
      <w:pPr>
        <w:spacing w:before="120" w:after="120" w:line="240" w:lineRule="auto"/>
        <w:rPr>
          <w:rFonts w:eastAsia="Times New Roman" w:cs="Times New Roman"/>
          <w:noProof/>
          <w:szCs w:val="24"/>
          <w:lang w:eastAsia="en-IE"/>
        </w:rPr>
      </w:pPr>
    </w:p>
    <w:tbl>
      <w:tblPr>
        <w:tblW w:w="9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312" w:type="dxa"/>
        </w:tblCellMar>
        <w:tblLook w:val="0000" w:firstRow="0" w:lastRow="0" w:firstColumn="0" w:lastColumn="0" w:noHBand="0" w:noVBand="0"/>
      </w:tblPr>
      <w:tblGrid>
        <w:gridCol w:w="9300"/>
      </w:tblGrid>
      <w:tr w:rsidR="005F56D9" w:rsidRPr="004E3F97" w14:paraId="2F0DF9C4" w14:textId="77777777" w:rsidTr="004E3F97">
        <w:trPr>
          <w:trHeight w:val="1550"/>
        </w:trPr>
        <w:tc>
          <w:tcPr>
            <w:tcW w:w="9300" w:type="dxa"/>
          </w:tcPr>
          <w:p w14:paraId="1E96AC2B" w14:textId="25A7F84E" w:rsidR="005F56D9" w:rsidRPr="004E3F97" w:rsidRDefault="00E55F2F" w:rsidP="0059011E">
            <w:pPr>
              <w:spacing w:before="120" w:after="120" w:line="240" w:lineRule="auto"/>
              <w:jc w:val="center"/>
              <w:rPr>
                <w:rFonts w:eastAsia="Times New Roman" w:cs="Times New Roman"/>
                <w:noProof/>
                <w:szCs w:val="24"/>
              </w:rPr>
            </w:pPr>
            <w:r w:rsidRPr="004E3F97">
              <w:rPr>
                <w:b/>
                <w:noProof/>
              </w:rPr>
              <w:t>Primeri enostranskega nadzora izvoza s strani tretjih držav</w:t>
            </w:r>
          </w:p>
          <w:p w14:paraId="47647525" w14:textId="6354E4E4" w:rsidR="005F56D9" w:rsidRPr="004E3F97" w:rsidRDefault="005F56D9" w:rsidP="005F56D9">
            <w:pPr>
              <w:tabs>
                <w:tab w:val="num" w:pos="765"/>
              </w:tabs>
              <w:spacing w:before="120" w:after="240" w:line="240" w:lineRule="auto"/>
              <w:rPr>
                <w:rFonts w:eastAsia="Times New Roman" w:cs="Times New Roman"/>
                <w:noProof/>
                <w:szCs w:val="20"/>
              </w:rPr>
            </w:pPr>
            <w:r w:rsidRPr="004E3F97">
              <w:rPr>
                <w:noProof/>
              </w:rPr>
              <w:t>ZDA so 7. oktobra 2022 sprejele enostranski nadzor izvoza naprednih in visokozmogljivostnih računalniških čipov in povezane programske opreme ter napredne opreme za proizvodnjo polprevodnikov. Kitajska je v odziv na te ukrepe decembra 2022 zahtevala posvetovanja z ZDA v okviru mehanizma STO za reševanje sporov</w:t>
            </w:r>
            <w:r w:rsidRPr="004E3F97">
              <w:rPr>
                <w:rFonts w:eastAsia="Times New Roman" w:cs="Times New Roman"/>
                <w:noProof/>
                <w:szCs w:val="24"/>
                <w:vertAlign w:val="superscript"/>
                <w:lang w:val="en-GB" w:eastAsia="en-IE"/>
              </w:rPr>
              <w:footnoteReference w:id="13"/>
            </w:r>
            <w:r w:rsidRPr="004E3F97">
              <w:rPr>
                <w:noProof/>
              </w:rPr>
              <w:t>. ZDA so te ukrepe dodatno okrepile v posodobitvi, objavljeni 17. oktobra 2023</w:t>
            </w:r>
            <w:r w:rsidRPr="004E3F97">
              <w:rPr>
                <w:rFonts w:eastAsia="Times New Roman" w:cs="Times New Roman"/>
                <w:noProof/>
                <w:szCs w:val="24"/>
                <w:vertAlign w:val="superscript"/>
                <w:lang w:val="en-GB" w:eastAsia="en-IE"/>
              </w:rPr>
              <w:footnoteReference w:id="14"/>
            </w:r>
            <w:r w:rsidRPr="004E3F97">
              <w:rPr>
                <w:noProof/>
              </w:rPr>
              <w:t>.</w:t>
            </w:r>
          </w:p>
          <w:p w14:paraId="73EEF7BC" w14:textId="77777777" w:rsidR="005F56D9" w:rsidRPr="004E3F97" w:rsidRDefault="005F56D9" w:rsidP="005F56D9">
            <w:pPr>
              <w:tabs>
                <w:tab w:val="num" w:pos="765"/>
              </w:tabs>
              <w:spacing w:before="120" w:after="240" w:line="240" w:lineRule="auto"/>
              <w:rPr>
                <w:rFonts w:eastAsia="Times New Roman" w:cs="Times New Roman"/>
                <w:noProof/>
                <w:szCs w:val="20"/>
              </w:rPr>
            </w:pPr>
            <w:r w:rsidRPr="004E3F97">
              <w:rPr>
                <w:noProof/>
              </w:rPr>
              <w:t>Japonska je 23. maja 2023 sprejela nadzor izvoza blaga za proizvodnjo polprevodnikov</w:t>
            </w:r>
            <w:r w:rsidRPr="004E3F97">
              <w:rPr>
                <w:rFonts w:eastAsia="Times New Roman" w:cs="Times New Roman"/>
                <w:noProof/>
                <w:szCs w:val="24"/>
                <w:vertAlign w:val="superscript"/>
                <w:lang w:val="en-GB" w:eastAsia="en-IE"/>
              </w:rPr>
              <w:footnoteReference w:id="15"/>
            </w:r>
            <w:r w:rsidRPr="004E3F97">
              <w:rPr>
                <w:noProof/>
              </w:rPr>
              <w:t>.</w:t>
            </w:r>
          </w:p>
          <w:p w14:paraId="67EAA021" w14:textId="3F78BCF2" w:rsidR="005F56D9" w:rsidRPr="004E3F97" w:rsidRDefault="005F56D9" w:rsidP="009A3902">
            <w:pPr>
              <w:tabs>
                <w:tab w:val="num" w:pos="765"/>
              </w:tabs>
              <w:spacing w:before="120" w:after="240" w:line="240" w:lineRule="auto"/>
              <w:rPr>
                <w:rFonts w:eastAsia="Times New Roman" w:cs="Times New Roman"/>
                <w:noProof/>
                <w:szCs w:val="20"/>
              </w:rPr>
            </w:pPr>
            <w:r w:rsidRPr="004E3F97">
              <w:rPr>
                <w:noProof/>
              </w:rPr>
              <w:t>Kitajska je leta 2023 sprejela več vrst nadzora izvoza. Med drugim je 3. julija 2023 sprejela nadzor izdelkov, ki vsebujejo galij in germanij, 31. julija 2023 nadzor naprednih brezpilotnih zrakoplovov ter 1. septembra 2023 nadzor grafita in izdelkov, ki vsebujejo grafit.</w:t>
            </w:r>
          </w:p>
        </w:tc>
      </w:tr>
    </w:tbl>
    <w:p w14:paraId="5203F700" w14:textId="121FB76D" w:rsidR="00475DD1" w:rsidRPr="004E3F97" w:rsidRDefault="00122A21" w:rsidP="000A37D7">
      <w:pPr>
        <w:spacing w:before="120" w:after="120" w:line="240" w:lineRule="auto"/>
        <w:rPr>
          <w:rFonts w:eastAsia="Times New Roman" w:cs="Times New Roman"/>
          <w:noProof/>
          <w:szCs w:val="24"/>
        </w:rPr>
      </w:pPr>
      <w:bookmarkStart w:id="10" w:name="_Hlk156566782"/>
      <w:r w:rsidRPr="004E3F97">
        <w:rPr>
          <w:noProof/>
        </w:rPr>
        <w:t xml:space="preserve">Kadar ima tak nadzor ekstrateritorialne pravne učinke, ima lahko posledice za globalne vrednostne verige in vpliva na zmogljivost podjetij EU za izvoz ključnih vrhunskih tehnologij in sestavnih delov, vključno z blagom z dvojno rabo. To zlasti velja, kadar tak nadzor, tudi če je to upravičeno zaradi nacionalne varnosti države, ki ga predlaga, zajema tehnologije, ki so komercialno dostopne zunaj nadzora, ki ga urejajo večstranski režimi. </w:t>
      </w:r>
      <w:bookmarkEnd w:id="10"/>
    </w:p>
    <w:p w14:paraId="58798E67"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11" w:name="_Toc158189608"/>
      <w:r w:rsidRPr="004E3F97">
        <w:rPr>
          <w:b/>
          <w:noProof/>
        </w:rPr>
        <w:t>Najnovejši nacionalni nadzor izvoza, ki ga izvajajo države članice EU</w:t>
      </w:r>
      <w:bookmarkEnd w:id="11"/>
    </w:p>
    <w:p w14:paraId="14817DC0" w14:textId="3E991472" w:rsidR="00662A28" w:rsidRPr="004E3F97" w:rsidRDefault="000A37D7" w:rsidP="000A37D7">
      <w:pPr>
        <w:spacing w:before="120" w:after="120" w:line="240" w:lineRule="auto"/>
        <w:rPr>
          <w:rFonts w:eastAsia="Times New Roman" w:cs="Times New Roman"/>
          <w:noProof/>
          <w:szCs w:val="24"/>
        </w:rPr>
      </w:pPr>
      <w:r w:rsidRPr="004E3F97">
        <w:rPr>
          <w:noProof/>
        </w:rPr>
        <w:t>Evropska unija trenutno nima potrebnih pravnih določb za sprejetje enotnega nadzora izvoza na ravni EU neodvisno od tega, kar se sprejme v okviru večstranskih režimov, razen na zelo omejenih področjih</w:t>
      </w:r>
      <w:r w:rsidRPr="004E3F97">
        <w:rPr>
          <w:rFonts w:eastAsia="Times New Roman" w:cs="Times New Roman"/>
          <w:noProof/>
          <w:szCs w:val="24"/>
          <w:vertAlign w:val="superscript"/>
          <w:lang w:val="en-GB"/>
        </w:rPr>
        <w:footnoteReference w:id="16"/>
      </w:r>
      <w:r w:rsidRPr="004E3F97">
        <w:rPr>
          <w:noProof/>
        </w:rPr>
        <w:t xml:space="preserve">.  </w:t>
      </w:r>
    </w:p>
    <w:p w14:paraId="6958119D" w14:textId="34E43ECF" w:rsidR="00816671" w:rsidRPr="004E3F97" w:rsidRDefault="00816671" w:rsidP="000A37D7">
      <w:pPr>
        <w:spacing w:before="120" w:after="120" w:line="240" w:lineRule="auto"/>
        <w:rPr>
          <w:rFonts w:eastAsia="Times New Roman" w:cs="Times New Roman"/>
          <w:noProof/>
          <w:szCs w:val="24"/>
        </w:rPr>
      </w:pPr>
      <w:r w:rsidRPr="004E3F97">
        <w:rPr>
          <w:noProof/>
        </w:rPr>
        <w:t xml:space="preserve">Pred </w:t>
      </w:r>
      <w:bookmarkStart w:id="12" w:name="_Hlk152162065"/>
      <w:r w:rsidRPr="004E3F97">
        <w:rPr>
          <w:noProof/>
        </w:rPr>
        <w:t>uredbo o blagu z dvojno rabo iz leta 2021</w:t>
      </w:r>
      <w:bookmarkEnd w:id="12"/>
      <w:r w:rsidRPr="004E3F97">
        <w:rPr>
          <w:noProof/>
        </w:rPr>
        <w:t xml:space="preserve"> so države članice Komisijo uradno obvestile o svojih nacionalnih ukrepih</w:t>
      </w:r>
      <w:r w:rsidRPr="004E3F97">
        <w:rPr>
          <w:rStyle w:val="FootnoteReference"/>
          <w:rFonts w:eastAsia="Times New Roman" w:cs="Times New Roman"/>
          <w:noProof/>
          <w:szCs w:val="24"/>
          <w:lang w:val="en-GB"/>
        </w:rPr>
        <w:footnoteReference w:id="17"/>
      </w:r>
      <w:r w:rsidRPr="004E3F97">
        <w:rPr>
          <w:noProof/>
        </w:rPr>
        <w:t xml:space="preserve">, ki so bili nato vsako leto objavljeni v </w:t>
      </w:r>
      <w:r w:rsidRPr="004E3F97">
        <w:rPr>
          <w:i/>
          <w:iCs/>
          <w:noProof/>
        </w:rPr>
        <w:t>Uradnem listu Evropske unije</w:t>
      </w:r>
      <w:r w:rsidRPr="004E3F97">
        <w:rPr>
          <w:noProof/>
        </w:rPr>
        <w:t xml:space="preserve"> v obliki obvestila. </w:t>
      </w:r>
    </w:p>
    <w:p w14:paraId="3C2230D9" w14:textId="7628819D" w:rsidR="002C3261" w:rsidRPr="004E3F97" w:rsidRDefault="00B854C8" w:rsidP="000A37D7">
      <w:pPr>
        <w:spacing w:before="120" w:after="120" w:line="240" w:lineRule="auto"/>
        <w:rPr>
          <w:rFonts w:eastAsia="Times New Roman" w:cs="Times New Roman"/>
          <w:noProof/>
          <w:szCs w:val="24"/>
        </w:rPr>
      </w:pPr>
      <w:r w:rsidRPr="004E3F97">
        <w:rPr>
          <w:noProof/>
        </w:rPr>
        <w:t>Z začetkom veljavnosti uredbe o blagu z dvojno rabo iz leta 2021 je bil ustvarjen nov način za objavo in usklajevanje nacionalnih seznamov za nadzor med državami članicami</w:t>
      </w:r>
      <w:r w:rsidR="00282CFA" w:rsidRPr="004E3F97">
        <w:rPr>
          <w:rStyle w:val="FootnoteReference"/>
          <w:rFonts w:eastAsia="Times New Roman" w:cs="Times New Roman"/>
          <w:noProof/>
          <w:szCs w:val="24"/>
          <w:lang w:val="en-GB"/>
        </w:rPr>
        <w:footnoteReference w:id="18"/>
      </w:r>
      <w:r w:rsidRPr="004E3F97">
        <w:rPr>
          <w:noProof/>
        </w:rPr>
        <w:t>. V skladu s členom 9 uredbe o blagu z dvojno rabo Komisija na eni strani objavlja letno obvestilo, ki vključuje vse nacionalne ukrepe, o katerih jo uradno obvestijo države članice, na drugi strani pa t. i. zbirko EU nacionalnih seznamov za nadzor</w:t>
      </w:r>
      <w:r w:rsidR="000A37D7" w:rsidRPr="004E3F97">
        <w:rPr>
          <w:rFonts w:eastAsia="Times New Roman" w:cs="Times New Roman"/>
          <w:noProof/>
          <w:szCs w:val="24"/>
          <w:vertAlign w:val="superscript"/>
          <w:lang w:val="en-GB"/>
        </w:rPr>
        <w:footnoteReference w:id="19"/>
      </w:r>
      <w:r w:rsidRPr="004E3F97">
        <w:rPr>
          <w:noProof/>
        </w:rPr>
        <w:t xml:space="preserve">. </w:t>
      </w:r>
    </w:p>
    <w:p w14:paraId="0F274AB7" w14:textId="334A595A" w:rsidR="000A37D7" w:rsidRPr="004E3F97" w:rsidRDefault="002C3261" w:rsidP="000A37D7">
      <w:pPr>
        <w:spacing w:before="120" w:after="120" w:line="240" w:lineRule="auto"/>
        <w:rPr>
          <w:rFonts w:eastAsia="Times New Roman" w:cs="Times New Roman"/>
          <w:noProof/>
          <w:szCs w:val="24"/>
        </w:rPr>
      </w:pPr>
      <w:r w:rsidRPr="004E3F97">
        <w:rPr>
          <w:noProof/>
        </w:rPr>
        <w:t>Medtem ko objava nacionalnih ukrepov nima posebnega pravnega učinka v drugih državah članicah, objava zbirke EU nacionalnih seznamov za nadzor daje drugim državam članicam možnost, da tak nadzor uporabljajo neposredno za svoje izvoznike. Z drugimi besedami, na pobudo drugih držav članic se lahko odločijo, da je za blago, navedeno v zbirki nacionalnih seznamov za nadzor, potrebno dovoljenje (in mogoča zavrnitev). Namen tega mehanizma je olajšati hitrejšo uvedbo in usklajevanje nacionalnega nadzora izvoza, da se lahko Unija hitro odzove na resne zlorabe obstoječih tehnologij ali na nova tveganja, povezana z nastajajočimi tehnologijami (glej oddelek 4.1).</w:t>
      </w:r>
    </w:p>
    <w:p w14:paraId="7169F9B6" w14:textId="1A1BF72C" w:rsidR="000A37D7" w:rsidRPr="004E3F97" w:rsidRDefault="007E7488" w:rsidP="000A37D7">
      <w:pPr>
        <w:spacing w:before="120" w:after="120" w:line="240" w:lineRule="auto"/>
        <w:rPr>
          <w:rFonts w:eastAsia="Times New Roman" w:cs="Times New Roman"/>
          <w:noProof/>
          <w:szCs w:val="24"/>
        </w:rPr>
      </w:pPr>
      <w:r w:rsidRPr="004E3F97">
        <w:rPr>
          <w:noProof/>
        </w:rPr>
        <w:t>V prvi polovici leta 2023 je več držav članic sprejelo nacionalne sezname za nadzor (glej spodaj), s katerimi se je prvič sprožil ta novi mehanizem za usklajevanje. Namen nekaterih nacionalnih seznamov za nadzor je na primer omejiti izvoz kritičnih tehnologij izven Unije, v nekaterih primerih na podlagi razprav, ki potekajo v okviru večstranskih režimov</w:t>
      </w:r>
      <w:r w:rsidR="000A37D7" w:rsidRPr="004E3F97">
        <w:rPr>
          <w:rFonts w:eastAsia="Times New Roman" w:cs="Times New Roman"/>
          <w:noProof/>
          <w:szCs w:val="24"/>
          <w:vertAlign w:val="superscript"/>
          <w:lang w:val="en-GB"/>
        </w:rPr>
        <w:footnoteReference w:id="20"/>
      </w:r>
      <w:r w:rsidRPr="004E3F97">
        <w:rPr>
          <w:noProof/>
        </w:rPr>
        <w:t>. Komisija razume, da nekatere države članice morda razmišljajo o morebitni potrebi po nacionalnem nadzoru glede na trenutne težave pri dogovarjanju o nadzoru novega blaga v večstranskih režimih. Širjenje nacionalnega nadzora iz leta 2023 se bo zato morda nadaljevalo, kar povečuje potrebo po okrepljenih prizadevanjih za zagotavljanje skladnosti in učinkovitosti.</w:t>
      </w:r>
    </w:p>
    <w:p w14:paraId="099DB3E8" w14:textId="77777777" w:rsidR="000A37D7" w:rsidRPr="004E3F97" w:rsidRDefault="000A37D7" w:rsidP="000A37D7">
      <w:pPr>
        <w:spacing w:before="120" w:after="120" w:line="240" w:lineRule="auto"/>
        <w:rPr>
          <w:rFonts w:eastAsia="Times New Roman" w:cs="Times New Roman"/>
          <w:noProof/>
          <w:szCs w:val="24"/>
        </w:rPr>
      </w:pPr>
    </w:p>
    <w:tbl>
      <w:tblPr>
        <w:tblW w:w="9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312" w:type="dxa"/>
        </w:tblCellMar>
        <w:tblLook w:val="0000" w:firstRow="0" w:lastRow="0" w:firstColumn="0" w:lastColumn="0" w:noHBand="0" w:noVBand="0"/>
      </w:tblPr>
      <w:tblGrid>
        <w:gridCol w:w="9300"/>
      </w:tblGrid>
      <w:tr w:rsidR="000A37D7" w:rsidRPr="004E3F97" w14:paraId="05A7BF36" w14:textId="77777777" w:rsidTr="009E2847">
        <w:trPr>
          <w:trHeight w:val="841"/>
        </w:trPr>
        <w:tc>
          <w:tcPr>
            <w:tcW w:w="9300" w:type="dxa"/>
          </w:tcPr>
          <w:p w14:paraId="020B7745" w14:textId="27AF45EA" w:rsidR="000A37D7" w:rsidRPr="004E3F97" w:rsidRDefault="00E55F2F" w:rsidP="000A37D7">
            <w:pPr>
              <w:spacing w:before="120" w:after="120" w:line="240" w:lineRule="auto"/>
              <w:jc w:val="center"/>
              <w:rPr>
                <w:rFonts w:eastAsia="Times New Roman" w:cs="Times New Roman"/>
                <w:noProof/>
                <w:szCs w:val="24"/>
              </w:rPr>
            </w:pPr>
            <w:r w:rsidRPr="004E3F97">
              <w:rPr>
                <w:b/>
                <w:noProof/>
              </w:rPr>
              <w:t>Primeri nacionalnih seznamov za nadzor, ki so jih sprejele ali predlagale države članice</w:t>
            </w:r>
          </w:p>
          <w:p w14:paraId="0CEB3716" w14:textId="30C9FD29" w:rsidR="000A37D7" w:rsidRPr="004E3F97" w:rsidRDefault="000A37D7" w:rsidP="000A37D7">
            <w:pPr>
              <w:ind w:left="216"/>
              <w:contextualSpacing/>
              <w:rPr>
                <w:rFonts w:eastAsia="Calibri" w:cs="Times New Roman"/>
                <w:noProof/>
                <w:szCs w:val="24"/>
              </w:rPr>
            </w:pPr>
            <w:r w:rsidRPr="004E3F97">
              <w:rPr>
                <w:b/>
                <w:noProof/>
              </w:rPr>
              <w:t>Nizozemska</w:t>
            </w:r>
            <w:r w:rsidRPr="004E3F97">
              <w:rPr>
                <w:noProof/>
              </w:rPr>
              <w:t xml:space="preserve"> je 23. junija 2023 sprejela nacionalni seznam za nadzor, v katerem je določila nov nadzor izvoza opreme za proizvodnjo polprevodnikov. Ta nadzor je odražal hiter napredek na področju polprevodniške tehnologije in vključeval razprave z mednarodnimi partnerji</w:t>
            </w:r>
            <w:r w:rsidRPr="004E3F97">
              <w:rPr>
                <w:rFonts w:eastAsia="Calibri" w:cs="Times New Roman"/>
                <w:noProof/>
                <w:szCs w:val="24"/>
                <w:vertAlign w:val="superscript"/>
                <w:lang w:val="en-US"/>
              </w:rPr>
              <w:footnoteReference w:id="21"/>
            </w:r>
            <w:r w:rsidRPr="004E3F97">
              <w:rPr>
                <w:noProof/>
              </w:rPr>
              <w:t>.</w:t>
            </w:r>
          </w:p>
          <w:p w14:paraId="6E0B1504" w14:textId="77777777" w:rsidR="001C0658" w:rsidRPr="004E3F97" w:rsidRDefault="001C0658" w:rsidP="000A37D7">
            <w:pPr>
              <w:ind w:left="216"/>
              <w:contextualSpacing/>
              <w:rPr>
                <w:rFonts w:eastAsia="Calibri" w:cs="Times New Roman"/>
                <w:noProof/>
                <w:szCs w:val="24"/>
              </w:rPr>
            </w:pPr>
          </w:p>
          <w:p w14:paraId="36ACF022" w14:textId="22CAC4A5" w:rsidR="000A37D7" w:rsidRPr="004E3F97" w:rsidRDefault="000A37D7" w:rsidP="000A37D7">
            <w:pPr>
              <w:ind w:left="216"/>
              <w:contextualSpacing/>
              <w:rPr>
                <w:rFonts w:eastAsia="Calibri" w:cs="Times New Roman"/>
                <w:noProof/>
                <w:szCs w:val="24"/>
              </w:rPr>
            </w:pPr>
            <w:r w:rsidRPr="004E3F97">
              <w:rPr>
                <w:b/>
                <w:noProof/>
              </w:rPr>
              <w:t>Španija</w:t>
            </w:r>
            <w:r w:rsidRPr="004E3F97">
              <w:rPr>
                <w:noProof/>
              </w:rPr>
              <w:t xml:space="preserve"> je 31. maja 2023 sprejela nacionalni seznam za nadzor, s katerim je zaradi javne varnosti uvedla nov nadzor izvoza kvantnega računalništva, aditivne proizvodnje in drugih nastajajočih tehnologij</w:t>
            </w:r>
            <w:r w:rsidR="009E2847" w:rsidRPr="004E3F97">
              <w:rPr>
                <w:rStyle w:val="FootnoteReference"/>
                <w:rFonts w:eastAsia="Calibri" w:cs="Times New Roman"/>
                <w:noProof/>
                <w:szCs w:val="24"/>
                <w:lang w:val="en-US"/>
              </w:rPr>
              <w:footnoteReference w:id="22"/>
            </w:r>
            <w:r w:rsidRPr="004E3F97">
              <w:rPr>
                <w:noProof/>
              </w:rPr>
              <w:t>.</w:t>
            </w:r>
          </w:p>
          <w:p w14:paraId="037C4BA3" w14:textId="77777777" w:rsidR="001C0658" w:rsidRPr="004E3F97" w:rsidRDefault="001C0658" w:rsidP="000A37D7">
            <w:pPr>
              <w:ind w:left="216"/>
              <w:contextualSpacing/>
              <w:rPr>
                <w:rFonts w:eastAsia="Calibri" w:cs="Times New Roman"/>
                <w:noProof/>
                <w:szCs w:val="24"/>
              </w:rPr>
            </w:pPr>
          </w:p>
          <w:p w14:paraId="2385081C" w14:textId="72CBA31D" w:rsidR="000A37D7" w:rsidRPr="004E3F97" w:rsidRDefault="000A37D7" w:rsidP="000A37D7">
            <w:pPr>
              <w:ind w:left="216"/>
              <w:contextualSpacing/>
              <w:rPr>
                <w:rFonts w:eastAsia="Calibri" w:cs="Times New Roman"/>
                <w:noProof/>
                <w:szCs w:val="24"/>
              </w:rPr>
            </w:pPr>
            <w:r w:rsidRPr="004E3F97">
              <w:rPr>
                <w:b/>
                <w:noProof/>
              </w:rPr>
              <w:t>Litva</w:t>
            </w:r>
            <w:r w:rsidRPr="004E3F97">
              <w:rPr>
                <w:noProof/>
              </w:rPr>
              <w:t xml:space="preserve"> je 28. junija 2023 sprejela nacionalni seznam za nadzor, ki prepoveduje izvoz blaga s carinsko uvrstitvijo in ki med drugim zajema letalske motorje, stroje ter merilne in elektronske naprave. Namen tega nadzora je obravnavati grožnjo za varnost Litve, ki jo predstavlja vojaška agresija tujih držav proti Ukrajini, njen namen pa je zmanjšati to grožnjo z omejevanjem tehničnih zmogljivosti tujih držav za vojno agresijo v Ukrajini</w:t>
            </w:r>
            <w:r w:rsidRPr="004E3F97">
              <w:rPr>
                <w:rFonts w:eastAsia="Calibri" w:cs="Times New Roman"/>
                <w:noProof/>
                <w:szCs w:val="24"/>
                <w:vertAlign w:val="superscript"/>
                <w:lang w:val="en-US"/>
              </w:rPr>
              <w:footnoteReference w:id="23"/>
            </w:r>
            <w:r w:rsidRPr="004E3F97">
              <w:rPr>
                <w:noProof/>
              </w:rPr>
              <w:t>. Junijska resolucija je bila spremenjena 15. novembra 2023</w:t>
            </w:r>
            <w:r w:rsidR="00EA4F23" w:rsidRPr="004E3F97">
              <w:rPr>
                <w:rStyle w:val="FootnoteReference"/>
                <w:noProof/>
              </w:rPr>
              <w:footnoteReference w:id="24"/>
            </w:r>
            <w:r w:rsidRPr="004E3F97">
              <w:rPr>
                <w:noProof/>
              </w:rPr>
              <w:t>.</w:t>
            </w:r>
          </w:p>
          <w:p w14:paraId="55D465A1" w14:textId="77777777" w:rsidR="001C0658" w:rsidRPr="004E3F97" w:rsidRDefault="001C0658" w:rsidP="000A37D7">
            <w:pPr>
              <w:ind w:left="216"/>
              <w:contextualSpacing/>
              <w:rPr>
                <w:rFonts w:eastAsia="Calibri" w:cs="Times New Roman"/>
                <w:noProof/>
                <w:szCs w:val="24"/>
              </w:rPr>
            </w:pPr>
          </w:p>
          <w:p w14:paraId="13BF2DA1" w14:textId="77777777" w:rsidR="000A37D7" w:rsidRPr="004E3F97" w:rsidRDefault="000A37D7" w:rsidP="000A37D7">
            <w:pPr>
              <w:ind w:left="216"/>
              <w:contextualSpacing/>
              <w:rPr>
                <w:rFonts w:eastAsia="Calibri" w:cs="Times New Roman"/>
                <w:noProof/>
                <w:sz w:val="22"/>
              </w:rPr>
            </w:pPr>
            <w:r w:rsidRPr="004E3F97">
              <w:rPr>
                <w:b/>
                <w:noProof/>
              </w:rPr>
              <w:t>Finska</w:t>
            </w:r>
            <w:r w:rsidRPr="004E3F97">
              <w:rPr>
                <w:noProof/>
              </w:rPr>
              <w:t xml:space="preserve"> je 10. novembra 2023 začela javno posvetovanje o osnutkih nacionalnih ukrepov, ki bi v primeru sprejetja vključevali nadzor nad nastajajočimi tehnologijami, kot so integrirana vezja, kvantni računalniki in oprema za aditivno proizvodnjo</w:t>
            </w:r>
            <w:r w:rsidRPr="004E3F97">
              <w:rPr>
                <w:rFonts w:eastAsia="Calibri" w:cs="Times New Roman"/>
                <w:noProof/>
                <w:szCs w:val="24"/>
                <w:vertAlign w:val="superscript"/>
                <w:lang w:val="en-US"/>
              </w:rPr>
              <w:footnoteReference w:id="25"/>
            </w:r>
            <w:r w:rsidRPr="004E3F97">
              <w:rPr>
                <w:noProof/>
              </w:rPr>
              <w:t>.</w:t>
            </w:r>
            <w:r w:rsidRPr="004E3F97">
              <w:rPr>
                <w:noProof/>
                <w:sz w:val="22"/>
              </w:rPr>
              <w:t xml:space="preserve"> </w:t>
            </w:r>
          </w:p>
          <w:p w14:paraId="4194D477" w14:textId="4C0FC32B" w:rsidR="001C0658" w:rsidRPr="004E3F97" w:rsidRDefault="001C0658" w:rsidP="000A37D7">
            <w:pPr>
              <w:ind w:left="216"/>
              <w:contextualSpacing/>
              <w:rPr>
                <w:rFonts w:eastAsia="Calibri" w:cs="Times New Roman"/>
                <w:noProof/>
                <w:sz w:val="22"/>
              </w:rPr>
            </w:pPr>
          </w:p>
        </w:tc>
      </w:tr>
    </w:tbl>
    <w:p w14:paraId="5A104B96" w14:textId="77777777" w:rsidR="000A37D7" w:rsidRPr="004E3F97" w:rsidRDefault="000A37D7" w:rsidP="000A37D7">
      <w:pPr>
        <w:keepNext/>
        <w:numPr>
          <w:ilvl w:val="0"/>
          <w:numId w:val="12"/>
        </w:numPr>
        <w:spacing w:before="360" w:after="120" w:line="240" w:lineRule="auto"/>
        <w:ind w:left="432" w:hanging="432"/>
        <w:outlineLvl w:val="0"/>
        <w:rPr>
          <w:rFonts w:eastAsia="Times New Roman" w:cs="Times New Roman"/>
          <w:b/>
          <w:bCs/>
          <w:smallCaps/>
          <w:noProof/>
          <w:szCs w:val="24"/>
        </w:rPr>
      </w:pPr>
      <w:bookmarkStart w:id="13" w:name="_Toc158189609"/>
      <w:r w:rsidRPr="004E3F97">
        <w:rPr>
          <w:b/>
          <w:smallCaps/>
          <w:noProof/>
        </w:rPr>
        <w:t>Analiza sedanjega okvira</w:t>
      </w:r>
      <w:bookmarkEnd w:id="13"/>
    </w:p>
    <w:p w14:paraId="3E309DE6"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14" w:name="_Toc158189610"/>
      <w:r w:rsidRPr="004E3F97">
        <w:rPr>
          <w:b/>
          <w:noProof/>
        </w:rPr>
        <w:t>Tveganje razlikovanja nadzora izvoza v Evropski uniji</w:t>
      </w:r>
      <w:bookmarkEnd w:id="14"/>
    </w:p>
    <w:p w14:paraId="1F9D9AC8" w14:textId="24B94DD4" w:rsidR="00190CA3" w:rsidRPr="004E3F97" w:rsidRDefault="00E55F2F" w:rsidP="000A37D7">
      <w:pPr>
        <w:spacing w:before="120" w:after="120" w:line="240" w:lineRule="auto"/>
        <w:rPr>
          <w:rFonts w:eastAsia="Times New Roman" w:cs="Times New Roman"/>
          <w:noProof/>
          <w:szCs w:val="24"/>
        </w:rPr>
      </w:pPr>
      <w:r w:rsidRPr="004E3F97">
        <w:rPr>
          <w:noProof/>
        </w:rPr>
        <w:t xml:space="preserve">Države članice so lahko že pred letom 2021 sprejele nacionalni nadzor zunaj okvira EU. Vendar pa spreminjajoče se geopolitične razmere, vse večja uporaba nadzora izvoza in razvijajoča se dinamika izvajanja usklajenega nadzora na podlagi uredbe EU o blagu z dvojno rabo iz leta 2021 povečujejo tveganje, da bi razlikovanje nadzora izvoza po Evropski uniji negativno vplivalo na varnostne interese Unije in njenih držav članic. </w:t>
      </w:r>
    </w:p>
    <w:p w14:paraId="6A264350" w14:textId="73EB7695" w:rsidR="000A37D7" w:rsidRPr="004E3F97" w:rsidRDefault="000A37D7" w:rsidP="000A37D7">
      <w:pPr>
        <w:spacing w:before="120" w:after="120" w:line="240" w:lineRule="auto"/>
        <w:rPr>
          <w:rFonts w:eastAsia="Times New Roman" w:cs="Times New Roman"/>
          <w:noProof/>
          <w:szCs w:val="24"/>
        </w:rPr>
      </w:pPr>
      <w:r w:rsidRPr="004E3F97">
        <w:rPr>
          <w:noProof/>
        </w:rPr>
        <w:t>Objava prve zbirke EU nacionalnih seznamov za nadzor 20. oktobra 2023 je bila pomemben korak za nadzor izvoza EU. Državam članicam prvič ponuja možnost usklajevanja nacionalnega nadzora izvoza na ravni EU v skladu s postopki iz členov 9 in 10 uredbe o blagu z dvojno rabo. Vendar začetno izvajanje teh določb s strani držav članic kaže na morebiti pomembne pomanjkljivosti, ki bi lahko vplivale na učinkovitost sistema EU za nadzor izvoza.</w:t>
      </w:r>
    </w:p>
    <w:p w14:paraId="58F14E32" w14:textId="7B979F4B" w:rsidR="000A37D7" w:rsidRPr="004E3F97" w:rsidRDefault="000A37D7" w:rsidP="000A37D7">
      <w:pPr>
        <w:spacing w:before="120" w:after="120" w:line="240" w:lineRule="auto"/>
        <w:rPr>
          <w:rFonts w:eastAsia="Times New Roman" w:cs="Times New Roman"/>
          <w:noProof/>
          <w:szCs w:val="24"/>
        </w:rPr>
      </w:pPr>
      <w:r w:rsidRPr="004E3F97">
        <w:rPr>
          <w:noProof/>
        </w:rPr>
        <w:t xml:space="preserve">Prva sta </w:t>
      </w:r>
      <w:r w:rsidRPr="004E3F97">
        <w:rPr>
          <w:noProof/>
          <w:u w:val="single"/>
        </w:rPr>
        <w:t>pomanjkanje preglednosti in nezadostno posvetovanje</w:t>
      </w:r>
      <w:r w:rsidRPr="004E3F97">
        <w:rPr>
          <w:noProof/>
        </w:rPr>
        <w:t>. Medtem ko sedanji okvir državam članicam omogoča, da predlagajo nacionalne sezname za nadzor, pa pred njihovim sprejetjem ne zahteva medsebojnega obveščanja in posvetovanja med državami članicami ali s Komisijo. Tako posvetovanje in širše upoštevanje morebitnih učinkov nacionalnega nadzora na ravni EU sta še posebej pomembna, saj bi se lahko na nacionalni nadzor zanašale druge države članice, vplival bi lahko na podjetja in dobavne verige v drugih državah članicah ali sprožil odzive tretjih držav proti EU kot celoti oziroma več državam članicam, ne le proti državi članici, ki je sprejela nadzor</w:t>
      </w:r>
      <w:r w:rsidR="00206628" w:rsidRPr="004E3F97">
        <w:rPr>
          <w:rStyle w:val="FootnoteReference"/>
          <w:rFonts w:eastAsia="Times New Roman" w:cs="Times New Roman"/>
          <w:noProof/>
          <w:szCs w:val="24"/>
          <w:lang w:val="en-GB"/>
        </w:rPr>
        <w:footnoteReference w:id="26"/>
      </w:r>
      <w:r w:rsidRPr="004E3F97">
        <w:rPr>
          <w:noProof/>
        </w:rPr>
        <w:t xml:space="preserve">. </w:t>
      </w:r>
    </w:p>
    <w:p w14:paraId="24FA691F" w14:textId="24DA00CD" w:rsidR="000A37D7" w:rsidRPr="004E3F97" w:rsidRDefault="000A37D7" w:rsidP="00FF1EAF">
      <w:pPr>
        <w:spacing w:before="120" w:after="120" w:line="240" w:lineRule="auto"/>
        <w:rPr>
          <w:rFonts w:eastAsia="Times New Roman" w:cs="Times New Roman"/>
          <w:noProof/>
          <w:szCs w:val="24"/>
        </w:rPr>
      </w:pPr>
      <w:r w:rsidRPr="004E3F97">
        <w:rPr>
          <w:noProof/>
        </w:rPr>
        <w:t xml:space="preserve">Drugič, </w:t>
      </w:r>
      <w:r w:rsidRPr="004E3F97">
        <w:rPr>
          <w:noProof/>
          <w:u w:val="single"/>
        </w:rPr>
        <w:t>ni gotovo, kako in kdaj lahko druge države članice tudi same začnejo izvajati nadzor</w:t>
      </w:r>
      <w:r w:rsidRPr="004E3F97">
        <w:rPr>
          <w:noProof/>
        </w:rPr>
        <w:t>, objavljen v zbirki nacionalnih seznamov za nadzor. Država članica, ki izvaja prvotni nadzor, ne ve, ali so ga prevzele tudi druge države članice, niti ne ve, ali so bile v drugi državi članici sprejete odločitve o odobritvi izvoza na podlagi njenega nadzora</w:t>
      </w:r>
      <w:r w:rsidRPr="004E3F97">
        <w:rPr>
          <w:rFonts w:eastAsia="Times New Roman" w:cs="Times New Roman"/>
          <w:noProof/>
          <w:szCs w:val="24"/>
          <w:vertAlign w:val="superscript"/>
          <w:lang w:val="en-GB"/>
        </w:rPr>
        <w:footnoteReference w:id="27"/>
      </w:r>
      <w:r w:rsidRPr="004E3F97">
        <w:rPr>
          <w:noProof/>
        </w:rPr>
        <w:t>.</w:t>
      </w:r>
      <w:bookmarkStart w:id="15" w:name="_Hlk150950353"/>
      <w:r w:rsidRPr="004E3F97">
        <w:rPr>
          <w:noProof/>
        </w:rPr>
        <w:t xml:space="preserve"> Večina</w:t>
      </w:r>
      <w:bookmarkEnd w:id="15"/>
      <w:r w:rsidRPr="004E3F97">
        <w:rPr>
          <w:noProof/>
        </w:rPr>
        <w:t xml:space="preserve"> držav članic nadzor na podlagi objavljene zbirke nacionalnih seznamov za nadzor izvaja oziroma načrtuje njegovo izvajanje kot „vsezajemajoči“ ukrep</w:t>
      </w:r>
      <w:r w:rsidRPr="004E3F97">
        <w:rPr>
          <w:rFonts w:eastAsia="Times New Roman" w:cs="Times New Roman"/>
          <w:noProof/>
          <w:szCs w:val="24"/>
          <w:vertAlign w:val="superscript"/>
          <w:lang w:val="en-GB"/>
        </w:rPr>
        <w:footnoteReference w:id="28"/>
      </w:r>
      <w:r w:rsidRPr="004E3F97">
        <w:rPr>
          <w:noProof/>
        </w:rPr>
        <w:t xml:space="preserve">. Čeprav je to popolnoma upravičena izbira zadevnih držav članic, takšno izvajanje ne ustvarja splošno veljavnega pravila niti ni na voljo javnosti. Če je treba v okviru „vsezajemajočega“ postopka vsakega izvoznika posamično obvestiti, je to lahko upravno obremenjujoče in morda ne zajame vseh možnih izvoznikov zadevnega blaga. </w:t>
      </w:r>
    </w:p>
    <w:p w14:paraId="359FA081" w14:textId="66508082" w:rsidR="000A37D7" w:rsidRPr="004E3F97" w:rsidRDefault="00FF1EAF" w:rsidP="000A37D7">
      <w:pPr>
        <w:spacing w:before="120" w:after="120" w:line="240" w:lineRule="auto"/>
        <w:rPr>
          <w:rFonts w:eastAsia="Times New Roman" w:cs="Times New Roman"/>
          <w:noProof/>
          <w:szCs w:val="24"/>
        </w:rPr>
      </w:pPr>
      <w:r w:rsidRPr="004E3F97">
        <w:rPr>
          <w:noProof/>
        </w:rPr>
        <w:t xml:space="preserve">Tretjič, čeprav uredba o blagu z dvojno rabo državam članicam omogoča, da tudi same začnejo izvajati nadzor izvoza, ki so ga uvedle druge države članice, </w:t>
      </w:r>
      <w:r w:rsidRPr="004E3F97">
        <w:rPr>
          <w:noProof/>
          <w:u w:val="single"/>
        </w:rPr>
        <w:t>jim njihovo nacionalno pravo morda tega ne dovoljuje ali pa jim vsaj omejuje možnosti za objavo takih ukrepov</w:t>
      </w:r>
      <w:r w:rsidR="00793411" w:rsidRPr="004E3F97">
        <w:rPr>
          <w:rStyle w:val="FootnoteReference"/>
          <w:rFonts w:eastAsia="Times New Roman" w:cs="Times New Roman"/>
          <w:noProof/>
          <w:szCs w:val="24"/>
          <w:lang w:val="en-GB"/>
        </w:rPr>
        <w:footnoteReference w:id="29"/>
      </w:r>
      <w:r w:rsidRPr="004E3F97">
        <w:rPr>
          <w:noProof/>
        </w:rPr>
        <w:t xml:space="preserve">. Zato ni javno dostopnih informacij o tem, kateri nacionalni nadzor se uporablja v kateri državi članici. To negativno vpliva na njihovo zmožnost prispevanja k predvidljivemu, pravočasnemu in enotnemu izvajanju nadzora izvoza v vseh državah članicah. </w:t>
      </w:r>
    </w:p>
    <w:p w14:paraId="47DD5153" w14:textId="5A5D784F" w:rsidR="000A37D7" w:rsidRPr="004E3F97" w:rsidRDefault="00BA2F32" w:rsidP="000A37D7">
      <w:pPr>
        <w:spacing w:before="120" w:after="120" w:line="240" w:lineRule="auto"/>
        <w:rPr>
          <w:rFonts w:eastAsia="Times New Roman" w:cs="Times New Roman"/>
          <w:noProof/>
          <w:szCs w:val="24"/>
        </w:rPr>
      </w:pPr>
      <w:r w:rsidRPr="004E3F97">
        <w:rPr>
          <w:noProof/>
        </w:rPr>
        <w:t xml:space="preserve">Četrtič, to stanje pomeni </w:t>
      </w:r>
      <w:r w:rsidRPr="004E3F97">
        <w:rPr>
          <w:noProof/>
          <w:u w:val="single"/>
        </w:rPr>
        <w:t>tveganje izogibanja prek izbire ugodnejše ureditve</w:t>
      </w:r>
      <w:r w:rsidRPr="004E3F97">
        <w:rPr>
          <w:noProof/>
        </w:rPr>
        <w:t>. Nacionalni nadzor izvoza, ki ga sprejme ena država članica, se uporablja samo za izvoz, ki zapušča ozemlje EU, ne pa tudi za trgovino na notranjem trgu. Španski izvoznik lahko ugotovi, da njegovih izdelkov z dvojno rabo iz Unije ni mogoče izvoziti iz Španije v tretjo državo, lahko pa se prodajo strankam v drugi državi članici, ki ne izvaja podobnega nadzora. Nato bi ga bilo mogoče od tam zakonito izvoziti naprej v tretjo državo. To bi očitno spodkopavalo nacionalni nadzor in privedlo do njegove neučinkovitosti. Prav tako bi lahko podjetja s sedežem v državah članicah, v katerih se izvaja nadzor, postavilo v slabši konkurenčni položaj. Poleg tega bi lahko povzročilo, da bi uvozniki spremenili svoje dobavne verige, in bi države članice iz tržnih razlogov celo odvrnilo od uvedbe določenega nadzora.</w:t>
      </w:r>
    </w:p>
    <w:p w14:paraId="1085BC8A" w14:textId="74FE84B6" w:rsidR="000A37D7" w:rsidRPr="004E3F97" w:rsidRDefault="00722188" w:rsidP="000A37D7">
      <w:pPr>
        <w:spacing w:before="120" w:after="120" w:line="240" w:lineRule="auto"/>
        <w:rPr>
          <w:rFonts w:eastAsia="Times New Roman" w:cs="Times New Roman"/>
          <w:noProof/>
          <w:szCs w:val="24"/>
        </w:rPr>
      </w:pPr>
      <w:r w:rsidRPr="004E3F97">
        <w:rPr>
          <w:noProof/>
        </w:rPr>
        <w:t>Glede na zgoraj navedene dejavnike Komisija meni, da obstaja tveganje, da obstoječi mehanizem usklajevanja med državami članicami ne bo mogel zagotoviti enotnega, pravočasnega in učinkovitega sistema nadzora, ki ga potrebuje EU. Te izzive bi bilo treba rešiti, da bi okrepili evropsko in svetovno varnost, zagotovili enake konkurenčne pogoje in zaščitili celovitost notranjega trga, zlasti v času velikih geopolitičnih napetosti in blokade večstranskih režimov.</w:t>
      </w:r>
    </w:p>
    <w:p w14:paraId="759EB65F"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16" w:name="_Toc158189611"/>
      <w:r w:rsidRPr="004E3F97">
        <w:rPr>
          <w:b/>
          <w:noProof/>
        </w:rPr>
        <w:t>Pomanjkanje skupnega pristopa k ciljem varnostne in trgovinske politike Unije na področju nadzora izvoza</w:t>
      </w:r>
      <w:bookmarkEnd w:id="16"/>
    </w:p>
    <w:p w14:paraId="64C75C36" w14:textId="4305A444" w:rsidR="000A37D7" w:rsidRPr="004E3F97" w:rsidRDefault="000A37D7" w:rsidP="000A37D7">
      <w:pPr>
        <w:spacing w:before="120" w:after="120" w:line="240" w:lineRule="auto"/>
        <w:rPr>
          <w:rFonts w:eastAsia="Times New Roman" w:cs="Times New Roman"/>
          <w:noProof/>
          <w:szCs w:val="24"/>
        </w:rPr>
      </w:pPr>
      <w:r w:rsidRPr="004E3F97">
        <w:rPr>
          <w:noProof/>
        </w:rPr>
        <w:t>Države članice odločanje na področju nadzora izvoza trenutno izvajajo glede na posledice za njihovo nacionalno varnost. Uvedbo novega nadzora izvoza na primer države članice večinoma določajo v okviru večstranskih režimov za nadzor izvoza, saj EU ne govori s skupnim glasom. Celo omejene alternativne poti, uvedene za nov nadzor z uredbo o blagu z dvojno rabo</w:t>
      </w:r>
      <w:r w:rsidRPr="004E3F97">
        <w:rPr>
          <w:rFonts w:eastAsia="Times New Roman" w:cs="Times New Roman"/>
          <w:noProof/>
          <w:szCs w:val="24"/>
          <w:vertAlign w:val="superscript"/>
          <w:lang w:val="en-GB" w:eastAsia="en-IE"/>
        </w:rPr>
        <w:footnoteReference w:id="30"/>
      </w:r>
      <w:r w:rsidRPr="004E3F97">
        <w:rPr>
          <w:noProof/>
        </w:rPr>
        <w:t>, so odvisne od pobude držav članic in njihovega prostovoljnega usklajevanja na podlagi njihovih nacionalnih ocen tveganja.</w:t>
      </w:r>
    </w:p>
    <w:p w14:paraId="4F296DA4" w14:textId="7DE08B5B" w:rsidR="000A37D7" w:rsidRPr="004E3F97" w:rsidRDefault="000A37D7" w:rsidP="000A37D7">
      <w:pPr>
        <w:spacing w:before="120" w:after="120" w:line="240" w:lineRule="auto"/>
        <w:rPr>
          <w:rFonts w:eastAsia="Times New Roman" w:cs="Times New Roman"/>
          <w:noProof/>
          <w:szCs w:val="24"/>
        </w:rPr>
      </w:pPr>
      <w:r w:rsidRPr="004E3F97">
        <w:rPr>
          <w:noProof/>
        </w:rPr>
        <w:t>Komisija se je zavezala, da bo okrepila podporo dejavnostim večstranskih režimov kot najboljšemu načinu za opredelitev in sprejetje nadzora izvoza, na katerem temelji okvir EU za nadzor izvoza.</w:t>
      </w:r>
    </w:p>
    <w:p w14:paraId="0360073F" w14:textId="7B3463FE" w:rsidR="000A37D7" w:rsidRPr="004E3F97" w:rsidRDefault="000A37D7" w:rsidP="000A37D7">
      <w:pPr>
        <w:spacing w:before="120" w:after="120" w:line="240" w:lineRule="auto"/>
        <w:rPr>
          <w:rFonts w:eastAsia="Times New Roman" w:cs="Times New Roman"/>
          <w:noProof/>
          <w:szCs w:val="24"/>
        </w:rPr>
      </w:pPr>
      <w:r w:rsidRPr="004E3F97">
        <w:rPr>
          <w:noProof/>
        </w:rPr>
        <w:t>Kljub temu se zaradi zgoraj opisanega nedavnega razvoja dogodkov postavlja vprašanje, ali bi bilo treba razmisliti o dodatni pravni določbi, ki bi omogočila uvedbo novega skupnega nadzora EU na hitrejši in racionaliziran način zunaj možnosti rednega zakonodajnega postopka. To bi bilo v skladu s cilji varnostne in trgovinske politike Unije. S tem bi se lahko odpravila tudi sedanja tveganja razdrobljenosti in po potrebi omogočil hitrejši odziv na varnostna tveganja v zvezi z nastajajočimi tehnologijami, ki še niso nadzorovane na večstranski ravni. Poleg tega bi se povečala sposobnost EU za skupno in geopolitično delovanje v odziv na pozive tretjih držav k novemu nadzoru izvoza nastajajočih tehnologij. Omogočila bi se tudi skupna ocena tveganja nadzora, ki vpliva na trgovinske odnose EU in dobavne verige v EU.</w:t>
      </w:r>
    </w:p>
    <w:p w14:paraId="1602A720"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17" w:name="_Toc158189612"/>
      <w:r w:rsidRPr="004E3F97">
        <w:rPr>
          <w:b/>
          <w:noProof/>
        </w:rPr>
        <w:t>EU na mednarodni ravni ne govori s skupnim glasom</w:t>
      </w:r>
      <w:bookmarkEnd w:id="17"/>
    </w:p>
    <w:p w14:paraId="7ED222AE" w14:textId="77777777" w:rsidR="000A37D7" w:rsidRPr="004E3F97" w:rsidRDefault="000A37D7" w:rsidP="000A37D7">
      <w:pPr>
        <w:spacing w:before="120" w:after="120" w:line="240" w:lineRule="auto"/>
        <w:rPr>
          <w:rFonts w:eastAsia="Times New Roman" w:cs="Times New Roman"/>
          <w:noProof/>
          <w:szCs w:val="24"/>
        </w:rPr>
      </w:pPr>
      <w:r w:rsidRPr="004E3F97">
        <w:rPr>
          <w:noProof/>
        </w:rPr>
        <w:t>Čeprav je nadzor izvoza, dogovorjen v večstranskih režimih, temelj nadzora izvoza EU in se redno vključuje na sezname blaga z dvojno rabo v skladu z uredbo o blagu z dvojno rabo, članstvo držav članic v takih režimih ni enotno</w:t>
      </w:r>
      <w:r w:rsidRPr="004E3F97">
        <w:rPr>
          <w:rFonts w:eastAsia="Times New Roman" w:cs="Times New Roman"/>
          <w:noProof/>
          <w:szCs w:val="24"/>
          <w:vertAlign w:val="superscript"/>
          <w:lang w:val="en-GB"/>
        </w:rPr>
        <w:footnoteReference w:id="31"/>
      </w:r>
      <w:r w:rsidRPr="004E3F97">
        <w:rPr>
          <w:noProof/>
        </w:rPr>
        <w:t>. Zato države članice, ki niso članice nekaterih večstranskih režimov, ne morejo sodelovati v postopkih odločanja o novem nadzoru, ki je pozneje vključen v uredbo o blagu z dvojno rabo. Prav tako nimajo foruma za izražanje pomislekov glede neširjenja orožja in nadzora izvoza, zajetih v večstranskih režimih, v katerih niso članice.</w:t>
      </w:r>
    </w:p>
    <w:p w14:paraId="5E8965EB" w14:textId="25BD5466" w:rsidR="000A37D7" w:rsidRPr="004E3F97" w:rsidRDefault="000A37D7" w:rsidP="000A37D7">
      <w:pPr>
        <w:spacing w:before="120" w:after="120" w:line="240" w:lineRule="auto"/>
        <w:rPr>
          <w:rFonts w:eastAsia="Times New Roman" w:cs="Times New Roman"/>
          <w:noProof/>
          <w:szCs w:val="24"/>
        </w:rPr>
      </w:pPr>
      <w:r w:rsidRPr="004E3F97">
        <w:rPr>
          <w:noProof/>
        </w:rPr>
        <w:t>Poleg tega v nasprotju s številnimi drugimi področji zunanje politike EU in kot je navedeno zgoraj, v večstranskih režimih in drugih mednarodnih forumih, kjer oziroma ob robu katerih se razpravlja o vprašanjih nadzora izvoza, EU ne govori s skupnim glasom. Države članice trenutno ne usklajujejo svojih stališč o uvedbi novega nadzora pred srečanji v okviru večstranskih režimov, da bi opredelile skupno stališče EU. Hkrati se v nasprotju z običajnim pravilom za zunanje delovanje Unije, ki se nanaša na trgovino z blagom, za katero velja nadzor izvoza, teh režimov udeležujejo in v njih sodelujejo države članice, ne pa Unija, ne glede na to, da je izid razprav v okviru teh režimov naknadno vključen v pravni okvir EU za blago z dvojno rabo.</w:t>
      </w:r>
    </w:p>
    <w:p w14:paraId="3AB81264" w14:textId="3DFA94AF" w:rsidR="009D2D78" w:rsidRPr="004E3F97" w:rsidRDefault="00E0178C" w:rsidP="000A37D7">
      <w:pPr>
        <w:spacing w:before="120" w:after="120" w:line="240" w:lineRule="auto"/>
        <w:rPr>
          <w:rFonts w:eastAsia="Times New Roman" w:cs="Times New Roman"/>
          <w:noProof/>
          <w:szCs w:val="24"/>
        </w:rPr>
      </w:pPr>
      <w:r w:rsidRPr="004E3F97">
        <w:rPr>
          <w:noProof/>
        </w:rPr>
        <w:t xml:space="preserve">Ker EU ne govori s skupnim glasom, so posamezne države članice izpostavljene močnim geopolitičnim pritiskom in so v šibkejšem pogajalskem položaju. Spričo geopolitične tekme za vodilno vlogo v tehnologiji in nadzor nad strateškimi tehnologijami so države članice s posebnimi tehnološkimi zmogljivostmi pod vse večjim pritiskom tretjih držav. Zavezniki ali podobno misleči partnerji si lahko prizadevajo za uskladitev z nadzorom, zasnovanim na podlagi lastnih varnostnih ocen in interesov, medtem ko lahko tretje države, za katere je verjetno, da bodo predmet nadzora, posameznim državam članicam zagrozijo s povračilnimi ukrepi. Boljše usklajevanje in skupno ukrepanje na ravni EU bi bila protiutež takim pritiskom, države članice bi postavila v močnejšo pogajalsko vlogo, ki izhaja iz obsega enotnega trga, ter zagotovila, da bi nadzor temeljil na evropski oceni tveganj in lastnih interesov. </w:t>
      </w:r>
    </w:p>
    <w:p w14:paraId="572C4449" w14:textId="268E1A53" w:rsidR="000A37D7" w:rsidRPr="004E3F97" w:rsidRDefault="00A219F7" w:rsidP="000A37D7">
      <w:pPr>
        <w:spacing w:before="120" w:after="120" w:line="240" w:lineRule="auto"/>
        <w:rPr>
          <w:rFonts w:eastAsia="Times New Roman" w:cs="Times New Roman"/>
          <w:noProof/>
          <w:szCs w:val="24"/>
        </w:rPr>
      </w:pPr>
      <w:r w:rsidRPr="004E3F97">
        <w:rPr>
          <w:noProof/>
        </w:rPr>
        <w:t>To omejuje tudi zmožnost EU, da bi delovala kot geopolitični akter in enakopravno sodelovala z drugimi državami, ki so prav tako udeležene v odločanju glede občutljivih tehnoloških področij, kot so ZDA, Kitajska in Japonska. Zlasti je to zaskrbljujoče v času, ko parametre za nadzor vrste ključnih nastajajočih tehnologij določajo večstranski in mnogostranski okviri ali enostransko ukrepanje zadevnih držav.</w:t>
      </w:r>
    </w:p>
    <w:p w14:paraId="04C807FD" w14:textId="56CE82F3" w:rsidR="00C63856" w:rsidRPr="004E3F97" w:rsidRDefault="00C63856" w:rsidP="000A37D7">
      <w:pPr>
        <w:spacing w:before="120" w:after="120" w:line="240" w:lineRule="auto"/>
        <w:rPr>
          <w:rFonts w:eastAsia="Times New Roman" w:cs="Times New Roman"/>
          <w:noProof/>
          <w:szCs w:val="24"/>
        </w:rPr>
      </w:pPr>
      <w:r w:rsidRPr="004E3F97">
        <w:rPr>
          <w:noProof/>
        </w:rPr>
        <w:t xml:space="preserve">Oblikovanje skupnega glasu EU bi spodbudilo skladnost stališč EU in držav članic ter bi dopolnjevalo stalno sodelovanje držav članic EU v večstranskih režimih. </w:t>
      </w:r>
    </w:p>
    <w:p w14:paraId="5844778A" w14:textId="42FEB6A0"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18" w:name="_Toc158189613"/>
      <w:r w:rsidRPr="004E3F97">
        <w:rPr>
          <w:b/>
          <w:noProof/>
        </w:rPr>
        <w:t>Svetovne dobavne verige in vpliv nižje v verigi</w:t>
      </w:r>
      <w:bookmarkEnd w:id="18"/>
    </w:p>
    <w:p w14:paraId="55AACCDD" w14:textId="3DE6173F" w:rsidR="000A37D7" w:rsidRPr="004E3F97" w:rsidRDefault="000A37D7" w:rsidP="000A37D7">
      <w:pPr>
        <w:spacing w:before="120" w:after="120" w:line="240" w:lineRule="auto"/>
        <w:rPr>
          <w:rFonts w:eastAsia="Times New Roman" w:cs="Times New Roman"/>
          <w:noProof/>
          <w:szCs w:val="24"/>
        </w:rPr>
      </w:pPr>
      <w:r w:rsidRPr="004E3F97">
        <w:rPr>
          <w:noProof/>
        </w:rPr>
        <w:t xml:space="preserve">Kot je navedeno v evropski strategiji za gospodarsko varnost, je pandemija COVID-19 razkrila tveganja, ki jih lahko zelo koncentrirane dobavne verige pomenijo za delovanje evropskega gospodarstva. Ruska vojna agresija proti Ukrajini je pokazala, kako lahko pretirano zanašanje na eno samo državo, zlasti državo s sistemsko drugačnimi vrednotami, modeli in interesi, zmanjša strateške možnosti Evrope ter ogrozi naša gospodarstva in državljane. </w:t>
      </w:r>
      <w:bookmarkStart w:id="19" w:name="_Hlk150874799"/>
      <w:r w:rsidRPr="004E3F97">
        <w:rPr>
          <w:noProof/>
        </w:rPr>
        <w:t>Prav zato EU še naprej diverzificira svoje dobavne verige ter povečuje svojo skupno pripravljenost, odpornost in odvračanje od netržnih politik in praks ter gospodarske prisile.</w:t>
      </w:r>
    </w:p>
    <w:bookmarkEnd w:id="19"/>
    <w:p w14:paraId="14820B10" w14:textId="57D14819" w:rsidR="000A37D7" w:rsidRPr="004E3F97" w:rsidRDefault="000A37D7" w:rsidP="000A37D7">
      <w:pPr>
        <w:spacing w:before="120" w:after="120" w:line="240" w:lineRule="auto"/>
        <w:rPr>
          <w:rFonts w:eastAsia="Times New Roman" w:cs="Times New Roman"/>
          <w:noProof/>
          <w:szCs w:val="24"/>
        </w:rPr>
      </w:pPr>
      <w:r w:rsidRPr="004E3F97">
        <w:rPr>
          <w:noProof/>
        </w:rPr>
        <w:t xml:space="preserve">EU je zavezana sodelovanju s tretjimi državami in v večstranskih forumih pri zagotavljanju, da nadzor izvoza ne bo neupravičeno oviral strateških dobavnih verig in bo skladen z veljavnimi izjemami iz Splošnega sporazuma o carinah in trgovini. Poleg tega EU v okviru partnerskega sklopa strategije za gospodarsko varnost sodeluje z državami, ki imajo podobne pomisleke, pri odpravljanju tveganj motenj v dobavnih verigah s strani tretjih držav.  </w:t>
      </w:r>
    </w:p>
    <w:p w14:paraId="5BEF10F2" w14:textId="77777777"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20" w:name="_Toc158189614"/>
      <w:r w:rsidRPr="004E3F97">
        <w:rPr>
          <w:b/>
          <w:noProof/>
        </w:rPr>
        <w:t>Izkušnje, pridobljene v zvezi s sankcijami EU proti Rusiji</w:t>
      </w:r>
      <w:bookmarkEnd w:id="20"/>
    </w:p>
    <w:p w14:paraId="639394AC" w14:textId="12C7C21F" w:rsidR="00AE47C5" w:rsidRPr="004E3F97" w:rsidRDefault="00AE47C5" w:rsidP="00AE47C5">
      <w:pPr>
        <w:spacing w:before="120" w:after="120" w:line="240" w:lineRule="auto"/>
        <w:rPr>
          <w:rFonts w:eastAsia="Times New Roman" w:cs="Times New Roman"/>
          <w:noProof/>
          <w:szCs w:val="24"/>
        </w:rPr>
      </w:pPr>
      <w:r w:rsidRPr="004E3F97">
        <w:rPr>
          <w:noProof/>
        </w:rPr>
        <w:t>Odziv EU na rusko vojno agresijo proti Ukrajini je privedel do izjemno obsežnih sankcij proti Rusiji, ki so se hitro še dodatno širile. Med prvimi sprejetimi sankcijami so bile prav izvozne omejitve, ki so vključevale razširitev prepovedi izvoza blaga z dvojno rabo in občutljivega blaga takoj po vojaški agresiji Rusije na Ukrajino februarja 2022</w:t>
      </w:r>
      <w:r w:rsidR="00A960CA" w:rsidRPr="004E3F97">
        <w:rPr>
          <w:rStyle w:val="FootnoteReference"/>
          <w:rFonts w:eastAsia="Times New Roman" w:cs="Times New Roman"/>
          <w:noProof/>
          <w:szCs w:val="24"/>
        </w:rPr>
        <w:footnoteReference w:id="32"/>
      </w:r>
      <w:r w:rsidRPr="004E3F97">
        <w:rPr>
          <w:noProof/>
        </w:rPr>
        <w:t>.</w:t>
      </w:r>
    </w:p>
    <w:p w14:paraId="70715CDC" w14:textId="2A53C10D" w:rsidR="00391296" w:rsidRPr="004E3F97" w:rsidRDefault="00AE47C5" w:rsidP="00A01DE3">
      <w:pPr>
        <w:spacing w:before="120" w:after="120" w:line="240" w:lineRule="auto"/>
        <w:rPr>
          <w:rFonts w:eastAsia="Times New Roman" w:cs="Times New Roman"/>
          <w:noProof/>
          <w:szCs w:val="24"/>
        </w:rPr>
      </w:pPr>
      <w:r w:rsidRPr="004E3F97">
        <w:rPr>
          <w:noProof/>
        </w:rPr>
        <w:t xml:space="preserve">Te omejitve izvoza so postale ključno orodje za omejevanje dostopa ruskega vojaškoindustrijskega kompleksa do občutljivih tehnologij in oviranje njihove uporabe v ruskih oborožitvenih sistemih. Da bi zagotovila učinkovitost teh izvoznih omejitev, si je EU močno prizadevala za preprečevanje izogibanja sankcijam in nadomeščanja dobaviteljev sankcioniranega blaga ter za zagotavljanje doslednega izvrševanja. </w:t>
      </w:r>
    </w:p>
    <w:p w14:paraId="7D69ED3A" w14:textId="5069805D" w:rsidR="000A37D7" w:rsidRPr="004E3F97" w:rsidRDefault="007F366F" w:rsidP="00A01DE3">
      <w:pPr>
        <w:spacing w:before="120" w:after="120" w:line="240" w:lineRule="auto"/>
        <w:rPr>
          <w:rFonts w:eastAsia="Times New Roman" w:cs="Times New Roman"/>
          <w:noProof/>
          <w:szCs w:val="24"/>
        </w:rPr>
      </w:pPr>
      <w:r w:rsidRPr="004E3F97">
        <w:rPr>
          <w:noProof/>
        </w:rPr>
        <w:t>Zaradi izvajanja sankcij EU proti Rusiji se je znatno povečala tudi izmenjava informacij med pristojnimi regulativnimi organi, kot so organi za nadzor izvoza in carinski organi, v primeru informacij o tveganju pa prek carinskega sistema za obvladovanje tveganja (CRMS2), ki ga upravlja Komisija</w:t>
      </w:r>
      <w:r w:rsidR="00D35261" w:rsidRPr="004E3F97">
        <w:rPr>
          <w:rStyle w:val="FootnoteReference"/>
          <w:rFonts w:eastAsia="Times New Roman" w:cs="Times New Roman"/>
          <w:noProof/>
          <w:szCs w:val="24"/>
          <w:lang w:val="en-GB"/>
        </w:rPr>
        <w:footnoteReference w:id="33"/>
      </w:r>
      <w:r w:rsidRPr="004E3F97">
        <w:rPr>
          <w:noProof/>
        </w:rPr>
        <w:t>. To je pomembno za zagotavljanje učinkovitega izvajanja ukrepov po vsej EU</w:t>
      </w:r>
      <w:r w:rsidRPr="004E3F97">
        <w:rPr>
          <w:rStyle w:val="FootnoteReference"/>
          <w:rFonts w:eastAsia="Times New Roman" w:cs="Times New Roman"/>
          <w:noProof/>
          <w:szCs w:val="24"/>
          <w:lang w:val="en-GB"/>
        </w:rPr>
        <w:footnoteReference w:id="34"/>
      </w:r>
      <w:r w:rsidRPr="004E3F97">
        <w:rPr>
          <w:noProof/>
        </w:rPr>
        <w:t>.</w:t>
      </w:r>
    </w:p>
    <w:p w14:paraId="63BEB7B0" w14:textId="06C974CE" w:rsidR="000A37D7" w:rsidRPr="004E3F97" w:rsidRDefault="00117C64" w:rsidP="000A37D7">
      <w:pPr>
        <w:spacing w:before="120" w:after="120" w:line="240" w:lineRule="auto"/>
        <w:rPr>
          <w:rFonts w:eastAsia="Times New Roman" w:cs="Times New Roman"/>
          <w:noProof/>
          <w:szCs w:val="24"/>
        </w:rPr>
      </w:pPr>
      <w:r w:rsidRPr="004E3F97">
        <w:rPr>
          <w:noProof/>
        </w:rPr>
        <w:t>Take omejitve so primerljive z nadzorom izvoza blaga z dvojno rabo s tehničnega in postopkovnega vidika</w:t>
      </w:r>
      <w:r w:rsidR="008F7AD6" w:rsidRPr="004E3F97">
        <w:rPr>
          <w:rStyle w:val="FootnoteReference"/>
          <w:rFonts w:eastAsia="Times New Roman" w:cs="Times New Roman"/>
          <w:noProof/>
          <w:szCs w:val="24"/>
          <w:lang w:val="en-GB"/>
        </w:rPr>
        <w:footnoteReference w:id="35"/>
      </w:r>
      <w:r w:rsidRPr="004E3F97">
        <w:rPr>
          <w:noProof/>
        </w:rPr>
        <w:t>, čeprav je treba opozoriti, da sta režim sankcij EU in okvir EU za nadzor izvoza blaga z dvojno rabo ločena instrumenta z različnima pravnima podlagama, cilji in pravili odločanja.</w:t>
      </w:r>
    </w:p>
    <w:p w14:paraId="2699D140" w14:textId="77777777" w:rsidR="000A37D7" w:rsidRPr="004E3F97" w:rsidRDefault="000A37D7" w:rsidP="000A37D7">
      <w:pPr>
        <w:spacing w:before="120" w:after="120" w:line="240" w:lineRule="auto"/>
        <w:rPr>
          <w:rFonts w:eastAsia="Times New Roman" w:cs="Times New Roman"/>
          <w:noProof/>
          <w:szCs w:val="24"/>
        </w:rPr>
      </w:pPr>
      <w:r w:rsidRPr="004E3F97">
        <w:rPr>
          <w:noProof/>
        </w:rPr>
        <w:t>Kljub temu so izvozne omejitve v sankcijah EU proti Rusiji potrdile možnosti nadzora izvoza kot učinkovitega orodja za reševanje varnostnih izzivov EU, če se izvajajo hitro, enotno in v sodelovanju z mednarodnimi partnerji.</w:t>
      </w:r>
    </w:p>
    <w:p w14:paraId="75FD56D1" w14:textId="77777777" w:rsidR="000A37D7" w:rsidRPr="004E3F97" w:rsidRDefault="000A37D7" w:rsidP="000A37D7">
      <w:pPr>
        <w:keepNext/>
        <w:numPr>
          <w:ilvl w:val="0"/>
          <w:numId w:val="12"/>
        </w:numPr>
        <w:spacing w:before="360" w:after="120" w:line="240" w:lineRule="auto"/>
        <w:ind w:left="432" w:hanging="432"/>
        <w:outlineLvl w:val="0"/>
        <w:rPr>
          <w:rFonts w:eastAsia="Times New Roman" w:cs="Times New Roman"/>
          <w:b/>
          <w:bCs/>
          <w:smallCaps/>
          <w:noProof/>
          <w:szCs w:val="24"/>
        </w:rPr>
      </w:pPr>
      <w:bookmarkStart w:id="21" w:name="_Toc158189615"/>
      <w:r w:rsidRPr="004E3F97">
        <w:rPr>
          <w:b/>
          <w:smallCaps/>
          <w:noProof/>
        </w:rPr>
        <w:t>Predlagani odzivi</w:t>
      </w:r>
      <w:bookmarkEnd w:id="21"/>
    </w:p>
    <w:p w14:paraId="12F89693" w14:textId="77777777" w:rsidR="000A37D7" w:rsidRPr="004E3F97" w:rsidRDefault="000A37D7" w:rsidP="000A37D7">
      <w:pPr>
        <w:spacing w:before="120" w:after="120" w:line="240" w:lineRule="auto"/>
        <w:rPr>
          <w:rFonts w:eastAsia="Times New Roman" w:cs="Times New Roman"/>
          <w:noProof/>
          <w:szCs w:val="24"/>
        </w:rPr>
      </w:pPr>
      <w:r w:rsidRPr="004E3F97">
        <w:rPr>
          <w:noProof/>
        </w:rPr>
        <w:t>Kot je bilo predvideno v strategiji za gospodarsko varnost, je potreba po hitrejšem in bolj usklajenem ukrepanju na ravni EU na področju nadzora izvoza postala nujna, saj bi neusklajeno naraščanje števila nacionalnih nadzorov v državah članicah ustvarilo vrzeli ter ogrozilo učinkovitost nadzora izvoza in celovitost enotnega trga. To tveganje je izrazitejše v sedanjem hitro spreminjajočem se tehnološkem okolju, v katerem bi razlike med državami članicami oslabile gospodarsko varnost EU kot celote</w:t>
      </w:r>
      <w:r w:rsidRPr="004E3F97">
        <w:rPr>
          <w:rFonts w:eastAsia="Times New Roman" w:cs="Times New Roman"/>
          <w:noProof/>
          <w:szCs w:val="24"/>
          <w:vertAlign w:val="superscript"/>
          <w:lang w:val="en-GB"/>
        </w:rPr>
        <w:footnoteReference w:id="36"/>
      </w:r>
      <w:r w:rsidRPr="004E3F97">
        <w:rPr>
          <w:noProof/>
        </w:rPr>
        <w:t>.</w:t>
      </w:r>
    </w:p>
    <w:p w14:paraId="65B5489C" w14:textId="2980F46D" w:rsidR="000A37D7" w:rsidRPr="004E3F97" w:rsidRDefault="000A37D7" w:rsidP="000A37D7">
      <w:pPr>
        <w:spacing w:before="120" w:after="120" w:line="240" w:lineRule="auto"/>
        <w:rPr>
          <w:rFonts w:eastAsia="Times New Roman" w:cs="Times New Roman"/>
          <w:noProof/>
          <w:szCs w:val="24"/>
        </w:rPr>
      </w:pPr>
      <w:r w:rsidRPr="004E3F97">
        <w:rPr>
          <w:noProof/>
        </w:rPr>
        <w:t>Glede na navedeno bo Evropska komisija predlagala kratkoročne in srednjeročne ukrepe za odpravo pomislekov. Visoki predstavnik in podpredsednik lahko po potrebi poda svoj prispevek pri morebitnih vprašanjih v zvezi s skupno zunanjo in varnostno politiko.</w:t>
      </w:r>
    </w:p>
    <w:p w14:paraId="46BE2F93" w14:textId="4432984F" w:rsidR="000A37D7" w:rsidRPr="004E3F97" w:rsidRDefault="000A37D7"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22" w:name="_Toc158189616"/>
      <w:r w:rsidRPr="004E3F97">
        <w:rPr>
          <w:b/>
          <w:noProof/>
        </w:rPr>
        <w:t>Zagotavljanje nadaljevanja in krepitve enotnega nadzora v EU</w:t>
      </w:r>
      <w:bookmarkEnd w:id="22"/>
    </w:p>
    <w:p w14:paraId="0933EAA7" w14:textId="4D35B863" w:rsidR="000A37D7" w:rsidRPr="004E3F97" w:rsidRDefault="000A37D7" w:rsidP="000A37D7">
      <w:pPr>
        <w:spacing w:before="120" w:after="120" w:line="240" w:lineRule="auto"/>
        <w:rPr>
          <w:rFonts w:eastAsia="Times New Roman" w:cs="Times New Roman"/>
          <w:noProof/>
          <w:szCs w:val="24"/>
        </w:rPr>
      </w:pPr>
      <w:r w:rsidRPr="004E3F97">
        <w:rPr>
          <w:noProof/>
        </w:rPr>
        <w:t>Komisija meni, da je kratkoročno treba poiskati takojšnje rešitve za razširitev Priloge I k uredbi EU o blagu z dvojno rabo</w:t>
      </w:r>
      <w:r w:rsidR="00965E21" w:rsidRPr="004E3F97">
        <w:rPr>
          <w:rStyle w:val="FootnoteReference"/>
          <w:rFonts w:eastAsia="Times New Roman" w:cs="Times New Roman"/>
          <w:noProof/>
          <w:szCs w:val="24"/>
          <w:lang w:val="en-GB"/>
        </w:rPr>
        <w:footnoteReference w:id="37"/>
      </w:r>
      <w:r w:rsidRPr="004E3F97">
        <w:rPr>
          <w:noProof/>
        </w:rPr>
        <w:t xml:space="preserve"> na tisto blago, ki ni bilo sprejeto v okviru večstranskih režimov za nadzor izvoza zaradi blokade nekaterih članic, zlasti Rusije, vendar so ga države članice v okviru teh režimov podprle. To bi bilo mogoče doseči s ciljno usmerjenim predlogom za uvedbo takega nadzora v okviru sedanjega seznama za nadzor EU iz Priloge I k uredbi o blagu z dvojno rabo. </w:t>
      </w:r>
    </w:p>
    <w:p w14:paraId="3FCF7E4B" w14:textId="20C3B54D" w:rsidR="00EB1556" w:rsidRPr="004E3F97" w:rsidRDefault="009A08DE" w:rsidP="000A37D7">
      <w:pPr>
        <w:spacing w:before="120" w:after="120" w:line="240" w:lineRule="auto"/>
        <w:rPr>
          <w:rFonts w:eastAsia="Times New Roman" w:cs="Times New Roman"/>
          <w:noProof/>
          <w:szCs w:val="24"/>
        </w:rPr>
      </w:pPr>
      <w:bookmarkStart w:id="23" w:name="_Hlk156470774"/>
      <w:r w:rsidRPr="004E3F97">
        <w:rPr>
          <w:noProof/>
        </w:rPr>
        <w:t xml:space="preserve">Za to obstajata dve poti. Prva pot je zakonodajni predlog Komisije po rednem zakonodajnem postopku, da se omogoči posodobitev Priloge I, predlog pa bi morala skupaj sprejeti Evropski parlament in Svet. </w:t>
      </w:r>
      <w:bookmarkEnd w:id="23"/>
      <w:r w:rsidRPr="004E3F97">
        <w:rPr>
          <w:noProof/>
        </w:rPr>
        <w:t xml:space="preserve">Morebitna druga pot je delegirani akt Komisije. Uredba o blagu z dvojno rabo pooblašča Komisijo za spremembo Priloge I, če so izpolnjeni pogoji za uporabo pooblastila, zlasti če taka sprememba odraža mednarodne zaveze, ki so jih države članice sprejele v zvezi s tem novim blagom. Komisija lahko razmisli o tej drugi poti, če bodo države članice v prihodnosti lahko potrdile, da so take zaveze sprejele na mednarodni ravni.    </w:t>
      </w:r>
    </w:p>
    <w:p w14:paraId="3157F816" w14:textId="3FF37350" w:rsidR="000A37D7" w:rsidRPr="004E3F97" w:rsidRDefault="00030C82" w:rsidP="000A37D7">
      <w:pPr>
        <w:spacing w:before="120" w:after="120" w:line="240" w:lineRule="auto"/>
        <w:rPr>
          <w:rFonts w:eastAsia="Times New Roman" w:cs="Times New Roman"/>
          <w:noProof/>
          <w:szCs w:val="24"/>
        </w:rPr>
      </w:pPr>
      <w:r w:rsidRPr="004E3F97">
        <w:rPr>
          <w:noProof/>
        </w:rPr>
        <w:t>Z uvedbo nadzora izvoza za novo blago v skladu s Prilogo I k uredbi o blagu z dvojno rabo bi se izognili omejitvam nacionalnega nadzora, pojasnjenim v oddelku 4.1 zgoraj. Omogočil bi se enoten nadzor v vseh 27 državah članicah, ki bi bil hkrati sprejet v vseh uradnih jezikih EU in objavljen. Ta enoten način nadzora EU bi zaščitil notranji trg in pomagal zagotoviti enake konkurenčne pogoje za izvoznike EU. Povečala bi se tudi uspešnost nadzora EU in učinkovitost nadzora v državah članicah, na primer z učinkovitejšo uporabo zakonodajnih in regulativnih virov v državah članicah.</w:t>
      </w:r>
    </w:p>
    <w:p w14:paraId="704130AB" w14:textId="146EED57" w:rsidR="003208E8" w:rsidRPr="004E3F97" w:rsidRDefault="003208E8" w:rsidP="003208E8">
      <w:pPr>
        <w:keepNext/>
        <w:numPr>
          <w:ilvl w:val="1"/>
          <w:numId w:val="12"/>
        </w:numPr>
        <w:spacing w:before="120" w:after="120" w:line="240" w:lineRule="auto"/>
        <w:ind w:left="576" w:hanging="576"/>
        <w:outlineLvl w:val="1"/>
        <w:rPr>
          <w:rFonts w:eastAsia="Times New Roman" w:cs="Times New Roman"/>
          <w:b/>
          <w:bCs/>
          <w:iCs/>
          <w:noProof/>
          <w:szCs w:val="24"/>
        </w:rPr>
      </w:pPr>
      <w:bookmarkStart w:id="24" w:name="_Toc158189617"/>
      <w:r w:rsidRPr="004E3F97">
        <w:rPr>
          <w:b/>
          <w:noProof/>
        </w:rPr>
        <w:t>Vzpostavitev foruma za politično usklajevanje na področju nadzora izvoza</w:t>
      </w:r>
      <w:bookmarkEnd w:id="24"/>
    </w:p>
    <w:p w14:paraId="284905C8" w14:textId="1CE3F0F9" w:rsidR="003208E8" w:rsidRPr="004E3F97" w:rsidRDefault="003208E8" w:rsidP="009A3902">
      <w:pPr>
        <w:spacing w:before="120" w:after="120" w:line="240" w:lineRule="auto"/>
        <w:rPr>
          <w:rFonts w:eastAsia="Times New Roman" w:cs="Times New Roman"/>
          <w:noProof/>
          <w:szCs w:val="24"/>
        </w:rPr>
      </w:pPr>
      <w:r w:rsidRPr="004E3F97">
        <w:rPr>
          <w:noProof/>
        </w:rPr>
        <w:t>Glede na zgoraj opisane vse večje geopolitične pritiske bi morale države članice in Komisija imeti forum za razpravo o razvoju dogodkov na ustrezno visoki ravni, da bi se spodbujalo oblikovanje skupnih stališč EU, upoštevala razsežnost enotnega trga pri razvoju nadzora izvoza ter pripravljali in usklajevali ukrepi na mednarodni ravni. To bi lahko potekalo v obliki foruma za politiko nadzora izvoza.</w:t>
      </w:r>
    </w:p>
    <w:p w14:paraId="10162C95" w14:textId="6838ACE6" w:rsidR="00E72B26" w:rsidRPr="004E3F97" w:rsidRDefault="00DB42EC" w:rsidP="00E72B26">
      <w:pPr>
        <w:keepNext/>
        <w:numPr>
          <w:ilvl w:val="1"/>
          <w:numId w:val="12"/>
        </w:numPr>
        <w:spacing w:before="120" w:after="120" w:line="240" w:lineRule="auto"/>
        <w:ind w:left="576" w:hanging="576"/>
        <w:outlineLvl w:val="1"/>
        <w:rPr>
          <w:rFonts w:eastAsia="Times New Roman" w:cs="Times New Roman"/>
          <w:b/>
          <w:bCs/>
          <w:iCs/>
          <w:noProof/>
          <w:szCs w:val="24"/>
        </w:rPr>
      </w:pPr>
      <w:bookmarkStart w:id="25" w:name="_Toc158189618"/>
      <w:r w:rsidRPr="004E3F97">
        <w:rPr>
          <w:b/>
          <w:noProof/>
        </w:rPr>
        <w:t>Mehanizem za boljše usklajevanje novih nacionalnih seznamov za nadzor</w:t>
      </w:r>
      <w:bookmarkEnd w:id="25"/>
    </w:p>
    <w:p w14:paraId="1FA89CD3" w14:textId="589C4EAD" w:rsidR="00E72B26" w:rsidRPr="004E3F97" w:rsidRDefault="00E72B26" w:rsidP="000A37D7">
      <w:pPr>
        <w:spacing w:before="120" w:after="120" w:line="240" w:lineRule="auto"/>
        <w:rPr>
          <w:rFonts w:eastAsia="Times New Roman" w:cs="Times New Roman"/>
          <w:noProof/>
          <w:szCs w:val="24"/>
        </w:rPr>
      </w:pPr>
      <w:r w:rsidRPr="004E3F97">
        <w:rPr>
          <w:noProof/>
        </w:rPr>
        <w:t xml:space="preserve">Komisija tudi meni, da je kratkoročno bistveno izboljšati usklajevanje novih nacionalnih seznamov za nazor, ki jih uvajajo države članice EU. S tem bi se odzvali na primere, ko se morda države članice odločijo, da bodo sprejele nacionalne sezname za nadzor za blago, za katero menijo, da predstavlja tveganje, vendar se še ne nadzoruje na večstranski ravni.  </w:t>
      </w:r>
    </w:p>
    <w:p w14:paraId="185FD6F3" w14:textId="4EAF3AAE" w:rsidR="008A4A2F" w:rsidRPr="004E3F97" w:rsidRDefault="00EA499E" w:rsidP="008A4A2F">
      <w:pPr>
        <w:spacing w:before="120" w:after="120" w:line="240" w:lineRule="auto"/>
        <w:rPr>
          <w:rFonts w:eastAsia="Times New Roman" w:cs="Times New Roman"/>
          <w:noProof/>
          <w:szCs w:val="24"/>
        </w:rPr>
      </w:pPr>
      <w:r w:rsidRPr="004E3F97">
        <w:rPr>
          <w:noProof/>
        </w:rPr>
        <w:t>Komisija namerava pred koncem svojega mandata kot prvi korak sprejeti priporočilo, v katerem bo predlagala okrepitev takega usklajevanja. Ukrep bi priporočal, naj države članice pred sprejetjem novih nacionalnih seznamov za nadzor o njih uradno obvestijo druge države članice in Komisijo, ter naj imajo druge države članice možnost, da predložijo pripombe na predvideni nacionalni seznam za nadzor, če menijo, da bo seznam verjetno vplival na njihovo javno varnost, in da državi članici, ki predlaga tak nadzor, zagotovijo ustrezne informacije. Komisija bi bila prav tako pripravljena podati pripombe ali sprejeti mnenja v primerih, ko meni, da bi novi nacionalni seznam za nadzor verjetno vplival na javno varnost več kot ene države članice ali na interes Unije</w:t>
      </w:r>
      <w:r w:rsidR="003F776A" w:rsidRPr="004E3F97">
        <w:rPr>
          <w:rStyle w:val="FootnoteReference"/>
          <w:rFonts w:eastAsia="Times New Roman" w:cs="Times New Roman"/>
          <w:noProof/>
          <w:szCs w:val="24"/>
        </w:rPr>
        <w:footnoteReference w:id="38"/>
      </w:r>
      <w:r w:rsidRPr="004E3F97">
        <w:rPr>
          <w:noProof/>
        </w:rPr>
        <w:t xml:space="preserve">. </w:t>
      </w:r>
    </w:p>
    <w:p w14:paraId="670503E4" w14:textId="546A9841" w:rsidR="00FD56C8" w:rsidRPr="004E3F97" w:rsidRDefault="007344D8" w:rsidP="008A4A2F">
      <w:pPr>
        <w:spacing w:before="120" w:after="120" w:line="240" w:lineRule="auto"/>
        <w:rPr>
          <w:rFonts w:eastAsia="Times New Roman" w:cs="Times New Roman"/>
          <w:noProof/>
          <w:szCs w:val="24"/>
        </w:rPr>
      </w:pPr>
      <w:r w:rsidRPr="004E3F97">
        <w:rPr>
          <w:noProof/>
        </w:rPr>
        <w:t>S tem prostovoljnim pristopom za izboljšanje usklajevanja bi se lahko povečala preglednost pri sprejemanju novih nacionalnih seznamov za nadzor s strani držav članic, olajšalo usklajevanje nadzora med državami članicami v skladu s členoma 9 in 10 uredbe o blagu z dvojno rabo ter omogočilo pristojnim nacionalnim organom, da upoštevajo morebitna tveganja ali učinke svojih odločitev za druge države članice in Unijo.</w:t>
      </w:r>
    </w:p>
    <w:p w14:paraId="16D52662" w14:textId="4B827666" w:rsidR="000A37D7" w:rsidRPr="004E3F97" w:rsidRDefault="001B64D6" w:rsidP="000A37D7">
      <w:pPr>
        <w:keepNext/>
        <w:numPr>
          <w:ilvl w:val="1"/>
          <w:numId w:val="12"/>
        </w:numPr>
        <w:spacing w:before="120" w:after="120" w:line="240" w:lineRule="auto"/>
        <w:ind w:left="576" w:hanging="576"/>
        <w:outlineLvl w:val="1"/>
        <w:rPr>
          <w:rFonts w:eastAsia="Times New Roman" w:cs="Times New Roman"/>
          <w:b/>
          <w:bCs/>
          <w:iCs/>
          <w:noProof/>
          <w:szCs w:val="24"/>
        </w:rPr>
      </w:pPr>
      <w:bookmarkStart w:id="27" w:name="_Toc158189619"/>
      <w:r w:rsidRPr="004E3F97">
        <w:rPr>
          <w:b/>
          <w:noProof/>
        </w:rPr>
        <w:t>Pospešitev časovnice za oceno uredbe o blagu z dvojno rabo</w:t>
      </w:r>
      <w:bookmarkEnd w:id="27"/>
    </w:p>
    <w:p w14:paraId="0A2E2E89" w14:textId="46731DB1" w:rsidR="000A37D7" w:rsidRPr="004E3F97" w:rsidRDefault="006B61A2" w:rsidP="000A37D7">
      <w:pPr>
        <w:spacing w:before="120" w:after="120" w:line="240" w:lineRule="auto"/>
        <w:rPr>
          <w:rFonts w:eastAsia="Times New Roman" w:cs="Times New Roman"/>
          <w:noProof/>
          <w:szCs w:val="24"/>
        </w:rPr>
      </w:pPr>
      <w:r w:rsidRPr="004E3F97">
        <w:rPr>
          <w:noProof/>
        </w:rPr>
        <w:t>Uredba o blagu z dvojno rabo predvideva, da bo ocena izvedena med letoma 2026 in 2028. Vendar je Komisija zaradi hitrega poteka dogodkov v zadnjih treh letih sklenila, da bi bilo treba oceno opraviti že v prvem četrtletju leta 2025, da bi se uredba ocenila in nato morebiti pripravili predlogi za odpravo pomanjkljivosti v zvezi z uspešnostjo in učinkovitostjo, od katerih so bile nekatere izpostavljene v tej beli knjigi.</w:t>
      </w:r>
    </w:p>
    <w:p w14:paraId="733BB9AF" w14:textId="40F4DC14" w:rsidR="007344D8" w:rsidRPr="004E3F97" w:rsidRDefault="000A37D7" w:rsidP="000A37D7">
      <w:pPr>
        <w:spacing w:before="120" w:after="120" w:line="240" w:lineRule="auto"/>
        <w:rPr>
          <w:rFonts w:eastAsia="Times New Roman" w:cs="Times New Roman"/>
          <w:noProof/>
          <w:szCs w:val="24"/>
        </w:rPr>
      </w:pPr>
      <w:r w:rsidRPr="004E3F97">
        <w:rPr>
          <w:noProof/>
        </w:rPr>
        <w:t>Ta ocena bo podprta s celovito študijo v letu 2024, vendar bodo lahko kot njena podlaga služili tudi rezultati ocene številnih tehnologij, kritičnih za gospodarsko varnost EU, kot je bilo napovedano v priporočilu Komisije</w:t>
      </w:r>
      <w:r w:rsidRPr="004E3F97">
        <w:rPr>
          <w:rFonts w:eastAsia="Times New Roman" w:cs="Times New Roman"/>
          <w:noProof/>
          <w:szCs w:val="24"/>
          <w:vertAlign w:val="superscript"/>
          <w:lang w:val="en-GB" w:eastAsia="en-IE"/>
        </w:rPr>
        <w:footnoteReference w:id="39"/>
      </w:r>
      <w:r w:rsidRPr="004E3F97">
        <w:rPr>
          <w:noProof/>
        </w:rPr>
        <w:t>, sprejetem 3. oktobra</w:t>
      </w:r>
      <w:r w:rsidRPr="004E3F97">
        <w:rPr>
          <w:rFonts w:eastAsia="Times New Roman" w:cs="Times New Roman"/>
          <w:noProof/>
          <w:szCs w:val="24"/>
          <w:vertAlign w:val="superscript"/>
          <w:lang w:val="en-GB" w:eastAsia="en-IE"/>
        </w:rPr>
        <w:footnoteReference w:id="40"/>
      </w:r>
      <w:r w:rsidRPr="004E3F97">
        <w:rPr>
          <w:noProof/>
        </w:rPr>
        <w:t xml:space="preserve">. </w:t>
      </w:r>
    </w:p>
    <w:p w14:paraId="4AE6C94B" w14:textId="23B83B90" w:rsidR="000A37D7" w:rsidRPr="004E3F97" w:rsidRDefault="000A37D7" w:rsidP="000A37D7">
      <w:pPr>
        <w:spacing w:before="120" w:after="120" w:line="240" w:lineRule="auto"/>
        <w:rPr>
          <w:rFonts w:eastAsia="Times New Roman" w:cs="Times New Roman"/>
          <w:noProof/>
          <w:szCs w:val="24"/>
        </w:rPr>
      </w:pPr>
      <w:r w:rsidRPr="004E3F97">
        <w:rPr>
          <w:noProof/>
        </w:rPr>
        <w:t>Ta ocena bo opravljena v posvetovanju z državami članicami in deležniki, spremljalo pa jo bo javno posvetovanje. To bi moralo deležnikom omogočiti, da ugotovijo pomanjkljivosti v zvezi z uspešnostjo in učinkovitostjo sedanjega okvira ter predlagajo možne rešitve zanje glede na izzive, opredeljene v tej beli knjigi.</w:t>
      </w:r>
    </w:p>
    <w:p w14:paraId="1074A50E" w14:textId="77777777" w:rsidR="00722188" w:rsidRPr="004E3F97" w:rsidRDefault="00722188" w:rsidP="000A37D7">
      <w:pPr>
        <w:spacing w:before="120" w:after="120" w:line="240" w:lineRule="auto"/>
        <w:rPr>
          <w:rFonts w:eastAsia="Times New Roman" w:cs="Times New Roman"/>
          <w:noProof/>
          <w:szCs w:val="24"/>
          <w:lang w:eastAsia="en-IE"/>
        </w:rPr>
      </w:pPr>
    </w:p>
    <w:p w14:paraId="30ECD17B" w14:textId="7A2D075C" w:rsidR="000A37D7" w:rsidRPr="004E3F97" w:rsidRDefault="009A3902" w:rsidP="009A3902">
      <w:pPr>
        <w:spacing w:before="120" w:after="120" w:line="240" w:lineRule="auto"/>
        <w:jc w:val="center"/>
        <w:rPr>
          <w:rFonts w:eastAsia="Times New Roman" w:cs="Times New Roman"/>
          <w:noProof/>
          <w:szCs w:val="24"/>
        </w:rPr>
      </w:pPr>
      <w:r w:rsidRPr="004E3F97">
        <w:rPr>
          <w:noProof/>
        </w:rPr>
        <w:t>*</w:t>
      </w:r>
    </w:p>
    <w:p w14:paraId="588D81CC" w14:textId="2C804EC8" w:rsidR="0084172F" w:rsidRPr="009A3902" w:rsidRDefault="000A37D7" w:rsidP="009A3902">
      <w:pPr>
        <w:spacing w:before="120" w:after="120" w:line="240" w:lineRule="auto"/>
        <w:jc w:val="center"/>
        <w:rPr>
          <w:rFonts w:eastAsia="Times New Roman" w:cs="Times New Roman"/>
          <w:noProof/>
          <w:szCs w:val="24"/>
        </w:rPr>
      </w:pPr>
      <w:r w:rsidRPr="004E3F97">
        <w:rPr>
          <w:noProof/>
        </w:rPr>
        <w:t>*</w:t>
      </w:r>
      <w:r w:rsidRPr="004E3F97">
        <w:rPr>
          <w:noProof/>
        </w:rPr>
        <w:tab/>
        <w:t xml:space="preserve">            *</w:t>
      </w:r>
    </w:p>
    <w:sectPr w:rsidR="0084172F" w:rsidRPr="009A3902" w:rsidSect="00824FA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0B953" w14:textId="77777777" w:rsidR="00FF784A" w:rsidRDefault="00FF784A" w:rsidP="008F3CF4">
      <w:pPr>
        <w:spacing w:after="0" w:line="240" w:lineRule="auto"/>
      </w:pPr>
      <w:r>
        <w:separator/>
      </w:r>
    </w:p>
  </w:endnote>
  <w:endnote w:type="continuationSeparator" w:id="0">
    <w:p w14:paraId="77AD1C40" w14:textId="77777777" w:rsidR="00FF784A" w:rsidRDefault="00FF784A" w:rsidP="008F3CF4">
      <w:pPr>
        <w:spacing w:after="0" w:line="240" w:lineRule="auto"/>
      </w:pPr>
      <w:r>
        <w:continuationSeparator/>
      </w:r>
    </w:p>
  </w:endnote>
  <w:endnote w:type="continuationNotice" w:id="1">
    <w:p w14:paraId="74F52F3A" w14:textId="77777777" w:rsidR="00FF784A" w:rsidRDefault="00FF7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657B" w14:textId="1512A6D5" w:rsidR="008F3EB4" w:rsidRPr="008F3EB4" w:rsidRDefault="008F3EB4" w:rsidP="008F3EB4">
    <w:pPr>
      <w:pStyle w:val="FooterCoverPage"/>
      <w:rPr>
        <w:rFonts w:ascii="Arial" w:hAnsi="Arial" w:cs="Arial"/>
        <w:b/>
        <w:sz w:val="48"/>
      </w:rPr>
    </w:pPr>
    <w:r w:rsidRPr="008F3EB4">
      <w:rPr>
        <w:rFonts w:ascii="Arial" w:hAnsi="Arial" w:cs="Arial"/>
        <w:b/>
        <w:sz w:val="48"/>
      </w:rPr>
      <w:t>SL</w:t>
    </w:r>
    <w:r w:rsidRPr="008F3EB4">
      <w:rPr>
        <w:rFonts w:ascii="Arial" w:hAnsi="Arial" w:cs="Arial"/>
        <w:b/>
        <w:sz w:val="48"/>
      </w:rPr>
      <w:tab/>
    </w:r>
    <w:r w:rsidRPr="008F3EB4">
      <w:rPr>
        <w:rFonts w:ascii="Arial" w:hAnsi="Arial" w:cs="Arial"/>
        <w:b/>
        <w:sz w:val="48"/>
      </w:rPr>
      <w:tab/>
    </w:r>
    <w:r w:rsidRPr="008F3EB4">
      <w:tab/>
    </w:r>
    <w:r w:rsidRPr="008F3EB4">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16F4" w14:textId="5E3FFDF4" w:rsidR="008F3EB4" w:rsidRPr="008F3EB4" w:rsidRDefault="008F3EB4" w:rsidP="008F3EB4">
    <w:pPr>
      <w:pStyle w:val="FooterCoverPage"/>
      <w:rPr>
        <w:rFonts w:ascii="Arial" w:hAnsi="Arial" w:cs="Arial"/>
        <w:b/>
        <w:sz w:val="48"/>
      </w:rPr>
    </w:pPr>
    <w:r w:rsidRPr="008F3EB4">
      <w:rPr>
        <w:rFonts w:ascii="Arial" w:hAnsi="Arial" w:cs="Arial"/>
        <w:b/>
        <w:sz w:val="48"/>
      </w:rPr>
      <w:t>SL</w:t>
    </w:r>
    <w:r w:rsidRPr="008F3EB4">
      <w:rPr>
        <w:rFonts w:ascii="Arial" w:hAnsi="Arial" w:cs="Arial"/>
        <w:b/>
        <w:sz w:val="48"/>
      </w:rPr>
      <w:tab/>
    </w:r>
    <w:r w:rsidRPr="008F3EB4">
      <w:rPr>
        <w:rFonts w:ascii="Arial" w:hAnsi="Arial" w:cs="Arial"/>
        <w:b/>
        <w:sz w:val="48"/>
      </w:rPr>
      <w:tab/>
    </w:r>
    <w:r w:rsidRPr="008F3EB4">
      <w:tab/>
    </w:r>
    <w:r w:rsidRPr="008F3EB4">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4F43" w14:textId="77777777" w:rsidR="008F3EB4" w:rsidRPr="008F3EB4" w:rsidRDefault="008F3EB4" w:rsidP="008F3EB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D59C" w14:textId="77777777" w:rsidR="00EA4F23" w:rsidRPr="002A2218" w:rsidRDefault="00EA4F23" w:rsidP="002A2218">
    <w:pPr>
      <w:pStyle w:val="FooterCoverPage"/>
      <w:rPr>
        <w:rFonts w:ascii="Arial" w:hAnsi="Arial" w:cs="Arial"/>
        <w:b/>
        <w:sz w:val="48"/>
      </w:rPr>
    </w:pPr>
    <w:r>
      <w:rPr>
        <w:rFonts w:ascii="Arial" w:hAnsi="Arial"/>
        <w:b/>
        <w:sz w:val="48"/>
      </w:rPr>
      <w:t>SL</w:t>
    </w:r>
    <w:r>
      <w:rPr>
        <w:rFonts w:ascii="Arial" w:hAnsi="Arial"/>
        <w:b/>
        <w:sz w:val="48"/>
      </w:rPr>
      <w:tab/>
    </w:r>
    <w:r>
      <w:rPr>
        <w:rFonts w:ascii="Arial" w:hAnsi="Arial"/>
        <w:b/>
        <w:sz w:val="48"/>
      </w:rPr>
      <w:tab/>
    </w:r>
    <w:r>
      <w:tab/>
    </w:r>
    <w:r>
      <w:rPr>
        <w:rFonts w:ascii="Arial" w:hAnsi="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78744"/>
      <w:docPartObj>
        <w:docPartGallery w:val="Page Numbers (Bottom of Page)"/>
        <w:docPartUnique/>
      </w:docPartObj>
    </w:sdtPr>
    <w:sdtEndPr>
      <w:rPr>
        <w:noProof/>
        <w:sz w:val="18"/>
        <w:szCs w:val="18"/>
      </w:rPr>
    </w:sdtEndPr>
    <w:sdtContent>
      <w:p w14:paraId="749DD671" w14:textId="44C46A1E" w:rsidR="008F3CF4" w:rsidRPr="008F3CF4" w:rsidRDefault="008F3CF4">
        <w:pPr>
          <w:pStyle w:val="Footer"/>
          <w:jc w:val="center"/>
          <w:rPr>
            <w:sz w:val="18"/>
            <w:szCs w:val="18"/>
          </w:rPr>
        </w:pPr>
        <w:r w:rsidRPr="008F3CF4">
          <w:rPr>
            <w:sz w:val="18"/>
          </w:rPr>
          <w:fldChar w:fldCharType="begin"/>
        </w:r>
        <w:r w:rsidRPr="008F3CF4">
          <w:rPr>
            <w:sz w:val="18"/>
          </w:rPr>
          <w:instrText xml:space="preserve"> PAGE   \* MERGEFORMAT </w:instrText>
        </w:r>
        <w:r w:rsidRPr="008F3CF4">
          <w:rPr>
            <w:sz w:val="18"/>
          </w:rPr>
          <w:fldChar w:fldCharType="separate"/>
        </w:r>
        <w:r w:rsidR="008F3EB4">
          <w:rPr>
            <w:noProof/>
            <w:sz w:val="18"/>
          </w:rPr>
          <w:t>2</w:t>
        </w:r>
        <w:r w:rsidRPr="008F3CF4">
          <w:rPr>
            <w:sz w:val="18"/>
          </w:rPr>
          <w:fldChar w:fldCharType="end"/>
        </w:r>
      </w:p>
    </w:sdtContent>
  </w:sdt>
  <w:p w14:paraId="663897AC" w14:textId="77777777" w:rsidR="008F3CF4" w:rsidRDefault="008F3C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CF16" w14:textId="77777777" w:rsidR="00EA4F23" w:rsidRDefault="00EA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D8A80" w14:textId="77777777" w:rsidR="00FF784A" w:rsidRDefault="00FF784A" w:rsidP="008F3CF4">
      <w:pPr>
        <w:spacing w:after="0" w:line="240" w:lineRule="auto"/>
      </w:pPr>
      <w:r>
        <w:separator/>
      </w:r>
    </w:p>
  </w:footnote>
  <w:footnote w:type="continuationSeparator" w:id="0">
    <w:p w14:paraId="744A2BF2" w14:textId="77777777" w:rsidR="00FF784A" w:rsidRDefault="00FF784A" w:rsidP="008F3CF4">
      <w:pPr>
        <w:spacing w:after="0" w:line="240" w:lineRule="auto"/>
      </w:pPr>
      <w:r>
        <w:continuationSeparator/>
      </w:r>
    </w:p>
  </w:footnote>
  <w:footnote w:type="continuationNotice" w:id="1">
    <w:p w14:paraId="71D01EA5" w14:textId="77777777" w:rsidR="00FF784A" w:rsidRDefault="00FF784A">
      <w:pPr>
        <w:spacing w:after="0" w:line="240" w:lineRule="auto"/>
      </w:pPr>
    </w:p>
  </w:footnote>
  <w:footnote w:id="2">
    <w:p w14:paraId="5479943B" w14:textId="5972B305" w:rsidR="00793411" w:rsidRPr="004E3F97" w:rsidRDefault="00793411" w:rsidP="00793411">
      <w:pPr>
        <w:pStyle w:val="FootnoteText"/>
      </w:pPr>
      <w:r w:rsidRPr="004E3F97">
        <w:rPr>
          <w:rStyle w:val="FootnoteReference"/>
        </w:rPr>
        <w:footnoteRef/>
      </w:r>
      <w:r w:rsidRPr="004E3F97">
        <w:tab/>
        <w:t xml:space="preserve">Med blago z dvojno rabo spadajo blago, programska oprema in tehnologija, ki se lahko uporabljajo za civilne in vojaške namene. Vendar to ne vključuje blaga, ki je izključno vojaške narave, kot je blago s Skupnega seznama vojaškega blaga EU (UL C 72, 28.2.2023, str. 2). </w:t>
      </w:r>
    </w:p>
  </w:footnote>
  <w:footnote w:id="3">
    <w:p w14:paraId="407672F0" w14:textId="782AEC88" w:rsidR="002C2D9D" w:rsidRPr="004E3F97" w:rsidRDefault="002C2D9D">
      <w:pPr>
        <w:pStyle w:val="FootnoteText"/>
      </w:pPr>
      <w:r w:rsidRPr="004E3F97">
        <w:rPr>
          <w:rStyle w:val="FootnoteReference"/>
        </w:rPr>
        <w:footnoteRef/>
      </w:r>
      <w:r w:rsidRPr="004E3F97">
        <w:tab/>
        <w:t xml:space="preserve">Glavni večstranski režimi, v okviru katerih je dogovorjena večina nadzora izvoza EU, so Avstralska skupina, režim kontrole raketne tehnologije, skupina držav dobaviteljic jedrskega blaga in Wassenaarska ureditev. EU je članica enega od obstoječih večstranskih nadzornih režimov – Avstralske skupine – in opazovalka v skupini držav dobaviteljic jedrskega blaga.    </w:t>
      </w:r>
    </w:p>
  </w:footnote>
  <w:footnote w:id="4">
    <w:p w14:paraId="15CF7680" w14:textId="6E6B8173" w:rsidR="000A37D7" w:rsidRPr="004E3F97" w:rsidRDefault="000A37D7" w:rsidP="000A37D7">
      <w:pPr>
        <w:pStyle w:val="FootnoteText"/>
      </w:pPr>
      <w:r w:rsidRPr="004E3F97">
        <w:rPr>
          <w:rStyle w:val="FootnoteReference"/>
        </w:rPr>
        <w:footnoteRef/>
      </w:r>
      <w:r w:rsidRPr="004E3F97">
        <w:tab/>
      </w:r>
      <w:bookmarkStart w:id="4" w:name="_Hlk151730402"/>
      <w:r w:rsidRPr="004E3F97">
        <w:t>Uredba (EU) 2021/821 Evropskega parlamenta in Sveta z dne 20. maja 2021 o vzpostavitvi režima Unije za nadzor izvoza, posredovanja, tehnične pomoči, tranzita in prenosa blaga z dvojno rabo (UL L 206, 11.6.2021, str. 1).</w:t>
      </w:r>
      <w:bookmarkEnd w:id="4"/>
    </w:p>
  </w:footnote>
  <w:footnote w:id="5">
    <w:p w14:paraId="528A26B0" w14:textId="77777777" w:rsidR="00290362" w:rsidRPr="004E3F97" w:rsidRDefault="00290362" w:rsidP="00290362">
      <w:pPr>
        <w:pStyle w:val="FootnoteText"/>
      </w:pPr>
      <w:r w:rsidRPr="004E3F97">
        <w:rPr>
          <w:rStyle w:val="FootnoteReference"/>
        </w:rPr>
        <w:footnoteRef/>
      </w:r>
      <w:r w:rsidRPr="004E3F97">
        <w:tab/>
        <w:t>Skupno sporočilo Evropskemu parlamentu, Evropskemu svetu in Svetu EU o „Evropski strategiji za gospodarsko varnost“, JOIN(2023) 20 final.</w:t>
      </w:r>
    </w:p>
  </w:footnote>
  <w:footnote w:id="6">
    <w:p w14:paraId="0764F205" w14:textId="0B16B086" w:rsidR="000A37D7" w:rsidRPr="004E3F97" w:rsidRDefault="000A37D7" w:rsidP="00B3468E">
      <w:pPr>
        <w:pStyle w:val="FootnoteText"/>
      </w:pPr>
      <w:r w:rsidRPr="004E3F97">
        <w:rPr>
          <w:rStyle w:val="FootnoteReference"/>
        </w:rPr>
        <w:footnoteRef/>
      </w:r>
      <w:r w:rsidRPr="004E3F97">
        <w:tab/>
        <w:t>Glej Priporočilo Komisije (EU) 2021/1700 o programih notranje skladnosti za nadzor raziskav v zvezi z blagom z dvojno rabo v skladu z Uredbo (UL L 338, 23.9.2021, str. 1) in Priporočilo Komisije (EU) 2019/1318 o programih notranje skladnosti za nadzor trgovine z blagom z dvojno rabo (UL L 205, 5.8.2019, str. 15). Komisija in države članice si še naprej prizadevajo za učinkovitejše izvajanje nadzora nad prenosi nematerialnih sredstev in tehnologije. Smernice o zbiranju podatkov in preglednosti naj bi bile objavljene v začetku leta 2024.</w:t>
      </w:r>
    </w:p>
  </w:footnote>
  <w:footnote w:id="7">
    <w:p w14:paraId="46A556A0" w14:textId="73AA32B3" w:rsidR="000A37D7" w:rsidRPr="004E3F97" w:rsidRDefault="000A37D7" w:rsidP="000A37D7">
      <w:pPr>
        <w:pStyle w:val="FootnoteText"/>
      </w:pPr>
      <w:r w:rsidRPr="004E3F97">
        <w:rPr>
          <w:rStyle w:val="FootnoteReference"/>
        </w:rPr>
        <w:footnoteRef/>
      </w:r>
      <w:r w:rsidRPr="004E3F97">
        <w:tab/>
        <w:t>Smernice o izvozu blaga za kibernetski nadzor bodo objavljene v prvem četrtletju 2024. Zaradi pomislekov glede uporabe blaga za kibernetski nadzor je Evropski parlament na primer ustanovil poseben odbor (preiskovalni odbor za program Pegasus), ki je junija 2023 sprejel resolucijo, v kateri je bila prav tako poudarjena potreba po nadaljnji okrepitvi nadzora izvoza blaga za kibernetski nadzor v skladu z uredbo o blagu z dvojno rabo.</w:t>
      </w:r>
    </w:p>
  </w:footnote>
  <w:footnote w:id="8">
    <w:p w14:paraId="5F8646D2" w14:textId="6AEE310E" w:rsidR="000A37D7" w:rsidRPr="004E3F97" w:rsidRDefault="000A37D7" w:rsidP="004C143D">
      <w:pPr>
        <w:pStyle w:val="FootnoteText"/>
      </w:pPr>
      <w:r w:rsidRPr="004E3F97">
        <w:rPr>
          <w:rStyle w:val="FootnoteReference"/>
        </w:rPr>
        <w:footnoteRef/>
      </w:r>
      <w:r w:rsidRPr="004E3F97">
        <w:tab/>
        <w:t xml:space="preserve">Drugi ukrepi, ki so jih sprejele Komisija in države članice, vključujejo: (i) ustanovitev strokovne skupine za nastajajoče tehnologije (ETEG) za izmenjavo informacij z državami članicami o ocenah tveganja za nastajajoče tehnologije, (ii) vzpostavitev mehanizma za usklajevanje izvrševanja nadzora, ki podpira delo nacionalnih organov kazenskega pregona po vsej EU, (iii) razvoj elektronskega sistema za blago z dvojno rabo (DUeS) za izboljšanje izmenjave informacij med ustreznimi službami Komisije in držav članic ter (iv) krepitev ozaveščanja in skladnosti industrije v okviru partnerstva z zasebnim sektorjem, npr. z organizacijo rednega </w:t>
      </w:r>
      <w:hyperlink r:id="rId1" w:history="1">
        <w:r w:rsidRPr="004E3F97">
          <w:t>foruma o nadzoru izvoza</w:t>
        </w:r>
      </w:hyperlink>
      <w:r w:rsidRPr="004E3F97">
        <w:t>.</w:t>
      </w:r>
    </w:p>
  </w:footnote>
  <w:footnote w:id="9">
    <w:p w14:paraId="3D57DB67" w14:textId="77777777" w:rsidR="000A37D7" w:rsidRPr="004E3F97" w:rsidRDefault="000A37D7" w:rsidP="000A37D7">
      <w:pPr>
        <w:pStyle w:val="FootnoteText"/>
      </w:pPr>
      <w:r w:rsidRPr="004E3F97">
        <w:rPr>
          <w:rStyle w:val="FootnoteReference"/>
        </w:rPr>
        <w:footnoteRef/>
      </w:r>
      <w:r w:rsidRPr="004E3F97">
        <w:tab/>
        <w:t>Sodišče Evropske unije je v zadevi Leifer potrdilo, da pravila, katerih učinek je preprečevanje ali omejevanje izvoza nekaterih izdelkov, spadajo na področje uporabe skupne trgovinske politike in da dejstvo, da se omejitev nanaša na blago z dvojno rabo, ne vpliva na to ugotovitev, saj jih narava teh izdelkov ne more izvzeti iz področja uporabe skupne trgovinske politike (sodba Sodišča z dne 17. oktobra 1995, kazenski postopek zoper Petra Leiferja, Reinholda Otta Krauskopfa in Otta Holzerja, C-83/94, ECLI:EU:C:1995:329, točke 10 in 11). V zadevi Werner je Sodišče potrdilo te ugotovitve in nadalje pojasnilo, da ukrepa, katerega učinek je preprečevanje ali omejevanje izvoza nekaterih izdelkov, ni mogoče obravnavati, kot da ne spada na področje uporabe skupne trgovinske politike, ker ima zunanjepolitične in varnostne cilje (sodba Sodišča z dne 17. oktobra 1995, Fritz Werner Industrie-Ausrüstungen GmbH/Zvezna republika Nemčija, C-70/94, ECLI:EU:C:1995:328, točka 10).</w:t>
      </w:r>
    </w:p>
  </w:footnote>
  <w:footnote w:id="10">
    <w:p w14:paraId="6E88D495" w14:textId="4C5B6D9A" w:rsidR="000A37D7" w:rsidRPr="004E3F97" w:rsidRDefault="000A37D7" w:rsidP="000A37D7">
      <w:pPr>
        <w:pStyle w:val="FootnoteText"/>
      </w:pPr>
      <w:r w:rsidRPr="004E3F97">
        <w:rPr>
          <w:rStyle w:val="FootnoteReference"/>
        </w:rPr>
        <w:footnoteRef/>
      </w:r>
      <w:r w:rsidRPr="004E3F97">
        <w:tab/>
        <w:t xml:space="preserve">Wolf, K., „Testimony before the Senate Committee on Banking, Housing and Urban Affairs ,Advancing National Security and Foreign Policy Through Sanctions, Export Controls, and Other Economic Toolsʻ“ (Pričanje pred odborom senata za bančništvo, stanovanjska in urbanistična vprašanja: spodbujanje nacionalne varnosti in zunanje politike s sankcijami, nadzorom izvoza in drugimi gospodarskimi orodji), 2023, str. 13. Glej tudi Chorzempa, M. in von Daniels, L., „New US Export Controls: Key Policy Choices for Europe (Nov nadzor izvoza ZDA: Ključna politična izbira za Evropo), </w:t>
      </w:r>
      <w:r w:rsidRPr="004E3F97">
        <w:rPr>
          <w:i/>
        </w:rPr>
        <w:t>Stiftung Wissenschaft und Politik</w:t>
      </w:r>
      <w:r w:rsidRPr="004E3F97">
        <w:t>, 2023, str. 7.</w:t>
      </w:r>
    </w:p>
  </w:footnote>
  <w:footnote w:id="11">
    <w:p w14:paraId="125053FD" w14:textId="77777777" w:rsidR="000A37D7" w:rsidRPr="004E3F97" w:rsidRDefault="000A37D7" w:rsidP="000A37D7">
      <w:pPr>
        <w:pStyle w:val="FootnoteText"/>
      </w:pPr>
      <w:r w:rsidRPr="004E3F97">
        <w:rPr>
          <w:rStyle w:val="FootnoteReference"/>
        </w:rPr>
        <w:footnoteRef/>
      </w:r>
      <w:r w:rsidRPr="004E3F97">
        <w:tab/>
        <w:t xml:space="preserve">Gehrke, T. in Ringhof, J., „The power of control: How the EU can shape the new era of strategic export restrictions“ (Moč nadzora: Kako lahko EU oblikuje novo dobo strateških izvoznih omejitev), </w:t>
      </w:r>
      <w:r w:rsidRPr="004E3F97">
        <w:rPr>
          <w:i/>
        </w:rPr>
        <w:t>European Council on Foreign Relations</w:t>
      </w:r>
      <w:r w:rsidRPr="004E3F97">
        <w:t xml:space="preserve">, 2023. Benson, E. in Putnam, M., Export Controls and Intangible Goods (Nadzor izvoza in nematerialno blago), </w:t>
      </w:r>
      <w:r w:rsidRPr="004E3F97">
        <w:rPr>
          <w:i/>
        </w:rPr>
        <w:t>Center for Strategic and International Studies</w:t>
      </w:r>
      <w:r w:rsidRPr="004E3F97">
        <w:t>, 2023.</w:t>
      </w:r>
    </w:p>
  </w:footnote>
  <w:footnote w:id="12">
    <w:p w14:paraId="2EB2CE21" w14:textId="77777777" w:rsidR="000A37D7" w:rsidRPr="004E3F97" w:rsidRDefault="000A37D7" w:rsidP="000A37D7">
      <w:pPr>
        <w:pStyle w:val="FootnoteText"/>
      </w:pPr>
      <w:r w:rsidRPr="004E3F97">
        <w:rPr>
          <w:rStyle w:val="FootnoteReference"/>
        </w:rPr>
        <w:footnoteRef/>
      </w:r>
      <w:r w:rsidRPr="004E3F97">
        <w:tab/>
        <w:t>Wolf, K., „Testimony before the Senate Committee on Banking, Housing and Urban Affairs ,Advancing National Security and Foreign Policy Through Sanctions, Export Controls, and Other Economic Toolsʻ“ (Pričanje pred odborom senata za bančništvo, stanovanjska in urbanistična vprašanja: spodbujanje nacionalne varnosti in zunanje politike s sankcijami, nadzorom izvoza in drugimi gospodarskimi orodji), 2023, str. 13.</w:t>
      </w:r>
    </w:p>
  </w:footnote>
  <w:footnote w:id="13">
    <w:p w14:paraId="57F33B23" w14:textId="77777777" w:rsidR="005F56D9" w:rsidRPr="004E3F97" w:rsidRDefault="005F56D9" w:rsidP="005F56D9">
      <w:pPr>
        <w:pStyle w:val="FootnoteText"/>
      </w:pPr>
      <w:r w:rsidRPr="004E3F97">
        <w:rPr>
          <w:rStyle w:val="FootnoteReference"/>
        </w:rPr>
        <w:footnoteRef/>
      </w:r>
      <w:r w:rsidRPr="004E3F97">
        <w:tab/>
        <w:t>„Request for consultations by China: United States – Measures on Certain Semiconductor and Other Products, and Related Services and Technologies“ (Zahteva Kitajske za posvetovanja: Združene države – Ukrepi za nekatere polprevodnike in druge izdelke ter povezane storitve in tehnologije) (WT/DS615/1, G/L/1471 S/L/438, G/TRIMS/D/46 IP/D/44).</w:t>
      </w:r>
    </w:p>
  </w:footnote>
  <w:footnote w:id="14">
    <w:p w14:paraId="2930A082" w14:textId="18A9DB25" w:rsidR="005F56D9" w:rsidRPr="004E3F97" w:rsidRDefault="005F56D9" w:rsidP="005F56D9">
      <w:pPr>
        <w:pStyle w:val="FootnoteText"/>
      </w:pPr>
      <w:r w:rsidRPr="004E3F97">
        <w:rPr>
          <w:rStyle w:val="FootnoteReference"/>
        </w:rPr>
        <w:footnoteRef/>
      </w:r>
      <w:r w:rsidRPr="004E3F97">
        <w:tab/>
        <w:t xml:space="preserve">Bureau of Industry and Security, U.S. Department of Commerce, „Commerce Strengthens Restrictions on Advanced Computing Semiconductors, Semiconductor Manufacturing Equipment, and Supercomputing Items to Countries of Concern“ (Urad za industrijo in varnost, Ministrstvo za trgovino ZDA, Trgovina krepi omejitve za napredne računalniške polprevodnike, polprevodniško proizvodno opremo in superračunalniško blago za problematične države), sporočilo za javnost z dne 17. oktobra 2023, na voljo na:  </w:t>
      </w:r>
      <w:hyperlink r:id="rId2" w:history="1">
        <w:r w:rsidRPr="004E3F97">
          <w:rPr>
            <w:rStyle w:val="Hyperlink"/>
          </w:rPr>
          <w:t>https://www.bis.doc.gov/index.php/documents/about-bis/newsroom/press-releases/3355-2023-10-17-bis-press-release-acs-and-sme-rules-final-js/file</w:t>
        </w:r>
      </w:hyperlink>
      <w:r w:rsidRPr="004E3F97">
        <w:t>.</w:t>
      </w:r>
    </w:p>
  </w:footnote>
  <w:footnote w:id="15">
    <w:p w14:paraId="498A5931" w14:textId="77777777" w:rsidR="005F56D9" w:rsidRPr="004E3F97" w:rsidRDefault="005F56D9" w:rsidP="005F56D9">
      <w:pPr>
        <w:pStyle w:val="FootnoteText"/>
      </w:pPr>
      <w:r w:rsidRPr="004E3F97">
        <w:rPr>
          <w:rStyle w:val="FootnoteReference"/>
        </w:rPr>
        <w:footnoteRef/>
      </w:r>
      <w:r w:rsidRPr="004E3F97">
        <w:tab/>
        <w:t xml:space="preserve">Sprememba dokumenta Ministrski odlok o delni reviziji ministrskega odloka o podrobni opredelitvi blaga in tehnologij v skladu z določbami priložene razpredelnice 1 Odredbe o nadzoru izvozne trgovine in priložene razpredelnice k Odredbi o deviznem poslovanju, na voljo na: </w:t>
      </w:r>
      <w:hyperlink r:id="rId3" w:anchor="230523" w:history="1">
        <w:r w:rsidRPr="004E3F97">
          <w:rPr>
            <w:rStyle w:val="Hyperlink"/>
          </w:rPr>
          <w:t>https://www.meti.go.jp/policy/anpo/law09-2.html#230523</w:t>
        </w:r>
      </w:hyperlink>
      <w:r w:rsidRPr="004E3F97">
        <w:t>.</w:t>
      </w:r>
    </w:p>
  </w:footnote>
  <w:footnote w:id="16">
    <w:p w14:paraId="4352323C" w14:textId="1259F688" w:rsidR="000A37D7" w:rsidRPr="004E3F97" w:rsidRDefault="000A37D7" w:rsidP="000A37D7">
      <w:pPr>
        <w:pStyle w:val="FootnoteText"/>
      </w:pPr>
      <w:r w:rsidRPr="004E3F97">
        <w:rPr>
          <w:rStyle w:val="FootnoteReference"/>
        </w:rPr>
        <w:footnoteRef/>
      </w:r>
      <w:r w:rsidRPr="004E3F97">
        <w:tab/>
        <w:t>Z uredbo o blagu z dvojno rabo iz leta 2021 je bila uvedena možnost novega samostojnega nadzora EU nad blagom za kibernetski nadzor (člen 5). Vendar ta določba še vedno ni preizkušena, omejena je na blago za kibernetski nadzor in bi zahtevala usklajeno ukrepanje vseh držav članic. Z uredbo o blagu z dvojno rabo iz leta 2021 je bila uvedena tudi možnost, da države članice usklajujejo nadzor v okviru svojih nacionalnih seznamov za nadzor (člena 9 in 10), vendar se je izkazalo, da to verjetno ne bo zagotovilo enotnega nadzora, kot je opisano v oddelku 4.1.</w:t>
      </w:r>
    </w:p>
  </w:footnote>
  <w:footnote w:id="17">
    <w:p w14:paraId="62978F60" w14:textId="3C111C8E" w:rsidR="00816671" w:rsidRPr="004E3F97" w:rsidRDefault="00816671">
      <w:pPr>
        <w:pStyle w:val="FootnoteText"/>
      </w:pPr>
      <w:r w:rsidRPr="004E3F97">
        <w:rPr>
          <w:rStyle w:val="FootnoteReference"/>
        </w:rPr>
        <w:footnoteRef/>
      </w:r>
      <w:r w:rsidRPr="004E3F97">
        <w:tab/>
        <w:t>Pojem „nacionalni ukrepi“ se nanaša na različne vrste dejavnosti držav članic, kot so na primer nacionalna splošna izvozna dovoljenja, imenovanje pristojnih organov, imenovanje carinskih uradov, pa tudi nacionalni seznami za nadzor, opisani v nadaljevanju.</w:t>
      </w:r>
    </w:p>
  </w:footnote>
  <w:footnote w:id="18">
    <w:p w14:paraId="69232267" w14:textId="5EBB3E7B" w:rsidR="00282CFA" w:rsidRPr="004E3F97" w:rsidRDefault="00282CFA" w:rsidP="00282CFA">
      <w:pPr>
        <w:pStyle w:val="FootnoteText"/>
      </w:pPr>
      <w:r w:rsidRPr="004E3F97">
        <w:rPr>
          <w:rStyle w:val="FootnoteReference"/>
        </w:rPr>
        <w:footnoteRef/>
      </w:r>
      <w:r w:rsidRPr="004E3F97">
        <w:tab/>
        <w:t xml:space="preserve">Nacionalni seznami za nadzor se nanašajo na ukrepe, ki so jih države članice sprejele v skladu s členom 9 uredbe o blagu z dvojno rabo, pri čemer se odločijo, da bodo zahtevale dovoljenje za blago z dvojno rabo, ki ni navedeno v Prilogi I k uredbi o blagu z dvojno rabo in zato ni predmet nadzora. Države članice lahko sprejmejo take nacionalne sezname za nadzor zaradi javne varnosti, vključno s preprečevanjem terorističnih dejanj, ali zaradi spoštovanja človekovih pravic. </w:t>
      </w:r>
    </w:p>
  </w:footnote>
  <w:footnote w:id="19">
    <w:p w14:paraId="0A4346F1" w14:textId="6A88971E" w:rsidR="000A37D7" w:rsidRPr="004E3F97" w:rsidRDefault="000A37D7" w:rsidP="000A37D7">
      <w:pPr>
        <w:pStyle w:val="FootnoteText"/>
      </w:pPr>
      <w:r w:rsidRPr="004E3F97">
        <w:rPr>
          <w:rStyle w:val="FootnoteReference"/>
        </w:rPr>
        <w:footnoteRef/>
      </w:r>
      <w:r w:rsidRPr="004E3F97">
        <w:tab/>
        <w:t>Zadnje obvestilo je bilo objavljeno kot Informacije o ukrepih, ki so jih države članice sprejele v skladu s členi 4, 5, 6, 7, 8, 9, 11, 12, 22 in 23 [uredbe o blagu z dvojno rabo] (UL 2023/C 208/06). Zbirka podatkov EU je bila prvič objavljena 20. oktobra 2023 kot Zbirka nacionalnih seznamov za nadzor na podlagi člena 9(4) [uredbe o blagu z dvojno rabo] (UL C/2023/441).</w:t>
      </w:r>
    </w:p>
  </w:footnote>
  <w:footnote w:id="20">
    <w:p w14:paraId="52052F24" w14:textId="68FDFDA1" w:rsidR="000A37D7" w:rsidRPr="004E3F97" w:rsidRDefault="000A37D7" w:rsidP="000A37D7">
      <w:pPr>
        <w:pStyle w:val="FootnoteText"/>
      </w:pPr>
      <w:r w:rsidRPr="004E3F97">
        <w:rPr>
          <w:rStyle w:val="FootnoteReference"/>
        </w:rPr>
        <w:footnoteRef/>
      </w:r>
      <w:r w:rsidRPr="004E3F97">
        <w:tab/>
        <w:t>Doslej so tri države članice uradno obvestile Evropsko komisijo o sprejetju nacionalnih seznamov za nadzor, predlaganih za usklajevanje nadzora s strani držav članic, dva od njih pa sta že vključena v zbirko nacionalnih seznamov za nadzor, objavljeno 20. oktobra 2023.</w:t>
      </w:r>
    </w:p>
  </w:footnote>
  <w:footnote w:id="21">
    <w:p w14:paraId="2BEE5CA2" w14:textId="77777777" w:rsidR="000A37D7" w:rsidRPr="004E3F97" w:rsidRDefault="000A37D7" w:rsidP="000A37D7">
      <w:pPr>
        <w:pStyle w:val="FootnoteText"/>
      </w:pPr>
      <w:r w:rsidRPr="004E3F97">
        <w:rPr>
          <w:rStyle w:val="FootnoteReference"/>
        </w:rPr>
        <w:footnoteRef/>
      </w:r>
      <w:r w:rsidRPr="004E3F97">
        <w:tab/>
        <w:t xml:space="preserve">Dopis nizozemskega ministra za zunanjo trgovino in razvojno sodelovanje z dne 8. marca 2023 nizozemskemu parlamentu, na voljo na: </w:t>
      </w:r>
      <w:hyperlink r:id="rId4" w:history="1">
        <w:r w:rsidRPr="004E3F97">
          <w:rPr>
            <w:rStyle w:val="Hyperlink"/>
          </w:rPr>
          <w:t>https://open.overheid.nl/documenten/oep-7b25ba07017fbcc4a9d285cc013849f6516f03bd/pdf</w:t>
        </w:r>
      </w:hyperlink>
      <w:r w:rsidRPr="004E3F97">
        <w:t>.</w:t>
      </w:r>
    </w:p>
  </w:footnote>
  <w:footnote w:id="22">
    <w:p w14:paraId="57E6B726" w14:textId="3F91D928" w:rsidR="009E2847" w:rsidRPr="004E3F97" w:rsidRDefault="009E2847">
      <w:pPr>
        <w:pStyle w:val="FootnoteText"/>
      </w:pPr>
      <w:r w:rsidRPr="004E3F97">
        <w:rPr>
          <w:rStyle w:val="FootnoteReference"/>
        </w:rPr>
        <w:footnoteRef/>
      </w:r>
      <w:r w:rsidRPr="004E3F97">
        <w:tab/>
        <w:t xml:space="preserve">Odredba ICT/534/2023 z dne 26. maja 2023, na voljo na naslovu </w:t>
      </w:r>
      <w:hyperlink r:id="rId5" w:history="1">
        <w:r w:rsidRPr="004E3F97">
          <w:rPr>
            <w:rStyle w:val="Hyperlink"/>
          </w:rPr>
          <w:t>https://www.boe.es/boe/dias/2023/05/31/pdfs/BOE-A-2023-12785.pdf</w:t>
        </w:r>
      </w:hyperlink>
      <w:r w:rsidRPr="004E3F97">
        <w:t xml:space="preserve">. </w:t>
      </w:r>
    </w:p>
  </w:footnote>
  <w:footnote w:id="23">
    <w:p w14:paraId="7264838C" w14:textId="53EF0460" w:rsidR="000A37D7" w:rsidRPr="004E3F97" w:rsidRDefault="000A37D7" w:rsidP="000A37D7">
      <w:pPr>
        <w:pStyle w:val="FootnoteText"/>
      </w:pPr>
      <w:r w:rsidRPr="004E3F97">
        <w:rPr>
          <w:rStyle w:val="FootnoteReference"/>
        </w:rPr>
        <w:footnoteRef/>
      </w:r>
      <w:r w:rsidRPr="004E3F97">
        <w:tab/>
        <w:t xml:space="preserve">Resolucija št. 512 z dne 28. junija 2023 o uporabi nacionalnih nadzornih ukrepov v skladu s členom 9 Uredbe (EU) 2021/821 Evropskega parlamenta in Sveta, na voljo na: </w:t>
      </w:r>
      <w:hyperlink r:id="rId6" w:history="1">
        <w:r w:rsidRPr="004E3F97">
          <w:rPr>
            <w:rStyle w:val="Hyperlink"/>
          </w:rPr>
          <w:t>https://e-seimas.lrs.lt/portal/legalAct/lt/TAD/e136d18116b211eea9b3de7dd350a34e?positionInSearchResults=6&amp;searchModelUUID=f43633e4-8d0d-4761-b5f5-adb027d53453</w:t>
        </w:r>
      </w:hyperlink>
      <w:r w:rsidRPr="004E3F97">
        <w:t xml:space="preserve">. </w:t>
      </w:r>
    </w:p>
  </w:footnote>
  <w:footnote w:id="24">
    <w:p w14:paraId="729BE89C" w14:textId="22EE2E19" w:rsidR="00EA4F23" w:rsidRPr="004E3F97" w:rsidRDefault="00EA4F23">
      <w:pPr>
        <w:pStyle w:val="FootnoteText"/>
      </w:pPr>
      <w:r w:rsidRPr="004E3F97">
        <w:rPr>
          <w:rStyle w:val="FootnoteReference"/>
        </w:rPr>
        <w:footnoteRef/>
      </w:r>
      <w:r w:rsidRPr="004E3F97">
        <w:tab/>
        <w:t xml:space="preserve">Resolucija iz novembra 2023 je na voljo na: </w:t>
      </w:r>
      <w:hyperlink r:id="rId7" w:history="1">
        <w:r w:rsidRPr="004E3F97">
          <w:rPr>
            <w:rStyle w:val="Hyperlink"/>
          </w:rPr>
          <w:t>https://e-seimas.lrs.lt/portal/legalAct/lt/TAD/0f49a4e0857011ee9ee3e4a7f62b7a26?positionInSearchResults=2&amp;searchModelUUID=e121fc54-2c6c-4133-b8f0-26af9214c826</w:t>
        </w:r>
      </w:hyperlink>
      <w:r w:rsidRPr="004E3F97">
        <w:t xml:space="preserve"> </w:t>
      </w:r>
    </w:p>
  </w:footnote>
  <w:footnote w:id="25">
    <w:p w14:paraId="151783C1" w14:textId="77777777" w:rsidR="000A37D7" w:rsidRPr="004E3F97" w:rsidRDefault="000A37D7" w:rsidP="000A37D7">
      <w:pPr>
        <w:pStyle w:val="FootnoteText"/>
      </w:pPr>
      <w:r w:rsidRPr="004E3F97">
        <w:rPr>
          <w:rStyle w:val="FootnoteReference"/>
        </w:rPr>
        <w:footnoteRef/>
      </w:r>
      <w:r w:rsidRPr="004E3F97">
        <w:tab/>
        <w:t xml:space="preserve">Javno posvetovanje na voljo na: </w:t>
      </w:r>
      <w:hyperlink r:id="rId8" w:history="1">
        <w:r w:rsidRPr="004E3F97">
          <w:rPr>
            <w:rStyle w:val="Hyperlink"/>
          </w:rPr>
          <w:t>https://valtioneuvosto.fi/hanke?tunnus=UM008:00/2019</w:t>
        </w:r>
      </w:hyperlink>
      <w:r w:rsidRPr="004E3F97">
        <w:t>.</w:t>
      </w:r>
    </w:p>
  </w:footnote>
  <w:footnote w:id="26">
    <w:p w14:paraId="50BE1645" w14:textId="39948422" w:rsidR="00206628" w:rsidRPr="004E3F97" w:rsidRDefault="00206628">
      <w:pPr>
        <w:pStyle w:val="FootnoteText"/>
      </w:pPr>
      <w:r w:rsidRPr="004E3F97">
        <w:rPr>
          <w:rStyle w:val="FootnoteReference"/>
        </w:rPr>
        <w:footnoteRef/>
      </w:r>
      <w:r w:rsidRPr="004E3F97">
        <w:tab/>
        <w:t>Opozoriti je treba, da bi morala Komisija v imenu EU zagovarjati ukrepe posamezne države članice, če bi te ukrepe tretja država izpodbijala v Svetovni trgovinski organizaciji. Prav tako bi bila EU tista, ki bi v okviru novega instrumenta za odvračanje od prisilnih ukrepov ukrepala v odziv na ukrepe tretjih držav, ki bi bili posledica nadzora izvoza držav članic, njihov namen pa bi bil spremeniti te ukrepe držav članic ali zagotoviti, da se ne bi upoštevali na ravni EU ali jih ne bi upoštevale druge države članice.</w:t>
      </w:r>
    </w:p>
  </w:footnote>
  <w:footnote w:id="27">
    <w:p w14:paraId="4F930A52" w14:textId="6F2CD94D" w:rsidR="000A37D7" w:rsidRPr="004E3F97" w:rsidRDefault="000A37D7" w:rsidP="000A37D7">
      <w:pPr>
        <w:pStyle w:val="FootnoteText"/>
      </w:pPr>
      <w:r w:rsidRPr="004E3F97">
        <w:rPr>
          <w:rStyle w:val="FootnoteReference"/>
        </w:rPr>
        <w:footnoteRef/>
      </w:r>
      <w:r w:rsidRPr="004E3F97">
        <w:tab/>
        <w:t>V skladu z uredbo o blagu z dvojno rabo morajo države članice, ki zavrnejo izvoz na podlagi nacionalnega seznama za nadzor druge države članice, o taki odločitvi obvestiti Komisijo in preostale države članice. Vendar državam članicam ni treba obveščati o neizvajanju nadzora ali izdajanju izvoznih dovoljenj.</w:t>
      </w:r>
    </w:p>
  </w:footnote>
  <w:footnote w:id="28">
    <w:p w14:paraId="56FFBF2F" w14:textId="1CE7A924" w:rsidR="000A37D7" w:rsidRPr="004E3F97" w:rsidRDefault="000A37D7" w:rsidP="000A37D7">
      <w:pPr>
        <w:pStyle w:val="FootnoteText"/>
      </w:pPr>
      <w:r w:rsidRPr="004E3F97">
        <w:rPr>
          <w:rStyle w:val="FootnoteReference"/>
        </w:rPr>
        <w:footnoteRef/>
      </w:r>
      <w:r w:rsidRPr="004E3F97">
        <w:tab/>
        <w:t xml:space="preserve">„Vsezajemajoči“ nadzor se na splošno razume kot nadzor, ki ga države članice uporabljajo za blago, ki ni navedeno v Prilogi I k uredbi o blagu z dvojno rabo (t. i. seznam EU za nadzor), tako da se nadzor uporablja za blago, glede katerega še ni bil dosežen dogovor v okviru večstranskih nadzornih režimov. Zlasti člen 4 uredbe o blagu z dvojno rabo od izvoznikov zahteva, da zaprosijo za izvozno dovoljenje, če jih pristojni organ države članice obvesti, da je blago, ki ga izvažajo, lahko namenjeno eni od občutljivih končnih uporab iz člena 4. Take informacije so običajno v obliki posamičnega nejavnega obvestila ustreznemu izvozniku. </w:t>
      </w:r>
    </w:p>
  </w:footnote>
  <w:footnote w:id="29">
    <w:p w14:paraId="31AE74CC" w14:textId="1FFDCD97" w:rsidR="00793411" w:rsidRPr="004E3F97" w:rsidRDefault="00793411">
      <w:pPr>
        <w:pStyle w:val="FootnoteText"/>
      </w:pPr>
      <w:r w:rsidRPr="004E3F97">
        <w:rPr>
          <w:rStyle w:val="FootnoteReference"/>
        </w:rPr>
        <w:footnoteRef/>
      </w:r>
      <w:r w:rsidRPr="004E3F97">
        <w:tab/>
        <w:t xml:space="preserve">Nekatere države članice nimajo pravne podlage za sprejetje nacionalnega nadzora v skladu s členom 9. Poleg tega nekaterim državam članicam njihova nacionalna zakonodaja ne dovoljuje sprejemanja javnega in preglednega nadzora v skladu s členom 10. Namesto tega morajo uporabljati posamična nejavna obvestila izvoznikom. </w:t>
      </w:r>
    </w:p>
  </w:footnote>
  <w:footnote w:id="30">
    <w:p w14:paraId="060602B1" w14:textId="7583E643" w:rsidR="000A37D7" w:rsidRPr="004E3F97" w:rsidRDefault="000A37D7" w:rsidP="000A37D7">
      <w:pPr>
        <w:pStyle w:val="FootnoteText"/>
      </w:pPr>
      <w:r w:rsidRPr="004E3F97">
        <w:rPr>
          <w:rStyle w:val="FootnoteReference"/>
        </w:rPr>
        <w:footnoteRef/>
      </w:r>
      <w:r w:rsidRPr="004E3F97">
        <w:tab/>
        <w:t>Za več podrobnosti o členih 5, 9 in 10 uredbe o blagu z dvojno rabo glej opombo 15 zgoraj.</w:t>
      </w:r>
    </w:p>
  </w:footnote>
  <w:footnote w:id="31">
    <w:p w14:paraId="2FA1EE4F" w14:textId="77777777" w:rsidR="000A37D7" w:rsidRPr="004E3F97" w:rsidRDefault="000A37D7" w:rsidP="000A37D7">
      <w:pPr>
        <w:pStyle w:val="FootnoteText"/>
      </w:pPr>
      <w:r w:rsidRPr="004E3F97">
        <w:rPr>
          <w:rStyle w:val="FootnoteReference"/>
        </w:rPr>
        <w:footnoteRef/>
      </w:r>
      <w:r w:rsidRPr="004E3F97">
        <w:tab/>
        <w:t>Ciper, Estonija, Latvija, Litva, Malta, Romunija, Slovenija in Slovaška trenutno niso pogodbenice režima kontrole raketne tehnologije, Ciper pa ni pogodbenica Wassenaarske ureditve.</w:t>
      </w:r>
    </w:p>
  </w:footnote>
  <w:footnote w:id="32">
    <w:p w14:paraId="771B5585" w14:textId="3C7236FD" w:rsidR="00A960CA" w:rsidRPr="004E3F97" w:rsidRDefault="00A960CA" w:rsidP="00A960CA">
      <w:pPr>
        <w:pStyle w:val="FootnoteText"/>
      </w:pPr>
      <w:r w:rsidRPr="004E3F97">
        <w:rPr>
          <w:rStyle w:val="FootnoteReference"/>
        </w:rPr>
        <w:footnoteRef/>
      </w:r>
      <w:r w:rsidRPr="004E3F97">
        <w:tab/>
        <w:t xml:space="preserve">Dopolnjevale so ukrepe, ki jih je EU že julija 2014 uvedla za izvoz nekaterega blaga in tehnologije z dvojno rabo. </w:t>
      </w:r>
    </w:p>
  </w:footnote>
  <w:footnote w:id="33">
    <w:p w14:paraId="4FD74BB8" w14:textId="77777777" w:rsidR="00D35261" w:rsidRPr="004E3F97" w:rsidRDefault="00D35261" w:rsidP="00D35261">
      <w:pPr>
        <w:pStyle w:val="FootnoteText"/>
      </w:pPr>
      <w:r w:rsidRPr="004E3F97">
        <w:rPr>
          <w:rStyle w:val="FootnoteReference"/>
        </w:rPr>
        <w:footnoteRef/>
      </w:r>
      <w:r w:rsidRPr="004E3F97">
        <w:tab/>
        <w:t>Sistem CRMS2 deluje kot enotna referenčna točka za države članice pri dostopu do informacij, pomembnih za obvladovanje tveganja v zvezi z izvajanjem sankcij in grožnjami izogibanja.</w:t>
      </w:r>
    </w:p>
  </w:footnote>
  <w:footnote w:id="34">
    <w:p w14:paraId="72216760" w14:textId="39B43FBC" w:rsidR="007F366F" w:rsidRPr="004E3F97" w:rsidRDefault="007F366F">
      <w:pPr>
        <w:pStyle w:val="FootnoteText"/>
      </w:pPr>
      <w:r w:rsidRPr="004E3F97">
        <w:rPr>
          <w:rStyle w:val="FootnoteReference"/>
        </w:rPr>
        <w:footnoteRef/>
      </w:r>
      <w:r w:rsidRPr="004E3F97">
        <w:tab/>
        <w:t>V okviru sistema DUeS (elektronski sistem iz člena 23(6) uredbe o blagu z dvojno rabo) so si države članice EU izmenjevale informacije v zvezi s sankcijami, ki se nanašajo ne le na zavrnitve (kot je v skladu z uredbo o blagu z dvojno rabo), temveč tudi v zvezi z dovoljenji, izdanimi za določen omejen izvoz v Rusijo. V dodatno podporo temu prihaja sprejetje carinske reforme, ki jo je Komisija predlagala maja 2023, vključno z novim carinskim organom in podatkovnim vozliščem, ki bosta pripomogla k boljšemu pristopu EU k obvladovanju tveganja.</w:t>
      </w:r>
    </w:p>
  </w:footnote>
  <w:footnote w:id="35">
    <w:p w14:paraId="30FC2506" w14:textId="1048540C" w:rsidR="008F7AD6" w:rsidRPr="004E3F97" w:rsidRDefault="008F7AD6" w:rsidP="008F7AD6">
      <w:pPr>
        <w:pStyle w:val="FootnoteText"/>
      </w:pPr>
      <w:r w:rsidRPr="004E3F97">
        <w:rPr>
          <w:rStyle w:val="FootnoteReference"/>
        </w:rPr>
        <w:footnoteRef/>
      </w:r>
      <w:r w:rsidRPr="004E3F97">
        <w:tab/>
        <w:t xml:space="preserve">Na primer, del A Priloge VII k Uredbi 833/2014 (v nadaljnjem besedilu: uredba o sankcijah proti Rusiji), v katerem je navedeno blago, za katero veljajo izvozne omejitve v Rusijo, ima podobno strukturo kot Priloga I k uredbi o blagu z dvojno rabo. Poleg tega člen 2(6) uredbe o sankcijah proti Rusiji določa, da se za te izvozne omejitve smiselno uporabljajo pravila in postopki iz uredbe o blagu z dvojno rabo.   </w:t>
      </w:r>
    </w:p>
  </w:footnote>
  <w:footnote w:id="36">
    <w:p w14:paraId="4D23FB3A" w14:textId="77777777" w:rsidR="000A37D7" w:rsidRPr="004E3F97" w:rsidRDefault="000A37D7" w:rsidP="000A37D7">
      <w:pPr>
        <w:pStyle w:val="FootnoteText"/>
      </w:pPr>
      <w:r w:rsidRPr="004E3F97">
        <w:rPr>
          <w:rStyle w:val="FootnoteReference"/>
        </w:rPr>
        <w:footnoteRef/>
      </w:r>
      <w:r w:rsidRPr="004E3F97">
        <w:tab/>
        <w:t>Skupno sporočilo Evropskemu parlamentu, Evropskemu svetu in Svetu EU o „evropski strategiji za gospodarsko varnost“, JOIN(2023) 20 final.</w:t>
      </w:r>
    </w:p>
  </w:footnote>
  <w:footnote w:id="37">
    <w:p w14:paraId="6AC8535E" w14:textId="77777777" w:rsidR="00965E21" w:rsidRPr="004E3F97" w:rsidRDefault="00965E21" w:rsidP="00965E21">
      <w:pPr>
        <w:pStyle w:val="FootnoteText"/>
      </w:pPr>
      <w:r w:rsidRPr="004E3F97">
        <w:rPr>
          <w:rStyle w:val="FootnoteReference"/>
        </w:rPr>
        <w:footnoteRef/>
      </w:r>
      <w:r w:rsidRPr="004E3F97">
        <w:tab/>
        <w:t xml:space="preserve">V nasprotju z nacionalnim nadzorom, ki ga izvajajo države članice, pri uporabi člena 3 uredbe o blagu z dvojno rabo vse države članice enotno in sočasno nadzorujejo blago, vključeno v Prilogo I k uredbi o blagu z dvojno rabo. </w:t>
      </w:r>
    </w:p>
  </w:footnote>
  <w:footnote w:id="38">
    <w:p w14:paraId="6C243AAD" w14:textId="6C487699" w:rsidR="003F776A" w:rsidRPr="004E3F97" w:rsidRDefault="003F776A">
      <w:pPr>
        <w:pStyle w:val="FootnoteText"/>
      </w:pPr>
      <w:r w:rsidRPr="004E3F97">
        <w:rPr>
          <w:rStyle w:val="FootnoteReference"/>
        </w:rPr>
        <w:footnoteRef/>
      </w:r>
      <w:r w:rsidRPr="004E3F97">
        <w:tab/>
        <w:t xml:space="preserve">Interes Unije bi upošteval vse razpoložljive informacije in bi vključeval oceno različnih zadevnih interesov kot celote. To bi vključevalo interese </w:t>
      </w:r>
      <w:bookmarkStart w:id="26" w:name="_Hlk155950565"/>
      <w:r w:rsidRPr="004E3F97">
        <w:t>gospodarskih</w:t>
      </w:r>
      <w:bookmarkEnd w:id="26"/>
      <w:r w:rsidRPr="004E3F97">
        <w:t xml:space="preserve"> subjektov Unije, kot so panoge višje in nižje v prodajni verigi, ter projekte ali programe v interesu Unije v smislu Uredbe (EU) 2019/452. </w:t>
      </w:r>
    </w:p>
  </w:footnote>
  <w:footnote w:id="39">
    <w:p w14:paraId="7869B410" w14:textId="77777777" w:rsidR="000A37D7" w:rsidRPr="004E3F97" w:rsidRDefault="000A37D7" w:rsidP="000A37D7">
      <w:pPr>
        <w:pStyle w:val="FootnoteText"/>
      </w:pPr>
      <w:r w:rsidRPr="004E3F97">
        <w:rPr>
          <w:rStyle w:val="FootnoteReference"/>
        </w:rPr>
        <w:footnoteRef/>
      </w:r>
      <w:r w:rsidRPr="004E3F97">
        <w:tab/>
        <w:t>Priporočilo Komisije z dne 3. oktobra 2023 o tehnoloških področjih, kritičnih za gospodarsko varnost EU, v zvezi s katerimi se z državami članicami opravi nadaljnja ocena tveganja (C(2023) 6689 final).</w:t>
      </w:r>
    </w:p>
  </w:footnote>
  <w:footnote w:id="40">
    <w:p w14:paraId="0A2DBB68" w14:textId="77777777" w:rsidR="000A37D7" w:rsidRPr="00D33CF3" w:rsidRDefault="000A37D7" w:rsidP="000A37D7">
      <w:pPr>
        <w:pStyle w:val="FootnoteText"/>
      </w:pPr>
      <w:r w:rsidRPr="004E3F97">
        <w:rPr>
          <w:rStyle w:val="FootnoteReference"/>
        </w:rPr>
        <w:footnoteRef/>
      </w:r>
      <w:r w:rsidRPr="004E3F97">
        <w:tab/>
        <w:t xml:space="preserve">To je v skladu s prizadevanji držav članic za boljši nadzor nad izvozom tehnologij. Glej na primer izjave francoske državne sekretarke za evropske zadeve Laurence Boone na inštitutu Peterson 28. marca 2023 o tem, da mora EU dopolniti svojo doktrino o tem, katere tehnologije je pripravljena izvažati in kam, na voljo na </w:t>
      </w:r>
      <w:hyperlink r:id="rId9" w:history="1">
        <w:r w:rsidRPr="004E3F97">
          <w:rPr>
            <w:rStyle w:val="Hyperlink"/>
          </w:rPr>
          <w:t>https://www.piie.com/events/european-approach-economic-statecraft</w:t>
        </w:r>
      </w:hyperlink>
      <w:r w:rsidRPr="004E3F9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8F83" w14:textId="77777777" w:rsidR="008F3EB4" w:rsidRPr="008F3EB4" w:rsidRDefault="008F3EB4" w:rsidP="008F3EB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B58E" w14:textId="77777777" w:rsidR="008F3EB4" w:rsidRPr="008F3EB4" w:rsidRDefault="008F3EB4" w:rsidP="008F3EB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721D" w14:textId="77777777" w:rsidR="008F3EB4" w:rsidRPr="008F3EB4" w:rsidRDefault="008F3EB4" w:rsidP="008F3EB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ACFC" w14:textId="77777777" w:rsidR="00EA4F23" w:rsidRDefault="00EA4F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D6DC" w14:textId="77777777" w:rsidR="00EA4F23" w:rsidRDefault="00EA4F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F8D2" w14:textId="77777777" w:rsidR="00EA4F23" w:rsidRDefault="00EA4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30AD4E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240A0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97193"/>
    <w:multiLevelType w:val="multilevel"/>
    <w:tmpl w:val="98F4424E"/>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233FD0"/>
    <w:multiLevelType w:val="hybridMultilevel"/>
    <w:tmpl w:val="A5E6D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8DFDF8"/>
    <w:multiLevelType w:val="multilevel"/>
    <w:tmpl w:val="DC42695A"/>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2D293CE3"/>
    <w:multiLevelType w:val="multilevel"/>
    <w:tmpl w:val="DC28668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2D293CF4"/>
    <w:multiLevelType w:val="multilevel"/>
    <w:tmpl w:val="3342DFE6"/>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3A7730C4"/>
    <w:multiLevelType w:val="multilevel"/>
    <w:tmpl w:val="39A496D6"/>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4E1A982C"/>
    <w:multiLevelType w:val="multilevel"/>
    <w:tmpl w:val="FBDA6FD4"/>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3442F81"/>
    <w:multiLevelType w:val="hybridMultilevel"/>
    <w:tmpl w:val="F4981F9A"/>
    <w:lvl w:ilvl="0" w:tplc="09C04C72">
      <w:start w:val="1"/>
      <w:numFmt w:val="decimal"/>
      <w:lvlText w:val="1.%1"/>
      <w:lvlJc w:val="left"/>
      <w:pPr>
        <w:ind w:left="71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5517EA2"/>
    <w:multiLevelType w:val="hybridMultilevel"/>
    <w:tmpl w:val="AD24E968"/>
    <w:lvl w:ilvl="0" w:tplc="9B00E5A8">
      <w:start w:val="1"/>
      <w:numFmt w:val="decimal"/>
      <w:lvlText w:val="1.1.%1"/>
      <w:lvlJc w:val="left"/>
      <w:pPr>
        <w:ind w:left="71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7210AD2"/>
    <w:multiLevelType w:val="hybridMultilevel"/>
    <w:tmpl w:val="D42E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5145E"/>
    <w:multiLevelType w:val="multilevel"/>
    <w:tmpl w:val="BA248092"/>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4123"/>
        </w:tabs>
        <w:ind w:left="4123"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3" w15:restartNumberingAfterBreak="0">
    <w:nsid w:val="7D724A9C"/>
    <w:multiLevelType w:val="hybridMultilevel"/>
    <w:tmpl w:val="F6106702"/>
    <w:lvl w:ilvl="0" w:tplc="3BC2EC42">
      <w:start w:val="1"/>
      <w:numFmt w:val="bullet"/>
      <w:lvlText w:val=""/>
      <w:lvlJc w:val="left"/>
      <w:pPr>
        <w:ind w:left="720" w:hanging="360"/>
      </w:pPr>
      <w:rPr>
        <w:rFonts w:ascii="Symbol" w:hAnsi="Symbol"/>
      </w:rPr>
    </w:lvl>
    <w:lvl w:ilvl="1" w:tplc="2C588196">
      <w:start w:val="1"/>
      <w:numFmt w:val="bullet"/>
      <w:lvlText w:val=""/>
      <w:lvlJc w:val="left"/>
      <w:pPr>
        <w:ind w:left="720" w:hanging="360"/>
      </w:pPr>
      <w:rPr>
        <w:rFonts w:ascii="Symbol" w:hAnsi="Symbol"/>
      </w:rPr>
    </w:lvl>
    <w:lvl w:ilvl="2" w:tplc="C45A5740">
      <w:start w:val="1"/>
      <w:numFmt w:val="bullet"/>
      <w:lvlText w:val=""/>
      <w:lvlJc w:val="left"/>
      <w:pPr>
        <w:ind w:left="720" w:hanging="360"/>
      </w:pPr>
      <w:rPr>
        <w:rFonts w:ascii="Symbol" w:hAnsi="Symbol"/>
      </w:rPr>
    </w:lvl>
    <w:lvl w:ilvl="3" w:tplc="B1C2077E">
      <w:start w:val="1"/>
      <w:numFmt w:val="bullet"/>
      <w:lvlText w:val=""/>
      <w:lvlJc w:val="left"/>
      <w:pPr>
        <w:ind w:left="720" w:hanging="360"/>
      </w:pPr>
      <w:rPr>
        <w:rFonts w:ascii="Symbol" w:hAnsi="Symbol"/>
      </w:rPr>
    </w:lvl>
    <w:lvl w:ilvl="4" w:tplc="DA5C74CC">
      <w:start w:val="1"/>
      <w:numFmt w:val="bullet"/>
      <w:lvlText w:val=""/>
      <w:lvlJc w:val="left"/>
      <w:pPr>
        <w:ind w:left="720" w:hanging="360"/>
      </w:pPr>
      <w:rPr>
        <w:rFonts w:ascii="Symbol" w:hAnsi="Symbol"/>
      </w:rPr>
    </w:lvl>
    <w:lvl w:ilvl="5" w:tplc="3588F892">
      <w:start w:val="1"/>
      <w:numFmt w:val="bullet"/>
      <w:lvlText w:val=""/>
      <w:lvlJc w:val="left"/>
      <w:pPr>
        <w:ind w:left="720" w:hanging="360"/>
      </w:pPr>
      <w:rPr>
        <w:rFonts w:ascii="Symbol" w:hAnsi="Symbol"/>
      </w:rPr>
    </w:lvl>
    <w:lvl w:ilvl="6" w:tplc="C2DAA2A8">
      <w:start w:val="1"/>
      <w:numFmt w:val="bullet"/>
      <w:lvlText w:val=""/>
      <w:lvlJc w:val="left"/>
      <w:pPr>
        <w:ind w:left="720" w:hanging="360"/>
      </w:pPr>
      <w:rPr>
        <w:rFonts w:ascii="Symbol" w:hAnsi="Symbol"/>
      </w:rPr>
    </w:lvl>
    <w:lvl w:ilvl="7" w:tplc="7F729ED6">
      <w:start w:val="1"/>
      <w:numFmt w:val="bullet"/>
      <w:lvlText w:val=""/>
      <w:lvlJc w:val="left"/>
      <w:pPr>
        <w:ind w:left="720" w:hanging="360"/>
      </w:pPr>
      <w:rPr>
        <w:rFonts w:ascii="Symbol" w:hAnsi="Symbol"/>
      </w:rPr>
    </w:lvl>
    <w:lvl w:ilvl="8" w:tplc="DFE63384">
      <w:start w:val="1"/>
      <w:numFmt w:val="bullet"/>
      <w:lvlText w:val=""/>
      <w:lvlJc w:val="left"/>
      <w:pPr>
        <w:ind w:left="720" w:hanging="360"/>
      </w:pPr>
      <w:rPr>
        <w:rFonts w:ascii="Symbol" w:hAnsi="Symbol"/>
      </w:rPr>
    </w:lvl>
  </w:abstractNum>
  <w:num w:numId="1">
    <w:abstractNumId w:val="2"/>
  </w:num>
  <w:num w:numId="2">
    <w:abstractNumId w:val="9"/>
  </w:num>
  <w:num w:numId="3">
    <w:abstractNumId w:val="9"/>
    <w:lvlOverride w:ilvl="0">
      <w:startOverride w:val="1"/>
    </w:lvlOverride>
  </w:num>
  <w:num w:numId="4">
    <w:abstractNumId w:val="10"/>
  </w:num>
  <w:num w:numId="5">
    <w:abstractNumId w:val="2"/>
    <w:lvlOverride w:ilvl="0">
      <w:startOverride w:val="1"/>
    </w:lvlOverride>
  </w:num>
  <w:num w:numId="6">
    <w:abstractNumId w:val="5"/>
  </w:num>
  <w:num w:numId="7">
    <w:abstractNumId w:val="5"/>
  </w:num>
  <w:num w:numId="8">
    <w:abstractNumId w:val="5"/>
  </w:num>
  <w:num w:numId="9">
    <w:abstractNumId w:val="6"/>
  </w:num>
  <w:num w:numId="10">
    <w:abstractNumId w:val="6"/>
  </w:num>
  <w:num w:numId="11">
    <w:abstractNumId w:val="6"/>
  </w:num>
  <w:num w:numId="12">
    <w:abstractNumId w:val="12"/>
  </w:num>
  <w:num w:numId="13">
    <w:abstractNumId w:val="12"/>
  </w:num>
  <w:num w:numId="14">
    <w:abstractNumId w:val="12"/>
  </w:num>
  <w:num w:numId="15">
    <w:abstractNumId w:val="12"/>
  </w:num>
  <w:num w:numId="16">
    <w:abstractNumId w:val="5"/>
  </w:num>
  <w:num w:numId="17">
    <w:abstractNumId w:val="1"/>
  </w:num>
  <w:num w:numId="18">
    <w:abstractNumId w:val="8"/>
  </w:num>
  <w:num w:numId="19">
    <w:abstractNumId w:val="8"/>
  </w:num>
  <w:num w:numId="20">
    <w:abstractNumId w:val="8"/>
  </w:num>
  <w:num w:numId="21">
    <w:abstractNumId w:val="8"/>
  </w:num>
  <w:num w:numId="22">
    <w:abstractNumId w:val="7"/>
  </w:num>
  <w:num w:numId="23">
    <w:abstractNumId w:val="7"/>
  </w:num>
  <w:num w:numId="24">
    <w:abstractNumId w:val="7"/>
  </w:num>
  <w:num w:numId="25">
    <w:abstractNumId w:val="7"/>
  </w:num>
  <w:num w:numId="26">
    <w:abstractNumId w:val="0"/>
  </w:num>
  <w:num w:numId="27">
    <w:abstractNumId w:val="4"/>
  </w:num>
  <w:num w:numId="28">
    <w:abstractNumId w:val="4"/>
  </w:num>
  <w:num w:numId="29">
    <w:abstractNumId w:val="4"/>
  </w:num>
  <w:num w:numId="30">
    <w:abstractNumId w:val="4"/>
  </w:num>
  <w:num w:numId="31">
    <w:abstractNumId w:val="11"/>
  </w:num>
  <w:num w:numId="32">
    <w:abstractNumId w:val="3"/>
  </w:num>
  <w:num w:numId="33">
    <w:abstractNumId w:val="13"/>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FigNum" w:val="1"/>
    <w:docVar w:name="LW_CORRIGENDUM" w:val="&lt;UNUSED&gt;"/>
    <w:docVar w:name="LW_COVERPAGE_EXISTS" w:val="True"/>
    <w:docVar w:name="LW_COVERPAGE_GUID" w:val="ABD55C5F-C580-45E0-8C19-792B3EBCA808"/>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Bruselj, "/>
    <w:docVar w:name="LW_EMISSION_SUFFIX" w:val=" "/>
    <w:docVar w:name="LW_ID_DOCTYPE_NONLW" w:val="CP-020"/>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4) 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nadzoru izvoza"/>
    <w:docVar w:name="LW_TYPE.DOC.CP" w:val="BELA KNJIGA"/>
    <w:docVar w:name="LwApiVersions" w:val="LW4CoDe 1.24.4.0; LW 9.0, Build 20240125"/>
  </w:docVars>
  <w:rsids>
    <w:rsidRoot w:val="009D64EE"/>
    <w:rsid w:val="000029FE"/>
    <w:rsid w:val="00016100"/>
    <w:rsid w:val="000164BC"/>
    <w:rsid w:val="0002185F"/>
    <w:rsid w:val="000259BB"/>
    <w:rsid w:val="00030C82"/>
    <w:rsid w:val="0003402F"/>
    <w:rsid w:val="0004464B"/>
    <w:rsid w:val="00087B74"/>
    <w:rsid w:val="000A0179"/>
    <w:rsid w:val="000A37D7"/>
    <w:rsid w:val="000A522B"/>
    <w:rsid w:val="000A6A01"/>
    <w:rsid w:val="000A70E3"/>
    <w:rsid w:val="000B1A23"/>
    <w:rsid w:val="000C4B6D"/>
    <w:rsid w:val="000C65F2"/>
    <w:rsid w:val="000E31E5"/>
    <w:rsid w:val="000F613A"/>
    <w:rsid w:val="000F6372"/>
    <w:rsid w:val="00104CCE"/>
    <w:rsid w:val="00104E63"/>
    <w:rsid w:val="00117473"/>
    <w:rsid w:val="00117C64"/>
    <w:rsid w:val="00122A21"/>
    <w:rsid w:val="00125466"/>
    <w:rsid w:val="00136F77"/>
    <w:rsid w:val="0013716A"/>
    <w:rsid w:val="00141111"/>
    <w:rsid w:val="00147BA6"/>
    <w:rsid w:val="001657C9"/>
    <w:rsid w:val="00184896"/>
    <w:rsid w:val="00190CA3"/>
    <w:rsid w:val="001A07F0"/>
    <w:rsid w:val="001B64D6"/>
    <w:rsid w:val="001C0658"/>
    <w:rsid w:val="001D2A73"/>
    <w:rsid w:val="001E2557"/>
    <w:rsid w:val="001E2E0A"/>
    <w:rsid w:val="001F0347"/>
    <w:rsid w:val="00201F7B"/>
    <w:rsid w:val="002030C1"/>
    <w:rsid w:val="00206628"/>
    <w:rsid w:val="002141B2"/>
    <w:rsid w:val="0021486E"/>
    <w:rsid w:val="002249AC"/>
    <w:rsid w:val="00232E33"/>
    <w:rsid w:val="00235E3A"/>
    <w:rsid w:val="0023656B"/>
    <w:rsid w:val="00254772"/>
    <w:rsid w:val="0027493D"/>
    <w:rsid w:val="00282CFA"/>
    <w:rsid w:val="00290362"/>
    <w:rsid w:val="002A1AD0"/>
    <w:rsid w:val="002A3E79"/>
    <w:rsid w:val="002A75F3"/>
    <w:rsid w:val="002B3335"/>
    <w:rsid w:val="002C2D9D"/>
    <w:rsid w:val="002C3261"/>
    <w:rsid w:val="002C47BC"/>
    <w:rsid w:val="002D3CC6"/>
    <w:rsid w:val="002D4024"/>
    <w:rsid w:val="002D6231"/>
    <w:rsid w:val="002F27ED"/>
    <w:rsid w:val="00300487"/>
    <w:rsid w:val="00300952"/>
    <w:rsid w:val="003208E8"/>
    <w:rsid w:val="003228A2"/>
    <w:rsid w:val="003267F6"/>
    <w:rsid w:val="00347BFA"/>
    <w:rsid w:val="00354CE6"/>
    <w:rsid w:val="00363361"/>
    <w:rsid w:val="00391296"/>
    <w:rsid w:val="00392DCF"/>
    <w:rsid w:val="00396327"/>
    <w:rsid w:val="003964A7"/>
    <w:rsid w:val="003B2D82"/>
    <w:rsid w:val="003B3E14"/>
    <w:rsid w:val="003C22EA"/>
    <w:rsid w:val="003C5C97"/>
    <w:rsid w:val="003C5D4E"/>
    <w:rsid w:val="003C698E"/>
    <w:rsid w:val="003F05A9"/>
    <w:rsid w:val="003F2746"/>
    <w:rsid w:val="003F776A"/>
    <w:rsid w:val="0045378C"/>
    <w:rsid w:val="004547F4"/>
    <w:rsid w:val="004564B2"/>
    <w:rsid w:val="004568AA"/>
    <w:rsid w:val="0045697D"/>
    <w:rsid w:val="00460151"/>
    <w:rsid w:val="00467D5C"/>
    <w:rsid w:val="004737CD"/>
    <w:rsid w:val="00475DD1"/>
    <w:rsid w:val="00476426"/>
    <w:rsid w:val="00491DAE"/>
    <w:rsid w:val="00493B29"/>
    <w:rsid w:val="004A48D9"/>
    <w:rsid w:val="004A491B"/>
    <w:rsid w:val="004A4C32"/>
    <w:rsid w:val="004A64C9"/>
    <w:rsid w:val="004B0AA1"/>
    <w:rsid w:val="004C143D"/>
    <w:rsid w:val="004C3CEB"/>
    <w:rsid w:val="004D49E0"/>
    <w:rsid w:val="004D5E96"/>
    <w:rsid w:val="004E3F97"/>
    <w:rsid w:val="004F41BA"/>
    <w:rsid w:val="004F4468"/>
    <w:rsid w:val="004F4EE5"/>
    <w:rsid w:val="00500785"/>
    <w:rsid w:val="00506118"/>
    <w:rsid w:val="00517372"/>
    <w:rsid w:val="0052488A"/>
    <w:rsid w:val="00524CD0"/>
    <w:rsid w:val="00525563"/>
    <w:rsid w:val="00530840"/>
    <w:rsid w:val="00547744"/>
    <w:rsid w:val="00547823"/>
    <w:rsid w:val="00561FFA"/>
    <w:rsid w:val="00563DCE"/>
    <w:rsid w:val="00571BC9"/>
    <w:rsid w:val="00572F27"/>
    <w:rsid w:val="005A1013"/>
    <w:rsid w:val="005A56D1"/>
    <w:rsid w:val="005A7385"/>
    <w:rsid w:val="005C1243"/>
    <w:rsid w:val="005D5E5F"/>
    <w:rsid w:val="005E1E47"/>
    <w:rsid w:val="005F56D9"/>
    <w:rsid w:val="00616D7E"/>
    <w:rsid w:val="0064148B"/>
    <w:rsid w:val="00643CD2"/>
    <w:rsid w:val="006463E2"/>
    <w:rsid w:val="00650E0A"/>
    <w:rsid w:val="00656E17"/>
    <w:rsid w:val="006600D5"/>
    <w:rsid w:val="006615B8"/>
    <w:rsid w:val="00662A28"/>
    <w:rsid w:val="00666A47"/>
    <w:rsid w:val="00685FC4"/>
    <w:rsid w:val="00692D50"/>
    <w:rsid w:val="00697E9B"/>
    <w:rsid w:val="006A1BA1"/>
    <w:rsid w:val="006A4BCA"/>
    <w:rsid w:val="006B5D3D"/>
    <w:rsid w:val="006B61A2"/>
    <w:rsid w:val="006D6E5F"/>
    <w:rsid w:val="006D7A66"/>
    <w:rsid w:val="006D7E22"/>
    <w:rsid w:val="006E7E5F"/>
    <w:rsid w:val="00722188"/>
    <w:rsid w:val="00725A55"/>
    <w:rsid w:val="00727AA7"/>
    <w:rsid w:val="00730742"/>
    <w:rsid w:val="007344D8"/>
    <w:rsid w:val="00734C06"/>
    <w:rsid w:val="0075451A"/>
    <w:rsid w:val="0076386E"/>
    <w:rsid w:val="0076593B"/>
    <w:rsid w:val="007704E0"/>
    <w:rsid w:val="00770E17"/>
    <w:rsid w:val="00792CAB"/>
    <w:rsid w:val="00793411"/>
    <w:rsid w:val="00793A8C"/>
    <w:rsid w:val="007C1180"/>
    <w:rsid w:val="007C1AEE"/>
    <w:rsid w:val="007E1E25"/>
    <w:rsid w:val="007E345B"/>
    <w:rsid w:val="007E5432"/>
    <w:rsid w:val="007E7488"/>
    <w:rsid w:val="007F366F"/>
    <w:rsid w:val="007F46EB"/>
    <w:rsid w:val="007F5B43"/>
    <w:rsid w:val="00804088"/>
    <w:rsid w:val="00810A4C"/>
    <w:rsid w:val="00812F4E"/>
    <w:rsid w:val="00816671"/>
    <w:rsid w:val="00821790"/>
    <w:rsid w:val="00824FA8"/>
    <w:rsid w:val="00831CD2"/>
    <w:rsid w:val="008343A7"/>
    <w:rsid w:val="00834FFE"/>
    <w:rsid w:val="00835B9F"/>
    <w:rsid w:val="00836147"/>
    <w:rsid w:val="0083715A"/>
    <w:rsid w:val="0084172F"/>
    <w:rsid w:val="00845FC7"/>
    <w:rsid w:val="00854811"/>
    <w:rsid w:val="008574A9"/>
    <w:rsid w:val="00875480"/>
    <w:rsid w:val="00882B34"/>
    <w:rsid w:val="008912BC"/>
    <w:rsid w:val="00894D14"/>
    <w:rsid w:val="008A2143"/>
    <w:rsid w:val="008A4A2F"/>
    <w:rsid w:val="008C11CB"/>
    <w:rsid w:val="008C1DA4"/>
    <w:rsid w:val="008C2E9A"/>
    <w:rsid w:val="008D1D69"/>
    <w:rsid w:val="008F3CF4"/>
    <w:rsid w:val="008F3EB4"/>
    <w:rsid w:val="008F7AD6"/>
    <w:rsid w:val="009122FC"/>
    <w:rsid w:val="00931E2C"/>
    <w:rsid w:val="0094379D"/>
    <w:rsid w:val="00963C74"/>
    <w:rsid w:val="00965E21"/>
    <w:rsid w:val="0096707A"/>
    <w:rsid w:val="00974893"/>
    <w:rsid w:val="009832B2"/>
    <w:rsid w:val="009912C6"/>
    <w:rsid w:val="00997B18"/>
    <w:rsid w:val="009A08DE"/>
    <w:rsid w:val="009A3902"/>
    <w:rsid w:val="009C26B3"/>
    <w:rsid w:val="009C3B15"/>
    <w:rsid w:val="009D2D78"/>
    <w:rsid w:val="009D64EE"/>
    <w:rsid w:val="009E2847"/>
    <w:rsid w:val="009F5112"/>
    <w:rsid w:val="00A01DE3"/>
    <w:rsid w:val="00A15046"/>
    <w:rsid w:val="00A165E6"/>
    <w:rsid w:val="00A219F7"/>
    <w:rsid w:val="00A36631"/>
    <w:rsid w:val="00A40A76"/>
    <w:rsid w:val="00A61E54"/>
    <w:rsid w:val="00A63D2E"/>
    <w:rsid w:val="00A70891"/>
    <w:rsid w:val="00A71AE8"/>
    <w:rsid w:val="00A73F8F"/>
    <w:rsid w:val="00A960CA"/>
    <w:rsid w:val="00AA1497"/>
    <w:rsid w:val="00AB03C1"/>
    <w:rsid w:val="00AC3364"/>
    <w:rsid w:val="00AC6717"/>
    <w:rsid w:val="00AE47C5"/>
    <w:rsid w:val="00AF159F"/>
    <w:rsid w:val="00B00D31"/>
    <w:rsid w:val="00B020A9"/>
    <w:rsid w:val="00B03B76"/>
    <w:rsid w:val="00B102B6"/>
    <w:rsid w:val="00B214E2"/>
    <w:rsid w:val="00B25280"/>
    <w:rsid w:val="00B25E13"/>
    <w:rsid w:val="00B3468E"/>
    <w:rsid w:val="00B41ECE"/>
    <w:rsid w:val="00B67BE0"/>
    <w:rsid w:val="00B80E6D"/>
    <w:rsid w:val="00B835B6"/>
    <w:rsid w:val="00B854C8"/>
    <w:rsid w:val="00B95895"/>
    <w:rsid w:val="00B975FF"/>
    <w:rsid w:val="00BA2F32"/>
    <w:rsid w:val="00BA5D1A"/>
    <w:rsid w:val="00BB05F2"/>
    <w:rsid w:val="00BB14BC"/>
    <w:rsid w:val="00BC0B8C"/>
    <w:rsid w:val="00BD1253"/>
    <w:rsid w:val="00BE0057"/>
    <w:rsid w:val="00BE62C6"/>
    <w:rsid w:val="00BE6F7F"/>
    <w:rsid w:val="00BF120F"/>
    <w:rsid w:val="00BF6D51"/>
    <w:rsid w:val="00C010DE"/>
    <w:rsid w:val="00C016F1"/>
    <w:rsid w:val="00C15B2F"/>
    <w:rsid w:val="00C17AF6"/>
    <w:rsid w:val="00C354D1"/>
    <w:rsid w:val="00C3767D"/>
    <w:rsid w:val="00C45092"/>
    <w:rsid w:val="00C51EFB"/>
    <w:rsid w:val="00C56C20"/>
    <w:rsid w:val="00C63856"/>
    <w:rsid w:val="00C74194"/>
    <w:rsid w:val="00C77BC6"/>
    <w:rsid w:val="00C835EF"/>
    <w:rsid w:val="00C8397A"/>
    <w:rsid w:val="00C91C15"/>
    <w:rsid w:val="00CB01B3"/>
    <w:rsid w:val="00CB5684"/>
    <w:rsid w:val="00CC4D29"/>
    <w:rsid w:val="00CC67D1"/>
    <w:rsid w:val="00CF0244"/>
    <w:rsid w:val="00CF03C0"/>
    <w:rsid w:val="00CF1E03"/>
    <w:rsid w:val="00CF4594"/>
    <w:rsid w:val="00D04ADC"/>
    <w:rsid w:val="00D15553"/>
    <w:rsid w:val="00D251EF"/>
    <w:rsid w:val="00D25A5C"/>
    <w:rsid w:val="00D27407"/>
    <w:rsid w:val="00D35261"/>
    <w:rsid w:val="00D3618B"/>
    <w:rsid w:val="00D61638"/>
    <w:rsid w:val="00D631AA"/>
    <w:rsid w:val="00D63E92"/>
    <w:rsid w:val="00D731EB"/>
    <w:rsid w:val="00D812EE"/>
    <w:rsid w:val="00D944B3"/>
    <w:rsid w:val="00DA091D"/>
    <w:rsid w:val="00DA2783"/>
    <w:rsid w:val="00DA3E75"/>
    <w:rsid w:val="00DB42EC"/>
    <w:rsid w:val="00DB751B"/>
    <w:rsid w:val="00DC03F5"/>
    <w:rsid w:val="00DC3649"/>
    <w:rsid w:val="00DD619E"/>
    <w:rsid w:val="00DE00E2"/>
    <w:rsid w:val="00DF2DFD"/>
    <w:rsid w:val="00DF7BF1"/>
    <w:rsid w:val="00E0178C"/>
    <w:rsid w:val="00E069B5"/>
    <w:rsid w:val="00E145DD"/>
    <w:rsid w:val="00E24EA8"/>
    <w:rsid w:val="00E309EA"/>
    <w:rsid w:val="00E44630"/>
    <w:rsid w:val="00E452DF"/>
    <w:rsid w:val="00E5100B"/>
    <w:rsid w:val="00E51AA8"/>
    <w:rsid w:val="00E5493B"/>
    <w:rsid w:val="00E55F2F"/>
    <w:rsid w:val="00E61246"/>
    <w:rsid w:val="00E714F3"/>
    <w:rsid w:val="00E72B26"/>
    <w:rsid w:val="00E80B46"/>
    <w:rsid w:val="00E84CBF"/>
    <w:rsid w:val="00E93151"/>
    <w:rsid w:val="00E969B6"/>
    <w:rsid w:val="00EA09BE"/>
    <w:rsid w:val="00EA2924"/>
    <w:rsid w:val="00EA499E"/>
    <w:rsid w:val="00EA4F23"/>
    <w:rsid w:val="00EB1556"/>
    <w:rsid w:val="00EB3C6C"/>
    <w:rsid w:val="00EC53E8"/>
    <w:rsid w:val="00EC766C"/>
    <w:rsid w:val="00ED026E"/>
    <w:rsid w:val="00EE06BD"/>
    <w:rsid w:val="00EE4810"/>
    <w:rsid w:val="00EE51D6"/>
    <w:rsid w:val="00EF1034"/>
    <w:rsid w:val="00EF7A85"/>
    <w:rsid w:val="00F02F9F"/>
    <w:rsid w:val="00F032EB"/>
    <w:rsid w:val="00F069FB"/>
    <w:rsid w:val="00F15523"/>
    <w:rsid w:val="00F157B1"/>
    <w:rsid w:val="00F20549"/>
    <w:rsid w:val="00F33A80"/>
    <w:rsid w:val="00F41C5B"/>
    <w:rsid w:val="00F42CF2"/>
    <w:rsid w:val="00F46EA3"/>
    <w:rsid w:val="00F508BF"/>
    <w:rsid w:val="00F51EA6"/>
    <w:rsid w:val="00F54898"/>
    <w:rsid w:val="00F54BD7"/>
    <w:rsid w:val="00F664F5"/>
    <w:rsid w:val="00F6728A"/>
    <w:rsid w:val="00F67B6A"/>
    <w:rsid w:val="00F70E92"/>
    <w:rsid w:val="00F732DF"/>
    <w:rsid w:val="00F768B7"/>
    <w:rsid w:val="00F82D04"/>
    <w:rsid w:val="00F90993"/>
    <w:rsid w:val="00FA0E7A"/>
    <w:rsid w:val="00FC4524"/>
    <w:rsid w:val="00FD56C8"/>
    <w:rsid w:val="00FE067C"/>
    <w:rsid w:val="00FE1274"/>
    <w:rsid w:val="00FE1E61"/>
    <w:rsid w:val="00FF1EAF"/>
    <w:rsid w:val="00FF6269"/>
    <w:rsid w:val="00FF784A"/>
    <w:rsid w:val="00FF79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48E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9A"/>
    <w:pPr>
      <w:jc w:val="both"/>
    </w:pPr>
    <w:rPr>
      <w:rFonts w:ascii="Times New Roman" w:hAnsi="Times New Roman"/>
      <w:sz w:val="24"/>
    </w:rPr>
  </w:style>
  <w:style w:type="paragraph" w:styleId="Heading1">
    <w:name w:val="heading 1"/>
    <w:basedOn w:val="Normal"/>
    <w:next w:val="Normal"/>
    <w:link w:val="Heading1Char"/>
    <w:uiPriority w:val="90"/>
    <w:qFormat/>
    <w:rsid w:val="00A61E54"/>
    <w:pPr>
      <w:keepNext/>
      <w:numPr>
        <w:numId w:val="15"/>
      </w:numPr>
      <w:spacing w:before="240" w:after="240" w:line="240" w:lineRule="auto"/>
      <w:outlineLvl w:val="0"/>
    </w:pPr>
    <w:rPr>
      <w:rFonts w:eastAsia="Times New Roman" w:cs="Times New Roman"/>
      <w:b/>
      <w:smallCaps/>
      <w:szCs w:val="20"/>
      <w:lang w:eastAsia="en-IE"/>
    </w:rPr>
  </w:style>
  <w:style w:type="paragraph" w:styleId="Heading2">
    <w:name w:val="heading 2"/>
    <w:basedOn w:val="Normal"/>
    <w:next w:val="Normal"/>
    <w:link w:val="Heading2Char"/>
    <w:uiPriority w:val="90"/>
    <w:qFormat/>
    <w:rsid w:val="00A61E54"/>
    <w:pPr>
      <w:keepNext/>
      <w:numPr>
        <w:ilvl w:val="1"/>
        <w:numId w:val="15"/>
      </w:numPr>
      <w:tabs>
        <w:tab w:val="clear" w:pos="4123"/>
        <w:tab w:val="num" w:pos="1202"/>
      </w:tabs>
      <w:spacing w:after="240" w:line="240" w:lineRule="auto"/>
      <w:ind w:left="1202"/>
      <w:outlineLvl w:val="1"/>
    </w:pPr>
    <w:rPr>
      <w:rFonts w:eastAsia="Times New Roman" w:cs="Times New Roman"/>
      <w:b/>
      <w:szCs w:val="20"/>
      <w:lang w:eastAsia="en-IE"/>
    </w:rPr>
  </w:style>
  <w:style w:type="paragraph" w:styleId="Heading3">
    <w:name w:val="heading 3"/>
    <w:basedOn w:val="Normal"/>
    <w:next w:val="Normal"/>
    <w:link w:val="Heading3Char"/>
    <w:uiPriority w:val="90"/>
    <w:qFormat/>
    <w:rsid w:val="00A61E54"/>
    <w:pPr>
      <w:keepNext/>
      <w:numPr>
        <w:ilvl w:val="2"/>
        <w:numId w:val="15"/>
      </w:numPr>
      <w:spacing w:after="240" w:line="240" w:lineRule="auto"/>
      <w:outlineLvl w:val="2"/>
    </w:pPr>
    <w:rPr>
      <w:rFonts w:eastAsia="Times New Roman" w:cs="Times New Roman"/>
      <w:i/>
      <w:szCs w:val="20"/>
      <w:lang w:eastAsia="en-IE"/>
    </w:rPr>
  </w:style>
  <w:style w:type="paragraph" w:styleId="Heading4">
    <w:name w:val="heading 4"/>
    <w:basedOn w:val="Normal"/>
    <w:next w:val="Normal"/>
    <w:link w:val="Heading4Char"/>
    <w:uiPriority w:val="90"/>
    <w:qFormat/>
    <w:rsid w:val="00A61E54"/>
    <w:pPr>
      <w:keepNext/>
      <w:numPr>
        <w:ilvl w:val="3"/>
        <w:numId w:val="15"/>
      </w:numPr>
      <w:spacing w:after="240" w:line="240" w:lineRule="auto"/>
      <w:outlineLvl w:val="3"/>
    </w:pPr>
    <w:rPr>
      <w:rFonts w:eastAsia="Times New Roman" w:cs="Times New Roman"/>
      <w:szCs w:val="20"/>
      <w:lang w:eastAsia="en-IE"/>
    </w:rPr>
  </w:style>
  <w:style w:type="paragraph" w:styleId="Heading5">
    <w:name w:val="heading 5"/>
    <w:basedOn w:val="Normal"/>
    <w:next w:val="Normal"/>
    <w:link w:val="Heading5Char"/>
    <w:uiPriority w:val="9"/>
    <w:semiHidden/>
    <w:unhideWhenUsed/>
    <w:rsid w:val="00DA2783"/>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A2783"/>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A2783"/>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A2783"/>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783"/>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sid w:val="00E5493B"/>
    <w:rPr>
      <w:rFonts w:ascii="Times New Roman" w:eastAsia="Times New Roman" w:hAnsi="Times New Roman" w:cs="Times New Roman"/>
      <w:b/>
      <w:smallCaps/>
      <w:sz w:val="24"/>
      <w:szCs w:val="20"/>
      <w:lang w:val="sl-SI" w:eastAsia="en-IE"/>
    </w:rPr>
  </w:style>
  <w:style w:type="paragraph" w:styleId="NoSpacing">
    <w:name w:val="No Spacing"/>
    <w:uiPriority w:val="1"/>
    <w:qFormat/>
    <w:rsid w:val="00D61638"/>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0"/>
    <w:rsid w:val="00E5493B"/>
    <w:rPr>
      <w:rFonts w:ascii="Times New Roman" w:eastAsia="Times New Roman" w:hAnsi="Times New Roman" w:cs="Times New Roman"/>
      <w:b/>
      <w:sz w:val="24"/>
      <w:szCs w:val="20"/>
      <w:lang w:val="sl-SI" w:eastAsia="en-IE"/>
    </w:rPr>
  </w:style>
  <w:style w:type="character" w:customStyle="1" w:styleId="Heading3Char">
    <w:name w:val="Heading 3 Char"/>
    <w:basedOn w:val="DefaultParagraphFont"/>
    <w:link w:val="Heading3"/>
    <w:uiPriority w:val="90"/>
    <w:rsid w:val="00F70E92"/>
    <w:rPr>
      <w:rFonts w:ascii="Times New Roman" w:eastAsia="Times New Roman" w:hAnsi="Times New Roman" w:cs="Times New Roman"/>
      <w:i/>
      <w:sz w:val="24"/>
      <w:szCs w:val="20"/>
      <w:lang w:val="sl-SI" w:eastAsia="en-IE"/>
    </w:rPr>
  </w:style>
  <w:style w:type="paragraph" w:styleId="Title">
    <w:name w:val="Title"/>
    <w:basedOn w:val="Normal"/>
    <w:next w:val="Normal"/>
    <w:link w:val="TitleChar"/>
    <w:uiPriority w:val="10"/>
    <w:qFormat/>
    <w:rsid w:val="00E5493B"/>
    <w:pPr>
      <w:spacing w:after="0" w:line="240" w:lineRule="auto"/>
      <w:contextualSpacing/>
      <w:jc w:val="center"/>
    </w:pPr>
    <w:rPr>
      <w:rFonts w:eastAsiaTheme="majorEastAsia" w:cstheme="majorBidi"/>
      <w:b/>
      <w:smallCaps/>
      <w:spacing w:val="-10"/>
      <w:kern w:val="28"/>
      <w:sz w:val="32"/>
      <w:szCs w:val="56"/>
    </w:rPr>
  </w:style>
  <w:style w:type="character" w:customStyle="1" w:styleId="TitleChar">
    <w:name w:val="Title Char"/>
    <w:basedOn w:val="DefaultParagraphFont"/>
    <w:link w:val="Title"/>
    <w:uiPriority w:val="10"/>
    <w:rsid w:val="00E5493B"/>
    <w:rPr>
      <w:rFonts w:ascii="Times New Roman" w:eastAsiaTheme="majorEastAsia" w:hAnsi="Times New Roman" w:cstheme="majorBidi"/>
      <w:b/>
      <w:smallCaps/>
      <w:spacing w:val="-10"/>
      <w:kern w:val="28"/>
      <w:sz w:val="32"/>
      <w:szCs w:val="56"/>
    </w:rPr>
  </w:style>
  <w:style w:type="paragraph" w:styleId="Subtitle">
    <w:name w:val="Subtitle"/>
    <w:basedOn w:val="Normal"/>
    <w:next w:val="Normal"/>
    <w:link w:val="SubtitleChar"/>
    <w:uiPriority w:val="11"/>
    <w:qFormat/>
    <w:rsid w:val="00E5493B"/>
    <w:pPr>
      <w:numPr>
        <w:ilvl w:val="1"/>
      </w:numPr>
      <w:jc w:val="center"/>
    </w:pPr>
    <w:rPr>
      <w:rFonts w:eastAsiaTheme="minorEastAsia"/>
      <w:b/>
      <w:spacing w:val="15"/>
      <w:sz w:val="32"/>
    </w:rPr>
  </w:style>
  <w:style w:type="character" w:customStyle="1" w:styleId="SubtitleChar">
    <w:name w:val="Subtitle Char"/>
    <w:basedOn w:val="DefaultParagraphFont"/>
    <w:link w:val="Subtitle"/>
    <w:uiPriority w:val="11"/>
    <w:rsid w:val="00E5493B"/>
    <w:rPr>
      <w:rFonts w:ascii="Times New Roman" w:eastAsiaTheme="minorEastAsia" w:hAnsi="Times New Roman"/>
      <w:b/>
      <w:spacing w:val="15"/>
      <w:sz w:val="32"/>
    </w:rPr>
  </w:style>
  <w:style w:type="paragraph" w:styleId="TOCHeading">
    <w:name w:val="TOC Heading"/>
    <w:basedOn w:val="Heading1"/>
    <w:next w:val="Normal"/>
    <w:uiPriority w:val="39"/>
    <w:unhideWhenUsed/>
    <w:rsid w:val="00D04ADC"/>
    <w:pPr>
      <w:numPr>
        <w:numId w:val="0"/>
      </w:numPr>
      <w:spacing w:after="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85FC4"/>
    <w:pPr>
      <w:tabs>
        <w:tab w:val="left" w:pos="480"/>
        <w:tab w:val="right" w:leader="dot" w:pos="9016"/>
      </w:tabs>
      <w:spacing w:after="100"/>
    </w:pPr>
  </w:style>
  <w:style w:type="paragraph" w:styleId="TOC2">
    <w:name w:val="toc 2"/>
    <w:basedOn w:val="Normal"/>
    <w:next w:val="Normal"/>
    <w:autoRedefine/>
    <w:uiPriority w:val="39"/>
    <w:unhideWhenUsed/>
    <w:rsid w:val="00D04ADC"/>
    <w:pPr>
      <w:spacing w:after="100"/>
      <w:ind w:left="240"/>
    </w:pPr>
  </w:style>
  <w:style w:type="paragraph" w:styleId="TOC3">
    <w:name w:val="toc 3"/>
    <w:basedOn w:val="Normal"/>
    <w:next w:val="Normal"/>
    <w:autoRedefine/>
    <w:uiPriority w:val="39"/>
    <w:unhideWhenUsed/>
    <w:rsid w:val="00D04ADC"/>
    <w:pPr>
      <w:spacing w:after="100"/>
      <w:ind w:left="480"/>
    </w:pPr>
  </w:style>
  <w:style w:type="character" w:styleId="Hyperlink">
    <w:name w:val="Hyperlink"/>
    <w:basedOn w:val="DefaultParagraphFont"/>
    <w:uiPriority w:val="99"/>
    <w:unhideWhenUsed/>
    <w:rsid w:val="00D04ADC"/>
    <w:rPr>
      <w:color w:val="0563C1" w:themeColor="hyperlink"/>
      <w:u w:val="single"/>
    </w:rPr>
  </w:style>
  <w:style w:type="character" w:customStyle="1" w:styleId="Heading4Char">
    <w:name w:val="Heading 4 Char"/>
    <w:basedOn w:val="DefaultParagraphFont"/>
    <w:link w:val="Heading4"/>
    <w:uiPriority w:val="90"/>
    <w:rsid w:val="00DA2783"/>
    <w:rPr>
      <w:rFonts w:ascii="Times New Roman" w:eastAsia="Times New Roman" w:hAnsi="Times New Roman" w:cs="Times New Roman"/>
      <w:sz w:val="24"/>
      <w:szCs w:val="20"/>
      <w:lang w:val="sl-SI" w:eastAsia="en-IE"/>
    </w:rPr>
  </w:style>
  <w:style w:type="character" w:customStyle="1" w:styleId="Heading5Char">
    <w:name w:val="Heading 5 Char"/>
    <w:basedOn w:val="DefaultParagraphFont"/>
    <w:link w:val="Heading5"/>
    <w:uiPriority w:val="9"/>
    <w:semiHidden/>
    <w:rsid w:val="00DA2783"/>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DA2783"/>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DA2783"/>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DA27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78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rsid w:val="00A61E54"/>
    <w:pPr>
      <w:tabs>
        <w:tab w:val="center" w:pos="4150"/>
        <w:tab w:val="right" w:pos="8306"/>
      </w:tabs>
      <w:spacing w:after="0" w:line="240" w:lineRule="auto"/>
    </w:pPr>
    <w:rPr>
      <w:rFonts w:eastAsia="Times New Roman" w:cs="Times New Roman"/>
      <w:szCs w:val="20"/>
      <w:lang w:eastAsia="en-IE"/>
    </w:rPr>
  </w:style>
  <w:style w:type="character" w:customStyle="1" w:styleId="HeaderChar">
    <w:name w:val="Header Char"/>
    <w:basedOn w:val="DefaultParagraphFont"/>
    <w:link w:val="Header"/>
    <w:rsid w:val="00A61E54"/>
    <w:rPr>
      <w:rFonts w:ascii="Times New Roman" w:eastAsia="Times New Roman" w:hAnsi="Times New Roman" w:cs="Times New Roman"/>
      <w:sz w:val="24"/>
      <w:szCs w:val="20"/>
      <w:lang w:val="sl-SI" w:eastAsia="en-IE"/>
    </w:rPr>
  </w:style>
  <w:style w:type="paragraph" w:styleId="Footer">
    <w:name w:val="footer"/>
    <w:basedOn w:val="Normal"/>
    <w:link w:val="FooterChar"/>
    <w:rsid w:val="00A61E54"/>
    <w:pPr>
      <w:spacing w:after="0" w:line="240" w:lineRule="auto"/>
      <w:ind w:right="-567"/>
    </w:pPr>
    <w:rPr>
      <w:rFonts w:eastAsia="Times New Roman" w:cs="Times New Roman"/>
      <w:sz w:val="16"/>
      <w:szCs w:val="20"/>
      <w:lang w:eastAsia="en-IE"/>
    </w:rPr>
  </w:style>
  <w:style w:type="character" w:customStyle="1" w:styleId="FooterChar">
    <w:name w:val="Footer Char"/>
    <w:basedOn w:val="DefaultParagraphFont"/>
    <w:link w:val="Footer"/>
    <w:rsid w:val="008F3CF4"/>
    <w:rPr>
      <w:rFonts w:ascii="Times New Roman" w:eastAsia="Times New Roman" w:hAnsi="Times New Roman" w:cs="Times New Roman"/>
      <w:sz w:val="16"/>
      <w:szCs w:val="20"/>
      <w:lang w:val="sl-SI" w:eastAsia="en-IE"/>
    </w:rPr>
  </w:style>
  <w:style w:type="paragraph" w:customStyle="1" w:styleId="LegalNumPar">
    <w:name w:val="LegalNumPar"/>
    <w:basedOn w:val="Normal"/>
    <w:uiPriority w:val="90"/>
    <w:qFormat/>
    <w:rsid w:val="00A61E54"/>
    <w:pPr>
      <w:numPr>
        <w:numId w:val="16"/>
      </w:numPr>
      <w:spacing w:after="240" w:line="360" w:lineRule="auto"/>
    </w:pPr>
    <w:rPr>
      <w:rFonts w:eastAsia="Times New Roman" w:cs="Times New Roman"/>
      <w:szCs w:val="20"/>
      <w:lang w:eastAsia="en-IE"/>
    </w:rPr>
  </w:style>
  <w:style w:type="paragraph" w:customStyle="1" w:styleId="LegalNumPar2">
    <w:name w:val="LegalNumPar2"/>
    <w:basedOn w:val="Normal"/>
    <w:rsid w:val="00A61E54"/>
    <w:pPr>
      <w:numPr>
        <w:ilvl w:val="1"/>
        <w:numId w:val="16"/>
      </w:numPr>
      <w:spacing w:line="360" w:lineRule="auto"/>
    </w:pPr>
  </w:style>
  <w:style w:type="paragraph" w:customStyle="1" w:styleId="LegalNumPar3">
    <w:name w:val="LegalNumPar3"/>
    <w:basedOn w:val="Normal"/>
    <w:rsid w:val="00A61E54"/>
    <w:pPr>
      <w:numPr>
        <w:ilvl w:val="2"/>
        <w:numId w:val="16"/>
      </w:numPr>
      <w:spacing w:line="360" w:lineRule="auto"/>
    </w:pPr>
  </w:style>
  <w:style w:type="paragraph" w:customStyle="1" w:styleId="ContNum">
    <w:name w:val="ContNum"/>
    <w:basedOn w:val="Normal"/>
    <w:uiPriority w:val="90"/>
    <w:qFormat/>
    <w:rsid w:val="00A61E54"/>
    <w:pPr>
      <w:numPr>
        <w:numId w:val="11"/>
      </w:numPr>
      <w:spacing w:after="240" w:line="240" w:lineRule="auto"/>
    </w:pPr>
    <w:rPr>
      <w:rFonts w:eastAsia="Times New Roman" w:cs="Times New Roman"/>
      <w:szCs w:val="20"/>
      <w:lang w:eastAsia="en-IE"/>
    </w:rPr>
  </w:style>
  <w:style w:type="paragraph" w:customStyle="1" w:styleId="ContNumLevel2">
    <w:name w:val="ContNum (Level 2)"/>
    <w:basedOn w:val="Normal"/>
    <w:rsid w:val="00A61E54"/>
    <w:pPr>
      <w:numPr>
        <w:ilvl w:val="1"/>
        <w:numId w:val="11"/>
      </w:numPr>
      <w:spacing w:after="240" w:line="240" w:lineRule="auto"/>
    </w:pPr>
    <w:rPr>
      <w:rFonts w:eastAsia="Times New Roman" w:cs="Times New Roman"/>
      <w:szCs w:val="20"/>
      <w:lang w:eastAsia="en-IE"/>
    </w:rPr>
  </w:style>
  <w:style w:type="paragraph" w:customStyle="1" w:styleId="ContNumLevel3">
    <w:name w:val="ContNum (Level 3)"/>
    <w:basedOn w:val="Normal"/>
    <w:rsid w:val="00A61E54"/>
    <w:pPr>
      <w:numPr>
        <w:ilvl w:val="2"/>
        <w:numId w:val="11"/>
      </w:numPr>
      <w:spacing w:after="240" w:line="240" w:lineRule="auto"/>
    </w:pPr>
    <w:rPr>
      <w:rFonts w:eastAsia="Times New Roman" w:cs="Times New Roman"/>
      <w:szCs w:val="20"/>
      <w:lang w:eastAsia="en-IE"/>
    </w:rPr>
  </w:style>
  <w:style w:type="paragraph" w:customStyle="1" w:styleId="FooterLine">
    <w:name w:val="Footer Line"/>
    <w:basedOn w:val="Footer"/>
    <w:next w:val="Footer"/>
    <w:uiPriority w:val="99"/>
    <w:rsid w:val="00A61E54"/>
    <w:pPr>
      <w:tabs>
        <w:tab w:val="right" w:pos="8646"/>
      </w:tabs>
      <w:spacing w:before="120" w:line="264" w:lineRule="auto"/>
      <w:ind w:right="0"/>
    </w:pPr>
  </w:style>
  <w:style w:type="paragraph" w:styleId="FootnoteText">
    <w:name w:val="footnote text"/>
    <w:basedOn w:val="Normal"/>
    <w:link w:val="FootnoteTextChar"/>
    <w:semiHidden/>
    <w:rsid w:val="00A61E54"/>
    <w:pPr>
      <w:spacing w:after="120" w:line="240" w:lineRule="auto"/>
      <w:ind w:left="357" w:hanging="357"/>
    </w:pPr>
    <w:rPr>
      <w:rFonts w:eastAsia="Times New Roman" w:cs="Times New Roman"/>
      <w:sz w:val="20"/>
      <w:szCs w:val="20"/>
      <w:lang w:eastAsia="en-IE"/>
    </w:rPr>
  </w:style>
  <w:style w:type="character" w:customStyle="1" w:styleId="FootnoteTextChar">
    <w:name w:val="Footnote Text Char"/>
    <w:basedOn w:val="DefaultParagraphFont"/>
    <w:link w:val="FootnoteText"/>
    <w:semiHidden/>
    <w:rsid w:val="00A61E54"/>
    <w:rPr>
      <w:rFonts w:ascii="Times New Roman" w:eastAsia="Times New Roman" w:hAnsi="Times New Roman" w:cs="Times New Roman"/>
      <w:sz w:val="20"/>
      <w:szCs w:val="20"/>
      <w:lang w:val="sl-SI" w:eastAsia="en-IE"/>
    </w:rPr>
  </w:style>
  <w:style w:type="paragraph" w:styleId="ListBullet">
    <w:name w:val="List Bullet"/>
    <w:basedOn w:val="Normal"/>
    <w:rsid w:val="00A61E54"/>
    <w:pPr>
      <w:numPr>
        <w:numId w:val="21"/>
      </w:numPr>
      <w:spacing w:after="240" w:line="240" w:lineRule="auto"/>
    </w:pPr>
    <w:rPr>
      <w:rFonts w:eastAsia="Times New Roman" w:cs="Times New Roman"/>
      <w:szCs w:val="20"/>
      <w:lang w:eastAsia="en-IE"/>
    </w:rPr>
  </w:style>
  <w:style w:type="paragraph" w:customStyle="1" w:styleId="ListBulletLevel2">
    <w:name w:val="List Bullet (Level 2)"/>
    <w:basedOn w:val="Normal"/>
    <w:rsid w:val="00A61E54"/>
    <w:pPr>
      <w:numPr>
        <w:ilvl w:val="1"/>
        <w:numId w:val="21"/>
      </w:numPr>
      <w:spacing w:after="240" w:line="240" w:lineRule="auto"/>
    </w:pPr>
    <w:rPr>
      <w:rFonts w:eastAsia="Times New Roman" w:cs="Times New Roman"/>
      <w:szCs w:val="20"/>
      <w:lang w:eastAsia="en-IE"/>
    </w:rPr>
  </w:style>
  <w:style w:type="paragraph" w:customStyle="1" w:styleId="ListBulletLevel3">
    <w:name w:val="List Bullet (Level 3)"/>
    <w:basedOn w:val="Normal"/>
    <w:semiHidden/>
    <w:unhideWhenUsed/>
    <w:rsid w:val="00A61E54"/>
    <w:pPr>
      <w:numPr>
        <w:ilvl w:val="2"/>
        <w:numId w:val="21"/>
      </w:numPr>
      <w:spacing w:after="240" w:line="240" w:lineRule="auto"/>
    </w:pPr>
    <w:rPr>
      <w:rFonts w:eastAsia="Times New Roman" w:cs="Times New Roman"/>
      <w:szCs w:val="20"/>
      <w:lang w:eastAsia="en-IE"/>
    </w:rPr>
  </w:style>
  <w:style w:type="paragraph" w:customStyle="1" w:styleId="ListBulletLevel4">
    <w:name w:val="List Bullet (Level 4)"/>
    <w:basedOn w:val="Normal"/>
    <w:semiHidden/>
    <w:unhideWhenUsed/>
    <w:rsid w:val="00A61E54"/>
    <w:pPr>
      <w:numPr>
        <w:ilvl w:val="3"/>
        <w:numId w:val="21"/>
      </w:numPr>
      <w:spacing w:after="240" w:line="240" w:lineRule="auto"/>
    </w:pPr>
    <w:rPr>
      <w:rFonts w:eastAsia="Times New Roman" w:cs="Times New Roman"/>
      <w:szCs w:val="20"/>
      <w:lang w:eastAsia="en-IE"/>
    </w:rPr>
  </w:style>
  <w:style w:type="paragraph" w:customStyle="1" w:styleId="ListBullet1">
    <w:name w:val="List Bullet 1"/>
    <w:basedOn w:val="Normal"/>
    <w:rsid w:val="00A61E54"/>
    <w:pPr>
      <w:numPr>
        <w:numId w:val="25"/>
      </w:numPr>
      <w:spacing w:after="240" w:line="240" w:lineRule="auto"/>
    </w:pPr>
    <w:rPr>
      <w:rFonts w:eastAsia="Times New Roman" w:cs="Times New Roman"/>
      <w:szCs w:val="20"/>
      <w:lang w:eastAsia="en-IE"/>
    </w:rPr>
  </w:style>
  <w:style w:type="paragraph" w:customStyle="1" w:styleId="ListBullet1Level2">
    <w:name w:val="List Bullet 1 (Level 2)"/>
    <w:basedOn w:val="Normal"/>
    <w:rsid w:val="00A61E54"/>
    <w:pPr>
      <w:numPr>
        <w:ilvl w:val="1"/>
        <w:numId w:val="25"/>
      </w:numPr>
      <w:spacing w:after="240" w:line="240" w:lineRule="auto"/>
    </w:pPr>
    <w:rPr>
      <w:rFonts w:eastAsia="Times New Roman" w:cs="Times New Roman"/>
      <w:szCs w:val="20"/>
      <w:lang w:eastAsia="en-IE"/>
    </w:rPr>
  </w:style>
  <w:style w:type="paragraph" w:customStyle="1" w:styleId="ListBullet1Level3">
    <w:name w:val="List Bullet 1 (Level 3)"/>
    <w:basedOn w:val="Normal"/>
    <w:semiHidden/>
    <w:unhideWhenUsed/>
    <w:rsid w:val="00A61E54"/>
    <w:pPr>
      <w:numPr>
        <w:ilvl w:val="2"/>
        <w:numId w:val="25"/>
      </w:numPr>
      <w:spacing w:after="240" w:line="240" w:lineRule="auto"/>
    </w:pPr>
    <w:rPr>
      <w:rFonts w:eastAsia="Times New Roman" w:cs="Times New Roman"/>
      <w:szCs w:val="20"/>
      <w:lang w:eastAsia="en-IE"/>
    </w:rPr>
  </w:style>
  <w:style w:type="paragraph" w:customStyle="1" w:styleId="ListBullet1Level4">
    <w:name w:val="List Bullet 1 (Level 4)"/>
    <w:basedOn w:val="Normal"/>
    <w:semiHidden/>
    <w:unhideWhenUsed/>
    <w:rsid w:val="00A61E54"/>
    <w:pPr>
      <w:numPr>
        <w:ilvl w:val="3"/>
        <w:numId w:val="25"/>
      </w:numPr>
      <w:spacing w:after="240" w:line="240" w:lineRule="auto"/>
    </w:pPr>
    <w:rPr>
      <w:rFonts w:eastAsia="Times New Roman" w:cs="Times New Roman"/>
      <w:szCs w:val="20"/>
      <w:lang w:eastAsia="en-IE"/>
    </w:rPr>
  </w:style>
  <w:style w:type="paragraph" w:styleId="ListBullet2">
    <w:name w:val="List Bullet 2"/>
    <w:basedOn w:val="Normal"/>
    <w:rsid w:val="00A61E54"/>
    <w:pPr>
      <w:numPr>
        <w:numId w:val="30"/>
      </w:numPr>
      <w:spacing w:after="240" w:line="240" w:lineRule="auto"/>
    </w:pPr>
    <w:rPr>
      <w:rFonts w:eastAsia="Times New Roman" w:cs="Times New Roman"/>
      <w:szCs w:val="20"/>
      <w:lang w:eastAsia="en-IE"/>
    </w:rPr>
  </w:style>
  <w:style w:type="paragraph" w:customStyle="1" w:styleId="ListBullet2Level2">
    <w:name w:val="List Bullet 2 (Level 2)"/>
    <w:basedOn w:val="Normal"/>
    <w:rsid w:val="00A61E54"/>
    <w:pPr>
      <w:numPr>
        <w:ilvl w:val="1"/>
        <w:numId w:val="30"/>
      </w:numPr>
      <w:spacing w:after="240" w:line="240" w:lineRule="auto"/>
    </w:pPr>
    <w:rPr>
      <w:rFonts w:eastAsia="Times New Roman" w:cs="Times New Roman"/>
      <w:szCs w:val="20"/>
      <w:lang w:eastAsia="en-IE"/>
    </w:rPr>
  </w:style>
  <w:style w:type="paragraph" w:customStyle="1" w:styleId="ListBullet2Level3">
    <w:name w:val="List Bullet 2 (Level 3)"/>
    <w:basedOn w:val="Normal"/>
    <w:semiHidden/>
    <w:unhideWhenUsed/>
    <w:rsid w:val="00A61E54"/>
    <w:pPr>
      <w:numPr>
        <w:ilvl w:val="2"/>
        <w:numId w:val="30"/>
      </w:numPr>
      <w:spacing w:after="240" w:line="240" w:lineRule="auto"/>
    </w:pPr>
    <w:rPr>
      <w:rFonts w:eastAsia="Times New Roman" w:cs="Times New Roman"/>
      <w:szCs w:val="20"/>
      <w:lang w:eastAsia="en-IE"/>
    </w:rPr>
  </w:style>
  <w:style w:type="paragraph" w:customStyle="1" w:styleId="ListBullet2Level4">
    <w:name w:val="List Bullet 2 (Level 4)"/>
    <w:basedOn w:val="Normal"/>
    <w:semiHidden/>
    <w:unhideWhenUsed/>
    <w:rsid w:val="00A61E54"/>
    <w:pPr>
      <w:numPr>
        <w:ilvl w:val="3"/>
        <w:numId w:val="30"/>
      </w:numPr>
      <w:spacing w:after="240" w:line="240" w:lineRule="auto"/>
    </w:pPr>
    <w:rPr>
      <w:rFonts w:eastAsia="Times New Roman" w:cs="Times New Roman"/>
      <w:szCs w:val="20"/>
      <w:lang w:eastAsia="en-IE"/>
    </w:rPr>
  </w:style>
  <w:style w:type="paragraph" w:styleId="Quote">
    <w:name w:val="Quote"/>
    <w:basedOn w:val="Normal"/>
    <w:next w:val="Normal"/>
    <w:link w:val="QuoteChar"/>
    <w:uiPriority w:val="29"/>
    <w:qFormat/>
    <w:rsid w:val="00A61E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61E54"/>
    <w:rPr>
      <w:rFonts w:ascii="Times New Roman" w:hAnsi="Times New Roman"/>
      <w:i/>
      <w:iCs/>
      <w:color w:val="404040" w:themeColor="text1" w:themeTint="BF"/>
      <w:sz w:val="24"/>
    </w:rPr>
  </w:style>
  <w:style w:type="character" w:styleId="SubtleReference">
    <w:name w:val="Subtle Reference"/>
    <w:basedOn w:val="DefaultParagraphFont"/>
    <w:uiPriority w:val="31"/>
    <w:rsid w:val="00A61E54"/>
    <w:rPr>
      <w:smallCaps/>
      <w:color w:val="5A5A5A" w:themeColor="text1" w:themeTint="A5"/>
    </w:rPr>
  </w:style>
  <w:style w:type="character" w:styleId="Strong">
    <w:name w:val="Strong"/>
    <w:basedOn w:val="DefaultParagraphFont"/>
    <w:uiPriority w:val="22"/>
    <w:rsid w:val="00A61E54"/>
    <w:rPr>
      <w:b/>
      <w:bCs/>
    </w:rPr>
  </w:style>
  <w:style w:type="character" w:styleId="Emphasis">
    <w:name w:val="Emphasis"/>
    <w:basedOn w:val="DefaultParagraphFont"/>
    <w:uiPriority w:val="20"/>
    <w:rsid w:val="00A61E54"/>
    <w:rPr>
      <w:i/>
      <w:iCs/>
    </w:rPr>
  </w:style>
  <w:style w:type="character" w:styleId="SubtleEmphasis">
    <w:name w:val="Subtle Emphasis"/>
    <w:basedOn w:val="DefaultParagraphFont"/>
    <w:uiPriority w:val="19"/>
    <w:rsid w:val="00A61E54"/>
    <w:rPr>
      <w:i/>
      <w:iCs/>
      <w:color w:val="404040" w:themeColor="text1" w:themeTint="BF"/>
    </w:rPr>
  </w:style>
  <w:style w:type="paragraph" w:styleId="ListParagraph">
    <w:name w:val="List Paragraph"/>
    <w:basedOn w:val="Normal"/>
    <w:uiPriority w:val="34"/>
    <w:rsid w:val="00A61E54"/>
    <w:pPr>
      <w:ind w:left="720"/>
      <w:contextualSpacing/>
    </w:pPr>
  </w:style>
  <w:style w:type="paragraph" w:styleId="CommentText">
    <w:name w:val="annotation text"/>
    <w:basedOn w:val="Normal"/>
    <w:link w:val="CommentTextChar"/>
    <w:uiPriority w:val="99"/>
    <w:unhideWhenUsed/>
    <w:rsid w:val="000A37D7"/>
    <w:pPr>
      <w:spacing w:line="240" w:lineRule="auto"/>
    </w:pPr>
    <w:rPr>
      <w:sz w:val="20"/>
      <w:szCs w:val="20"/>
    </w:rPr>
  </w:style>
  <w:style w:type="character" w:customStyle="1" w:styleId="CommentTextChar">
    <w:name w:val="Comment Text Char"/>
    <w:basedOn w:val="DefaultParagraphFont"/>
    <w:link w:val="CommentText"/>
    <w:uiPriority w:val="99"/>
    <w:rsid w:val="000A37D7"/>
    <w:rPr>
      <w:rFonts w:ascii="Times New Roman" w:hAnsi="Times New Roman"/>
      <w:sz w:val="20"/>
      <w:szCs w:val="20"/>
      <w:lang w:val="sl-SI"/>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ftrefCharCharCharCharCharCharCharCharChar"/>
    <w:uiPriority w:val="99"/>
    <w:qFormat/>
    <w:rsid w:val="000A37D7"/>
    <w:rPr>
      <w:vertAlign w:val="superscript"/>
    </w:rPr>
  </w:style>
  <w:style w:type="paragraph" w:customStyle="1" w:styleId="FooterCoverPage">
    <w:name w:val="Footer Cover Page"/>
    <w:basedOn w:val="Normal"/>
    <w:link w:val="FooterCoverPageChar"/>
    <w:rsid w:val="000A37D7"/>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sid w:val="000A37D7"/>
    <w:rPr>
      <w:rFonts w:ascii="Times New Roman" w:hAnsi="Times New Roman"/>
      <w:sz w:val="24"/>
    </w:rPr>
  </w:style>
  <w:style w:type="paragraph" w:customStyle="1" w:styleId="HeaderCoverPage">
    <w:name w:val="Header Cover Page"/>
    <w:basedOn w:val="Normal"/>
    <w:link w:val="HeaderCoverPageChar"/>
    <w:rsid w:val="000A37D7"/>
    <w:pPr>
      <w:tabs>
        <w:tab w:val="center" w:pos="4535"/>
        <w:tab w:val="right" w:pos="9071"/>
      </w:tabs>
      <w:spacing w:after="120" w:line="240" w:lineRule="auto"/>
    </w:pPr>
  </w:style>
  <w:style w:type="character" w:customStyle="1" w:styleId="HeaderCoverPageChar">
    <w:name w:val="Header Cover Page Char"/>
    <w:link w:val="HeaderCoverPage"/>
    <w:rsid w:val="000A37D7"/>
    <w:rPr>
      <w:rFonts w:ascii="Times New Roman" w:hAnsi="Times New Roman"/>
      <w:sz w:val="24"/>
    </w:rPr>
  </w:style>
  <w:style w:type="character" w:styleId="CommentReference">
    <w:name w:val="annotation reference"/>
    <w:uiPriority w:val="99"/>
    <w:unhideWhenUsed/>
    <w:rsid w:val="000A37D7"/>
    <w:rPr>
      <w:sz w:val="16"/>
      <w:szCs w:val="16"/>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0A37D7"/>
    <w:pPr>
      <w:spacing w:before="120" w:line="240" w:lineRule="exact"/>
      <w:jc w:val="left"/>
    </w:pPr>
    <w:rPr>
      <w:rFonts w:asciiTheme="minorHAnsi" w:hAnsiTheme="minorHAnsi"/>
      <w:sz w:val="22"/>
      <w:vertAlign w:val="superscript"/>
    </w:rPr>
  </w:style>
  <w:style w:type="paragraph" w:styleId="Revision">
    <w:name w:val="Revision"/>
    <w:hidden/>
    <w:uiPriority w:val="99"/>
    <w:semiHidden/>
    <w:rsid w:val="000A37D7"/>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2030C1"/>
    <w:rPr>
      <w:b/>
      <w:bCs/>
    </w:rPr>
  </w:style>
  <w:style w:type="character" w:customStyle="1" w:styleId="CommentSubjectChar">
    <w:name w:val="Comment Subject Char"/>
    <w:basedOn w:val="CommentTextChar"/>
    <w:link w:val="CommentSubject"/>
    <w:uiPriority w:val="99"/>
    <w:semiHidden/>
    <w:rsid w:val="002030C1"/>
    <w:rPr>
      <w:rFonts w:ascii="Times New Roman" w:hAnsi="Times New Roman"/>
      <w:b/>
      <w:bCs/>
      <w:sz w:val="20"/>
      <w:szCs w:val="20"/>
      <w:lang w:val="sl-SI"/>
    </w:rPr>
  </w:style>
  <w:style w:type="character" w:customStyle="1" w:styleId="UnresolvedMention1">
    <w:name w:val="Unresolved Mention1"/>
    <w:basedOn w:val="DefaultParagraphFont"/>
    <w:uiPriority w:val="99"/>
    <w:semiHidden/>
    <w:unhideWhenUsed/>
    <w:rsid w:val="002D3CC6"/>
    <w:rPr>
      <w:color w:val="605E5C"/>
      <w:shd w:val="clear" w:color="auto" w:fill="E1DFDD"/>
    </w:rPr>
  </w:style>
  <w:style w:type="character" w:styleId="FollowedHyperlink">
    <w:name w:val="FollowedHyperlink"/>
    <w:basedOn w:val="DefaultParagraphFont"/>
    <w:uiPriority w:val="99"/>
    <w:semiHidden/>
    <w:unhideWhenUsed/>
    <w:rsid w:val="009E2847"/>
    <w:rPr>
      <w:color w:val="954F72" w:themeColor="followedHyperlink"/>
      <w:u w:val="single"/>
    </w:rPr>
  </w:style>
  <w:style w:type="character" w:customStyle="1" w:styleId="Marker">
    <w:name w:val="Marker"/>
    <w:basedOn w:val="DefaultParagraphFont"/>
    <w:rsid w:val="00EA4F23"/>
    <w:rPr>
      <w:color w:val="0000FF"/>
      <w:shd w:val="clear" w:color="auto" w:fill="auto"/>
    </w:rPr>
  </w:style>
  <w:style w:type="paragraph" w:customStyle="1" w:styleId="Pagedecouverture">
    <w:name w:val="Page de couverture"/>
    <w:basedOn w:val="Normal"/>
    <w:next w:val="Normal"/>
    <w:rsid w:val="00EA4F23"/>
    <w:pPr>
      <w:spacing w:after="0" w:line="240" w:lineRule="auto"/>
    </w:pPr>
    <w:rPr>
      <w:rFonts w:cs="Times New Roman"/>
    </w:rPr>
  </w:style>
  <w:style w:type="paragraph" w:customStyle="1" w:styleId="FooterSensitivity">
    <w:name w:val="Footer Sensitivity"/>
    <w:basedOn w:val="Normal"/>
    <w:link w:val="FooterSensitivityChar"/>
    <w:rsid w:val="00EA4F2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EA4F23"/>
    <w:rPr>
      <w:rFonts w:ascii="Times New Roman" w:hAnsi="Times New Roman"/>
      <w:b/>
      <w:sz w:val="32"/>
    </w:rPr>
  </w:style>
  <w:style w:type="paragraph" w:customStyle="1" w:styleId="HeaderSensitivity">
    <w:name w:val="Header Sensitivity"/>
    <w:basedOn w:val="Normal"/>
    <w:link w:val="HeaderSensitivityChar"/>
    <w:rsid w:val="00EA4F23"/>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EA4F23"/>
    <w:rPr>
      <w:rFonts w:ascii="Times New Roman" w:hAnsi="Times New Roman"/>
      <w:b/>
      <w:sz w:val="32"/>
    </w:rPr>
  </w:style>
  <w:style w:type="paragraph" w:customStyle="1" w:styleId="HeaderSensitivityRight">
    <w:name w:val="Header Sensitivity Right"/>
    <w:basedOn w:val="Normal"/>
    <w:link w:val="HeaderSensitivityRightChar"/>
    <w:rsid w:val="00EA4F23"/>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EA4F2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9288">
      <w:bodyDiv w:val="1"/>
      <w:marLeft w:val="0"/>
      <w:marRight w:val="0"/>
      <w:marTop w:val="0"/>
      <w:marBottom w:val="0"/>
      <w:divBdr>
        <w:top w:val="none" w:sz="0" w:space="0" w:color="auto"/>
        <w:left w:val="none" w:sz="0" w:space="0" w:color="auto"/>
        <w:bottom w:val="none" w:sz="0" w:space="0" w:color="auto"/>
        <w:right w:val="none" w:sz="0" w:space="0" w:color="auto"/>
      </w:divBdr>
    </w:div>
    <w:div w:id="603538903">
      <w:bodyDiv w:val="1"/>
      <w:marLeft w:val="0"/>
      <w:marRight w:val="0"/>
      <w:marTop w:val="0"/>
      <w:marBottom w:val="0"/>
      <w:divBdr>
        <w:top w:val="none" w:sz="0" w:space="0" w:color="auto"/>
        <w:left w:val="none" w:sz="0" w:space="0" w:color="auto"/>
        <w:bottom w:val="none" w:sz="0" w:space="0" w:color="auto"/>
        <w:right w:val="none" w:sz="0" w:space="0" w:color="auto"/>
      </w:divBdr>
    </w:div>
    <w:div w:id="621157572">
      <w:bodyDiv w:val="1"/>
      <w:marLeft w:val="0"/>
      <w:marRight w:val="0"/>
      <w:marTop w:val="0"/>
      <w:marBottom w:val="0"/>
      <w:divBdr>
        <w:top w:val="none" w:sz="0" w:space="0" w:color="auto"/>
        <w:left w:val="none" w:sz="0" w:space="0" w:color="auto"/>
        <w:bottom w:val="none" w:sz="0" w:space="0" w:color="auto"/>
        <w:right w:val="none" w:sz="0" w:space="0" w:color="auto"/>
      </w:divBdr>
    </w:div>
    <w:div w:id="890073004">
      <w:bodyDiv w:val="1"/>
      <w:marLeft w:val="0"/>
      <w:marRight w:val="0"/>
      <w:marTop w:val="0"/>
      <w:marBottom w:val="0"/>
      <w:divBdr>
        <w:top w:val="none" w:sz="0" w:space="0" w:color="auto"/>
        <w:left w:val="none" w:sz="0" w:space="0" w:color="auto"/>
        <w:bottom w:val="none" w:sz="0" w:space="0" w:color="auto"/>
        <w:right w:val="none" w:sz="0" w:space="0" w:color="auto"/>
      </w:divBdr>
    </w:div>
    <w:div w:id="926155026">
      <w:bodyDiv w:val="1"/>
      <w:marLeft w:val="0"/>
      <w:marRight w:val="0"/>
      <w:marTop w:val="0"/>
      <w:marBottom w:val="0"/>
      <w:divBdr>
        <w:top w:val="none" w:sz="0" w:space="0" w:color="auto"/>
        <w:left w:val="none" w:sz="0" w:space="0" w:color="auto"/>
        <w:bottom w:val="none" w:sz="0" w:space="0" w:color="auto"/>
        <w:right w:val="none" w:sz="0" w:space="0" w:color="auto"/>
      </w:divBdr>
      <w:divsChild>
        <w:div w:id="608895294">
          <w:marLeft w:val="0"/>
          <w:marRight w:val="0"/>
          <w:marTop w:val="0"/>
          <w:marBottom w:val="0"/>
          <w:divBdr>
            <w:top w:val="none" w:sz="0" w:space="0" w:color="auto"/>
            <w:left w:val="none" w:sz="0" w:space="0" w:color="auto"/>
            <w:bottom w:val="none" w:sz="0" w:space="0" w:color="auto"/>
            <w:right w:val="none" w:sz="0" w:space="0" w:color="auto"/>
          </w:divBdr>
          <w:divsChild>
            <w:div w:id="9467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69986">
      <w:bodyDiv w:val="1"/>
      <w:marLeft w:val="0"/>
      <w:marRight w:val="0"/>
      <w:marTop w:val="0"/>
      <w:marBottom w:val="0"/>
      <w:divBdr>
        <w:top w:val="none" w:sz="0" w:space="0" w:color="auto"/>
        <w:left w:val="none" w:sz="0" w:space="0" w:color="auto"/>
        <w:bottom w:val="none" w:sz="0" w:space="0" w:color="auto"/>
        <w:right w:val="none" w:sz="0" w:space="0" w:color="auto"/>
      </w:divBdr>
    </w:div>
    <w:div w:id="214369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valtioneuvosto.fi/hanke?tunnus=UM008:00/2019" TargetMode="External"/><Relationship Id="rId3" Type="http://schemas.openxmlformats.org/officeDocument/2006/relationships/hyperlink" Target="https://www.meti.go.jp/policy/anpo/law09-2.html" TargetMode="External"/><Relationship Id="rId7" Type="http://schemas.openxmlformats.org/officeDocument/2006/relationships/hyperlink" Target="https://e-seimas.lrs.lt/portal/legalAct/lt/TAD/0f49a4e0857011ee9ee3e4a7f62b7a26?positionInSearchResults=2&amp;searchModelUUID=e121fc54-2c6c-4133-b8f0-26af9214c826" TargetMode="External"/><Relationship Id="rId2" Type="http://schemas.openxmlformats.org/officeDocument/2006/relationships/hyperlink" Target="https://www.bis.doc.gov/index.php/documents/about-bis/newsroom/press-releases/3355-2023-10-17-bis-press-release-acs-and-sme-rules-final-js/file" TargetMode="External"/><Relationship Id="rId1" Type="http://schemas.openxmlformats.org/officeDocument/2006/relationships/hyperlink" Target="https://trade.ec.europa.eu/doclib/docs/2021/september/tradoc_159790.pdf" TargetMode="External"/><Relationship Id="rId6" Type="http://schemas.openxmlformats.org/officeDocument/2006/relationships/hyperlink" Target="https://e-seimas.lrs.lt/portal/legalAct/lt/TAD/e136d18116b211eea9b3de7dd350a34e?positionInSearchResults=6&amp;searchModelUUID=f43633e4-8d0d-4761-b5f5-adb027d53453" TargetMode="External"/><Relationship Id="rId5" Type="http://schemas.openxmlformats.org/officeDocument/2006/relationships/hyperlink" Target="https://www.boe.es/boe/dias/2023/05/31/pdfs/BOE-A-2023-12785.pdf" TargetMode="External"/><Relationship Id="rId4" Type="http://schemas.openxmlformats.org/officeDocument/2006/relationships/hyperlink" Target="https://open.overheid.nl/documenten/oep-7b25ba07017fbcc4a9d285cc013849f6516f03bd/pdf" TargetMode="External"/><Relationship Id="rId9" Type="http://schemas.openxmlformats.org/officeDocument/2006/relationships/hyperlink" Target="https://www.piie.com/events/european-approach-economic-state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A792-1081-44C3-8A07-921EF39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4966</Words>
  <Characters>28311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2024-02-07T08:25:00Z</dcterms:created>
  <dcterms:modified xsi:type="dcterms:W3CDTF">2024-02-07T21:01:00Z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2024-01-21T17:09:59Z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590cc5d4-eae4-4628-9b8f-8e05d885c38c</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CP-020</vt:lpwstr>
  </property>
</Properties>
</file>