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205D1" w14:textId="0B950037" w:rsidR="003314E2" w:rsidRPr="00142271" w:rsidRDefault="008028FF" w:rsidP="008028FF">
      <w:pPr>
        <w:pStyle w:val="Pagedecouverture"/>
        <w:rPr>
          <w:noProof/>
        </w:rPr>
      </w:pPr>
      <w:bookmarkStart w:id="0" w:name="LW_BM_COVERPAGE"/>
      <w:r>
        <w:rPr>
          <w:noProof/>
        </w:rPr>
        <w:pict w14:anchorId="702876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0722953D-BF0A-4C83-AEB4-E1F7369ADFC3" style="width:455.25pt;height:365.25pt">
            <v:imagedata r:id="rId11" o:title=""/>
          </v:shape>
        </w:pict>
      </w:r>
    </w:p>
    <w:bookmarkEnd w:id="0"/>
    <w:p w14:paraId="6AD70386" w14:textId="77777777" w:rsidR="000041A0" w:rsidRDefault="000041A0" w:rsidP="000041A0">
      <w:pPr>
        <w:rPr>
          <w:noProof/>
        </w:rPr>
        <w:sectPr w:rsidR="000041A0" w:rsidSect="008028FF">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262BFB63" w14:textId="7BB40780" w:rsidR="004656D0" w:rsidRPr="00E22450" w:rsidRDefault="00B917AE" w:rsidP="004709F3">
      <w:pPr>
        <w:spacing w:after="120" w:line="240" w:lineRule="auto"/>
        <w:rPr>
          <w:rFonts w:cs="Times New Roman"/>
          <w:noProof/>
          <w:color w:val="000000" w:themeColor="text1"/>
          <w:shd w:val="clear" w:color="auto" w:fill="FFFFFF"/>
          <w:lang w:val="pl-PL"/>
        </w:rPr>
      </w:pPr>
      <w:bookmarkStart w:id="1" w:name="_GoBack"/>
      <w:bookmarkEnd w:id="1"/>
      <w:r w:rsidRPr="00E22450">
        <w:rPr>
          <w:noProof/>
          <w:color w:val="000000" w:themeColor="text1"/>
          <w:shd w:val="clear" w:color="auto" w:fill="FFFFFF"/>
          <w:lang w:val="pl-PL"/>
        </w:rPr>
        <w:lastRenderedPageBreak/>
        <w:t>Zgodnie</w:t>
      </w:r>
      <w:r w:rsidR="00F1653C" w:rsidRPr="00E22450">
        <w:rPr>
          <w:noProof/>
          <w:color w:val="000000" w:themeColor="text1"/>
          <w:shd w:val="clear" w:color="auto" w:fill="FFFFFF"/>
          <w:lang w:val="pl-PL"/>
        </w:rPr>
        <w:t xml:space="preserve"> z</w:t>
      </w:r>
      <w:r w:rsidR="00F1653C">
        <w:rPr>
          <w:noProof/>
          <w:color w:val="000000" w:themeColor="text1"/>
          <w:shd w:val="clear" w:color="auto" w:fill="FFFFFF"/>
          <w:lang w:val="pl-PL"/>
        </w:rPr>
        <w:t> </w:t>
      </w:r>
      <w:r w:rsidR="00F1653C" w:rsidRPr="00E22450">
        <w:rPr>
          <w:noProof/>
          <w:color w:val="000000" w:themeColor="text1"/>
          <w:shd w:val="clear" w:color="auto" w:fill="FFFFFF"/>
          <w:lang w:val="pl-PL"/>
        </w:rPr>
        <w:t>wym</w:t>
      </w:r>
      <w:r w:rsidRPr="00E22450">
        <w:rPr>
          <w:noProof/>
          <w:color w:val="000000" w:themeColor="text1"/>
          <w:shd w:val="clear" w:color="auto" w:fill="FFFFFF"/>
          <w:lang w:val="pl-PL"/>
        </w:rPr>
        <w:t xml:space="preserve">ogami </w:t>
      </w:r>
      <w:r w:rsidRPr="00F1653C">
        <w:rPr>
          <w:noProof/>
          <w:color w:val="000000" w:themeColor="text1"/>
          <w:shd w:val="clear" w:color="auto" w:fill="FFFFFF"/>
          <w:lang w:val="pl-PL"/>
        </w:rPr>
        <w:t>art.</w:t>
      </w:r>
      <w:r w:rsidR="00F1653C" w:rsidRPr="00F1653C">
        <w:rPr>
          <w:noProof/>
          <w:color w:val="000000" w:themeColor="text1"/>
          <w:shd w:val="clear" w:color="auto" w:fill="FFFFFF"/>
          <w:lang w:val="pl-PL"/>
        </w:rPr>
        <w:t> </w:t>
      </w:r>
      <w:r w:rsidRPr="00F1653C">
        <w:rPr>
          <w:noProof/>
          <w:color w:val="000000" w:themeColor="text1"/>
          <w:shd w:val="clear" w:color="auto" w:fill="FFFFFF"/>
          <w:lang w:val="pl-PL"/>
        </w:rPr>
        <w:t>5</w:t>
      </w:r>
      <w:r w:rsidRPr="00E22450">
        <w:rPr>
          <w:noProof/>
          <w:color w:val="000000" w:themeColor="text1"/>
          <w:shd w:val="clear" w:color="auto" w:fill="FFFFFF"/>
          <w:lang w:val="pl-PL"/>
        </w:rPr>
        <w:t xml:space="preserve">13 rozporządzenia (UE) </w:t>
      </w:r>
      <w:r w:rsidRPr="00F1653C">
        <w:rPr>
          <w:noProof/>
          <w:color w:val="000000" w:themeColor="text1"/>
          <w:shd w:val="clear" w:color="auto" w:fill="FFFFFF"/>
          <w:lang w:val="pl-PL"/>
        </w:rPr>
        <w:t>nr</w:t>
      </w:r>
      <w:r w:rsidR="00F1653C" w:rsidRPr="00F1653C">
        <w:rPr>
          <w:noProof/>
          <w:color w:val="000000" w:themeColor="text1"/>
          <w:shd w:val="clear" w:color="auto" w:fill="FFFFFF"/>
          <w:lang w:val="pl-PL"/>
        </w:rPr>
        <w:t> </w:t>
      </w:r>
      <w:r w:rsidRPr="00F1653C">
        <w:rPr>
          <w:noProof/>
          <w:color w:val="000000" w:themeColor="text1"/>
          <w:shd w:val="clear" w:color="auto" w:fill="FFFFFF"/>
          <w:lang w:val="pl-PL"/>
        </w:rPr>
        <w:t>5</w:t>
      </w:r>
      <w:r w:rsidRPr="00E22450">
        <w:rPr>
          <w:noProof/>
          <w:color w:val="000000" w:themeColor="text1"/>
          <w:shd w:val="clear" w:color="auto" w:fill="FFFFFF"/>
          <w:lang w:val="pl-PL"/>
        </w:rPr>
        <w:t>75/2013 (rozporządzenie</w:t>
      </w:r>
      <w:r w:rsidR="00F1653C" w:rsidRPr="00E22450">
        <w:rPr>
          <w:noProof/>
          <w:color w:val="000000" w:themeColor="text1"/>
          <w:shd w:val="clear" w:color="auto" w:fill="FFFFFF"/>
          <w:lang w:val="pl-PL"/>
        </w:rPr>
        <w:t xml:space="preserve"> w</w:t>
      </w:r>
      <w:r w:rsidR="00F1653C">
        <w:rPr>
          <w:noProof/>
          <w:color w:val="000000" w:themeColor="text1"/>
          <w:shd w:val="clear" w:color="auto" w:fill="FFFFFF"/>
          <w:lang w:val="pl-PL"/>
        </w:rPr>
        <w:t> </w:t>
      </w:r>
      <w:r w:rsidR="00F1653C" w:rsidRPr="00E22450">
        <w:rPr>
          <w:noProof/>
          <w:color w:val="000000" w:themeColor="text1"/>
          <w:shd w:val="clear" w:color="auto" w:fill="FFFFFF"/>
          <w:lang w:val="pl-PL"/>
        </w:rPr>
        <w:t>spr</w:t>
      </w:r>
      <w:r w:rsidRPr="00E22450">
        <w:rPr>
          <w:noProof/>
          <w:color w:val="000000" w:themeColor="text1"/>
          <w:shd w:val="clear" w:color="auto" w:fill="FFFFFF"/>
          <w:lang w:val="pl-PL"/>
        </w:rPr>
        <w:t>awie wymogów kapitałowych (CRR)) oraz po konsultacji</w:t>
      </w:r>
      <w:r w:rsidR="00F1653C" w:rsidRPr="00E22450">
        <w:rPr>
          <w:noProof/>
          <w:color w:val="000000" w:themeColor="text1"/>
          <w:shd w:val="clear" w:color="auto" w:fill="FFFFFF"/>
          <w:lang w:val="pl-PL"/>
        </w:rPr>
        <w:t xml:space="preserve"> z</w:t>
      </w:r>
      <w:r w:rsidR="00F1653C">
        <w:rPr>
          <w:noProof/>
          <w:color w:val="000000" w:themeColor="text1"/>
          <w:shd w:val="clear" w:color="auto" w:fill="FFFFFF"/>
          <w:lang w:val="pl-PL"/>
        </w:rPr>
        <w:t> </w:t>
      </w:r>
      <w:r w:rsidR="00F1653C" w:rsidRPr="00E22450">
        <w:rPr>
          <w:noProof/>
          <w:color w:val="000000" w:themeColor="text1"/>
          <w:shd w:val="clear" w:color="auto" w:fill="FFFFFF"/>
          <w:lang w:val="pl-PL"/>
        </w:rPr>
        <w:t>Eur</w:t>
      </w:r>
      <w:r w:rsidRPr="00E22450">
        <w:rPr>
          <w:noProof/>
          <w:color w:val="000000" w:themeColor="text1"/>
          <w:shd w:val="clear" w:color="auto" w:fill="FFFFFF"/>
          <w:lang w:val="pl-PL"/>
        </w:rPr>
        <w:t>opejską Radą ds. Ryzyka Systemowego</w:t>
      </w:r>
      <w:r w:rsidR="00F1653C" w:rsidRPr="00E22450">
        <w:rPr>
          <w:noProof/>
          <w:color w:val="000000" w:themeColor="text1"/>
          <w:shd w:val="clear" w:color="auto" w:fill="FFFFFF"/>
          <w:lang w:val="pl-PL"/>
        </w:rPr>
        <w:t xml:space="preserve"> i</w:t>
      </w:r>
      <w:r w:rsidR="00F1653C">
        <w:rPr>
          <w:noProof/>
          <w:color w:val="000000" w:themeColor="text1"/>
          <w:shd w:val="clear" w:color="auto" w:fill="FFFFFF"/>
          <w:lang w:val="pl-PL"/>
        </w:rPr>
        <w:t> </w:t>
      </w:r>
      <w:r w:rsidR="00F1653C" w:rsidRPr="00E22450">
        <w:rPr>
          <w:noProof/>
          <w:color w:val="000000" w:themeColor="text1"/>
          <w:shd w:val="clear" w:color="auto" w:fill="FFFFFF"/>
          <w:lang w:val="pl-PL"/>
        </w:rPr>
        <w:t>Eur</w:t>
      </w:r>
      <w:r w:rsidRPr="00E22450">
        <w:rPr>
          <w:noProof/>
          <w:color w:val="000000" w:themeColor="text1"/>
          <w:shd w:val="clear" w:color="auto" w:fill="FFFFFF"/>
          <w:lang w:val="pl-PL"/>
        </w:rPr>
        <w:t>opejskim Urzędem Nadzoru Bankowego,</w:t>
      </w:r>
      <w:r w:rsidR="00F1653C" w:rsidRPr="00E22450">
        <w:rPr>
          <w:noProof/>
          <w:color w:val="000000" w:themeColor="text1"/>
          <w:shd w:val="clear" w:color="auto" w:fill="FFFFFF"/>
          <w:lang w:val="pl-PL"/>
        </w:rPr>
        <w:t xml:space="preserve"> w</w:t>
      </w:r>
      <w:r w:rsidR="00F1653C">
        <w:rPr>
          <w:noProof/>
          <w:color w:val="000000" w:themeColor="text1"/>
          <w:shd w:val="clear" w:color="auto" w:fill="FFFFFF"/>
          <w:lang w:val="pl-PL"/>
        </w:rPr>
        <w:t> </w:t>
      </w:r>
      <w:r w:rsidR="00F1653C" w:rsidRPr="00E22450">
        <w:rPr>
          <w:noProof/>
          <w:color w:val="000000" w:themeColor="text1"/>
          <w:shd w:val="clear" w:color="auto" w:fill="FFFFFF"/>
          <w:lang w:val="pl-PL"/>
        </w:rPr>
        <w:t>nin</w:t>
      </w:r>
      <w:r w:rsidRPr="00E22450">
        <w:rPr>
          <w:noProof/>
          <w:color w:val="000000" w:themeColor="text1"/>
          <w:shd w:val="clear" w:color="auto" w:fill="FFFFFF"/>
          <w:lang w:val="pl-PL"/>
        </w:rPr>
        <w:t xml:space="preserve">iejszym sprawozdaniu </w:t>
      </w:r>
      <w:r w:rsidRPr="00E22450">
        <w:rPr>
          <w:b/>
          <w:noProof/>
          <w:color w:val="000000" w:themeColor="text1"/>
          <w:shd w:val="clear" w:color="auto" w:fill="FFFFFF"/>
          <w:lang w:val="pl-PL"/>
        </w:rPr>
        <w:t>dokonano przeglądu unijnych ram makroostrożnościowych</w:t>
      </w:r>
      <w:r w:rsidRPr="00E22450">
        <w:rPr>
          <w:noProof/>
          <w:color w:val="000000" w:themeColor="text1"/>
          <w:shd w:val="clear" w:color="auto" w:fill="FFFFFF"/>
          <w:lang w:val="pl-PL"/>
        </w:rPr>
        <w:t xml:space="preserve"> określonych w CRR</w:t>
      </w:r>
      <w:r w:rsidR="00F1653C" w:rsidRPr="00E22450">
        <w:rPr>
          <w:noProof/>
          <w:color w:val="000000" w:themeColor="text1"/>
          <w:shd w:val="clear" w:color="auto" w:fill="FFFFFF"/>
          <w:lang w:val="pl-PL"/>
        </w:rPr>
        <w:t xml:space="preserve"> i</w:t>
      </w:r>
      <w:r w:rsidR="00F1653C">
        <w:rPr>
          <w:noProof/>
          <w:color w:val="000000" w:themeColor="text1"/>
          <w:shd w:val="clear" w:color="auto" w:fill="FFFFFF"/>
          <w:lang w:val="pl-PL"/>
        </w:rPr>
        <w:t> </w:t>
      </w:r>
      <w:r w:rsidR="00F1653C" w:rsidRPr="00E22450">
        <w:rPr>
          <w:noProof/>
          <w:color w:val="000000" w:themeColor="text1"/>
          <w:shd w:val="clear" w:color="auto" w:fill="FFFFFF"/>
          <w:lang w:val="pl-PL"/>
        </w:rPr>
        <w:t>dyr</w:t>
      </w:r>
      <w:r w:rsidRPr="00E22450">
        <w:rPr>
          <w:noProof/>
          <w:color w:val="000000" w:themeColor="text1"/>
          <w:shd w:val="clear" w:color="auto" w:fill="FFFFFF"/>
          <w:lang w:val="pl-PL"/>
        </w:rPr>
        <w:t>ektywie 2013/36/UE (CRD). Pierwotnie przegląd ten miał zostać przeprowadzony do czerwca 20</w:t>
      </w:r>
      <w:r w:rsidRPr="00F1653C">
        <w:rPr>
          <w:noProof/>
          <w:color w:val="000000" w:themeColor="text1"/>
          <w:shd w:val="clear" w:color="auto" w:fill="FFFFFF"/>
          <w:lang w:val="pl-PL"/>
        </w:rPr>
        <w:t>22</w:t>
      </w:r>
      <w:r w:rsidR="00F1653C" w:rsidRPr="00F1653C">
        <w:rPr>
          <w:noProof/>
          <w:color w:val="000000" w:themeColor="text1"/>
          <w:shd w:val="clear" w:color="auto" w:fill="FFFFFF"/>
          <w:lang w:val="pl-PL"/>
        </w:rPr>
        <w:t> </w:t>
      </w:r>
      <w:r w:rsidRPr="00F1653C">
        <w:rPr>
          <w:noProof/>
          <w:color w:val="000000" w:themeColor="text1"/>
          <w:shd w:val="clear" w:color="auto" w:fill="FFFFFF"/>
          <w:lang w:val="pl-PL"/>
        </w:rPr>
        <w:t>r.</w:t>
      </w:r>
      <w:r w:rsidRPr="00E22450">
        <w:rPr>
          <w:noProof/>
          <w:color w:val="000000" w:themeColor="text1"/>
          <w:shd w:val="clear" w:color="auto" w:fill="FFFFFF"/>
          <w:lang w:val="pl-PL"/>
        </w:rPr>
        <w:t>,</w:t>
      </w:r>
      <w:r w:rsidR="00F1653C" w:rsidRPr="00E22450">
        <w:rPr>
          <w:noProof/>
          <w:color w:val="000000" w:themeColor="text1"/>
          <w:shd w:val="clear" w:color="auto" w:fill="FFFFFF"/>
          <w:lang w:val="pl-PL"/>
        </w:rPr>
        <w:t xml:space="preserve"> a</w:t>
      </w:r>
      <w:r w:rsidR="00F1653C">
        <w:rPr>
          <w:noProof/>
          <w:color w:val="000000" w:themeColor="text1"/>
          <w:shd w:val="clear" w:color="auto" w:fill="FFFFFF"/>
          <w:lang w:val="pl-PL"/>
        </w:rPr>
        <w:t> </w:t>
      </w:r>
      <w:r w:rsidR="00F1653C" w:rsidRPr="00E22450">
        <w:rPr>
          <w:noProof/>
          <w:color w:val="000000" w:themeColor="text1"/>
          <w:shd w:val="clear" w:color="auto" w:fill="FFFFFF"/>
          <w:lang w:val="pl-PL"/>
        </w:rPr>
        <w:t>nas</w:t>
      </w:r>
      <w:r w:rsidRPr="00E22450">
        <w:rPr>
          <w:noProof/>
          <w:color w:val="000000" w:themeColor="text1"/>
          <w:shd w:val="clear" w:color="auto" w:fill="FFFFFF"/>
          <w:lang w:val="pl-PL"/>
        </w:rPr>
        <w:t>tępnie,</w:t>
      </w:r>
      <w:r w:rsidR="00F1653C" w:rsidRPr="00E22450">
        <w:rPr>
          <w:noProof/>
          <w:color w:val="000000" w:themeColor="text1"/>
          <w:shd w:val="clear" w:color="auto" w:fill="FFFFFF"/>
          <w:lang w:val="pl-PL"/>
        </w:rPr>
        <w:t xml:space="preserve"> w</w:t>
      </w:r>
      <w:r w:rsidR="00F1653C">
        <w:rPr>
          <w:noProof/>
          <w:color w:val="000000" w:themeColor="text1"/>
          <w:shd w:val="clear" w:color="auto" w:fill="FFFFFF"/>
          <w:lang w:val="pl-PL"/>
        </w:rPr>
        <w:t> </w:t>
      </w:r>
      <w:r w:rsidR="00F1653C" w:rsidRPr="00E22450">
        <w:rPr>
          <w:noProof/>
          <w:color w:val="000000" w:themeColor="text1"/>
          <w:shd w:val="clear" w:color="auto" w:fill="FFFFFF"/>
          <w:lang w:val="pl-PL"/>
        </w:rPr>
        <w:t>sto</w:t>
      </w:r>
      <w:r w:rsidRPr="00E22450">
        <w:rPr>
          <w:noProof/>
          <w:color w:val="000000" w:themeColor="text1"/>
          <w:shd w:val="clear" w:color="auto" w:fill="FFFFFF"/>
          <w:lang w:val="pl-PL"/>
        </w:rPr>
        <w:t>sownych przypadkach, do grudnia 20</w:t>
      </w:r>
      <w:r w:rsidRPr="00F1653C">
        <w:rPr>
          <w:noProof/>
          <w:color w:val="000000" w:themeColor="text1"/>
          <w:shd w:val="clear" w:color="auto" w:fill="FFFFFF"/>
          <w:lang w:val="pl-PL"/>
        </w:rPr>
        <w:t>22</w:t>
      </w:r>
      <w:r w:rsidR="00F1653C" w:rsidRPr="00F1653C">
        <w:rPr>
          <w:noProof/>
          <w:color w:val="000000" w:themeColor="text1"/>
          <w:shd w:val="clear" w:color="auto" w:fill="FFFFFF"/>
          <w:lang w:val="pl-PL"/>
        </w:rPr>
        <w:t> </w:t>
      </w:r>
      <w:r w:rsidRPr="00F1653C">
        <w:rPr>
          <w:noProof/>
          <w:color w:val="000000" w:themeColor="text1"/>
          <w:shd w:val="clear" w:color="auto" w:fill="FFFFFF"/>
          <w:lang w:val="pl-PL"/>
        </w:rPr>
        <w:t>r.</w:t>
      </w:r>
      <w:r w:rsidRPr="00E22450">
        <w:rPr>
          <w:noProof/>
          <w:color w:val="000000" w:themeColor="text1"/>
          <w:shd w:val="clear" w:color="auto" w:fill="FFFFFF"/>
          <w:lang w:val="pl-PL"/>
        </w:rPr>
        <w:t xml:space="preserve"> miał zostać przedstawiony wniosek ustawodawczy skierowany do Parlamentu Europejskiego</w:t>
      </w:r>
      <w:r w:rsidR="00F1653C" w:rsidRPr="00E22450">
        <w:rPr>
          <w:noProof/>
          <w:color w:val="000000" w:themeColor="text1"/>
          <w:shd w:val="clear" w:color="auto" w:fill="FFFFFF"/>
          <w:lang w:val="pl-PL"/>
        </w:rPr>
        <w:t xml:space="preserve"> i</w:t>
      </w:r>
      <w:r w:rsidR="00F1653C">
        <w:rPr>
          <w:noProof/>
          <w:color w:val="000000" w:themeColor="text1"/>
          <w:shd w:val="clear" w:color="auto" w:fill="FFFFFF"/>
          <w:lang w:val="pl-PL"/>
        </w:rPr>
        <w:t> </w:t>
      </w:r>
      <w:r w:rsidR="00F1653C" w:rsidRPr="00E22450">
        <w:rPr>
          <w:noProof/>
          <w:color w:val="000000" w:themeColor="text1"/>
          <w:shd w:val="clear" w:color="auto" w:fill="FFFFFF"/>
          <w:lang w:val="pl-PL"/>
        </w:rPr>
        <w:t>Rad</w:t>
      </w:r>
      <w:r w:rsidRPr="00E22450">
        <w:rPr>
          <w:noProof/>
          <w:color w:val="000000" w:themeColor="text1"/>
          <w:shd w:val="clear" w:color="auto" w:fill="FFFFFF"/>
          <w:lang w:val="pl-PL"/>
        </w:rPr>
        <w:t>y</w:t>
      </w:r>
      <w:r>
        <w:rPr>
          <w:rStyle w:val="FootnoteReference"/>
          <w:rFonts w:cs="Times New Roman"/>
          <w:noProof/>
          <w:color w:val="000000" w:themeColor="text1"/>
          <w:shd w:val="clear" w:color="auto" w:fill="FFFFFF"/>
        </w:rPr>
        <w:footnoteReference w:id="2"/>
      </w:r>
      <w:r w:rsidRPr="00E22450">
        <w:rPr>
          <w:noProof/>
          <w:lang w:val="pl-PL"/>
        </w:rPr>
        <w:t>.</w:t>
      </w:r>
      <w:r w:rsidRPr="00E22450">
        <w:rPr>
          <w:noProof/>
          <w:color w:val="000000" w:themeColor="text1"/>
          <w:shd w:val="clear" w:color="auto" w:fill="FFFFFF"/>
          <w:lang w:val="pl-PL"/>
        </w:rPr>
        <w:t xml:space="preserve"> Komisja postanowiła odroczyć przegląd, aby lepiej ocenić skutki pandemii (i okresu po pandemii), warunki makroekonomiczne, wzrost działalności pozabankowego pośrednictwa finansowego (NBFI) oraz kryzys bankowy w USA</w:t>
      </w:r>
      <w:r w:rsidR="00F1653C" w:rsidRPr="00E22450">
        <w:rPr>
          <w:noProof/>
          <w:color w:val="000000" w:themeColor="text1"/>
          <w:shd w:val="clear" w:color="auto" w:fill="FFFFFF"/>
          <w:lang w:val="pl-PL"/>
        </w:rPr>
        <w:t xml:space="preserve"> z</w:t>
      </w:r>
      <w:r w:rsidR="00F1653C">
        <w:rPr>
          <w:noProof/>
          <w:color w:val="000000" w:themeColor="text1"/>
          <w:shd w:val="clear" w:color="auto" w:fill="FFFFFF"/>
          <w:lang w:val="pl-PL"/>
        </w:rPr>
        <w:t> </w:t>
      </w:r>
      <w:r w:rsidR="00F1653C" w:rsidRPr="00E22450">
        <w:rPr>
          <w:noProof/>
          <w:color w:val="000000" w:themeColor="text1"/>
          <w:shd w:val="clear" w:color="auto" w:fill="FFFFFF"/>
          <w:lang w:val="pl-PL"/>
        </w:rPr>
        <w:t>mar</w:t>
      </w:r>
      <w:r w:rsidRPr="00E22450">
        <w:rPr>
          <w:noProof/>
          <w:color w:val="000000" w:themeColor="text1"/>
          <w:shd w:val="clear" w:color="auto" w:fill="FFFFFF"/>
          <w:lang w:val="pl-PL"/>
        </w:rPr>
        <w:t>ca 20</w:t>
      </w:r>
      <w:r w:rsidRPr="00F1653C">
        <w:rPr>
          <w:noProof/>
          <w:color w:val="000000" w:themeColor="text1"/>
          <w:shd w:val="clear" w:color="auto" w:fill="FFFFFF"/>
          <w:lang w:val="pl-PL"/>
        </w:rPr>
        <w:t>23</w:t>
      </w:r>
      <w:r w:rsidR="00F1653C" w:rsidRPr="00F1653C">
        <w:rPr>
          <w:noProof/>
          <w:color w:val="000000" w:themeColor="text1"/>
          <w:shd w:val="clear" w:color="auto" w:fill="FFFFFF"/>
          <w:lang w:val="pl-PL"/>
        </w:rPr>
        <w:t> </w:t>
      </w:r>
      <w:r w:rsidRPr="00F1653C">
        <w:rPr>
          <w:noProof/>
          <w:color w:val="000000" w:themeColor="text1"/>
          <w:shd w:val="clear" w:color="auto" w:fill="FFFFFF"/>
          <w:lang w:val="pl-PL"/>
        </w:rPr>
        <w:t>r.</w:t>
      </w:r>
      <w:r w:rsidRPr="00E22450">
        <w:rPr>
          <w:noProof/>
          <w:color w:val="000000" w:themeColor="text1"/>
          <w:shd w:val="clear" w:color="auto" w:fill="FFFFFF"/>
          <w:lang w:val="pl-PL"/>
        </w:rPr>
        <w:t xml:space="preserve"> </w:t>
      </w:r>
    </w:p>
    <w:p w14:paraId="4AE8E428" w14:textId="0CA4A75F" w:rsidR="006F76CF" w:rsidRPr="00E22450" w:rsidRDefault="006F76CF" w:rsidP="004709F3">
      <w:pPr>
        <w:spacing w:after="120" w:line="240" w:lineRule="auto"/>
        <w:rPr>
          <w:rFonts w:cs="Times New Roman"/>
          <w:noProof/>
          <w:lang w:val="pl-PL"/>
        </w:rPr>
      </w:pPr>
      <w:r w:rsidRPr="00E22450">
        <w:rPr>
          <w:noProof/>
          <w:color w:val="000000" w:themeColor="text1"/>
          <w:lang w:val="pl-PL"/>
        </w:rPr>
        <w:t>Sprawozdanie opracowano na podstawie licznych badań przeprowadzonych przez organy unijne</w:t>
      </w:r>
      <w:r w:rsidR="00F1653C" w:rsidRPr="00E22450">
        <w:rPr>
          <w:noProof/>
          <w:color w:val="000000" w:themeColor="text1"/>
          <w:lang w:val="pl-PL"/>
        </w:rPr>
        <w:t xml:space="preserve"> i</w:t>
      </w:r>
      <w:r w:rsidR="00F1653C">
        <w:rPr>
          <w:noProof/>
          <w:color w:val="000000" w:themeColor="text1"/>
          <w:lang w:val="pl-PL"/>
        </w:rPr>
        <w:t> </w:t>
      </w:r>
      <w:r w:rsidR="00F1653C" w:rsidRPr="00E22450">
        <w:rPr>
          <w:noProof/>
          <w:color w:val="000000" w:themeColor="text1"/>
          <w:lang w:val="pl-PL"/>
        </w:rPr>
        <w:t>mię</w:t>
      </w:r>
      <w:r w:rsidRPr="00E22450">
        <w:rPr>
          <w:noProof/>
          <w:color w:val="000000" w:themeColor="text1"/>
          <w:lang w:val="pl-PL"/>
        </w:rPr>
        <w:t>dzynarodowe,</w:t>
      </w:r>
      <w:r w:rsidR="00F1653C" w:rsidRPr="00E22450">
        <w:rPr>
          <w:noProof/>
          <w:color w:val="000000" w:themeColor="text1"/>
          <w:lang w:val="pl-PL"/>
        </w:rPr>
        <w:t xml:space="preserve"> a</w:t>
      </w:r>
      <w:r w:rsidR="00F1653C">
        <w:rPr>
          <w:noProof/>
          <w:color w:val="000000" w:themeColor="text1"/>
          <w:lang w:val="pl-PL"/>
        </w:rPr>
        <w:t> </w:t>
      </w:r>
      <w:r w:rsidR="00F1653C" w:rsidRPr="00E22450">
        <w:rPr>
          <w:noProof/>
          <w:color w:val="000000" w:themeColor="text1"/>
          <w:lang w:val="pl-PL"/>
        </w:rPr>
        <w:t>tak</w:t>
      </w:r>
      <w:r w:rsidRPr="00E22450">
        <w:rPr>
          <w:noProof/>
          <w:color w:val="000000" w:themeColor="text1"/>
          <w:lang w:val="pl-PL"/>
        </w:rPr>
        <w:t>że na podstawie kompleksowych konsultacji publicznych przeprowadzonych przez Komisję,</w:t>
      </w:r>
      <w:r w:rsidR="00F1653C" w:rsidRPr="00E22450">
        <w:rPr>
          <w:noProof/>
          <w:color w:val="000000" w:themeColor="text1"/>
          <w:lang w:val="pl-PL"/>
        </w:rPr>
        <w:t xml:space="preserve"> w</w:t>
      </w:r>
      <w:r w:rsidR="00F1653C">
        <w:rPr>
          <w:noProof/>
          <w:color w:val="000000" w:themeColor="text1"/>
          <w:lang w:val="pl-PL"/>
        </w:rPr>
        <w:t> </w:t>
      </w:r>
      <w:r w:rsidR="00F1653C" w:rsidRPr="00E22450">
        <w:rPr>
          <w:noProof/>
          <w:color w:val="000000" w:themeColor="text1"/>
          <w:lang w:val="pl-PL"/>
        </w:rPr>
        <w:t>tym</w:t>
      </w:r>
      <w:r w:rsidRPr="00E22450">
        <w:rPr>
          <w:noProof/>
          <w:color w:val="000000" w:themeColor="text1"/>
          <w:lang w:val="pl-PL"/>
        </w:rPr>
        <w:t xml:space="preserve"> ukierunkowanego wniosku</w:t>
      </w:r>
      <w:r w:rsidR="00F1653C" w:rsidRPr="00E22450">
        <w:rPr>
          <w:noProof/>
          <w:color w:val="000000" w:themeColor="text1"/>
          <w:lang w:val="pl-PL"/>
        </w:rPr>
        <w:t xml:space="preserve"> o</w:t>
      </w:r>
      <w:r w:rsidR="00F1653C">
        <w:rPr>
          <w:noProof/>
          <w:color w:val="000000" w:themeColor="text1"/>
          <w:lang w:val="pl-PL"/>
        </w:rPr>
        <w:t> </w:t>
      </w:r>
      <w:r w:rsidR="00F1653C" w:rsidRPr="00E22450">
        <w:rPr>
          <w:noProof/>
          <w:color w:val="000000" w:themeColor="text1"/>
          <w:lang w:val="pl-PL"/>
        </w:rPr>
        <w:t>prz</w:t>
      </w:r>
      <w:r w:rsidRPr="00E22450">
        <w:rPr>
          <w:noProof/>
          <w:color w:val="000000" w:themeColor="text1"/>
          <w:lang w:val="pl-PL"/>
        </w:rPr>
        <w:t>edstawienie opinii skierowanego do Europejskiego Urzędu Nadzoru Bankowego, Europejskiego Banku Centralnego</w:t>
      </w:r>
      <w:r w:rsidR="00F1653C" w:rsidRPr="00E22450">
        <w:rPr>
          <w:noProof/>
          <w:color w:val="000000" w:themeColor="text1"/>
          <w:lang w:val="pl-PL"/>
        </w:rPr>
        <w:t xml:space="preserve"> i</w:t>
      </w:r>
      <w:r w:rsidR="00F1653C">
        <w:rPr>
          <w:noProof/>
          <w:color w:val="000000" w:themeColor="text1"/>
          <w:lang w:val="pl-PL"/>
        </w:rPr>
        <w:t> </w:t>
      </w:r>
      <w:r w:rsidR="00F1653C" w:rsidRPr="00E22450">
        <w:rPr>
          <w:noProof/>
          <w:color w:val="000000" w:themeColor="text1"/>
          <w:lang w:val="pl-PL"/>
        </w:rPr>
        <w:t>Eur</w:t>
      </w:r>
      <w:r w:rsidRPr="00E22450">
        <w:rPr>
          <w:noProof/>
          <w:color w:val="000000" w:themeColor="text1"/>
          <w:lang w:val="pl-PL"/>
        </w:rPr>
        <w:t>opejskiej Rady ds. Ryzyka Systemowego, które to konsultacje zakończono</w:t>
      </w:r>
      <w:r w:rsidR="00F1653C" w:rsidRPr="00E22450">
        <w:rPr>
          <w:noProof/>
          <w:color w:val="000000" w:themeColor="text1"/>
          <w:lang w:val="pl-PL"/>
        </w:rPr>
        <w:t xml:space="preserve"> w</w:t>
      </w:r>
      <w:r w:rsidR="00F1653C">
        <w:rPr>
          <w:noProof/>
          <w:color w:val="000000" w:themeColor="text1"/>
          <w:lang w:val="pl-PL"/>
        </w:rPr>
        <w:t> </w:t>
      </w:r>
      <w:r w:rsidR="00F1653C" w:rsidRPr="00E22450">
        <w:rPr>
          <w:noProof/>
          <w:color w:val="000000" w:themeColor="text1"/>
          <w:lang w:val="pl-PL"/>
        </w:rPr>
        <w:t>2</w:t>
      </w:r>
      <w:r w:rsidRPr="00E22450">
        <w:rPr>
          <w:noProof/>
          <w:color w:val="000000" w:themeColor="text1"/>
          <w:lang w:val="pl-PL"/>
        </w:rPr>
        <w:t>0</w:t>
      </w:r>
      <w:r w:rsidRPr="00F1653C">
        <w:rPr>
          <w:noProof/>
          <w:color w:val="000000" w:themeColor="text1"/>
          <w:lang w:val="pl-PL"/>
        </w:rPr>
        <w:t>21</w:t>
      </w:r>
      <w:r w:rsidR="00F1653C" w:rsidRPr="00F1653C">
        <w:rPr>
          <w:noProof/>
          <w:color w:val="000000" w:themeColor="text1"/>
          <w:lang w:val="pl-PL"/>
        </w:rPr>
        <w:t> </w:t>
      </w:r>
      <w:r w:rsidRPr="00F1653C">
        <w:rPr>
          <w:noProof/>
          <w:color w:val="000000" w:themeColor="text1"/>
          <w:lang w:val="pl-PL"/>
        </w:rPr>
        <w:t>r.</w:t>
      </w:r>
      <w:r>
        <w:rPr>
          <w:rFonts w:cs="Times New Roman"/>
          <w:noProof/>
          <w:vertAlign w:val="superscript"/>
        </w:rPr>
        <w:footnoteReference w:id="3"/>
      </w:r>
      <w:r w:rsidRPr="00E22450">
        <w:rPr>
          <w:noProof/>
          <w:color w:val="000000" w:themeColor="text1"/>
          <w:lang w:val="pl-PL"/>
        </w:rPr>
        <w:t xml:space="preserve"> Ponadto przeprowadzono liczne rozmowy dwustronne między służbami Komisji</w:t>
      </w:r>
      <w:r w:rsidR="00F1653C" w:rsidRPr="00E22450">
        <w:rPr>
          <w:noProof/>
          <w:color w:val="000000" w:themeColor="text1"/>
          <w:lang w:val="pl-PL"/>
        </w:rPr>
        <w:t xml:space="preserve"> a</w:t>
      </w:r>
      <w:r w:rsidR="00F1653C">
        <w:rPr>
          <w:noProof/>
          <w:color w:val="000000" w:themeColor="text1"/>
          <w:lang w:val="pl-PL"/>
        </w:rPr>
        <w:t> </w:t>
      </w:r>
      <w:r w:rsidR="00F1653C" w:rsidRPr="00E22450">
        <w:rPr>
          <w:noProof/>
          <w:color w:val="000000" w:themeColor="text1"/>
          <w:lang w:val="pl-PL"/>
        </w:rPr>
        <w:t>zai</w:t>
      </w:r>
      <w:r w:rsidRPr="00E22450">
        <w:rPr>
          <w:noProof/>
          <w:color w:val="000000" w:themeColor="text1"/>
          <w:lang w:val="pl-PL"/>
        </w:rPr>
        <w:t>nteresowanymi stronami,</w:t>
      </w:r>
      <w:r w:rsidR="00F1653C" w:rsidRPr="00E22450">
        <w:rPr>
          <w:noProof/>
          <w:color w:val="000000" w:themeColor="text1"/>
          <w:lang w:val="pl-PL"/>
        </w:rPr>
        <w:t xml:space="preserve"> w</w:t>
      </w:r>
      <w:r w:rsidR="00F1653C">
        <w:rPr>
          <w:noProof/>
          <w:color w:val="000000" w:themeColor="text1"/>
          <w:lang w:val="pl-PL"/>
        </w:rPr>
        <w:t> </w:t>
      </w:r>
      <w:r w:rsidR="00F1653C" w:rsidRPr="00E22450">
        <w:rPr>
          <w:noProof/>
          <w:color w:val="000000" w:themeColor="text1"/>
          <w:lang w:val="pl-PL"/>
        </w:rPr>
        <w:t>tym w</w:t>
      </w:r>
      <w:r w:rsidR="00F1653C">
        <w:rPr>
          <w:noProof/>
          <w:color w:val="000000" w:themeColor="text1"/>
          <w:lang w:val="pl-PL"/>
        </w:rPr>
        <w:t> </w:t>
      </w:r>
      <w:r w:rsidR="00F1653C" w:rsidRPr="00E22450">
        <w:rPr>
          <w:noProof/>
          <w:color w:val="000000" w:themeColor="text1"/>
          <w:lang w:val="pl-PL"/>
        </w:rPr>
        <w:t>ram</w:t>
      </w:r>
      <w:r w:rsidRPr="00E22450">
        <w:rPr>
          <w:noProof/>
          <w:color w:val="000000" w:themeColor="text1"/>
          <w:lang w:val="pl-PL"/>
        </w:rPr>
        <w:t>ach Grupy Ekspertów Komisji ds. Bankowości, Płatności</w:t>
      </w:r>
      <w:r w:rsidR="00F1653C" w:rsidRPr="00E22450">
        <w:rPr>
          <w:noProof/>
          <w:color w:val="000000" w:themeColor="text1"/>
          <w:lang w:val="pl-PL"/>
        </w:rPr>
        <w:t xml:space="preserve"> i</w:t>
      </w:r>
      <w:r w:rsidR="00F1653C">
        <w:rPr>
          <w:noProof/>
          <w:color w:val="000000" w:themeColor="text1"/>
          <w:lang w:val="pl-PL"/>
        </w:rPr>
        <w:t> </w:t>
      </w:r>
      <w:r w:rsidR="00F1653C" w:rsidRPr="00E22450">
        <w:rPr>
          <w:noProof/>
          <w:color w:val="000000" w:themeColor="text1"/>
          <w:lang w:val="pl-PL"/>
        </w:rPr>
        <w:t>Ube</w:t>
      </w:r>
      <w:r w:rsidRPr="00E22450">
        <w:rPr>
          <w:noProof/>
          <w:color w:val="000000" w:themeColor="text1"/>
          <w:lang w:val="pl-PL"/>
        </w:rPr>
        <w:t xml:space="preserve">zpieczeń. </w:t>
      </w:r>
    </w:p>
    <w:p w14:paraId="18C82D87" w14:textId="1D2D7385" w:rsidR="00525EDD" w:rsidRPr="00E22450" w:rsidRDefault="00EA6F34" w:rsidP="004709F3">
      <w:pPr>
        <w:spacing w:after="120" w:line="240" w:lineRule="auto"/>
        <w:rPr>
          <w:rFonts w:cs="Times New Roman"/>
          <w:noProof/>
          <w:lang w:val="pl-PL"/>
        </w:rPr>
      </w:pPr>
      <w:r w:rsidRPr="00E22450">
        <w:rPr>
          <w:noProof/>
          <w:color w:val="372F32"/>
          <w:shd w:val="clear" w:color="auto" w:fill="FFFFFF"/>
          <w:lang w:val="pl-PL"/>
        </w:rPr>
        <w:t>Globalny kryzys finansowy</w:t>
      </w:r>
      <w:r w:rsidR="00F1653C" w:rsidRPr="00E22450">
        <w:rPr>
          <w:noProof/>
          <w:color w:val="372F32"/>
          <w:shd w:val="clear" w:color="auto" w:fill="FFFFFF"/>
          <w:lang w:val="pl-PL"/>
        </w:rPr>
        <w:t xml:space="preserve"> z</w:t>
      </w:r>
      <w:r w:rsidR="00F1653C">
        <w:rPr>
          <w:noProof/>
          <w:color w:val="372F32"/>
          <w:shd w:val="clear" w:color="auto" w:fill="FFFFFF"/>
          <w:lang w:val="pl-PL"/>
        </w:rPr>
        <w:t> </w:t>
      </w:r>
      <w:r w:rsidR="00F1653C" w:rsidRPr="00F1653C">
        <w:rPr>
          <w:noProof/>
          <w:color w:val="372F32"/>
          <w:shd w:val="clear" w:color="auto" w:fill="FFFFFF"/>
          <w:lang w:val="pl-PL"/>
        </w:rPr>
        <w:t>lat </w:t>
      </w:r>
      <w:r w:rsidRPr="00F1653C">
        <w:rPr>
          <w:noProof/>
          <w:color w:val="372F32"/>
          <w:shd w:val="clear" w:color="auto" w:fill="FFFFFF"/>
          <w:lang w:val="pl-PL"/>
        </w:rPr>
        <w:t>2</w:t>
      </w:r>
      <w:r w:rsidRPr="00E22450">
        <w:rPr>
          <w:noProof/>
          <w:color w:val="372F32"/>
          <w:shd w:val="clear" w:color="auto" w:fill="FFFFFF"/>
          <w:lang w:val="pl-PL"/>
        </w:rPr>
        <w:t>008–2009 ujawnił podatność sektora bankowego na zagrożenia na całym świecie, ponieważ wiele instytucji finansowych było nadmiernie zadłużonych, obarczonych dużą ekspozycją na ryzykowne aktywa</w:t>
      </w:r>
      <w:r w:rsidR="00F1653C" w:rsidRPr="00E22450">
        <w:rPr>
          <w:noProof/>
          <w:color w:val="372F32"/>
          <w:shd w:val="clear" w:color="auto" w:fill="FFFFFF"/>
          <w:lang w:val="pl-PL"/>
        </w:rPr>
        <w:t xml:space="preserve"> i</w:t>
      </w:r>
      <w:r w:rsidR="00F1653C">
        <w:rPr>
          <w:noProof/>
          <w:color w:val="372F32"/>
          <w:shd w:val="clear" w:color="auto" w:fill="FFFFFF"/>
          <w:lang w:val="pl-PL"/>
        </w:rPr>
        <w:t> </w:t>
      </w:r>
      <w:r w:rsidR="00F1653C" w:rsidRPr="00E22450">
        <w:rPr>
          <w:noProof/>
          <w:color w:val="372F32"/>
          <w:shd w:val="clear" w:color="auto" w:fill="FFFFFF"/>
          <w:lang w:val="pl-PL"/>
        </w:rPr>
        <w:t>mia</w:t>
      </w:r>
      <w:r w:rsidRPr="00E22450">
        <w:rPr>
          <w:noProof/>
          <w:color w:val="372F32"/>
          <w:shd w:val="clear" w:color="auto" w:fill="FFFFFF"/>
          <w:lang w:val="pl-PL"/>
        </w:rPr>
        <w:t>ło niewystarczające źródła stabilnego finansowania</w:t>
      </w:r>
      <w:r w:rsidR="00F1653C" w:rsidRPr="00E22450">
        <w:rPr>
          <w:noProof/>
          <w:color w:val="372F32"/>
          <w:shd w:val="clear" w:color="auto" w:fill="FFFFFF"/>
          <w:lang w:val="pl-PL"/>
        </w:rPr>
        <w:t xml:space="preserve">. </w:t>
      </w:r>
      <w:r w:rsidR="00F1653C" w:rsidRPr="00E22450">
        <w:rPr>
          <w:noProof/>
          <w:lang w:val="pl-PL"/>
        </w:rPr>
        <w:t>W</w:t>
      </w:r>
      <w:r w:rsidR="00F1653C">
        <w:rPr>
          <w:noProof/>
          <w:color w:val="372F32"/>
          <w:shd w:val="clear" w:color="auto" w:fill="FFFFFF"/>
          <w:lang w:val="pl-PL"/>
        </w:rPr>
        <w:t> </w:t>
      </w:r>
      <w:r w:rsidR="00F1653C" w:rsidRPr="00E22450">
        <w:rPr>
          <w:noProof/>
          <w:lang w:val="pl-PL"/>
        </w:rPr>
        <w:t>okr</w:t>
      </w:r>
      <w:r w:rsidRPr="00E22450">
        <w:rPr>
          <w:noProof/>
          <w:lang w:val="pl-PL"/>
        </w:rPr>
        <w:t>esie poprzedzającym kryzys trudno było ocenić narażenie</w:t>
      </w:r>
      <w:r w:rsidR="00F1653C" w:rsidRPr="00E22450">
        <w:rPr>
          <w:noProof/>
          <w:lang w:val="pl-PL"/>
        </w:rPr>
        <w:t xml:space="preserve"> i</w:t>
      </w:r>
      <w:r w:rsidR="00F1653C">
        <w:rPr>
          <w:noProof/>
          <w:lang w:val="pl-PL"/>
        </w:rPr>
        <w:t> </w:t>
      </w:r>
      <w:r w:rsidR="00F1653C" w:rsidRPr="00E22450">
        <w:rPr>
          <w:noProof/>
          <w:lang w:val="pl-PL"/>
        </w:rPr>
        <w:t>pot</w:t>
      </w:r>
      <w:r w:rsidRPr="00E22450">
        <w:rPr>
          <w:noProof/>
          <w:lang w:val="pl-PL"/>
        </w:rPr>
        <w:t>encjalne skutki uboczne, częściowo ze względu na ograniczoną przejrzystość rosnącej dźwigni finansowej</w:t>
      </w:r>
      <w:r w:rsidR="00F1653C" w:rsidRPr="00E22450">
        <w:rPr>
          <w:noProof/>
          <w:lang w:val="pl-PL"/>
        </w:rPr>
        <w:t xml:space="preserve"> i</w:t>
      </w:r>
      <w:r w:rsidR="00F1653C">
        <w:rPr>
          <w:noProof/>
          <w:lang w:val="pl-PL"/>
        </w:rPr>
        <w:t> </w:t>
      </w:r>
      <w:r w:rsidR="00F1653C" w:rsidRPr="00E22450">
        <w:rPr>
          <w:noProof/>
          <w:lang w:val="pl-PL"/>
        </w:rPr>
        <w:t>wza</w:t>
      </w:r>
      <w:r w:rsidRPr="00E22450">
        <w:rPr>
          <w:noProof/>
          <w:lang w:val="pl-PL"/>
        </w:rPr>
        <w:t>jemnych powiązań między instytucjami finansowymi. Ryzyko kredytowe, ryzyko finansowania</w:t>
      </w:r>
      <w:r w:rsidR="00F1653C" w:rsidRPr="00E22450">
        <w:rPr>
          <w:noProof/>
          <w:lang w:val="pl-PL"/>
        </w:rPr>
        <w:t xml:space="preserve"> i</w:t>
      </w:r>
      <w:r w:rsidR="00F1653C">
        <w:rPr>
          <w:noProof/>
          <w:lang w:val="pl-PL"/>
        </w:rPr>
        <w:t> </w:t>
      </w:r>
      <w:r w:rsidR="00F1653C" w:rsidRPr="00E22450">
        <w:rPr>
          <w:noProof/>
          <w:lang w:val="pl-PL"/>
        </w:rPr>
        <w:t>ryz</w:t>
      </w:r>
      <w:r w:rsidRPr="00E22450">
        <w:rPr>
          <w:noProof/>
          <w:lang w:val="pl-PL"/>
        </w:rPr>
        <w:t>yko płynności rynku były</w:t>
      </w:r>
      <w:r w:rsidR="00F1653C" w:rsidRPr="00E22450">
        <w:rPr>
          <w:noProof/>
          <w:lang w:val="pl-PL"/>
        </w:rPr>
        <w:t xml:space="preserve"> w</w:t>
      </w:r>
      <w:r w:rsidR="00F1653C">
        <w:rPr>
          <w:noProof/>
          <w:lang w:val="pl-PL"/>
        </w:rPr>
        <w:t> </w:t>
      </w:r>
      <w:r w:rsidR="00F1653C" w:rsidRPr="00E22450">
        <w:rPr>
          <w:noProof/>
          <w:lang w:val="pl-PL"/>
        </w:rPr>
        <w:t>duż</w:t>
      </w:r>
      <w:r w:rsidRPr="00E22450">
        <w:rPr>
          <w:noProof/>
          <w:lang w:val="pl-PL"/>
        </w:rPr>
        <w:t>ej mierze niedoszacowane,</w:t>
      </w:r>
      <w:r w:rsidR="00F1653C" w:rsidRPr="00E22450">
        <w:rPr>
          <w:noProof/>
          <w:lang w:val="pl-PL"/>
        </w:rPr>
        <w:t xml:space="preserve"> a</w:t>
      </w:r>
      <w:r w:rsidR="00F1653C">
        <w:rPr>
          <w:noProof/>
          <w:lang w:val="pl-PL"/>
        </w:rPr>
        <w:t> </w:t>
      </w:r>
      <w:r w:rsidR="00F1653C" w:rsidRPr="00E22450">
        <w:rPr>
          <w:noProof/>
          <w:lang w:val="pl-PL"/>
        </w:rPr>
        <w:t>ram</w:t>
      </w:r>
      <w:r w:rsidRPr="00E22450">
        <w:rPr>
          <w:noProof/>
          <w:lang w:val="pl-PL"/>
        </w:rPr>
        <w:t>y regulacyjne miały ograniczone mechanizmy przeciwdziałania zachętom ze strony instytucji</w:t>
      </w:r>
      <w:r w:rsidR="00F1653C" w:rsidRPr="00E22450">
        <w:rPr>
          <w:noProof/>
          <w:lang w:val="pl-PL"/>
        </w:rPr>
        <w:t xml:space="preserve"> o</w:t>
      </w:r>
      <w:r w:rsidR="00F1653C">
        <w:rPr>
          <w:noProof/>
          <w:lang w:val="pl-PL"/>
        </w:rPr>
        <w:t> </w:t>
      </w:r>
      <w:r w:rsidR="00F1653C" w:rsidRPr="00E22450">
        <w:rPr>
          <w:noProof/>
          <w:lang w:val="pl-PL"/>
        </w:rPr>
        <w:t>zna</w:t>
      </w:r>
      <w:r w:rsidRPr="00E22450">
        <w:rPr>
          <w:noProof/>
          <w:lang w:val="pl-PL"/>
        </w:rPr>
        <w:t>czeniu systemowym</w:t>
      </w:r>
      <w:r w:rsidR="00F1653C" w:rsidRPr="00E22450">
        <w:rPr>
          <w:noProof/>
          <w:lang w:val="pl-PL"/>
        </w:rPr>
        <w:t>. W</w:t>
      </w:r>
      <w:r w:rsidR="00F1653C">
        <w:rPr>
          <w:noProof/>
          <w:lang w:val="pl-PL"/>
        </w:rPr>
        <w:t> </w:t>
      </w:r>
      <w:r w:rsidR="00F1653C" w:rsidRPr="00E22450">
        <w:rPr>
          <w:noProof/>
          <w:lang w:val="pl-PL"/>
        </w:rPr>
        <w:t>rez</w:t>
      </w:r>
      <w:r w:rsidRPr="00E22450">
        <w:rPr>
          <w:noProof/>
          <w:lang w:val="pl-PL"/>
        </w:rPr>
        <w:t xml:space="preserve">ultacie </w:t>
      </w:r>
      <w:r w:rsidRPr="00E22450">
        <w:rPr>
          <w:rStyle w:val="BodyTextChar"/>
          <w:noProof/>
          <w:lang w:val="pl-PL"/>
        </w:rPr>
        <w:t>ramy nadzorcze</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reg</w:t>
      </w:r>
      <w:r w:rsidRPr="00E22450">
        <w:rPr>
          <w:rStyle w:val="BodyTextChar"/>
          <w:noProof/>
          <w:lang w:val="pl-PL"/>
        </w:rPr>
        <w:t>ulacyjne, które koncentrowały się głównie na zapewnieniu stabilności samych instytucji finansowych, okazały się niewystarczające</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łag</w:t>
      </w:r>
      <w:r w:rsidRPr="00E22450">
        <w:rPr>
          <w:rStyle w:val="BodyTextChar"/>
          <w:noProof/>
          <w:lang w:val="pl-PL"/>
        </w:rPr>
        <w:t>odzeniu wyzwań</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zak</w:t>
      </w:r>
      <w:r w:rsidRPr="00E22450">
        <w:rPr>
          <w:rStyle w:val="BodyTextChar"/>
          <w:noProof/>
          <w:lang w:val="pl-PL"/>
        </w:rPr>
        <w:t xml:space="preserve">resie stabilności finansowej wywołanych wstrząsami systemowymi. </w:t>
      </w:r>
      <w:r w:rsidRPr="00E22450">
        <w:rPr>
          <w:noProof/>
          <w:lang w:val="pl-PL"/>
        </w:rPr>
        <w:t>Podatność na zagrożenia może narastać</w:t>
      </w:r>
      <w:r w:rsidR="00F1653C" w:rsidRPr="00E22450">
        <w:rPr>
          <w:noProof/>
          <w:lang w:val="pl-PL"/>
        </w:rPr>
        <w:t xml:space="preserve"> w</w:t>
      </w:r>
      <w:r w:rsidR="00F1653C">
        <w:rPr>
          <w:noProof/>
          <w:lang w:val="pl-PL"/>
        </w:rPr>
        <w:t> </w:t>
      </w:r>
      <w:r w:rsidR="00F1653C" w:rsidRPr="00E22450">
        <w:rPr>
          <w:noProof/>
          <w:lang w:val="pl-PL"/>
        </w:rPr>
        <w:t>cał</w:t>
      </w:r>
      <w:r w:rsidRPr="00E22450">
        <w:rPr>
          <w:noProof/>
          <w:lang w:val="pl-PL"/>
        </w:rPr>
        <w:t>ym systemie finansowym, nawet jeśli poszczególne instytucje finansowe są odporne</w:t>
      </w:r>
      <w:r>
        <w:rPr>
          <w:rStyle w:val="FootnoteReference"/>
          <w:rFonts w:cs="Times New Roman"/>
          <w:noProof/>
        </w:rPr>
        <w:footnoteReference w:id="4"/>
      </w:r>
      <w:r w:rsidR="00F1653C" w:rsidRPr="00E22450">
        <w:rPr>
          <w:noProof/>
          <w:lang w:val="pl-PL"/>
        </w:rPr>
        <w:t>. W</w:t>
      </w:r>
      <w:r w:rsidR="00F1653C">
        <w:rPr>
          <w:noProof/>
          <w:lang w:val="pl-PL"/>
        </w:rPr>
        <w:t> </w:t>
      </w:r>
      <w:r w:rsidR="00F1653C" w:rsidRPr="00E22450">
        <w:rPr>
          <w:noProof/>
          <w:lang w:val="pl-PL"/>
        </w:rPr>
        <w:t>zwi</w:t>
      </w:r>
      <w:r w:rsidRPr="00E22450">
        <w:rPr>
          <w:noProof/>
          <w:lang w:val="pl-PL"/>
        </w:rPr>
        <w:t>ązku</w:t>
      </w:r>
      <w:r w:rsidR="00F1653C" w:rsidRPr="00E22450">
        <w:rPr>
          <w:noProof/>
          <w:lang w:val="pl-PL"/>
        </w:rPr>
        <w:t xml:space="preserve"> z</w:t>
      </w:r>
      <w:r w:rsidR="00F1653C">
        <w:rPr>
          <w:noProof/>
          <w:lang w:val="pl-PL"/>
        </w:rPr>
        <w:t> </w:t>
      </w:r>
      <w:r w:rsidR="00F1653C" w:rsidRPr="00E22450">
        <w:rPr>
          <w:noProof/>
          <w:lang w:val="pl-PL"/>
        </w:rPr>
        <w:t>tym</w:t>
      </w:r>
      <w:r w:rsidRPr="00E22450">
        <w:rPr>
          <w:noProof/>
          <w:lang w:val="pl-PL"/>
        </w:rPr>
        <w:t xml:space="preserve"> konieczne stało się opracowanie dodatkowych narzędzi polityki,</w:t>
      </w:r>
      <w:r w:rsidR="00F1653C" w:rsidRPr="00E22450">
        <w:rPr>
          <w:noProof/>
          <w:lang w:val="pl-PL"/>
        </w:rPr>
        <w:t xml:space="preserve"> w</w:t>
      </w:r>
      <w:r w:rsidR="00F1653C">
        <w:rPr>
          <w:noProof/>
          <w:lang w:val="pl-PL"/>
        </w:rPr>
        <w:t> </w:t>
      </w:r>
      <w:r w:rsidR="00F1653C" w:rsidRPr="00E22450">
        <w:rPr>
          <w:noProof/>
          <w:lang w:val="pl-PL"/>
        </w:rPr>
        <w:t>tym</w:t>
      </w:r>
      <w:r w:rsidRPr="00E22450">
        <w:rPr>
          <w:noProof/>
          <w:lang w:val="pl-PL"/>
        </w:rPr>
        <w:t xml:space="preserve"> na poziomie makroostrożnościowym, aby ograniczyć nadmierny wzrost akcji kredytowej</w:t>
      </w:r>
      <w:r w:rsidR="00F1653C" w:rsidRPr="00E22450">
        <w:rPr>
          <w:noProof/>
          <w:lang w:val="pl-PL"/>
        </w:rPr>
        <w:t xml:space="preserve"> i</w:t>
      </w:r>
      <w:r w:rsidR="00F1653C">
        <w:rPr>
          <w:noProof/>
          <w:lang w:val="pl-PL"/>
        </w:rPr>
        <w:t> </w:t>
      </w:r>
      <w:r w:rsidR="00F1653C" w:rsidRPr="00E22450">
        <w:rPr>
          <w:noProof/>
          <w:lang w:val="pl-PL"/>
        </w:rPr>
        <w:t>wzm</w:t>
      </w:r>
      <w:r w:rsidRPr="00E22450">
        <w:rPr>
          <w:noProof/>
          <w:lang w:val="pl-PL"/>
        </w:rPr>
        <w:t>ocnić ogólną odporność sektora finansowego na wstrząsy systemowe.</w:t>
      </w:r>
    </w:p>
    <w:p w14:paraId="2B86EDE5" w14:textId="5920CEC5" w:rsidR="003972BB" w:rsidRPr="00E22450" w:rsidRDefault="00743097" w:rsidP="004709F3">
      <w:pPr>
        <w:spacing w:after="120" w:line="240" w:lineRule="auto"/>
        <w:rPr>
          <w:noProof/>
          <w:lang w:val="pl-PL"/>
        </w:rPr>
      </w:pPr>
      <w:r w:rsidRPr="00E22450">
        <w:rPr>
          <w:noProof/>
          <w:lang w:val="pl-PL"/>
        </w:rPr>
        <w:t>Celem polityki makroostrożnościowej jest utrzymanie stabilności finansowej dzięki zwiększeniu odporności systemu finansowego</w:t>
      </w:r>
      <w:r w:rsidR="00F1653C" w:rsidRPr="00E22450">
        <w:rPr>
          <w:noProof/>
          <w:lang w:val="pl-PL"/>
        </w:rPr>
        <w:t xml:space="preserve"> i</w:t>
      </w:r>
      <w:r w:rsidR="00F1653C">
        <w:rPr>
          <w:noProof/>
          <w:lang w:val="pl-PL"/>
        </w:rPr>
        <w:t> </w:t>
      </w:r>
      <w:r w:rsidR="00F1653C" w:rsidRPr="00E22450">
        <w:rPr>
          <w:noProof/>
          <w:lang w:val="pl-PL"/>
        </w:rPr>
        <w:t>ogr</w:t>
      </w:r>
      <w:r w:rsidRPr="00E22450">
        <w:rPr>
          <w:noProof/>
          <w:lang w:val="pl-PL"/>
        </w:rPr>
        <w:t>aniczeniu wzrostu podatności na zagrożenia, co pozwala złagodzić (strukturalne</w:t>
      </w:r>
      <w:r w:rsidR="00F1653C" w:rsidRPr="00E22450">
        <w:rPr>
          <w:noProof/>
          <w:lang w:val="pl-PL"/>
        </w:rPr>
        <w:t xml:space="preserve"> i</w:t>
      </w:r>
      <w:r w:rsidR="00F1653C">
        <w:rPr>
          <w:noProof/>
          <w:lang w:val="pl-PL"/>
        </w:rPr>
        <w:t> </w:t>
      </w:r>
      <w:r w:rsidR="00F1653C" w:rsidRPr="00E22450">
        <w:rPr>
          <w:noProof/>
          <w:lang w:val="pl-PL"/>
        </w:rPr>
        <w:t>cyk</w:t>
      </w:r>
      <w:r w:rsidRPr="00E22450">
        <w:rPr>
          <w:noProof/>
          <w:lang w:val="pl-PL"/>
        </w:rPr>
        <w:t>liczne) ryzyko systemowe</w:t>
      </w:r>
      <w:r w:rsidR="00F1653C" w:rsidRPr="00E22450">
        <w:rPr>
          <w:noProof/>
          <w:lang w:val="pl-PL"/>
        </w:rPr>
        <w:t xml:space="preserve"> i</w:t>
      </w:r>
      <w:r w:rsidR="00F1653C">
        <w:rPr>
          <w:noProof/>
          <w:lang w:val="pl-PL"/>
        </w:rPr>
        <w:t> </w:t>
      </w:r>
      <w:r w:rsidR="00F1653C" w:rsidRPr="00E22450">
        <w:rPr>
          <w:noProof/>
          <w:lang w:val="pl-PL"/>
        </w:rPr>
        <w:t>zap</w:t>
      </w:r>
      <w:r w:rsidRPr="00E22450">
        <w:rPr>
          <w:noProof/>
          <w:lang w:val="pl-PL"/>
        </w:rPr>
        <w:t>ewnić możliwość kontynuacji świadczenia usług finansowych</w:t>
      </w:r>
      <w:r w:rsidR="00F1653C" w:rsidRPr="00E22450">
        <w:rPr>
          <w:noProof/>
          <w:lang w:val="pl-PL"/>
        </w:rPr>
        <w:t xml:space="preserve"> w</w:t>
      </w:r>
      <w:r w:rsidR="00F1653C">
        <w:rPr>
          <w:noProof/>
          <w:lang w:val="pl-PL"/>
        </w:rPr>
        <w:t> </w:t>
      </w:r>
      <w:r w:rsidR="00F1653C" w:rsidRPr="00E22450">
        <w:rPr>
          <w:noProof/>
          <w:lang w:val="pl-PL"/>
        </w:rPr>
        <w:t>cel</w:t>
      </w:r>
      <w:r w:rsidRPr="00E22450">
        <w:rPr>
          <w:noProof/>
          <w:lang w:val="pl-PL"/>
        </w:rPr>
        <w:t>u wsparcia gospodarki. Ryzyko systemowe może się urzeczywistnić</w:t>
      </w:r>
      <w:r w:rsidR="00F1653C" w:rsidRPr="00E22450">
        <w:rPr>
          <w:noProof/>
          <w:lang w:val="pl-PL"/>
        </w:rPr>
        <w:t xml:space="preserve"> w</w:t>
      </w:r>
      <w:r w:rsidR="00F1653C">
        <w:rPr>
          <w:noProof/>
          <w:lang w:val="pl-PL"/>
        </w:rPr>
        <w:t> </w:t>
      </w:r>
      <w:r w:rsidR="00F1653C" w:rsidRPr="00E22450">
        <w:rPr>
          <w:noProof/>
          <w:lang w:val="pl-PL"/>
        </w:rPr>
        <w:t>róż</w:t>
      </w:r>
      <w:r w:rsidRPr="00E22450">
        <w:rPr>
          <w:noProof/>
          <w:lang w:val="pl-PL"/>
        </w:rPr>
        <w:t>nych formach. Na przykład, może ono wynikać</w:t>
      </w:r>
      <w:r w:rsidR="00F1653C" w:rsidRPr="00E22450">
        <w:rPr>
          <w:noProof/>
          <w:lang w:val="pl-PL"/>
        </w:rPr>
        <w:t xml:space="preserve"> z</w:t>
      </w:r>
      <w:r w:rsidR="00F1653C">
        <w:rPr>
          <w:noProof/>
          <w:lang w:val="pl-PL"/>
        </w:rPr>
        <w:t> </w:t>
      </w:r>
      <w:r w:rsidR="00F1653C" w:rsidRPr="00E22450">
        <w:rPr>
          <w:noProof/>
          <w:lang w:val="pl-PL"/>
        </w:rPr>
        <w:t>duż</w:t>
      </w:r>
      <w:r w:rsidRPr="00E22450">
        <w:rPr>
          <w:noProof/>
          <w:lang w:val="pl-PL"/>
        </w:rPr>
        <w:t>ych</w:t>
      </w:r>
      <w:r w:rsidR="00F1653C" w:rsidRPr="00E22450">
        <w:rPr>
          <w:noProof/>
          <w:lang w:val="pl-PL"/>
        </w:rPr>
        <w:t xml:space="preserve"> i</w:t>
      </w:r>
      <w:r w:rsidR="00F1653C">
        <w:rPr>
          <w:noProof/>
          <w:lang w:val="pl-PL"/>
        </w:rPr>
        <w:t> </w:t>
      </w:r>
      <w:r w:rsidR="00F1653C" w:rsidRPr="00E22450">
        <w:rPr>
          <w:noProof/>
          <w:lang w:val="pl-PL"/>
        </w:rPr>
        <w:t>zło</w:t>
      </w:r>
      <w:r w:rsidRPr="00E22450">
        <w:rPr>
          <w:noProof/>
          <w:lang w:val="pl-PL"/>
        </w:rPr>
        <w:t>żonych grup bankowych, nadmiernego wzrostu akcji kredytowej, dźwigni finansowej wzmacniającej cykl kredytowy na rynkach mieszkaniowych</w:t>
      </w:r>
      <w:r w:rsidR="00F1653C" w:rsidRPr="00E22450">
        <w:rPr>
          <w:noProof/>
          <w:lang w:val="pl-PL"/>
        </w:rPr>
        <w:t xml:space="preserve"> i</w:t>
      </w:r>
      <w:r w:rsidR="00F1653C">
        <w:rPr>
          <w:noProof/>
          <w:lang w:val="pl-PL"/>
        </w:rPr>
        <w:t> </w:t>
      </w:r>
      <w:r w:rsidR="00F1653C" w:rsidRPr="00E22450">
        <w:rPr>
          <w:noProof/>
          <w:lang w:val="pl-PL"/>
        </w:rPr>
        <w:t>str</w:t>
      </w:r>
      <w:r w:rsidRPr="00E22450">
        <w:rPr>
          <w:noProof/>
          <w:lang w:val="pl-PL"/>
        </w:rPr>
        <w:t>ukturalnych podatności sektora bankowego na zagrożenia (np. posiadanie wysoce skoncentrowanego lub dużego sektora bankowego</w:t>
      </w:r>
      <w:r w:rsidR="00F1653C" w:rsidRPr="00E22450">
        <w:rPr>
          <w:noProof/>
          <w:lang w:val="pl-PL"/>
        </w:rPr>
        <w:t xml:space="preserve"> w</w:t>
      </w:r>
      <w:r w:rsidR="00F1653C">
        <w:rPr>
          <w:noProof/>
          <w:lang w:val="pl-PL"/>
        </w:rPr>
        <w:t> </w:t>
      </w:r>
      <w:r w:rsidR="00F1653C" w:rsidRPr="00E22450">
        <w:rPr>
          <w:noProof/>
          <w:lang w:val="pl-PL"/>
        </w:rPr>
        <w:t>sto</w:t>
      </w:r>
      <w:r w:rsidRPr="00E22450">
        <w:rPr>
          <w:noProof/>
          <w:lang w:val="pl-PL"/>
        </w:rPr>
        <w:t>sunku do PKB). Łagodzenie ryzyka systemowego</w:t>
      </w:r>
      <w:r w:rsidR="00F1653C" w:rsidRPr="00E22450">
        <w:rPr>
          <w:noProof/>
          <w:lang w:val="pl-PL"/>
        </w:rPr>
        <w:t xml:space="preserve"> w</w:t>
      </w:r>
      <w:r w:rsidR="00F1653C">
        <w:rPr>
          <w:noProof/>
          <w:lang w:val="pl-PL"/>
        </w:rPr>
        <w:t> </w:t>
      </w:r>
      <w:r w:rsidR="00F1653C" w:rsidRPr="00E22450">
        <w:rPr>
          <w:noProof/>
          <w:lang w:val="pl-PL"/>
        </w:rPr>
        <w:t>ram</w:t>
      </w:r>
      <w:r w:rsidRPr="00E22450">
        <w:rPr>
          <w:noProof/>
          <w:lang w:val="pl-PL"/>
        </w:rPr>
        <w:t>ach polityki makroostrożnościowej ma ostatecznie na celu ograniczenie częstotliwości</w:t>
      </w:r>
      <w:r w:rsidR="00F1653C" w:rsidRPr="00E22450">
        <w:rPr>
          <w:noProof/>
          <w:lang w:val="pl-PL"/>
        </w:rPr>
        <w:t xml:space="preserve"> i</w:t>
      </w:r>
      <w:r w:rsidR="00F1653C">
        <w:rPr>
          <w:noProof/>
          <w:lang w:val="pl-PL"/>
        </w:rPr>
        <w:t> </w:t>
      </w:r>
      <w:r w:rsidR="00F1653C" w:rsidRPr="00E22450">
        <w:rPr>
          <w:noProof/>
          <w:lang w:val="pl-PL"/>
        </w:rPr>
        <w:t>dot</w:t>
      </w:r>
      <w:r w:rsidRPr="00E22450">
        <w:rPr>
          <w:noProof/>
          <w:lang w:val="pl-PL"/>
        </w:rPr>
        <w:t>kliwości kryzysów finansowych. Polityka makroostrożnościowa stanowi uzupełnienie nadzoru mikroostrożnościowego, przyczyniając się do złagodzenia cyklu finansowego, ograniczenia efektu domina</w:t>
      </w:r>
      <w:r w:rsidR="00F1653C" w:rsidRPr="00E22450">
        <w:rPr>
          <w:noProof/>
          <w:lang w:val="pl-PL"/>
        </w:rPr>
        <w:t xml:space="preserve"> i</w:t>
      </w:r>
      <w:r w:rsidR="00F1653C">
        <w:rPr>
          <w:noProof/>
          <w:lang w:val="pl-PL"/>
        </w:rPr>
        <w:t> </w:t>
      </w:r>
      <w:r w:rsidR="00F1653C" w:rsidRPr="00E22450">
        <w:rPr>
          <w:noProof/>
          <w:lang w:val="pl-PL"/>
        </w:rPr>
        <w:t>stw</w:t>
      </w:r>
      <w:r w:rsidRPr="00E22450">
        <w:rPr>
          <w:noProof/>
          <w:lang w:val="pl-PL"/>
        </w:rPr>
        <w:t>orzenia odpowiednich zachęt dla uczestników rynku. Dzięki temu sektor bankowy jest wystarczająco odporny</w:t>
      </w:r>
      <w:r w:rsidR="00F1653C" w:rsidRPr="00E22450">
        <w:rPr>
          <w:noProof/>
          <w:lang w:val="pl-PL"/>
        </w:rPr>
        <w:t xml:space="preserve"> i</w:t>
      </w:r>
      <w:r w:rsidR="00F1653C">
        <w:rPr>
          <w:noProof/>
          <w:lang w:val="pl-PL"/>
        </w:rPr>
        <w:t> </w:t>
      </w:r>
      <w:r w:rsidR="00F1653C" w:rsidRPr="00E22450">
        <w:rPr>
          <w:noProof/>
          <w:lang w:val="pl-PL"/>
        </w:rPr>
        <w:t>nie</w:t>
      </w:r>
      <w:r w:rsidRPr="00E22450">
        <w:rPr>
          <w:noProof/>
          <w:lang w:val="pl-PL"/>
        </w:rPr>
        <w:t xml:space="preserve"> ogranicza podaży kredytów dla gospodarstw domowych</w:t>
      </w:r>
      <w:r w:rsidR="00F1653C" w:rsidRPr="00E22450">
        <w:rPr>
          <w:noProof/>
          <w:lang w:val="pl-PL"/>
        </w:rPr>
        <w:t xml:space="preserve"> i</w:t>
      </w:r>
      <w:r w:rsidR="00F1653C">
        <w:rPr>
          <w:noProof/>
          <w:lang w:val="pl-PL"/>
        </w:rPr>
        <w:t> </w:t>
      </w:r>
      <w:r w:rsidR="00F1653C" w:rsidRPr="00E22450">
        <w:rPr>
          <w:noProof/>
          <w:lang w:val="pl-PL"/>
        </w:rPr>
        <w:t>prz</w:t>
      </w:r>
      <w:r w:rsidRPr="00E22450">
        <w:rPr>
          <w:noProof/>
          <w:lang w:val="pl-PL"/>
        </w:rPr>
        <w:t>edsiębiorstw znajdujących się</w:t>
      </w:r>
      <w:r w:rsidR="00F1653C" w:rsidRPr="00E22450">
        <w:rPr>
          <w:noProof/>
          <w:lang w:val="pl-PL"/>
        </w:rPr>
        <w:t xml:space="preserve"> w</w:t>
      </w:r>
      <w:r w:rsidR="00F1653C">
        <w:rPr>
          <w:noProof/>
          <w:lang w:val="pl-PL"/>
        </w:rPr>
        <w:t> </w:t>
      </w:r>
      <w:r w:rsidR="00F1653C" w:rsidRPr="00E22450">
        <w:rPr>
          <w:noProof/>
          <w:lang w:val="pl-PL"/>
        </w:rPr>
        <w:t>kry</w:t>
      </w:r>
      <w:r w:rsidRPr="00E22450">
        <w:rPr>
          <w:noProof/>
          <w:lang w:val="pl-PL"/>
        </w:rPr>
        <w:t>zysie, który potęguje negatywne wstrząsy</w:t>
      </w:r>
      <w:r w:rsidR="00F1653C" w:rsidRPr="00E22450">
        <w:rPr>
          <w:noProof/>
          <w:lang w:val="pl-PL"/>
        </w:rPr>
        <w:t xml:space="preserve"> w</w:t>
      </w:r>
      <w:r w:rsidR="00F1653C">
        <w:rPr>
          <w:noProof/>
          <w:lang w:val="pl-PL"/>
        </w:rPr>
        <w:t> </w:t>
      </w:r>
      <w:r w:rsidR="00F1653C" w:rsidRPr="00E22450">
        <w:rPr>
          <w:noProof/>
          <w:lang w:val="pl-PL"/>
        </w:rPr>
        <w:t>gos</w:t>
      </w:r>
      <w:r w:rsidRPr="00E22450">
        <w:rPr>
          <w:noProof/>
          <w:lang w:val="pl-PL"/>
        </w:rPr>
        <w:t>podarce</w:t>
      </w:r>
      <w:r w:rsidR="00F1653C" w:rsidRPr="00E22450">
        <w:rPr>
          <w:noProof/>
          <w:lang w:val="pl-PL"/>
        </w:rPr>
        <w:t xml:space="preserve"> i</w:t>
      </w:r>
      <w:r w:rsidR="00F1653C">
        <w:rPr>
          <w:noProof/>
          <w:lang w:val="pl-PL"/>
        </w:rPr>
        <w:t> </w:t>
      </w:r>
      <w:r w:rsidR="00F1653C" w:rsidRPr="00E22450">
        <w:rPr>
          <w:noProof/>
          <w:lang w:val="pl-PL"/>
        </w:rPr>
        <w:t>moż</w:t>
      </w:r>
      <w:r w:rsidRPr="00E22450">
        <w:rPr>
          <w:noProof/>
          <w:lang w:val="pl-PL"/>
        </w:rPr>
        <w:t xml:space="preserve">e pogłębić lub przedłużać pogorszenie koniunktury gospodarczej. </w:t>
      </w:r>
    </w:p>
    <w:p w14:paraId="7280B668" w14:textId="7E2C4B65" w:rsidR="003972BB" w:rsidRPr="00E22450" w:rsidRDefault="00E24179" w:rsidP="004709F3">
      <w:pPr>
        <w:spacing w:after="120" w:line="240" w:lineRule="auto"/>
        <w:rPr>
          <w:noProof/>
          <w:lang w:val="pl-PL"/>
        </w:rPr>
      </w:pPr>
      <w:r w:rsidRPr="00E22450">
        <w:rPr>
          <w:noProof/>
          <w:lang w:val="pl-PL"/>
        </w:rPr>
        <w:t>Zestaw narzędzi makroostrożnościowych obejmuje wymogi lub procedury opracowane</w:t>
      </w:r>
      <w:r w:rsidR="00F1653C" w:rsidRPr="00E22450">
        <w:rPr>
          <w:noProof/>
          <w:lang w:val="pl-PL"/>
        </w:rPr>
        <w:t xml:space="preserve"> w</w:t>
      </w:r>
      <w:r w:rsidR="00F1653C">
        <w:rPr>
          <w:noProof/>
          <w:lang w:val="pl-PL"/>
        </w:rPr>
        <w:t> </w:t>
      </w:r>
      <w:r w:rsidR="00F1653C" w:rsidRPr="00E22450">
        <w:rPr>
          <w:noProof/>
          <w:lang w:val="pl-PL"/>
        </w:rPr>
        <w:t>cel</w:t>
      </w:r>
      <w:r w:rsidRPr="00E22450">
        <w:rPr>
          <w:noProof/>
          <w:lang w:val="pl-PL"/>
        </w:rPr>
        <w:t>u zminimalizowania negatywnego wpływu zdarzeń systemowych</w:t>
      </w:r>
      <w:r>
        <w:rPr>
          <w:noProof/>
          <w:vertAlign w:val="superscript"/>
        </w:rPr>
        <w:footnoteReference w:id="5"/>
      </w:r>
      <w:r w:rsidRPr="00E22450">
        <w:rPr>
          <w:noProof/>
          <w:lang w:val="pl-PL"/>
        </w:rPr>
        <w:t xml:space="preserve"> oraz ochrony systemu finansowego jako całości</w:t>
      </w:r>
      <w:r>
        <w:rPr>
          <w:noProof/>
          <w:vertAlign w:val="superscript"/>
        </w:rPr>
        <w:footnoteReference w:id="6"/>
      </w:r>
      <w:r w:rsidRPr="00E22450">
        <w:rPr>
          <w:noProof/>
          <w:lang w:val="pl-PL"/>
        </w:rPr>
        <w:t>. Narzędzia mikroostrożnościowe mogą jedynie pośrednio ograniczać ryzyko systemowe poprzez przeciwdziałanie ryzyku na poziomie podmiotu lub transakcji</w:t>
      </w:r>
      <w:r>
        <w:rPr>
          <w:noProof/>
          <w:vertAlign w:val="superscript"/>
        </w:rPr>
        <w:footnoteReference w:id="7"/>
      </w:r>
      <w:r w:rsidRPr="00E22450">
        <w:rPr>
          <w:noProof/>
          <w:lang w:val="pl-PL"/>
        </w:rPr>
        <w:t xml:space="preserve">. </w:t>
      </w:r>
      <w:r w:rsidRPr="00E22450">
        <w:rPr>
          <w:b/>
          <w:noProof/>
          <w:lang w:val="pl-PL"/>
        </w:rPr>
        <w:t>Narzędzia makroostrożnościowe</w:t>
      </w:r>
      <w:r w:rsidRPr="00E22450">
        <w:rPr>
          <w:noProof/>
          <w:lang w:val="pl-PL"/>
        </w:rPr>
        <w:t xml:space="preserve"> zazwyczaj przyjmują formę </w:t>
      </w:r>
      <w:r w:rsidRPr="00E22450">
        <w:rPr>
          <w:b/>
          <w:noProof/>
          <w:lang w:val="pl-PL"/>
        </w:rPr>
        <w:t>środków zapobiegawczych</w:t>
      </w:r>
      <w:r w:rsidRPr="00E22450">
        <w:rPr>
          <w:noProof/>
          <w:lang w:val="pl-PL"/>
        </w:rPr>
        <w:t xml:space="preserve"> (tj. środków </w:t>
      </w:r>
      <w:r w:rsidRPr="00E22450">
        <w:rPr>
          <w:i/>
          <w:noProof/>
          <w:lang w:val="pl-PL"/>
        </w:rPr>
        <w:t>ex ante</w:t>
      </w:r>
      <w:r w:rsidRPr="00E22450">
        <w:rPr>
          <w:noProof/>
          <w:lang w:val="pl-PL"/>
        </w:rPr>
        <w:t xml:space="preserve"> uruchamianych przed wystąpieniem ryzyka systemowego, takich jak strukturalne limity dźwigni finansowej lub bufory kapitałowe ryzyka systemowego) oraz </w:t>
      </w:r>
      <w:r w:rsidRPr="00E22450">
        <w:rPr>
          <w:b/>
          <w:noProof/>
          <w:lang w:val="pl-PL"/>
        </w:rPr>
        <w:t xml:space="preserve">środków </w:t>
      </w:r>
      <w:r w:rsidRPr="00E22450">
        <w:rPr>
          <w:b/>
          <w:i/>
          <w:noProof/>
          <w:lang w:val="pl-PL"/>
        </w:rPr>
        <w:t>ex post</w:t>
      </w:r>
      <w:r w:rsidRPr="00E22450">
        <w:rPr>
          <w:noProof/>
          <w:lang w:val="pl-PL"/>
        </w:rPr>
        <w:t xml:space="preserve"> (tj. środków uruchamianych po wystąpieniu ryzyka systemowego, takich jak zawieszenie praw inwestorów do umarzania jednostek funduszy inwestycyjnych).</w:t>
      </w:r>
    </w:p>
    <w:p w14:paraId="6E8D28D0" w14:textId="39D24E24" w:rsidR="005958D5" w:rsidRPr="000F0EC8" w:rsidRDefault="005958D5" w:rsidP="000F0EC8">
      <w:pPr>
        <w:pStyle w:val="ListParagraph"/>
        <w:numPr>
          <w:ilvl w:val="0"/>
          <w:numId w:val="26"/>
        </w:numPr>
        <w:spacing w:after="120"/>
        <w:rPr>
          <w:b/>
          <w:noProof/>
        </w:rPr>
      </w:pPr>
      <w:r>
        <w:rPr>
          <w:b/>
          <w:noProof/>
        </w:rPr>
        <w:t>Zmienione ramy makroostrożnościowe dla banków</w:t>
      </w:r>
    </w:p>
    <w:p w14:paraId="4DC6E0F7" w14:textId="2902332A" w:rsidR="00985F39" w:rsidRPr="00E22450" w:rsidRDefault="004F42E4" w:rsidP="004709F3">
      <w:pPr>
        <w:spacing w:after="120" w:line="240" w:lineRule="auto"/>
        <w:rPr>
          <w:rFonts w:cs="Times New Roman"/>
          <w:noProof/>
          <w:lang w:val="pl-PL"/>
        </w:rPr>
      </w:pPr>
      <w:r w:rsidRPr="00E22450">
        <w:rPr>
          <w:noProof/>
          <w:lang w:val="pl-PL"/>
        </w:rPr>
        <w:t>W następstwie światowego kryzysu finansowego działania podjęte na szczeblu międzynarodowym</w:t>
      </w:r>
      <w:r w:rsidR="00F1653C" w:rsidRPr="00E22450">
        <w:rPr>
          <w:noProof/>
          <w:lang w:val="pl-PL"/>
        </w:rPr>
        <w:t xml:space="preserve"> i</w:t>
      </w:r>
      <w:r w:rsidR="00F1653C">
        <w:rPr>
          <w:noProof/>
          <w:lang w:val="pl-PL"/>
        </w:rPr>
        <w:t> </w:t>
      </w:r>
      <w:r w:rsidR="00F1653C" w:rsidRPr="00E22450">
        <w:rPr>
          <w:noProof/>
          <w:lang w:val="pl-PL"/>
        </w:rPr>
        <w:t>uni</w:t>
      </w:r>
      <w:r w:rsidRPr="00E22450">
        <w:rPr>
          <w:noProof/>
          <w:lang w:val="pl-PL"/>
        </w:rPr>
        <w:t>jnym</w:t>
      </w:r>
      <w:r w:rsidR="00F1653C" w:rsidRPr="00E22450">
        <w:rPr>
          <w:noProof/>
          <w:lang w:val="pl-PL"/>
        </w:rPr>
        <w:t xml:space="preserve"> w</w:t>
      </w:r>
      <w:r w:rsidR="00F1653C">
        <w:rPr>
          <w:noProof/>
          <w:lang w:val="pl-PL"/>
        </w:rPr>
        <w:t> </w:t>
      </w:r>
      <w:r w:rsidR="00F1653C" w:rsidRPr="00E22450">
        <w:rPr>
          <w:noProof/>
          <w:lang w:val="pl-PL"/>
        </w:rPr>
        <w:t>cel</w:t>
      </w:r>
      <w:r w:rsidRPr="00E22450">
        <w:rPr>
          <w:noProof/>
          <w:lang w:val="pl-PL"/>
        </w:rPr>
        <w:t>u wzmocnienia ram mikroostrożnościowych dla banków</w:t>
      </w:r>
      <w:r w:rsidR="00F1653C" w:rsidRPr="00E22450">
        <w:rPr>
          <w:noProof/>
          <w:lang w:val="pl-PL"/>
        </w:rPr>
        <w:t xml:space="preserve"> i</w:t>
      </w:r>
      <w:r w:rsidR="00F1653C">
        <w:rPr>
          <w:noProof/>
          <w:lang w:val="pl-PL"/>
        </w:rPr>
        <w:t> </w:t>
      </w:r>
      <w:r w:rsidR="00F1653C" w:rsidRPr="00E22450">
        <w:rPr>
          <w:noProof/>
          <w:lang w:val="pl-PL"/>
        </w:rPr>
        <w:t>opr</w:t>
      </w:r>
      <w:r w:rsidRPr="00E22450">
        <w:rPr>
          <w:noProof/>
          <w:lang w:val="pl-PL"/>
        </w:rPr>
        <w:t>acowania ram polityki makroostrożnościowej zaowocowały kompleksowym programem reform. Bazylejski Komitet Nadzoru Bankowego (komitet bazylejski) opracował pakiet Bazylea III, co przyczyniło się do podniesienia jakości kapitału, wprowadzenia nowych buforów kapitałowych</w:t>
      </w:r>
      <w:r w:rsidR="00F1653C" w:rsidRPr="00E22450">
        <w:rPr>
          <w:noProof/>
          <w:lang w:val="pl-PL"/>
        </w:rPr>
        <w:t xml:space="preserve"> i</w:t>
      </w:r>
      <w:r w:rsidR="00F1653C">
        <w:rPr>
          <w:noProof/>
          <w:lang w:val="pl-PL"/>
        </w:rPr>
        <w:t> </w:t>
      </w:r>
      <w:r w:rsidR="00F1653C" w:rsidRPr="00E22450">
        <w:rPr>
          <w:noProof/>
          <w:lang w:val="pl-PL"/>
        </w:rPr>
        <w:t>zab</w:t>
      </w:r>
      <w:r w:rsidRPr="00E22450">
        <w:rPr>
          <w:noProof/>
          <w:lang w:val="pl-PL"/>
        </w:rPr>
        <w:t>ezpieczeń przed utratą płynności oraz limitów wskaźnika dźwigni dla banków, poprawienia zarządzania ryzykiem, zarządzania ogółem</w:t>
      </w:r>
      <w:r w:rsidR="00F1653C" w:rsidRPr="00E22450">
        <w:rPr>
          <w:noProof/>
          <w:lang w:val="pl-PL"/>
        </w:rPr>
        <w:t xml:space="preserve"> i</w:t>
      </w:r>
      <w:r w:rsidR="00F1653C">
        <w:rPr>
          <w:noProof/>
          <w:lang w:val="pl-PL"/>
        </w:rPr>
        <w:t> </w:t>
      </w:r>
      <w:r w:rsidR="00F1653C" w:rsidRPr="00E22450">
        <w:rPr>
          <w:noProof/>
          <w:lang w:val="pl-PL"/>
        </w:rPr>
        <w:t>prz</w:t>
      </w:r>
      <w:r w:rsidRPr="00E22450">
        <w:rPr>
          <w:noProof/>
          <w:lang w:val="pl-PL"/>
        </w:rPr>
        <w:t xml:space="preserve">ejrzystości oraz stworzenia ram polityki makroostrożnościowej. </w:t>
      </w:r>
    </w:p>
    <w:p w14:paraId="5A5D6C1D" w14:textId="31DAD404" w:rsidR="0010741F" w:rsidRPr="00E22450" w:rsidRDefault="007B4577" w:rsidP="004709F3">
      <w:pPr>
        <w:spacing w:after="120" w:line="240" w:lineRule="auto"/>
        <w:rPr>
          <w:rFonts w:cs="Times New Roman"/>
          <w:noProof/>
          <w:lang w:val="pl-PL"/>
        </w:rPr>
      </w:pPr>
      <w:r w:rsidRPr="00E22450">
        <w:rPr>
          <w:noProof/>
          <w:lang w:val="pl-PL"/>
        </w:rPr>
        <w:t>Na poziomie UE</w:t>
      </w:r>
      <w:r w:rsidR="00F1653C" w:rsidRPr="00E22450">
        <w:rPr>
          <w:noProof/>
          <w:lang w:val="pl-PL"/>
        </w:rPr>
        <w:t xml:space="preserve"> w</w:t>
      </w:r>
      <w:r w:rsidR="00F1653C">
        <w:rPr>
          <w:noProof/>
          <w:lang w:val="pl-PL"/>
        </w:rPr>
        <w:t> </w:t>
      </w:r>
      <w:r w:rsidR="00F1653C" w:rsidRPr="00E22450">
        <w:rPr>
          <w:rStyle w:val="BodyTextChar"/>
          <w:noProof/>
          <w:lang w:val="pl-PL"/>
        </w:rPr>
        <w:t>spr</w:t>
      </w:r>
      <w:r w:rsidRPr="00E22450">
        <w:rPr>
          <w:rStyle w:val="BodyTextChar"/>
          <w:noProof/>
          <w:lang w:val="pl-PL"/>
        </w:rPr>
        <w:t>awozdaniu grupy De Larosière’a</w:t>
      </w:r>
      <w:r>
        <w:rPr>
          <w:rStyle w:val="FootnoteReference"/>
          <w:rFonts w:eastAsiaTheme="minorEastAsia" w:cs="Times New Roman"/>
          <w:noProof/>
        </w:rPr>
        <w:footnoteReference w:id="8"/>
      </w:r>
      <w:r w:rsidRPr="00E22450">
        <w:rPr>
          <w:rStyle w:val="BodyTextChar"/>
          <w:noProof/>
          <w:lang w:val="pl-PL"/>
        </w:rPr>
        <w:t xml:space="preserve"> zalecono, aby ramy nadzorcze</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reg</w:t>
      </w:r>
      <w:r w:rsidRPr="00E22450">
        <w:rPr>
          <w:rStyle w:val="BodyTextChar"/>
          <w:noProof/>
          <w:lang w:val="pl-PL"/>
        </w:rPr>
        <w:t>ulacyjne nie koncentrowały się już tylko na nadzorowaniu poszczególnych instytucji finansowych</w:t>
      </w:r>
      <w:r>
        <w:rPr>
          <w:rStyle w:val="FootnoteReference"/>
          <w:rFonts w:eastAsiaTheme="minorEastAsia" w:cs="Times New Roman"/>
          <w:noProof/>
        </w:rPr>
        <w:footnoteReference w:id="9"/>
      </w:r>
      <w:r w:rsidRPr="00E22450">
        <w:rPr>
          <w:rStyle w:val="BodyTextChar"/>
          <w:noProof/>
          <w:lang w:val="pl-PL"/>
        </w:rPr>
        <w:t>, ale także na stabilności całego systemu finansowego</w:t>
      </w:r>
      <w:r w:rsidR="00F1653C" w:rsidRPr="00E22450">
        <w:rPr>
          <w:rStyle w:val="BodyTextChar"/>
          <w:noProof/>
          <w:lang w:val="pl-PL"/>
        </w:rPr>
        <w:t>. W</w:t>
      </w:r>
      <w:r w:rsidR="00F1653C">
        <w:rPr>
          <w:rStyle w:val="BodyTextChar"/>
          <w:noProof/>
          <w:lang w:val="pl-PL"/>
        </w:rPr>
        <w:t> </w:t>
      </w:r>
      <w:r w:rsidR="00F1653C" w:rsidRPr="00E22450">
        <w:rPr>
          <w:rStyle w:val="BodyTextChar"/>
          <w:noProof/>
          <w:lang w:val="pl-PL"/>
        </w:rPr>
        <w:t>spr</w:t>
      </w:r>
      <w:r w:rsidRPr="00E22450">
        <w:rPr>
          <w:rStyle w:val="BodyTextChar"/>
          <w:noProof/>
          <w:lang w:val="pl-PL"/>
        </w:rPr>
        <w:t xml:space="preserve">awozdaniu tym zauważono, że </w:t>
      </w:r>
      <w:r w:rsidRPr="00E22450">
        <w:rPr>
          <w:noProof/>
          <w:lang w:val="pl-PL"/>
        </w:rPr>
        <w:t>„celem nadzoru makroostrożnościowego jest ograniczenie trudności systemu finansowego, aby chronić całą gospodarkę przed znacznymi stratami</w:t>
      </w:r>
      <w:r w:rsidR="00F1653C" w:rsidRPr="00E22450">
        <w:rPr>
          <w:noProof/>
          <w:lang w:val="pl-PL"/>
        </w:rPr>
        <w:t xml:space="preserve"> w</w:t>
      </w:r>
      <w:r w:rsidR="00F1653C">
        <w:rPr>
          <w:noProof/>
          <w:lang w:val="pl-PL"/>
        </w:rPr>
        <w:t> </w:t>
      </w:r>
      <w:r w:rsidR="00F1653C" w:rsidRPr="00E22450">
        <w:rPr>
          <w:noProof/>
          <w:lang w:val="pl-PL"/>
        </w:rPr>
        <w:t>zak</w:t>
      </w:r>
      <w:r w:rsidRPr="00E22450">
        <w:rPr>
          <w:noProof/>
          <w:lang w:val="pl-PL"/>
        </w:rPr>
        <w:t>resie rzeczywistych produktów [...]. Podczas analizy makroostrożnościowej [...] należy zwracać szczególną uwagę na wspólne lub skorelowane wstrząsy oraz wstrząsy</w:t>
      </w:r>
      <w:r w:rsidR="00F1653C" w:rsidRPr="00E22450">
        <w:rPr>
          <w:noProof/>
          <w:lang w:val="pl-PL"/>
        </w:rPr>
        <w:t xml:space="preserve"> w</w:t>
      </w:r>
      <w:r w:rsidR="00F1653C">
        <w:rPr>
          <w:noProof/>
          <w:lang w:val="pl-PL"/>
        </w:rPr>
        <w:t> </w:t>
      </w:r>
      <w:r w:rsidR="00F1653C" w:rsidRPr="00E22450">
        <w:rPr>
          <w:noProof/>
          <w:lang w:val="pl-PL"/>
        </w:rPr>
        <w:t>tyc</w:t>
      </w:r>
      <w:r w:rsidRPr="00E22450">
        <w:rPr>
          <w:noProof/>
          <w:lang w:val="pl-PL"/>
        </w:rPr>
        <w:t>h częściach systemu finansowego, które wywołują zaraźliwe efekty domina lub sprzężenia zwrotnego. Nadzór makroostrożnościowy nie może być skuteczny, jeśli nie może</w:t>
      </w:r>
      <w:r w:rsidR="00F1653C" w:rsidRPr="00E22450">
        <w:rPr>
          <w:noProof/>
          <w:lang w:val="pl-PL"/>
        </w:rPr>
        <w:t xml:space="preserve"> w</w:t>
      </w:r>
      <w:r w:rsidR="00F1653C">
        <w:rPr>
          <w:noProof/>
          <w:lang w:val="pl-PL"/>
        </w:rPr>
        <w:t> </w:t>
      </w:r>
      <w:r w:rsidR="00F1653C" w:rsidRPr="00E22450">
        <w:rPr>
          <w:noProof/>
          <w:lang w:val="pl-PL"/>
        </w:rPr>
        <w:t>odd</w:t>
      </w:r>
      <w:r w:rsidRPr="00E22450">
        <w:rPr>
          <w:noProof/>
          <w:lang w:val="pl-PL"/>
        </w:rPr>
        <w:t>ziaływać</w:t>
      </w:r>
      <w:r w:rsidR="00F1653C" w:rsidRPr="00E22450">
        <w:rPr>
          <w:noProof/>
          <w:lang w:val="pl-PL"/>
        </w:rPr>
        <w:t xml:space="preserve"> w</w:t>
      </w:r>
      <w:r w:rsidR="00F1653C">
        <w:rPr>
          <w:noProof/>
          <w:lang w:val="pl-PL"/>
        </w:rPr>
        <w:t> </w:t>
      </w:r>
      <w:r w:rsidR="00F1653C" w:rsidRPr="00E22450">
        <w:rPr>
          <w:noProof/>
          <w:lang w:val="pl-PL"/>
        </w:rPr>
        <w:t>pew</w:t>
      </w:r>
      <w:r w:rsidRPr="00E22450">
        <w:rPr>
          <w:noProof/>
          <w:lang w:val="pl-PL"/>
        </w:rPr>
        <w:t>ien sposób na nadzór na poziomie mikro;</w:t>
      </w:r>
      <w:r w:rsidR="00F1653C" w:rsidRPr="00E22450">
        <w:rPr>
          <w:noProof/>
          <w:lang w:val="pl-PL"/>
        </w:rPr>
        <w:t xml:space="preserve"> z</w:t>
      </w:r>
      <w:r w:rsidR="00F1653C">
        <w:rPr>
          <w:noProof/>
          <w:lang w:val="pl-PL"/>
        </w:rPr>
        <w:t> </w:t>
      </w:r>
      <w:r w:rsidR="00F1653C" w:rsidRPr="00E22450">
        <w:rPr>
          <w:noProof/>
          <w:lang w:val="pl-PL"/>
        </w:rPr>
        <w:t>kol</w:t>
      </w:r>
      <w:r w:rsidRPr="00E22450">
        <w:rPr>
          <w:noProof/>
          <w:lang w:val="pl-PL"/>
        </w:rPr>
        <w:t>ei nadzór mikroostrożnościowy nie może skutecznie chronić stabilności finansowej bez odpowiedniego uwzględnienia zmian na poziomie makro”.</w:t>
      </w:r>
    </w:p>
    <w:p w14:paraId="5F33957E" w14:textId="2846E593" w:rsidR="00283466" w:rsidRPr="00E22450" w:rsidRDefault="00147C12" w:rsidP="004709F3">
      <w:pPr>
        <w:spacing w:after="120" w:line="240" w:lineRule="auto"/>
        <w:rPr>
          <w:rFonts w:cs="Times New Roman"/>
          <w:noProof/>
          <w:lang w:val="pl-PL"/>
        </w:rPr>
      </w:pPr>
      <w:r w:rsidRPr="00E22450">
        <w:rPr>
          <w:rStyle w:val="BodyTextChar"/>
          <w:noProof/>
          <w:lang w:val="pl-PL"/>
        </w:rPr>
        <w:t>UE podjęła istotne kroki</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cel</w:t>
      </w:r>
      <w:r w:rsidRPr="00E22450">
        <w:rPr>
          <w:rStyle w:val="BodyTextChar"/>
          <w:noProof/>
          <w:lang w:val="pl-PL"/>
        </w:rPr>
        <w:t>u wzmocnienia swoich ram makroostrożnościowych poprzez wdrożenie reform zalecanych</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spr</w:t>
      </w:r>
      <w:r w:rsidRPr="00E22450">
        <w:rPr>
          <w:rStyle w:val="BodyTextChar"/>
          <w:noProof/>
          <w:lang w:val="pl-PL"/>
        </w:rPr>
        <w:t>awozdaniu grupy De Larosière’a oraz norm opracowanych na szczeblu międzynarodowym. Przyjęła na przykład środki mające na celu ograniczenie procyklicznych skutków środków przewidzianych</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pak</w:t>
      </w:r>
      <w:r w:rsidRPr="00E22450">
        <w:rPr>
          <w:rStyle w:val="BodyTextChar"/>
          <w:noProof/>
          <w:lang w:val="pl-PL"/>
        </w:rPr>
        <w:t>iecie Bazylea II oraz ustanowiła ERRS</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Eur</w:t>
      </w:r>
      <w:r w:rsidRPr="00E22450">
        <w:rPr>
          <w:rStyle w:val="BodyTextChar"/>
          <w:noProof/>
          <w:lang w:val="pl-PL"/>
        </w:rPr>
        <w:t>opejskie Urzędy Nadzoru (EUN), aby zapewnić właściwe monitorowanie zagrożeń dla stabilności finansowej</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cał</w:t>
      </w:r>
      <w:r w:rsidRPr="00E22450">
        <w:rPr>
          <w:rStyle w:val="BodyTextChar"/>
          <w:noProof/>
          <w:lang w:val="pl-PL"/>
        </w:rPr>
        <w:t>ym systemie finansowym,</w:t>
      </w:r>
      <w:r w:rsidR="00F1653C" w:rsidRPr="00E22450">
        <w:rPr>
          <w:rStyle w:val="BodyTextChar"/>
          <w:noProof/>
          <w:lang w:val="pl-PL"/>
        </w:rPr>
        <w:t xml:space="preserve"> a</w:t>
      </w:r>
      <w:r w:rsidR="00F1653C">
        <w:rPr>
          <w:rStyle w:val="BodyTextChar"/>
          <w:noProof/>
          <w:lang w:val="pl-PL"/>
        </w:rPr>
        <w:t> </w:t>
      </w:r>
      <w:r w:rsidR="00F1653C" w:rsidRPr="00E22450">
        <w:rPr>
          <w:rStyle w:val="BodyTextChar"/>
          <w:noProof/>
          <w:lang w:val="pl-PL"/>
        </w:rPr>
        <w:t>tak</w:t>
      </w:r>
      <w:r w:rsidRPr="00E22450">
        <w:rPr>
          <w:rStyle w:val="BodyTextChar"/>
          <w:noProof/>
          <w:lang w:val="pl-PL"/>
        </w:rPr>
        <w:t>że innych rodzajów ryzyka.</w:t>
      </w:r>
    </w:p>
    <w:p w14:paraId="6D94E5D6" w14:textId="4EBF79BD" w:rsidR="00656D4A" w:rsidRPr="00E22450" w:rsidRDefault="008213CC" w:rsidP="004709F3">
      <w:pPr>
        <w:spacing w:after="120" w:line="240" w:lineRule="auto"/>
        <w:rPr>
          <w:rFonts w:cs="Times New Roman"/>
          <w:noProof/>
          <w:lang w:val="pl-PL"/>
        </w:rPr>
      </w:pPr>
      <w:r w:rsidRPr="00E22450">
        <w:rPr>
          <w:rStyle w:val="BodyTextChar"/>
          <w:b/>
          <w:noProof/>
          <w:lang w:val="pl-PL"/>
        </w:rPr>
        <w:t>W 20</w:t>
      </w:r>
      <w:r w:rsidRPr="00F1653C">
        <w:rPr>
          <w:rStyle w:val="BodyTextChar"/>
          <w:b/>
          <w:noProof/>
          <w:lang w:val="pl-PL"/>
        </w:rPr>
        <w:t>14</w:t>
      </w:r>
      <w:r w:rsidR="00F1653C" w:rsidRPr="00F1653C">
        <w:rPr>
          <w:rStyle w:val="BodyTextChar"/>
          <w:b/>
          <w:noProof/>
          <w:lang w:val="pl-PL"/>
        </w:rPr>
        <w:t> </w:t>
      </w:r>
      <w:r w:rsidRPr="00F1653C">
        <w:rPr>
          <w:rStyle w:val="BodyTextChar"/>
          <w:b/>
          <w:noProof/>
          <w:lang w:val="pl-PL"/>
        </w:rPr>
        <w:t>r.</w:t>
      </w:r>
      <w:r w:rsidRPr="00E22450">
        <w:rPr>
          <w:b/>
          <w:noProof/>
          <w:lang w:val="pl-PL"/>
        </w:rPr>
        <w:t xml:space="preserve"> </w:t>
      </w:r>
      <w:r w:rsidRPr="00E22450">
        <w:rPr>
          <w:rStyle w:val="BodyTextChar"/>
          <w:b/>
          <w:noProof/>
          <w:lang w:val="pl-PL"/>
        </w:rPr>
        <w:t xml:space="preserve">zestaw narzędzi makroostrożnościowych, </w:t>
      </w:r>
      <w:r w:rsidRPr="00E22450">
        <w:rPr>
          <w:b/>
          <w:noProof/>
          <w:lang w:val="pl-PL"/>
        </w:rPr>
        <w:t xml:space="preserve">który opiera się na normach międzynarodowych opracowanych przez komitet bazylejski, </w:t>
      </w:r>
      <w:r w:rsidRPr="00E22450">
        <w:rPr>
          <w:rStyle w:val="BodyTextChar"/>
          <w:b/>
          <w:noProof/>
          <w:lang w:val="pl-PL"/>
        </w:rPr>
        <w:t xml:space="preserve">zaczął mieć zastosowanie do </w:t>
      </w:r>
      <w:r w:rsidRPr="00E22450">
        <w:rPr>
          <w:b/>
          <w:noProof/>
          <w:lang w:val="pl-PL"/>
        </w:rPr>
        <w:t>instytucji kredytowych</w:t>
      </w:r>
      <w:r w:rsidRPr="00E22450">
        <w:rPr>
          <w:noProof/>
          <w:lang w:val="pl-PL"/>
        </w:rPr>
        <w:t xml:space="preserve"> (zwanych dalej „bankami”). Ten zestaw narzędzi, określony</w:t>
      </w:r>
      <w:r w:rsidR="00F1653C" w:rsidRPr="00E22450">
        <w:rPr>
          <w:noProof/>
          <w:lang w:val="pl-PL"/>
        </w:rPr>
        <w:t xml:space="preserve"> w</w:t>
      </w:r>
      <w:r w:rsidR="00F1653C">
        <w:rPr>
          <w:noProof/>
          <w:lang w:val="pl-PL"/>
        </w:rPr>
        <w:t> </w:t>
      </w:r>
      <w:r w:rsidR="00F1653C" w:rsidRPr="00E22450">
        <w:rPr>
          <w:noProof/>
          <w:lang w:val="pl-PL"/>
        </w:rPr>
        <w:t>dyr</w:t>
      </w:r>
      <w:r w:rsidRPr="00E22450">
        <w:rPr>
          <w:noProof/>
          <w:lang w:val="pl-PL"/>
        </w:rPr>
        <w:t>ektywie</w:t>
      </w:r>
      <w:r w:rsidR="00F1653C" w:rsidRPr="00E22450">
        <w:rPr>
          <w:noProof/>
          <w:lang w:val="pl-PL"/>
        </w:rPr>
        <w:t xml:space="preserve"> i</w:t>
      </w:r>
      <w:r w:rsidR="00F1653C">
        <w:rPr>
          <w:noProof/>
          <w:lang w:val="pl-PL"/>
        </w:rPr>
        <w:t> </w:t>
      </w:r>
      <w:r w:rsidR="00F1653C" w:rsidRPr="00E22450">
        <w:rPr>
          <w:noProof/>
          <w:lang w:val="pl-PL"/>
        </w:rPr>
        <w:t>roz</w:t>
      </w:r>
      <w:r w:rsidRPr="00E22450">
        <w:rPr>
          <w:noProof/>
          <w:lang w:val="pl-PL"/>
        </w:rPr>
        <w:t>porządzeniu</w:t>
      </w:r>
      <w:r w:rsidR="00F1653C" w:rsidRPr="00E22450">
        <w:rPr>
          <w:noProof/>
          <w:lang w:val="pl-PL"/>
        </w:rPr>
        <w:t xml:space="preserve"> w</w:t>
      </w:r>
      <w:r w:rsidR="00F1653C">
        <w:rPr>
          <w:noProof/>
          <w:lang w:val="pl-PL"/>
        </w:rPr>
        <w:t> </w:t>
      </w:r>
      <w:r w:rsidR="00F1653C" w:rsidRPr="00E22450">
        <w:rPr>
          <w:noProof/>
          <w:lang w:val="pl-PL"/>
        </w:rPr>
        <w:t>spr</w:t>
      </w:r>
      <w:r w:rsidRPr="00E22450">
        <w:rPr>
          <w:noProof/>
          <w:lang w:val="pl-PL"/>
        </w:rPr>
        <w:t>awie wymogów kapitałowych (CRD/CRR), został tylko nieznacznie zmieniony</w:t>
      </w:r>
      <w:r w:rsidR="00F1653C" w:rsidRPr="00E22450">
        <w:rPr>
          <w:noProof/>
          <w:lang w:val="pl-PL"/>
        </w:rPr>
        <w:t xml:space="preserve"> w</w:t>
      </w:r>
      <w:r w:rsidR="00F1653C">
        <w:rPr>
          <w:noProof/>
          <w:lang w:val="pl-PL"/>
        </w:rPr>
        <w:t> </w:t>
      </w:r>
      <w:r w:rsidR="00F1653C" w:rsidRPr="00E22450">
        <w:rPr>
          <w:noProof/>
          <w:lang w:val="pl-PL"/>
        </w:rPr>
        <w:t>2</w:t>
      </w:r>
      <w:r w:rsidRPr="00E22450">
        <w:rPr>
          <w:noProof/>
          <w:lang w:val="pl-PL"/>
        </w:rPr>
        <w:t>0</w:t>
      </w:r>
      <w:r w:rsidRPr="00F1653C">
        <w:rPr>
          <w:noProof/>
          <w:lang w:val="pl-PL"/>
        </w:rPr>
        <w:t>19</w:t>
      </w:r>
      <w:r w:rsidR="00F1653C" w:rsidRPr="00F1653C">
        <w:rPr>
          <w:noProof/>
          <w:lang w:val="pl-PL"/>
        </w:rPr>
        <w:t> </w:t>
      </w:r>
      <w:r w:rsidRPr="00F1653C">
        <w:rPr>
          <w:noProof/>
          <w:lang w:val="pl-PL"/>
        </w:rPr>
        <w:t>r.</w:t>
      </w:r>
      <w:r>
        <w:rPr>
          <w:rStyle w:val="FootnoteReference"/>
          <w:rFonts w:cs="Times New Roman"/>
          <w:noProof/>
        </w:rPr>
        <w:footnoteReference w:id="10"/>
      </w:r>
      <w:r w:rsidRPr="00E22450">
        <w:rPr>
          <w:noProof/>
          <w:lang w:val="pl-PL"/>
        </w:rPr>
        <w:t xml:space="preserve"> Aby chronić stabilność finansową, w CRD i CRR uznano, że polityka makroostrożnościowa stanowi niezbędne uzupełnienie nadzoru mikroostrożnościowego. Ponieważ ryzyko systemowe może być różne</w:t>
      </w:r>
      <w:r w:rsidR="00F1653C" w:rsidRPr="00E22450">
        <w:rPr>
          <w:noProof/>
          <w:lang w:val="pl-PL"/>
        </w:rPr>
        <w:t xml:space="preserve"> w</w:t>
      </w:r>
      <w:r w:rsidR="00F1653C">
        <w:rPr>
          <w:noProof/>
          <w:lang w:val="pl-PL"/>
        </w:rPr>
        <w:t> </w:t>
      </w:r>
      <w:r w:rsidR="00F1653C" w:rsidRPr="00E22450">
        <w:rPr>
          <w:noProof/>
          <w:lang w:val="pl-PL"/>
        </w:rPr>
        <w:t>pos</w:t>
      </w:r>
      <w:r w:rsidRPr="00E22450">
        <w:rPr>
          <w:noProof/>
          <w:lang w:val="pl-PL"/>
        </w:rPr>
        <w:t>zczególnych państwach członkowskich, organy krajowe powinny mieć możliwość uwzględnienia szczególnych potrzeb swoich sektorów bankowych. Chociaż</w:t>
      </w:r>
      <w:r w:rsidR="00F1653C" w:rsidRPr="00E22450">
        <w:rPr>
          <w:noProof/>
          <w:lang w:val="pl-PL"/>
        </w:rPr>
        <w:t xml:space="preserve"> w</w:t>
      </w:r>
      <w:r w:rsidR="00F1653C">
        <w:rPr>
          <w:noProof/>
          <w:lang w:val="pl-PL"/>
        </w:rPr>
        <w:t> </w:t>
      </w:r>
      <w:r w:rsidR="00F1653C" w:rsidRPr="00E22450">
        <w:rPr>
          <w:noProof/>
          <w:lang w:val="pl-PL"/>
        </w:rPr>
        <w:t>odn</w:t>
      </w:r>
      <w:r w:rsidRPr="00E22450">
        <w:rPr>
          <w:noProof/>
          <w:lang w:val="pl-PL"/>
        </w:rPr>
        <w:t>iesieniu do banków wprowadzono jednolite przepisy mikroostrożnościowe („jednolity zbiór przepisów”), organom krajowym przyznano wiodącą rolę</w:t>
      </w:r>
      <w:r w:rsidR="00F1653C" w:rsidRPr="00E22450">
        <w:rPr>
          <w:noProof/>
          <w:lang w:val="pl-PL"/>
        </w:rPr>
        <w:t xml:space="preserve"> i</w:t>
      </w:r>
      <w:r w:rsidR="00F1653C">
        <w:rPr>
          <w:noProof/>
          <w:lang w:val="pl-PL"/>
        </w:rPr>
        <w:t> </w:t>
      </w:r>
      <w:r w:rsidR="00F1653C" w:rsidRPr="00E22450">
        <w:rPr>
          <w:noProof/>
          <w:lang w:val="pl-PL"/>
        </w:rPr>
        <w:t>pew</w:t>
      </w:r>
      <w:r w:rsidRPr="00E22450">
        <w:rPr>
          <w:noProof/>
          <w:lang w:val="pl-PL"/>
        </w:rPr>
        <w:t>ien stopień elastyczności</w:t>
      </w:r>
      <w:r w:rsidR="00F1653C" w:rsidRPr="00E22450">
        <w:rPr>
          <w:noProof/>
          <w:lang w:val="pl-PL"/>
        </w:rPr>
        <w:t xml:space="preserve"> w</w:t>
      </w:r>
      <w:r w:rsidR="00F1653C">
        <w:rPr>
          <w:noProof/>
          <w:lang w:val="pl-PL"/>
        </w:rPr>
        <w:t> </w:t>
      </w:r>
      <w:r w:rsidR="00F1653C" w:rsidRPr="00E22450">
        <w:rPr>
          <w:noProof/>
          <w:lang w:val="pl-PL"/>
        </w:rPr>
        <w:t>pro</w:t>
      </w:r>
      <w:r w:rsidRPr="00E22450">
        <w:rPr>
          <w:noProof/>
          <w:lang w:val="pl-PL"/>
        </w:rPr>
        <w:t>wadzeniu polityki makroostrożnościowej, odzwierciedlając poszczególne źródła</w:t>
      </w:r>
      <w:r w:rsidR="00F1653C" w:rsidRPr="00E22450">
        <w:rPr>
          <w:noProof/>
          <w:lang w:val="pl-PL"/>
        </w:rPr>
        <w:t xml:space="preserve"> i</w:t>
      </w:r>
      <w:r w:rsidR="00F1653C">
        <w:rPr>
          <w:noProof/>
          <w:lang w:val="pl-PL"/>
        </w:rPr>
        <w:t> </w:t>
      </w:r>
      <w:r w:rsidR="00F1653C" w:rsidRPr="00E22450">
        <w:rPr>
          <w:noProof/>
          <w:lang w:val="pl-PL"/>
        </w:rPr>
        <w:t>zło</w:t>
      </w:r>
      <w:r w:rsidRPr="00E22450">
        <w:rPr>
          <w:noProof/>
          <w:lang w:val="pl-PL"/>
        </w:rPr>
        <w:t>żony charakter ryzyka systemowego.</w:t>
      </w:r>
    </w:p>
    <w:p w14:paraId="0B3C1719" w14:textId="136C62E4" w:rsidR="003274FD" w:rsidRPr="00E22450" w:rsidRDefault="00B51627" w:rsidP="004709F3">
      <w:pPr>
        <w:spacing w:after="120" w:line="240" w:lineRule="auto"/>
        <w:rPr>
          <w:rFonts w:cs="Times New Roman"/>
          <w:noProof/>
          <w:color w:val="000000" w:themeColor="text1"/>
          <w:lang w:val="pl-PL"/>
        </w:rPr>
      </w:pPr>
      <w:r w:rsidRPr="00E22450">
        <w:rPr>
          <w:b/>
          <w:noProof/>
          <w:lang w:val="pl-PL"/>
        </w:rPr>
        <w:t>Unijny zestaw narzędzi makroostrożnościowych dla banków obejmuje kilka instrumentów mających na celu rozwiązanie problemu wielu aspektów ryzyka systemowego.</w:t>
      </w:r>
      <w:r w:rsidRPr="00E22450">
        <w:rPr>
          <w:noProof/>
          <w:lang w:val="pl-PL"/>
        </w:rPr>
        <w:t xml:space="preserve"> W CRD wprowadzono makroostrożnościowy system bufora kapitałowego (tj. pięć buforów tworzących łącznie wymóg połączonego bufora) umożliwiający bankom dostosowanie ich pozycji kapitałowej do szczególnych warunków makroekonomicznych</w:t>
      </w:r>
      <w:r w:rsidR="00F1653C" w:rsidRPr="00E22450">
        <w:rPr>
          <w:noProof/>
          <w:lang w:val="pl-PL"/>
        </w:rPr>
        <w:t xml:space="preserve"> i</w:t>
      </w:r>
      <w:r w:rsidR="00F1653C">
        <w:rPr>
          <w:noProof/>
          <w:lang w:val="pl-PL"/>
        </w:rPr>
        <w:t> </w:t>
      </w:r>
      <w:r w:rsidR="00F1653C" w:rsidRPr="00E22450">
        <w:rPr>
          <w:noProof/>
          <w:lang w:val="pl-PL"/>
        </w:rPr>
        <w:t>war</w:t>
      </w:r>
      <w:r w:rsidRPr="00E22450">
        <w:rPr>
          <w:noProof/>
          <w:lang w:val="pl-PL"/>
        </w:rPr>
        <w:t>unków dotyczących sektora finansowego (zob.</w:t>
      </w:r>
      <w:r w:rsidRPr="00E22450">
        <w:rPr>
          <w:i/>
          <w:noProof/>
          <w:lang w:val="pl-PL"/>
        </w:rPr>
        <w:t xml:space="preserve"> dodatek 1</w:t>
      </w:r>
      <w:r w:rsidRPr="00E22450">
        <w:rPr>
          <w:noProof/>
          <w:lang w:val="pl-PL"/>
        </w:rPr>
        <w:t>). Na przykład powinny one tworzyć antycykliczny bufor kapitałowy, gdy wzrostowi akcji kredytowej towarzyszy narastanie cyklicznego ryzyka systemowego, podczas gdy bufory dla innych ważnych instytucji</w:t>
      </w:r>
      <w:r w:rsidR="00F1653C" w:rsidRPr="00E22450">
        <w:rPr>
          <w:noProof/>
          <w:lang w:val="pl-PL"/>
        </w:rPr>
        <w:t xml:space="preserve"> i</w:t>
      </w:r>
      <w:r w:rsidR="00F1653C">
        <w:rPr>
          <w:noProof/>
          <w:lang w:val="pl-PL"/>
        </w:rPr>
        <w:t> </w:t>
      </w:r>
      <w:r w:rsidR="00F1653C" w:rsidRPr="00E22450">
        <w:rPr>
          <w:noProof/>
          <w:lang w:val="pl-PL"/>
        </w:rPr>
        <w:t>ogó</w:t>
      </w:r>
      <w:r w:rsidRPr="00E22450">
        <w:rPr>
          <w:noProof/>
          <w:lang w:val="pl-PL"/>
        </w:rPr>
        <w:t xml:space="preserve">lnego ryzyka systemowego mogą być wykorzystywane do ograniczania strukturalnych ryzyk systemowych dla stabilności finansowej. Powinny one następnie wykorzystać ten </w:t>
      </w:r>
      <w:r w:rsidRPr="00E22450">
        <w:rPr>
          <w:noProof/>
          <w:color w:val="000000" w:themeColor="text1"/>
          <w:lang w:val="pl-PL"/>
        </w:rPr>
        <w:t>kapitał, gdy jest to konieczne, aby pokryć straty</w:t>
      </w:r>
      <w:r w:rsidR="00F1653C" w:rsidRPr="00E22450">
        <w:rPr>
          <w:noProof/>
          <w:color w:val="000000" w:themeColor="text1"/>
          <w:lang w:val="pl-PL"/>
        </w:rPr>
        <w:t xml:space="preserve"> i</w:t>
      </w:r>
      <w:r w:rsidR="00F1653C">
        <w:rPr>
          <w:noProof/>
          <w:color w:val="000000" w:themeColor="text1"/>
          <w:lang w:val="pl-PL"/>
        </w:rPr>
        <w:t> </w:t>
      </w:r>
      <w:r w:rsidR="00F1653C" w:rsidRPr="00E22450">
        <w:rPr>
          <w:noProof/>
          <w:color w:val="000000" w:themeColor="text1"/>
          <w:lang w:val="pl-PL"/>
        </w:rPr>
        <w:t>zas</w:t>
      </w:r>
      <w:r w:rsidRPr="00E22450">
        <w:rPr>
          <w:noProof/>
          <w:color w:val="000000" w:themeColor="text1"/>
          <w:lang w:val="pl-PL"/>
        </w:rPr>
        <w:t>pokoić popyt na kredyty</w:t>
      </w:r>
      <w:r w:rsidR="00F1653C" w:rsidRPr="00E22450">
        <w:rPr>
          <w:noProof/>
          <w:color w:val="000000" w:themeColor="text1"/>
          <w:lang w:val="pl-PL"/>
        </w:rPr>
        <w:t xml:space="preserve"> w</w:t>
      </w:r>
      <w:r w:rsidR="00F1653C">
        <w:rPr>
          <w:noProof/>
          <w:color w:val="000000" w:themeColor="text1"/>
          <w:lang w:val="pl-PL"/>
        </w:rPr>
        <w:t> </w:t>
      </w:r>
      <w:r w:rsidR="00F1653C" w:rsidRPr="00E22450">
        <w:rPr>
          <w:noProof/>
          <w:color w:val="000000" w:themeColor="text1"/>
          <w:lang w:val="pl-PL"/>
        </w:rPr>
        <w:t>okr</w:t>
      </w:r>
      <w:r w:rsidRPr="00E22450">
        <w:rPr>
          <w:noProof/>
          <w:color w:val="000000" w:themeColor="text1"/>
          <w:lang w:val="pl-PL"/>
        </w:rPr>
        <w:t>esach pogorszenia koniunktury gospodarczej</w:t>
      </w:r>
      <w:r w:rsidR="00F1653C" w:rsidRPr="00E22450">
        <w:rPr>
          <w:noProof/>
          <w:color w:val="000000" w:themeColor="text1"/>
          <w:lang w:val="pl-PL"/>
        </w:rPr>
        <w:t xml:space="preserve"> i</w:t>
      </w:r>
      <w:r w:rsidR="00F1653C">
        <w:rPr>
          <w:noProof/>
          <w:color w:val="000000" w:themeColor="text1"/>
          <w:lang w:val="pl-PL"/>
        </w:rPr>
        <w:t> </w:t>
      </w:r>
      <w:r w:rsidR="00F1653C" w:rsidRPr="00E22450">
        <w:rPr>
          <w:noProof/>
          <w:color w:val="000000" w:themeColor="text1"/>
          <w:lang w:val="pl-PL"/>
        </w:rPr>
        <w:t>kry</w:t>
      </w:r>
      <w:r w:rsidRPr="00E22450">
        <w:rPr>
          <w:noProof/>
          <w:color w:val="000000" w:themeColor="text1"/>
          <w:lang w:val="pl-PL"/>
        </w:rPr>
        <w:t xml:space="preserve">zysów. </w:t>
      </w:r>
      <w:r w:rsidRPr="00E22450">
        <w:rPr>
          <w:b/>
          <w:noProof/>
          <w:color w:val="000000" w:themeColor="text1"/>
          <w:lang w:val="pl-PL"/>
        </w:rPr>
        <w:t>Możliwość wykorzystania</w:t>
      </w:r>
      <w:r w:rsidR="00F1653C" w:rsidRPr="00E22450">
        <w:rPr>
          <w:b/>
          <w:noProof/>
          <w:color w:val="000000" w:themeColor="text1"/>
          <w:lang w:val="pl-PL"/>
        </w:rPr>
        <w:t xml:space="preserve"> i</w:t>
      </w:r>
      <w:r w:rsidR="00F1653C">
        <w:rPr>
          <w:b/>
          <w:noProof/>
          <w:color w:val="000000" w:themeColor="text1"/>
          <w:lang w:val="pl-PL"/>
        </w:rPr>
        <w:t> </w:t>
      </w:r>
      <w:r w:rsidR="00F1653C" w:rsidRPr="00E22450">
        <w:rPr>
          <w:b/>
          <w:noProof/>
          <w:color w:val="000000" w:themeColor="text1"/>
          <w:lang w:val="pl-PL"/>
        </w:rPr>
        <w:t>uwa</w:t>
      </w:r>
      <w:r w:rsidRPr="00E22450">
        <w:rPr>
          <w:b/>
          <w:noProof/>
          <w:color w:val="000000" w:themeColor="text1"/>
          <w:lang w:val="pl-PL"/>
        </w:rPr>
        <w:t>lniania bufora kapitałowego</w:t>
      </w:r>
      <w:r w:rsidRPr="00E22450">
        <w:rPr>
          <w:noProof/>
          <w:color w:val="000000" w:themeColor="text1"/>
          <w:lang w:val="pl-PL"/>
        </w:rPr>
        <w:t xml:space="preserve"> musi działać skutecznie, umożliwiając przepływ kapitału</w:t>
      </w:r>
      <w:r w:rsidR="00F1653C" w:rsidRPr="00E22450">
        <w:rPr>
          <w:noProof/>
          <w:color w:val="000000" w:themeColor="text1"/>
          <w:lang w:val="pl-PL"/>
        </w:rPr>
        <w:t xml:space="preserve"> z</w:t>
      </w:r>
      <w:r w:rsidR="00F1653C">
        <w:rPr>
          <w:noProof/>
          <w:color w:val="000000" w:themeColor="text1"/>
          <w:lang w:val="pl-PL"/>
        </w:rPr>
        <w:t> </w:t>
      </w:r>
      <w:r w:rsidR="00F1653C" w:rsidRPr="00E22450">
        <w:rPr>
          <w:noProof/>
          <w:color w:val="000000" w:themeColor="text1"/>
          <w:lang w:val="pl-PL"/>
        </w:rPr>
        <w:t>pow</w:t>
      </w:r>
      <w:r w:rsidRPr="00E22450">
        <w:rPr>
          <w:noProof/>
          <w:color w:val="000000" w:themeColor="text1"/>
          <w:lang w:val="pl-PL"/>
        </w:rPr>
        <w:t>rotem do gospodarki</w:t>
      </w:r>
      <w:r w:rsidR="00F1653C" w:rsidRPr="00E22450">
        <w:rPr>
          <w:noProof/>
          <w:color w:val="000000" w:themeColor="text1"/>
          <w:lang w:val="pl-PL"/>
        </w:rPr>
        <w:t xml:space="preserve"> w</w:t>
      </w:r>
      <w:r w:rsidR="00F1653C">
        <w:rPr>
          <w:noProof/>
          <w:color w:val="000000" w:themeColor="text1"/>
          <w:lang w:val="pl-PL"/>
        </w:rPr>
        <w:t> </w:t>
      </w:r>
      <w:r w:rsidR="00F1653C" w:rsidRPr="00E22450">
        <w:rPr>
          <w:noProof/>
          <w:color w:val="000000" w:themeColor="text1"/>
          <w:lang w:val="pl-PL"/>
        </w:rPr>
        <w:t>mia</w:t>
      </w:r>
      <w:r w:rsidRPr="00E22450">
        <w:rPr>
          <w:noProof/>
          <w:color w:val="000000" w:themeColor="text1"/>
          <w:lang w:val="pl-PL"/>
        </w:rPr>
        <w:t>rę poprawy warunków makroekonomicznych</w:t>
      </w:r>
      <w:r w:rsidR="00F1653C" w:rsidRPr="00E22450">
        <w:rPr>
          <w:noProof/>
          <w:color w:val="000000" w:themeColor="text1"/>
          <w:lang w:val="pl-PL"/>
        </w:rPr>
        <w:t xml:space="preserve"> i</w:t>
      </w:r>
      <w:r w:rsidR="00F1653C">
        <w:rPr>
          <w:noProof/>
          <w:color w:val="000000" w:themeColor="text1"/>
          <w:lang w:val="pl-PL"/>
        </w:rPr>
        <w:t> </w:t>
      </w:r>
      <w:r w:rsidR="00F1653C" w:rsidRPr="00E22450">
        <w:rPr>
          <w:noProof/>
          <w:color w:val="000000" w:themeColor="text1"/>
          <w:lang w:val="pl-PL"/>
        </w:rPr>
        <w:t>bez</w:t>
      </w:r>
      <w:r w:rsidRPr="00E22450">
        <w:rPr>
          <w:noProof/>
          <w:color w:val="000000" w:themeColor="text1"/>
          <w:lang w:val="pl-PL"/>
        </w:rPr>
        <w:t xml:space="preserve"> spowalniania go przez wstępne pozycjonowanie ze względów wizerunkowych. </w:t>
      </w:r>
      <w:r w:rsidRPr="00E22450">
        <w:rPr>
          <w:rStyle w:val="BodyTextChar"/>
          <w:noProof/>
          <w:lang w:val="pl-PL"/>
        </w:rPr>
        <w:t>Reformy regulacyjne po kryzysie finansowym przyczyniły się do zwiększenia odporności unijnego sektora bankowego</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jeg</w:t>
      </w:r>
      <w:r w:rsidRPr="00E22450">
        <w:rPr>
          <w:rStyle w:val="BodyTextChar"/>
          <w:noProof/>
          <w:lang w:val="pl-PL"/>
        </w:rPr>
        <w:t>o zdolności do przetrwania wstrząsów systemowych. Niedawne epizody kryzysowe,</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szc</w:t>
      </w:r>
      <w:r w:rsidRPr="00E22450">
        <w:rPr>
          <w:rStyle w:val="BodyTextChar"/>
          <w:noProof/>
          <w:lang w:val="pl-PL"/>
        </w:rPr>
        <w:t>zególności pandemia COVID-19, pokazały jednak, że dostępność możliwych do uwolnienia buforów kapitałowych</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cza</w:t>
      </w:r>
      <w:r w:rsidRPr="00E22450">
        <w:rPr>
          <w:rStyle w:val="BodyTextChar"/>
          <w:noProof/>
          <w:lang w:val="pl-PL"/>
        </w:rPr>
        <w:t>sach kryzysu</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cel</w:t>
      </w:r>
      <w:r w:rsidRPr="00E22450">
        <w:rPr>
          <w:rStyle w:val="BodyTextChar"/>
          <w:noProof/>
          <w:lang w:val="pl-PL"/>
        </w:rPr>
        <w:t xml:space="preserve">u pokrycia strat pozostaje palącą kwestią (zob. </w:t>
      </w:r>
      <w:r w:rsidRPr="00E22450">
        <w:rPr>
          <w:rStyle w:val="BodyTextChar"/>
          <w:i/>
          <w:noProof/>
          <w:lang w:val="pl-PL"/>
        </w:rPr>
        <w:t>załącznik 2</w:t>
      </w:r>
      <w:r w:rsidRPr="00E22450">
        <w:rPr>
          <w:rStyle w:val="BodyTextChar"/>
          <w:noProof/>
          <w:lang w:val="pl-PL"/>
        </w:rPr>
        <w:t>)</w:t>
      </w:r>
      <w:r w:rsidR="00F1653C" w:rsidRPr="00E22450">
        <w:rPr>
          <w:rStyle w:val="BodyTextChar"/>
          <w:noProof/>
          <w:lang w:val="pl-PL"/>
        </w:rPr>
        <w:t xml:space="preserve">. </w:t>
      </w:r>
      <w:r w:rsidR="00F1653C" w:rsidRPr="00E22450">
        <w:rPr>
          <w:noProof/>
          <w:lang w:val="pl-PL"/>
        </w:rPr>
        <w:t>W</w:t>
      </w:r>
      <w:r w:rsidR="00F1653C">
        <w:rPr>
          <w:rStyle w:val="BodyTextChar"/>
          <w:noProof/>
          <w:lang w:val="pl-PL"/>
        </w:rPr>
        <w:t> </w:t>
      </w:r>
      <w:r w:rsidR="00F1653C" w:rsidRPr="00E22450">
        <w:rPr>
          <w:noProof/>
          <w:lang w:val="pl-PL"/>
        </w:rPr>
        <w:t>prz</w:t>
      </w:r>
      <w:r w:rsidRPr="00E22450">
        <w:rPr>
          <w:noProof/>
          <w:lang w:val="pl-PL"/>
        </w:rPr>
        <w:t>ypadku znacznego wstrząsu obniżenie wymogów</w:t>
      </w:r>
      <w:r w:rsidR="00F1653C" w:rsidRPr="00E22450">
        <w:rPr>
          <w:noProof/>
          <w:lang w:val="pl-PL"/>
        </w:rPr>
        <w:t xml:space="preserve"> w</w:t>
      </w:r>
      <w:r w:rsidR="00F1653C">
        <w:rPr>
          <w:noProof/>
          <w:lang w:val="pl-PL"/>
        </w:rPr>
        <w:t> </w:t>
      </w:r>
      <w:r w:rsidR="00F1653C" w:rsidRPr="00E22450">
        <w:rPr>
          <w:noProof/>
          <w:lang w:val="pl-PL"/>
        </w:rPr>
        <w:t>zak</w:t>
      </w:r>
      <w:r w:rsidRPr="00E22450">
        <w:rPr>
          <w:noProof/>
          <w:lang w:val="pl-PL"/>
        </w:rPr>
        <w:t>resie buforów mogłoby złagodzić problemy</w:t>
      </w:r>
      <w:r w:rsidR="00F1653C" w:rsidRPr="00E22450">
        <w:rPr>
          <w:noProof/>
          <w:lang w:val="pl-PL"/>
        </w:rPr>
        <w:t xml:space="preserve"> i</w:t>
      </w:r>
      <w:r w:rsidR="00F1653C">
        <w:rPr>
          <w:noProof/>
          <w:lang w:val="pl-PL"/>
        </w:rPr>
        <w:t> </w:t>
      </w:r>
      <w:r w:rsidR="00F1653C" w:rsidRPr="00E22450">
        <w:rPr>
          <w:noProof/>
          <w:lang w:val="pl-PL"/>
        </w:rPr>
        <w:t>zmn</w:t>
      </w:r>
      <w:r w:rsidRPr="00E22450">
        <w:rPr>
          <w:noProof/>
          <w:lang w:val="pl-PL"/>
        </w:rPr>
        <w:t>iejszyć zachęty banków do zmniejszania zadłużenia</w:t>
      </w:r>
      <w:r w:rsidR="00F1653C" w:rsidRPr="00E22450">
        <w:rPr>
          <w:noProof/>
          <w:lang w:val="pl-PL"/>
        </w:rPr>
        <w:t xml:space="preserve"> i</w:t>
      </w:r>
      <w:r w:rsidR="00F1653C">
        <w:rPr>
          <w:noProof/>
          <w:lang w:val="pl-PL"/>
        </w:rPr>
        <w:t> </w:t>
      </w:r>
      <w:r w:rsidR="00F1653C" w:rsidRPr="00E22450">
        <w:rPr>
          <w:noProof/>
          <w:lang w:val="pl-PL"/>
        </w:rPr>
        <w:t>zmn</w:t>
      </w:r>
      <w:r w:rsidRPr="00E22450">
        <w:rPr>
          <w:noProof/>
          <w:lang w:val="pl-PL"/>
        </w:rPr>
        <w:t>iejszania ryzyka. Wyniki gospodarcze mogą być znacznie lepsze, gdy bufory kapitałowe zostaną uwolnione lub wykorzystane do utrzymania akcji kredytowej dla gospodarki.</w:t>
      </w:r>
    </w:p>
    <w:p w14:paraId="3253521C" w14:textId="3E2D28F7" w:rsidR="0045690F" w:rsidRPr="00E22450" w:rsidRDefault="007F5924" w:rsidP="0045690F">
      <w:pPr>
        <w:spacing w:after="120" w:line="240" w:lineRule="auto"/>
        <w:rPr>
          <w:noProof/>
          <w:lang w:val="pl-PL"/>
        </w:rPr>
      </w:pPr>
      <w:r w:rsidRPr="00E22450">
        <w:rPr>
          <w:noProof/>
          <w:lang w:val="pl-PL"/>
        </w:rPr>
        <w:t xml:space="preserve">CRR obejmuje również </w:t>
      </w:r>
      <w:r w:rsidRPr="00E22450">
        <w:rPr>
          <w:b/>
          <w:noProof/>
          <w:lang w:val="pl-PL"/>
        </w:rPr>
        <w:t>uznaniowe narzędzia makroostrożnościowe, których celem jest przeciwdziałanie szczególnym ryzykom systemowym</w:t>
      </w:r>
      <w:r w:rsidRPr="00E22450">
        <w:rPr>
          <w:noProof/>
          <w:lang w:val="pl-PL"/>
        </w:rPr>
        <w:t>, takim jak ryzyko związane</w:t>
      </w:r>
      <w:r w:rsidR="00F1653C" w:rsidRPr="00E22450">
        <w:rPr>
          <w:noProof/>
          <w:lang w:val="pl-PL"/>
        </w:rPr>
        <w:t xml:space="preserve"> z</w:t>
      </w:r>
      <w:r w:rsidR="00F1653C">
        <w:rPr>
          <w:noProof/>
          <w:lang w:val="pl-PL"/>
        </w:rPr>
        <w:t> </w:t>
      </w:r>
      <w:r w:rsidR="00F1653C" w:rsidRPr="00E22450">
        <w:rPr>
          <w:noProof/>
          <w:lang w:val="pl-PL"/>
        </w:rPr>
        <w:t>sek</w:t>
      </w:r>
      <w:r w:rsidRPr="00E22450">
        <w:rPr>
          <w:noProof/>
          <w:lang w:val="pl-PL"/>
        </w:rPr>
        <w:t>torem nieruchomości. Ryzyko to można ograniczyć poprzez zwiększenie wag ryzyka</w:t>
      </w:r>
      <w:r w:rsidR="00F1653C" w:rsidRPr="00E22450">
        <w:rPr>
          <w:noProof/>
          <w:lang w:val="pl-PL"/>
        </w:rPr>
        <w:t xml:space="preserve"> i</w:t>
      </w:r>
      <w:r w:rsidR="00F1653C">
        <w:rPr>
          <w:noProof/>
          <w:lang w:val="pl-PL"/>
        </w:rPr>
        <w:t> </w:t>
      </w:r>
      <w:r w:rsidR="00F1653C" w:rsidRPr="00E22450">
        <w:rPr>
          <w:noProof/>
          <w:lang w:val="pl-PL"/>
        </w:rPr>
        <w:t>par</w:t>
      </w:r>
      <w:r w:rsidRPr="00E22450">
        <w:rPr>
          <w:noProof/>
          <w:lang w:val="pl-PL"/>
        </w:rPr>
        <w:t>ametrów średniej ważonej ekspozycją straty</w:t>
      </w:r>
      <w:r w:rsidR="00F1653C" w:rsidRPr="00E22450">
        <w:rPr>
          <w:noProof/>
          <w:lang w:val="pl-PL"/>
        </w:rPr>
        <w:t xml:space="preserve"> z</w:t>
      </w:r>
      <w:r w:rsidR="00F1653C">
        <w:rPr>
          <w:noProof/>
          <w:lang w:val="pl-PL"/>
        </w:rPr>
        <w:t> </w:t>
      </w:r>
      <w:r w:rsidR="00F1653C" w:rsidRPr="00E22450">
        <w:rPr>
          <w:noProof/>
          <w:lang w:val="pl-PL"/>
        </w:rPr>
        <w:t>tyt</w:t>
      </w:r>
      <w:r w:rsidRPr="00E22450">
        <w:rPr>
          <w:noProof/>
          <w:lang w:val="pl-PL"/>
        </w:rPr>
        <w:t xml:space="preserve">ułu niewykonania zobowiązania (LGD) modeli wewnętrznych opartych na ratingach. </w:t>
      </w:r>
      <w:r w:rsidRPr="00E22450">
        <w:rPr>
          <w:rStyle w:val="BodyTextChar"/>
          <w:noProof/>
          <w:lang w:val="pl-PL"/>
        </w:rPr>
        <w:t>Oprócz konwencjonalnych rodzajów ryzyka systemowego, związanych na przykład</w:t>
      </w:r>
      <w:r w:rsidR="00F1653C" w:rsidRPr="00E22450">
        <w:rPr>
          <w:rStyle w:val="BodyTextChar"/>
          <w:noProof/>
          <w:lang w:val="pl-PL"/>
        </w:rPr>
        <w:t xml:space="preserve"> z</w:t>
      </w:r>
      <w:r w:rsidR="00F1653C">
        <w:rPr>
          <w:rStyle w:val="BodyTextChar"/>
          <w:noProof/>
          <w:lang w:val="pl-PL"/>
        </w:rPr>
        <w:t> </w:t>
      </w:r>
      <w:r w:rsidR="00F1653C" w:rsidRPr="00E22450">
        <w:rPr>
          <w:rStyle w:val="BodyTextChar"/>
          <w:noProof/>
          <w:lang w:val="pl-PL"/>
        </w:rPr>
        <w:t>ryn</w:t>
      </w:r>
      <w:r w:rsidRPr="00E22450">
        <w:rPr>
          <w:rStyle w:val="BodyTextChar"/>
          <w:noProof/>
          <w:lang w:val="pl-PL"/>
        </w:rPr>
        <w:t xml:space="preserve">kami nieruchomości, </w:t>
      </w:r>
      <w:r w:rsidRPr="00E22450">
        <w:rPr>
          <w:rStyle w:val="BodyTextChar"/>
          <w:b/>
          <w:noProof/>
          <w:lang w:val="pl-PL"/>
        </w:rPr>
        <w:t>sektor bankowy jest coraz bardziej narażony na nowe rodzaje ryzyka, takie jak ryzyko związane ze zmianą klimatu</w:t>
      </w:r>
      <w:r w:rsidR="00F1653C" w:rsidRPr="00E22450">
        <w:rPr>
          <w:rStyle w:val="BodyTextChar"/>
          <w:b/>
          <w:noProof/>
          <w:lang w:val="pl-PL"/>
        </w:rPr>
        <w:t xml:space="preserve"> i</w:t>
      </w:r>
      <w:r w:rsidR="00F1653C">
        <w:rPr>
          <w:rStyle w:val="BodyTextChar"/>
          <w:b/>
          <w:noProof/>
          <w:lang w:val="pl-PL"/>
        </w:rPr>
        <w:t> </w:t>
      </w:r>
      <w:r w:rsidR="00F1653C" w:rsidRPr="00E22450">
        <w:rPr>
          <w:rStyle w:val="BodyTextChar"/>
          <w:b/>
          <w:noProof/>
          <w:lang w:val="pl-PL"/>
        </w:rPr>
        <w:t>tra</w:t>
      </w:r>
      <w:r w:rsidRPr="00E22450">
        <w:rPr>
          <w:rStyle w:val="BodyTextChar"/>
          <w:b/>
          <w:noProof/>
          <w:lang w:val="pl-PL"/>
        </w:rPr>
        <w:t>nsformacją,</w:t>
      </w:r>
      <w:r w:rsidR="00F1653C" w:rsidRPr="00E22450">
        <w:rPr>
          <w:rStyle w:val="BodyTextChar"/>
          <w:b/>
          <w:noProof/>
          <w:lang w:val="pl-PL"/>
        </w:rPr>
        <w:t xml:space="preserve"> a</w:t>
      </w:r>
      <w:r w:rsidR="00F1653C">
        <w:rPr>
          <w:rStyle w:val="BodyTextChar"/>
          <w:b/>
          <w:noProof/>
          <w:lang w:val="pl-PL"/>
        </w:rPr>
        <w:t> </w:t>
      </w:r>
      <w:r w:rsidR="00F1653C" w:rsidRPr="00E22450">
        <w:rPr>
          <w:rStyle w:val="BodyTextChar"/>
          <w:b/>
          <w:noProof/>
          <w:lang w:val="pl-PL"/>
        </w:rPr>
        <w:t>tak</w:t>
      </w:r>
      <w:r w:rsidRPr="00E22450">
        <w:rPr>
          <w:rStyle w:val="BodyTextChar"/>
          <w:b/>
          <w:noProof/>
          <w:lang w:val="pl-PL"/>
        </w:rPr>
        <w:t>że ryzyko</w:t>
      </w:r>
      <w:r w:rsidR="00F1653C" w:rsidRPr="00E22450">
        <w:rPr>
          <w:rStyle w:val="BodyTextChar"/>
          <w:b/>
          <w:noProof/>
          <w:lang w:val="pl-PL"/>
        </w:rPr>
        <w:t xml:space="preserve"> w</w:t>
      </w:r>
      <w:r w:rsidR="00F1653C">
        <w:rPr>
          <w:rStyle w:val="BodyTextChar"/>
          <w:b/>
          <w:noProof/>
          <w:lang w:val="pl-PL"/>
        </w:rPr>
        <w:t> </w:t>
      </w:r>
      <w:r w:rsidR="00F1653C" w:rsidRPr="00E22450">
        <w:rPr>
          <w:rStyle w:val="BodyTextChar"/>
          <w:b/>
          <w:noProof/>
          <w:lang w:val="pl-PL"/>
        </w:rPr>
        <w:t>cyb</w:t>
      </w:r>
      <w:r w:rsidRPr="00E22450">
        <w:rPr>
          <w:rStyle w:val="BodyTextChar"/>
          <w:b/>
          <w:noProof/>
          <w:lang w:val="pl-PL"/>
        </w:rPr>
        <w:t>erprzestrzeni</w:t>
      </w:r>
      <w:r w:rsidRPr="00E22450">
        <w:rPr>
          <w:rStyle w:val="BodyTextChar"/>
          <w:noProof/>
          <w:lang w:val="pl-PL"/>
        </w:rPr>
        <w:t>. Organy nadzoru ostrożnościowego nie znalazły jeszcze odpowiedniego sposobu przeciwdziałania tym rodzajom ryzyka, które mogą stać się systemowe, jeżeli nie będą zwalczane proaktywnie</w:t>
      </w:r>
      <w:r w:rsidR="00F1653C" w:rsidRPr="00E22450">
        <w:rPr>
          <w:rStyle w:val="BodyTextChar"/>
          <w:noProof/>
          <w:lang w:val="pl-PL"/>
        </w:rPr>
        <w:t>.</w:t>
      </w:r>
      <w:r w:rsidR="00F1653C" w:rsidRPr="00E22450">
        <w:rPr>
          <w:noProof/>
          <w:lang w:val="pl-PL"/>
        </w:rPr>
        <w:t xml:space="preserve"> </w:t>
      </w:r>
      <w:r w:rsidR="00F1653C" w:rsidRPr="00E22450">
        <w:rPr>
          <w:rStyle w:val="BodyTextChar"/>
          <w:noProof/>
          <w:lang w:val="pl-PL"/>
        </w:rPr>
        <w:t>W</w:t>
      </w:r>
      <w:r w:rsidR="00F1653C">
        <w:rPr>
          <w:rStyle w:val="BodyTextChar"/>
          <w:noProof/>
          <w:lang w:val="pl-PL"/>
        </w:rPr>
        <w:t> </w:t>
      </w:r>
      <w:r w:rsidR="00F1653C" w:rsidRPr="00E22450">
        <w:rPr>
          <w:rStyle w:val="BodyTextChar"/>
          <w:noProof/>
          <w:lang w:val="pl-PL"/>
        </w:rPr>
        <w:t>mia</w:t>
      </w:r>
      <w:r w:rsidRPr="00E22450">
        <w:rPr>
          <w:rStyle w:val="BodyTextChar"/>
          <w:noProof/>
          <w:lang w:val="pl-PL"/>
        </w:rPr>
        <w:t>rę jak systemy finansowe stają się coraz bardziej wzajemnie powiązane, złożone, ale także bardziej podatne na wstrząsy</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nie</w:t>
      </w:r>
      <w:r w:rsidRPr="00E22450">
        <w:rPr>
          <w:rStyle w:val="BodyTextChar"/>
          <w:noProof/>
          <w:lang w:val="pl-PL"/>
        </w:rPr>
        <w:t>pewność wywołaną wydarzeniami geopolitycznymi</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inn</w:t>
      </w:r>
      <w:r w:rsidRPr="00E22450">
        <w:rPr>
          <w:rStyle w:val="BodyTextChar"/>
          <w:noProof/>
          <w:lang w:val="pl-PL"/>
        </w:rPr>
        <w:t>ymi czynnikami, uzasadnione jest utrzymanie wystarczających narzędzi politycznych</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ela</w:t>
      </w:r>
      <w:r w:rsidRPr="00E22450">
        <w:rPr>
          <w:rStyle w:val="BodyTextChar"/>
          <w:noProof/>
          <w:lang w:val="pl-PL"/>
        </w:rPr>
        <w:t>styczności</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cel</w:t>
      </w:r>
      <w:r w:rsidRPr="00E22450">
        <w:rPr>
          <w:rStyle w:val="BodyTextChar"/>
          <w:noProof/>
          <w:lang w:val="pl-PL"/>
        </w:rPr>
        <w:t>u wsparcia przepływu kredytów do gospodarki. Osiągnięcie właściwej równowagi między narzędziami makroostrożnościowymi</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śro</w:t>
      </w:r>
      <w:r w:rsidRPr="00E22450">
        <w:rPr>
          <w:rStyle w:val="BodyTextChar"/>
          <w:noProof/>
          <w:lang w:val="pl-PL"/>
        </w:rPr>
        <w:t>dkami zapobiegawczymi</w:t>
      </w:r>
      <w:r w:rsidR="00F1653C" w:rsidRPr="00E22450">
        <w:rPr>
          <w:rStyle w:val="BodyTextChar"/>
          <w:noProof/>
          <w:lang w:val="pl-PL"/>
        </w:rPr>
        <w:t xml:space="preserve"> z</w:t>
      </w:r>
      <w:r w:rsidR="00F1653C">
        <w:rPr>
          <w:rStyle w:val="BodyTextChar"/>
          <w:noProof/>
          <w:lang w:val="pl-PL"/>
        </w:rPr>
        <w:t> </w:t>
      </w:r>
      <w:r w:rsidR="00F1653C" w:rsidRPr="00E22450">
        <w:rPr>
          <w:rStyle w:val="BodyTextChar"/>
          <w:noProof/>
          <w:lang w:val="pl-PL"/>
        </w:rPr>
        <w:t>jed</w:t>
      </w:r>
      <w:r w:rsidRPr="00E22450">
        <w:rPr>
          <w:rStyle w:val="BodyTextChar"/>
          <w:noProof/>
          <w:lang w:val="pl-PL"/>
        </w:rPr>
        <w:t>nej strony,</w:t>
      </w:r>
      <w:r w:rsidR="00F1653C" w:rsidRPr="00E22450">
        <w:rPr>
          <w:rStyle w:val="BodyTextChar"/>
          <w:noProof/>
          <w:lang w:val="pl-PL"/>
        </w:rPr>
        <w:t xml:space="preserve"> a</w:t>
      </w:r>
      <w:r w:rsidR="00F1653C">
        <w:rPr>
          <w:rStyle w:val="BodyTextChar"/>
          <w:noProof/>
          <w:lang w:val="pl-PL"/>
        </w:rPr>
        <w:t> </w:t>
      </w:r>
      <w:r w:rsidR="00F1653C" w:rsidRPr="00E22450">
        <w:rPr>
          <w:rStyle w:val="BodyTextChar"/>
          <w:noProof/>
          <w:lang w:val="pl-PL"/>
        </w:rPr>
        <w:t>nar</w:t>
      </w:r>
      <w:r w:rsidRPr="00E22450">
        <w:rPr>
          <w:rStyle w:val="BodyTextChar"/>
          <w:noProof/>
          <w:lang w:val="pl-PL"/>
        </w:rPr>
        <w:t>zędziami zarządzania kryzysowego</w:t>
      </w:r>
      <w:r w:rsidR="00F1653C" w:rsidRPr="00E22450">
        <w:rPr>
          <w:rStyle w:val="BodyTextChar"/>
          <w:noProof/>
          <w:lang w:val="pl-PL"/>
        </w:rPr>
        <w:t xml:space="preserve"> z</w:t>
      </w:r>
      <w:r w:rsidR="00F1653C">
        <w:rPr>
          <w:rStyle w:val="BodyTextChar"/>
          <w:noProof/>
          <w:lang w:val="pl-PL"/>
        </w:rPr>
        <w:t> </w:t>
      </w:r>
      <w:r w:rsidR="00F1653C" w:rsidRPr="00E22450">
        <w:rPr>
          <w:rStyle w:val="BodyTextChar"/>
          <w:noProof/>
          <w:lang w:val="pl-PL"/>
        </w:rPr>
        <w:t>dru</w:t>
      </w:r>
      <w:r w:rsidRPr="00E22450">
        <w:rPr>
          <w:rStyle w:val="BodyTextChar"/>
          <w:noProof/>
          <w:lang w:val="pl-PL"/>
        </w:rPr>
        <w:t>giej strony, wymaga ewaluacji</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dok</w:t>
      </w:r>
      <w:r w:rsidRPr="00E22450">
        <w:rPr>
          <w:rStyle w:val="BodyTextChar"/>
          <w:noProof/>
          <w:lang w:val="pl-PL"/>
        </w:rPr>
        <w:t>ładnej oceny, aby uniknąć nadmiernego wpływu na skuteczność tych ostatnich środków</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nar</w:t>
      </w:r>
      <w:r w:rsidRPr="00E22450">
        <w:rPr>
          <w:rStyle w:val="BodyTextChar"/>
          <w:noProof/>
          <w:lang w:val="pl-PL"/>
        </w:rPr>
        <w:t>zędzi</w:t>
      </w:r>
      <w:r w:rsidR="00F1653C" w:rsidRPr="00E22450">
        <w:rPr>
          <w:rStyle w:val="BodyTextChar"/>
          <w:noProof/>
          <w:lang w:val="pl-PL"/>
        </w:rPr>
        <w:t>. W</w:t>
      </w:r>
      <w:r w:rsidR="00F1653C">
        <w:rPr>
          <w:rStyle w:val="BodyTextChar"/>
          <w:noProof/>
          <w:lang w:val="pl-PL"/>
        </w:rPr>
        <w:t> </w:t>
      </w:r>
      <w:r w:rsidR="00F1653C" w:rsidRPr="00E22450">
        <w:rPr>
          <w:rStyle w:val="BodyTextChar"/>
          <w:noProof/>
          <w:lang w:val="pl-PL"/>
        </w:rPr>
        <w:t>zwi</w:t>
      </w:r>
      <w:r w:rsidRPr="00E22450">
        <w:rPr>
          <w:rStyle w:val="BodyTextChar"/>
          <w:noProof/>
          <w:lang w:val="pl-PL"/>
        </w:rPr>
        <w:t>ązku</w:t>
      </w:r>
      <w:r w:rsidR="00F1653C" w:rsidRPr="00E22450">
        <w:rPr>
          <w:rStyle w:val="BodyTextChar"/>
          <w:noProof/>
          <w:lang w:val="pl-PL"/>
        </w:rPr>
        <w:t xml:space="preserve"> z</w:t>
      </w:r>
      <w:r w:rsidR="00F1653C">
        <w:rPr>
          <w:rStyle w:val="BodyTextChar"/>
          <w:noProof/>
          <w:lang w:val="pl-PL"/>
        </w:rPr>
        <w:t> </w:t>
      </w:r>
      <w:r w:rsidR="00F1653C" w:rsidRPr="00E22450">
        <w:rPr>
          <w:rStyle w:val="BodyTextChar"/>
          <w:noProof/>
          <w:lang w:val="pl-PL"/>
        </w:rPr>
        <w:t>tym</w:t>
      </w:r>
      <w:r w:rsidRPr="00E22450">
        <w:rPr>
          <w:rStyle w:val="BodyTextChar"/>
          <w:noProof/>
          <w:lang w:val="pl-PL"/>
        </w:rPr>
        <w:t xml:space="preserve"> do celów ewentualnej reformy narzędzi makroostrożnościowych należy odpowiednio uwzględnić jej wpływ na ramy ostrożnościowe</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ram</w:t>
      </w:r>
      <w:r w:rsidRPr="00E22450">
        <w:rPr>
          <w:rStyle w:val="BodyTextChar"/>
          <w:noProof/>
          <w:lang w:val="pl-PL"/>
        </w:rPr>
        <w:t>y restrukturyzacji</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upo</w:t>
      </w:r>
      <w:r w:rsidRPr="00E22450">
        <w:rPr>
          <w:rStyle w:val="BodyTextChar"/>
          <w:noProof/>
          <w:lang w:val="pl-PL"/>
        </w:rPr>
        <w:t>rządkowanej likwidacji oraz fakt, że nie powinna ona prowadzić do zwiększenia ogólnego poziomu kapitału lub minimalnych wymogów</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zak</w:t>
      </w:r>
      <w:r w:rsidRPr="00E22450">
        <w:rPr>
          <w:rStyle w:val="BodyTextChar"/>
          <w:noProof/>
          <w:lang w:val="pl-PL"/>
        </w:rPr>
        <w:t>resie funduszy własnych</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zob</w:t>
      </w:r>
      <w:r w:rsidRPr="00E22450">
        <w:rPr>
          <w:rStyle w:val="BodyTextChar"/>
          <w:noProof/>
          <w:lang w:val="pl-PL"/>
        </w:rPr>
        <w:t>owiązań kwalifikowalnych (MREL).</w:t>
      </w:r>
      <w:r w:rsidRPr="00E22450">
        <w:rPr>
          <w:noProof/>
          <w:lang w:val="pl-PL"/>
        </w:rPr>
        <w:t xml:space="preserve"> </w:t>
      </w:r>
    </w:p>
    <w:p w14:paraId="374B56D5" w14:textId="59831725" w:rsidR="0045690F" w:rsidRPr="00E22450" w:rsidRDefault="0045690F" w:rsidP="67E78FAA">
      <w:pPr>
        <w:spacing w:after="120" w:line="240" w:lineRule="auto"/>
        <w:rPr>
          <w:rStyle w:val="BodyTextChar"/>
          <w:rFonts w:eastAsiaTheme="minorEastAsia" w:cs="Times New Roman"/>
          <w:noProof/>
          <w:lang w:val="pl-PL"/>
        </w:rPr>
      </w:pPr>
      <w:r w:rsidRPr="00E22450">
        <w:rPr>
          <w:b/>
          <w:noProof/>
          <w:lang w:val="pl-PL"/>
        </w:rPr>
        <w:t>Ramy instytucjonalne UE</w:t>
      </w:r>
      <w:r w:rsidR="00F1653C" w:rsidRPr="00E22450">
        <w:rPr>
          <w:b/>
          <w:noProof/>
          <w:lang w:val="pl-PL"/>
        </w:rPr>
        <w:t xml:space="preserve"> w</w:t>
      </w:r>
      <w:r w:rsidR="00F1653C">
        <w:rPr>
          <w:b/>
          <w:noProof/>
          <w:lang w:val="pl-PL"/>
        </w:rPr>
        <w:t> </w:t>
      </w:r>
      <w:r w:rsidR="00F1653C" w:rsidRPr="00E22450">
        <w:rPr>
          <w:b/>
          <w:noProof/>
          <w:lang w:val="pl-PL"/>
        </w:rPr>
        <w:t>zak</w:t>
      </w:r>
      <w:r w:rsidRPr="00E22450">
        <w:rPr>
          <w:b/>
          <w:noProof/>
          <w:lang w:val="pl-PL"/>
        </w:rPr>
        <w:t>resie wdrażania polityki makroostrożnościowej mają charakter wielopoziomowy</w:t>
      </w:r>
      <w:r w:rsidRPr="00E22450">
        <w:rPr>
          <w:noProof/>
          <w:lang w:val="pl-PL"/>
        </w:rPr>
        <w:t>,</w:t>
      </w:r>
      <w:r w:rsidR="00F1653C" w:rsidRPr="00E22450">
        <w:rPr>
          <w:noProof/>
          <w:lang w:val="pl-PL"/>
        </w:rPr>
        <w:t xml:space="preserve"> a</w:t>
      </w:r>
      <w:r w:rsidR="00F1653C">
        <w:rPr>
          <w:noProof/>
          <w:lang w:val="pl-PL"/>
        </w:rPr>
        <w:t> </w:t>
      </w:r>
      <w:r w:rsidR="00F1653C" w:rsidRPr="00E22450">
        <w:rPr>
          <w:noProof/>
          <w:lang w:val="pl-PL"/>
        </w:rPr>
        <w:t>zaa</w:t>
      </w:r>
      <w:r w:rsidRPr="00E22450">
        <w:rPr>
          <w:noProof/>
          <w:lang w:val="pl-PL"/>
        </w:rPr>
        <w:t>ngażowane są</w:t>
      </w:r>
      <w:r w:rsidR="00F1653C" w:rsidRPr="00E22450">
        <w:rPr>
          <w:noProof/>
          <w:lang w:val="pl-PL"/>
        </w:rPr>
        <w:t xml:space="preserve"> w</w:t>
      </w:r>
      <w:r w:rsidR="00F1653C">
        <w:rPr>
          <w:noProof/>
          <w:lang w:val="pl-PL"/>
        </w:rPr>
        <w:t> </w:t>
      </w:r>
      <w:r w:rsidR="00F1653C" w:rsidRPr="00E22450">
        <w:rPr>
          <w:noProof/>
          <w:lang w:val="pl-PL"/>
        </w:rPr>
        <w:t>nie</w:t>
      </w:r>
      <w:r w:rsidRPr="00E22450">
        <w:rPr>
          <w:noProof/>
          <w:lang w:val="pl-PL"/>
        </w:rPr>
        <w:t xml:space="preserve"> różne organy krajowe</w:t>
      </w:r>
      <w:r w:rsidR="00F1653C" w:rsidRPr="00E22450">
        <w:rPr>
          <w:noProof/>
          <w:lang w:val="pl-PL"/>
        </w:rPr>
        <w:t xml:space="preserve"> i</w:t>
      </w:r>
      <w:r w:rsidR="00F1653C">
        <w:rPr>
          <w:noProof/>
          <w:lang w:val="pl-PL"/>
        </w:rPr>
        <w:t> </w:t>
      </w:r>
      <w:r w:rsidR="00F1653C" w:rsidRPr="00E22450">
        <w:rPr>
          <w:noProof/>
          <w:lang w:val="pl-PL"/>
        </w:rPr>
        <w:t>uni</w:t>
      </w:r>
      <w:r w:rsidRPr="00E22450">
        <w:rPr>
          <w:noProof/>
          <w:lang w:val="pl-PL"/>
        </w:rPr>
        <w:t>jne.</w:t>
      </w:r>
      <w:r w:rsidRPr="00E22450">
        <w:rPr>
          <w:rStyle w:val="BodyTextChar"/>
          <w:noProof/>
          <w:lang w:val="pl-PL"/>
        </w:rPr>
        <w:t xml:space="preserve"> </w:t>
      </w:r>
      <w:r w:rsidRPr="00E22450">
        <w:rPr>
          <w:noProof/>
          <w:lang w:val="pl-PL"/>
        </w:rPr>
        <w:t xml:space="preserve">Aby zachować integralność jednolitego rynku, </w:t>
      </w:r>
      <w:r w:rsidRPr="00E22450">
        <w:rPr>
          <w:rStyle w:val="BodyTextChar"/>
          <w:noProof/>
          <w:lang w:val="pl-PL"/>
        </w:rPr>
        <w:t>wdrożenie środków makroostrożnościowych na szczeblu krajowym często wymaga zaangażowania różnych organów UE (takich jak Komisja Europejska, ERRS itp.). Zadaniem ERRS jest nadzór makroostrożnościowy nad sektorem finansowym w UE,</w:t>
      </w:r>
      <w:r w:rsidR="00F1653C" w:rsidRPr="00E22450">
        <w:rPr>
          <w:rStyle w:val="BodyTextChar"/>
          <w:noProof/>
          <w:lang w:val="pl-PL"/>
        </w:rPr>
        <w:t xml:space="preserve"> a</w:t>
      </w:r>
      <w:r w:rsidR="00F1653C">
        <w:rPr>
          <w:rStyle w:val="BodyTextChar"/>
          <w:noProof/>
          <w:lang w:val="pl-PL"/>
        </w:rPr>
        <w:t> </w:t>
      </w:r>
      <w:r w:rsidR="00F1653C" w:rsidRPr="00E22450">
        <w:rPr>
          <w:rStyle w:val="BodyTextChar"/>
          <w:noProof/>
          <w:lang w:val="pl-PL"/>
        </w:rPr>
        <w:t>upr</w:t>
      </w:r>
      <w:r w:rsidRPr="00E22450">
        <w:rPr>
          <w:rStyle w:val="BodyTextChar"/>
          <w:noProof/>
          <w:lang w:val="pl-PL"/>
        </w:rPr>
        <w:t>awnienia makroostrożnościowe organów krajowych</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Eur</w:t>
      </w:r>
      <w:r w:rsidRPr="00E22450">
        <w:rPr>
          <w:rStyle w:val="BodyTextChar"/>
          <w:noProof/>
          <w:lang w:val="pl-PL"/>
        </w:rPr>
        <w:t>opejskiego Banku Centralnego (EBC) zostały przyznane</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roz</w:t>
      </w:r>
      <w:r w:rsidRPr="00E22450">
        <w:rPr>
          <w:rStyle w:val="BodyTextChar"/>
          <w:noProof/>
          <w:lang w:val="pl-PL"/>
        </w:rPr>
        <w:t>porządzeniu</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spr</w:t>
      </w:r>
      <w:r w:rsidRPr="00E22450">
        <w:rPr>
          <w:rStyle w:val="BodyTextChar"/>
          <w:noProof/>
          <w:lang w:val="pl-PL"/>
        </w:rPr>
        <w:t>awie Jednolitego Mechanizmu Nadzorczego. Te wspólne obowiązki zwiększyły zdolność UE</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pań</w:t>
      </w:r>
      <w:r w:rsidRPr="00E22450">
        <w:rPr>
          <w:rStyle w:val="BodyTextChar"/>
          <w:noProof/>
          <w:lang w:val="pl-PL"/>
        </w:rPr>
        <w:t>stw członkowskich do identyfikowania ryzyka systemowego</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zró</w:t>
      </w:r>
      <w:r w:rsidRPr="00E22450">
        <w:rPr>
          <w:rStyle w:val="BodyTextChar"/>
          <w:noProof/>
          <w:lang w:val="pl-PL"/>
        </w:rPr>
        <w:t>żnicowanym krajobrazie finansowym UE, monitorowania go</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rea</w:t>
      </w:r>
      <w:r w:rsidRPr="00E22450">
        <w:rPr>
          <w:rStyle w:val="BodyTextChar"/>
          <w:noProof/>
          <w:lang w:val="pl-PL"/>
        </w:rPr>
        <w:t>gowania na nie. Jednak</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tym</w:t>
      </w:r>
      <w:r w:rsidRPr="00E22450">
        <w:rPr>
          <w:rStyle w:val="BodyTextChar"/>
          <w:noProof/>
          <w:lang w:val="pl-PL"/>
        </w:rPr>
        <w:t xml:space="preserve"> modelu harmonizacja niektórych aspektów zestawu narzędzi makroostrożnościowych jest niezbędna do zapewnienia równych warunków działania</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pew</w:t>
      </w:r>
      <w:r w:rsidRPr="00E22450">
        <w:rPr>
          <w:rStyle w:val="BodyTextChar"/>
          <w:noProof/>
          <w:lang w:val="pl-PL"/>
        </w:rPr>
        <w:t>nego poziomu uproszczenia</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sto</w:t>
      </w:r>
      <w:r w:rsidRPr="00E22450">
        <w:rPr>
          <w:rStyle w:val="BodyTextChar"/>
          <w:noProof/>
          <w:lang w:val="pl-PL"/>
        </w:rPr>
        <w:t>sowaniu środków makroostrożnościowych. Na przykład różne podejścia przy identyfikacji innych instytucji</w:t>
      </w:r>
      <w:r w:rsidR="00F1653C" w:rsidRPr="00E22450">
        <w:rPr>
          <w:rStyle w:val="BodyTextChar"/>
          <w:noProof/>
          <w:lang w:val="pl-PL"/>
        </w:rPr>
        <w:t xml:space="preserve"> o</w:t>
      </w:r>
      <w:r w:rsidR="00F1653C">
        <w:rPr>
          <w:rStyle w:val="BodyTextChar"/>
          <w:noProof/>
          <w:lang w:val="pl-PL"/>
        </w:rPr>
        <w:t> </w:t>
      </w:r>
      <w:r w:rsidR="00F1653C" w:rsidRPr="00E22450">
        <w:rPr>
          <w:rStyle w:val="BodyTextChar"/>
          <w:noProof/>
          <w:lang w:val="pl-PL"/>
        </w:rPr>
        <w:t>zna</w:t>
      </w:r>
      <w:r w:rsidRPr="00E22450">
        <w:rPr>
          <w:rStyle w:val="BodyTextChar"/>
          <w:noProof/>
          <w:lang w:val="pl-PL"/>
        </w:rPr>
        <w:t>czeniu systemowym (O-SII)</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kal</w:t>
      </w:r>
      <w:r w:rsidRPr="00E22450">
        <w:rPr>
          <w:rStyle w:val="BodyTextChar"/>
          <w:noProof/>
          <w:lang w:val="pl-PL"/>
        </w:rPr>
        <w:t>ibracji wskaźników bufora O-SII nie mogą być</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peł</w:t>
      </w:r>
      <w:r w:rsidRPr="00E22450">
        <w:rPr>
          <w:rStyle w:val="BodyTextChar"/>
          <w:noProof/>
          <w:lang w:val="pl-PL"/>
        </w:rPr>
        <w:t>ni wyjaśnione specyfiką gospodarczą lub specyfiką rynku finansowego państw członkowskich, taką jak wielkość lub koncentracja sektora bankowego,</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mog</w:t>
      </w:r>
      <w:r w:rsidRPr="00E22450">
        <w:rPr>
          <w:rStyle w:val="BodyTextChar"/>
          <w:noProof/>
          <w:lang w:val="pl-PL"/>
        </w:rPr>
        <w:t>ą stanowić powód do niepokoju</w:t>
      </w:r>
      <w:r w:rsidR="00F1653C" w:rsidRPr="00E22450">
        <w:rPr>
          <w:rStyle w:val="BodyTextChar"/>
          <w:noProof/>
          <w:lang w:val="pl-PL"/>
        </w:rPr>
        <w:t xml:space="preserve"> z</w:t>
      </w:r>
      <w:r w:rsidR="00F1653C">
        <w:rPr>
          <w:rStyle w:val="BodyTextChar"/>
          <w:noProof/>
          <w:lang w:val="pl-PL"/>
        </w:rPr>
        <w:t> </w:t>
      </w:r>
      <w:r w:rsidR="00F1653C" w:rsidRPr="00E22450">
        <w:rPr>
          <w:rStyle w:val="BodyTextChar"/>
          <w:noProof/>
          <w:lang w:val="pl-PL"/>
        </w:rPr>
        <w:t>pun</w:t>
      </w:r>
      <w:r w:rsidRPr="00E22450">
        <w:rPr>
          <w:rStyle w:val="BodyTextChar"/>
          <w:noProof/>
          <w:lang w:val="pl-PL"/>
        </w:rPr>
        <w:t>ktu widzenia jednolitego rynku</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uni</w:t>
      </w:r>
      <w:r w:rsidRPr="00E22450">
        <w:rPr>
          <w:rStyle w:val="BodyTextChar"/>
          <w:noProof/>
          <w:lang w:val="pl-PL"/>
        </w:rPr>
        <w:t>i bankowej (więcej informacji</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zał</w:t>
      </w:r>
      <w:r w:rsidRPr="00E22450">
        <w:rPr>
          <w:rStyle w:val="BodyTextChar"/>
          <w:noProof/>
          <w:lang w:val="pl-PL"/>
        </w:rPr>
        <w:t>ączniku 2).</w:t>
      </w:r>
    </w:p>
    <w:p w14:paraId="3306FB12" w14:textId="5AA229C6" w:rsidR="00E954DA" w:rsidRPr="00E22450" w:rsidRDefault="00E954DA" w:rsidP="00E954DA">
      <w:pPr>
        <w:spacing w:after="120" w:line="240" w:lineRule="auto"/>
        <w:rPr>
          <w:rStyle w:val="BodyTextChar"/>
          <w:rFonts w:eastAsiaTheme="minorEastAsia" w:cs="Times New Roman"/>
          <w:noProof/>
          <w:lang w:val="pl-PL"/>
        </w:rPr>
      </w:pPr>
      <w:r w:rsidRPr="00E22450">
        <w:rPr>
          <w:rStyle w:val="BodyTextChar"/>
          <w:noProof/>
          <w:lang w:val="pl-PL"/>
        </w:rPr>
        <w:t>W świetle powyższego Komisja będzie kontynuować prace nad rozwojem polityki makroostrożnościowej dla banków, zapewniając jednocześnie zgodność</w:t>
      </w:r>
      <w:r w:rsidR="00F1653C" w:rsidRPr="00E22450">
        <w:rPr>
          <w:rStyle w:val="BodyTextChar"/>
          <w:noProof/>
          <w:lang w:val="pl-PL"/>
        </w:rPr>
        <w:t xml:space="preserve"> z</w:t>
      </w:r>
      <w:r w:rsidR="00F1653C">
        <w:rPr>
          <w:rStyle w:val="BodyTextChar"/>
          <w:noProof/>
          <w:lang w:val="pl-PL"/>
        </w:rPr>
        <w:t> </w:t>
      </w:r>
      <w:r w:rsidR="00F1653C" w:rsidRPr="00E22450">
        <w:rPr>
          <w:rStyle w:val="BodyTextChar"/>
          <w:noProof/>
          <w:lang w:val="pl-PL"/>
        </w:rPr>
        <w:t>pak</w:t>
      </w:r>
      <w:r w:rsidRPr="00E22450">
        <w:rPr>
          <w:rStyle w:val="BodyTextChar"/>
          <w:noProof/>
          <w:lang w:val="pl-PL"/>
        </w:rPr>
        <w:t>ietem Bazylea III</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bio</w:t>
      </w:r>
      <w:r w:rsidRPr="00E22450">
        <w:rPr>
          <w:rStyle w:val="BodyTextChar"/>
          <w:noProof/>
          <w:lang w:val="pl-PL"/>
        </w:rPr>
        <w:t>rąc pod uwagę, że ogólny poziom wymogów kapitałowych i MREL uznaje się za odpowiedni</w:t>
      </w:r>
      <w:r w:rsidR="00F1653C" w:rsidRPr="00E22450">
        <w:rPr>
          <w:rStyle w:val="BodyTextChar"/>
          <w:noProof/>
          <w:lang w:val="pl-PL"/>
        </w:rPr>
        <w:t xml:space="preserve">. </w:t>
      </w:r>
      <w:r w:rsidR="00F1653C" w:rsidRPr="00E22450">
        <w:rPr>
          <w:rStyle w:val="BodyTextChar"/>
          <w:i/>
          <w:noProof/>
          <w:lang w:val="pl-PL"/>
        </w:rPr>
        <w:t>W</w:t>
      </w:r>
      <w:r w:rsidR="00F1653C">
        <w:rPr>
          <w:rStyle w:val="BodyTextChar"/>
          <w:noProof/>
          <w:lang w:val="pl-PL"/>
        </w:rPr>
        <w:t> </w:t>
      </w:r>
      <w:r w:rsidR="00F1653C" w:rsidRPr="00E22450">
        <w:rPr>
          <w:rStyle w:val="BodyTextChar"/>
          <w:i/>
          <w:noProof/>
          <w:lang w:val="pl-PL"/>
        </w:rPr>
        <w:t>tym</w:t>
      </w:r>
      <w:r w:rsidRPr="00E22450">
        <w:rPr>
          <w:rStyle w:val="BodyTextChar"/>
          <w:i/>
          <w:noProof/>
          <w:lang w:val="pl-PL"/>
        </w:rPr>
        <w:t xml:space="preserve"> kontekście działania Komisji będą obejmować przede wszystkim: 1) monitorowanie użyteczności</w:t>
      </w:r>
      <w:r w:rsidR="00F1653C" w:rsidRPr="00E22450">
        <w:rPr>
          <w:rStyle w:val="BodyTextChar"/>
          <w:i/>
          <w:noProof/>
          <w:lang w:val="pl-PL"/>
        </w:rPr>
        <w:t xml:space="preserve"> i</w:t>
      </w:r>
      <w:r w:rsidR="00F1653C">
        <w:rPr>
          <w:rStyle w:val="BodyTextChar"/>
          <w:i/>
          <w:noProof/>
          <w:lang w:val="pl-PL"/>
        </w:rPr>
        <w:t> </w:t>
      </w:r>
      <w:r w:rsidR="00F1653C" w:rsidRPr="00E22450">
        <w:rPr>
          <w:rStyle w:val="BodyTextChar"/>
          <w:i/>
          <w:noProof/>
          <w:lang w:val="pl-PL"/>
        </w:rPr>
        <w:t>moż</w:t>
      </w:r>
      <w:r w:rsidRPr="00E22450">
        <w:rPr>
          <w:rStyle w:val="BodyTextChar"/>
          <w:i/>
          <w:noProof/>
          <w:lang w:val="pl-PL"/>
        </w:rPr>
        <w:t>liwości uwolnienia buforów kapitałowych</w:t>
      </w:r>
      <w:r w:rsidR="00F1653C" w:rsidRPr="00E22450">
        <w:rPr>
          <w:rStyle w:val="BodyTextChar"/>
          <w:i/>
          <w:noProof/>
          <w:lang w:val="pl-PL"/>
        </w:rPr>
        <w:t xml:space="preserve"> w</w:t>
      </w:r>
      <w:r w:rsidR="00F1653C">
        <w:rPr>
          <w:rStyle w:val="BodyTextChar"/>
          <w:i/>
          <w:noProof/>
          <w:lang w:val="pl-PL"/>
        </w:rPr>
        <w:t> </w:t>
      </w:r>
      <w:r w:rsidR="00F1653C" w:rsidRPr="00E22450">
        <w:rPr>
          <w:rStyle w:val="BodyTextChar"/>
          <w:i/>
          <w:noProof/>
          <w:lang w:val="pl-PL"/>
        </w:rPr>
        <w:t>cel</w:t>
      </w:r>
      <w:r w:rsidRPr="00E22450">
        <w:rPr>
          <w:rStyle w:val="BodyTextChar"/>
          <w:i/>
          <w:noProof/>
          <w:lang w:val="pl-PL"/>
        </w:rPr>
        <w:t>u wsparcia kredytowania gospodarki</w:t>
      </w:r>
      <w:r w:rsidR="00F1653C" w:rsidRPr="00E22450">
        <w:rPr>
          <w:rStyle w:val="BodyTextChar"/>
          <w:i/>
          <w:noProof/>
          <w:lang w:val="pl-PL"/>
        </w:rPr>
        <w:t xml:space="preserve"> w</w:t>
      </w:r>
      <w:r w:rsidR="00F1653C">
        <w:rPr>
          <w:rStyle w:val="BodyTextChar"/>
          <w:i/>
          <w:noProof/>
          <w:lang w:val="pl-PL"/>
        </w:rPr>
        <w:t> </w:t>
      </w:r>
      <w:r w:rsidR="00F1653C" w:rsidRPr="00E22450">
        <w:rPr>
          <w:rStyle w:val="BodyTextChar"/>
          <w:i/>
          <w:noProof/>
          <w:lang w:val="pl-PL"/>
        </w:rPr>
        <w:t>prz</w:t>
      </w:r>
      <w:r w:rsidRPr="00E22450">
        <w:rPr>
          <w:rStyle w:val="BodyTextChar"/>
          <w:i/>
          <w:noProof/>
          <w:lang w:val="pl-PL"/>
        </w:rPr>
        <w:t>ypadku wstrząsu systemowego, przy jednoczesnym zachowaniu stabilności finansowej; 2) promowanie spójności</w:t>
      </w:r>
      <w:r w:rsidR="00F1653C" w:rsidRPr="00E22450">
        <w:rPr>
          <w:rStyle w:val="BodyTextChar"/>
          <w:i/>
          <w:noProof/>
          <w:lang w:val="pl-PL"/>
        </w:rPr>
        <w:t xml:space="preserve"> w</w:t>
      </w:r>
      <w:r w:rsidR="00F1653C">
        <w:rPr>
          <w:rStyle w:val="BodyTextChar"/>
          <w:i/>
          <w:noProof/>
          <w:lang w:val="pl-PL"/>
        </w:rPr>
        <w:t> </w:t>
      </w:r>
      <w:r w:rsidR="00F1653C" w:rsidRPr="00E22450">
        <w:rPr>
          <w:rStyle w:val="BodyTextChar"/>
          <w:i/>
          <w:noProof/>
          <w:lang w:val="pl-PL"/>
        </w:rPr>
        <w:t>sto</w:t>
      </w:r>
      <w:r w:rsidRPr="00E22450">
        <w:rPr>
          <w:rStyle w:val="BodyTextChar"/>
          <w:i/>
          <w:noProof/>
          <w:lang w:val="pl-PL"/>
        </w:rPr>
        <w:t>sowaniu narzędzi makroostrożnościowych przez organy krajowe; oraz 3) ocenę możliwości uproszczenia ram makroostrożnościowych oraz ich skuteczności</w:t>
      </w:r>
      <w:r w:rsidR="00F1653C" w:rsidRPr="00E22450">
        <w:rPr>
          <w:rStyle w:val="BodyTextChar"/>
          <w:i/>
          <w:noProof/>
          <w:lang w:val="pl-PL"/>
        </w:rPr>
        <w:t xml:space="preserve"> i</w:t>
      </w:r>
      <w:r w:rsidR="00F1653C">
        <w:rPr>
          <w:rStyle w:val="BodyTextChar"/>
          <w:i/>
          <w:noProof/>
          <w:lang w:val="pl-PL"/>
        </w:rPr>
        <w:t> </w:t>
      </w:r>
      <w:r w:rsidR="00F1653C" w:rsidRPr="00E22450">
        <w:rPr>
          <w:rStyle w:val="BodyTextChar"/>
          <w:i/>
          <w:noProof/>
          <w:lang w:val="pl-PL"/>
        </w:rPr>
        <w:t>zdo</w:t>
      </w:r>
      <w:r w:rsidRPr="00E22450">
        <w:rPr>
          <w:rStyle w:val="BodyTextChar"/>
          <w:i/>
          <w:noProof/>
          <w:lang w:val="pl-PL"/>
        </w:rPr>
        <w:t>lności do zwalczania zarówno konwencjonalnych, jak</w:t>
      </w:r>
      <w:r w:rsidR="00F1653C" w:rsidRPr="00E22450">
        <w:rPr>
          <w:rStyle w:val="BodyTextChar"/>
          <w:i/>
          <w:noProof/>
          <w:lang w:val="pl-PL"/>
        </w:rPr>
        <w:t xml:space="preserve"> i</w:t>
      </w:r>
      <w:r w:rsidR="00F1653C">
        <w:rPr>
          <w:rStyle w:val="BodyTextChar"/>
          <w:i/>
          <w:noProof/>
          <w:lang w:val="pl-PL"/>
        </w:rPr>
        <w:t> </w:t>
      </w:r>
      <w:r w:rsidR="00F1653C" w:rsidRPr="00E22450">
        <w:rPr>
          <w:rStyle w:val="BodyTextChar"/>
          <w:i/>
          <w:noProof/>
          <w:lang w:val="pl-PL"/>
        </w:rPr>
        <w:t>now</w:t>
      </w:r>
      <w:r w:rsidRPr="00E22450">
        <w:rPr>
          <w:rStyle w:val="BodyTextChar"/>
          <w:i/>
          <w:noProof/>
          <w:lang w:val="pl-PL"/>
        </w:rPr>
        <w:t>ych rodzajów ryzyka.</w:t>
      </w:r>
      <w:r w:rsidRPr="00E22450">
        <w:rPr>
          <w:rStyle w:val="BodyTextChar"/>
          <w:noProof/>
          <w:lang w:val="pl-PL"/>
        </w:rPr>
        <w:t xml:space="preserve"> </w:t>
      </w:r>
      <w:r w:rsidRPr="00E22450">
        <w:rPr>
          <w:rStyle w:val="BodyTextChar"/>
          <w:i/>
          <w:noProof/>
          <w:lang w:val="pl-PL"/>
        </w:rPr>
        <w:t>Ponadto Komisja oceni sposoby aktualizacji informacji zwrotnych otrzymanych</w:t>
      </w:r>
      <w:r w:rsidR="00F1653C" w:rsidRPr="00E22450">
        <w:rPr>
          <w:rStyle w:val="BodyTextChar"/>
          <w:i/>
          <w:noProof/>
          <w:lang w:val="pl-PL"/>
        </w:rPr>
        <w:t xml:space="preserve"> w</w:t>
      </w:r>
      <w:r w:rsidR="00F1653C">
        <w:rPr>
          <w:rStyle w:val="BodyTextChar"/>
          <w:i/>
          <w:noProof/>
          <w:lang w:val="pl-PL"/>
        </w:rPr>
        <w:t> </w:t>
      </w:r>
      <w:r w:rsidR="00F1653C" w:rsidRPr="00E22450">
        <w:rPr>
          <w:rStyle w:val="BodyTextChar"/>
          <w:i/>
          <w:noProof/>
          <w:lang w:val="pl-PL"/>
        </w:rPr>
        <w:t>ram</w:t>
      </w:r>
      <w:r w:rsidRPr="00E22450">
        <w:rPr>
          <w:rStyle w:val="BodyTextChar"/>
          <w:i/>
          <w:noProof/>
          <w:lang w:val="pl-PL"/>
        </w:rPr>
        <w:t>ach ukierunkowanych konsultacji</w:t>
      </w:r>
      <w:r w:rsidR="00F1653C" w:rsidRPr="00E22450">
        <w:rPr>
          <w:rStyle w:val="BodyTextChar"/>
          <w:i/>
          <w:noProof/>
          <w:lang w:val="pl-PL"/>
        </w:rPr>
        <w:t xml:space="preserve"> z</w:t>
      </w:r>
      <w:r w:rsidR="00F1653C">
        <w:rPr>
          <w:rStyle w:val="BodyTextChar"/>
          <w:i/>
          <w:noProof/>
          <w:lang w:val="pl-PL"/>
        </w:rPr>
        <w:t> </w:t>
      </w:r>
      <w:r w:rsidR="00F1653C" w:rsidRPr="00E22450">
        <w:rPr>
          <w:rStyle w:val="BodyTextChar"/>
          <w:i/>
          <w:noProof/>
          <w:lang w:val="pl-PL"/>
        </w:rPr>
        <w:t>2</w:t>
      </w:r>
      <w:r w:rsidRPr="00E22450">
        <w:rPr>
          <w:rStyle w:val="BodyTextChar"/>
          <w:i/>
          <w:noProof/>
          <w:lang w:val="pl-PL"/>
        </w:rPr>
        <w:t>0</w:t>
      </w:r>
      <w:r w:rsidRPr="00F1653C">
        <w:rPr>
          <w:rStyle w:val="BodyTextChar"/>
          <w:i/>
          <w:noProof/>
          <w:lang w:val="pl-PL"/>
        </w:rPr>
        <w:t>21</w:t>
      </w:r>
      <w:r w:rsidR="00F1653C" w:rsidRPr="00F1653C">
        <w:rPr>
          <w:rStyle w:val="BodyTextChar"/>
          <w:i/>
          <w:noProof/>
          <w:lang w:val="pl-PL"/>
        </w:rPr>
        <w:t> </w:t>
      </w:r>
      <w:r w:rsidRPr="00F1653C">
        <w:rPr>
          <w:rStyle w:val="BodyTextChar"/>
          <w:i/>
          <w:noProof/>
          <w:lang w:val="pl-PL"/>
        </w:rPr>
        <w:t>r.</w:t>
      </w:r>
      <w:r w:rsidRPr="00E22450">
        <w:rPr>
          <w:rStyle w:val="BodyTextChar"/>
          <w:i/>
          <w:noProof/>
          <w:lang w:val="pl-PL"/>
        </w:rPr>
        <w:t>,</w:t>
      </w:r>
      <w:r w:rsidR="00F1653C" w:rsidRPr="00E22450">
        <w:rPr>
          <w:rStyle w:val="BodyTextChar"/>
          <w:i/>
          <w:noProof/>
          <w:lang w:val="pl-PL"/>
        </w:rPr>
        <w:t xml:space="preserve"> a</w:t>
      </w:r>
      <w:r w:rsidR="00F1653C">
        <w:rPr>
          <w:rStyle w:val="BodyTextChar"/>
          <w:i/>
          <w:noProof/>
          <w:lang w:val="pl-PL"/>
        </w:rPr>
        <w:t> </w:t>
      </w:r>
      <w:r w:rsidR="00F1653C" w:rsidRPr="00E22450">
        <w:rPr>
          <w:rStyle w:val="BodyTextChar"/>
          <w:i/>
          <w:noProof/>
          <w:lang w:val="pl-PL"/>
        </w:rPr>
        <w:t>tak</w:t>
      </w:r>
      <w:r w:rsidRPr="00E22450">
        <w:rPr>
          <w:rStyle w:val="BodyTextChar"/>
          <w:i/>
          <w:noProof/>
          <w:lang w:val="pl-PL"/>
        </w:rPr>
        <w:t>że gromadzenia dodatkowych informacji zwrotnych na temat aspektów przeglądu, które zostały jedynie częściowo uwzględnione</w:t>
      </w:r>
      <w:r w:rsidR="00F1653C" w:rsidRPr="00E22450">
        <w:rPr>
          <w:rStyle w:val="BodyTextChar"/>
          <w:i/>
          <w:noProof/>
          <w:lang w:val="pl-PL"/>
        </w:rPr>
        <w:t xml:space="preserve"> w</w:t>
      </w:r>
      <w:r w:rsidR="00F1653C">
        <w:rPr>
          <w:rStyle w:val="BodyTextChar"/>
          <w:i/>
          <w:noProof/>
          <w:lang w:val="pl-PL"/>
        </w:rPr>
        <w:t> </w:t>
      </w:r>
      <w:r w:rsidR="00F1653C" w:rsidRPr="00E22450">
        <w:rPr>
          <w:rStyle w:val="BodyTextChar"/>
          <w:i/>
          <w:noProof/>
          <w:lang w:val="pl-PL"/>
        </w:rPr>
        <w:t>nin</w:t>
      </w:r>
      <w:r w:rsidRPr="00E22450">
        <w:rPr>
          <w:rStyle w:val="BodyTextChar"/>
          <w:i/>
          <w:noProof/>
          <w:lang w:val="pl-PL"/>
        </w:rPr>
        <w:t>iejszym sprawozdaniu.</w:t>
      </w:r>
    </w:p>
    <w:p w14:paraId="33FD23D7" w14:textId="19EBC352" w:rsidR="00E954DA" w:rsidRPr="00E22450" w:rsidRDefault="00BD25FD" w:rsidP="000F0EC8">
      <w:pPr>
        <w:pStyle w:val="ListParagraph"/>
        <w:numPr>
          <w:ilvl w:val="0"/>
          <w:numId w:val="26"/>
        </w:numPr>
        <w:spacing w:after="120" w:line="257" w:lineRule="auto"/>
        <w:rPr>
          <w:rStyle w:val="BodyTextChar"/>
          <w:rFonts w:eastAsia="Times New Roman" w:cs="Times New Roman"/>
          <w:b/>
          <w:noProof/>
          <w:lang w:val="pl-PL"/>
        </w:rPr>
      </w:pPr>
      <w:r w:rsidRPr="00E22450">
        <w:rPr>
          <w:rStyle w:val="BodyTextChar"/>
          <w:b/>
          <w:noProof/>
          <w:lang w:val="pl-PL"/>
        </w:rPr>
        <w:t>Zmienione ramy makroostrożnościowe dla pozabankowych pośredników finansowych (NBFI)</w:t>
      </w:r>
    </w:p>
    <w:p w14:paraId="0017B1AA" w14:textId="3470BE02" w:rsidR="007B124E" w:rsidRPr="00E22450" w:rsidRDefault="00241024" w:rsidP="004709F3">
      <w:pPr>
        <w:spacing w:after="120" w:line="240" w:lineRule="auto"/>
        <w:rPr>
          <w:rFonts w:cs="Times New Roman"/>
          <w:noProof/>
          <w:lang w:val="pl-PL"/>
        </w:rPr>
      </w:pPr>
      <w:r w:rsidRPr="00E22450">
        <w:rPr>
          <w:b/>
          <w:noProof/>
          <w:lang w:val="pl-PL"/>
        </w:rPr>
        <w:t>W ostatnich latach znacznie wzrosła liczba pozabankowych pośredników finansowych</w:t>
      </w:r>
      <w:r w:rsidRPr="00E22450">
        <w:rPr>
          <w:noProof/>
          <w:lang w:val="pl-PL"/>
        </w:rPr>
        <w:t xml:space="preserve"> (NBFI), ponieważ finansowanie pozabankowe nabiera coraz większego znaczenia dla finansowania gospodarki. ESRB szacuje, że pozabankowe pośrednictwo finansowe odpowiada za aktywa europejskiego sektora finansowego</w:t>
      </w:r>
      <w:r w:rsidR="00F1653C" w:rsidRPr="00E22450">
        <w:rPr>
          <w:noProof/>
          <w:lang w:val="pl-PL"/>
        </w:rPr>
        <w:t xml:space="preserve"> o</w:t>
      </w:r>
      <w:r w:rsidR="00F1653C">
        <w:rPr>
          <w:noProof/>
          <w:lang w:val="pl-PL"/>
        </w:rPr>
        <w:t> </w:t>
      </w:r>
      <w:r w:rsidR="00F1653C" w:rsidRPr="00E22450">
        <w:rPr>
          <w:noProof/>
          <w:lang w:val="pl-PL"/>
        </w:rPr>
        <w:t>war</w:t>
      </w:r>
      <w:r w:rsidRPr="00E22450">
        <w:rPr>
          <w:noProof/>
          <w:lang w:val="pl-PL"/>
        </w:rPr>
        <w:t>tości co najmniej 41,5 bln EUR (3</w:t>
      </w:r>
      <w:r w:rsidRPr="00F1653C">
        <w:rPr>
          <w:noProof/>
          <w:lang w:val="pl-PL"/>
        </w:rPr>
        <w:t>9</w:t>
      </w:r>
      <w:r w:rsidR="00F1653C" w:rsidRPr="00F1653C">
        <w:rPr>
          <w:noProof/>
          <w:lang w:val="pl-PL"/>
        </w:rPr>
        <w:t> </w:t>
      </w:r>
      <w:r w:rsidRPr="00F1653C">
        <w:rPr>
          <w:noProof/>
          <w:lang w:val="pl-PL"/>
        </w:rPr>
        <w:t>%</w:t>
      </w:r>
      <w:r w:rsidRPr="00E22450">
        <w:rPr>
          <w:noProof/>
          <w:lang w:val="pl-PL"/>
        </w:rPr>
        <w:t>)</w:t>
      </w:r>
      <w:r>
        <w:rPr>
          <w:rStyle w:val="FootnoteReference"/>
          <w:rFonts w:cs="Times New Roman"/>
          <w:noProof/>
        </w:rPr>
        <w:footnoteReference w:id="11"/>
      </w:r>
      <w:r w:rsidRPr="00E22450">
        <w:rPr>
          <w:noProof/>
          <w:lang w:val="pl-PL"/>
        </w:rPr>
        <w:t>. NBFI obejmują bardzo zróżnicowane sektory,</w:t>
      </w:r>
      <w:r w:rsidR="00F1653C" w:rsidRPr="00E22450">
        <w:rPr>
          <w:noProof/>
          <w:lang w:val="pl-PL"/>
        </w:rPr>
        <w:t xml:space="preserve"> w</w:t>
      </w:r>
      <w:r w:rsidR="00F1653C">
        <w:rPr>
          <w:noProof/>
          <w:lang w:val="pl-PL"/>
        </w:rPr>
        <w:t> </w:t>
      </w:r>
      <w:r w:rsidR="00F1653C" w:rsidRPr="00E22450">
        <w:rPr>
          <w:noProof/>
          <w:lang w:val="pl-PL"/>
        </w:rPr>
        <w:t>tym</w:t>
      </w:r>
      <w:r w:rsidRPr="00E22450">
        <w:rPr>
          <w:noProof/>
          <w:lang w:val="pl-PL"/>
        </w:rPr>
        <w:t xml:space="preserve"> spółki zarządzania aktywami</w:t>
      </w:r>
      <w:r w:rsidR="00F1653C" w:rsidRPr="00E22450">
        <w:rPr>
          <w:noProof/>
          <w:lang w:val="pl-PL"/>
        </w:rPr>
        <w:t xml:space="preserve"> i</w:t>
      </w:r>
      <w:r w:rsidR="00F1653C">
        <w:rPr>
          <w:noProof/>
          <w:lang w:val="pl-PL"/>
        </w:rPr>
        <w:t> </w:t>
      </w:r>
      <w:r w:rsidR="00F1653C" w:rsidRPr="00E22450">
        <w:rPr>
          <w:noProof/>
          <w:lang w:val="pl-PL"/>
        </w:rPr>
        <w:t>fun</w:t>
      </w:r>
      <w:r w:rsidRPr="00E22450">
        <w:rPr>
          <w:noProof/>
          <w:lang w:val="pl-PL"/>
        </w:rPr>
        <w:t>dusze inwestycyjne, pozabankowe przedsiębiorstwa inwestycyjne, podmioty typu „family office”, przedsiębiorstwa finansowania łańcucha dostaw, fundusze emerytalne, zakłady ubezpieczeń</w:t>
      </w:r>
      <w:r w:rsidR="00F1653C" w:rsidRPr="00E22450">
        <w:rPr>
          <w:noProof/>
          <w:lang w:val="pl-PL"/>
        </w:rPr>
        <w:t xml:space="preserve"> i</w:t>
      </w:r>
      <w:r w:rsidR="00F1653C">
        <w:rPr>
          <w:noProof/>
          <w:lang w:val="pl-PL"/>
        </w:rPr>
        <w:t> </w:t>
      </w:r>
      <w:r w:rsidR="00F1653C" w:rsidRPr="00E22450">
        <w:rPr>
          <w:noProof/>
          <w:lang w:val="pl-PL"/>
        </w:rPr>
        <w:t>inn</w:t>
      </w:r>
      <w:r w:rsidRPr="00E22450">
        <w:rPr>
          <w:noProof/>
          <w:lang w:val="pl-PL"/>
        </w:rPr>
        <w:t>e podmioty niebędące bankami</w:t>
      </w:r>
      <w:r>
        <w:rPr>
          <w:rStyle w:val="FootnoteReference"/>
          <w:rFonts w:cs="Times New Roman"/>
          <w:noProof/>
        </w:rPr>
        <w:footnoteReference w:id="12"/>
      </w:r>
      <w:r w:rsidRPr="00E22450">
        <w:rPr>
          <w:noProof/>
          <w:lang w:val="pl-PL"/>
        </w:rPr>
        <w:t>. W Europie NBFI odgrywają kluczową rolę we wspieraniu różnorodności finansowej</w:t>
      </w:r>
      <w:r w:rsidR="00F1653C" w:rsidRPr="00E22450">
        <w:rPr>
          <w:noProof/>
          <w:lang w:val="pl-PL"/>
        </w:rPr>
        <w:t xml:space="preserve"> i</w:t>
      </w:r>
      <w:r w:rsidR="00F1653C">
        <w:rPr>
          <w:noProof/>
          <w:lang w:val="pl-PL"/>
        </w:rPr>
        <w:t> </w:t>
      </w:r>
      <w:r w:rsidR="00F1653C" w:rsidRPr="00E22450">
        <w:rPr>
          <w:noProof/>
          <w:lang w:val="pl-PL"/>
        </w:rPr>
        <w:t>zmn</w:t>
      </w:r>
      <w:r w:rsidRPr="00E22450">
        <w:rPr>
          <w:noProof/>
          <w:lang w:val="pl-PL"/>
        </w:rPr>
        <w:t>iejszaniu zależności od finansowania bankowego, zwłaszcza</w:t>
      </w:r>
      <w:r w:rsidR="00F1653C" w:rsidRPr="00E22450">
        <w:rPr>
          <w:noProof/>
          <w:lang w:val="pl-PL"/>
        </w:rPr>
        <w:t xml:space="preserve"> w</w:t>
      </w:r>
      <w:r w:rsidR="00F1653C">
        <w:rPr>
          <w:noProof/>
          <w:lang w:val="pl-PL"/>
        </w:rPr>
        <w:t> </w:t>
      </w:r>
      <w:r w:rsidR="00F1653C" w:rsidRPr="00E22450">
        <w:rPr>
          <w:noProof/>
          <w:lang w:val="pl-PL"/>
        </w:rPr>
        <w:t>kon</w:t>
      </w:r>
      <w:r w:rsidRPr="00E22450">
        <w:rPr>
          <w:noProof/>
          <w:lang w:val="pl-PL"/>
        </w:rPr>
        <w:t>tekście unii rynków kapitałowych</w:t>
      </w:r>
      <w:r w:rsidR="00F1653C" w:rsidRPr="00E22450">
        <w:rPr>
          <w:noProof/>
          <w:lang w:val="pl-PL"/>
        </w:rPr>
        <w:t xml:space="preserve"> i</w:t>
      </w:r>
      <w:r w:rsidR="00F1653C">
        <w:rPr>
          <w:noProof/>
          <w:lang w:val="pl-PL"/>
        </w:rPr>
        <w:t> </w:t>
      </w:r>
      <w:r w:rsidR="00F1653C" w:rsidRPr="00E22450">
        <w:rPr>
          <w:noProof/>
          <w:lang w:val="pl-PL"/>
        </w:rPr>
        <w:t>roz</w:t>
      </w:r>
      <w:r w:rsidRPr="00E22450">
        <w:rPr>
          <w:noProof/>
          <w:lang w:val="pl-PL"/>
        </w:rPr>
        <w:t>woju solidnego jednolitego rynku</w:t>
      </w:r>
      <w:r w:rsidR="00F1653C" w:rsidRPr="00E22450">
        <w:rPr>
          <w:noProof/>
          <w:lang w:val="pl-PL"/>
        </w:rPr>
        <w:t>. W</w:t>
      </w:r>
      <w:r w:rsidR="00F1653C">
        <w:rPr>
          <w:noProof/>
          <w:lang w:val="pl-PL"/>
        </w:rPr>
        <w:t> </w:t>
      </w:r>
      <w:r w:rsidR="00F1653C" w:rsidRPr="00E22450">
        <w:rPr>
          <w:noProof/>
          <w:lang w:val="pl-PL"/>
        </w:rPr>
        <w:t>zwi</w:t>
      </w:r>
      <w:r w:rsidRPr="00E22450">
        <w:rPr>
          <w:noProof/>
          <w:lang w:val="pl-PL"/>
        </w:rPr>
        <w:t>ązku</w:t>
      </w:r>
      <w:r w:rsidR="00F1653C" w:rsidRPr="00E22450">
        <w:rPr>
          <w:noProof/>
          <w:lang w:val="pl-PL"/>
        </w:rPr>
        <w:t xml:space="preserve"> z</w:t>
      </w:r>
      <w:r w:rsidR="00F1653C">
        <w:rPr>
          <w:noProof/>
          <w:lang w:val="pl-PL"/>
        </w:rPr>
        <w:t> </w:t>
      </w:r>
      <w:r w:rsidR="00F1653C" w:rsidRPr="00E22450">
        <w:rPr>
          <w:noProof/>
          <w:lang w:val="pl-PL"/>
        </w:rPr>
        <w:t>tym</w:t>
      </w:r>
      <w:r w:rsidRPr="00E22450">
        <w:rPr>
          <w:noProof/>
          <w:lang w:val="pl-PL"/>
        </w:rPr>
        <w:t xml:space="preserve"> wnoszą one pozytywny wkład</w:t>
      </w:r>
      <w:r w:rsidR="00F1653C" w:rsidRPr="00E22450">
        <w:rPr>
          <w:noProof/>
          <w:lang w:val="pl-PL"/>
        </w:rPr>
        <w:t xml:space="preserve"> w</w:t>
      </w:r>
      <w:r w:rsidR="00F1653C">
        <w:rPr>
          <w:noProof/>
          <w:lang w:val="pl-PL"/>
        </w:rPr>
        <w:t> </w:t>
      </w:r>
      <w:r w:rsidR="00F1653C" w:rsidRPr="00E22450">
        <w:rPr>
          <w:noProof/>
          <w:lang w:val="pl-PL"/>
        </w:rPr>
        <w:t>sta</w:t>
      </w:r>
      <w:r w:rsidRPr="00E22450">
        <w:rPr>
          <w:noProof/>
          <w:lang w:val="pl-PL"/>
        </w:rPr>
        <w:t>bilność finansową (poprzez udział sektora prywatnego</w:t>
      </w:r>
      <w:r w:rsidR="00F1653C" w:rsidRPr="00E22450">
        <w:rPr>
          <w:noProof/>
          <w:lang w:val="pl-PL"/>
        </w:rPr>
        <w:t xml:space="preserve"> w</w:t>
      </w:r>
      <w:r w:rsidR="00F1653C">
        <w:rPr>
          <w:noProof/>
          <w:lang w:val="pl-PL"/>
        </w:rPr>
        <w:t> </w:t>
      </w:r>
      <w:r w:rsidR="00F1653C" w:rsidRPr="00E22450">
        <w:rPr>
          <w:noProof/>
          <w:lang w:val="pl-PL"/>
        </w:rPr>
        <w:t>pod</w:t>
      </w:r>
      <w:r w:rsidRPr="00E22450">
        <w:rPr>
          <w:noProof/>
          <w:lang w:val="pl-PL"/>
        </w:rPr>
        <w:t>ziale ryzyka)</w:t>
      </w:r>
      <w:r w:rsidR="00F1653C" w:rsidRPr="00E22450">
        <w:rPr>
          <w:noProof/>
          <w:lang w:val="pl-PL"/>
        </w:rPr>
        <w:t xml:space="preserve"> i</w:t>
      </w:r>
      <w:r w:rsidR="00F1653C">
        <w:rPr>
          <w:noProof/>
          <w:lang w:val="pl-PL"/>
        </w:rPr>
        <w:t> </w:t>
      </w:r>
      <w:r w:rsidR="00F1653C" w:rsidRPr="00E22450">
        <w:rPr>
          <w:noProof/>
          <w:lang w:val="pl-PL"/>
        </w:rPr>
        <w:t>w</w:t>
      </w:r>
      <w:r w:rsidR="00F1653C">
        <w:rPr>
          <w:noProof/>
          <w:lang w:val="pl-PL"/>
        </w:rPr>
        <w:t> </w:t>
      </w:r>
      <w:r w:rsidR="00F1653C" w:rsidRPr="00E22450">
        <w:rPr>
          <w:noProof/>
          <w:lang w:val="pl-PL"/>
        </w:rPr>
        <w:t>inn</w:t>
      </w:r>
      <w:r w:rsidRPr="00E22450">
        <w:rPr>
          <w:noProof/>
          <w:lang w:val="pl-PL"/>
        </w:rPr>
        <w:t xml:space="preserve">owacje. </w:t>
      </w:r>
    </w:p>
    <w:p w14:paraId="06277E53" w14:textId="22ECC84B" w:rsidR="00585BA2" w:rsidRPr="00E22450" w:rsidRDefault="007B124E" w:rsidP="004709F3">
      <w:pPr>
        <w:spacing w:after="120" w:line="240" w:lineRule="auto"/>
        <w:rPr>
          <w:rFonts w:cs="Times New Roman"/>
          <w:noProof/>
          <w:lang w:val="pl-PL"/>
        </w:rPr>
      </w:pPr>
      <w:r w:rsidRPr="00E22450">
        <w:rPr>
          <w:b/>
          <w:noProof/>
          <w:lang w:val="pl-PL"/>
        </w:rPr>
        <w:t>Szybki rozwój NBFI może jednak również stwarzać nowe zagrożenia</w:t>
      </w:r>
      <w:r w:rsidR="00F1653C" w:rsidRPr="00E22450">
        <w:rPr>
          <w:b/>
          <w:noProof/>
          <w:lang w:val="pl-PL"/>
        </w:rPr>
        <w:t xml:space="preserve"> i</w:t>
      </w:r>
      <w:r w:rsidR="00F1653C">
        <w:rPr>
          <w:b/>
          <w:noProof/>
          <w:lang w:val="pl-PL"/>
        </w:rPr>
        <w:t> </w:t>
      </w:r>
      <w:r w:rsidR="00F1653C" w:rsidRPr="00E22450">
        <w:rPr>
          <w:b/>
          <w:noProof/>
          <w:lang w:val="pl-PL"/>
        </w:rPr>
        <w:t>wyz</w:t>
      </w:r>
      <w:r w:rsidRPr="00E22450">
        <w:rPr>
          <w:b/>
          <w:noProof/>
          <w:lang w:val="pl-PL"/>
        </w:rPr>
        <w:t>wania dla stabilności finansowej.</w:t>
      </w:r>
      <w:r w:rsidRPr="00E22450">
        <w:rPr>
          <w:noProof/>
          <w:lang w:val="pl-PL"/>
        </w:rPr>
        <w:t xml:space="preserve"> Rozwojowi temu towarzyszył wzrost ryzyka niektórych portfeli aktywów, rosnąca transformacja płynności</w:t>
      </w:r>
      <w:r w:rsidR="00F1653C" w:rsidRPr="00E22450">
        <w:rPr>
          <w:noProof/>
          <w:lang w:val="pl-PL"/>
        </w:rPr>
        <w:t xml:space="preserve"> i</w:t>
      </w:r>
      <w:r w:rsidR="00F1653C">
        <w:rPr>
          <w:noProof/>
          <w:lang w:val="pl-PL"/>
        </w:rPr>
        <w:t> </w:t>
      </w:r>
      <w:r w:rsidR="00F1653C" w:rsidRPr="00E22450">
        <w:rPr>
          <w:noProof/>
          <w:lang w:val="pl-PL"/>
        </w:rPr>
        <w:t>zwi</w:t>
      </w:r>
      <w:r w:rsidRPr="00E22450">
        <w:rPr>
          <w:noProof/>
          <w:lang w:val="pl-PL"/>
        </w:rPr>
        <w:t>ększona dźwignia finansowa, napędzana również „poszukiwaniem zysków”</w:t>
      </w:r>
      <w:r w:rsidR="00F1653C" w:rsidRPr="00E22450">
        <w:rPr>
          <w:noProof/>
          <w:lang w:val="pl-PL"/>
        </w:rPr>
        <w:t xml:space="preserve"> w</w:t>
      </w:r>
      <w:r w:rsidR="00F1653C">
        <w:rPr>
          <w:noProof/>
          <w:lang w:val="pl-PL"/>
        </w:rPr>
        <w:t> </w:t>
      </w:r>
      <w:r w:rsidR="00F1653C" w:rsidRPr="00E22450">
        <w:rPr>
          <w:noProof/>
          <w:lang w:val="pl-PL"/>
        </w:rPr>
        <w:t>prz</w:t>
      </w:r>
      <w:r w:rsidRPr="00E22450">
        <w:rPr>
          <w:noProof/>
          <w:lang w:val="pl-PL"/>
        </w:rPr>
        <w:t>edłużonym okresie ujemnych realnych stóp procentowych</w:t>
      </w:r>
      <w:r>
        <w:rPr>
          <w:rStyle w:val="FootnoteReference"/>
          <w:rFonts w:cs="Times New Roman"/>
          <w:noProof/>
        </w:rPr>
        <w:footnoteReference w:id="13"/>
      </w:r>
      <w:r w:rsidRPr="00E22450">
        <w:rPr>
          <w:noProof/>
          <w:lang w:val="pl-PL"/>
        </w:rPr>
        <w:t>. Wzajemne powiązania między bankami i NBFI również stale się rozszerzały</w:t>
      </w:r>
      <w:r w:rsidR="00F1653C" w:rsidRPr="00E22450">
        <w:rPr>
          <w:noProof/>
          <w:lang w:val="pl-PL"/>
        </w:rPr>
        <w:t xml:space="preserve"> i</w:t>
      </w:r>
      <w:r w:rsidR="00F1653C">
        <w:rPr>
          <w:noProof/>
          <w:lang w:val="pl-PL"/>
        </w:rPr>
        <w:t> </w:t>
      </w:r>
      <w:r w:rsidR="00F1653C" w:rsidRPr="00E22450">
        <w:rPr>
          <w:noProof/>
          <w:lang w:val="pl-PL"/>
        </w:rPr>
        <w:t>zwi</w:t>
      </w:r>
      <w:r w:rsidRPr="00E22450">
        <w:rPr>
          <w:noProof/>
          <w:lang w:val="pl-PL"/>
        </w:rPr>
        <w:t xml:space="preserve">ększały </w:t>
      </w:r>
      <w:r w:rsidRPr="00E22450">
        <w:rPr>
          <w:rStyle w:val="BodyTextChar"/>
          <w:noProof/>
          <w:lang w:val="pl-PL"/>
        </w:rPr>
        <w:t>ryzyko rozprzestrzenienia się kryzysu</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cał</w:t>
      </w:r>
      <w:r w:rsidRPr="00E22450">
        <w:rPr>
          <w:rStyle w:val="BodyTextChar"/>
          <w:noProof/>
          <w:lang w:val="pl-PL"/>
        </w:rPr>
        <w:t>ym sektorze finansowym, co mogłoby mieć negatywne skutki uboczne dla gospodarki.</w:t>
      </w:r>
    </w:p>
    <w:p w14:paraId="12F3A4CC" w14:textId="32821328" w:rsidR="004709F3" w:rsidRPr="00E22450" w:rsidRDefault="006771D8" w:rsidP="004709F3">
      <w:pPr>
        <w:spacing w:after="120" w:line="240" w:lineRule="auto"/>
        <w:rPr>
          <w:noProof/>
          <w:lang w:val="pl-PL"/>
        </w:rPr>
      </w:pPr>
      <w:r w:rsidRPr="00E22450">
        <w:rPr>
          <w:noProof/>
          <w:lang w:val="pl-PL"/>
        </w:rPr>
        <w:t xml:space="preserve">Chociaż </w:t>
      </w:r>
      <w:r w:rsidRPr="00E22450">
        <w:rPr>
          <w:b/>
          <w:noProof/>
          <w:lang w:val="pl-PL"/>
        </w:rPr>
        <w:t>prowadzone na szczeblu międzynarodowym prace</w:t>
      </w:r>
      <w:r w:rsidRPr="00E22450">
        <w:rPr>
          <w:noProof/>
          <w:lang w:val="pl-PL"/>
        </w:rPr>
        <w:t xml:space="preserve"> nad opracowaniem</w:t>
      </w:r>
      <w:r w:rsidR="00F1653C" w:rsidRPr="00E22450">
        <w:rPr>
          <w:noProof/>
          <w:lang w:val="pl-PL"/>
        </w:rPr>
        <w:t xml:space="preserve"> i</w:t>
      </w:r>
      <w:r w:rsidR="00F1653C">
        <w:rPr>
          <w:noProof/>
          <w:lang w:val="pl-PL"/>
        </w:rPr>
        <w:t> </w:t>
      </w:r>
      <w:r w:rsidR="00F1653C" w:rsidRPr="00E22450">
        <w:rPr>
          <w:noProof/>
          <w:lang w:val="pl-PL"/>
        </w:rPr>
        <w:t>akt</w:t>
      </w:r>
      <w:r w:rsidRPr="00E22450">
        <w:rPr>
          <w:noProof/>
          <w:lang w:val="pl-PL"/>
        </w:rPr>
        <w:t>ualizacją ram makroostrożnościowych dla banków postępowały</w:t>
      </w:r>
      <w:r w:rsidR="00F1653C" w:rsidRPr="00E22450">
        <w:rPr>
          <w:noProof/>
          <w:lang w:val="pl-PL"/>
        </w:rPr>
        <w:t xml:space="preserve"> w</w:t>
      </w:r>
      <w:r w:rsidR="00F1653C">
        <w:rPr>
          <w:noProof/>
          <w:lang w:val="pl-PL"/>
        </w:rPr>
        <w:t> </w:t>
      </w:r>
      <w:r w:rsidR="00F1653C" w:rsidRPr="00E22450">
        <w:rPr>
          <w:noProof/>
          <w:lang w:val="pl-PL"/>
        </w:rPr>
        <w:t>sta</w:t>
      </w:r>
      <w:r w:rsidRPr="00E22450">
        <w:rPr>
          <w:noProof/>
          <w:lang w:val="pl-PL"/>
        </w:rPr>
        <w:t>łym tempie od czasu światowego kryzysu finansowego, prace nad polityką makroostrożnościową</w:t>
      </w:r>
      <w:r w:rsidR="00F1653C" w:rsidRPr="00E22450">
        <w:rPr>
          <w:noProof/>
          <w:lang w:val="pl-PL"/>
        </w:rPr>
        <w:t xml:space="preserve"> w</w:t>
      </w:r>
      <w:r w:rsidR="00F1653C">
        <w:rPr>
          <w:noProof/>
          <w:lang w:val="pl-PL"/>
        </w:rPr>
        <w:t> </w:t>
      </w:r>
      <w:r w:rsidR="00F1653C" w:rsidRPr="00E22450">
        <w:rPr>
          <w:noProof/>
          <w:lang w:val="pl-PL"/>
        </w:rPr>
        <w:t>odn</w:t>
      </w:r>
      <w:r w:rsidRPr="00E22450">
        <w:rPr>
          <w:noProof/>
          <w:lang w:val="pl-PL"/>
        </w:rPr>
        <w:t>iesieniu do NBFI przebiegały falami. Rada Stabilności Finansowej (FSB), Międzynarodowa Organizacja Komisji Papierów Wartościowych</w:t>
      </w:r>
      <w:r w:rsidR="00F1653C" w:rsidRPr="00E22450">
        <w:rPr>
          <w:noProof/>
          <w:lang w:val="pl-PL"/>
        </w:rPr>
        <w:t xml:space="preserve"> i</w:t>
      </w:r>
      <w:r w:rsidR="00F1653C">
        <w:rPr>
          <w:noProof/>
          <w:lang w:val="pl-PL"/>
        </w:rPr>
        <w:t> </w:t>
      </w:r>
      <w:r w:rsidR="00F1653C" w:rsidRPr="00E22450">
        <w:rPr>
          <w:noProof/>
          <w:lang w:val="pl-PL"/>
        </w:rPr>
        <w:t>Mię</w:t>
      </w:r>
      <w:r w:rsidRPr="00E22450">
        <w:rPr>
          <w:noProof/>
          <w:lang w:val="pl-PL"/>
        </w:rPr>
        <w:t>dzynarodowe Stowarzyszenie Organów Nadzoru Ubezpieczeniowego skupiały się stopniowo na opracowywaniu analiz</w:t>
      </w:r>
      <w:r w:rsidR="00F1653C" w:rsidRPr="00E22450">
        <w:rPr>
          <w:noProof/>
          <w:lang w:val="pl-PL"/>
        </w:rPr>
        <w:t xml:space="preserve"> i</w:t>
      </w:r>
      <w:r w:rsidR="00F1653C">
        <w:rPr>
          <w:noProof/>
          <w:lang w:val="pl-PL"/>
        </w:rPr>
        <w:t> </w:t>
      </w:r>
      <w:r w:rsidR="00F1653C" w:rsidRPr="00E22450">
        <w:rPr>
          <w:noProof/>
          <w:lang w:val="pl-PL"/>
        </w:rPr>
        <w:t>nar</w:t>
      </w:r>
      <w:r w:rsidRPr="00E22450">
        <w:rPr>
          <w:noProof/>
          <w:lang w:val="pl-PL"/>
        </w:rPr>
        <w:t>zędzi makroostrożnościowych, które mają na celu ograniczenie ryzyka systemowego związanego</w:t>
      </w:r>
      <w:r w:rsidR="00F1653C" w:rsidRPr="00E22450">
        <w:rPr>
          <w:noProof/>
          <w:lang w:val="pl-PL"/>
        </w:rPr>
        <w:t xml:space="preserve"> z</w:t>
      </w:r>
      <w:r w:rsidR="00F1653C">
        <w:rPr>
          <w:noProof/>
          <w:lang w:val="pl-PL"/>
        </w:rPr>
        <w:t> </w:t>
      </w:r>
      <w:r w:rsidR="00F1653C" w:rsidRPr="00E22450">
        <w:rPr>
          <w:noProof/>
          <w:lang w:val="pl-PL"/>
        </w:rPr>
        <w:t>wie</w:t>
      </w:r>
      <w:r w:rsidRPr="00E22450">
        <w:rPr>
          <w:noProof/>
          <w:lang w:val="pl-PL"/>
        </w:rPr>
        <w:t>lonarodowymi NBFI. Prace te nabrały jeszcze większego znaczenia</w:t>
      </w:r>
      <w:r w:rsidR="00F1653C" w:rsidRPr="00E22450">
        <w:rPr>
          <w:noProof/>
          <w:lang w:val="pl-PL"/>
        </w:rPr>
        <w:t xml:space="preserve"> w</w:t>
      </w:r>
      <w:r w:rsidR="00F1653C">
        <w:rPr>
          <w:noProof/>
          <w:lang w:val="pl-PL"/>
        </w:rPr>
        <w:t> </w:t>
      </w:r>
      <w:r w:rsidR="00F1653C" w:rsidRPr="00E22450">
        <w:rPr>
          <w:noProof/>
          <w:lang w:val="pl-PL"/>
        </w:rPr>
        <w:t>ost</w:t>
      </w:r>
      <w:r w:rsidRPr="00E22450">
        <w:rPr>
          <w:noProof/>
          <w:lang w:val="pl-PL"/>
        </w:rPr>
        <w:t xml:space="preserve">atnich latach po różnych okresach zawirowań na rynku (np. „pogoń za gotówką” (ang. </w:t>
      </w:r>
      <w:r w:rsidRPr="00E22450">
        <w:rPr>
          <w:i/>
          <w:iCs/>
          <w:noProof/>
          <w:lang w:val="pl-PL"/>
        </w:rPr>
        <w:t>dash for cash</w:t>
      </w:r>
      <w:r w:rsidRPr="00E22450">
        <w:rPr>
          <w:noProof/>
          <w:lang w:val="pl-PL"/>
        </w:rPr>
        <w:t>) podczas pandemii COVID-19</w:t>
      </w:r>
      <w:r w:rsidR="00F1653C" w:rsidRPr="00E22450">
        <w:rPr>
          <w:noProof/>
          <w:lang w:val="pl-PL"/>
        </w:rPr>
        <w:t xml:space="preserve"> w</w:t>
      </w:r>
      <w:r w:rsidR="00F1653C">
        <w:rPr>
          <w:noProof/>
          <w:lang w:val="pl-PL"/>
        </w:rPr>
        <w:t> </w:t>
      </w:r>
      <w:r w:rsidR="00F1653C" w:rsidRPr="00E22450">
        <w:rPr>
          <w:noProof/>
          <w:lang w:val="pl-PL"/>
        </w:rPr>
        <w:t>mar</w:t>
      </w:r>
      <w:r w:rsidRPr="00E22450">
        <w:rPr>
          <w:noProof/>
          <w:lang w:val="pl-PL"/>
        </w:rPr>
        <w:t>cu 20</w:t>
      </w:r>
      <w:r w:rsidRPr="00F1653C">
        <w:rPr>
          <w:noProof/>
          <w:lang w:val="pl-PL"/>
        </w:rPr>
        <w:t>20</w:t>
      </w:r>
      <w:r w:rsidR="00F1653C" w:rsidRPr="00F1653C">
        <w:rPr>
          <w:noProof/>
          <w:lang w:val="pl-PL"/>
        </w:rPr>
        <w:t> </w:t>
      </w:r>
      <w:r w:rsidRPr="00F1653C">
        <w:rPr>
          <w:noProof/>
          <w:lang w:val="pl-PL"/>
        </w:rPr>
        <w:t>r.</w:t>
      </w:r>
      <w:r w:rsidR="00F1653C" w:rsidRPr="00E22450">
        <w:rPr>
          <w:noProof/>
          <w:lang w:val="pl-PL"/>
        </w:rPr>
        <w:t xml:space="preserve"> i</w:t>
      </w:r>
      <w:r w:rsidR="00F1653C">
        <w:rPr>
          <w:noProof/>
          <w:lang w:val="pl-PL"/>
        </w:rPr>
        <w:t> </w:t>
      </w:r>
      <w:r w:rsidR="00F1653C" w:rsidRPr="00E22450">
        <w:rPr>
          <w:noProof/>
          <w:lang w:val="pl-PL"/>
        </w:rPr>
        <w:t>kry</w:t>
      </w:r>
      <w:r w:rsidRPr="00E22450">
        <w:rPr>
          <w:noProof/>
          <w:lang w:val="pl-PL"/>
        </w:rPr>
        <w:t>zysu na rynku obligacji</w:t>
      </w:r>
      <w:r w:rsidR="00F1653C" w:rsidRPr="00E22450">
        <w:rPr>
          <w:noProof/>
          <w:lang w:val="pl-PL"/>
        </w:rPr>
        <w:t xml:space="preserve"> w</w:t>
      </w:r>
      <w:r w:rsidR="00F1653C">
        <w:rPr>
          <w:noProof/>
          <w:lang w:val="pl-PL"/>
        </w:rPr>
        <w:t> </w:t>
      </w:r>
      <w:r w:rsidR="00F1653C" w:rsidRPr="00E22450">
        <w:rPr>
          <w:noProof/>
          <w:lang w:val="pl-PL"/>
        </w:rPr>
        <w:t>Zje</w:t>
      </w:r>
      <w:r w:rsidRPr="00E22450">
        <w:rPr>
          <w:noProof/>
          <w:lang w:val="pl-PL"/>
        </w:rPr>
        <w:t>dnoczonym Królestwie we wrześniu 20</w:t>
      </w:r>
      <w:r w:rsidRPr="00F1653C">
        <w:rPr>
          <w:noProof/>
          <w:lang w:val="pl-PL"/>
        </w:rPr>
        <w:t>22</w:t>
      </w:r>
      <w:r w:rsidR="00F1653C" w:rsidRPr="00F1653C">
        <w:rPr>
          <w:noProof/>
          <w:lang w:val="pl-PL"/>
        </w:rPr>
        <w:t> </w:t>
      </w:r>
      <w:r w:rsidRPr="00F1653C">
        <w:rPr>
          <w:noProof/>
          <w:lang w:val="pl-PL"/>
        </w:rPr>
        <w:t>r.</w:t>
      </w:r>
      <w:r w:rsidRPr="00E22450">
        <w:rPr>
          <w:noProof/>
          <w:lang w:val="pl-PL"/>
        </w:rPr>
        <w:t>) oraz złego zarządzania finansami (np. Archegos lub Greensill Capital), które ujawniły wpływ, jaki narastanie ryzyka systemowego</w:t>
      </w:r>
      <w:r w:rsidR="00F1653C" w:rsidRPr="00E22450">
        <w:rPr>
          <w:noProof/>
          <w:lang w:val="pl-PL"/>
        </w:rPr>
        <w:t xml:space="preserve"> i</w:t>
      </w:r>
      <w:r w:rsidR="00F1653C">
        <w:rPr>
          <w:noProof/>
          <w:lang w:val="pl-PL"/>
        </w:rPr>
        <w:t> </w:t>
      </w:r>
      <w:r w:rsidR="00F1653C" w:rsidRPr="00E22450">
        <w:rPr>
          <w:noProof/>
          <w:lang w:val="pl-PL"/>
        </w:rPr>
        <w:t>pod</w:t>
      </w:r>
      <w:r w:rsidRPr="00E22450">
        <w:rPr>
          <w:noProof/>
          <w:lang w:val="pl-PL"/>
        </w:rPr>
        <w:t xml:space="preserve">atności na zagrożenia NBFI może mieć na całą gospodarkę. </w:t>
      </w:r>
    </w:p>
    <w:p w14:paraId="2BEFEF7F" w14:textId="562B8A24" w:rsidR="00776FCF" w:rsidRPr="00E22450" w:rsidRDefault="00776FCF" w:rsidP="00776FCF">
      <w:pPr>
        <w:spacing w:after="120" w:line="240" w:lineRule="auto"/>
        <w:rPr>
          <w:rStyle w:val="BodyTextChar"/>
          <w:rFonts w:eastAsiaTheme="minorEastAsia" w:cs="Times New Roman"/>
          <w:noProof/>
          <w:lang w:val="pl-PL"/>
        </w:rPr>
      </w:pPr>
      <w:r w:rsidRPr="00E22450">
        <w:rPr>
          <w:rStyle w:val="BodyTextChar"/>
          <w:noProof/>
          <w:lang w:val="pl-PL"/>
        </w:rPr>
        <w:t>Rada Stabilności Finansowej</w:t>
      </w:r>
      <w:r>
        <w:rPr>
          <w:rStyle w:val="FootnoteReference"/>
          <w:rFonts w:eastAsiaTheme="minorEastAsia" w:cs="Times New Roman"/>
          <w:noProof/>
        </w:rPr>
        <w:footnoteReference w:id="14"/>
      </w:r>
      <w:r w:rsidRPr="00E22450">
        <w:rPr>
          <w:rStyle w:val="BodyTextChar"/>
          <w:noProof/>
          <w:lang w:val="pl-PL"/>
        </w:rPr>
        <w:t xml:space="preserve"> i ERRS</w:t>
      </w:r>
      <w:r>
        <w:rPr>
          <w:rStyle w:val="FootnoteReference"/>
          <w:rFonts w:eastAsiaTheme="minorEastAsia" w:cs="Times New Roman"/>
          <w:noProof/>
        </w:rPr>
        <w:footnoteReference w:id="15"/>
      </w:r>
      <w:r w:rsidRPr="00E22450">
        <w:rPr>
          <w:rStyle w:val="BodyTextChar"/>
          <w:noProof/>
          <w:lang w:val="pl-PL"/>
        </w:rPr>
        <w:t xml:space="preserve"> zidentyfikowały trzy strukturalne podatności na zagrożenia, które przyczyniają się do narastania ryzyka systemowego</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któ</w:t>
      </w:r>
      <w:r w:rsidRPr="00E22450">
        <w:rPr>
          <w:rStyle w:val="BodyTextChar"/>
          <w:noProof/>
          <w:lang w:val="pl-PL"/>
        </w:rPr>
        <w:t>re są obecnie tylko częściowo objęte polityką makroostrożnościową. Obejmują one systemowe niedopasowanie płynności</w:t>
      </w:r>
      <w:r>
        <w:rPr>
          <w:rStyle w:val="FootnoteReference"/>
          <w:rFonts w:eastAsiaTheme="minorEastAsia" w:cs="Times New Roman"/>
          <w:noProof/>
        </w:rPr>
        <w:footnoteReference w:id="16"/>
      </w:r>
      <w:r w:rsidRPr="00E22450">
        <w:rPr>
          <w:rStyle w:val="BodyTextChar"/>
          <w:noProof/>
          <w:lang w:val="pl-PL"/>
        </w:rPr>
        <w:t>, nadmierną dźwignię finansową oraz wzajemne powiązania</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ram</w:t>
      </w:r>
      <w:r w:rsidRPr="00E22450">
        <w:rPr>
          <w:rStyle w:val="BodyTextChar"/>
          <w:noProof/>
          <w:lang w:val="pl-PL"/>
        </w:rPr>
        <w:t>ach NBFI i NBFI</w:t>
      </w:r>
      <w:r w:rsidR="00F1653C" w:rsidRPr="00E22450">
        <w:rPr>
          <w:rStyle w:val="BodyTextChar"/>
          <w:noProof/>
          <w:lang w:val="pl-PL"/>
        </w:rPr>
        <w:t xml:space="preserve"> z</w:t>
      </w:r>
      <w:r w:rsidR="00F1653C">
        <w:rPr>
          <w:rStyle w:val="BodyTextChar"/>
          <w:noProof/>
          <w:lang w:val="pl-PL"/>
        </w:rPr>
        <w:t> </w:t>
      </w:r>
      <w:r w:rsidR="00F1653C" w:rsidRPr="00E22450">
        <w:rPr>
          <w:rStyle w:val="BodyTextChar"/>
          <w:noProof/>
          <w:lang w:val="pl-PL"/>
        </w:rPr>
        <w:t>sek</w:t>
      </w:r>
      <w:r w:rsidRPr="00E22450">
        <w:rPr>
          <w:rStyle w:val="BodyTextChar"/>
          <w:noProof/>
          <w:lang w:val="pl-PL"/>
        </w:rPr>
        <w:t>torem bankowym. Podatności te sprawiają, że nadzór nad takimi wzajemnie powiązanymi sektorami staje się jeszcze bardziej skomplikowany, co uwydatnia potrzebę rozważenia bardziej spójnego</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sko</w:t>
      </w:r>
      <w:r w:rsidRPr="00E22450">
        <w:rPr>
          <w:rStyle w:val="BodyTextChar"/>
          <w:noProof/>
          <w:lang w:val="pl-PL"/>
        </w:rPr>
        <w:t xml:space="preserve">ordynowanego nadzoru makroostrożnościowego nad NBFI (zob. </w:t>
      </w:r>
      <w:r w:rsidRPr="00E22450">
        <w:rPr>
          <w:rStyle w:val="BodyTextChar"/>
          <w:i/>
          <w:noProof/>
          <w:lang w:val="pl-PL"/>
        </w:rPr>
        <w:t>załącznik 2</w:t>
      </w:r>
      <w:r w:rsidRPr="00E22450">
        <w:rPr>
          <w:rStyle w:val="BodyTextChar"/>
          <w:noProof/>
          <w:lang w:val="pl-PL"/>
        </w:rPr>
        <w:t>).</w:t>
      </w:r>
    </w:p>
    <w:p w14:paraId="76F15A74" w14:textId="45D47CB9" w:rsidR="003C0194" w:rsidRPr="00E22450" w:rsidRDefault="005E433E" w:rsidP="003C0194">
      <w:pPr>
        <w:spacing w:after="120" w:line="240" w:lineRule="auto"/>
        <w:rPr>
          <w:rStyle w:val="BodyTextChar"/>
          <w:rFonts w:eastAsiaTheme="minorEastAsia" w:cs="Times New Roman"/>
          <w:noProof/>
          <w:lang w:val="pl-PL"/>
        </w:rPr>
      </w:pPr>
      <w:r w:rsidRPr="00E22450">
        <w:rPr>
          <w:rStyle w:val="BodyTextChar"/>
          <w:noProof/>
          <w:lang w:val="pl-PL"/>
        </w:rPr>
        <w:t>W rezultacie te same konwencjonalne</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poj</w:t>
      </w:r>
      <w:r w:rsidRPr="00E22450">
        <w:rPr>
          <w:rStyle w:val="BodyTextChar"/>
          <w:noProof/>
          <w:lang w:val="pl-PL"/>
        </w:rPr>
        <w:t>awiające się rodzaje ryzyka wpływające na banki,</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poł</w:t>
      </w:r>
      <w:r w:rsidRPr="00E22450">
        <w:rPr>
          <w:rStyle w:val="BodyTextChar"/>
          <w:noProof/>
          <w:lang w:val="pl-PL"/>
        </w:rPr>
        <w:t>ączeniu</w:t>
      </w:r>
      <w:r w:rsidR="00F1653C" w:rsidRPr="00E22450">
        <w:rPr>
          <w:rStyle w:val="BodyTextChar"/>
          <w:noProof/>
          <w:lang w:val="pl-PL"/>
        </w:rPr>
        <w:t xml:space="preserve"> z</w:t>
      </w:r>
      <w:r w:rsidR="00F1653C">
        <w:rPr>
          <w:rStyle w:val="BodyTextChar"/>
          <w:noProof/>
          <w:lang w:val="pl-PL"/>
        </w:rPr>
        <w:t> </w:t>
      </w:r>
      <w:r w:rsidR="00F1653C" w:rsidRPr="00E22450">
        <w:rPr>
          <w:rStyle w:val="BodyTextChar"/>
          <w:noProof/>
          <w:lang w:val="pl-PL"/>
        </w:rPr>
        <w:t>róż</w:t>
      </w:r>
      <w:r w:rsidRPr="00E22450">
        <w:rPr>
          <w:rStyle w:val="BodyTextChar"/>
          <w:noProof/>
          <w:lang w:val="pl-PL"/>
        </w:rPr>
        <w:t>norodnością</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zło</w:t>
      </w:r>
      <w:r w:rsidRPr="00E22450">
        <w:rPr>
          <w:rStyle w:val="BodyTextChar"/>
          <w:noProof/>
          <w:lang w:val="pl-PL"/>
        </w:rPr>
        <w:t xml:space="preserve">żonością sektorów NBFI, mogą prowadzić do powstania </w:t>
      </w:r>
      <w:r w:rsidRPr="00E22450">
        <w:rPr>
          <w:rStyle w:val="BodyTextChar"/>
          <w:b/>
          <w:noProof/>
          <w:lang w:val="pl-PL"/>
        </w:rPr>
        <w:t>szczególnych podatności na zagrożenia NBFI</w:t>
      </w:r>
      <w:r w:rsidRPr="00E22450">
        <w:rPr>
          <w:rStyle w:val="BodyTextChar"/>
          <w:noProof/>
          <w:lang w:val="pl-PL"/>
        </w:rPr>
        <w:t xml:space="preserve"> wynikających z: </w:t>
      </w:r>
    </w:p>
    <w:p w14:paraId="24281013" w14:textId="77777777" w:rsidR="003C0194" w:rsidRPr="00453A8A" w:rsidRDefault="003C0194" w:rsidP="003C0194">
      <w:pPr>
        <w:pStyle w:val="ListParagraph"/>
        <w:numPr>
          <w:ilvl w:val="0"/>
          <w:numId w:val="28"/>
        </w:numPr>
        <w:spacing w:after="120"/>
        <w:rPr>
          <w:rStyle w:val="BodyTextChar"/>
          <w:rFonts w:eastAsiaTheme="minorEastAsia" w:cs="Times New Roman"/>
          <w:noProof/>
        </w:rPr>
      </w:pPr>
      <w:r>
        <w:rPr>
          <w:rStyle w:val="BodyTextChar"/>
          <w:noProof/>
        </w:rPr>
        <w:t xml:space="preserve">strukturalnego niedopasowania płynności; </w:t>
      </w:r>
    </w:p>
    <w:p w14:paraId="2FFD6D2A" w14:textId="77777777" w:rsidR="003C0194" w:rsidRPr="00E22450" w:rsidRDefault="003C0194" w:rsidP="003C0194">
      <w:pPr>
        <w:pStyle w:val="ListParagraph"/>
        <w:numPr>
          <w:ilvl w:val="0"/>
          <w:numId w:val="28"/>
        </w:numPr>
        <w:spacing w:after="120"/>
        <w:rPr>
          <w:rStyle w:val="BodyTextChar"/>
          <w:rFonts w:eastAsiaTheme="minorEastAsia" w:cs="Times New Roman"/>
          <w:noProof/>
          <w:lang w:val="pl-PL"/>
        </w:rPr>
      </w:pPr>
      <w:r w:rsidRPr="00E22450">
        <w:rPr>
          <w:rStyle w:val="BodyTextChar"/>
          <w:noProof/>
          <w:lang w:val="pl-PL"/>
        </w:rPr>
        <w:t>nagromadzenia nadmiernej dźwigni finansowej we wszystkich NBFI;</w:t>
      </w:r>
    </w:p>
    <w:p w14:paraId="2851A9F1" w14:textId="6C80E6DF" w:rsidR="003C0194" w:rsidRPr="00E22450" w:rsidRDefault="003C0194" w:rsidP="003C0194">
      <w:pPr>
        <w:pStyle w:val="ListParagraph"/>
        <w:numPr>
          <w:ilvl w:val="0"/>
          <w:numId w:val="28"/>
        </w:numPr>
        <w:spacing w:after="120"/>
        <w:rPr>
          <w:rStyle w:val="BodyTextChar"/>
          <w:rFonts w:eastAsiaTheme="minorEastAsia" w:cs="Times New Roman"/>
          <w:noProof/>
          <w:lang w:val="pl-PL"/>
        </w:rPr>
      </w:pPr>
      <w:r w:rsidRPr="00E22450">
        <w:rPr>
          <w:rStyle w:val="BodyTextChar"/>
          <w:noProof/>
          <w:lang w:val="pl-PL"/>
        </w:rPr>
        <w:t>wzajemnych powiązań między NBFI oraz między NBFI</w:t>
      </w:r>
      <w:r w:rsidR="00F1653C" w:rsidRPr="00E22450">
        <w:rPr>
          <w:rStyle w:val="BodyTextChar"/>
          <w:noProof/>
          <w:lang w:val="pl-PL"/>
        </w:rPr>
        <w:t xml:space="preserve"> a</w:t>
      </w:r>
      <w:r w:rsidR="00F1653C">
        <w:rPr>
          <w:rStyle w:val="BodyTextChar"/>
          <w:noProof/>
          <w:lang w:val="pl-PL"/>
        </w:rPr>
        <w:t> </w:t>
      </w:r>
      <w:r w:rsidR="00F1653C" w:rsidRPr="00E22450">
        <w:rPr>
          <w:rStyle w:val="BodyTextChar"/>
          <w:noProof/>
          <w:lang w:val="pl-PL"/>
        </w:rPr>
        <w:t>ban</w:t>
      </w:r>
      <w:r w:rsidRPr="00E22450">
        <w:rPr>
          <w:rStyle w:val="BodyTextChar"/>
          <w:noProof/>
          <w:lang w:val="pl-PL"/>
        </w:rPr>
        <w:t>kami, co może powodować ukryte wzmocnienie ryzyka</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prz</w:t>
      </w:r>
      <w:r w:rsidRPr="00E22450">
        <w:rPr>
          <w:rStyle w:val="BodyTextChar"/>
          <w:noProof/>
          <w:lang w:val="pl-PL"/>
        </w:rPr>
        <w:t>eniesienie ryzyka</w:t>
      </w:r>
      <w:r w:rsidR="00F1653C" w:rsidRPr="00E22450">
        <w:rPr>
          <w:rStyle w:val="BodyTextChar"/>
          <w:noProof/>
          <w:lang w:val="pl-PL"/>
        </w:rPr>
        <w:t xml:space="preserve"> z</w:t>
      </w:r>
      <w:r w:rsidR="00F1653C">
        <w:rPr>
          <w:rStyle w:val="BodyTextChar"/>
          <w:noProof/>
          <w:lang w:val="pl-PL"/>
        </w:rPr>
        <w:t> </w:t>
      </w:r>
      <w:r w:rsidR="00F1653C" w:rsidRPr="00E22450">
        <w:rPr>
          <w:rStyle w:val="BodyTextChar"/>
          <w:noProof/>
          <w:lang w:val="pl-PL"/>
        </w:rPr>
        <w:t>sek</w:t>
      </w:r>
      <w:r w:rsidRPr="00E22450">
        <w:rPr>
          <w:rStyle w:val="BodyTextChar"/>
          <w:noProof/>
          <w:lang w:val="pl-PL"/>
        </w:rPr>
        <w:t>tora bankowego do sektorów pozabankowych; oraz</w:t>
      </w:r>
    </w:p>
    <w:p w14:paraId="5FF1598A" w14:textId="30D87F0C" w:rsidR="003C0194" w:rsidRPr="00E22450" w:rsidRDefault="003C0194" w:rsidP="003C0194">
      <w:pPr>
        <w:pStyle w:val="ListParagraph"/>
        <w:numPr>
          <w:ilvl w:val="0"/>
          <w:numId w:val="28"/>
        </w:numPr>
        <w:spacing w:after="120"/>
        <w:rPr>
          <w:rStyle w:val="BodyTextChar"/>
          <w:rFonts w:eastAsiaTheme="minorEastAsia" w:cs="Times New Roman"/>
          <w:noProof/>
          <w:lang w:val="pl-PL"/>
        </w:rPr>
      </w:pPr>
      <w:r w:rsidRPr="00E22450">
        <w:rPr>
          <w:noProof/>
          <w:lang w:val="pl-PL"/>
        </w:rPr>
        <w:t>braku spójności</w:t>
      </w:r>
      <w:r w:rsidR="00F1653C" w:rsidRPr="00E22450">
        <w:rPr>
          <w:noProof/>
          <w:lang w:val="pl-PL"/>
        </w:rPr>
        <w:t xml:space="preserve"> i</w:t>
      </w:r>
      <w:r w:rsidR="00F1653C">
        <w:rPr>
          <w:noProof/>
          <w:lang w:val="pl-PL"/>
        </w:rPr>
        <w:t> </w:t>
      </w:r>
      <w:r w:rsidR="00F1653C" w:rsidRPr="00E22450">
        <w:rPr>
          <w:noProof/>
          <w:lang w:val="pl-PL"/>
        </w:rPr>
        <w:t>koo</w:t>
      </w:r>
      <w:r w:rsidRPr="00E22450">
        <w:rPr>
          <w:noProof/>
          <w:lang w:val="pl-PL"/>
        </w:rPr>
        <w:t>rdynacji między ramami makroostrożnościowymi</w:t>
      </w:r>
      <w:r w:rsidR="00F1653C" w:rsidRPr="00E22450">
        <w:rPr>
          <w:noProof/>
          <w:lang w:val="pl-PL"/>
        </w:rPr>
        <w:t xml:space="preserve"> w</w:t>
      </w:r>
      <w:r w:rsidR="00F1653C">
        <w:rPr>
          <w:noProof/>
          <w:lang w:val="pl-PL"/>
        </w:rPr>
        <w:t> </w:t>
      </w:r>
      <w:r w:rsidR="00F1653C" w:rsidRPr="00E22450">
        <w:rPr>
          <w:noProof/>
          <w:lang w:val="pl-PL"/>
        </w:rPr>
        <w:t>cał</w:t>
      </w:r>
      <w:r w:rsidRPr="00E22450">
        <w:rPr>
          <w:noProof/>
          <w:lang w:val="pl-PL"/>
        </w:rPr>
        <w:t>ej UE.</w:t>
      </w:r>
      <w:r w:rsidRPr="00E22450">
        <w:rPr>
          <w:rStyle w:val="BodyTextChar"/>
          <w:noProof/>
          <w:lang w:val="pl-PL"/>
        </w:rPr>
        <w:t xml:space="preserve"> </w:t>
      </w:r>
    </w:p>
    <w:p w14:paraId="1730C119" w14:textId="51340665" w:rsidR="004B0E5B" w:rsidRPr="00E22450" w:rsidRDefault="00362232" w:rsidP="002A404D">
      <w:pPr>
        <w:spacing w:after="120" w:line="240" w:lineRule="auto"/>
        <w:rPr>
          <w:rStyle w:val="BodyTextChar"/>
          <w:rFonts w:eastAsiaTheme="minorEastAsia" w:cs="Times New Roman"/>
          <w:noProof/>
          <w:lang w:val="pl-PL"/>
        </w:rPr>
      </w:pPr>
      <w:r w:rsidRPr="00E22450">
        <w:rPr>
          <w:noProof/>
          <w:lang w:val="pl-PL"/>
        </w:rPr>
        <w:t>Wobec braku ogólnych unijnych ram makroostrożnościowych regulujących NBFI oraz</w:t>
      </w:r>
      <w:r w:rsidR="00F1653C" w:rsidRPr="00E22450">
        <w:rPr>
          <w:noProof/>
          <w:lang w:val="pl-PL"/>
        </w:rPr>
        <w:t xml:space="preserve"> w</w:t>
      </w:r>
      <w:r w:rsidR="00F1653C">
        <w:rPr>
          <w:noProof/>
          <w:lang w:val="pl-PL"/>
        </w:rPr>
        <w:t> </w:t>
      </w:r>
      <w:r w:rsidR="00F1653C" w:rsidRPr="00E22450">
        <w:rPr>
          <w:noProof/>
          <w:lang w:val="pl-PL"/>
        </w:rPr>
        <w:t>cel</w:t>
      </w:r>
      <w:r w:rsidRPr="00E22450">
        <w:rPr>
          <w:noProof/>
          <w:lang w:val="pl-PL"/>
        </w:rPr>
        <w:t xml:space="preserve">u przeciwdziałania niektórym </w:t>
      </w:r>
      <w:r w:rsidRPr="00E22450">
        <w:rPr>
          <w:rStyle w:val="BodyTextChar"/>
          <w:noProof/>
          <w:lang w:val="pl-PL"/>
        </w:rPr>
        <w:t>szczególnym pojawiającym się zagrożeniom</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waż</w:t>
      </w:r>
      <w:r w:rsidRPr="00E22450">
        <w:rPr>
          <w:rStyle w:val="BodyTextChar"/>
          <w:noProof/>
          <w:lang w:val="pl-PL"/>
        </w:rPr>
        <w:t>nych sektorach NBFI</w:t>
      </w:r>
      <w:r w:rsidR="00F1653C" w:rsidRPr="00E22450">
        <w:rPr>
          <w:noProof/>
          <w:lang w:val="pl-PL"/>
        </w:rPr>
        <w:t xml:space="preserve"> w</w:t>
      </w:r>
      <w:r w:rsidR="00F1653C">
        <w:rPr>
          <w:noProof/>
          <w:lang w:val="pl-PL"/>
        </w:rPr>
        <w:t> </w:t>
      </w:r>
      <w:r w:rsidR="00F1653C" w:rsidRPr="00E22450">
        <w:rPr>
          <w:noProof/>
          <w:lang w:val="pl-PL"/>
        </w:rPr>
        <w:t>sze</w:t>
      </w:r>
      <w:r w:rsidRPr="00E22450">
        <w:rPr>
          <w:noProof/>
          <w:lang w:val="pl-PL"/>
        </w:rPr>
        <w:t>regu dyrektyw</w:t>
      </w:r>
      <w:r w:rsidR="00F1653C" w:rsidRPr="00E22450">
        <w:rPr>
          <w:noProof/>
          <w:lang w:val="pl-PL"/>
        </w:rPr>
        <w:t xml:space="preserve"> i</w:t>
      </w:r>
      <w:r w:rsidR="00F1653C">
        <w:rPr>
          <w:noProof/>
          <w:lang w:val="pl-PL"/>
        </w:rPr>
        <w:t> </w:t>
      </w:r>
      <w:r w:rsidR="00F1653C" w:rsidRPr="00E22450">
        <w:rPr>
          <w:noProof/>
          <w:lang w:val="pl-PL"/>
        </w:rPr>
        <w:t>roz</w:t>
      </w:r>
      <w:r w:rsidRPr="00E22450">
        <w:rPr>
          <w:noProof/>
          <w:lang w:val="pl-PL"/>
        </w:rPr>
        <w:t xml:space="preserve">porządzeń UE mających zastosowanie do tych instytucji przewidziano już pewne narzędzia makroostrożnościowe, które mają na celu ograniczenie narastania ryzyka systemowego lub zarządzanie skutkami zdarzenia systemowego </w:t>
      </w:r>
      <w:r w:rsidRPr="00E22450">
        <w:rPr>
          <w:rStyle w:val="BodyTextChar"/>
          <w:noProof/>
          <w:lang w:val="pl-PL"/>
        </w:rPr>
        <w:t xml:space="preserve">(zob. </w:t>
      </w:r>
      <w:r w:rsidRPr="00E22450">
        <w:rPr>
          <w:rStyle w:val="BodyTextChar"/>
          <w:i/>
          <w:noProof/>
          <w:lang w:val="pl-PL"/>
        </w:rPr>
        <w:t>dodatek 1</w:t>
      </w:r>
      <w:r w:rsidRPr="00E22450">
        <w:rPr>
          <w:rStyle w:val="BodyTextChar"/>
          <w:noProof/>
          <w:lang w:val="pl-PL"/>
        </w:rPr>
        <w:t>). Przykładowo niektóre narzędzia</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prz</w:t>
      </w:r>
      <w:r w:rsidRPr="00E22450">
        <w:rPr>
          <w:rStyle w:val="BodyTextChar"/>
          <w:noProof/>
          <w:lang w:val="pl-PL"/>
        </w:rPr>
        <w:t>episy dotyczące zarządzania płynnością, dźwignią finansową</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ryz</w:t>
      </w:r>
      <w:r w:rsidRPr="00E22450">
        <w:rPr>
          <w:rStyle w:val="BodyTextChar"/>
          <w:noProof/>
          <w:lang w:val="pl-PL"/>
        </w:rPr>
        <w:t>ykiem operacyjnym zostały stworzone</w:t>
      </w:r>
      <w:r w:rsidR="00F1653C" w:rsidRPr="00E22450">
        <w:rPr>
          <w:rStyle w:val="BodyTextChar"/>
          <w:noProof/>
          <w:lang w:val="pl-PL"/>
        </w:rPr>
        <w:t xml:space="preserve"> z</w:t>
      </w:r>
      <w:r w:rsidR="00F1653C">
        <w:rPr>
          <w:rStyle w:val="BodyTextChar"/>
          <w:noProof/>
          <w:lang w:val="pl-PL"/>
        </w:rPr>
        <w:t> </w:t>
      </w:r>
      <w:r w:rsidR="00F1653C" w:rsidRPr="00E22450">
        <w:rPr>
          <w:rStyle w:val="BodyTextChar"/>
          <w:noProof/>
          <w:lang w:val="pl-PL"/>
        </w:rPr>
        <w:t>myś</w:t>
      </w:r>
      <w:r w:rsidRPr="00E22450">
        <w:rPr>
          <w:rStyle w:val="BodyTextChar"/>
          <w:noProof/>
          <w:lang w:val="pl-PL"/>
        </w:rPr>
        <w:t>lą</w:t>
      </w:r>
      <w:r w:rsidR="00F1653C" w:rsidRPr="00E22450">
        <w:rPr>
          <w:rStyle w:val="BodyTextChar"/>
          <w:noProof/>
          <w:lang w:val="pl-PL"/>
        </w:rPr>
        <w:t xml:space="preserve"> o</w:t>
      </w:r>
      <w:r w:rsidR="00F1653C">
        <w:rPr>
          <w:rStyle w:val="BodyTextChar"/>
          <w:noProof/>
          <w:lang w:val="pl-PL"/>
        </w:rPr>
        <w:t> </w:t>
      </w:r>
      <w:r w:rsidR="00F1653C" w:rsidRPr="00E22450">
        <w:rPr>
          <w:rStyle w:val="BodyTextChar"/>
          <w:noProof/>
          <w:lang w:val="pl-PL"/>
        </w:rPr>
        <w:t>sek</w:t>
      </w:r>
      <w:r w:rsidRPr="00E22450">
        <w:rPr>
          <w:rStyle w:val="BodyTextChar"/>
          <w:noProof/>
          <w:lang w:val="pl-PL"/>
        </w:rPr>
        <w:t>torze funduszy inwestycyjnych (alternatywnych funduszach inwestycyjnych, przedsiębiorstwach zbiorowego inwestowania</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zby</w:t>
      </w:r>
      <w:r w:rsidRPr="00E22450">
        <w:rPr>
          <w:rStyle w:val="BodyTextChar"/>
          <w:noProof/>
          <w:lang w:val="pl-PL"/>
        </w:rPr>
        <w:t>walne papiery wartościowe</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fun</w:t>
      </w:r>
      <w:r w:rsidRPr="00E22450">
        <w:rPr>
          <w:rStyle w:val="BodyTextChar"/>
          <w:noProof/>
          <w:lang w:val="pl-PL"/>
        </w:rPr>
        <w:t>duszach rynku pieniężnego), sektorze ubezpieczeń oraz praktykach dotyczących depozytów zabezpieczających</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zar</w:t>
      </w:r>
      <w:r w:rsidRPr="00E22450">
        <w:rPr>
          <w:rStyle w:val="BodyTextChar"/>
          <w:noProof/>
          <w:lang w:val="pl-PL"/>
        </w:rPr>
        <w:t>ządzania ryzykiem związanym</w:t>
      </w:r>
      <w:r w:rsidR="00F1653C" w:rsidRPr="00E22450">
        <w:rPr>
          <w:rStyle w:val="BodyTextChar"/>
          <w:noProof/>
          <w:lang w:val="pl-PL"/>
        </w:rPr>
        <w:t xml:space="preserve"> z</w:t>
      </w:r>
      <w:r w:rsidR="00F1653C">
        <w:rPr>
          <w:rStyle w:val="BodyTextChar"/>
          <w:noProof/>
          <w:lang w:val="pl-PL"/>
        </w:rPr>
        <w:t> </w:t>
      </w:r>
      <w:r w:rsidR="00F1653C" w:rsidRPr="00E22450">
        <w:rPr>
          <w:rStyle w:val="BodyTextChar"/>
          <w:noProof/>
          <w:lang w:val="pl-PL"/>
        </w:rPr>
        <w:t>kon</w:t>
      </w:r>
      <w:r w:rsidRPr="00E22450">
        <w:rPr>
          <w:rStyle w:val="BodyTextChar"/>
          <w:noProof/>
          <w:lang w:val="pl-PL"/>
        </w:rPr>
        <w:t>trahentami centralnymi. Ponieważ jednak działalność kredytowa</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ryz</w:t>
      </w:r>
      <w:r w:rsidRPr="00E22450">
        <w:rPr>
          <w:rStyle w:val="BodyTextChar"/>
          <w:noProof/>
          <w:lang w:val="pl-PL"/>
        </w:rPr>
        <w:t>yko kredytowe</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cor</w:t>
      </w:r>
      <w:r w:rsidRPr="00E22450">
        <w:rPr>
          <w:rStyle w:val="BodyTextChar"/>
          <w:noProof/>
          <w:lang w:val="pl-PL"/>
        </w:rPr>
        <w:t>az większym stopniu przenoszą się</w:t>
      </w:r>
      <w:r w:rsidR="00F1653C" w:rsidRPr="00E22450">
        <w:rPr>
          <w:rStyle w:val="BodyTextChar"/>
          <w:noProof/>
          <w:lang w:val="pl-PL"/>
        </w:rPr>
        <w:t xml:space="preserve"> z</w:t>
      </w:r>
      <w:r w:rsidR="00F1653C">
        <w:rPr>
          <w:rStyle w:val="BodyTextChar"/>
          <w:noProof/>
          <w:lang w:val="pl-PL"/>
        </w:rPr>
        <w:t> </w:t>
      </w:r>
      <w:r w:rsidR="00F1653C" w:rsidRPr="00E22450">
        <w:rPr>
          <w:rStyle w:val="BodyTextChar"/>
          <w:noProof/>
          <w:lang w:val="pl-PL"/>
        </w:rPr>
        <w:t>sek</w:t>
      </w:r>
      <w:r w:rsidRPr="00E22450">
        <w:rPr>
          <w:rStyle w:val="BodyTextChar"/>
          <w:noProof/>
          <w:lang w:val="pl-PL"/>
        </w:rPr>
        <w:t>tora bankowego do sektorów pozabankowych, Komisja będzie gromadzić dalsze dowody dotyczące brakujących narzędzi, potencjalnych luk</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ist</w:t>
      </w:r>
      <w:r w:rsidRPr="00E22450">
        <w:rPr>
          <w:rStyle w:val="BodyTextChar"/>
          <w:noProof/>
          <w:lang w:val="pl-PL"/>
        </w:rPr>
        <w:t>niejących narzędziach służących realizacji celów makroostrożnościowych oraz skuteczności</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spó</w:t>
      </w:r>
      <w:r w:rsidRPr="00E22450">
        <w:rPr>
          <w:rStyle w:val="BodyTextChar"/>
          <w:noProof/>
          <w:lang w:val="pl-PL"/>
        </w:rPr>
        <w:t>jności polityki makroostrożnościowej</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odn</w:t>
      </w:r>
      <w:r w:rsidRPr="00E22450">
        <w:rPr>
          <w:rStyle w:val="BodyTextChar"/>
          <w:noProof/>
          <w:lang w:val="pl-PL"/>
        </w:rPr>
        <w:t>iesieniu do NBFI w UE</w:t>
      </w:r>
      <w:r>
        <w:rPr>
          <w:rStyle w:val="FootnoteReference"/>
          <w:rFonts w:eastAsiaTheme="minorEastAsia" w:cs="Times New Roman"/>
          <w:noProof/>
        </w:rPr>
        <w:footnoteReference w:id="17"/>
      </w:r>
      <w:r w:rsidRPr="00E22450">
        <w:rPr>
          <w:noProof/>
          <w:lang w:val="pl-PL"/>
        </w:rPr>
        <w:t>.</w:t>
      </w:r>
      <w:r w:rsidRPr="00E22450">
        <w:rPr>
          <w:rStyle w:val="BodyTextChar"/>
          <w:noProof/>
          <w:lang w:val="pl-PL"/>
        </w:rPr>
        <w:t xml:space="preserve"> Prace te będą stanowić podstawę</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wsp</w:t>
      </w:r>
      <w:r w:rsidRPr="00E22450">
        <w:rPr>
          <w:rStyle w:val="BodyTextChar"/>
          <w:noProof/>
          <w:lang w:val="pl-PL"/>
        </w:rPr>
        <w:t>arcie dla wszelkich decyzji politycznych, które Komisja kadencji 2024–2029 może podjąć</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tym</w:t>
      </w:r>
      <w:r w:rsidRPr="00E22450">
        <w:rPr>
          <w:rStyle w:val="BodyTextChar"/>
          <w:noProof/>
          <w:lang w:val="pl-PL"/>
        </w:rPr>
        <w:t xml:space="preserve"> obszarze. </w:t>
      </w:r>
    </w:p>
    <w:p w14:paraId="1781F230" w14:textId="489314C9" w:rsidR="00241024" w:rsidRPr="00E22450" w:rsidRDefault="003D3661" w:rsidP="002A404D">
      <w:pPr>
        <w:spacing w:after="120" w:line="240" w:lineRule="auto"/>
        <w:rPr>
          <w:rFonts w:cs="Times New Roman"/>
          <w:i/>
          <w:noProof/>
          <w:lang w:val="pl-PL"/>
        </w:rPr>
      </w:pPr>
      <w:r w:rsidRPr="00E22450">
        <w:rPr>
          <w:i/>
          <w:noProof/>
          <w:lang w:val="pl-PL"/>
        </w:rPr>
        <w:t>W związku</w:t>
      </w:r>
      <w:r w:rsidR="00F1653C" w:rsidRPr="00E22450">
        <w:rPr>
          <w:i/>
          <w:noProof/>
          <w:lang w:val="pl-PL"/>
        </w:rPr>
        <w:t xml:space="preserve"> z</w:t>
      </w:r>
      <w:r w:rsidR="00F1653C">
        <w:rPr>
          <w:i/>
          <w:noProof/>
          <w:lang w:val="pl-PL"/>
        </w:rPr>
        <w:t> </w:t>
      </w:r>
      <w:r w:rsidR="00F1653C" w:rsidRPr="00E22450">
        <w:rPr>
          <w:i/>
          <w:noProof/>
          <w:lang w:val="pl-PL"/>
        </w:rPr>
        <w:t>tym w</w:t>
      </w:r>
      <w:r w:rsidR="00F1653C">
        <w:rPr>
          <w:i/>
          <w:noProof/>
          <w:lang w:val="pl-PL"/>
        </w:rPr>
        <w:t> </w:t>
      </w:r>
      <w:r w:rsidR="00F1653C" w:rsidRPr="00E22450">
        <w:rPr>
          <w:i/>
          <w:noProof/>
          <w:lang w:val="pl-PL"/>
        </w:rPr>
        <w:t>2</w:t>
      </w:r>
      <w:r w:rsidRPr="00E22450">
        <w:rPr>
          <w:i/>
          <w:noProof/>
          <w:lang w:val="pl-PL"/>
        </w:rPr>
        <w:t>0</w:t>
      </w:r>
      <w:r w:rsidRPr="00F1653C">
        <w:rPr>
          <w:i/>
          <w:noProof/>
          <w:lang w:val="pl-PL"/>
        </w:rPr>
        <w:t>24</w:t>
      </w:r>
      <w:r w:rsidR="00F1653C" w:rsidRPr="00F1653C">
        <w:rPr>
          <w:i/>
          <w:noProof/>
          <w:lang w:val="pl-PL"/>
        </w:rPr>
        <w:t> </w:t>
      </w:r>
      <w:r w:rsidRPr="00F1653C">
        <w:rPr>
          <w:i/>
          <w:noProof/>
          <w:lang w:val="pl-PL"/>
        </w:rPr>
        <w:t>r.</w:t>
      </w:r>
      <w:r w:rsidRPr="00E22450">
        <w:rPr>
          <w:i/>
          <w:noProof/>
          <w:lang w:val="pl-PL"/>
        </w:rPr>
        <w:t xml:space="preserve"> Komisja planuje przeprowadzić ukierunkowane konsultacje</w:t>
      </w:r>
      <w:r w:rsidR="00F1653C" w:rsidRPr="00E22450">
        <w:rPr>
          <w:i/>
          <w:noProof/>
          <w:lang w:val="pl-PL"/>
        </w:rPr>
        <w:t xml:space="preserve"> w</w:t>
      </w:r>
      <w:r w:rsidR="00F1653C">
        <w:rPr>
          <w:i/>
          <w:noProof/>
          <w:lang w:val="pl-PL"/>
        </w:rPr>
        <w:t> </w:t>
      </w:r>
      <w:r w:rsidR="00F1653C" w:rsidRPr="00E22450">
        <w:rPr>
          <w:i/>
          <w:noProof/>
          <w:lang w:val="pl-PL"/>
        </w:rPr>
        <w:t>spr</w:t>
      </w:r>
      <w:r w:rsidRPr="00E22450">
        <w:rPr>
          <w:i/>
          <w:noProof/>
          <w:lang w:val="pl-PL"/>
        </w:rPr>
        <w:t>awie polityki makroostrożnościowej dotyczącej NBFI. Celem będzie zebranie dalszych informacji na temat modeli biznesowych kluczowych NBFI</w:t>
      </w:r>
      <w:r w:rsidR="00F1653C" w:rsidRPr="00E22450">
        <w:rPr>
          <w:i/>
          <w:noProof/>
          <w:lang w:val="pl-PL"/>
        </w:rPr>
        <w:t xml:space="preserve"> i</w:t>
      </w:r>
      <w:r w:rsidR="00F1653C">
        <w:rPr>
          <w:i/>
          <w:noProof/>
          <w:lang w:val="pl-PL"/>
        </w:rPr>
        <w:t> </w:t>
      </w:r>
      <w:r w:rsidR="00F1653C" w:rsidRPr="00E22450">
        <w:rPr>
          <w:i/>
          <w:noProof/>
          <w:lang w:val="pl-PL"/>
        </w:rPr>
        <w:t>wza</w:t>
      </w:r>
      <w:r w:rsidRPr="00E22450">
        <w:rPr>
          <w:i/>
          <w:noProof/>
          <w:lang w:val="pl-PL"/>
        </w:rPr>
        <w:t>jemnych powiązań między nimi oraz między bankami a NBFI,</w:t>
      </w:r>
      <w:r w:rsidR="00F1653C" w:rsidRPr="00E22450">
        <w:rPr>
          <w:i/>
          <w:noProof/>
          <w:lang w:val="pl-PL"/>
        </w:rPr>
        <w:t xml:space="preserve"> a</w:t>
      </w:r>
      <w:r w:rsidR="00F1653C">
        <w:rPr>
          <w:i/>
          <w:noProof/>
          <w:lang w:val="pl-PL"/>
        </w:rPr>
        <w:t> </w:t>
      </w:r>
      <w:r w:rsidR="00F1653C" w:rsidRPr="00E22450">
        <w:rPr>
          <w:i/>
          <w:noProof/>
          <w:lang w:val="pl-PL"/>
        </w:rPr>
        <w:t>tak</w:t>
      </w:r>
      <w:r w:rsidRPr="00E22450">
        <w:rPr>
          <w:i/>
          <w:noProof/>
          <w:lang w:val="pl-PL"/>
        </w:rPr>
        <w:t>że określenie luk</w:t>
      </w:r>
      <w:r w:rsidR="00F1653C" w:rsidRPr="00E22450">
        <w:rPr>
          <w:i/>
          <w:noProof/>
          <w:lang w:val="pl-PL"/>
        </w:rPr>
        <w:t xml:space="preserve"> w</w:t>
      </w:r>
      <w:r w:rsidR="00F1653C">
        <w:rPr>
          <w:i/>
          <w:noProof/>
          <w:lang w:val="pl-PL"/>
        </w:rPr>
        <w:t> </w:t>
      </w:r>
      <w:r w:rsidR="00F1653C" w:rsidRPr="00E22450">
        <w:rPr>
          <w:i/>
          <w:noProof/>
          <w:lang w:val="pl-PL"/>
        </w:rPr>
        <w:t>ram</w:t>
      </w:r>
      <w:r w:rsidRPr="00E22450">
        <w:rPr>
          <w:i/>
          <w:noProof/>
          <w:lang w:val="pl-PL"/>
        </w:rPr>
        <w:t>ach makroostrożnościowych</w:t>
      </w:r>
      <w:r w:rsidR="00F1653C" w:rsidRPr="00E22450">
        <w:rPr>
          <w:i/>
          <w:noProof/>
          <w:lang w:val="pl-PL"/>
        </w:rPr>
        <w:t xml:space="preserve"> i</w:t>
      </w:r>
      <w:r w:rsidR="00F1653C">
        <w:rPr>
          <w:i/>
          <w:noProof/>
          <w:lang w:val="pl-PL"/>
        </w:rPr>
        <w:t> </w:t>
      </w:r>
      <w:r w:rsidR="00F1653C" w:rsidRPr="00E22450">
        <w:rPr>
          <w:i/>
          <w:noProof/>
          <w:lang w:val="pl-PL"/>
        </w:rPr>
        <w:t>inn</w:t>
      </w:r>
      <w:r w:rsidRPr="00E22450">
        <w:rPr>
          <w:i/>
          <w:noProof/>
          <w:lang w:val="pl-PL"/>
        </w:rPr>
        <w:t>ych czynników, które mogą przyczynić się do narastania ryzyka systemowego</w:t>
      </w:r>
      <w:r w:rsidR="00F1653C" w:rsidRPr="00E22450">
        <w:rPr>
          <w:i/>
          <w:noProof/>
          <w:lang w:val="pl-PL"/>
        </w:rPr>
        <w:t xml:space="preserve"> w</w:t>
      </w:r>
      <w:r w:rsidR="00F1653C">
        <w:rPr>
          <w:i/>
          <w:noProof/>
          <w:lang w:val="pl-PL"/>
        </w:rPr>
        <w:t> </w:t>
      </w:r>
      <w:r w:rsidR="00F1653C" w:rsidRPr="00E22450">
        <w:rPr>
          <w:i/>
          <w:noProof/>
          <w:lang w:val="pl-PL"/>
        </w:rPr>
        <w:t>poś</w:t>
      </w:r>
      <w:r w:rsidRPr="00E22450">
        <w:rPr>
          <w:i/>
          <w:noProof/>
          <w:lang w:val="pl-PL"/>
        </w:rPr>
        <w:t>rednictwie finansowym pozabankowym. W 20</w:t>
      </w:r>
      <w:r w:rsidRPr="00F1653C">
        <w:rPr>
          <w:i/>
          <w:noProof/>
          <w:lang w:val="pl-PL"/>
        </w:rPr>
        <w:t>24</w:t>
      </w:r>
      <w:r w:rsidR="00F1653C" w:rsidRPr="00F1653C">
        <w:rPr>
          <w:i/>
          <w:noProof/>
          <w:lang w:val="pl-PL"/>
        </w:rPr>
        <w:t> </w:t>
      </w:r>
      <w:r w:rsidRPr="00F1653C">
        <w:rPr>
          <w:i/>
          <w:noProof/>
          <w:lang w:val="pl-PL"/>
        </w:rPr>
        <w:t>r.</w:t>
      </w:r>
      <w:r w:rsidRPr="00E22450">
        <w:rPr>
          <w:i/>
          <w:noProof/>
          <w:lang w:val="pl-PL"/>
        </w:rPr>
        <w:t xml:space="preserve"> Komisja przeprowadzi również konsultacje</w:t>
      </w:r>
      <w:r w:rsidR="00F1653C" w:rsidRPr="00E22450">
        <w:rPr>
          <w:i/>
          <w:noProof/>
          <w:lang w:val="pl-PL"/>
        </w:rPr>
        <w:t xml:space="preserve"> w</w:t>
      </w:r>
      <w:r w:rsidR="00F1653C">
        <w:rPr>
          <w:i/>
          <w:noProof/>
          <w:lang w:val="pl-PL"/>
        </w:rPr>
        <w:t> </w:t>
      </w:r>
      <w:r w:rsidR="00F1653C" w:rsidRPr="00E22450">
        <w:rPr>
          <w:i/>
          <w:noProof/>
          <w:lang w:val="pl-PL"/>
        </w:rPr>
        <w:t>spr</w:t>
      </w:r>
      <w:r w:rsidRPr="00E22450">
        <w:rPr>
          <w:i/>
          <w:noProof/>
          <w:lang w:val="pl-PL"/>
        </w:rPr>
        <w:t>awie przeglądu rozporządzenia</w:t>
      </w:r>
      <w:r w:rsidR="00F1653C" w:rsidRPr="00E22450">
        <w:rPr>
          <w:i/>
          <w:noProof/>
          <w:lang w:val="pl-PL"/>
        </w:rPr>
        <w:t xml:space="preserve"> w</w:t>
      </w:r>
      <w:r w:rsidR="00F1653C">
        <w:rPr>
          <w:i/>
          <w:noProof/>
          <w:lang w:val="pl-PL"/>
        </w:rPr>
        <w:t> </w:t>
      </w:r>
      <w:r w:rsidR="00F1653C" w:rsidRPr="00E22450">
        <w:rPr>
          <w:i/>
          <w:noProof/>
          <w:lang w:val="pl-PL"/>
        </w:rPr>
        <w:t>spr</w:t>
      </w:r>
      <w:r w:rsidRPr="00E22450">
        <w:rPr>
          <w:i/>
          <w:noProof/>
          <w:lang w:val="pl-PL"/>
        </w:rPr>
        <w:t>awie transakcji finansowanych</w:t>
      </w:r>
      <w:r w:rsidR="00F1653C" w:rsidRPr="00E22450">
        <w:rPr>
          <w:i/>
          <w:noProof/>
          <w:lang w:val="pl-PL"/>
        </w:rPr>
        <w:t xml:space="preserve"> z</w:t>
      </w:r>
      <w:r w:rsidR="00F1653C">
        <w:rPr>
          <w:i/>
          <w:noProof/>
          <w:lang w:val="pl-PL"/>
        </w:rPr>
        <w:t> </w:t>
      </w:r>
      <w:r w:rsidR="00F1653C" w:rsidRPr="00E22450">
        <w:rPr>
          <w:i/>
          <w:noProof/>
          <w:lang w:val="pl-PL"/>
        </w:rPr>
        <w:t>uży</w:t>
      </w:r>
      <w:r w:rsidRPr="00E22450">
        <w:rPr>
          <w:i/>
          <w:noProof/>
          <w:lang w:val="pl-PL"/>
        </w:rPr>
        <w:t>ciem papierów wartościowych. Celem rozporządzenia</w:t>
      </w:r>
      <w:r w:rsidR="00F1653C" w:rsidRPr="00E22450">
        <w:rPr>
          <w:i/>
          <w:noProof/>
          <w:lang w:val="pl-PL"/>
        </w:rPr>
        <w:t xml:space="preserve"> w</w:t>
      </w:r>
      <w:r w:rsidR="00F1653C">
        <w:rPr>
          <w:i/>
          <w:noProof/>
          <w:lang w:val="pl-PL"/>
        </w:rPr>
        <w:t> </w:t>
      </w:r>
      <w:r w:rsidR="00F1653C" w:rsidRPr="00E22450">
        <w:rPr>
          <w:i/>
          <w:noProof/>
          <w:lang w:val="pl-PL"/>
        </w:rPr>
        <w:t>spr</w:t>
      </w:r>
      <w:r w:rsidRPr="00E22450">
        <w:rPr>
          <w:i/>
          <w:noProof/>
          <w:lang w:val="pl-PL"/>
        </w:rPr>
        <w:t>awie transakcji finansowanych</w:t>
      </w:r>
      <w:r w:rsidR="00F1653C" w:rsidRPr="00E22450">
        <w:rPr>
          <w:i/>
          <w:noProof/>
          <w:lang w:val="pl-PL"/>
        </w:rPr>
        <w:t xml:space="preserve"> z</w:t>
      </w:r>
      <w:r w:rsidR="00F1653C">
        <w:rPr>
          <w:i/>
          <w:noProof/>
          <w:lang w:val="pl-PL"/>
        </w:rPr>
        <w:t> </w:t>
      </w:r>
      <w:r w:rsidR="00F1653C" w:rsidRPr="00E22450">
        <w:rPr>
          <w:i/>
          <w:noProof/>
          <w:lang w:val="pl-PL"/>
        </w:rPr>
        <w:t>uży</w:t>
      </w:r>
      <w:r w:rsidRPr="00E22450">
        <w:rPr>
          <w:i/>
          <w:noProof/>
          <w:lang w:val="pl-PL"/>
        </w:rPr>
        <w:t>ciem papierów wartościowych jest zwiększenie przejrzystości transakcji finansowania</w:t>
      </w:r>
      <w:r w:rsidR="00F1653C" w:rsidRPr="00E22450">
        <w:rPr>
          <w:i/>
          <w:noProof/>
          <w:lang w:val="pl-PL"/>
        </w:rPr>
        <w:t xml:space="preserve"> i</w:t>
      </w:r>
      <w:r w:rsidR="00F1653C">
        <w:rPr>
          <w:i/>
          <w:noProof/>
          <w:lang w:val="pl-PL"/>
        </w:rPr>
        <w:t> </w:t>
      </w:r>
      <w:r w:rsidR="00F1653C" w:rsidRPr="00E22450">
        <w:rPr>
          <w:i/>
          <w:noProof/>
          <w:lang w:val="pl-PL"/>
        </w:rPr>
        <w:t>poż</w:t>
      </w:r>
      <w:r w:rsidRPr="00E22450">
        <w:rPr>
          <w:i/>
          <w:noProof/>
          <w:lang w:val="pl-PL"/>
        </w:rPr>
        <w:t>yczek oraz umożliwienie lepszego monitorowania ryzyka wynikającego</w:t>
      </w:r>
      <w:r w:rsidR="00F1653C" w:rsidRPr="00E22450">
        <w:rPr>
          <w:i/>
          <w:noProof/>
          <w:lang w:val="pl-PL"/>
        </w:rPr>
        <w:t xml:space="preserve"> z</w:t>
      </w:r>
      <w:r w:rsidR="00F1653C">
        <w:rPr>
          <w:i/>
          <w:noProof/>
          <w:lang w:val="pl-PL"/>
        </w:rPr>
        <w:t> </w:t>
      </w:r>
      <w:r w:rsidR="00F1653C" w:rsidRPr="00E22450">
        <w:rPr>
          <w:i/>
          <w:noProof/>
          <w:lang w:val="pl-PL"/>
        </w:rPr>
        <w:t>poś</w:t>
      </w:r>
      <w:r w:rsidRPr="00E22450">
        <w:rPr>
          <w:i/>
          <w:noProof/>
          <w:lang w:val="pl-PL"/>
        </w:rPr>
        <w:t>rednictwa kredytowego pozabankowego.</w:t>
      </w:r>
      <w:r w:rsidRPr="00E22450">
        <w:rPr>
          <w:noProof/>
          <w:lang w:val="pl-PL"/>
        </w:rPr>
        <w:br w:type="page"/>
      </w:r>
    </w:p>
    <w:p w14:paraId="5B512787" w14:textId="1237385C" w:rsidR="00241024" w:rsidRPr="00E22450" w:rsidRDefault="00077D10" w:rsidP="0028791E">
      <w:pPr>
        <w:spacing w:after="120" w:line="240" w:lineRule="auto"/>
        <w:jc w:val="center"/>
        <w:rPr>
          <w:rFonts w:cs="Times New Roman"/>
          <w:b/>
          <w:noProof/>
          <w:sz w:val="28"/>
          <w:lang w:val="pl-PL"/>
        </w:rPr>
      </w:pPr>
      <w:r w:rsidRPr="00E22450">
        <w:rPr>
          <w:b/>
          <w:noProof/>
          <w:sz w:val="28"/>
          <w:lang w:val="pl-PL"/>
        </w:rPr>
        <w:t>Dodatek 1</w:t>
      </w:r>
    </w:p>
    <w:p w14:paraId="70B85031" w14:textId="1B7FA455" w:rsidR="00241024" w:rsidRPr="00E22450" w:rsidRDefault="00241024">
      <w:pPr>
        <w:pStyle w:val="Heading1"/>
        <w:numPr>
          <w:ilvl w:val="0"/>
          <w:numId w:val="0"/>
        </w:numPr>
        <w:spacing w:before="0" w:after="120"/>
        <w:rPr>
          <w:rFonts w:ascii="Times New Roman" w:hAnsi="Times New Roman" w:cs="Times New Roman"/>
          <w:noProof/>
          <w:sz w:val="22"/>
          <w:lang w:val="pl-PL"/>
        </w:rPr>
      </w:pPr>
      <w:r w:rsidRPr="00E22450">
        <w:rPr>
          <w:rFonts w:ascii="Times New Roman" w:hAnsi="Times New Roman"/>
          <w:noProof/>
          <w:sz w:val="22"/>
          <w:lang w:val="pl-PL"/>
        </w:rPr>
        <w:t>Obecny zestaw unijnych narzędzi makroostrożnościowych dla banków i NBFI</w:t>
      </w:r>
    </w:p>
    <w:p w14:paraId="69E949BB" w14:textId="00A731E0" w:rsidR="00241024" w:rsidRPr="00E22450" w:rsidRDefault="00241024" w:rsidP="004709F3">
      <w:pPr>
        <w:spacing w:after="120" w:line="240" w:lineRule="auto"/>
        <w:rPr>
          <w:rFonts w:cs="Times New Roman"/>
          <w:noProof/>
          <w:color w:val="000000" w:themeColor="text1"/>
          <w:lang w:val="pl-PL"/>
        </w:rPr>
      </w:pPr>
      <w:r w:rsidRPr="00E22450">
        <w:rPr>
          <w:noProof/>
          <w:lang w:val="pl-PL"/>
        </w:rPr>
        <w:t xml:space="preserve">Głównymi narzędziami makroostrożnościowymi przeznaczonych dla banków są </w:t>
      </w:r>
      <w:r w:rsidRPr="00E22450">
        <w:rPr>
          <w:b/>
          <w:noProof/>
          <w:lang w:val="pl-PL"/>
        </w:rPr>
        <w:t>bufory kapitałowe</w:t>
      </w:r>
      <w:r w:rsidRPr="00E22450">
        <w:rPr>
          <w:noProof/>
          <w:lang w:val="pl-PL"/>
        </w:rPr>
        <w:t>, które stanowią dodatkową warstwę kapitału oprócz minimalnych wymogów kapitałowych. Bufory kapitałowe zwiększają odporność sektora bankowego, umożliwiając bankom pokrywanie większych strat bez naruszania minimalnych wymogów,</w:t>
      </w:r>
      <w:r w:rsidR="00F1653C" w:rsidRPr="00E22450">
        <w:rPr>
          <w:noProof/>
          <w:lang w:val="pl-PL"/>
        </w:rPr>
        <w:t xml:space="preserve"> a</w:t>
      </w:r>
      <w:r w:rsidR="00F1653C">
        <w:rPr>
          <w:noProof/>
          <w:lang w:val="pl-PL"/>
        </w:rPr>
        <w:t> </w:t>
      </w:r>
      <w:r w:rsidR="00F1653C" w:rsidRPr="00E22450">
        <w:rPr>
          <w:noProof/>
          <w:lang w:val="pl-PL"/>
        </w:rPr>
        <w:t>tym</w:t>
      </w:r>
      <w:r w:rsidRPr="00E22450">
        <w:rPr>
          <w:noProof/>
          <w:lang w:val="pl-PL"/>
        </w:rPr>
        <w:t xml:space="preserve"> samym </w:t>
      </w:r>
      <w:r w:rsidRPr="00E22450">
        <w:rPr>
          <w:noProof/>
          <w:color w:val="000000" w:themeColor="text1"/>
          <w:lang w:val="pl-PL"/>
        </w:rPr>
        <w:t>utrzymanie świadczenia kluczowych usług finansowych</w:t>
      </w:r>
      <w:r w:rsidR="00F1653C" w:rsidRPr="00E22450">
        <w:rPr>
          <w:noProof/>
          <w:color w:val="000000" w:themeColor="text1"/>
          <w:lang w:val="pl-PL"/>
        </w:rPr>
        <w:t xml:space="preserve"> i</w:t>
      </w:r>
      <w:r w:rsidR="00F1653C">
        <w:rPr>
          <w:noProof/>
          <w:color w:val="000000" w:themeColor="text1"/>
          <w:lang w:val="pl-PL"/>
        </w:rPr>
        <w:t> </w:t>
      </w:r>
      <w:r w:rsidR="00F1653C" w:rsidRPr="00E22450">
        <w:rPr>
          <w:noProof/>
          <w:color w:val="000000" w:themeColor="text1"/>
          <w:lang w:val="pl-PL"/>
        </w:rPr>
        <w:t>łag</w:t>
      </w:r>
      <w:r w:rsidRPr="00E22450">
        <w:rPr>
          <w:noProof/>
          <w:color w:val="000000" w:themeColor="text1"/>
          <w:lang w:val="pl-PL"/>
        </w:rPr>
        <w:t>odzenie skutków, jakie sektor bankowy może wywierać na cykl koniunkturalny. Unijne ramy makroostrożnościowe wspierają gromadzenie kapitału bankowego</w:t>
      </w:r>
      <w:r w:rsidR="00F1653C" w:rsidRPr="00E22450">
        <w:rPr>
          <w:noProof/>
          <w:color w:val="000000" w:themeColor="text1"/>
          <w:lang w:val="pl-PL"/>
        </w:rPr>
        <w:t xml:space="preserve"> w</w:t>
      </w:r>
      <w:r w:rsidR="00F1653C">
        <w:rPr>
          <w:noProof/>
          <w:color w:val="000000" w:themeColor="text1"/>
          <w:lang w:val="pl-PL"/>
        </w:rPr>
        <w:t> </w:t>
      </w:r>
      <w:r w:rsidR="00F1653C" w:rsidRPr="00E22450">
        <w:rPr>
          <w:noProof/>
          <w:color w:val="000000" w:themeColor="text1"/>
          <w:lang w:val="pl-PL"/>
        </w:rPr>
        <w:t>okr</w:t>
      </w:r>
      <w:r w:rsidRPr="00E22450">
        <w:rPr>
          <w:noProof/>
          <w:color w:val="000000" w:themeColor="text1"/>
          <w:lang w:val="pl-PL"/>
        </w:rPr>
        <w:t>esach wysokiego ryzyka kredytowego</w:t>
      </w:r>
      <w:r w:rsidR="00F1653C" w:rsidRPr="00E22450">
        <w:rPr>
          <w:noProof/>
          <w:color w:val="000000" w:themeColor="text1"/>
          <w:lang w:val="pl-PL"/>
        </w:rPr>
        <w:t xml:space="preserve"> i</w:t>
      </w:r>
      <w:r w:rsidR="00F1653C">
        <w:rPr>
          <w:noProof/>
          <w:color w:val="000000" w:themeColor="text1"/>
          <w:lang w:val="pl-PL"/>
        </w:rPr>
        <w:t> </w:t>
      </w:r>
      <w:r w:rsidR="00F1653C" w:rsidRPr="00E22450">
        <w:rPr>
          <w:noProof/>
          <w:color w:val="000000" w:themeColor="text1"/>
          <w:lang w:val="pl-PL"/>
        </w:rPr>
        <w:t>pod</w:t>
      </w:r>
      <w:r w:rsidRPr="00E22450">
        <w:rPr>
          <w:noProof/>
          <w:color w:val="000000" w:themeColor="text1"/>
          <w:lang w:val="pl-PL"/>
        </w:rPr>
        <w:t>atności na zakłócenia</w:t>
      </w:r>
      <w:r w:rsidR="00F1653C" w:rsidRPr="00E22450">
        <w:rPr>
          <w:noProof/>
          <w:color w:val="000000" w:themeColor="text1"/>
          <w:lang w:val="pl-PL"/>
        </w:rPr>
        <w:t xml:space="preserve"> w</w:t>
      </w:r>
      <w:r w:rsidR="00F1653C">
        <w:rPr>
          <w:noProof/>
          <w:color w:val="000000" w:themeColor="text1"/>
          <w:lang w:val="pl-PL"/>
        </w:rPr>
        <w:t> </w:t>
      </w:r>
      <w:r w:rsidR="00F1653C" w:rsidRPr="00E22450">
        <w:rPr>
          <w:noProof/>
          <w:color w:val="000000" w:themeColor="text1"/>
          <w:lang w:val="pl-PL"/>
        </w:rPr>
        <w:t>dos</w:t>
      </w:r>
      <w:r w:rsidRPr="00E22450">
        <w:rPr>
          <w:noProof/>
          <w:color w:val="000000" w:themeColor="text1"/>
          <w:lang w:val="pl-PL"/>
        </w:rPr>
        <w:t>tępie do finansowania.</w:t>
      </w:r>
      <w:r w:rsidRPr="00E22450">
        <w:rPr>
          <w:noProof/>
          <w:lang w:val="pl-PL"/>
        </w:rPr>
        <w:t xml:space="preserve"> </w:t>
      </w:r>
      <w:r w:rsidRPr="00E22450">
        <w:rPr>
          <w:noProof/>
          <w:color w:val="000000" w:themeColor="text1"/>
          <w:lang w:val="pl-PL"/>
        </w:rPr>
        <w:t>Następnie kapitał ten może zostać wykorzystany do pokrycia strat, gdy jest to konieczne, oraz do zaspokojenia popytu na kredyty</w:t>
      </w:r>
      <w:r w:rsidR="00F1653C" w:rsidRPr="00E22450">
        <w:rPr>
          <w:noProof/>
          <w:color w:val="000000" w:themeColor="text1"/>
          <w:lang w:val="pl-PL"/>
        </w:rPr>
        <w:t xml:space="preserve"> w</w:t>
      </w:r>
      <w:r w:rsidR="00F1653C">
        <w:rPr>
          <w:noProof/>
          <w:color w:val="000000" w:themeColor="text1"/>
          <w:lang w:val="pl-PL"/>
        </w:rPr>
        <w:t> </w:t>
      </w:r>
      <w:r w:rsidR="00F1653C" w:rsidRPr="00E22450">
        <w:rPr>
          <w:noProof/>
          <w:color w:val="000000" w:themeColor="text1"/>
          <w:lang w:val="pl-PL"/>
        </w:rPr>
        <w:t>okr</w:t>
      </w:r>
      <w:r w:rsidRPr="00E22450">
        <w:rPr>
          <w:noProof/>
          <w:color w:val="000000" w:themeColor="text1"/>
          <w:lang w:val="pl-PL"/>
        </w:rPr>
        <w:t>esach pogorszenia koniunktury gospodarczej</w:t>
      </w:r>
      <w:r w:rsidR="00F1653C" w:rsidRPr="00E22450">
        <w:rPr>
          <w:noProof/>
          <w:color w:val="000000" w:themeColor="text1"/>
          <w:lang w:val="pl-PL"/>
        </w:rPr>
        <w:t xml:space="preserve"> i</w:t>
      </w:r>
      <w:r w:rsidR="00F1653C">
        <w:rPr>
          <w:noProof/>
          <w:color w:val="000000" w:themeColor="text1"/>
          <w:lang w:val="pl-PL"/>
        </w:rPr>
        <w:t> </w:t>
      </w:r>
      <w:r w:rsidR="00F1653C" w:rsidRPr="00E22450">
        <w:rPr>
          <w:noProof/>
          <w:color w:val="000000" w:themeColor="text1"/>
          <w:lang w:val="pl-PL"/>
        </w:rPr>
        <w:t>kry</w:t>
      </w:r>
      <w:r w:rsidRPr="00E22450">
        <w:rPr>
          <w:noProof/>
          <w:color w:val="000000" w:themeColor="text1"/>
          <w:lang w:val="pl-PL"/>
        </w:rPr>
        <w:t xml:space="preserve">zysów. </w:t>
      </w:r>
    </w:p>
    <w:p w14:paraId="3579563F" w14:textId="5F8EF943" w:rsidR="004709F3" w:rsidRPr="00E22450" w:rsidRDefault="00241024" w:rsidP="004709F3">
      <w:pPr>
        <w:spacing w:after="120" w:line="240" w:lineRule="auto"/>
        <w:rPr>
          <w:rFonts w:cs="Times New Roman"/>
          <w:noProof/>
          <w:lang w:val="pl-PL"/>
        </w:rPr>
      </w:pPr>
      <w:r w:rsidRPr="00E22450">
        <w:rPr>
          <w:noProof/>
          <w:lang w:val="pl-PL"/>
        </w:rPr>
        <w:t>W dyrektywie</w:t>
      </w:r>
      <w:r w:rsidR="00F1653C" w:rsidRPr="00E22450">
        <w:rPr>
          <w:noProof/>
          <w:lang w:val="pl-PL"/>
        </w:rPr>
        <w:t xml:space="preserve"> w</w:t>
      </w:r>
      <w:r w:rsidR="00F1653C">
        <w:rPr>
          <w:noProof/>
          <w:lang w:val="pl-PL"/>
        </w:rPr>
        <w:t> </w:t>
      </w:r>
      <w:r w:rsidR="00F1653C" w:rsidRPr="00E22450">
        <w:rPr>
          <w:noProof/>
          <w:lang w:val="pl-PL"/>
        </w:rPr>
        <w:t>spr</w:t>
      </w:r>
      <w:r w:rsidRPr="00E22450">
        <w:rPr>
          <w:noProof/>
          <w:lang w:val="pl-PL"/>
        </w:rPr>
        <w:t xml:space="preserve">awie wymogów kapitałowych określono pięć makroostrożnościowych buforów kapitałowych, które łącznie tworzą </w:t>
      </w:r>
      <w:r w:rsidRPr="00E22450">
        <w:rPr>
          <w:b/>
          <w:noProof/>
          <w:lang w:val="pl-PL"/>
        </w:rPr>
        <w:t>wymóg połączonego bufora</w:t>
      </w:r>
      <w:r w:rsidRPr="00E22450">
        <w:rPr>
          <w:i/>
          <w:noProof/>
          <w:lang w:val="pl-PL"/>
        </w:rPr>
        <w:t xml:space="preserve"> (CBR)</w:t>
      </w:r>
      <w:r w:rsidRPr="00E22450">
        <w:rPr>
          <w:noProof/>
          <w:lang w:val="pl-PL"/>
        </w:rPr>
        <w:t xml:space="preserve">. Każdy bank musi spełniać określony CBR, którego składniki są ustalane na różnych poziomach. Wszystkie banki muszą posiadać </w:t>
      </w:r>
      <w:r w:rsidRPr="00E22450">
        <w:rPr>
          <w:i/>
          <w:noProof/>
          <w:lang w:val="pl-PL"/>
        </w:rPr>
        <w:t>bufor zabezpieczający</w:t>
      </w:r>
      <w:r w:rsidRPr="00E22450">
        <w:rPr>
          <w:noProof/>
          <w:lang w:val="pl-PL"/>
        </w:rPr>
        <w:t xml:space="preserve"> </w:t>
      </w:r>
      <w:r w:rsidRPr="00E22450">
        <w:rPr>
          <w:i/>
          <w:noProof/>
          <w:lang w:val="pl-PL"/>
        </w:rPr>
        <w:t>(CCoB)</w:t>
      </w:r>
      <w:r w:rsidR="00F1653C" w:rsidRPr="00E22450">
        <w:rPr>
          <w:noProof/>
          <w:lang w:val="pl-PL"/>
        </w:rPr>
        <w:t xml:space="preserve"> w</w:t>
      </w:r>
      <w:r w:rsidR="00F1653C">
        <w:rPr>
          <w:noProof/>
          <w:lang w:val="pl-PL"/>
        </w:rPr>
        <w:t> </w:t>
      </w:r>
      <w:r w:rsidR="00F1653C" w:rsidRPr="00E22450">
        <w:rPr>
          <w:noProof/>
          <w:lang w:val="pl-PL"/>
        </w:rPr>
        <w:t>wys</w:t>
      </w:r>
      <w:r w:rsidRPr="00E22450">
        <w:rPr>
          <w:noProof/>
          <w:lang w:val="pl-PL"/>
        </w:rPr>
        <w:t>okości 2,5 % całkowitej kwoty aktywów ważonych ryzykiem. Duże banki uznawane za globalne instytucje</w:t>
      </w:r>
      <w:r w:rsidR="00F1653C" w:rsidRPr="00E22450">
        <w:rPr>
          <w:noProof/>
          <w:lang w:val="pl-PL"/>
        </w:rPr>
        <w:t xml:space="preserve"> o</w:t>
      </w:r>
      <w:r w:rsidR="00F1653C">
        <w:rPr>
          <w:noProof/>
          <w:lang w:val="pl-PL"/>
        </w:rPr>
        <w:t> </w:t>
      </w:r>
      <w:r w:rsidR="00F1653C" w:rsidRPr="00E22450">
        <w:rPr>
          <w:noProof/>
          <w:lang w:val="pl-PL"/>
        </w:rPr>
        <w:t>zna</w:t>
      </w:r>
      <w:r w:rsidRPr="00E22450">
        <w:rPr>
          <w:noProof/>
          <w:lang w:val="pl-PL"/>
        </w:rPr>
        <w:t>czeniu systemowym muszą posiadać dodatkowy bufor (</w:t>
      </w:r>
      <w:r w:rsidRPr="00E22450">
        <w:rPr>
          <w:i/>
          <w:noProof/>
          <w:lang w:val="pl-PL"/>
        </w:rPr>
        <w:t>bufor G-SII</w:t>
      </w:r>
      <w:r w:rsidRPr="00E22450">
        <w:rPr>
          <w:noProof/>
          <w:lang w:val="pl-PL"/>
        </w:rPr>
        <w:t>)</w:t>
      </w:r>
      <w:r w:rsidR="00F1653C" w:rsidRPr="00E22450">
        <w:rPr>
          <w:noProof/>
          <w:lang w:val="pl-PL"/>
        </w:rPr>
        <w:t xml:space="preserve"> w</w:t>
      </w:r>
      <w:r w:rsidR="00F1653C">
        <w:rPr>
          <w:noProof/>
          <w:lang w:val="pl-PL"/>
        </w:rPr>
        <w:t> </w:t>
      </w:r>
      <w:r w:rsidR="00F1653C" w:rsidRPr="00E22450">
        <w:rPr>
          <w:noProof/>
          <w:lang w:val="pl-PL"/>
        </w:rPr>
        <w:t>wys</w:t>
      </w:r>
      <w:r w:rsidRPr="00E22450">
        <w:rPr>
          <w:noProof/>
          <w:lang w:val="pl-PL"/>
        </w:rPr>
        <w:t xml:space="preserve">okości </w:t>
      </w:r>
      <w:r w:rsidRPr="00F1653C">
        <w:rPr>
          <w:noProof/>
          <w:lang w:val="pl-PL"/>
        </w:rPr>
        <w:t>do</w:t>
      </w:r>
      <w:r w:rsidR="00F1653C" w:rsidRPr="00F1653C">
        <w:rPr>
          <w:noProof/>
          <w:lang w:val="pl-PL"/>
        </w:rPr>
        <w:t> </w:t>
      </w:r>
      <w:r w:rsidRPr="00F1653C">
        <w:rPr>
          <w:noProof/>
          <w:lang w:val="pl-PL"/>
        </w:rPr>
        <w:t>3</w:t>
      </w:r>
      <w:r w:rsidRPr="00E22450">
        <w:rPr>
          <w:noProof/>
          <w:lang w:val="pl-PL"/>
        </w:rPr>
        <w:t>,5 % aktywów ważonych ryzykiem (lub więcej, jeżeli organy nadzoru uznają to za stosowne). W UE właściwe organy krajowe</w:t>
      </w:r>
      <w:r w:rsidR="00F1653C" w:rsidRPr="00E22450">
        <w:rPr>
          <w:noProof/>
          <w:lang w:val="pl-PL"/>
        </w:rPr>
        <w:t xml:space="preserve"> i</w:t>
      </w:r>
      <w:r w:rsidR="00F1653C">
        <w:rPr>
          <w:noProof/>
          <w:lang w:val="pl-PL"/>
        </w:rPr>
        <w:t> </w:t>
      </w:r>
      <w:r w:rsidR="00F1653C" w:rsidRPr="00E22450">
        <w:rPr>
          <w:noProof/>
          <w:lang w:val="pl-PL"/>
        </w:rPr>
        <w:t>wyz</w:t>
      </w:r>
      <w:r w:rsidRPr="00E22450">
        <w:rPr>
          <w:noProof/>
          <w:lang w:val="pl-PL"/>
        </w:rPr>
        <w:t>naczone organy („organy krajowe”) ustanowiły wymogi dotyczące bufora również</w:t>
      </w:r>
      <w:r w:rsidR="00F1653C" w:rsidRPr="00E22450">
        <w:rPr>
          <w:noProof/>
          <w:lang w:val="pl-PL"/>
        </w:rPr>
        <w:t xml:space="preserve"> w</w:t>
      </w:r>
      <w:r w:rsidR="00F1653C">
        <w:rPr>
          <w:noProof/>
          <w:lang w:val="pl-PL"/>
        </w:rPr>
        <w:t> </w:t>
      </w:r>
      <w:r w:rsidR="00F1653C" w:rsidRPr="00E22450">
        <w:rPr>
          <w:noProof/>
          <w:lang w:val="pl-PL"/>
        </w:rPr>
        <w:t>cel</w:t>
      </w:r>
      <w:r w:rsidRPr="00E22450">
        <w:rPr>
          <w:noProof/>
          <w:lang w:val="pl-PL"/>
        </w:rPr>
        <w:t>u wzmocnienia odporności innych (krajowych) instytucji</w:t>
      </w:r>
      <w:r w:rsidR="00F1653C" w:rsidRPr="00E22450">
        <w:rPr>
          <w:noProof/>
          <w:lang w:val="pl-PL"/>
        </w:rPr>
        <w:t xml:space="preserve"> o</w:t>
      </w:r>
      <w:r w:rsidR="00F1653C">
        <w:rPr>
          <w:noProof/>
          <w:lang w:val="pl-PL"/>
        </w:rPr>
        <w:t> </w:t>
      </w:r>
      <w:r w:rsidR="00F1653C" w:rsidRPr="00E22450">
        <w:rPr>
          <w:noProof/>
          <w:lang w:val="pl-PL"/>
        </w:rPr>
        <w:t>zna</w:t>
      </w:r>
      <w:r w:rsidRPr="00E22450">
        <w:rPr>
          <w:noProof/>
          <w:lang w:val="pl-PL"/>
        </w:rPr>
        <w:t>czeniu systemowym (</w:t>
      </w:r>
      <w:r w:rsidRPr="00E22450">
        <w:rPr>
          <w:i/>
          <w:noProof/>
          <w:lang w:val="pl-PL"/>
        </w:rPr>
        <w:t>bufor O-SII</w:t>
      </w:r>
      <w:r w:rsidRPr="00E22450">
        <w:rPr>
          <w:noProof/>
          <w:lang w:val="pl-PL"/>
        </w:rPr>
        <w:t xml:space="preserve">) </w:t>
      </w:r>
      <w:r w:rsidRPr="00F1653C">
        <w:rPr>
          <w:noProof/>
          <w:lang w:val="pl-PL"/>
        </w:rPr>
        <w:t>do</w:t>
      </w:r>
      <w:r w:rsidR="00F1653C" w:rsidRPr="00F1653C">
        <w:rPr>
          <w:noProof/>
          <w:lang w:val="pl-PL"/>
        </w:rPr>
        <w:t> </w:t>
      </w:r>
      <w:r w:rsidRPr="00F1653C">
        <w:rPr>
          <w:noProof/>
          <w:lang w:val="pl-PL"/>
        </w:rPr>
        <w:t>3</w:t>
      </w:r>
      <w:r w:rsidRPr="00E22450">
        <w:rPr>
          <w:noProof/>
          <w:lang w:val="pl-PL"/>
        </w:rPr>
        <w:t> % łącznej kwoty ekspozycji na ryzyko, zwiększenia odporności systemu bankowego na szeroko zakrojone ryzyko cykliczne (</w:t>
      </w:r>
      <w:r w:rsidRPr="00E22450">
        <w:rPr>
          <w:i/>
          <w:noProof/>
          <w:lang w:val="pl-PL"/>
        </w:rPr>
        <w:t>antycykliczny bufor kapitałowy – CCyB</w:t>
      </w:r>
      <w:r w:rsidRPr="00E22450">
        <w:rPr>
          <w:noProof/>
          <w:lang w:val="pl-PL"/>
        </w:rPr>
        <w:t>) lub przeciwdziałania innym rodzajom ryzyka strukturalnego lub cyklicznego, które nie są objęte wyżej wymienionymi buforami,</w:t>
      </w:r>
      <w:r w:rsidR="00F1653C" w:rsidRPr="00E22450">
        <w:rPr>
          <w:noProof/>
          <w:lang w:val="pl-PL"/>
        </w:rPr>
        <w:t xml:space="preserve"> w</w:t>
      </w:r>
      <w:r w:rsidR="00F1653C">
        <w:rPr>
          <w:noProof/>
          <w:lang w:val="pl-PL"/>
        </w:rPr>
        <w:t> </w:t>
      </w:r>
      <w:r w:rsidR="00F1653C" w:rsidRPr="00E22450">
        <w:rPr>
          <w:noProof/>
          <w:lang w:val="pl-PL"/>
        </w:rPr>
        <w:t>tym</w:t>
      </w:r>
      <w:r w:rsidRPr="00E22450">
        <w:rPr>
          <w:noProof/>
          <w:lang w:val="pl-PL"/>
        </w:rPr>
        <w:t xml:space="preserve"> na poziomie ekspozycji sektorowej (</w:t>
      </w:r>
      <w:r w:rsidRPr="00E22450">
        <w:rPr>
          <w:i/>
          <w:noProof/>
          <w:lang w:val="pl-PL"/>
        </w:rPr>
        <w:t>bufory ryzyka systemowego – SyRB</w:t>
      </w:r>
      <w:r w:rsidRPr="00E22450">
        <w:rPr>
          <w:noProof/>
          <w:lang w:val="pl-PL"/>
        </w:rPr>
        <w:t>)</w:t>
      </w:r>
      <w:r>
        <w:rPr>
          <w:rStyle w:val="FootnoteReference"/>
          <w:rFonts w:cs="Times New Roman"/>
          <w:noProof/>
        </w:rPr>
        <w:footnoteReference w:id="18"/>
      </w:r>
      <w:r w:rsidR="00F1653C" w:rsidRPr="00E22450">
        <w:rPr>
          <w:noProof/>
          <w:lang w:val="pl-PL"/>
        </w:rPr>
        <w:t>. W</w:t>
      </w:r>
      <w:r w:rsidR="00F1653C">
        <w:rPr>
          <w:noProof/>
          <w:lang w:val="pl-PL"/>
        </w:rPr>
        <w:t> </w:t>
      </w:r>
      <w:r w:rsidR="00F1653C" w:rsidRPr="00E22450">
        <w:rPr>
          <w:noProof/>
          <w:lang w:val="pl-PL"/>
        </w:rPr>
        <w:t>uni</w:t>
      </w:r>
      <w:r w:rsidRPr="00E22450">
        <w:rPr>
          <w:noProof/>
          <w:lang w:val="pl-PL"/>
        </w:rPr>
        <w:t>i bankowej EBC jest uprawniony do zwiększania (uzupełniania) buforów</w:t>
      </w:r>
      <w:r w:rsidR="00F1653C" w:rsidRPr="00E22450">
        <w:rPr>
          <w:noProof/>
          <w:lang w:val="pl-PL"/>
        </w:rPr>
        <w:t xml:space="preserve"> i</w:t>
      </w:r>
      <w:r w:rsidR="00F1653C">
        <w:rPr>
          <w:noProof/>
          <w:lang w:val="pl-PL"/>
        </w:rPr>
        <w:t> </w:t>
      </w:r>
      <w:r w:rsidR="00F1653C" w:rsidRPr="00E22450">
        <w:rPr>
          <w:noProof/>
          <w:lang w:val="pl-PL"/>
        </w:rPr>
        <w:t>zao</w:t>
      </w:r>
      <w:r w:rsidRPr="00E22450">
        <w:rPr>
          <w:noProof/>
          <w:lang w:val="pl-PL"/>
        </w:rPr>
        <w:t>strzania niektórych środków makroostrożnościowych ustanowionych przez organy krajowe</w:t>
      </w:r>
      <w:r>
        <w:rPr>
          <w:rStyle w:val="FootnoteReference"/>
          <w:rFonts w:cs="Times New Roman"/>
          <w:noProof/>
        </w:rPr>
        <w:footnoteReference w:id="19"/>
      </w:r>
      <w:r w:rsidRPr="00E22450">
        <w:rPr>
          <w:noProof/>
          <w:lang w:val="pl-PL"/>
        </w:rPr>
        <w:t>.</w:t>
      </w:r>
    </w:p>
    <w:p w14:paraId="35BE745C" w14:textId="36907A39" w:rsidR="00241024" w:rsidRPr="00E22450" w:rsidRDefault="00241024" w:rsidP="004709F3">
      <w:pPr>
        <w:spacing w:after="120" w:line="240" w:lineRule="auto"/>
        <w:rPr>
          <w:rFonts w:cs="Times New Roman"/>
          <w:noProof/>
          <w:lang w:val="pl-PL"/>
        </w:rPr>
      </w:pPr>
      <w:r w:rsidRPr="00E22450">
        <w:rPr>
          <w:noProof/>
          <w:lang w:val="pl-PL"/>
        </w:rPr>
        <w:t xml:space="preserve">Organy krajowe mogą również </w:t>
      </w:r>
      <w:r w:rsidRPr="00E22450">
        <w:rPr>
          <w:b/>
          <w:noProof/>
          <w:lang w:val="pl-PL"/>
        </w:rPr>
        <w:t>zaostrzyć wagi ryzyka</w:t>
      </w:r>
      <w:r w:rsidRPr="00E22450">
        <w:rPr>
          <w:noProof/>
          <w:lang w:val="pl-PL"/>
        </w:rPr>
        <w:t xml:space="preserve"> stosowane do niektórych ekspozycji, jeżeli jest to uzasadnione ryzykiem systemowym</w:t>
      </w:r>
      <w:r w:rsidR="00F1653C" w:rsidRPr="00E22450">
        <w:rPr>
          <w:noProof/>
          <w:lang w:val="pl-PL"/>
        </w:rPr>
        <w:t>. W</w:t>
      </w:r>
      <w:r w:rsidR="00F1653C">
        <w:rPr>
          <w:noProof/>
          <w:lang w:val="pl-PL"/>
        </w:rPr>
        <w:t> </w:t>
      </w:r>
      <w:r w:rsidR="00F1653C" w:rsidRPr="00E22450">
        <w:rPr>
          <w:noProof/>
          <w:lang w:val="pl-PL"/>
        </w:rPr>
        <w:t>obe</w:t>
      </w:r>
      <w:r w:rsidRPr="00E22450">
        <w:rPr>
          <w:noProof/>
          <w:lang w:val="pl-PL"/>
        </w:rPr>
        <w:t>cnych ramach</w:t>
      </w:r>
      <w:r w:rsidR="00F1653C" w:rsidRPr="00E22450">
        <w:rPr>
          <w:noProof/>
          <w:lang w:val="pl-PL"/>
        </w:rPr>
        <w:t xml:space="preserve"> w</w:t>
      </w:r>
      <w:r w:rsidR="00F1653C">
        <w:rPr>
          <w:noProof/>
          <w:lang w:val="pl-PL"/>
        </w:rPr>
        <w:t> </w:t>
      </w:r>
      <w:r w:rsidR="00F1653C" w:rsidRPr="00E22450">
        <w:rPr>
          <w:noProof/>
          <w:lang w:val="pl-PL"/>
        </w:rPr>
        <w:t>sze</w:t>
      </w:r>
      <w:r w:rsidRPr="00E22450">
        <w:rPr>
          <w:noProof/>
          <w:lang w:val="pl-PL"/>
        </w:rPr>
        <w:t>regu przepisów CRR określono zasady dotyczące zwiększenia wag ryzyka oraz zwiększenia dolnych pułapów strat</w:t>
      </w:r>
      <w:r w:rsidR="00F1653C" w:rsidRPr="00E22450">
        <w:rPr>
          <w:noProof/>
          <w:lang w:val="pl-PL"/>
        </w:rPr>
        <w:t xml:space="preserve"> z</w:t>
      </w:r>
      <w:r w:rsidR="00F1653C">
        <w:rPr>
          <w:noProof/>
          <w:lang w:val="pl-PL"/>
        </w:rPr>
        <w:t> </w:t>
      </w:r>
      <w:r w:rsidR="00F1653C" w:rsidRPr="00E22450">
        <w:rPr>
          <w:noProof/>
          <w:lang w:val="pl-PL"/>
        </w:rPr>
        <w:t>tyt</w:t>
      </w:r>
      <w:r w:rsidRPr="00E22450">
        <w:rPr>
          <w:noProof/>
          <w:lang w:val="pl-PL"/>
        </w:rPr>
        <w:t>ułu niewykonania zobowiązania (LGD) dla banków stosujących modele wewnętrzne,</w:t>
      </w:r>
      <w:r w:rsidR="00F1653C" w:rsidRPr="00E22450">
        <w:rPr>
          <w:noProof/>
          <w:lang w:val="pl-PL"/>
        </w:rPr>
        <w:t xml:space="preserve"> w</w:t>
      </w:r>
      <w:r w:rsidR="00F1653C">
        <w:rPr>
          <w:noProof/>
          <w:lang w:val="pl-PL"/>
        </w:rPr>
        <w:t> </w:t>
      </w:r>
      <w:r w:rsidR="00F1653C" w:rsidRPr="00E22450">
        <w:rPr>
          <w:noProof/>
          <w:lang w:val="pl-PL"/>
        </w:rPr>
        <w:t>odn</w:t>
      </w:r>
      <w:r w:rsidRPr="00E22450">
        <w:rPr>
          <w:noProof/>
          <w:lang w:val="pl-PL"/>
        </w:rPr>
        <w:t>iesieniu do ekspozycji związanych</w:t>
      </w:r>
      <w:r w:rsidR="00F1653C" w:rsidRPr="00E22450">
        <w:rPr>
          <w:noProof/>
          <w:lang w:val="pl-PL"/>
        </w:rPr>
        <w:t xml:space="preserve"> z</w:t>
      </w:r>
      <w:r w:rsidR="00F1653C">
        <w:rPr>
          <w:noProof/>
          <w:lang w:val="pl-PL"/>
        </w:rPr>
        <w:t> </w:t>
      </w:r>
      <w:r w:rsidR="00F1653C" w:rsidRPr="00E22450">
        <w:rPr>
          <w:noProof/>
          <w:lang w:val="pl-PL"/>
        </w:rPr>
        <w:t>nie</w:t>
      </w:r>
      <w:r w:rsidRPr="00E22450">
        <w:rPr>
          <w:noProof/>
          <w:lang w:val="pl-PL"/>
        </w:rPr>
        <w:t>ruchomościami mieszkalnymi</w:t>
      </w:r>
      <w:r w:rsidR="00F1653C" w:rsidRPr="00E22450">
        <w:rPr>
          <w:noProof/>
          <w:lang w:val="pl-PL"/>
        </w:rPr>
        <w:t xml:space="preserve"> i</w:t>
      </w:r>
      <w:r w:rsidR="00F1653C">
        <w:rPr>
          <w:noProof/>
          <w:lang w:val="pl-PL"/>
        </w:rPr>
        <w:t> </w:t>
      </w:r>
      <w:r w:rsidR="00F1653C" w:rsidRPr="00E22450">
        <w:rPr>
          <w:noProof/>
          <w:lang w:val="pl-PL"/>
        </w:rPr>
        <w:t>kom</w:t>
      </w:r>
      <w:r w:rsidRPr="00E22450">
        <w:rPr>
          <w:noProof/>
          <w:lang w:val="pl-PL"/>
        </w:rPr>
        <w:t>ercyjnymi. Organy krajowe mogą również ustanawiać ograniczenia makroostrożnościowe</w:t>
      </w:r>
      <w:r w:rsidR="00F1653C" w:rsidRPr="00E22450">
        <w:rPr>
          <w:noProof/>
          <w:lang w:val="pl-PL"/>
        </w:rPr>
        <w:t xml:space="preserve"> w</w:t>
      </w:r>
      <w:r w:rsidR="00F1653C">
        <w:rPr>
          <w:noProof/>
          <w:lang w:val="pl-PL"/>
        </w:rPr>
        <w:t> </w:t>
      </w:r>
      <w:r w:rsidR="00F1653C" w:rsidRPr="00E22450">
        <w:rPr>
          <w:noProof/>
          <w:lang w:val="pl-PL"/>
        </w:rPr>
        <w:t>odn</w:t>
      </w:r>
      <w:r w:rsidRPr="00E22450">
        <w:rPr>
          <w:noProof/>
          <w:lang w:val="pl-PL"/>
        </w:rPr>
        <w:t>iesieniu do standardów kredytowania (tj. środków ukierunkowanych na kredytobiorcę), które są przewidziane</w:t>
      </w:r>
      <w:r w:rsidR="00F1653C" w:rsidRPr="00E22450">
        <w:rPr>
          <w:noProof/>
          <w:lang w:val="pl-PL"/>
        </w:rPr>
        <w:t xml:space="preserve"> w</w:t>
      </w:r>
      <w:r w:rsidR="00F1653C">
        <w:rPr>
          <w:noProof/>
          <w:lang w:val="pl-PL"/>
        </w:rPr>
        <w:t> </w:t>
      </w:r>
      <w:r w:rsidR="00F1653C" w:rsidRPr="00E22450">
        <w:rPr>
          <w:noProof/>
          <w:lang w:val="pl-PL"/>
        </w:rPr>
        <w:t>pra</w:t>
      </w:r>
      <w:r w:rsidRPr="00E22450">
        <w:rPr>
          <w:noProof/>
          <w:lang w:val="pl-PL"/>
        </w:rPr>
        <w:t>wie krajowym</w:t>
      </w:r>
      <w:r w:rsidR="00F1653C" w:rsidRPr="00E22450">
        <w:rPr>
          <w:noProof/>
          <w:lang w:val="pl-PL"/>
        </w:rPr>
        <w:t xml:space="preserve"> w</w:t>
      </w:r>
      <w:r w:rsidR="00F1653C">
        <w:rPr>
          <w:noProof/>
          <w:lang w:val="pl-PL"/>
        </w:rPr>
        <w:t> </w:t>
      </w:r>
      <w:r w:rsidR="00F1653C" w:rsidRPr="00E22450">
        <w:rPr>
          <w:noProof/>
          <w:lang w:val="pl-PL"/>
        </w:rPr>
        <w:t>wię</w:t>
      </w:r>
      <w:r w:rsidRPr="00E22450">
        <w:rPr>
          <w:noProof/>
          <w:lang w:val="pl-PL"/>
        </w:rPr>
        <w:t>kszości państw członkowskich UE, ale które nie są obecnie zapisane</w:t>
      </w:r>
      <w:r w:rsidR="00F1653C" w:rsidRPr="00E22450">
        <w:rPr>
          <w:noProof/>
          <w:lang w:val="pl-PL"/>
        </w:rPr>
        <w:t xml:space="preserve"> w</w:t>
      </w:r>
      <w:r w:rsidR="00F1653C">
        <w:rPr>
          <w:noProof/>
          <w:lang w:val="pl-PL"/>
        </w:rPr>
        <w:t> </w:t>
      </w:r>
      <w:r w:rsidR="00F1653C" w:rsidRPr="00E22450">
        <w:rPr>
          <w:noProof/>
          <w:lang w:val="pl-PL"/>
        </w:rPr>
        <w:t>uni</w:t>
      </w:r>
      <w:r w:rsidRPr="00E22450">
        <w:rPr>
          <w:noProof/>
          <w:lang w:val="pl-PL"/>
        </w:rPr>
        <w:t xml:space="preserve">jnych ramach makroostrożnościowych. </w:t>
      </w:r>
    </w:p>
    <w:p w14:paraId="0E533650" w14:textId="55B943F0" w:rsidR="00241024" w:rsidRPr="00E22450" w:rsidRDefault="0011072D" w:rsidP="004709F3">
      <w:pPr>
        <w:spacing w:after="120" w:line="240" w:lineRule="auto"/>
        <w:rPr>
          <w:rStyle w:val="BodyTextChar"/>
          <w:rFonts w:eastAsiaTheme="minorEastAsia" w:cs="Times New Roman"/>
          <w:noProof/>
          <w:lang w:val="pl-PL"/>
        </w:rPr>
      </w:pPr>
      <w:r w:rsidRPr="00E22450">
        <w:rPr>
          <w:b/>
          <w:noProof/>
          <w:lang w:val="pl-PL"/>
        </w:rPr>
        <w:t>Chociaż nie istnieją wspólne ramy makroostrożnościowe regulujące NBFI</w:t>
      </w:r>
      <w:r w:rsidRPr="00E22450">
        <w:rPr>
          <w:noProof/>
          <w:lang w:val="pl-PL"/>
        </w:rPr>
        <w:t>,</w:t>
      </w:r>
      <w:r w:rsidR="00F1653C" w:rsidRPr="00E22450">
        <w:rPr>
          <w:noProof/>
          <w:lang w:val="pl-PL"/>
        </w:rPr>
        <w:t xml:space="preserve"> </w:t>
      </w:r>
      <w:r w:rsidR="00F1653C" w:rsidRPr="00E22450">
        <w:rPr>
          <w:b/>
          <w:noProof/>
          <w:lang w:val="pl-PL"/>
        </w:rPr>
        <w:t>w</w:t>
      </w:r>
      <w:r w:rsidR="00F1653C">
        <w:rPr>
          <w:noProof/>
          <w:lang w:val="pl-PL"/>
        </w:rPr>
        <w:t> </w:t>
      </w:r>
      <w:r w:rsidR="00F1653C" w:rsidRPr="00E22450">
        <w:rPr>
          <w:b/>
          <w:noProof/>
          <w:lang w:val="pl-PL"/>
        </w:rPr>
        <w:t>uni</w:t>
      </w:r>
      <w:r w:rsidRPr="00E22450">
        <w:rPr>
          <w:b/>
          <w:noProof/>
          <w:lang w:val="pl-PL"/>
        </w:rPr>
        <w:t>jnym prawodawstwie sektorowym przewidziano już pewne narzędzia makroostrożnościowe</w:t>
      </w:r>
      <w:r w:rsidR="00F1653C" w:rsidRPr="00E22450">
        <w:rPr>
          <w:b/>
          <w:noProof/>
          <w:lang w:val="pl-PL"/>
        </w:rPr>
        <w:t xml:space="preserve"> i</w:t>
      </w:r>
      <w:r w:rsidR="00F1653C">
        <w:rPr>
          <w:b/>
          <w:noProof/>
          <w:lang w:val="pl-PL"/>
        </w:rPr>
        <w:t> </w:t>
      </w:r>
      <w:r w:rsidR="00F1653C" w:rsidRPr="00E22450">
        <w:rPr>
          <w:b/>
          <w:noProof/>
          <w:lang w:val="pl-PL"/>
        </w:rPr>
        <w:t>sze</w:t>
      </w:r>
      <w:r w:rsidRPr="00E22450">
        <w:rPr>
          <w:b/>
          <w:noProof/>
          <w:lang w:val="pl-PL"/>
        </w:rPr>
        <w:t>reg przepisów dotyczących zarządzania ryzykiem</w:t>
      </w:r>
      <w:r w:rsidRPr="00E22450">
        <w:rPr>
          <w:noProof/>
          <w:lang w:val="pl-PL"/>
        </w:rPr>
        <w:t>. Obejmują one przepisy dotyczące ryzyka utraty płynności, ryzyka dźwigni finansowej</w:t>
      </w:r>
      <w:r w:rsidR="00F1653C" w:rsidRPr="00E22450">
        <w:rPr>
          <w:noProof/>
          <w:lang w:val="pl-PL"/>
        </w:rPr>
        <w:t xml:space="preserve"> i</w:t>
      </w:r>
      <w:r w:rsidR="00F1653C">
        <w:rPr>
          <w:noProof/>
          <w:lang w:val="pl-PL"/>
        </w:rPr>
        <w:t> </w:t>
      </w:r>
      <w:r w:rsidR="00F1653C" w:rsidRPr="00E22450">
        <w:rPr>
          <w:noProof/>
          <w:lang w:val="pl-PL"/>
        </w:rPr>
        <w:t>ryz</w:t>
      </w:r>
      <w:r w:rsidRPr="00E22450">
        <w:rPr>
          <w:noProof/>
          <w:lang w:val="pl-PL"/>
        </w:rPr>
        <w:t>yka operacyjnego, które ograniczają narastanie ryzyka systemowego.</w:t>
      </w:r>
      <w:r w:rsidRPr="00E22450">
        <w:rPr>
          <w:rStyle w:val="BodyTextChar"/>
          <w:noProof/>
          <w:lang w:val="pl-PL"/>
        </w:rPr>
        <w:t xml:space="preserve"> </w:t>
      </w:r>
    </w:p>
    <w:p w14:paraId="4E9F111C" w14:textId="1376AF28" w:rsidR="00241024" w:rsidRPr="00E22450" w:rsidRDefault="00241024" w:rsidP="004709F3">
      <w:pPr>
        <w:spacing w:after="120" w:line="240" w:lineRule="auto"/>
        <w:rPr>
          <w:rFonts w:cs="Times New Roman"/>
          <w:noProof/>
          <w:lang w:val="pl-PL"/>
        </w:rPr>
      </w:pPr>
      <w:r w:rsidRPr="00E22450">
        <w:rPr>
          <w:rStyle w:val="BodyTextChar"/>
          <w:noProof/>
          <w:lang w:val="pl-PL"/>
        </w:rPr>
        <w:t>Jeżeli chodzi</w:t>
      </w:r>
      <w:r w:rsidR="00F1653C" w:rsidRPr="00E22450">
        <w:rPr>
          <w:rStyle w:val="BodyTextChar"/>
          <w:noProof/>
          <w:lang w:val="pl-PL"/>
        </w:rPr>
        <w:t xml:space="preserve"> o</w:t>
      </w:r>
      <w:r w:rsidR="00F1653C">
        <w:rPr>
          <w:rStyle w:val="BodyTextChar"/>
          <w:noProof/>
          <w:lang w:val="pl-PL"/>
        </w:rPr>
        <w:t> </w:t>
      </w:r>
      <w:r w:rsidR="00F1653C" w:rsidRPr="00E22450">
        <w:rPr>
          <w:rStyle w:val="BodyTextChar"/>
          <w:b/>
          <w:noProof/>
          <w:lang w:val="pl-PL"/>
        </w:rPr>
        <w:t>sek</w:t>
      </w:r>
      <w:r w:rsidRPr="00E22450">
        <w:rPr>
          <w:rStyle w:val="BodyTextChar"/>
          <w:b/>
          <w:noProof/>
          <w:lang w:val="pl-PL"/>
        </w:rPr>
        <w:t>tor funduszy inwestycyjnych</w:t>
      </w:r>
      <w:r w:rsidRPr="00E22450">
        <w:rPr>
          <w:rStyle w:val="BodyTextChar"/>
          <w:noProof/>
          <w:lang w:val="pl-PL"/>
        </w:rPr>
        <w:t xml:space="preserve">, </w:t>
      </w:r>
      <w:r w:rsidRPr="00E22450">
        <w:rPr>
          <w:noProof/>
          <w:lang w:val="pl-PL"/>
        </w:rPr>
        <w:t>we wnioskach ustawodawczych Komisji dotyczących zmiany dyrektywy</w:t>
      </w:r>
      <w:r w:rsidR="00F1653C" w:rsidRPr="00E22450">
        <w:rPr>
          <w:noProof/>
          <w:lang w:val="pl-PL"/>
        </w:rPr>
        <w:t xml:space="preserve"> w</w:t>
      </w:r>
      <w:r w:rsidR="00F1653C">
        <w:rPr>
          <w:noProof/>
          <w:lang w:val="pl-PL"/>
        </w:rPr>
        <w:t> </w:t>
      </w:r>
      <w:r w:rsidR="00F1653C" w:rsidRPr="00E22450">
        <w:rPr>
          <w:noProof/>
          <w:lang w:val="pl-PL"/>
        </w:rPr>
        <w:t>spr</w:t>
      </w:r>
      <w:r w:rsidRPr="00E22450">
        <w:rPr>
          <w:noProof/>
          <w:lang w:val="pl-PL"/>
        </w:rPr>
        <w:t>awie zarządzających alternatywnymi funduszami inwestycyjnymi (dyrektywa</w:t>
      </w:r>
      <w:r w:rsidR="00F1653C" w:rsidRPr="00E22450">
        <w:rPr>
          <w:noProof/>
          <w:lang w:val="pl-PL"/>
        </w:rPr>
        <w:t xml:space="preserve"> w</w:t>
      </w:r>
      <w:r w:rsidR="00F1653C">
        <w:rPr>
          <w:noProof/>
          <w:lang w:val="pl-PL"/>
        </w:rPr>
        <w:t> </w:t>
      </w:r>
      <w:r w:rsidR="00F1653C" w:rsidRPr="00E22450">
        <w:rPr>
          <w:noProof/>
          <w:lang w:val="pl-PL"/>
        </w:rPr>
        <w:t>spr</w:t>
      </w:r>
      <w:r w:rsidRPr="00E22450">
        <w:rPr>
          <w:noProof/>
          <w:lang w:val="pl-PL"/>
        </w:rPr>
        <w:t>awie ZAFI)</w:t>
      </w:r>
      <w:r>
        <w:rPr>
          <w:rStyle w:val="FootnoteReference"/>
          <w:rFonts w:cs="Times New Roman"/>
          <w:noProof/>
        </w:rPr>
        <w:footnoteReference w:id="20"/>
      </w:r>
      <w:r w:rsidRPr="00E22450">
        <w:rPr>
          <w:noProof/>
          <w:lang w:val="pl-PL"/>
        </w:rPr>
        <w:t xml:space="preserve"> oraz dyrektywy</w:t>
      </w:r>
      <w:r w:rsidR="00F1653C" w:rsidRPr="00E22450">
        <w:rPr>
          <w:noProof/>
          <w:lang w:val="pl-PL"/>
        </w:rPr>
        <w:t xml:space="preserve"> w</w:t>
      </w:r>
      <w:r w:rsidR="00F1653C">
        <w:rPr>
          <w:noProof/>
          <w:lang w:val="pl-PL"/>
        </w:rPr>
        <w:t> </w:t>
      </w:r>
      <w:r w:rsidR="00F1653C" w:rsidRPr="00E22450">
        <w:rPr>
          <w:noProof/>
          <w:lang w:val="pl-PL"/>
        </w:rPr>
        <w:t>spr</w:t>
      </w:r>
      <w:r w:rsidRPr="00E22450">
        <w:rPr>
          <w:noProof/>
          <w:lang w:val="pl-PL"/>
        </w:rPr>
        <w:t>awie przedsiębiorstw zbiorowego inwestowania (UCITS)</w:t>
      </w:r>
      <w:r>
        <w:rPr>
          <w:rStyle w:val="FootnoteReference"/>
          <w:rFonts w:cs="Times New Roman"/>
          <w:noProof/>
        </w:rPr>
        <w:footnoteReference w:id="21"/>
      </w:r>
      <w:r w:rsidRPr="00E22450">
        <w:rPr>
          <w:noProof/>
          <w:lang w:val="pl-PL"/>
        </w:rPr>
        <w:t>, przyjętych</w:t>
      </w:r>
      <w:r w:rsidR="00F1653C" w:rsidRPr="00E22450">
        <w:rPr>
          <w:noProof/>
          <w:lang w:val="pl-PL"/>
        </w:rPr>
        <w:t xml:space="preserve"> w</w:t>
      </w:r>
      <w:r w:rsidR="00F1653C">
        <w:rPr>
          <w:noProof/>
          <w:lang w:val="pl-PL"/>
        </w:rPr>
        <w:t> </w:t>
      </w:r>
      <w:r w:rsidR="00F1653C" w:rsidRPr="00E22450">
        <w:rPr>
          <w:noProof/>
          <w:lang w:val="pl-PL"/>
        </w:rPr>
        <w:t>lis</w:t>
      </w:r>
      <w:r w:rsidRPr="00E22450">
        <w:rPr>
          <w:noProof/>
          <w:lang w:val="pl-PL"/>
        </w:rPr>
        <w:t>topadzie 20</w:t>
      </w:r>
      <w:r w:rsidRPr="00F1653C">
        <w:rPr>
          <w:noProof/>
          <w:lang w:val="pl-PL"/>
        </w:rPr>
        <w:t>21</w:t>
      </w:r>
      <w:r w:rsidR="00F1653C" w:rsidRPr="00F1653C">
        <w:rPr>
          <w:noProof/>
          <w:lang w:val="pl-PL"/>
        </w:rPr>
        <w:t> </w:t>
      </w:r>
      <w:r w:rsidRPr="00F1653C">
        <w:rPr>
          <w:noProof/>
          <w:lang w:val="pl-PL"/>
        </w:rPr>
        <w:t>r.</w:t>
      </w:r>
      <w:r>
        <w:rPr>
          <w:rStyle w:val="FootnoteReference"/>
          <w:rFonts w:cs="Times New Roman"/>
          <w:noProof/>
        </w:rPr>
        <w:footnoteReference w:id="22"/>
      </w:r>
      <w:r w:rsidRPr="00E22450">
        <w:rPr>
          <w:noProof/>
          <w:lang w:val="pl-PL"/>
        </w:rPr>
        <w:t>, odzwierciedlono zalecenie ERRS dotyczące ryzyka płynności</w:t>
      </w:r>
      <w:r w:rsidR="00F1653C" w:rsidRPr="00E22450">
        <w:rPr>
          <w:noProof/>
          <w:lang w:val="pl-PL"/>
        </w:rPr>
        <w:t xml:space="preserve"> i</w:t>
      </w:r>
      <w:r w:rsidR="00F1653C">
        <w:rPr>
          <w:noProof/>
          <w:lang w:val="pl-PL"/>
        </w:rPr>
        <w:t> </w:t>
      </w:r>
      <w:r w:rsidR="00F1653C" w:rsidRPr="00E22450">
        <w:rPr>
          <w:noProof/>
          <w:lang w:val="pl-PL"/>
        </w:rPr>
        <w:t>dźw</w:t>
      </w:r>
      <w:r w:rsidRPr="00E22450">
        <w:rPr>
          <w:noProof/>
          <w:lang w:val="pl-PL"/>
        </w:rPr>
        <w:t>igni finansowej</w:t>
      </w:r>
      <w:r w:rsidR="00F1653C" w:rsidRPr="00E22450">
        <w:rPr>
          <w:noProof/>
          <w:lang w:val="pl-PL"/>
        </w:rPr>
        <w:t xml:space="preserve"> w</w:t>
      </w:r>
      <w:r w:rsidR="00F1653C">
        <w:rPr>
          <w:noProof/>
          <w:lang w:val="pl-PL"/>
        </w:rPr>
        <w:t> </w:t>
      </w:r>
      <w:r w:rsidR="00F1653C" w:rsidRPr="00E22450">
        <w:rPr>
          <w:noProof/>
          <w:lang w:val="pl-PL"/>
        </w:rPr>
        <w:t>fun</w:t>
      </w:r>
      <w:r w:rsidRPr="00E22450">
        <w:rPr>
          <w:noProof/>
          <w:lang w:val="pl-PL"/>
        </w:rPr>
        <w:t>duszach inwestycyjnych</w:t>
      </w:r>
      <w:r>
        <w:rPr>
          <w:rStyle w:val="FootnoteReference"/>
          <w:rFonts w:cs="Times New Roman"/>
          <w:noProof/>
        </w:rPr>
        <w:footnoteReference w:id="23"/>
      </w:r>
      <w:r w:rsidRPr="00E22450">
        <w:rPr>
          <w:noProof/>
          <w:lang w:val="pl-PL"/>
        </w:rPr>
        <w:t>. 19 lipca 20</w:t>
      </w:r>
      <w:r w:rsidRPr="00F1653C">
        <w:rPr>
          <w:noProof/>
          <w:lang w:val="pl-PL"/>
        </w:rPr>
        <w:t>23</w:t>
      </w:r>
      <w:r w:rsidR="00F1653C" w:rsidRPr="00F1653C">
        <w:rPr>
          <w:noProof/>
          <w:lang w:val="pl-PL"/>
        </w:rPr>
        <w:t> </w:t>
      </w:r>
      <w:r w:rsidRPr="00F1653C">
        <w:rPr>
          <w:noProof/>
          <w:lang w:val="pl-PL"/>
        </w:rPr>
        <w:t>r.</w:t>
      </w:r>
      <w:r w:rsidRPr="00E22450">
        <w:rPr>
          <w:noProof/>
          <w:lang w:val="pl-PL"/>
        </w:rPr>
        <w:t xml:space="preserve"> Parlament</w:t>
      </w:r>
      <w:r w:rsidR="00F1653C" w:rsidRPr="00E22450">
        <w:rPr>
          <w:noProof/>
          <w:lang w:val="pl-PL"/>
        </w:rPr>
        <w:t xml:space="preserve"> i</w:t>
      </w:r>
      <w:r w:rsidR="00F1653C">
        <w:rPr>
          <w:noProof/>
          <w:lang w:val="pl-PL"/>
        </w:rPr>
        <w:t> </w:t>
      </w:r>
      <w:r w:rsidR="00F1653C" w:rsidRPr="00E22450">
        <w:rPr>
          <w:noProof/>
          <w:lang w:val="pl-PL"/>
        </w:rPr>
        <w:t>Rad</w:t>
      </w:r>
      <w:r w:rsidRPr="00E22450">
        <w:rPr>
          <w:noProof/>
          <w:lang w:val="pl-PL"/>
        </w:rPr>
        <w:t>a osiągnęły porozumienie</w:t>
      </w:r>
      <w:r w:rsidR="00F1653C" w:rsidRPr="00E22450">
        <w:rPr>
          <w:noProof/>
          <w:lang w:val="pl-PL"/>
        </w:rPr>
        <w:t xml:space="preserve"> w</w:t>
      </w:r>
      <w:r w:rsidR="00F1653C">
        <w:rPr>
          <w:noProof/>
          <w:lang w:val="pl-PL"/>
        </w:rPr>
        <w:t> </w:t>
      </w:r>
      <w:r w:rsidR="00F1653C" w:rsidRPr="00E22450">
        <w:rPr>
          <w:noProof/>
          <w:lang w:val="pl-PL"/>
        </w:rPr>
        <w:t>spr</w:t>
      </w:r>
      <w:r w:rsidRPr="00E22450">
        <w:rPr>
          <w:noProof/>
          <w:lang w:val="pl-PL"/>
        </w:rPr>
        <w:t>awie przeglądu. Postanowiono wprowadzić zharmonizowany wykaz narzędzi zarządzania płynnością</w:t>
      </w:r>
      <w:r w:rsidR="00F1653C" w:rsidRPr="00E22450">
        <w:rPr>
          <w:noProof/>
          <w:lang w:val="pl-PL"/>
        </w:rPr>
        <w:t xml:space="preserve"> o</w:t>
      </w:r>
      <w:r w:rsidR="00F1653C">
        <w:rPr>
          <w:noProof/>
          <w:lang w:val="pl-PL"/>
        </w:rPr>
        <w:t> </w:t>
      </w:r>
      <w:r w:rsidR="00F1653C" w:rsidRPr="00E22450">
        <w:rPr>
          <w:noProof/>
          <w:lang w:val="pl-PL"/>
        </w:rPr>
        <w:t>cha</w:t>
      </w:r>
      <w:r w:rsidRPr="00E22450">
        <w:rPr>
          <w:noProof/>
          <w:lang w:val="pl-PL"/>
        </w:rPr>
        <w:t>rakterze mikroostrożnościowym, które to narzędzia zostaną udostępnione dla zarządzających alternatywnymi funduszami inwestycyjnymi i UCITS</w:t>
      </w:r>
      <w:r w:rsidR="00F1653C" w:rsidRPr="00E22450">
        <w:rPr>
          <w:noProof/>
          <w:lang w:val="pl-PL"/>
        </w:rPr>
        <w:t xml:space="preserve"> w</w:t>
      </w:r>
      <w:r w:rsidR="00F1653C">
        <w:rPr>
          <w:noProof/>
          <w:lang w:val="pl-PL"/>
        </w:rPr>
        <w:t> </w:t>
      </w:r>
      <w:r w:rsidR="00F1653C" w:rsidRPr="00E22450">
        <w:rPr>
          <w:noProof/>
          <w:lang w:val="pl-PL"/>
        </w:rPr>
        <w:t>cał</w:t>
      </w:r>
      <w:r w:rsidRPr="00E22450">
        <w:rPr>
          <w:noProof/>
          <w:lang w:val="pl-PL"/>
        </w:rPr>
        <w:t>ej UE</w:t>
      </w:r>
      <w:r w:rsidR="00F1653C" w:rsidRPr="00E22450">
        <w:rPr>
          <w:noProof/>
          <w:lang w:val="pl-PL"/>
        </w:rPr>
        <w:t>. W</w:t>
      </w:r>
      <w:r w:rsidR="00F1653C">
        <w:rPr>
          <w:noProof/>
          <w:lang w:val="pl-PL"/>
        </w:rPr>
        <w:t> </w:t>
      </w:r>
      <w:r w:rsidR="00F1653C" w:rsidRPr="00E22450">
        <w:rPr>
          <w:noProof/>
          <w:lang w:val="pl-PL"/>
        </w:rPr>
        <w:t>prz</w:t>
      </w:r>
      <w:r w:rsidRPr="00E22450">
        <w:rPr>
          <w:noProof/>
          <w:lang w:val="pl-PL"/>
        </w:rPr>
        <w:t>eglądzie określono również strukturalne ograniczenie dźwigni finansowej dla funduszy udzielających pożyczek</w:t>
      </w:r>
      <w:r w:rsidR="00F1653C" w:rsidRPr="00E22450">
        <w:rPr>
          <w:noProof/>
          <w:lang w:val="pl-PL"/>
        </w:rPr>
        <w:t>. W</w:t>
      </w:r>
      <w:r w:rsidR="00F1653C">
        <w:rPr>
          <w:noProof/>
          <w:lang w:val="pl-PL"/>
        </w:rPr>
        <w:t> </w:t>
      </w:r>
      <w:r w:rsidR="00F1653C" w:rsidRPr="00E22450">
        <w:rPr>
          <w:noProof/>
          <w:lang w:val="pl-PL"/>
        </w:rPr>
        <w:t>roz</w:t>
      </w:r>
      <w:r w:rsidRPr="00E22450">
        <w:rPr>
          <w:noProof/>
          <w:lang w:val="pl-PL"/>
        </w:rPr>
        <w:t>porządzeniu</w:t>
      </w:r>
      <w:r w:rsidR="00F1653C" w:rsidRPr="00E22450">
        <w:rPr>
          <w:noProof/>
          <w:lang w:val="pl-PL"/>
        </w:rPr>
        <w:t xml:space="preserve"> w</w:t>
      </w:r>
      <w:r w:rsidR="00F1653C">
        <w:rPr>
          <w:noProof/>
          <w:lang w:val="pl-PL"/>
        </w:rPr>
        <w:t> </w:t>
      </w:r>
      <w:r w:rsidR="00F1653C" w:rsidRPr="00E22450">
        <w:rPr>
          <w:noProof/>
          <w:lang w:val="pl-PL"/>
        </w:rPr>
        <w:t>spr</w:t>
      </w:r>
      <w:r w:rsidRPr="00E22450">
        <w:rPr>
          <w:noProof/>
          <w:lang w:val="pl-PL"/>
        </w:rPr>
        <w:t>awie funduszy rynku pieniężnego (MMFR)</w:t>
      </w:r>
      <w:r>
        <w:rPr>
          <w:rFonts w:cs="Times New Roman"/>
          <w:noProof/>
          <w:vertAlign w:val="superscript"/>
        </w:rPr>
        <w:footnoteReference w:id="24"/>
      </w:r>
      <w:r w:rsidRPr="00E22450">
        <w:rPr>
          <w:noProof/>
          <w:lang w:val="pl-PL"/>
        </w:rPr>
        <w:t xml:space="preserve"> przewidziano szereg narzędzi makroostrożnościowych, takich jak limity strukturalne dotyczące dźwigni finansowej</w:t>
      </w:r>
      <w:r w:rsidR="00F1653C" w:rsidRPr="00E22450">
        <w:rPr>
          <w:noProof/>
          <w:lang w:val="pl-PL"/>
        </w:rPr>
        <w:t xml:space="preserve"> i</w:t>
      </w:r>
      <w:r w:rsidR="00F1653C">
        <w:rPr>
          <w:noProof/>
          <w:lang w:val="pl-PL"/>
        </w:rPr>
        <w:t> </w:t>
      </w:r>
      <w:r w:rsidR="00F1653C" w:rsidRPr="00E22450">
        <w:rPr>
          <w:noProof/>
          <w:lang w:val="pl-PL"/>
        </w:rPr>
        <w:t>obr</w:t>
      </w:r>
      <w:r w:rsidRPr="00E22450">
        <w:rPr>
          <w:noProof/>
          <w:lang w:val="pl-PL"/>
        </w:rPr>
        <w:t>otu instrumentami pochodnymi, zabezpieczenia przed utratą płynności</w:t>
      </w:r>
      <w:r w:rsidR="00F1653C" w:rsidRPr="00E22450">
        <w:rPr>
          <w:noProof/>
          <w:lang w:val="pl-PL"/>
        </w:rPr>
        <w:t xml:space="preserve"> i</w:t>
      </w:r>
      <w:r w:rsidR="00F1653C">
        <w:rPr>
          <w:noProof/>
          <w:lang w:val="pl-PL"/>
        </w:rPr>
        <w:t> </w:t>
      </w:r>
      <w:r w:rsidR="00F1653C" w:rsidRPr="00E22450">
        <w:rPr>
          <w:noProof/>
          <w:lang w:val="pl-PL"/>
        </w:rPr>
        <w:t>tes</w:t>
      </w:r>
      <w:r w:rsidRPr="00E22450">
        <w:rPr>
          <w:noProof/>
          <w:lang w:val="pl-PL"/>
        </w:rPr>
        <w:t>ty warunków skrajnych</w:t>
      </w:r>
      <w:r w:rsidR="00F1653C" w:rsidRPr="00E22450">
        <w:rPr>
          <w:noProof/>
          <w:lang w:val="pl-PL"/>
        </w:rPr>
        <w:t xml:space="preserve"> w</w:t>
      </w:r>
      <w:r w:rsidR="00F1653C">
        <w:rPr>
          <w:noProof/>
          <w:lang w:val="pl-PL"/>
        </w:rPr>
        <w:t> </w:t>
      </w:r>
      <w:r w:rsidR="00F1653C" w:rsidRPr="00E22450">
        <w:rPr>
          <w:noProof/>
          <w:lang w:val="pl-PL"/>
        </w:rPr>
        <w:t>hip</w:t>
      </w:r>
      <w:r w:rsidRPr="00E22450">
        <w:rPr>
          <w:noProof/>
          <w:lang w:val="pl-PL"/>
        </w:rPr>
        <w:t>otetycznych scenariuszach</w:t>
      </w:r>
      <w:r w:rsidR="00F1653C" w:rsidRPr="00E22450">
        <w:rPr>
          <w:noProof/>
          <w:lang w:val="pl-PL"/>
        </w:rPr>
        <w:t>. W</w:t>
      </w:r>
      <w:r w:rsidR="00F1653C">
        <w:rPr>
          <w:noProof/>
          <w:lang w:val="pl-PL"/>
        </w:rPr>
        <w:t> </w:t>
      </w:r>
      <w:r w:rsidR="00F1653C" w:rsidRPr="00E22450">
        <w:rPr>
          <w:noProof/>
          <w:lang w:val="pl-PL"/>
        </w:rPr>
        <w:t>wyn</w:t>
      </w:r>
      <w:r w:rsidRPr="00E22450">
        <w:rPr>
          <w:noProof/>
          <w:lang w:val="pl-PL"/>
        </w:rPr>
        <w:t>iku niedawnych ukierunkowanych konsultacji</w:t>
      </w:r>
      <w:r>
        <w:rPr>
          <w:rStyle w:val="FootnoteReference"/>
          <w:rFonts w:cs="Times New Roman"/>
          <w:noProof/>
        </w:rPr>
        <w:footnoteReference w:id="25"/>
      </w:r>
      <w:r w:rsidR="00F1653C" w:rsidRPr="00E22450">
        <w:rPr>
          <w:noProof/>
          <w:lang w:val="pl-PL"/>
        </w:rPr>
        <w:t xml:space="preserve"> i</w:t>
      </w:r>
      <w:r w:rsidR="00F1653C">
        <w:rPr>
          <w:noProof/>
          <w:lang w:val="pl-PL"/>
        </w:rPr>
        <w:t> </w:t>
      </w:r>
      <w:r w:rsidR="00F1653C" w:rsidRPr="00E22450">
        <w:rPr>
          <w:noProof/>
          <w:lang w:val="pl-PL"/>
        </w:rPr>
        <w:t>tow</w:t>
      </w:r>
      <w:r w:rsidRPr="00E22450">
        <w:rPr>
          <w:noProof/>
          <w:lang w:val="pl-PL"/>
        </w:rPr>
        <w:t>arzyszącego im sprawozdania</w:t>
      </w:r>
      <w:r>
        <w:rPr>
          <w:rStyle w:val="FootnoteReference"/>
          <w:rFonts w:cs="Times New Roman"/>
          <w:noProof/>
        </w:rPr>
        <w:footnoteReference w:id="26"/>
      </w:r>
      <w:r w:rsidRPr="00E22450">
        <w:rPr>
          <w:noProof/>
          <w:lang w:val="pl-PL"/>
        </w:rPr>
        <w:t xml:space="preserve"> stwierdzono, że MMFR przyczyniło się do zwiększenia odporności sektora,</w:t>
      </w:r>
      <w:r w:rsidR="00F1653C" w:rsidRPr="00E22450">
        <w:rPr>
          <w:noProof/>
          <w:lang w:val="pl-PL"/>
        </w:rPr>
        <w:t xml:space="preserve"> a</w:t>
      </w:r>
      <w:r w:rsidR="00F1653C">
        <w:rPr>
          <w:noProof/>
          <w:lang w:val="pl-PL"/>
        </w:rPr>
        <w:t> </w:t>
      </w:r>
      <w:r w:rsidR="00F1653C" w:rsidRPr="00E22450">
        <w:rPr>
          <w:noProof/>
          <w:lang w:val="pl-PL"/>
        </w:rPr>
        <w:t>jed</w:t>
      </w:r>
      <w:r w:rsidRPr="00E22450">
        <w:rPr>
          <w:noProof/>
          <w:lang w:val="pl-PL"/>
        </w:rPr>
        <w:t xml:space="preserve">nocześnie odnotowano kilka podatności na zagrożenia, które warto poddać dalszej ocenie. </w:t>
      </w:r>
    </w:p>
    <w:p w14:paraId="04CD8B05" w14:textId="7C57FE8C" w:rsidR="00241024" w:rsidRPr="00E22450" w:rsidRDefault="0011072D" w:rsidP="004709F3">
      <w:pPr>
        <w:spacing w:after="120" w:line="240" w:lineRule="auto"/>
        <w:rPr>
          <w:rFonts w:cs="Times New Roman"/>
          <w:noProof/>
          <w:lang w:val="pl-PL"/>
        </w:rPr>
      </w:pPr>
      <w:r w:rsidRPr="00E22450">
        <w:rPr>
          <w:noProof/>
          <w:lang w:val="pl-PL"/>
        </w:rPr>
        <w:t xml:space="preserve">W odniesieniu do </w:t>
      </w:r>
      <w:r w:rsidRPr="00E22450">
        <w:rPr>
          <w:b/>
          <w:noProof/>
          <w:lang w:val="pl-PL"/>
        </w:rPr>
        <w:t>ubezpieczycieli</w:t>
      </w:r>
      <w:r w:rsidRPr="00E22450">
        <w:rPr>
          <w:noProof/>
          <w:lang w:val="pl-PL"/>
        </w:rPr>
        <w:t xml:space="preserve"> Komisja przyjęła wniosek ustawodawczy dotyczący zmiany dyrektywy Wypłacalność II we wrześniu 20</w:t>
      </w:r>
      <w:r w:rsidRPr="00F1653C">
        <w:rPr>
          <w:noProof/>
          <w:lang w:val="pl-PL"/>
        </w:rPr>
        <w:t>21</w:t>
      </w:r>
      <w:r w:rsidR="00F1653C" w:rsidRPr="00F1653C">
        <w:rPr>
          <w:noProof/>
          <w:lang w:val="pl-PL"/>
        </w:rPr>
        <w:t> </w:t>
      </w:r>
      <w:r w:rsidRPr="00F1653C">
        <w:rPr>
          <w:noProof/>
          <w:lang w:val="pl-PL"/>
        </w:rPr>
        <w:t>r.</w:t>
      </w:r>
      <w:r w:rsidRPr="00E22450">
        <w:rPr>
          <w:noProof/>
          <w:lang w:val="pl-PL"/>
        </w:rPr>
        <w:t xml:space="preserve"> Zmiany te skutkują dostosowaniem ugruntowanych unijnych ram ostrożnościowych uwzględniających ryzyko, mających zastosowanie do ubezpieczycieli</w:t>
      </w:r>
      <w:r w:rsidR="00F1653C" w:rsidRPr="00E22450">
        <w:rPr>
          <w:noProof/>
          <w:lang w:val="pl-PL"/>
        </w:rPr>
        <w:t xml:space="preserve"> i</w:t>
      </w:r>
      <w:r w:rsidR="00F1653C">
        <w:rPr>
          <w:noProof/>
          <w:lang w:val="pl-PL"/>
        </w:rPr>
        <w:t> </w:t>
      </w:r>
      <w:r w:rsidR="00F1653C" w:rsidRPr="00E22450">
        <w:rPr>
          <w:noProof/>
          <w:lang w:val="pl-PL"/>
        </w:rPr>
        <w:t>rea</w:t>
      </w:r>
      <w:r w:rsidRPr="00E22450">
        <w:rPr>
          <w:noProof/>
          <w:lang w:val="pl-PL"/>
        </w:rPr>
        <w:t>sekuratorów do nowych zmian</w:t>
      </w:r>
      <w:r w:rsidR="00F1653C" w:rsidRPr="00E22450">
        <w:rPr>
          <w:noProof/>
          <w:lang w:val="pl-PL"/>
        </w:rPr>
        <w:t xml:space="preserve"> i</w:t>
      </w:r>
      <w:r w:rsidR="00F1653C">
        <w:rPr>
          <w:noProof/>
          <w:lang w:val="pl-PL"/>
        </w:rPr>
        <w:t> </w:t>
      </w:r>
      <w:r w:rsidR="00F1653C" w:rsidRPr="00E22450">
        <w:rPr>
          <w:noProof/>
          <w:lang w:val="pl-PL"/>
        </w:rPr>
        <w:t>jes</w:t>
      </w:r>
      <w:r w:rsidRPr="00E22450">
        <w:rPr>
          <w:noProof/>
          <w:lang w:val="pl-PL"/>
        </w:rPr>
        <w:t>zcze bardziej wzmacniają ich rolę</w:t>
      </w:r>
      <w:r w:rsidR="00F1653C" w:rsidRPr="00E22450">
        <w:rPr>
          <w:noProof/>
          <w:lang w:val="pl-PL"/>
        </w:rPr>
        <w:t xml:space="preserve"> w</w:t>
      </w:r>
      <w:r w:rsidR="00F1653C">
        <w:rPr>
          <w:noProof/>
          <w:lang w:val="pl-PL"/>
        </w:rPr>
        <w:t> </w:t>
      </w:r>
      <w:r w:rsidR="00F1653C" w:rsidRPr="00E22450">
        <w:rPr>
          <w:noProof/>
          <w:lang w:val="pl-PL"/>
        </w:rPr>
        <w:t>fin</w:t>
      </w:r>
      <w:r w:rsidRPr="00E22450">
        <w:rPr>
          <w:noProof/>
          <w:lang w:val="pl-PL"/>
        </w:rPr>
        <w:t>ansowaniu ożywienia gospodarczego oraz dwojakiej transformacji cyfrowej</w:t>
      </w:r>
      <w:r w:rsidR="00F1653C" w:rsidRPr="00E22450">
        <w:rPr>
          <w:noProof/>
          <w:lang w:val="pl-PL"/>
        </w:rPr>
        <w:t xml:space="preserve"> i</w:t>
      </w:r>
      <w:r w:rsidR="00F1653C">
        <w:rPr>
          <w:noProof/>
          <w:lang w:val="pl-PL"/>
        </w:rPr>
        <w:t> </w:t>
      </w:r>
      <w:r w:rsidR="00F1653C" w:rsidRPr="00E22450">
        <w:rPr>
          <w:noProof/>
          <w:lang w:val="pl-PL"/>
        </w:rPr>
        <w:t>eko</w:t>
      </w:r>
      <w:r w:rsidRPr="00E22450">
        <w:rPr>
          <w:noProof/>
          <w:lang w:val="pl-PL"/>
        </w:rPr>
        <w:t>logicznej</w:t>
      </w:r>
      <w:r>
        <w:rPr>
          <w:rFonts w:cs="Times New Roman"/>
          <w:noProof/>
          <w:vertAlign w:val="superscript"/>
        </w:rPr>
        <w:footnoteReference w:id="27"/>
      </w:r>
      <w:r w:rsidRPr="00E22450">
        <w:rPr>
          <w:noProof/>
          <w:lang w:val="pl-PL"/>
        </w:rPr>
        <w:t>. We wniosku uwzględniono większość zaleceń EIOPA (20</w:t>
      </w:r>
      <w:r w:rsidRPr="00F1653C">
        <w:rPr>
          <w:noProof/>
          <w:lang w:val="pl-PL"/>
        </w:rPr>
        <w:t>20</w:t>
      </w:r>
      <w:r w:rsidR="00F1653C" w:rsidRPr="00F1653C">
        <w:rPr>
          <w:noProof/>
          <w:lang w:val="pl-PL"/>
        </w:rPr>
        <w:t> </w:t>
      </w:r>
      <w:r w:rsidRPr="00F1653C">
        <w:rPr>
          <w:noProof/>
          <w:lang w:val="pl-PL"/>
        </w:rPr>
        <w:t>r.</w:t>
      </w:r>
      <w:r w:rsidRPr="00E22450">
        <w:rPr>
          <w:noProof/>
          <w:lang w:val="pl-PL"/>
        </w:rPr>
        <w:t>)</w:t>
      </w:r>
      <w:r>
        <w:rPr>
          <w:rFonts w:cs="Times New Roman"/>
          <w:noProof/>
          <w:vertAlign w:val="superscript"/>
        </w:rPr>
        <w:footnoteReference w:id="28"/>
      </w:r>
      <w:r w:rsidRPr="00E22450">
        <w:rPr>
          <w:noProof/>
          <w:lang w:val="pl-PL"/>
        </w:rPr>
        <w:t xml:space="preserve"> i ERRS</w:t>
      </w:r>
      <w:r>
        <w:rPr>
          <w:rFonts w:cs="Times New Roman"/>
          <w:noProof/>
          <w:vertAlign w:val="superscript"/>
        </w:rPr>
        <w:footnoteReference w:id="29"/>
      </w:r>
      <w:r w:rsidRPr="00E22450">
        <w:rPr>
          <w:noProof/>
          <w:lang w:val="pl-PL"/>
        </w:rPr>
        <w:t xml:space="preserve"> dotyczących rozszerzenia zestawu narzędzi nadzorczych</w:t>
      </w:r>
      <w:r w:rsidR="00F1653C" w:rsidRPr="00E22450">
        <w:rPr>
          <w:noProof/>
          <w:lang w:val="pl-PL"/>
        </w:rPr>
        <w:t xml:space="preserve"> i</w:t>
      </w:r>
      <w:r w:rsidR="00F1653C">
        <w:rPr>
          <w:noProof/>
          <w:lang w:val="pl-PL"/>
        </w:rPr>
        <w:t> </w:t>
      </w:r>
      <w:r w:rsidR="00F1653C" w:rsidRPr="00E22450">
        <w:rPr>
          <w:noProof/>
          <w:lang w:val="pl-PL"/>
        </w:rPr>
        <w:t>wpr</w:t>
      </w:r>
      <w:r w:rsidRPr="00E22450">
        <w:rPr>
          <w:noProof/>
          <w:lang w:val="pl-PL"/>
        </w:rPr>
        <w:t>owadzenia nowych wymogów</w:t>
      </w:r>
      <w:r w:rsidR="00F1653C" w:rsidRPr="00E22450">
        <w:rPr>
          <w:noProof/>
          <w:lang w:val="pl-PL"/>
        </w:rPr>
        <w:t xml:space="preserve"> w</w:t>
      </w:r>
      <w:r w:rsidR="00F1653C">
        <w:rPr>
          <w:noProof/>
          <w:lang w:val="pl-PL"/>
        </w:rPr>
        <w:t> </w:t>
      </w:r>
      <w:r w:rsidR="00F1653C" w:rsidRPr="00E22450">
        <w:rPr>
          <w:noProof/>
          <w:lang w:val="pl-PL"/>
        </w:rPr>
        <w:t>cel</w:t>
      </w:r>
      <w:r w:rsidRPr="00E22450">
        <w:rPr>
          <w:noProof/>
          <w:lang w:val="pl-PL"/>
        </w:rPr>
        <w:t>u wyeliminowania źródeł ryzyka systemowego</w:t>
      </w:r>
      <w:r w:rsidR="00F1653C" w:rsidRPr="00E22450">
        <w:rPr>
          <w:noProof/>
          <w:lang w:val="pl-PL"/>
        </w:rPr>
        <w:t>. W</w:t>
      </w:r>
      <w:r w:rsidR="00F1653C">
        <w:rPr>
          <w:noProof/>
          <w:lang w:val="pl-PL"/>
        </w:rPr>
        <w:t> </w:t>
      </w:r>
      <w:r w:rsidR="00F1653C" w:rsidRPr="00E22450">
        <w:rPr>
          <w:noProof/>
          <w:lang w:val="pl-PL"/>
        </w:rPr>
        <w:t>szc</w:t>
      </w:r>
      <w:r w:rsidRPr="00E22450">
        <w:rPr>
          <w:noProof/>
          <w:lang w:val="pl-PL"/>
        </w:rPr>
        <w:t>zególności Komisja przedstawiła wniosek</w:t>
      </w:r>
      <w:r w:rsidR="00F1653C" w:rsidRPr="00E22450">
        <w:rPr>
          <w:noProof/>
          <w:lang w:val="pl-PL"/>
        </w:rPr>
        <w:t xml:space="preserve"> w</w:t>
      </w:r>
      <w:r w:rsidR="00F1653C">
        <w:rPr>
          <w:noProof/>
          <w:lang w:val="pl-PL"/>
        </w:rPr>
        <w:t> </w:t>
      </w:r>
      <w:r w:rsidR="00F1653C" w:rsidRPr="00E22450">
        <w:rPr>
          <w:noProof/>
          <w:lang w:val="pl-PL"/>
        </w:rPr>
        <w:t>spr</w:t>
      </w:r>
      <w:r w:rsidRPr="00E22450">
        <w:rPr>
          <w:noProof/>
          <w:lang w:val="pl-PL"/>
        </w:rPr>
        <w:t>awie przyznania organom krajowym uprawnienia do nakładania dodatkowych środków</w:t>
      </w:r>
      <w:r w:rsidR="00F1653C" w:rsidRPr="00E22450">
        <w:rPr>
          <w:noProof/>
          <w:lang w:val="pl-PL"/>
        </w:rPr>
        <w:t xml:space="preserve"> w</w:t>
      </w:r>
      <w:r w:rsidR="00F1653C">
        <w:rPr>
          <w:noProof/>
          <w:lang w:val="pl-PL"/>
        </w:rPr>
        <w:t> </w:t>
      </w:r>
      <w:r w:rsidR="00F1653C" w:rsidRPr="00E22450">
        <w:rPr>
          <w:noProof/>
          <w:lang w:val="pl-PL"/>
        </w:rPr>
        <w:t>cel</w:t>
      </w:r>
      <w:r w:rsidRPr="00E22450">
        <w:rPr>
          <w:noProof/>
          <w:lang w:val="pl-PL"/>
        </w:rPr>
        <w:t>u wzmocnienia sytuacji finansowej ubezpieczyciela</w:t>
      </w:r>
      <w:r w:rsidR="00F1653C" w:rsidRPr="00E22450">
        <w:rPr>
          <w:noProof/>
          <w:lang w:val="pl-PL"/>
        </w:rPr>
        <w:t xml:space="preserve"> w</w:t>
      </w:r>
      <w:r w:rsidR="00F1653C">
        <w:rPr>
          <w:noProof/>
          <w:lang w:val="pl-PL"/>
        </w:rPr>
        <w:t> </w:t>
      </w:r>
      <w:r w:rsidR="00F1653C" w:rsidRPr="00E22450">
        <w:rPr>
          <w:noProof/>
          <w:lang w:val="pl-PL"/>
        </w:rPr>
        <w:t>cza</w:t>
      </w:r>
      <w:r w:rsidRPr="00E22450">
        <w:rPr>
          <w:noProof/>
          <w:lang w:val="pl-PL"/>
        </w:rPr>
        <w:t>sach kryzysu, do tymczasowego zamrożenia praw do wykupu umów ubezpieczenia na życie</w:t>
      </w:r>
      <w:r w:rsidR="00F1653C" w:rsidRPr="00E22450">
        <w:rPr>
          <w:noProof/>
          <w:lang w:val="pl-PL"/>
        </w:rPr>
        <w:t xml:space="preserve"> w</w:t>
      </w:r>
      <w:r w:rsidR="00F1653C">
        <w:rPr>
          <w:noProof/>
          <w:lang w:val="pl-PL"/>
        </w:rPr>
        <w:t> </w:t>
      </w:r>
      <w:r w:rsidR="00F1653C" w:rsidRPr="00E22450">
        <w:rPr>
          <w:noProof/>
          <w:lang w:val="pl-PL"/>
        </w:rPr>
        <w:t>wyj</w:t>
      </w:r>
      <w:r w:rsidRPr="00E22450">
        <w:rPr>
          <w:noProof/>
          <w:lang w:val="pl-PL"/>
        </w:rPr>
        <w:t>ątkowych okolicznościach oraz do wprowadzenia dodatkowych środków ograniczających ryzyko utraty płynności. Komisja przedstawiła również wniosek</w:t>
      </w:r>
      <w:r w:rsidR="00F1653C" w:rsidRPr="00E22450">
        <w:rPr>
          <w:noProof/>
          <w:lang w:val="pl-PL"/>
        </w:rPr>
        <w:t xml:space="preserve"> w</w:t>
      </w:r>
      <w:r w:rsidR="00F1653C">
        <w:rPr>
          <w:noProof/>
          <w:lang w:val="pl-PL"/>
        </w:rPr>
        <w:t> </w:t>
      </w:r>
      <w:r w:rsidR="00F1653C" w:rsidRPr="00E22450">
        <w:rPr>
          <w:noProof/>
          <w:lang w:val="pl-PL"/>
        </w:rPr>
        <w:t>spr</w:t>
      </w:r>
      <w:r w:rsidRPr="00E22450">
        <w:rPr>
          <w:noProof/>
          <w:lang w:val="pl-PL"/>
        </w:rPr>
        <w:t>awie rozszerzenia własnej oceny ryzyka</w:t>
      </w:r>
      <w:r w:rsidR="00F1653C" w:rsidRPr="00E22450">
        <w:rPr>
          <w:noProof/>
          <w:lang w:val="pl-PL"/>
        </w:rPr>
        <w:t xml:space="preserve"> i</w:t>
      </w:r>
      <w:r w:rsidR="00F1653C">
        <w:rPr>
          <w:noProof/>
          <w:lang w:val="pl-PL"/>
        </w:rPr>
        <w:t> </w:t>
      </w:r>
      <w:r w:rsidR="00F1653C" w:rsidRPr="00E22450">
        <w:rPr>
          <w:noProof/>
          <w:lang w:val="pl-PL"/>
        </w:rPr>
        <w:t>wyp</w:t>
      </w:r>
      <w:r w:rsidRPr="00E22450">
        <w:rPr>
          <w:noProof/>
          <w:lang w:val="pl-PL"/>
        </w:rPr>
        <w:t>łacalności oraz zasady „ostrożnego inwestora”, aby uwzględnić zastrzeżenia makroostrożnościowe oraz opracować plany zapobiegawcze (plany naprawy</w:t>
      </w:r>
      <w:r w:rsidR="00F1653C" w:rsidRPr="00E22450">
        <w:rPr>
          <w:noProof/>
          <w:lang w:val="pl-PL"/>
        </w:rPr>
        <w:t xml:space="preserve"> i</w:t>
      </w:r>
      <w:r w:rsidR="00F1653C">
        <w:rPr>
          <w:noProof/>
          <w:lang w:val="pl-PL"/>
        </w:rPr>
        <w:t> </w:t>
      </w:r>
      <w:r w:rsidR="00F1653C" w:rsidRPr="00E22450">
        <w:rPr>
          <w:noProof/>
          <w:lang w:val="pl-PL"/>
        </w:rPr>
        <w:t>pla</w:t>
      </w:r>
      <w:r w:rsidRPr="00E22450">
        <w:rPr>
          <w:noProof/>
          <w:lang w:val="pl-PL"/>
        </w:rPr>
        <w:t>ny restrukturyzacji</w:t>
      </w:r>
      <w:r w:rsidR="00F1653C" w:rsidRPr="00E22450">
        <w:rPr>
          <w:noProof/>
          <w:lang w:val="pl-PL"/>
        </w:rPr>
        <w:t xml:space="preserve"> i</w:t>
      </w:r>
      <w:r w:rsidR="00F1653C">
        <w:rPr>
          <w:noProof/>
          <w:lang w:val="pl-PL"/>
        </w:rPr>
        <w:t> </w:t>
      </w:r>
      <w:r w:rsidR="00F1653C" w:rsidRPr="00E22450">
        <w:rPr>
          <w:noProof/>
          <w:lang w:val="pl-PL"/>
        </w:rPr>
        <w:t>upo</w:t>
      </w:r>
      <w:r w:rsidRPr="00E22450">
        <w:rPr>
          <w:noProof/>
          <w:lang w:val="pl-PL"/>
        </w:rPr>
        <w:t>rządkowanej likwidacji,</w:t>
      </w:r>
      <w:r w:rsidR="00F1653C" w:rsidRPr="00E22450">
        <w:rPr>
          <w:noProof/>
          <w:lang w:val="pl-PL"/>
        </w:rPr>
        <w:t xml:space="preserve"> a</w:t>
      </w:r>
      <w:r w:rsidR="00F1653C">
        <w:rPr>
          <w:noProof/>
          <w:lang w:val="pl-PL"/>
        </w:rPr>
        <w:t> </w:t>
      </w:r>
      <w:r w:rsidR="00F1653C" w:rsidRPr="00E22450">
        <w:rPr>
          <w:noProof/>
          <w:lang w:val="pl-PL"/>
        </w:rPr>
        <w:t>tak</w:t>
      </w:r>
      <w:r w:rsidRPr="00E22450">
        <w:rPr>
          <w:noProof/>
          <w:lang w:val="pl-PL"/>
        </w:rPr>
        <w:t>że plany zarządzania ryzykiem systemowym</w:t>
      </w:r>
      <w:r w:rsidR="00F1653C" w:rsidRPr="00E22450">
        <w:rPr>
          <w:noProof/>
          <w:lang w:val="pl-PL"/>
        </w:rPr>
        <w:t xml:space="preserve"> i</w:t>
      </w:r>
      <w:r w:rsidR="00F1653C">
        <w:rPr>
          <w:noProof/>
          <w:lang w:val="pl-PL"/>
        </w:rPr>
        <w:t> </w:t>
      </w:r>
      <w:r w:rsidR="00F1653C" w:rsidRPr="00E22450">
        <w:rPr>
          <w:noProof/>
          <w:lang w:val="pl-PL"/>
        </w:rPr>
        <w:t>ryz</w:t>
      </w:r>
      <w:r w:rsidRPr="00E22450">
        <w:rPr>
          <w:noProof/>
          <w:lang w:val="pl-PL"/>
        </w:rPr>
        <w:t>ykiem utraty płynności). Parlament</w:t>
      </w:r>
      <w:r w:rsidR="00F1653C" w:rsidRPr="00E22450">
        <w:rPr>
          <w:noProof/>
          <w:lang w:val="pl-PL"/>
        </w:rPr>
        <w:t xml:space="preserve"> i</w:t>
      </w:r>
      <w:r w:rsidR="00F1653C">
        <w:rPr>
          <w:noProof/>
          <w:lang w:val="pl-PL"/>
        </w:rPr>
        <w:t> </w:t>
      </w:r>
      <w:r w:rsidR="00F1653C" w:rsidRPr="00E22450">
        <w:rPr>
          <w:noProof/>
          <w:lang w:val="pl-PL"/>
        </w:rPr>
        <w:t>Rad</w:t>
      </w:r>
      <w:r w:rsidRPr="00E22450">
        <w:rPr>
          <w:noProof/>
          <w:lang w:val="pl-PL"/>
        </w:rPr>
        <w:t>a osiągnęły niedawno porozumienie</w:t>
      </w:r>
      <w:r w:rsidR="00F1653C" w:rsidRPr="00E22450">
        <w:rPr>
          <w:noProof/>
          <w:lang w:val="pl-PL"/>
        </w:rPr>
        <w:t xml:space="preserve"> w</w:t>
      </w:r>
      <w:r w:rsidR="00F1653C">
        <w:rPr>
          <w:noProof/>
          <w:lang w:val="pl-PL"/>
        </w:rPr>
        <w:t> </w:t>
      </w:r>
      <w:r w:rsidR="00F1653C" w:rsidRPr="00E22450">
        <w:rPr>
          <w:noProof/>
          <w:lang w:val="pl-PL"/>
        </w:rPr>
        <w:t>spr</w:t>
      </w:r>
      <w:r w:rsidRPr="00E22450">
        <w:rPr>
          <w:noProof/>
          <w:lang w:val="pl-PL"/>
        </w:rPr>
        <w:t>awie tych wniosków</w:t>
      </w:r>
      <w:r w:rsidR="00F1653C" w:rsidRPr="00E22450">
        <w:rPr>
          <w:noProof/>
          <w:lang w:val="pl-PL"/>
        </w:rPr>
        <w:t xml:space="preserve"> i</w:t>
      </w:r>
      <w:r w:rsidR="00F1653C">
        <w:rPr>
          <w:noProof/>
          <w:lang w:val="pl-PL"/>
        </w:rPr>
        <w:t> </w:t>
      </w:r>
      <w:r w:rsidR="00F1653C" w:rsidRPr="00E22450">
        <w:rPr>
          <w:noProof/>
          <w:lang w:val="pl-PL"/>
        </w:rPr>
        <w:t>maj</w:t>
      </w:r>
      <w:r w:rsidRPr="00E22450">
        <w:rPr>
          <w:noProof/>
          <w:lang w:val="pl-PL"/>
        </w:rPr>
        <w:t>ą one zostać przyjęte</w:t>
      </w:r>
      <w:r w:rsidR="00F1653C" w:rsidRPr="00E22450">
        <w:rPr>
          <w:noProof/>
          <w:lang w:val="pl-PL"/>
        </w:rPr>
        <w:t xml:space="preserve"> w</w:t>
      </w:r>
      <w:r w:rsidR="00F1653C">
        <w:rPr>
          <w:noProof/>
          <w:lang w:val="pl-PL"/>
        </w:rPr>
        <w:t> </w:t>
      </w:r>
      <w:r w:rsidR="00F1653C" w:rsidRPr="00E22450">
        <w:rPr>
          <w:noProof/>
          <w:lang w:val="pl-PL"/>
        </w:rPr>
        <w:t>nad</w:t>
      </w:r>
      <w:r w:rsidRPr="00E22450">
        <w:rPr>
          <w:noProof/>
          <w:lang w:val="pl-PL"/>
        </w:rPr>
        <w:t>chodzących miesiącach.</w:t>
      </w:r>
    </w:p>
    <w:p w14:paraId="5B6F14F5" w14:textId="01A574C4" w:rsidR="00E05CDD" w:rsidRDefault="00396433" w:rsidP="004709F3">
      <w:pPr>
        <w:spacing w:after="120" w:line="240" w:lineRule="auto"/>
        <w:rPr>
          <w:rFonts w:cs="Times New Roman"/>
          <w:noProof/>
        </w:rPr>
      </w:pPr>
      <w:r w:rsidRPr="00E22450">
        <w:rPr>
          <w:noProof/>
          <w:lang w:val="pl-PL"/>
        </w:rPr>
        <w:t xml:space="preserve">W odniesieniu do </w:t>
      </w:r>
      <w:r w:rsidRPr="00E22450">
        <w:rPr>
          <w:b/>
          <w:noProof/>
          <w:lang w:val="pl-PL"/>
        </w:rPr>
        <w:t>praktyk</w:t>
      </w:r>
      <w:r w:rsidR="00F1653C" w:rsidRPr="00E22450">
        <w:rPr>
          <w:b/>
          <w:noProof/>
          <w:lang w:val="pl-PL"/>
        </w:rPr>
        <w:t xml:space="preserve"> w</w:t>
      </w:r>
      <w:r w:rsidR="00F1653C">
        <w:rPr>
          <w:b/>
          <w:noProof/>
          <w:lang w:val="pl-PL"/>
        </w:rPr>
        <w:t> </w:t>
      </w:r>
      <w:r w:rsidR="00F1653C" w:rsidRPr="00E22450">
        <w:rPr>
          <w:b/>
          <w:noProof/>
          <w:lang w:val="pl-PL"/>
        </w:rPr>
        <w:t>zak</w:t>
      </w:r>
      <w:r w:rsidRPr="00E22450">
        <w:rPr>
          <w:b/>
          <w:noProof/>
          <w:lang w:val="pl-PL"/>
        </w:rPr>
        <w:t>resie uzupełniania depozytu zabezpieczającego</w:t>
      </w:r>
      <w:r w:rsidR="00F1653C" w:rsidRPr="00E22450">
        <w:rPr>
          <w:b/>
          <w:noProof/>
          <w:lang w:val="pl-PL"/>
        </w:rPr>
        <w:t xml:space="preserve"> i</w:t>
      </w:r>
      <w:r w:rsidR="00F1653C">
        <w:rPr>
          <w:b/>
          <w:noProof/>
          <w:lang w:val="pl-PL"/>
        </w:rPr>
        <w:t> </w:t>
      </w:r>
      <w:r w:rsidR="00F1653C" w:rsidRPr="00E22450">
        <w:rPr>
          <w:b/>
          <w:noProof/>
          <w:lang w:val="pl-PL"/>
        </w:rPr>
        <w:t>zar</w:t>
      </w:r>
      <w:r w:rsidRPr="00E22450">
        <w:rPr>
          <w:b/>
          <w:noProof/>
          <w:lang w:val="pl-PL"/>
        </w:rPr>
        <w:t>ządzania ryzykiem</w:t>
      </w:r>
      <w:r w:rsidR="00F1653C" w:rsidRPr="00E22450">
        <w:rPr>
          <w:b/>
          <w:noProof/>
          <w:lang w:val="pl-PL"/>
        </w:rPr>
        <w:t xml:space="preserve"> w</w:t>
      </w:r>
      <w:r w:rsidR="00F1653C">
        <w:rPr>
          <w:b/>
          <w:noProof/>
          <w:lang w:val="pl-PL"/>
        </w:rPr>
        <w:t> </w:t>
      </w:r>
      <w:r w:rsidR="00F1653C" w:rsidRPr="00E22450">
        <w:rPr>
          <w:b/>
          <w:noProof/>
          <w:lang w:val="pl-PL"/>
        </w:rPr>
        <w:t>prz</w:t>
      </w:r>
      <w:r w:rsidRPr="00E22450">
        <w:rPr>
          <w:b/>
          <w:noProof/>
          <w:lang w:val="pl-PL"/>
        </w:rPr>
        <w:t>ypadku kontrahentów centralnych (CCP)</w:t>
      </w:r>
      <w:r w:rsidRPr="00E22450">
        <w:rPr>
          <w:noProof/>
          <w:lang w:val="pl-PL"/>
        </w:rPr>
        <w:t xml:space="preserve"> Komisja przyjęła</w:t>
      </w:r>
      <w:r w:rsidR="00F1653C" w:rsidRPr="00E22450">
        <w:rPr>
          <w:noProof/>
          <w:lang w:val="pl-PL"/>
        </w:rPr>
        <w:t xml:space="preserve"> w</w:t>
      </w:r>
      <w:r w:rsidR="00F1653C">
        <w:rPr>
          <w:noProof/>
          <w:lang w:val="pl-PL"/>
        </w:rPr>
        <w:t> </w:t>
      </w:r>
      <w:r w:rsidR="00F1653C" w:rsidRPr="00E22450">
        <w:rPr>
          <w:noProof/>
          <w:lang w:val="pl-PL"/>
        </w:rPr>
        <w:t>gru</w:t>
      </w:r>
      <w:r w:rsidRPr="00E22450">
        <w:rPr>
          <w:noProof/>
          <w:lang w:val="pl-PL"/>
        </w:rPr>
        <w:t>dniu 20</w:t>
      </w:r>
      <w:r w:rsidRPr="00F1653C">
        <w:rPr>
          <w:noProof/>
          <w:lang w:val="pl-PL"/>
        </w:rPr>
        <w:t>22</w:t>
      </w:r>
      <w:r w:rsidR="00F1653C" w:rsidRPr="00F1653C">
        <w:rPr>
          <w:noProof/>
          <w:lang w:val="pl-PL"/>
        </w:rPr>
        <w:t> </w:t>
      </w:r>
      <w:r w:rsidRPr="00F1653C">
        <w:rPr>
          <w:noProof/>
          <w:lang w:val="pl-PL"/>
        </w:rPr>
        <w:t>r.</w:t>
      </w:r>
      <w:r w:rsidRPr="00E22450">
        <w:rPr>
          <w:noProof/>
          <w:lang w:val="pl-PL"/>
        </w:rPr>
        <w:t xml:space="preserve"> pakiet rozliczeniowy, który zmienia rozporządzenie</w:t>
      </w:r>
      <w:r w:rsidR="00F1653C" w:rsidRPr="00E22450">
        <w:rPr>
          <w:noProof/>
          <w:lang w:val="pl-PL"/>
        </w:rPr>
        <w:t xml:space="preserve"> w</w:t>
      </w:r>
      <w:r w:rsidR="00F1653C">
        <w:rPr>
          <w:noProof/>
          <w:lang w:val="pl-PL"/>
        </w:rPr>
        <w:t> </w:t>
      </w:r>
      <w:r w:rsidR="00F1653C" w:rsidRPr="00E22450">
        <w:rPr>
          <w:noProof/>
          <w:lang w:val="pl-PL"/>
        </w:rPr>
        <w:t>spr</w:t>
      </w:r>
      <w:r w:rsidRPr="00E22450">
        <w:rPr>
          <w:noProof/>
          <w:lang w:val="pl-PL"/>
        </w:rPr>
        <w:t>awie infrastruktury rynku europejskiego (EMIR)</w:t>
      </w:r>
      <w:r w:rsidR="00F1653C" w:rsidRPr="00E22450">
        <w:rPr>
          <w:noProof/>
          <w:lang w:val="pl-PL"/>
        </w:rPr>
        <w:t xml:space="preserve"> i</w:t>
      </w:r>
      <w:r w:rsidR="00F1653C">
        <w:rPr>
          <w:noProof/>
          <w:lang w:val="pl-PL"/>
        </w:rPr>
        <w:t> </w:t>
      </w:r>
      <w:r w:rsidR="00F1653C" w:rsidRPr="00E22450">
        <w:rPr>
          <w:noProof/>
          <w:lang w:val="pl-PL"/>
        </w:rPr>
        <w:t>inn</w:t>
      </w:r>
      <w:r w:rsidRPr="00E22450">
        <w:rPr>
          <w:noProof/>
          <w:lang w:val="pl-PL"/>
        </w:rPr>
        <w:t>e akty prawne dotyczące usług finansowych („przegląd EMIR 3”)</w:t>
      </w:r>
      <w:r>
        <w:rPr>
          <w:rStyle w:val="FootnoteReference"/>
          <w:rFonts w:cs="Times New Roman"/>
          <w:noProof/>
        </w:rPr>
        <w:footnoteReference w:id="30"/>
      </w:r>
      <w:r w:rsidRPr="00E22450">
        <w:rPr>
          <w:noProof/>
          <w:lang w:val="pl-PL"/>
        </w:rPr>
        <w:t xml:space="preserve">. </w:t>
      </w:r>
      <w:r>
        <w:rPr>
          <w:noProof/>
        </w:rPr>
        <w:t xml:space="preserve">Przegląd obejmuje przepisy mające na celu: </w:t>
      </w:r>
    </w:p>
    <w:p w14:paraId="6397C14A" w14:textId="790E7777" w:rsidR="00F53EF9" w:rsidRPr="00E22450" w:rsidRDefault="00E05CDD" w:rsidP="00E05CDD">
      <w:pPr>
        <w:pStyle w:val="ListParagraph"/>
        <w:numPr>
          <w:ilvl w:val="0"/>
          <w:numId w:val="27"/>
        </w:numPr>
        <w:spacing w:after="120"/>
        <w:rPr>
          <w:rFonts w:cs="Times New Roman"/>
          <w:noProof/>
          <w:lang w:val="pl-PL"/>
        </w:rPr>
      </w:pPr>
      <w:r w:rsidRPr="00E22450">
        <w:rPr>
          <w:noProof/>
          <w:lang w:val="pl-PL"/>
        </w:rPr>
        <w:t>zapewnienie większej przejrzystości wezwań do uzupełnienia depozytu zabezpieczającego dla uczestników rynku, którzy rozliczają się jako klienci (w tym fundusze</w:t>
      </w:r>
      <w:r w:rsidR="00F1653C" w:rsidRPr="00E22450">
        <w:rPr>
          <w:noProof/>
          <w:lang w:val="pl-PL"/>
        </w:rPr>
        <w:t xml:space="preserve"> i</w:t>
      </w:r>
      <w:r w:rsidR="00F1653C">
        <w:rPr>
          <w:noProof/>
          <w:lang w:val="pl-PL"/>
        </w:rPr>
        <w:t> </w:t>
      </w:r>
      <w:r w:rsidR="00F1653C" w:rsidRPr="00E22450">
        <w:rPr>
          <w:noProof/>
          <w:lang w:val="pl-PL"/>
        </w:rPr>
        <w:t>zak</w:t>
      </w:r>
      <w:r w:rsidRPr="00E22450">
        <w:rPr>
          <w:noProof/>
          <w:lang w:val="pl-PL"/>
        </w:rPr>
        <w:t xml:space="preserve">łady ubezpieczeń); </w:t>
      </w:r>
    </w:p>
    <w:p w14:paraId="154E0FAF" w14:textId="7BED4AC4" w:rsidR="00351BB3" w:rsidRPr="00E22450" w:rsidRDefault="00241024" w:rsidP="00E05CDD">
      <w:pPr>
        <w:pStyle w:val="ListParagraph"/>
        <w:numPr>
          <w:ilvl w:val="0"/>
          <w:numId w:val="27"/>
        </w:numPr>
        <w:spacing w:after="120"/>
        <w:rPr>
          <w:rFonts w:cs="Times New Roman"/>
          <w:noProof/>
          <w:lang w:val="pl-PL"/>
        </w:rPr>
      </w:pPr>
      <w:r w:rsidRPr="00E22450">
        <w:rPr>
          <w:noProof/>
          <w:lang w:val="pl-PL"/>
        </w:rPr>
        <w:t xml:space="preserve">położenie większego nacisku na unikanie procykliczności redukcji wartości; oraz </w:t>
      </w:r>
    </w:p>
    <w:p w14:paraId="2BBBBF17" w14:textId="0AF97A0C" w:rsidR="001A1528" w:rsidRPr="00E22450" w:rsidRDefault="00241024" w:rsidP="00E05CDD">
      <w:pPr>
        <w:pStyle w:val="ListParagraph"/>
        <w:numPr>
          <w:ilvl w:val="0"/>
          <w:numId w:val="27"/>
        </w:numPr>
        <w:spacing w:after="120"/>
        <w:rPr>
          <w:rFonts w:cs="Times New Roman"/>
          <w:noProof/>
          <w:lang w:val="pl-PL"/>
        </w:rPr>
      </w:pPr>
      <w:r w:rsidRPr="00E22450">
        <w:rPr>
          <w:noProof/>
          <w:lang w:val="pl-PL"/>
        </w:rPr>
        <w:t>zobowiązanie CCP do dołożenia wszelkich starań, aby nie wstrzymywać zmiennych depozytów zabezpieczających śróddziennych</w:t>
      </w:r>
      <w:r w:rsidR="00F1653C" w:rsidRPr="00E22450">
        <w:rPr>
          <w:noProof/>
          <w:lang w:val="pl-PL"/>
        </w:rPr>
        <w:t xml:space="preserve"> i</w:t>
      </w:r>
      <w:r w:rsidR="00F1653C">
        <w:rPr>
          <w:noProof/>
          <w:lang w:val="pl-PL"/>
        </w:rPr>
        <w:t> </w:t>
      </w:r>
      <w:r w:rsidR="00F1653C" w:rsidRPr="00E22450">
        <w:rPr>
          <w:noProof/>
          <w:lang w:val="pl-PL"/>
        </w:rPr>
        <w:t>zam</w:t>
      </w:r>
      <w:r w:rsidRPr="00E22450">
        <w:rPr>
          <w:noProof/>
          <w:lang w:val="pl-PL"/>
        </w:rPr>
        <w:t>iast tego przekazywać je</w:t>
      </w:r>
      <w:r w:rsidR="00F1653C" w:rsidRPr="00E22450">
        <w:rPr>
          <w:noProof/>
          <w:lang w:val="pl-PL"/>
        </w:rPr>
        <w:t xml:space="preserve"> i</w:t>
      </w:r>
      <w:r w:rsidR="00F1653C">
        <w:rPr>
          <w:noProof/>
          <w:lang w:val="pl-PL"/>
        </w:rPr>
        <w:t> </w:t>
      </w:r>
      <w:r w:rsidR="00F1653C" w:rsidRPr="00E22450">
        <w:rPr>
          <w:noProof/>
          <w:lang w:val="pl-PL"/>
        </w:rPr>
        <w:t>uni</w:t>
      </w:r>
      <w:r w:rsidRPr="00E22450">
        <w:rPr>
          <w:noProof/>
          <w:lang w:val="pl-PL"/>
        </w:rPr>
        <w:t xml:space="preserve">kać „gromadzenia płynności”. </w:t>
      </w:r>
    </w:p>
    <w:p w14:paraId="21C85774" w14:textId="77E6CF26" w:rsidR="00241024" w:rsidRPr="00E22450" w:rsidRDefault="00241024" w:rsidP="00A96C09">
      <w:pPr>
        <w:spacing w:after="120"/>
        <w:rPr>
          <w:noProof/>
          <w:lang w:val="pl-PL"/>
        </w:rPr>
      </w:pPr>
      <w:r w:rsidRPr="00E22450">
        <w:rPr>
          <w:noProof/>
          <w:lang w:val="pl-PL"/>
        </w:rPr>
        <w:t>Ponadto we wniosku przewidziano utworzenie międzysektorowego mechanizmu monitorowania („wspólny mechanizm monitorowania”) na potrzeby dokładniejszego monitorowania rozwoju sytuacji</w:t>
      </w:r>
      <w:r w:rsidR="00F1653C" w:rsidRPr="00E22450">
        <w:rPr>
          <w:noProof/>
          <w:lang w:val="pl-PL"/>
        </w:rPr>
        <w:t xml:space="preserve"> w</w:t>
      </w:r>
      <w:r w:rsidR="00F1653C">
        <w:rPr>
          <w:noProof/>
          <w:lang w:val="pl-PL"/>
        </w:rPr>
        <w:t> </w:t>
      </w:r>
      <w:r w:rsidR="00F1653C" w:rsidRPr="00E22450">
        <w:rPr>
          <w:noProof/>
          <w:lang w:val="pl-PL"/>
        </w:rPr>
        <w:t>cał</w:t>
      </w:r>
      <w:r w:rsidRPr="00E22450">
        <w:rPr>
          <w:noProof/>
          <w:lang w:val="pl-PL"/>
        </w:rPr>
        <w:t xml:space="preserve">ym ekosystemie rozliczeniowym oraz opracowania testów warunków skrajnych dotyczących płynności dla całego łańcucha rozliczeniowego. </w:t>
      </w:r>
    </w:p>
    <w:p w14:paraId="36DF39FC" w14:textId="24976DE3" w:rsidR="00241024" w:rsidRPr="00E22450" w:rsidRDefault="00241024" w:rsidP="004709F3">
      <w:pPr>
        <w:spacing w:after="120" w:line="240" w:lineRule="auto"/>
        <w:rPr>
          <w:rFonts w:cs="Times New Roman"/>
          <w:noProof/>
          <w:lang w:val="pl-PL"/>
        </w:rPr>
      </w:pPr>
      <w:r w:rsidRPr="00E22450">
        <w:rPr>
          <w:noProof/>
          <w:lang w:val="pl-PL"/>
        </w:rPr>
        <w:t xml:space="preserve">Wiele międzynarodowych zasad dotyczących </w:t>
      </w:r>
      <w:r w:rsidRPr="00E22450">
        <w:rPr>
          <w:b/>
          <w:noProof/>
          <w:lang w:val="pl-PL"/>
        </w:rPr>
        <w:t>NBFI prowadzących działalność bankową</w:t>
      </w:r>
      <w:r w:rsidRPr="00E22450">
        <w:rPr>
          <w:noProof/>
          <w:lang w:val="pl-PL"/>
        </w:rPr>
        <w:t>,</w:t>
      </w:r>
      <w:r w:rsidR="00F1653C" w:rsidRPr="00E22450">
        <w:rPr>
          <w:noProof/>
          <w:lang w:val="pl-PL"/>
        </w:rPr>
        <w:t xml:space="preserve"> w</w:t>
      </w:r>
      <w:r w:rsidR="00F1653C">
        <w:rPr>
          <w:noProof/>
          <w:lang w:val="pl-PL"/>
        </w:rPr>
        <w:t> </w:t>
      </w:r>
      <w:r w:rsidR="00F1653C" w:rsidRPr="00E22450">
        <w:rPr>
          <w:noProof/>
          <w:lang w:val="pl-PL"/>
        </w:rPr>
        <w:t>tym</w:t>
      </w:r>
      <w:r w:rsidRPr="00E22450">
        <w:rPr>
          <w:noProof/>
          <w:lang w:val="pl-PL"/>
        </w:rPr>
        <w:t xml:space="preserve"> środki mające na celu poprawę przejrzystości transakcji finansowanych</w:t>
      </w:r>
      <w:r w:rsidR="00F1653C" w:rsidRPr="00E22450">
        <w:rPr>
          <w:noProof/>
          <w:lang w:val="pl-PL"/>
        </w:rPr>
        <w:t xml:space="preserve"> z</w:t>
      </w:r>
      <w:r w:rsidR="00F1653C">
        <w:rPr>
          <w:noProof/>
          <w:lang w:val="pl-PL"/>
        </w:rPr>
        <w:t> </w:t>
      </w:r>
      <w:r w:rsidR="00F1653C" w:rsidRPr="00E22450">
        <w:rPr>
          <w:noProof/>
          <w:lang w:val="pl-PL"/>
        </w:rPr>
        <w:t>uży</w:t>
      </w:r>
      <w:r w:rsidRPr="00E22450">
        <w:rPr>
          <w:noProof/>
          <w:lang w:val="pl-PL"/>
        </w:rPr>
        <w:t>ciem papierów wartościowych</w:t>
      </w:r>
      <w:r w:rsidR="00F1653C" w:rsidRPr="00E22450">
        <w:rPr>
          <w:noProof/>
          <w:lang w:val="pl-PL"/>
        </w:rPr>
        <w:t xml:space="preserve"> i</w:t>
      </w:r>
      <w:r w:rsidR="00F1653C">
        <w:rPr>
          <w:noProof/>
          <w:lang w:val="pl-PL"/>
        </w:rPr>
        <w:t> </w:t>
      </w:r>
      <w:r w:rsidR="00F1653C" w:rsidRPr="00E22450">
        <w:rPr>
          <w:noProof/>
          <w:lang w:val="pl-PL"/>
        </w:rPr>
        <w:t>pon</w:t>
      </w:r>
      <w:r w:rsidRPr="00E22450">
        <w:rPr>
          <w:noProof/>
          <w:lang w:val="pl-PL"/>
        </w:rPr>
        <w:t>ownego wykorzystania zabezpieczeń, zostało wdrożonych rozporządzeniem</w:t>
      </w:r>
      <w:r w:rsidR="00F1653C" w:rsidRPr="00E22450">
        <w:rPr>
          <w:noProof/>
          <w:lang w:val="pl-PL"/>
        </w:rPr>
        <w:t xml:space="preserve"> w</w:t>
      </w:r>
      <w:r w:rsidR="00F1653C">
        <w:rPr>
          <w:noProof/>
          <w:lang w:val="pl-PL"/>
        </w:rPr>
        <w:t> </w:t>
      </w:r>
      <w:r w:rsidR="00F1653C" w:rsidRPr="00E22450">
        <w:rPr>
          <w:noProof/>
          <w:lang w:val="pl-PL"/>
        </w:rPr>
        <w:t>spr</w:t>
      </w:r>
      <w:r w:rsidRPr="00E22450">
        <w:rPr>
          <w:noProof/>
          <w:lang w:val="pl-PL"/>
        </w:rPr>
        <w:t>awie transakcji finansowanych</w:t>
      </w:r>
      <w:r w:rsidR="00F1653C" w:rsidRPr="00E22450">
        <w:rPr>
          <w:noProof/>
          <w:lang w:val="pl-PL"/>
        </w:rPr>
        <w:t xml:space="preserve"> z</w:t>
      </w:r>
      <w:r w:rsidR="00F1653C">
        <w:rPr>
          <w:noProof/>
          <w:lang w:val="pl-PL"/>
        </w:rPr>
        <w:t> </w:t>
      </w:r>
      <w:r w:rsidR="00F1653C" w:rsidRPr="00E22450">
        <w:rPr>
          <w:noProof/>
          <w:lang w:val="pl-PL"/>
        </w:rPr>
        <w:t>uży</w:t>
      </w:r>
      <w:r w:rsidRPr="00E22450">
        <w:rPr>
          <w:noProof/>
          <w:lang w:val="pl-PL"/>
        </w:rPr>
        <w:t>ciem papierów wartościowych</w:t>
      </w:r>
      <w:r>
        <w:rPr>
          <w:rStyle w:val="FootnoteReference"/>
          <w:rFonts w:cs="Times New Roman"/>
          <w:noProof/>
        </w:rPr>
        <w:footnoteReference w:id="31"/>
      </w:r>
      <w:r w:rsidRPr="00E22450">
        <w:rPr>
          <w:noProof/>
          <w:lang w:val="pl-PL"/>
        </w:rPr>
        <w:t xml:space="preserve"> (SFTR) przyjętym</w:t>
      </w:r>
      <w:r w:rsidR="00F1653C" w:rsidRPr="00E22450">
        <w:rPr>
          <w:noProof/>
          <w:lang w:val="pl-PL"/>
        </w:rPr>
        <w:t xml:space="preserve"> w</w:t>
      </w:r>
      <w:r w:rsidR="00F1653C">
        <w:rPr>
          <w:noProof/>
          <w:lang w:val="pl-PL"/>
        </w:rPr>
        <w:t> </w:t>
      </w:r>
      <w:r w:rsidR="00F1653C" w:rsidRPr="00E22450">
        <w:rPr>
          <w:noProof/>
          <w:lang w:val="pl-PL"/>
        </w:rPr>
        <w:t>2</w:t>
      </w:r>
      <w:r w:rsidRPr="00E22450">
        <w:rPr>
          <w:noProof/>
          <w:lang w:val="pl-PL"/>
        </w:rPr>
        <w:t>0</w:t>
      </w:r>
      <w:r w:rsidRPr="00F1653C">
        <w:rPr>
          <w:noProof/>
          <w:lang w:val="pl-PL"/>
        </w:rPr>
        <w:t>15</w:t>
      </w:r>
      <w:r w:rsidR="00F1653C" w:rsidRPr="00F1653C">
        <w:rPr>
          <w:noProof/>
          <w:lang w:val="pl-PL"/>
        </w:rPr>
        <w:t> </w:t>
      </w:r>
      <w:r w:rsidRPr="00F1653C">
        <w:rPr>
          <w:noProof/>
          <w:lang w:val="pl-PL"/>
        </w:rPr>
        <w:t>r.</w:t>
      </w:r>
      <w:r w:rsidRPr="00E22450">
        <w:rPr>
          <w:noProof/>
          <w:lang w:val="pl-PL"/>
        </w:rPr>
        <w:t xml:space="preserve"> Rozporządzenie to ma również zastosowanie do NBFI</w:t>
      </w:r>
      <w:r w:rsidR="00F1653C" w:rsidRPr="00E22450">
        <w:rPr>
          <w:noProof/>
          <w:lang w:val="pl-PL"/>
        </w:rPr>
        <w:t xml:space="preserve"> i</w:t>
      </w:r>
      <w:r w:rsidR="00F1653C">
        <w:rPr>
          <w:noProof/>
          <w:lang w:val="pl-PL"/>
        </w:rPr>
        <w:t> </w:t>
      </w:r>
      <w:r w:rsidR="00F1653C" w:rsidRPr="00E22450">
        <w:rPr>
          <w:noProof/>
          <w:lang w:val="pl-PL"/>
        </w:rPr>
        <w:t>prz</w:t>
      </w:r>
      <w:r w:rsidRPr="00E22450">
        <w:rPr>
          <w:noProof/>
          <w:lang w:val="pl-PL"/>
        </w:rPr>
        <w:t>yczyniło się ono do zwiększenia przejrzystości operacji repo prowadzonych zarówno przez banki, jak</w:t>
      </w:r>
      <w:r w:rsidR="00F1653C" w:rsidRPr="00E22450">
        <w:rPr>
          <w:noProof/>
          <w:lang w:val="pl-PL"/>
        </w:rPr>
        <w:t xml:space="preserve"> i</w:t>
      </w:r>
      <w:r w:rsidR="00F1653C">
        <w:rPr>
          <w:noProof/>
          <w:lang w:val="pl-PL"/>
        </w:rPr>
        <w:t> </w:t>
      </w:r>
      <w:r w:rsidR="00F1653C" w:rsidRPr="00E22450">
        <w:rPr>
          <w:noProof/>
          <w:lang w:val="pl-PL"/>
        </w:rPr>
        <w:t>prz</w:t>
      </w:r>
      <w:r w:rsidRPr="00E22450">
        <w:rPr>
          <w:noProof/>
          <w:lang w:val="pl-PL"/>
        </w:rPr>
        <w:t xml:space="preserve">ez NBFI. </w:t>
      </w:r>
    </w:p>
    <w:p w14:paraId="7E51D06B" w14:textId="38199EB6" w:rsidR="00241024" w:rsidRPr="00E22450" w:rsidRDefault="00241024" w:rsidP="004709F3">
      <w:pPr>
        <w:spacing w:after="120" w:line="240" w:lineRule="auto"/>
        <w:rPr>
          <w:rFonts w:cs="Times New Roman"/>
          <w:noProof/>
          <w:lang w:val="pl-PL"/>
        </w:rPr>
      </w:pPr>
      <w:r w:rsidRPr="00E22450">
        <w:rPr>
          <w:noProof/>
          <w:lang w:val="pl-PL"/>
        </w:rPr>
        <w:t xml:space="preserve">Mając na celu wyjaśnienie </w:t>
      </w:r>
      <w:r w:rsidRPr="00E22450">
        <w:rPr>
          <w:b/>
          <w:noProof/>
          <w:lang w:val="pl-PL"/>
        </w:rPr>
        <w:t>wzajemnych powiązań między NBFI</w:t>
      </w:r>
      <w:r w:rsidR="00F1653C" w:rsidRPr="00E22450">
        <w:rPr>
          <w:b/>
          <w:noProof/>
          <w:lang w:val="pl-PL"/>
        </w:rPr>
        <w:t xml:space="preserve"> a</w:t>
      </w:r>
      <w:r w:rsidR="00F1653C">
        <w:rPr>
          <w:b/>
          <w:noProof/>
          <w:lang w:val="pl-PL"/>
        </w:rPr>
        <w:t> </w:t>
      </w:r>
      <w:r w:rsidR="00F1653C" w:rsidRPr="00E22450">
        <w:rPr>
          <w:b/>
          <w:noProof/>
          <w:lang w:val="pl-PL"/>
        </w:rPr>
        <w:t>sek</w:t>
      </w:r>
      <w:r w:rsidRPr="00E22450">
        <w:rPr>
          <w:b/>
          <w:noProof/>
          <w:lang w:val="pl-PL"/>
        </w:rPr>
        <w:t>torem bankowym</w:t>
      </w:r>
      <w:r w:rsidRPr="00E22450">
        <w:rPr>
          <w:noProof/>
          <w:lang w:val="pl-PL"/>
        </w:rPr>
        <w:t>, w CRR zawarto wymogi dotyczące sprawozdawczości, które mają na celu poprawę przejrzystości ekspozycji banków wobec NBFI, ze szczególnym uwzględnieniem działalności bankowej prowadzonej przez NBFI</w:t>
      </w:r>
      <w:r>
        <w:rPr>
          <w:rStyle w:val="FootnoteReference"/>
          <w:rFonts w:cs="Times New Roman"/>
          <w:noProof/>
        </w:rPr>
        <w:footnoteReference w:id="32"/>
      </w:r>
      <w:r w:rsidRPr="00E22450">
        <w:rPr>
          <w:noProof/>
          <w:lang w:val="pl-PL"/>
        </w:rPr>
        <w:t>. Banki są zobowiązane do zgłaszania organom nadzoru swoich dziesięciu największych ekspozycji wobec podmiotów, które „prowadzą działalność bankową</w:t>
      </w:r>
      <w:r w:rsidR="00F1653C" w:rsidRPr="00E22450">
        <w:rPr>
          <w:noProof/>
          <w:lang w:val="pl-PL"/>
        </w:rPr>
        <w:t xml:space="preserve"> i</w:t>
      </w:r>
      <w:r w:rsidR="00F1653C">
        <w:rPr>
          <w:noProof/>
          <w:lang w:val="pl-PL"/>
        </w:rPr>
        <w:t> </w:t>
      </w:r>
      <w:r w:rsidR="00F1653C" w:rsidRPr="00E22450">
        <w:rPr>
          <w:noProof/>
          <w:lang w:val="pl-PL"/>
        </w:rPr>
        <w:t>świ</w:t>
      </w:r>
      <w:r w:rsidRPr="00E22450">
        <w:rPr>
          <w:noProof/>
          <w:lang w:val="pl-PL"/>
        </w:rPr>
        <w:t>adczą usługi poza uregulowanymi ramami”</w:t>
      </w:r>
      <w:r>
        <w:rPr>
          <w:rStyle w:val="FootnoteReference"/>
          <w:noProof/>
        </w:rPr>
        <w:footnoteReference w:id="33"/>
      </w:r>
      <w:r w:rsidRPr="00E22450">
        <w:rPr>
          <w:noProof/>
          <w:lang w:val="pl-PL"/>
        </w:rPr>
        <w:t xml:space="preserve">. </w:t>
      </w:r>
    </w:p>
    <w:p w14:paraId="1AAE59E8" w14:textId="77777777" w:rsidR="00241024" w:rsidRPr="00E22450" w:rsidRDefault="00241024" w:rsidP="004709F3">
      <w:pPr>
        <w:spacing w:after="120" w:line="240" w:lineRule="auto"/>
        <w:rPr>
          <w:rFonts w:cs="Times New Roman"/>
          <w:noProof/>
          <w:lang w:val="pl-PL"/>
        </w:rPr>
      </w:pPr>
    </w:p>
    <w:p w14:paraId="7EA88A92" w14:textId="35E5232C" w:rsidR="00241024" w:rsidRPr="00E22450" w:rsidRDefault="00241024" w:rsidP="00381A42">
      <w:pPr>
        <w:spacing w:after="120"/>
        <w:jc w:val="left"/>
        <w:rPr>
          <w:rFonts w:cs="Times New Roman"/>
          <w:noProof/>
          <w:lang w:val="pl-PL"/>
        </w:rPr>
      </w:pPr>
      <w:r w:rsidRPr="00E22450">
        <w:rPr>
          <w:noProof/>
          <w:lang w:val="pl-PL"/>
        </w:rPr>
        <w:br w:type="page"/>
      </w:r>
    </w:p>
    <w:p w14:paraId="342306E1" w14:textId="2A33C16C" w:rsidR="0032313D" w:rsidRPr="00E22450" w:rsidRDefault="00077D10" w:rsidP="0028791E">
      <w:pPr>
        <w:spacing w:after="120" w:line="240" w:lineRule="auto"/>
        <w:jc w:val="center"/>
        <w:rPr>
          <w:rFonts w:cs="Times New Roman"/>
          <w:b/>
          <w:noProof/>
          <w:sz w:val="28"/>
          <w:lang w:val="pl-PL"/>
        </w:rPr>
      </w:pPr>
      <w:r w:rsidRPr="00E22450">
        <w:rPr>
          <w:b/>
          <w:noProof/>
          <w:sz w:val="28"/>
          <w:lang w:val="pl-PL"/>
        </w:rPr>
        <w:t>Dodatek 2</w:t>
      </w:r>
    </w:p>
    <w:p w14:paraId="46005A10" w14:textId="1F8F08A2" w:rsidR="005F346F" w:rsidRPr="00E22450" w:rsidRDefault="00241024">
      <w:pPr>
        <w:pStyle w:val="Heading1"/>
        <w:numPr>
          <w:ilvl w:val="0"/>
          <w:numId w:val="0"/>
        </w:numPr>
        <w:spacing w:before="0" w:after="120"/>
        <w:rPr>
          <w:rFonts w:ascii="Times New Roman" w:hAnsi="Times New Roman" w:cs="Times New Roman"/>
          <w:noProof/>
          <w:sz w:val="22"/>
          <w:lang w:val="pl-PL"/>
        </w:rPr>
      </w:pPr>
      <w:r w:rsidRPr="00E22450">
        <w:rPr>
          <w:rFonts w:ascii="Times New Roman" w:hAnsi="Times New Roman"/>
          <w:noProof/>
          <w:sz w:val="22"/>
          <w:lang w:val="pl-PL"/>
        </w:rPr>
        <w:t>Przegląd ram makroostrożnościowych dla banków</w:t>
      </w:r>
      <w:r w:rsidR="00F1653C" w:rsidRPr="00E22450">
        <w:rPr>
          <w:rFonts w:ascii="Times New Roman" w:hAnsi="Times New Roman"/>
          <w:noProof/>
          <w:sz w:val="22"/>
          <w:lang w:val="pl-PL"/>
        </w:rPr>
        <w:t xml:space="preserve"> i</w:t>
      </w:r>
      <w:r w:rsidR="00F1653C">
        <w:rPr>
          <w:rFonts w:ascii="Times New Roman" w:hAnsi="Times New Roman"/>
          <w:noProof/>
          <w:sz w:val="22"/>
          <w:lang w:val="pl-PL"/>
        </w:rPr>
        <w:t> </w:t>
      </w:r>
      <w:r w:rsidR="00F1653C" w:rsidRPr="00E22450">
        <w:rPr>
          <w:rFonts w:ascii="Times New Roman" w:hAnsi="Times New Roman"/>
          <w:noProof/>
          <w:sz w:val="22"/>
          <w:lang w:val="pl-PL"/>
        </w:rPr>
        <w:t>poz</w:t>
      </w:r>
      <w:r w:rsidRPr="00E22450">
        <w:rPr>
          <w:rFonts w:ascii="Times New Roman" w:hAnsi="Times New Roman"/>
          <w:noProof/>
          <w:sz w:val="22"/>
          <w:lang w:val="pl-PL"/>
        </w:rPr>
        <w:t>abankowych pośredników finansowych (NBFI)</w:t>
      </w:r>
    </w:p>
    <w:p w14:paraId="70D43D3A" w14:textId="02E73C86" w:rsidR="005F346F" w:rsidRPr="00E22450" w:rsidRDefault="00A27292" w:rsidP="004709F3">
      <w:pPr>
        <w:spacing w:after="120" w:line="240" w:lineRule="auto"/>
        <w:rPr>
          <w:rFonts w:cs="Times New Roman"/>
          <w:noProof/>
          <w:color w:val="000000" w:themeColor="text1"/>
          <w:lang w:val="pl-PL"/>
        </w:rPr>
      </w:pPr>
      <w:r w:rsidRPr="00E22450">
        <w:rPr>
          <w:noProof/>
          <w:shd w:val="clear" w:color="auto" w:fill="FFFFFF"/>
          <w:lang w:val="pl-PL"/>
        </w:rPr>
        <w:t xml:space="preserve">Art. 513 rozporządzenia (UE) </w:t>
      </w:r>
      <w:r w:rsidRPr="00F1653C">
        <w:rPr>
          <w:noProof/>
          <w:shd w:val="clear" w:color="auto" w:fill="FFFFFF"/>
          <w:lang w:val="pl-PL"/>
        </w:rPr>
        <w:t>nr</w:t>
      </w:r>
      <w:r w:rsidR="00F1653C" w:rsidRPr="00F1653C">
        <w:rPr>
          <w:noProof/>
          <w:shd w:val="clear" w:color="auto" w:fill="FFFFFF"/>
          <w:lang w:val="pl-PL"/>
        </w:rPr>
        <w:t> </w:t>
      </w:r>
      <w:r w:rsidRPr="00F1653C">
        <w:rPr>
          <w:noProof/>
          <w:shd w:val="clear" w:color="auto" w:fill="FFFFFF"/>
          <w:lang w:val="pl-PL"/>
        </w:rPr>
        <w:t>5</w:t>
      </w:r>
      <w:r w:rsidRPr="00E22450">
        <w:rPr>
          <w:noProof/>
          <w:shd w:val="clear" w:color="auto" w:fill="FFFFFF"/>
          <w:lang w:val="pl-PL"/>
        </w:rPr>
        <w:t>75/2013, zmienionego rozporządzeniem (UE) 2019/876, zobowiązuje Komisję,</w:t>
      </w:r>
      <w:r w:rsidR="00F1653C" w:rsidRPr="00E22450">
        <w:rPr>
          <w:noProof/>
          <w:shd w:val="clear" w:color="auto" w:fill="FFFFFF"/>
          <w:lang w:val="pl-PL"/>
        </w:rPr>
        <w:t xml:space="preserve"> w</w:t>
      </w:r>
      <w:r w:rsidR="00F1653C">
        <w:rPr>
          <w:noProof/>
          <w:shd w:val="clear" w:color="auto" w:fill="FFFFFF"/>
          <w:lang w:val="pl-PL"/>
        </w:rPr>
        <w:t> </w:t>
      </w:r>
      <w:r w:rsidR="00F1653C" w:rsidRPr="00E22450">
        <w:rPr>
          <w:noProof/>
          <w:shd w:val="clear" w:color="auto" w:fill="FFFFFF"/>
          <w:lang w:val="pl-PL"/>
        </w:rPr>
        <w:t>por</w:t>
      </w:r>
      <w:r w:rsidRPr="00E22450">
        <w:rPr>
          <w:noProof/>
          <w:shd w:val="clear" w:color="auto" w:fill="FFFFFF"/>
          <w:lang w:val="pl-PL"/>
        </w:rPr>
        <w:t>ozumieniu z EUNB i ERRS, do przeprowadzenia przeglądu unijnych ram makroostrożnościowych zawartych w CRR i CRD do czerwca 20</w:t>
      </w:r>
      <w:r w:rsidRPr="00F1653C">
        <w:rPr>
          <w:noProof/>
          <w:shd w:val="clear" w:color="auto" w:fill="FFFFFF"/>
          <w:lang w:val="pl-PL"/>
        </w:rPr>
        <w:t>22</w:t>
      </w:r>
      <w:r w:rsidR="00F1653C" w:rsidRPr="00F1653C">
        <w:rPr>
          <w:noProof/>
          <w:shd w:val="clear" w:color="auto" w:fill="FFFFFF"/>
          <w:lang w:val="pl-PL"/>
        </w:rPr>
        <w:t> </w:t>
      </w:r>
      <w:r w:rsidRPr="00F1653C">
        <w:rPr>
          <w:noProof/>
          <w:shd w:val="clear" w:color="auto" w:fill="FFFFFF"/>
          <w:lang w:val="pl-PL"/>
        </w:rPr>
        <w:t>r.</w:t>
      </w:r>
      <w:r w:rsidRPr="00E22450">
        <w:rPr>
          <w:noProof/>
          <w:shd w:val="clear" w:color="auto" w:fill="FFFFFF"/>
          <w:lang w:val="pl-PL"/>
        </w:rPr>
        <w:t xml:space="preserve"> oraz,</w:t>
      </w:r>
      <w:r w:rsidR="00F1653C" w:rsidRPr="00E22450">
        <w:rPr>
          <w:noProof/>
          <w:shd w:val="clear" w:color="auto" w:fill="FFFFFF"/>
          <w:lang w:val="pl-PL"/>
        </w:rPr>
        <w:t xml:space="preserve"> w</w:t>
      </w:r>
      <w:r w:rsidR="00F1653C">
        <w:rPr>
          <w:noProof/>
          <w:shd w:val="clear" w:color="auto" w:fill="FFFFFF"/>
          <w:lang w:val="pl-PL"/>
        </w:rPr>
        <w:t> </w:t>
      </w:r>
      <w:r w:rsidR="00F1653C" w:rsidRPr="00E22450">
        <w:rPr>
          <w:noProof/>
          <w:shd w:val="clear" w:color="auto" w:fill="FFFFFF"/>
          <w:lang w:val="pl-PL"/>
        </w:rPr>
        <w:t>sto</w:t>
      </w:r>
      <w:r w:rsidRPr="00E22450">
        <w:rPr>
          <w:noProof/>
          <w:shd w:val="clear" w:color="auto" w:fill="FFFFFF"/>
          <w:lang w:val="pl-PL"/>
        </w:rPr>
        <w:t>sownych przypadkach, do przedłożenia wniosku ustawodawczego Parlamentowi Europejskiemu</w:t>
      </w:r>
      <w:r w:rsidR="00F1653C" w:rsidRPr="00E22450">
        <w:rPr>
          <w:noProof/>
          <w:shd w:val="clear" w:color="auto" w:fill="FFFFFF"/>
          <w:lang w:val="pl-PL"/>
        </w:rPr>
        <w:t xml:space="preserve"> i</w:t>
      </w:r>
      <w:r w:rsidR="00F1653C">
        <w:rPr>
          <w:noProof/>
          <w:shd w:val="clear" w:color="auto" w:fill="FFFFFF"/>
          <w:lang w:val="pl-PL"/>
        </w:rPr>
        <w:t> </w:t>
      </w:r>
      <w:r w:rsidR="00F1653C" w:rsidRPr="00E22450">
        <w:rPr>
          <w:noProof/>
          <w:shd w:val="clear" w:color="auto" w:fill="FFFFFF"/>
          <w:lang w:val="pl-PL"/>
        </w:rPr>
        <w:t>Rad</w:t>
      </w:r>
      <w:r w:rsidRPr="00E22450">
        <w:rPr>
          <w:noProof/>
          <w:shd w:val="clear" w:color="auto" w:fill="FFFFFF"/>
          <w:lang w:val="pl-PL"/>
        </w:rPr>
        <w:t>zie do grudnia 20</w:t>
      </w:r>
      <w:r w:rsidRPr="00F1653C">
        <w:rPr>
          <w:noProof/>
          <w:shd w:val="clear" w:color="auto" w:fill="FFFFFF"/>
          <w:lang w:val="pl-PL"/>
        </w:rPr>
        <w:t>22</w:t>
      </w:r>
      <w:r w:rsidR="00F1653C" w:rsidRPr="00F1653C">
        <w:rPr>
          <w:noProof/>
          <w:shd w:val="clear" w:color="auto" w:fill="FFFFFF"/>
          <w:lang w:val="pl-PL"/>
        </w:rPr>
        <w:t> </w:t>
      </w:r>
      <w:r w:rsidRPr="00F1653C">
        <w:rPr>
          <w:noProof/>
          <w:shd w:val="clear" w:color="auto" w:fill="FFFFFF"/>
          <w:lang w:val="pl-PL"/>
        </w:rPr>
        <w:t>r.</w:t>
      </w:r>
      <w:r w:rsidRPr="00E22450">
        <w:rPr>
          <w:noProof/>
          <w:shd w:val="clear" w:color="auto" w:fill="FFFFFF"/>
          <w:lang w:val="pl-PL"/>
        </w:rPr>
        <w:t xml:space="preserve"> </w:t>
      </w:r>
      <w:r w:rsidRPr="00E22450">
        <w:rPr>
          <w:noProof/>
          <w:color w:val="000000" w:themeColor="text1"/>
          <w:shd w:val="clear" w:color="auto" w:fill="FFFFFF"/>
          <w:lang w:val="pl-PL"/>
        </w:rPr>
        <w:t>Prawo UE nakłada na Komisję obowiązek oceny skuteczności, wydajności</w:t>
      </w:r>
      <w:r w:rsidR="00F1653C" w:rsidRPr="00E22450">
        <w:rPr>
          <w:noProof/>
          <w:color w:val="000000" w:themeColor="text1"/>
          <w:shd w:val="clear" w:color="auto" w:fill="FFFFFF"/>
          <w:lang w:val="pl-PL"/>
        </w:rPr>
        <w:t xml:space="preserve"> i</w:t>
      </w:r>
      <w:r w:rsidR="00F1653C">
        <w:rPr>
          <w:noProof/>
          <w:color w:val="000000" w:themeColor="text1"/>
          <w:shd w:val="clear" w:color="auto" w:fill="FFFFFF"/>
          <w:lang w:val="pl-PL"/>
        </w:rPr>
        <w:t> </w:t>
      </w:r>
      <w:r w:rsidR="00F1653C" w:rsidRPr="00E22450">
        <w:rPr>
          <w:noProof/>
          <w:color w:val="000000" w:themeColor="text1"/>
          <w:shd w:val="clear" w:color="auto" w:fill="FFFFFF"/>
          <w:lang w:val="pl-PL"/>
        </w:rPr>
        <w:t>prz</w:t>
      </w:r>
      <w:r w:rsidRPr="00E22450">
        <w:rPr>
          <w:noProof/>
          <w:color w:val="000000" w:themeColor="text1"/>
          <w:shd w:val="clear" w:color="auto" w:fill="FFFFFF"/>
          <w:lang w:val="pl-PL"/>
        </w:rPr>
        <w:t>ejrzystości ram makroostrożnościowych, wymieniając szereg konkretnych kwestii, które Komisja powinna wziąć pod uwagę</w:t>
      </w:r>
      <w:r w:rsidR="00F1653C" w:rsidRPr="00E22450">
        <w:rPr>
          <w:noProof/>
          <w:color w:val="000000" w:themeColor="text1"/>
          <w:lang w:val="pl-PL"/>
        </w:rPr>
        <w:t>. W</w:t>
      </w:r>
      <w:r w:rsidR="00F1653C">
        <w:rPr>
          <w:noProof/>
          <w:color w:val="000000" w:themeColor="text1"/>
          <w:lang w:val="pl-PL"/>
        </w:rPr>
        <w:t> </w:t>
      </w:r>
      <w:r w:rsidR="00F1653C" w:rsidRPr="00F1653C">
        <w:rPr>
          <w:noProof/>
          <w:color w:val="000000" w:themeColor="text1"/>
          <w:lang w:val="pl-PL"/>
        </w:rPr>
        <w:t>art</w:t>
      </w:r>
      <w:r w:rsidRPr="00F1653C">
        <w:rPr>
          <w:noProof/>
          <w:color w:val="000000" w:themeColor="text1"/>
          <w:lang w:val="pl-PL"/>
        </w:rPr>
        <w:t>.</w:t>
      </w:r>
      <w:r w:rsidR="00F1653C" w:rsidRPr="00F1653C">
        <w:rPr>
          <w:noProof/>
          <w:color w:val="000000" w:themeColor="text1"/>
          <w:lang w:val="pl-PL"/>
        </w:rPr>
        <w:t> </w:t>
      </w:r>
      <w:r w:rsidRPr="00F1653C">
        <w:rPr>
          <w:noProof/>
          <w:color w:val="000000" w:themeColor="text1"/>
          <w:lang w:val="pl-PL"/>
        </w:rPr>
        <w:t>5</w:t>
      </w:r>
      <w:r w:rsidRPr="00E22450">
        <w:rPr>
          <w:noProof/>
          <w:color w:val="000000" w:themeColor="text1"/>
          <w:lang w:val="pl-PL"/>
        </w:rPr>
        <w:t xml:space="preserve">13 </w:t>
      </w:r>
      <w:r w:rsidRPr="00F1653C">
        <w:rPr>
          <w:noProof/>
          <w:color w:val="000000" w:themeColor="text1"/>
          <w:lang w:val="pl-PL"/>
        </w:rPr>
        <w:t>ust.</w:t>
      </w:r>
      <w:r w:rsidR="00F1653C" w:rsidRPr="00F1653C">
        <w:rPr>
          <w:noProof/>
          <w:color w:val="000000" w:themeColor="text1"/>
          <w:lang w:val="pl-PL"/>
        </w:rPr>
        <w:t> </w:t>
      </w:r>
      <w:r w:rsidRPr="00F1653C">
        <w:rPr>
          <w:noProof/>
          <w:color w:val="000000" w:themeColor="text1"/>
          <w:lang w:val="pl-PL"/>
        </w:rPr>
        <w:t>1</w:t>
      </w:r>
      <w:r w:rsidRPr="00E22450">
        <w:rPr>
          <w:noProof/>
          <w:color w:val="000000" w:themeColor="text1"/>
          <w:lang w:val="pl-PL"/>
        </w:rPr>
        <w:t xml:space="preserve"> </w:t>
      </w:r>
      <w:r w:rsidRPr="00F1653C">
        <w:rPr>
          <w:noProof/>
          <w:color w:val="000000" w:themeColor="text1"/>
          <w:lang w:val="pl-PL"/>
        </w:rPr>
        <w:t>lit.</w:t>
      </w:r>
      <w:r w:rsidR="00F1653C" w:rsidRPr="00F1653C">
        <w:rPr>
          <w:noProof/>
          <w:color w:val="000000" w:themeColor="text1"/>
          <w:lang w:val="pl-PL"/>
        </w:rPr>
        <w:t> </w:t>
      </w:r>
      <w:r w:rsidRPr="00F1653C">
        <w:rPr>
          <w:noProof/>
          <w:color w:val="000000" w:themeColor="text1"/>
          <w:lang w:val="pl-PL"/>
        </w:rPr>
        <w:t>g)</w:t>
      </w:r>
      <w:r w:rsidRPr="00E22450">
        <w:rPr>
          <w:noProof/>
          <w:color w:val="000000" w:themeColor="text1"/>
          <w:lang w:val="pl-PL"/>
        </w:rPr>
        <w:t xml:space="preserve"> CRR upoważniono również Komisję do uwzględnienia narzędzi służących przeciwdziałaniu ryzyku systemowemu wynikającemu</w:t>
      </w:r>
      <w:r w:rsidR="00F1653C" w:rsidRPr="00E22450">
        <w:rPr>
          <w:noProof/>
          <w:color w:val="000000" w:themeColor="text1"/>
          <w:lang w:val="pl-PL"/>
        </w:rPr>
        <w:t xml:space="preserve"> z</w:t>
      </w:r>
      <w:r w:rsidR="00F1653C">
        <w:rPr>
          <w:noProof/>
          <w:color w:val="000000" w:themeColor="text1"/>
          <w:lang w:val="pl-PL"/>
        </w:rPr>
        <w:t> </w:t>
      </w:r>
      <w:r w:rsidR="00F1653C" w:rsidRPr="00E22450">
        <w:rPr>
          <w:noProof/>
          <w:color w:val="000000" w:themeColor="text1"/>
          <w:lang w:val="pl-PL"/>
        </w:rPr>
        <w:t>eks</w:t>
      </w:r>
      <w:r w:rsidRPr="00E22450">
        <w:rPr>
          <w:noProof/>
          <w:color w:val="000000" w:themeColor="text1"/>
          <w:lang w:val="pl-PL"/>
        </w:rPr>
        <w:t>pozycji banków wobec NBFI</w:t>
      </w:r>
      <w:r>
        <w:rPr>
          <w:noProof/>
          <w:color w:val="000000" w:themeColor="text1"/>
          <w:vertAlign w:val="superscript"/>
        </w:rPr>
        <w:footnoteReference w:id="34"/>
      </w:r>
      <w:r w:rsidRPr="00E22450">
        <w:rPr>
          <w:noProof/>
          <w:lang w:val="pl-PL"/>
        </w:rPr>
        <w:t>,</w:t>
      </w:r>
      <w:r w:rsidR="00F1653C" w:rsidRPr="00E22450">
        <w:rPr>
          <w:noProof/>
          <w:lang w:val="pl-PL"/>
        </w:rPr>
        <w:t xml:space="preserve"> w</w:t>
      </w:r>
      <w:r w:rsidR="00F1653C">
        <w:rPr>
          <w:noProof/>
          <w:lang w:val="pl-PL"/>
        </w:rPr>
        <w:t> </w:t>
      </w:r>
      <w:r w:rsidR="00F1653C" w:rsidRPr="00E22450">
        <w:rPr>
          <w:noProof/>
          <w:lang w:val="pl-PL"/>
        </w:rPr>
        <w:t>szc</w:t>
      </w:r>
      <w:r w:rsidRPr="00E22450">
        <w:rPr>
          <w:noProof/>
          <w:lang w:val="pl-PL"/>
        </w:rPr>
        <w:t>zególności</w:t>
      </w:r>
      <w:r w:rsidR="00F1653C" w:rsidRPr="00E22450">
        <w:rPr>
          <w:noProof/>
          <w:lang w:val="pl-PL"/>
        </w:rPr>
        <w:t xml:space="preserve"> </w:t>
      </w:r>
      <w:r w:rsidR="00F1653C" w:rsidRPr="00E22450">
        <w:rPr>
          <w:noProof/>
          <w:color w:val="000000" w:themeColor="text1"/>
          <w:lang w:val="pl-PL"/>
        </w:rPr>
        <w:t>z</w:t>
      </w:r>
      <w:r w:rsidR="00F1653C">
        <w:rPr>
          <w:noProof/>
          <w:lang w:val="pl-PL"/>
        </w:rPr>
        <w:t> </w:t>
      </w:r>
      <w:r w:rsidR="00F1653C" w:rsidRPr="00E22450">
        <w:rPr>
          <w:noProof/>
          <w:color w:val="000000" w:themeColor="text1"/>
          <w:lang w:val="pl-PL"/>
        </w:rPr>
        <w:t>ryn</w:t>
      </w:r>
      <w:r w:rsidRPr="00E22450">
        <w:rPr>
          <w:noProof/>
          <w:color w:val="000000" w:themeColor="text1"/>
          <w:lang w:val="pl-PL"/>
        </w:rPr>
        <w:t>ków instrumentów pochodnych</w:t>
      </w:r>
      <w:r w:rsidR="00F1653C" w:rsidRPr="00E22450">
        <w:rPr>
          <w:noProof/>
          <w:color w:val="000000" w:themeColor="text1"/>
          <w:lang w:val="pl-PL"/>
        </w:rPr>
        <w:t xml:space="preserve"> i</w:t>
      </w:r>
      <w:r w:rsidR="00F1653C">
        <w:rPr>
          <w:noProof/>
          <w:color w:val="000000" w:themeColor="text1"/>
          <w:lang w:val="pl-PL"/>
        </w:rPr>
        <w:t> </w:t>
      </w:r>
      <w:r w:rsidR="00F1653C" w:rsidRPr="00E22450">
        <w:rPr>
          <w:noProof/>
          <w:color w:val="000000" w:themeColor="text1"/>
          <w:lang w:val="pl-PL"/>
        </w:rPr>
        <w:t>tra</w:t>
      </w:r>
      <w:r w:rsidRPr="00E22450">
        <w:rPr>
          <w:noProof/>
          <w:color w:val="000000" w:themeColor="text1"/>
          <w:lang w:val="pl-PL"/>
        </w:rPr>
        <w:t>nsakcji finansowanych</w:t>
      </w:r>
      <w:r w:rsidR="00F1653C" w:rsidRPr="00E22450">
        <w:rPr>
          <w:noProof/>
          <w:color w:val="000000" w:themeColor="text1"/>
          <w:lang w:val="pl-PL"/>
        </w:rPr>
        <w:t xml:space="preserve"> z</w:t>
      </w:r>
      <w:r w:rsidR="00F1653C">
        <w:rPr>
          <w:noProof/>
          <w:color w:val="000000" w:themeColor="text1"/>
          <w:lang w:val="pl-PL"/>
        </w:rPr>
        <w:t> </w:t>
      </w:r>
      <w:r w:rsidR="00F1653C" w:rsidRPr="00E22450">
        <w:rPr>
          <w:noProof/>
          <w:color w:val="000000" w:themeColor="text1"/>
          <w:lang w:val="pl-PL"/>
        </w:rPr>
        <w:t>uży</w:t>
      </w:r>
      <w:r w:rsidRPr="00E22450">
        <w:rPr>
          <w:noProof/>
          <w:color w:val="000000" w:themeColor="text1"/>
          <w:lang w:val="pl-PL"/>
        </w:rPr>
        <w:t>ciem papierów wartościowych, zarządzania aktywami</w:t>
      </w:r>
      <w:r w:rsidR="00F1653C" w:rsidRPr="00E22450">
        <w:rPr>
          <w:noProof/>
          <w:color w:val="000000" w:themeColor="text1"/>
          <w:lang w:val="pl-PL"/>
        </w:rPr>
        <w:t xml:space="preserve"> i</w:t>
      </w:r>
      <w:r w:rsidR="00F1653C">
        <w:rPr>
          <w:noProof/>
          <w:color w:val="000000" w:themeColor="text1"/>
          <w:lang w:val="pl-PL"/>
        </w:rPr>
        <w:t> </w:t>
      </w:r>
      <w:r w:rsidR="00F1653C" w:rsidRPr="00E22450">
        <w:rPr>
          <w:noProof/>
          <w:color w:val="000000" w:themeColor="text1"/>
          <w:lang w:val="pl-PL"/>
        </w:rPr>
        <w:t>sek</w:t>
      </w:r>
      <w:r w:rsidRPr="00E22450">
        <w:rPr>
          <w:noProof/>
          <w:color w:val="000000" w:themeColor="text1"/>
          <w:lang w:val="pl-PL"/>
        </w:rPr>
        <w:t xml:space="preserve">tora ubezpieczeń. </w:t>
      </w:r>
    </w:p>
    <w:p w14:paraId="26D30DA5" w14:textId="0906CE91" w:rsidR="00241024" w:rsidRPr="00E22450" w:rsidRDefault="00241024" w:rsidP="004709F3">
      <w:pPr>
        <w:spacing w:after="120" w:line="240" w:lineRule="auto"/>
        <w:rPr>
          <w:rFonts w:cs="Times New Roman"/>
          <w:noProof/>
          <w:color w:val="000000" w:themeColor="text1"/>
          <w:highlight w:val="yellow"/>
          <w:lang w:val="pl-PL"/>
        </w:rPr>
      </w:pPr>
      <w:r w:rsidRPr="00E22450">
        <w:rPr>
          <w:noProof/>
          <w:color w:val="000000" w:themeColor="text1"/>
          <w:lang w:val="pl-PL"/>
        </w:rPr>
        <w:t>Unijne ramy makroostrożnościowe dla banków przyczyniły się do zwiększenia odporności sektora bankowego</w:t>
      </w:r>
      <w:r w:rsidR="00F1653C" w:rsidRPr="00E22450">
        <w:rPr>
          <w:noProof/>
          <w:color w:val="000000" w:themeColor="text1"/>
          <w:lang w:val="pl-PL"/>
        </w:rPr>
        <w:t xml:space="preserve"> w</w:t>
      </w:r>
      <w:r w:rsidR="00F1653C">
        <w:rPr>
          <w:noProof/>
          <w:color w:val="000000" w:themeColor="text1"/>
          <w:lang w:val="pl-PL"/>
        </w:rPr>
        <w:t> </w:t>
      </w:r>
      <w:r w:rsidR="00F1653C" w:rsidRPr="00E22450">
        <w:rPr>
          <w:noProof/>
          <w:color w:val="000000" w:themeColor="text1"/>
          <w:lang w:val="pl-PL"/>
        </w:rPr>
        <w:t>spo</w:t>
      </w:r>
      <w:r w:rsidRPr="00E22450">
        <w:rPr>
          <w:noProof/>
          <w:color w:val="000000" w:themeColor="text1"/>
          <w:lang w:val="pl-PL"/>
        </w:rPr>
        <w:t>sób zapobiegawczy i do ochrony stabilności finansowej w UE poprzez ograniczenie narastania ryzyka systemowego. Okazało się, że</w:t>
      </w:r>
      <w:r w:rsidR="00F1653C" w:rsidRPr="00E22450">
        <w:rPr>
          <w:noProof/>
          <w:color w:val="000000" w:themeColor="text1"/>
          <w:lang w:val="pl-PL"/>
        </w:rPr>
        <w:t xml:space="preserve"> w</w:t>
      </w:r>
      <w:r w:rsidR="00F1653C">
        <w:rPr>
          <w:noProof/>
          <w:color w:val="000000" w:themeColor="text1"/>
          <w:lang w:val="pl-PL"/>
        </w:rPr>
        <w:t> </w:t>
      </w:r>
      <w:r w:rsidR="00F1653C" w:rsidRPr="00E22450">
        <w:rPr>
          <w:noProof/>
          <w:color w:val="000000" w:themeColor="text1"/>
          <w:lang w:val="pl-PL"/>
        </w:rPr>
        <w:t>nie</w:t>
      </w:r>
      <w:r w:rsidRPr="00E22450">
        <w:rPr>
          <w:noProof/>
          <w:color w:val="000000" w:themeColor="text1"/>
          <w:lang w:val="pl-PL"/>
        </w:rPr>
        <w:t>których obszarach obecne ramy spełniają zamierzone cele. Na przykład po wybuchu pandemii COVID-19 organy krajowe przyjęły ogólnosystemowe ograniczenia</w:t>
      </w:r>
      <w:r w:rsidR="00F1653C" w:rsidRPr="00E22450">
        <w:rPr>
          <w:noProof/>
          <w:color w:val="000000" w:themeColor="text1"/>
          <w:lang w:val="pl-PL"/>
        </w:rPr>
        <w:t xml:space="preserve"> w</w:t>
      </w:r>
      <w:r w:rsidR="00F1653C">
        <w:rPr>
          <w:noProof/>
          <w:color w:val="000000" w:themeColor="text1"/>
          <w:lang w:val="pl-PL"/>
        </w:rPr>
        <w:t> </w:t>
      </w:r>
      <w:r w:rsidR="00F1653C" w:rsidRPr="00E22450">
        <w:rPr>
          <w:noProof/>
          <w:color w:val="000000" w:themeColor="text1"/>
          <w:lang w:val="pl-PL"/>
        </w:rPr>
        <w:t>zak</w:t>
      </w:r>
      <w:r w:rsidRPr="00E22450">
        <w:rPr>
          <w:noProof/>
          <w:color w:val="000000" w:themeColor="text1"/>
          <w:lang w:val="pl-PL"/>
        </w:rPr>
        <w:t>resie wypłat zysków zgodnie</w:t>
      </w:r>
      <w:r w:rsidR="00F1653C" w:rsidRPr="00E22450">
        <w:rPr>
          <w:noProof/>
          <w:color w:val="000000" w:themeColor="text1"/>
          <w:lang w:val="pl-PL"/>
        </w:rPr>
        <w:t xml:space="preserve"> z</w:t>
      </w:r>
      <w:r w:rsidR="00F1653C">
        <w:rPr>
          <w:noProof/>
          <w:color w:val="000000" w:themeColor="text1"/>
          <w:lang w:val="pl-PL"/>
        </w:rPr>
        <w:t> </w:t>
      </w:r>
      <w:r w:rsidR="00F1653C" w:rsidRPr="00E22450">
        <w:rPr>
          <w:noProof/>
          <w:color w:val="000000" w:themeColor="text1"/>
          <w:lang w:val="pl-PL"/>
        </w:rPr>
        <w:t>zal</w:t>
      </w:r>
      <w:r w:rsidRPr="00E22450">
        <w:rPr>
          <w:noProof/>
          <w:color w:val="000000" w:themeColor="text1"/>
          <w:lang w:val="pl-PL"/>
        </w:rPr>
        <w:t>eceniami EBC i ERRS dotyczącymi wypłat dywidend</w:t>
      </w:r>
      <w:r w:rsidR="00F1653C" w:rsidRPr="00E22450">
        <w:rPr>
          <w:noProof/>
          <w:color w:val="000000" w:themeColor="text1"/>
          <w:lang w:val="pl-PL"/>
        </w:rPr>
        <w:t xml:space="preserve"> w</w:t>
      </w:r>
      <w:r w:rsidR="00F1653C">
        <w:rPr>
          <w:noProof/>
          <w:color w:val="000000" w:themeColor="text1"/>
          <w:lang w:val="pl-PL"/>
        </w:rPr>
        <w:t> </w:t>
      </w:r>
      <w:r w:rsidR="00F1653C" w:rsidRPr="00E22450">
        <w:rPr>
          <w:noProof/>
          <w:color w:val="000000" w:themeColor="text1"/>
          <w:lang w:val="pl-PL"/>
        </w:rPr>
        <w:t>cza</w:t>
      </w:r>
      <w:r w:rsidRPr="00E22450">
        <w:rPr>
          <w:noProof/>
          <w:color w:val="000000" w:themeColor="text1"/>
          <w:lang w:val="pl-PL"/>
        </w:rPr>
        <w:t xml:space="preserve">sie pandemii COVID-19, mimo że ograniczenia te nie zostały zapisane na szczeblu UE (którą to kwestię również wymaga się zbadać na mocy </w:t>
      </w:r>
      <w:r w:rsidRPr="00F1653C">
        <w:rPr>
          <w:noProof/>
          <w:color w:val="000000" w:themeColor="text1"/>
          <w:lang w:val="pl-PL"/>
        </w:rPr>
        <w:t>art.</w:t>
      </w:r>
      <w:r w:rsidR="00F1653C" w:rsidRPr="00F1653C">
        <w:rPr>
          <w:noProof/>
          <w:color w:val="000000" w:themeColor="text1"/>
          <w:lang w:val="pl-PL"/>
        </w:rPr>
        <w:t> </w:t>
      </w:r>
      <w:r w:rsidRPr="00F1653C">
        <w:rPr>
          <w:noProof/>
          <w:color w:val="000000" w:themeColor="text1"/>
          <w:lang w:val="pl-PL"/>
        </w:rPr>
        <w:t>5</w:t>
      </w:r>
      <w:r w:rsidRPr="00E22450">
        <w:rPr>
          <w:noProof/>
          <w:color w:val="000000" w:themeColor="text1"/>
          <w:lang w:val="pl-PL"/>
        </w:rPr>
        <w:t>18b CRR). Dowody empiryczne, badania przeprowadzone przez kilka organów UE, analizy przeprowadzone przez Komisję, konsultacje publiczne</w:t>
      </w:r>
      <w:r w:rsidR="00F1653C" w:rsidRPr="00E22450">
        <w:rPr>
          <w:noProof/>
          <w:color w:val="000000" w:themeColor="text1"/>
          <w:lang w:val="pl-PL"/>
        </w:rPr>
        <w:t xml:space="preserve"> z</w:t>
      </w:r>
      <w:r w:rsidR="00F1653C">
        <w:rPr>
          <w:noProof/>
          <w:color w:val="000000" w:themeColor="text1"/>
          <w:lang w:val="pl-PL"/>
        </w:rPr>
        <w:t> </w:t>
      </w:r>
      <w:r w:rsidR="00F1653C" w:rsidRPr="00E22450">
        <w:rPr>
          <w:noProof/>
          <w:color w:val="000000" w:themeColor="text1"/>
          <w:lang w:val="pl-PL"/>
        </w:rPr>
        <w:t>2</w:t>
      </w:r>
      <w:r w:rsidRPr="00E22450">
        <w:rPr>
          <w:noProof/>
          <w:color w:val="000000" w:themeColor="text1"/>
          <w:lang w:val="pl-PL"/>
        </w:rPr>
        <w:t>0</w:t>
      </w:r>
      <w:r w:rsidRPr="00F1653C">
        <w:rPr>
          <w:noProof/>
          <w:color w:val="000000" w:themeColor="text1"/>
          <w:lang w:val="pl-PL"/>
        </w:rPr>
        <w:t>21</w:t>
      </w:r>
      <w:r w:rsidR="00F1653C" w:rsidRPr="00F1653C">
        <w:rPr>
          <w:noProof/>
          <w:color w:val="000000" w:themeColor="text1"/>
          <w:lang w:val="pl-PL"/>
        </w:rPr>
        <w:t> </w:t>
      </w:r>
      <w:r w:rsidRPr="00F1653C">
        <w:rPr>
          <w:noProof/>
          <w:color w:val="000000" w:themeColor="text1"/>
          <w:lang w:val="pl-PL"/>
        </w:rPr>
        <w:t>r.</w:t>
      </w:r>
      <w:r w:rsidR="00F1653C" w:rsidRPr="00E22450">
        <w:rPr>
          <w:noProof/>
          <w:color w:val="000000" w:themeColor="text1"/>
          <w:lang w:val="pl-PL"/>
        </w:rPr>
        <w:t xml:space="preserve"> i</w:t>
      </w:r>
      <w:r w:rsidR="00F1653C">
        <w:rPr>
          <w:noProof/>
          <w:color w:val="000000" w:themeColor="text1"/>
          <w:lang w:val="pl-PL"/>
        </w:rPr>
        <w:t> </w:t>
      </w:r>
      <w:r w:rsidR="00F1653C" w:rsidRPr="00E22450">
        <w:rPr>
          <w:noProof/>
          <w:color w:val="000000" w:themeColor="text1"/>
          <w:lang w:val="pl-PL"/>
        </w:rPr>
        <w:t>uki</w:t>
      </w:r>
      <w:r w:rsidRPr="00E22450">
        <w:rPr>
          <w:noProof/>
          <w:color w:val="000000" w:themeColor="text1"/>
          <w:lang w:val="pl-PL"/>
        </w:rPr>
        <w:t xml:space="preserve">erunkowane zaproszenia do składania opinii również wykazały pewne </w:t>
      </w:r>
      <w:r w:rsidRPr="00E22450">
        <w:rPr>
          <w:b/>
          <w:noProof/>
          <w:color w:val="000000" w:themeColor="text1"/>
          <w:lang w:val="pl-PL"/>
        </w:rPr>
        <w:t>niedociągnięcia, które należy poddać dalszej analizie</w:t>
      </w:r>
      <w:r w:rsidRPr="00E22450">
        <w:rPr>
          <w:noProof/>
          <w:color w:val="000000" w:themeColor="text1"/>
          <w:lang w:val="pl-PL"/>
        </w:rPr>
        <w:t xml:space="preserve"> na podstawie ewentualnego wniosku ustawodawczego. </w:t>
      </w:r>
    </w:p>
    <w:p w14:paraId="09BF3B1A" w14:textId="135770C7" w:rsidR="00241024" w:rsidRPr="00E22450" w:rsidRDefault="00241024" w:rsidP="004709F3">
      <w:pPr>
        <w:pStyle w:val="Heading2"/>
        <w:numPr>
          <w:ilvl w:val="0"/>
          <w:numId w:val="0"/>
        </w:numPr>
        <w:spacing w:after="120"/>
        <w:ind w:left="1077" w:hanging="601"/>
        <w:rPr>
          <w:rFonts w:cs="Times New Roman"/>
          <w:noProof/>
          <w:lang w:val="pl-PL"/>
        </w:rPr>
      </w:pPr>
      <w:r w:rsidRPr="00E22450">
        <w:rPr>
          <w:rFonts w:ascii="Times New Roman" w:hAnsi="Times New Roman"/>
          <w:noProof/>
          <w:sz w:val="22"/>
          <w:lang w:val="pl-PL"/>
        </w:rPr>
        <w:t>Użyteczność</w:t>
      </w:r>
      <w:r w:rsidR="00F1653C" w:rsidRPr="00E22450">
        <w:rPr>
          <w:rFonts w:ascii="Times New Roman" w:hAnsi="Times New Roman"/>
          <w:noProof/>
          <w:sz w:val="22"/>
          <w:lang w:val="pl-PL"/>
        </w:rPr>
        <w:t xml:space="preserve"> i</w:t>
      </w:r>
      <w:r w:rsidR="00F1653C">
        <w:rPr>
          <w:rFonts w:ascii="Times New Roman" w:hAnsi="Times New Roman"/>
          <w:noProof/>
          <w:sz w:val="22"/>
          <w:lang w:val="pl-PL"/>
        </w:rPr>
        <w:t> </w:t>
      </w:r>
      <w:r w:rsidR="00F1653C" w:rsidRPr="00E22450">
        <w:rPr>
          <w:rFonts w:ascii="Times New Roman" w:hAnsi="Times New Roman"/>
          <w:noProof/>
          <w:sz w:val="22"/>
          <w:lang w:val="pl-PL"/>
        </w:rPr>
        <w:t>moż</w:t>
      </w:r>
      <w:r w:rsidRPr="00E22450">
        <w:rPr>
          <w:rFonts w:ascii="Times New Roman" w:hAnsi="Times New Roman"/>
          <w:noProof/>
          <w:sz w:val="22"/>
          <w:lang w:val="pl-PL"/>
        </w:rPr>
        <w:t>liwość uwolnienia buforów kapitałowych</w:t>
      </w:r>
      <w:r w:rsidR="00F1653C" w:rsidRPr="00E22450">
        <w:rPr>
          <w:rFonts w:ascii="Times New Roman" w:hAnsi="Times New Roman"/>
          <w:noProof/>
          <w:sz w:val="22"/>
          <w:lang w:val="pl-PL"/>
        </w:rPr>
        <w:t xml:space="preserve"> w</w:t>
      </w:r>
      <w:r w:rsidR="00F1653C">
        <w:rPr>
          <w:rFonts w:ascii="Times New Roman" w:hAnsi="Times New Roman"/>
          <w:noProof/>
          <w:sz w:val="22"/>
          <w:lang w:val="pl-PL"/>
        </w:rPr>
        <w:t> </w:t>
      </w:r>
      <w:r w:rsidR="00F1653C" w:rsidRPr="00E22450">
        <w:rPr>
          <w:rFonts w:ascii="Times New Roman" w:hAnsi="Times New Roman"/>
          <w:noProof/>
          <w:sz w:val="22"/>
          <w:lang w:val="pl-PL"/>
        </w:rPr>
        <w:t>cel</w:t>
      </w:r>
      <w:r w:rsidRPr="00E22450">
        <w:rPr>
          <w:rFonts w:ascii="Times New Roman" w:hAnsi="Times New Roman"/>
          <w:noProof/>
          <w:sz w:val="22"/>
          <w:lang w:val="pl-PL"/>
        </w:rPr>
        <w:t>u wsparcia kredytowania gospodarki</w:t>
      </w:r>
    </w:p>
    <w:p w14:paraId="7BFE71A7" w14:textId="2BF07D56" w:rsidR="00FE21D1" w:rsidRPr="00E22450" w:rsidRDefault="00241024" w:rsidP="004709F3">
      <w:pPr>
        <w:spacing w:after="120" w:line="240" w:lineRule="auto"/>
        <w:rPr>
          <w:rFonts w:cs="Times New Roman"/>
          <w:noProof/>
          <w:lang w:val="pl-PL"/>
        </w:rPr>
      </w:pPr>
      <w:r w:rsidRPr="00E22450">
        <w:rPr>
          <w:noProof/>
          <w:lang w:val="pl-PL"/>
        </w:rPr>
        <w:t>Chociaż bufory kapitałowe mają być wykorzystywane</w:t>
      </w:r>
      <w:r w:rsidR="00F1653C" w:rsidRPr="00E22450">
        <w:rPr>
          <w:noProof/>
          <w:lang w:val="pl-PL"/>
        </w:rPr>
        <w:t xml:space="preserve"> w</w:t>
      </w:r>
      <w:r w:rsidR="00F1653C">
        <w:rPr>
          <w:noProof/>
          <w:lang w:val="pl-PL"/>
        </w:rPr>
        <w:t> </w:t>
      </w:r>
      <w:r w:rsidR="00F1653C" w:rsidRPr="00E22450">
        <w:rPr>
          <w:noProof/>
          <w:lang w:val="pl-PL"/>
        </w:rPr>
        <w:t>syt</w:t>
      </w:r>
      <w:r w:rsidRPr="00E22450">
        <w:rPr>
          <w:noProof/>
          <w:lang w:val="pl-PL"/>
        </w:rPr>
        <w:t>uacjach kryzysowych, dowody empiryczne wskazują, że banki mogą nie chcieć lub nie być</w:t>
      </w:r>
      <w:r w:rsidR="00F1653C" w:rsidRPr="00E22450">
        <w:rPr>
          <w:noProof/>
          <w:lang w:val="pl-PL"/>
        </w:rPr>
        <w:t xml:space="preserve"> w</w:t>
      </w:r>
      <w:r w:rsidR="00F1653C">
        <w:rPr>
          <w:noProof/>
          <w:lang w:val="pl-PL"/>
        </w:rPr>
        <w:t> </w:t>
      </w:r>
      <w:r w:rsidR="00F1653C" w:rsidRPr="00E22450">
        <w:rPr>
          <w:noProof/>
          <w:lang w:val="pl-PL"/>
        </w:rPr>
        <w:t>sta</w:t>
      </w:r>
      <w:r w:rsidRPr="00E22450">
        <w:rPr>
          <w:noProof/>
          <w:lang w:val="pl-PL"/>
        </w:rPr>
        <w:t>nie</w:t>
      </w:r>
      <w:r w:rsidR="00F1653C" w:rsidRPr="00E22450">
        <w:rPr>
          <w:noProof/>
          <w:lang w:val="pl-PL"/>
        </w:rPr>
        <w:t xml:space="preserve"> z</w:t>
      </w:r>
      <w:r w:rsidR="00F1653C">
        <w:rPr>
          <w:noProof/>
          <w:lang w:val="pl-PL"/>
        </w:rPr>
        <w:t> </w:t>
      </w:r>
      <w:r w:rsidR="00F1653C" w:rsidRPr="00E22450">
        <w:rPr>
          <w:noProof/>
          <w:lang w:val="pl-PL"/>
        </w:rPr>
        <w:t>nic</w:t>
      </w:r>
      <w:r w:rsidRPr="00E22450">
        <w:rPr>
          <w:noProof/>
          <w:lang w:val="pl-PL"/>
        </w:rPr>
        <w:t>h korzystać zgodnie</w:t>
      </w:r>
      <w:r w:rsidR="00F1653C" w:rsidRPr="00E22450">
        <w:rPr>
          <w:noProof/>
          <w:lang w:val="pl-PL"/>
        </w:rPr>
        <w:t xml:space="preserve"> z</w:t>
      </w:r>
      <w:r w:rsidR="00F1653C">
        <w:rPr>
          <w:noProof/>
          <w:lang w:val="pl-PL"/>
        </w:rPr>
        <w:t> </w:t>
      </w:r>
      <w:r w:rsidR="00F1653C" w:rsidRPr="00E22450">
        <w:rPr>
          <w:noProof/>
          <w:lang w:val="pl-PL"/>
        </w:rPr>
        <w:t>prz</w:t>
      </w:r>
      <w:r w:rsidRPr="00E22450">
        <w:rPr>
          <w:noProof/>
          <w:lang w:val="pl-PL"/>
        </w:rPr>
        <w:t xml:space="preserve">ewidywaniami, co może mieć negatywne skutki dla gospodarki. </w:t>
      </w:r>
      <w:r w:rsidRPr="00E22450">
        <w:rPr>
          <w:b/>
          <w:noProof/>
          <w:lang w:val="pl-PL"/>
        </w:rPr>
        <w:t>Banki mogą nie być skłonne do stosowania buforów</w:t>
      </w:r>
      <w:r w:rsidRPr="00E22450">
        <w:rPr>
          <w:noProof/>
          <w:lang w:val="pl-PL"/>
        </w:rPr>
        <w:t xml:space="preserve">, ponieważ mogą je niepokoić następujące kwestie: </w:t>
      </w:r>
    </w:p>
    <w:p w14:paraId="3B6B836F" w14:textId="250362B5" w:rsidR="00E928D6" w:rsidRPr="00E22450" w:rsidRDefault="00241024" w:rsidP="00E928D6">
      <w:pPr>
        <w:pStyle w:val="ListParagraph"/>
        <w:numPr>
          <w:ilvl w:val="0"/>
          <w:numId w:val="27"/>
        </w:numPr>
        <w:spacing w:after="120"/>
        <w:rPr>
          <w:rFonts w:cs="Times New Roman"/>
          <w:noProof/>
          <w:lang w:val="pl-PL"/>
        </w:rPr>
      </w:pPr>
      <w:r w:rsidRPr="00E22450">
        <w:rPr>
          <w:noProof/>
          <w:lang w:val="pl-PL"/>
        </w:rPr>
        <w:t>ograniczenia</w:t>
      </w:r>
      <w:r w:rsidR="00F1653C" w:rsidRPr="00E22450">
        <w:rPr>
          <w:noProof/>
          <w:lang w:val="pl-PL"/>
        </w:rPr>
        <w:t xml:space="preserve"> w</w:t>
      </w:r>
      <w:r w:rsidR="00F1653C">
        <w:rPr>
          <w:noProof/>
          <w:lang w:val="pl-PL"/>
        </w:rPr>
        <w:t> </w:t>
      </w:r>
      <w:r w:rsidR="00F1653C" w:rsidRPr="00E22450">
        <w:rPr>
          <w:noProof/>
          <w:lang w:val="pl-PL"/>
        </w:rPr>
        <w:t>pod</w:t>
      </w:r>
      <w:r w:rsidRPr="00E22450">
        <w:rPr>
          <w:noProof/>
          <w:lang w:val="pl-PL"/>
        </w:rPr>
        <w:t>ziale dywidend, premii</w:t>
      </w:r>
      <w:r w:rsidR="00F1653C" w:rsidRPr="00E22450">
        <w:rPr>
          <w:noProof/>
          <w:lang w:val="pl-PL"/>
        </w:rPr>
        <w:t xml:space="preserve"> i</w:t>
      </w:r>
      <w:r w:rsidR="00F1653C">
        <w:rPr>
          <w:noProof/>
          <w:lang w:val="pl-PL"/>
        </w:rPr>
        <w:t> </w:t>
      </w:r>
      <w:r w:rsidR="00F1653C" w:rsidRPr="00E22450">
        <w:rPr>
          <w:noProof/>
          <w:lang w:val="pl-PL"/>
        </w:rPr>
        <w:t>inn</w:t>
      </w:r>
      <w:r w:rsidRPr="00E22450">
        <w:rPr>
          <w:noProof/>
          <w:lang w:val="pl-PL"/>
        </w:rPr>
        <w:t>ych wypłat;</w:t>
      </w:r>
    </w:p>
    <w:p w14:paraId="29BA6BB2" w14:textId="0643AAD6" w:rsidR="00E928D6" w:rsidRPr="00E22450" w:rsidRDefault="00241024" w:rsidP="00E928D6">
      <w:pPr>
        <w:pStyle w:val="ListParagraph"/>
        <w:numPr>
          <w:ilvl w:val="0"/>
          <w:numId w:val="27"/>
        </w:numPr>
        <w:spacing w:after="120"/>
        <w:rPr>
          <w:rFonts w:cs="Times New Roman"/>
          <w:noProof/>
          <w:lang w:val="pl-PL"/>
        </w:rPr>
      </w:pPr>
      <w:r w:rsidRPr="00E22450">
        <w:rPr>
          <w:noProof/>
          <w:lang w:val="pl-PL"/>
        </w:rPr>
        <w:t>szersza stygmatyzacja rynku</w:t>
      </w:r>
      <w:r w:rsidR="00F1653C" w:rsidRPr="00E22450">
        <w:rPr>
          <w:noProof/>
          <w:lang w:val="pl-PL"/>
        </w:rPr>
        <w:t xml:space="preserve"> w</w:t>
      </w:r>
      <w:r w:rsidR="00F1653C">
        <w:rPr>
          <w:noProof/>
          <w:lang w:val="pl-PL"/>
        </w:rPr>
        <w:t> </w:t>
      </w:r>
      <w:r w:rsidR="00F1653C" w:rsidRPr="00E22450">
        <w:rPr>
          <w:noProof/>
          <w:lang w:val="pl-PL"/>
        </w:rPr>
        <w:t>prz</w:t>
      </w:r>
      <w:r w:rsidRPr="00E22450">
        <w:rPr>
          <w:noProof/>
          <w:lang w:val="pl-PL"/>
        </w:rPr>
        <w:t xml:space="preserve">ypadku naruszenia CBR; </w:t>
      </w:r>
    </w:p>
    <w:p w14:paraId="30C77B92" w14:textId="561B3960" w:rsidR="00164135" w:rsidRPr="00E22450" w:rsidRDefault="00241024" w:rsidP="00A54393">
      <w:pPr>
        <w:pStyle w:val="ListParagraph"/>
        <w:numPr>
          <w:ilvl w:val="0"/>
          <w:numId w:val="27"/>
        </w:numPr>
        <w:spacing w:after="120"/>
        <w:rPr>
          <w:rFonts w:cs="Times New Roman"/>
          <w:noProof/>
          <w:lang w:val="pl-PL"/>
        </w:rPr>
      </w:pPr>
      <w:r w:rsidRPr="00E22450">
        <w:rPr>
          <w:noProof/>
          <w:lang w:val="pl-PL"/>
        </w:rPr>
        <w:t>niepewność co do tego, czy stosowanie buforów będzie faktycznie wspierane lub akceptowane przez ich organy nadzoru, czy też będzie wymagało dodatkowej kontroli nadzorczej lub środków, takich jak testy warunków skrajnych,</w:t>
      </w:r>
      <w:r w:rsidR="00F1653C" w:rsidRPr="00E22450">
        <w:rPr>
          <w:noProof/>
          <w:lang w:val="pl-PL"/>
        </w:rPr>
        <w:t xml:space="preserve"> a</w:t>
      </w:r>
      <w:r w:rsidR="00F1653C">
        <w:rPr>
          <w:noProof/>
          <w:lang w:val="pl-PL"/>
        </w:rPr>
        <w:t> </w:t>
      </w:r>
      <w:r w:rsidR="00F1653C" w:rsidRPr="00E22450">
        <w:rPr>
          <w:noProof/>
          <w:lang w:val="pl-PL"/>
        </w:rPr>
        <w:t>tak</w:t>
      </w:r>
      <w:r w:rsidRPr="00E22450">
        <w:rPr>
          <w:noProof/>
          <w:lang w:val="pl-PL"/>
        </w:rPr>
        <w:t>że perspektywy gospodarcze oraz czas trwania</w:t>
      </w:r>
      <w:r w:rsidR="00F1653C" w:rsidRPr="00E22450">
        <w:rPr>
          <w:noProof/>
          <w:lang w:val="pl-PL"/>
        </w:rPr>
        <w:t xml:space="preserve"> i</w:t>
      </w:r>
      <w:r w:rsidR="00F1653C">
        <w:rPr>
          <w:noProof/>
          <w:lang w:val="pl-PL"/>
        </w:rPr>
        <w:t> </w:t>
      </w:r>
      <w:r w:rsidR="00F1653C" w:rsidRPr="00E22450">
        <w:rPr>
          <w:noProof/>
          <w:lang w:val="pl-PL"/>
        </w:rPr>
        <w:t>odd</w:t>
      </w:r>
      <w:r w:rsidRPr="00E22450">
        <w:rPr>
          <w:noProof/>
          <w:lang w:val="pl-PL"/>
        </w:rPr>
        <w:t>ziaływania jakiegokolwiek kryzysu</w:t>
      </w:r>
      <w:r>
        <w:rPr>
          <w:noProof/>
        </w:rPr>
        <w:footnoteReference w:id="35"/>
      </w:r>
      <w:r w:rsidRPr="00E22450">
        <w:rPr>
          <w:noProof/>
          <w:lang w:val="pl-PL"/>
        </w:rPr>
        <w:t xml:space="preserve">. </w:t>
      </w:r>
    </w:p>
    <w:p w14:paraId="623098DB" w14:textId="5145735B" w:rsidR="004709F3" w:rsidRPr="00E22450" w:rsidRDefault="00241024" w:rsidP="00A96C09">
      <w:pPr>
        <w:spacing w:after="120"/>
        <w:rPr>
          <w:rFonts w:cs="Times New Roman"/>
          <w:noProof/>
          <w:lang w:val="pl-PL"/>
        </w:rPr>
      </w:pPr>
      <w:r w:rsidRPr="00E22450">
        <w:rPr>
          <w:noProof/>
          <w:lang w:val="pl-PL"/>
        </w:rPr>
        <w:t xml:space="preserve">Istnieją również dowody na to, że </w:t>
      </w:r>
      <w:r w:rsidRPr="00E22450">
        <w:rPr>
          <w:b/>
          <w:noProof/>
          <w:lang w:val="pl-PL"/>
        </w:rPr>
        <w:t>zdolność banków do stosowania buforów kapitałowych może być ograniczona</w:t>
      </w:r>
      <w:r>
        <w:rPr>
          <w:rStyle w:val="FootnoteReference"/>
          <w:rFonts w:cs="Times New Roman"/>
          <w:noProof/>
        </w:rPr>
        <w:footnoteReference w:id="36"/>
      </w:r>
      <w:r w:rsidRPr="00E22450">
        <w:rPr>
          <w:noProof/>
          <w:lang w:val="pl-PL"/>
        </w:rPr>
        <w:t xml:space="preserve"> innymi minimalnymi wymogami ostrożnościowymi lub wymogami dotyczącymi restrukturyzacji</w:t>
      </w:r>
      <w:r w:rsidR="00F1653C" w:rsidRPr="00E22450">
        <w:rPr>
          <w:noProof/>
          <w:lang w:val="pl-PL"/>
        </w:rPr>
        <w:t xml:space="preserve"> i</w:t>
      </w:r>
      <w:r w:rsidR="00F1653C">
        <w:rPr>
          <w:noProof/>
          <w:lang w:val="pl-PL"/>
        </w:rPr>
        <w:t> </w:t>
      </w:r>
      <w:r w:rsidR="00F1653C" w:rsidRPr="00E22450">
        <w:rPr>
          <w:noProof/>
          <w:lang w:val="pl-PL"/>
        </w:rPr>
        <w:t>upo</w:t>
      </w:r>
      <w:r w:rsidRPr="00E22450">
        <w:rPr>
          <w:noProof/>
          <w:lang w:val="pl-PL"/>
        </w:rPr>
        <w:t>rządkowanej likwidacji (wskaźnik dźwigni finansowej</w:t>
      </w:r>
      <w:r w:rsidR="00F1653C" w:rsidRPr="00E22450">
        <w:rPr>
          <w:noProof/>
          <w:lang w:val="pl-PL"/>
        </w:rPr>
        <w:t xml:space="preserve"> i</w:t>
      </w:r>
      <w:r w:rsidR="00F1653C">
        <w:rPr>
          <w:noProof/>
          <w:lang w:val="pl-PL"/>
        </w:rPr>
        <w:t> </w:t>
      </w:r>
      <w:r w:rsidR="00F1653C" w:rsidRPr="00E22450">
        <w:rPr>
          <w:noProof/>
          <w:lang w:val="pl-PL"/>
        </w:rPr>
        <w:t>min</w:t>
      </w:r>
      <w:r w:rsidRPr="00E22450">
        <w:rPr>
          <w:noProof/>
          <w:lang w:val="pl-PL"/>
        </w:rPr>
        <w:t>imalne wymogi</w:t>
      </w:r>
      <w:r w:rsidR="00F1653C" w:rsidRPr="00E22450">
        <w:rPr>
          <w:noProof/>
          <w:lang w:val="pl-PL"/>
        </w:rPr>
        <w:t xml:space="preserve"> w</w:t>
      </w:r>
      <w:r w:rsidR="00F1653C">
        <w:rPr>
          <w:noProof/>
          <w:lang w:val="pl-PL"/>
        </w:rPr>
        <w:t> </w:t>
      </w:r>
      <w:r w:rsidR="00F1653C" w:rsidRPr="00E22450">
        <w:rPr>
          <w:noProof/>
          <w:lang w:val="pl-PL"/>
        </w:rPr>
        <w:t>zak</w:t>
      </w:r>
      <w:r w:rsidRPr="00E22450">
        <w:rPr>
          <w:noProof/>
          <w:lang w:val="pl-PL"/>
        </w:rPr>
        <w:t>resie funduszy własnych</w:t>
      </w:r>
      <w:r w:rsidR="00F1653C" w:rsidRPr="00E22450">
        <w:rPr>
          <w:noProof/>
          <w:lang w:val="pl-PL"/>
        </w:rPr>
        <w:t xml:space="preserve"> i</w:t>
      </w:r>
      <w:r w:rsidR="00F1653C">
        <w:rPr>
          <w:noProof/>
          <w:lang w:val="pl-PL"/>
        </w:rPr>
        <w:t> </w:t>
      </w:r>
      <w:r w:rsidR="00F1653C" w:rsidRPr="00E22450">
        <w:rPr>
          <w:noProof/>
          <w:lang w:val="pl-PL"/>
        </w:rPr>
        <w:t>zob</w:t>
      </w:r>
      <w:r w:rsidRPr="00E22450">
        <w:rPr>
          <w:noProof/>
          <w:lang w:val="pl-PL"/>
        </w:rPr>
        <w:t>owiązań kwalifikowalnych (MREL</w:t>
      </w:r>
      <w:r>
        <w:rPr>
          <w:rStyle w:val="FootnoteReference"/>
          <w:rFonts w:cs="Times New Roman"/>
          <w:noProof/>
        </w:rPr>
        <w:footnoteReference w:id="37"/>
      </w:r>
      <w:r w:rsidRPr="00E22450">
        <w:rPr>
          <w:noProof/>
          <w:lang w:val="pl-PL"/>
        </w:rPr>
        <w:t>)), które mogą stać się wiążące przed wyczerpaniem buforów, zwłaszcza</w:t>
      </w:r>
      <w:r w:rsidR="00F1653C" w:rsidRPr="00E22450">
        <w:rPr>
          <w:noProof/>
          <w:lang w:val="pl-PL"/>
        </w:rPr>
        <w:t xml:space="preserve"> w</w:t>
      </w:r>
      <w:r w:rsidR="00F1653C">
        <w:rPr>
          <w:noProof/>
          <w:lang w:val="pl-PL"/>
        </w:rPr>
        <w:t> </w:t>
      </w:r>
      <w:r w:rsidR="00F1653C" w:rsidRPr="00E22450">
        <w:rPr>
          <w:noProof/>
          <w:lang w:val="pl-PL"/>
        </w:rPr>
        <w:t>prz</w:t>
      </w:r>
      <w:r w:rsidRPr="00E22450">
        <w:rPr>
          <w:noProof/>
          <w:lang w:val="pl-PL"/>
        </w:rPr>
        <w:t>ypadku banków</w:t>
      </w:r>
      <w:r w:rsidR="00F1653C" w:rsidRPr="00E22450">
        <w:rPr>
          <w:noProof/>
          <w:lang w:val="pl-PL"/>
        </w:rPr>
        <w:t xml:space="preserve"> o</w:t>
      </w:r>
      <w:r w:rsidR="00F1653C">
        <w:rPr>
          <w:noProof/>
          <w:lang w:val="pl-PL"/>
        </w:rPr>
        <w:t> </w:t>
      </w:r>
      <w:r w:rsidR="00F1653C" w:rsidRPr="00E22450">
        <w:rPr>
          <w:noProof/>
          <w:lang w:val="pl-PL"/>
        </w:rPr>
        <w:t>nis</w:t>
      </w:r>
      <w:r w:rsidRPr="00E22450">
        <w:rPr>
          <w:noProof/>
          <w:lang w:val="pl-PL"/>
        </w:rPr>
        <w:t>kich wagach ryzyka. Chociaż te potencjalne ograniczenia zdolności banków do stosowania buforów są cechą charakterystyczną obecnych ram, znaczenie takich ograniczeń może zmieniać się</w:t>
      </w:r>
      <w:r w:rsidR="00F1653C" w:rsidRPr="00E22450">
        <w:rPr>
          <w:noProof/>
          <w:lang w:val="pl-PL"/>
        </w:rPr>
        <w:t xml:space="preserve"> w</w:t>
      </w:r>
      <w:r w:rsidR="00F1653C">
        <w:rPr>
          <w:noProof/>
          <w:lang w:val="pl-PL"/>
        </w:rPr>
        <w:t> </w:t>
      </w:r>
      <w:r w:rsidR="00F1653C" w:rsidRPr="00E22450">
        <w:rPr>
          <w:noProof/>
          <w:lang w:val="pl-PL"/>
        </w:rPr>
        <w:t>cza</w:t>
      </w:r>
      <w:r w:rsidRPr="00E22450">
        <w:rPr>
          <w:noProof/>
          <w:lang w:val="pl-PL"/>
        </w:rPr>
        <w:t>sie</w:t>
      </w:r>
      <w:r w:rsidR="00F1653C" w:rsidRPr="00E22450">
        <w:rPr>
          <w:noProof/>
          <w:lang w:val="pl-PL"/>
        </w:rPr>
        <w:t xml:space="preserve"> i</w:t>
      </w:r>
      <w:r w:rsidR="00F1653C">
        <w:rPr>
          <w:noProof/>
          <w:lang w:val="pl-PL"/>
        </w:rPr>
        <w:t> </w:t>
      </w:r>
      <w:r w:rsidR="00F1653C" w:rsidRPr="00E22450">
        <w:rPr>
          <w:noProof/>
          <w:lang w:val="pl-PL"/>
        </w:rPr>
        <w:t>w</w:t>
      </w:r>
      <w:r w:rsidR="00F1653C">
        <w:rPr>
          <w:noProof/>
          <w:lang w:val="pl-PL"/>
        </w:rPr>
        <w:t> </w:t>
      </w:r>
      <w:r w:rsidR="00F1653C" w:rsidRPr="00E22450">
        <w:rPr>
          <w:noProof/>
          <w:lang w:val="pl-PL"/>
        </w:rPr>
        <w:t>róż</w:t>
      </w:r>
      <w:r w:rsidRPr="00E22450">
        <w:rPr>
          <w:noProof/>
          <w:lang w:val="pl-PL"/>
        </w:rPr>
        <w:t>nych bankach</w:t>
      </w:r>
      <w:r w:rsidR="00F1653C" w:rsidRPr="00E22450">
        <w:rPr>
          <w:noProof/>
          <w:lang w:val="pl-PL"/>
        </w:rPr>
        <w:t xml:space="preserve"> i</w:t>
      </w:r>
      <w:r w:rsidR="00F1653C">
        <w:rPr>
          <w:noProof/>
          <w:lang w:val="pl-PL"/>
        </w:rPr>
        <w:t> </w:t>
      </w:r>
      <w:r w:rsidR="00F1653C" w:rsidRPr="00E22450">
        <w:rPr>
          <w:noProof/>
          <w:lang w:val="pl-PL"/>
        </w:rPr>
        <w:t>sta</w:t>
      </w:r>
      <w:r w:rsidRPr="00E22450">
        <w:rPr>
          <w:noProof/>
          <w:lang w:val="pl-PL"/>
        </w:rPr>
        <w:t>ć się mniej istotne</w:t>
      </w:r>
      <w:r>
        <w:rPr>
          <w:rStyle w:val="FootnoteReference"/>
          <w:rFonts w:cs="Times New Roman"/>
          <w:noProof/>
        </w:rPr>
        <w:footnoteReference w:id="38"/>
      </w:r>
      <w:r w:rsidRPr="00E22450">
        <w:rPr>
          <w:noProof/>
          <w:lang w:val="pl-PL"/>
        </w:rPr>
        <w:t>. Może to nastąpić</w:t>
      </w:r>
      <w:r w:rsidR="00F1653C" w:rsidRPr="00E22450">
        <w:rPr>
          <w:noProof/>
          <w:lang w:val="pl-PL"/>
        </w:rPr>
        <w:t xml:space="preserve"> w</w:t>
      </w:r>
      <w:r w:rsidR="00F1653C">
        <w:rPr>
          <w:noProof/>
          <w:lang w:val="pl-PL"/>
        </w:rPr>
        <w:t> </w:t>
      </w:r>
      <w:r w:rsidR="00F1653C" w:rsidRPr="00E22450">
        <w:rPr>
          <w:noProof/>
          <w:lang w:val="pl-PL"/>
        </w:rPr>
        <w:t>wyn</w:t>
      </w:r>
      <w:r w:rsidRPr="00E22450">
        <w:rPr>
          <w:noProof/>
          <w:lang w:val="pl-PL"/>
        </w:rPr>
        <w:t>iku wdrożenia reform ostrożnościowych</w:t>
      </w:r>
      <w:r w:rsidR="00F1653C" w:rsidRPr="00E22450">
        <w:rPr>
          <w:noProof/>
          <w:lang w:val="pl-PL"/>
        </w:rPr>
        <w:t xml:space="preserve"> w</w:t>
      </w:r>
      <w:r w:rsidR="00F1653C">
        <w:rPr>
          <w:noProof/>
          <w:lang w:val="pl-PL"/>
        </w:rPr>
        <w:t> </w:t>
      </w:r>
      <w:r w:rsidR="00F1653C" w:rsidRPr="00E22450">
        <w:rPr>
          <w:noProof/>
          <w:lang w:val="pl-PL"/>
        </w:rPr>
        <w:t>ram</w:t>
      </w:r>
      <w:r w:rsidRPr="00E22450">
        <w:rPr>
          <w:noProof/>
          <w:lang w:val="pl-PL"/>
        </w:rPr>
        <w:t xml:space="preserve">ach niedawno uzgodnionego „pakietu bankowego” oraz stopniowego wprowadzania MREL. </w:t>
      </w:r>
    </w:p>
    <w:p w14:paraId="084B04DA" w14:textId="36F75841" w:rsidR="00241024" w:rsidRPr="00E22450" w:rsidRDefault="00F0001B" w:rsidP="004709F3">
      <w:pPr>
        <w:spacing w:after="120" w:line="240" w:lineRule="auto"/>
        <w:rPr>
          <w:rFonts w:cs="Times New Roman"/>
          <w:noProof/>
          <w:lang w:val="pl-PL"/>
        </w:rPr>
      </w:pPr>
      <w:r w:rsidRPr="00E22450">
        <w:rPr>
          <w:noProof/>
          <w:lang w:val="pl-PL"/>
        </w:rPr>
        <w:t xml:space="preserve">Można by również ulepszyć </w:t>
      </w:r>
      <w:r w:rsidRPr="00E22450">
        <w:rPr>
          <w:b/>
          <w:noProof/>
          <w:lang w:val="pl-PL"/>
        </w:rPr>
        <w:t>zdolność do uwalniania</w:t>
      </w:r>
      <w:r w:rsidRPr="00E22450">
        <w:rPr>
          <w:noProof/>
          <w:lang w:val="pl-PL"/>
        </w:rPr>
        <w:t xml:space="preserve"> buforów kapitałowych</w:t>
      </w:r>
      <w:r w:rsidR="00F1653C" w:rsidRPr="00E22450">
        <w:rPr>
          <w:noProof/>
          <w:lang w:val="pl-PL"/>
        </w:rPr>
        <w:t xml:space="preserve"> i</w:t>
      </w:r>
      <w:r w:rsidR="00F1653C">
        <w:rPr>
          <w:noProof/>
          <w:lang w:val="pl-PL"/>
        </w:rPr>
        <w:t> </w:t>
      </w:r>
      <w:r w:rsidR="00F1653C" w:rsidRPr="00E22450">
        <w:rPr>
          <w:noProof/>
          <w:lang w:val="pl-PL"/>
        </w:rPr>
        <w:t>zwi</w:t>
      </w:r>
      <w:r w:rsidRPr="00E22450">
        <w:rPr>
          <w:noProof/>
          <w:lang w:val="pl-PL"/>
        </w:rPr>
        <w:t>ększyć jej skuteczność</w:t>
      </w:r>
      <w:r>
        <w:rPr>
          <w:rStyle w:val="FootnoteReference"/>
          <w:rFonts w:cs="Times New Roman"/>
          <w:noProof/>
        </w:rPr>
        <w:footnoteReference w:id="39"/>
      </w:r>
      <w:r w:rsidRPr="00E22450">
        <w:rPr>
          <w:noProof/>
          <w:lang w:val="pl-PL"/>
        </w:rPr>
        <w:t>. Zgodnie</w:t>
      </w:r>
      <w:r w:rsidR="00F1653C" w:rsidRPr="00E22450">
        <w:rPr>
          <w:noProof/>
          <w:lang w:val="pl-PL"/>
        </w:rPr>
        <w:t xml:space="preserve"> z</w:t>
      </w:r>
      <w:r w:rsidR="00F1653C">
        <w:rPr>
          <w:noProof/>
          <w:lang w:val="pl-PL"/>
        </w:rPr>
        <w:t> </w:t>
      </w:r>
      <w:r w:rsidR="00F1653C" w:rsidRPr="00E22450">
        <w:rPr>
          <w:noProof/>
          <w:lang w:val="pl-PL"/>
        </w:rPr>
        <w:t>obe</w:t>
      </w:r>
      <w:r w:rsidRPr="00E22450">
        <w:rPr>
          <w:noProof/>
          <w:lang w:val="pl-PL"/>
        </w:rPr>
        <w:t>cnymi ramami większość buforów kapitałowych (tj. bufor zabezpieczający, bufory globalnych instytucji</w:t>
      </w:r>
      <w:r w:rsidR="00F1653C" w:rsidRPr="00E22450">
        <w:rPr>
          <w:noProof/>
          <w:lang w:val="pl-PL"/>
        </w:rPr>
        <w:t xml:space="preserve"> o</w:t>
      </w:r>
      <w:r w:rsidR="00F1653C">
        <w:rPr>
          <w:noProof/>
          <w:lang w:val="pl-PL"/>
        </w:rPr>
        <w:t> </w:t>
      </w:r>
      <w:r w:rsidR="00F1653C" w:rsidRPr="00E22450">
        <w:rPr>
          <w:noProof/>
          <w:lang w:val="pl-PL"/>
        </w:rPr>
        <w:t>zna</w:t>
      </w:r>
      <w:r w:rsidRPr="00E22450">
        <w:rPr>
          <w:noProof/>
          <w:lang w:val="pl-PL"/>
        </w:rPr>
        <w:t>czeniu systemowym</w:t>
      </w:r>
      <w:r w:rsidR="00F1653C" w:rsidRPr="00E22450">
        <w:rPr>
          <w:noProof/>
          <w:lang w:val="pl-PL"/>
        </w:rPr>
        <w:t xml:space="preserve"> i</w:t>
      </w:r>
      <w:r w:rsidR="00F1653C">
        <w:rPr>
          <w:noProof/>
          <w:lang w:val="pl-PL"/>
        </w:rPr>
        <w:t> </w:t>
      </w:r>
      <w:r w:rsidR="00F1653C" w:rsidRPr="00E22450">
        <w:rPr>
          <w:noProof/>
          <w:lang w:val="pl-PL"/>
        </w:rPr>
        <w:t>inn</w:t>
      </w:r>
      <w:r w:rsidRPr="00E22450">
        <w:rPr>
          <w:noProof/>
          <w:lang w:val="pl-PL"/>
        </w:rPr>
        <w:t>ych instytucji</w:t>
      </w:r>
      <w:r w:rsidR="00F1653C" w:rsidRPr="00E22450">
        <w:rPr>
          <w:noProof/>
          <w:lang w:val="pl-PL"/>
        </w:rPr>
        <w:t xml:space="preserve"> o</w:t>
      </w:r>
      <w:r w:rsidR="00F1653C">
        <w:rPr>
          <w:noProof/>
          <w:lang w:val="pl-PL"/>
        </w:rPr>
        <w:t> </w:t>
      </w:r>
      <w:r w:rsidR="00F1653C" w:rsidRPr="00E22450">
        <w:rPr>
          <w:noProof/>
          <w:lang w:val="pl-PL"/>
        </w:rPr>
        <w:t>zna</w:t>
      </w:r>
      <w:r w:rsidRPr="00E22450">
        <w:rPr>
          <w:noProof/>
          <w:lang w:val="pl-PL"/>
        </w:rPr>
        <w:t>czeniu systemowym (bufory G-SII i O-SII) oraz,</w:t>
      </w:r>
      <w:r w:rsidR="00F1653C" w:rsidRPr="00E22450">
        <w:rPr>
          <w:noProof/>
          <w:lang w:val="pl-PL"/>
        </w:rPr>
        <w:t xml:space="preserve"> w</w:t>
      </w:r>
      <w:r w:rsidR="00F1653C">
        <w:rPr>
          <w:noProof/>
          <w:lang w:val="pl-PL"/>
        </w:rPr>
        <w:t> </w:t>
      </w:r>
      <w:r w:rsidR="00F1653C" w:rsidRPr="00E22450">
        <w:rPr>
          <w:noProof/>
          <w:lang w:val="pl-PL"/>
        </w:rPr>
        <w:t>mni</w:t>
      </w:r>
      <w:r w:rsidRPr="00E22450">
        <w:rPr>
          <w:noProof/>
          <w:lang w:val="pl-PL"/>
        </w:rPr>
        <w:t>ejszym stopniu, bufor ryzyka systemowego) ma charakter strukturalny, podczas gdy tylko</w:t>
      </w:r>
      <w:r w:rsidR="00F1653C" w:rsidRPr="00E22450">
        <w:rPr>
          <w:noProof/>
          <w:lang w:val="pl-PL"/>
        </w:rPr>
        <w:t xml:space="preserve"> w</w:t>
      </w:r>
      <w:r w:rsidR="00F1653C">
        <w:rPr>
          <w:noProof/>
          <w:lang w:val="pl-PL"/>
        </w:rPr>
        <w:t> </w:t>
      </w:r>
      <w:r w:rsidR="00F1653C" w:rsidRPr="00E22450">
        <w:rPr>
          <w:noProof/>
          <w:lang w:val="pl-PL"/>
        </w:rPr>
        <w:t>odn</w:t>
      </w:r>
      <w:r w:rsidRPr="00E22450">
        <w:rPr>
          <w:noProof/>
          <w:lang w:val="pl-PL"/>
        </w:rPr>
        <w:t>iesieniu do buforu CCyB wyraźnie przewidziano możliwość uwolnienia. Bufor ten podlega bardzo niewielkiej części łącznych wymogów</w:t>
      </w:r>
      <w:r w:rsidR="00F1653C" w:rsidRPr="00E22450">
        <w:rPr>
          <w:noProof/>
          <w:lang w:val="pl-PL"/>
        </w:rPr>
        <w:t xml:space="preserve"> w</w:t>
      </w:r>
      <w:r w:rsidR="00F1653C">
        <w:rPr>
          <w:noProof/>
          <w:lang w:val="pl-PL"/>
        </w:rPr>
        <w:t> </w:t>
      </w:r>
      <w:r w:rsidR="00F1653C" w:rsidRPr="00E22450">
        <w:rPr>
          <w:noProof/>
          <w:lang w:val="pl-PL"/>
        </w:rPr>
        <w:t>zak</w:t>
      </w:r>
      <w:r w:rsidRPr="00E22450">
        <w:rPr>
          <w:noProof/>
          <w:lang w:val="pl-PL"/>
        </w:rPr>
        <w:t xml:space="preserve">resie bufora kapitałowego, tj. około 5 % CBR banków </w:t>
      </w:r>
      <w:r w:rsidRPr="00F1653C">
        <w:rPr>
          <w:noProof/>
          <w:lang w:val="pl-PL"/>
        </w:rPr>
        <w:t>lub</w:t>
      </w:r>
      <w:r w:rsidR="00F1653C" w:rsidRPr="00F1653C">
        <w:rPr>
          <w:noProof/>
          <w:lang w:val="pl-PL"/>
        </w:rPr>
        <w:t> </w:t>
      </w:r>
      <w:r w:rsidRPr="00F1653C">
        <w:rPr>
          <w:noProof/>
          <w:lang w:val="pl-PL"/>
        </w:rPr>
        <w:t>0</w:t>
      </w:r>
      <w:r w:rsidRPr="00E22450">
        <w:rPr>
          <w:noProof/>
          <w:lang w:val="pl-PL"/>
        </w:rPr>
        <w:t>,1 % wymogu aktywów ważonych ryzykiem</w:t>
      </w:r>
      <w:r w:rsidR="00F1653C" w:rsidRPr="00E22450">
        <w:rPr>
          <w:noProof/>
          <w:lang w:val="pl-PL"/>
        </w:rPr>
        <w:t xml:space="preserve"> w</w:t>
      </w:r>
      <w:r w:rsidR="00F1653C">
        <w:rPr>
          <w:noProof/>
          <w:lang w:val="pl-PL"/>
        </w:rPr>
        <w:t> </w:t>
      </w:r>
      <w:r w:rsidR="00F1653C" w:rsidRPr="00E22450">
        <w:rPr>
          <w:noProof/>
          <w:lang w:val="pl-PL"/>
        </w:rPr>
        <w:t>uni</w:t>
      </w:r>
      <w:r w:rsidRPr="00E22450">
        <w:rPr>
          <w:noProof/>
          <w:lang w:val="pl-PL"/>
        </w:rPr>
        <w:t>i bankowej na początku pandemii COVID-19. Chociaż wiele państw członkowskich podniosło swoje wskaźniki bufora CCyB po pandemii, jego wielkość jest nadal ograniczona przez niemożliwe do uwolnienia bufory. Uwolnienie buforów nie było konieczne</w:t>
      </w:r>
      <w:r w:rsidR="00F1653C" w:rsidRPr="00E22450">
        <w:rPr>
          <w:noProof/>
          <w:lang w:val="pl-PL"/>
        </w:rPr>
        <w:t xml:space="preserve"> w</w:t>
      </w:r>
      <w:r w:rsidR="00F1653C">
        <w:rPr>
          <w:noProof/>
          <w:lang w:val="pl-PL"/>
        </w:rPr>
        <w:t> </w:t>
      </w:r>
      <w:r w:rsidR="00F1653C" w:rsidRPr="00E22450">
        <w:rPr>
          <w:noProof/>
          <w:lang w:val="pl-PL"/>
        </w:rPr>
        <w:t>odp</w:t>
      </w:r>
      <w:r w:rsidRPr="00E22450">
        <w:rPr>
          <w:noProof/>
          <w:lang w:val="pl-PL"/>
        </w:rPr>
        <w:t>owiedzi na pandemię ze względu na szerokie wsparcie publiczne udzielane przez państwa członkowskie za pośrednictwem środków</w:t>
      </w:r>
      <w:r w:rsidR="00F1653C" w:rsidRPr="00E22450">
        <w:rPr>
          <w:noProof/>
          <w:lang w:val="pl-PL"/>
        </w:rPr>
        <w:t xml:space="preserve"> z</w:t>
      </w:r>
      <w:r w:rsidR="00F1653C">
        <w:rPr>
          <w:noProof/>
          <w:lang w:val="pl-PL"/>
        </w:rPr>
        <w:t> </w:t>
      </w:r>
      <w:r w:rsidR="00F1653C" w:rsidRPr="00E22450">
        <w:rPr>
          <w:noProof/>
          <w:lang w:val="pl-PL"/>
        </w:rPr>
        <w:t>zak</w:t>
      </w:r>
      <w:r w:rsidRPr="00E22450">
        <w:rPr>
          <w:noProof/>
          <w:lang w:val="pl-PL"/>
        </w:rPr>
        <w:t>resu polityki fiskalnej, pieniężnej</w:t>
      </w:r>
      <w:r w:rsidR="00F1653C" w:rsidRPr="00E22450">
        <w:rPr>
          <w:noProof/>
          <w:lang w:val="pl-PL"/>
        </w:rPr>
        <w:t xml:space="preserve"> i</w:t>
      </w:r>
      <w:r w:rsidR="00F1653C">
        <w:rPr>
          <w:noProof/>
          <w:lang w:val="pl-PL"/>
        </w:rPr>
        <w:t> </w:t>
      </w:r>
      <w:r w:rsidR="00F1653C" w:rsidRPr="00E22450">
        <w:rPr>
          <w:noProof/>
          <w:lang w:val="pl-PL"/>
        </w:rPr>
        <w:t>reg</w:t>
      </w:r>
      <w:r w:rsidRPr="00E22450">
        <w:rPr>
          <w:noProof/>
          <w:lang w:val="pl-PL"/>
        </w:rPr>
        <w:t>ulacyjnej. Wstępne dowody empiryczne sugerują jednak, że gospodarka mogła skorzystać</w:t>
      </w:r>
      <w:r w:rsidR="00F1653C" w:rsidRPr="00E22450">
        <w:rPr>
          <w:noProof/>
          <w:lang w:val="pl-PL"/>
        </w:rPr>
        <w:t xml:space="preserve"> z</w:t>
      </w:r>
      <w:r w:rsidR="00F1653C">
        <w:rPr>
          <w:noProof/>
          <w:lang w:val="pl-PL"/>
        </w:rPr>
        <w:t> </w:t>
      </w:r>
      <w:r w:rsidR="00F1653C" w:rsidRPr="00E22450">
        <w:rPr>
          <w:noProof/>
          <w:lang w:val="pl-PL"/>
        </w:rPr>
        <w:t>wię</w:t>
      </w:r>
      <w:r w:rsidRPr="00E22450">
        <w:rPr>
          <w:noProof/>
          <w:lang w:val="pl-PL"/>
        </w:rPr>
        <w:t>kszej liczby możliwych do uwolnienia buforów kapitałowych</w:t>
      </w:r>
      <w:r w:rsidR="00F1653C" w:rsidRPr="00E22450">
        <w:rPr>
          <w:noProof/>
          <w:lang w:val="pl-PL"/>
        </w:rPr>
        <w:t xml:space="preserve"> w</w:t>
      </w:r>
      <w:r w:rsidR="00F1653C">
        <w:rPr>
          <w:noProof/>
          <w:lang w:val="pl-PL"/>
        </w:rPr>
        <w:t> </w:t>
      </w:r>
      <w:r w:rsidR="00F1653C" w:rsidRPr="00E22450">
        <w:rPr>
          <w:noProof/>
          <w:lang w:val="pl-PL"/>
        </w:rPr>
        <w:t>cel</w:t>
      </w:r>
      <w:r w:rsidRPr="00E22450">
        <w:rPr>
          <w:noProof/>
          <w:lang w:val="pl-PL"/>
        </w:rPr>
        <w:t>u stymulowania dodatkowej akcji kredytowej</w:t>
      </w:r>
      <w:r w:rsidR="00F1653C" w:rsidRPr="00E22450">
        <w:rPr>
          <w:noProof/>
          <w:lang w:val="pl-PL"/>
        </w:rPr>
        <w:t xml:space="preserve"> w</w:t>
      </w:r>
      <w:r w:rsidR="00F1653C">
        <w:rPr>
          <w:noProof/>
          <w:lang w:val="pl-PL"/>
        </w:rPr>
        <w:t> </w:t>
      </w:r>
      <w:r w:rsidR="00F1653C" w:rsidRPr="00E22450">
        <w:rPr>
          <w:noProof/>
          <w:lang w:val="pl-PL"/>
        </w:rPr>
        <w:t>cza</w:t>
      </w:r>
      <w:r w:rsidRPr="00E22450">
        <w:rPr>
          <w:noProof/>
          <w:lang w:val="pl-PL"/>
        </w:rPr>
        <w:t>sie kryzysu</w:t>
      </w:r>
      <w:r>
        <w:rPr>
          <w:rStyle w:val="FootnoteReference"/>
          <w:rFonts w:cs="Times New Roman"/>
          <w:noProof/>
        </w:rPr>
        <w:footnoteReference w:id="40"/>
      </w:r>
      <w:r w:rsidRPr="00E22450">
        <w:rPr>
          <w:noProof/>
          <w:lang w:val="pl-PL"/>
        </w:rPr>
        <w:t xml:space="preserve">. </w:t>
      </w:r>
    </w:p>
    <w:p w14:paraId="4105DFB5" w14:textId="4B25C597" w:rsidR="00241024" w:rsidRPr="00E22450" w:rsidRDefault="00241024" w:rsidP="004709F3">
      <w:pPr>
        <w:pStyle w:val="Heading2"/>
        <w:numPr>
          <w:ilvl w:val="0"/>
          <w:numId w:val="0"/>
        </w:numPr>
        <w:spacing w:after="120"/>
        <w:ind w:left="1077" w:hanging="601"/>
        <w:rPr>
          <w:rFonts w:ascii="Times New Roman" w:hAnsi="Times New Roman" w:cs="Times New Roman"/>
          <w:noProof/>
          <w:sz w:val="22"/>
          <w:lang w:val="pl-PL"/>
        </w:rPr>
      </w:pPr>
      <w:r w:rsidRPr="00E22450">
        <w:rPr>
          <w:rFonts w:ascii="Times New Roman" w:hAnsi="Times New Roman"/>
          <w:noProof/>
          <w:sz w:val="22"/>
          <w:lang w:val="pl-PL"/>
        </w:rPr>
        <w:t>Spójność</w:t>
      </w:r>
      <w:r w:rsidR="00F1653C" w:rsidRPr="00E22450">
        <w:rPr>
          <w:rFonts w:ascii="Times New Roman" w:hAnsi="Times New Roman"/>
          <w:noProof/>
          <w:sz w:val="22"/>
          <w:lang w:val="pl-PL"/>
        </w:rPr>
        <w:t xml:space="preserve"> w</w:t>
      </w:r>
      <w:r w:rsidR="00F1653C">
        <w:rPr>
          <w:rFonts w:ascii="Times New Roman" w:hAnsi="Times New Roman"/>
          <w:noProof/>
          <w:sz w:val="22"/>
          <w:lang w:val="pl-PL"/>
        </w:rPr>
        <w:t> </w:t>
      </w:r>
      <w:r w:rsidR="00F1653C" w:rsidRPr="00E22450">
        <w:rPr>
          <w:rFonts w:ascii="Times New Roman" w:hAnsi="Times New Roman"/>
          <w:noProof/>
          <w:sz w:val="22"/>
          <w:lang w:val="pl-PL"/>
        </w:rPr>
        <w:t>sto</w:t>
      </w:r>
      <w:r w:rsidRPr="00E22450">
        <w:rPr>
          <w:rFonts w:ascii="Times New Roman" w:hAnsi="Times New Roman"/>
          <w:noProof/>
          <w:sz w:val="22"/>
          <w:lang w:val="pl-PL"/>
        </w:rPr>
        <w:t xml:space="preserve">sowaniu przez organy krajowe narzędzi makroostrożnościowych dla banków </w:t>
      </w:r>
    </w:p>
    <w:p w14:paraId="19640BA8" w14:textId="2F28F5CB" w:rsidR="00241024" w:rsidRPr="00E22450" w:rsidRDefault="00241024" w:rsidP="004709F3">
      <w:pPr>
        <w:spacing w:after="120" w:line="240" w:lineRule="auto"/>
        <w:rPr>
          <w:rFonts w:cs="Times New Roman"/>
          <w:noProof/>
          <w:lang w:val="pl-PL"/>
        </w:rPr>
      </w:pPr>
      <w:r w:rsidRPr="00E22450">
        <w:rPr>
          <w:noProof/>
          <w:lang w:val="pl-PL"/>
        </w:rPr>
        <w:t>Chociaż uznaje się, że EBC</w:t>
      </w:r>
      <w:r w:rsidR="00F1653C" w:rsidRPr="00E22450">
        <w:rPr>
          <w:noProof/>
          <w:lang w:val="pl-PL"/>
        </w:rPr>
        <w:t xml:space="preserve"> i</w:t>
      </w:r>
      <w:r w:rsidR="00F1653C">
        <w:rPr>
          <w:noProof/>
          <w:lang w:val="pl-PL"/>
        </w:rPr>
        <w:t> </w:t>
      </w:r>
      <w:r w:rsidR="00F1653C" w:rsidRPr="00E22450">
        <w:rPr>
          <w:noProof/>
          <w:lang w:val="pl-PL"/>
        </w:rPr>
        <w:t>org</w:t>
      </w:r>
      <w:r w:rsidRPr="00E22450">
        <w:rPr>
          <w:noProof/>
          <w:lang w:val="pl-PL"/>
        </w:rPr>
        <w:t>any krajowe mają wspólne obowiązki</w:t>
      </w:r>
      <w:r w:rsidR="00F1653C" w:rsidRPr="00E22450">
        <w:rPr>
          <w:noProof/>
          <w:lang w:val="pl-PL"/>
        </w:rPr>
        <w:t xml:space="preserve"> w</w:t>
      </w:r>
      <w:r w:rsidR="00F1653C">
        <w:rPr>
          <w:noProof/>
          <w:lang w:val="pl-PL"/>
        </w:rPr>
        <w:t> </w:t>
      </w:r>
      <w:r w:rsidR="00F1653C" w:rsidRPr="00E22450">
        <w:rPr>
          <w:noProof/>
          <w:lang w:val="pl-PL"/>
        </w:rPr>
        <w:t>ram</w:t>
      </w:r>
      <w:r w:rsidRPr="00E22450">
        <w:rPr>
          <w:noProof/>
          <w:lang w:val="pl-PL"/>
        </w:rPr>
        <w:t xml:space="preserve">ach unii bankowej, </w:t>
      </w:r>
      <w:r w:rsidRPr="00E22450">
        <w:rPr>
          <w:b/>
          <w:noProof/>
          <w:lang w:val="pl-PL"/>
        </w:rPr>
        <w:t>stosowanie ram makroostrożnościowych w UE jest</w:t>
      </w:r>
      <w:r w:rsidR="00F1653C" w:rsidRPr="00E22450">
        <w:rPr>
          <w:b/>
          <w:noProof/>
          <w:lang w:val="pl-PL"/>
        </w:rPr>
        <w:t xml:space="preserve"> w</w:t>
      </w:r>
      <w:r w:rsidR="00F1653C">
        <w:rPr>
          <w:b/>
          <w:noProof/>
          <w:lang w:val="pl-PL"/>
        </w:rPr>
        <w:t> </w:t>
      </w:r>
      <w:r w:rsidR="00F1653C" w:rsidRPr="00E22450">
        <w:rPr>
          <w:b/>
          <w:noProof/>
          <w:lang w:val="pl-PL"/>
        </w:rPr>
        <w:t>zna</w:t>
      </w:r>
      <w:r w:rsidRPr="00E22450">
        <w:rPr>
          <w:b/>
          <w:noProof/>
          <w:lang w:val="pl-PL"/>
        </w:rPr>
        <w:t>cznym stopniu zdecentralizowane</w:t>
      </w:r>
      <w:r w:rsidRPr="00E22450">
        <w:rPr>
          <w:noProof/>
          <w:lang w:val="pl-PL"/>
        </w:rPr>
        <w:t>. Jest to uzasadnione faktem, że ryzyko systemowe</w:t>
      </w:r>
      <w:r w:rsidR="00F1653C" w:rsidRPr="00E22450">
        <w:rPr>
          <w:noProof/>
          <w:lang w:val="pl-PL"/>
        </w:rPr>
        <w:t xml:space="preserve"> i</w:t>
      </w:r>
      <w:r w:rsidR="00F1653C">
        <w:rPr>
          <w:noProof/>
          <w:lang w:val="pl-PL"/>
        </w:rPr>
        <w:t> </w:t>
      </w:r>
      <w:r w:rsidR="00F1653C" w:rsidRPr="00E22450">
        <w:rPr>
          <w:noProof/>
          <w:lang w:val="pl-PL"/>
        </w:rPr>
        <w:t>cyk</w:t>
      </w:r>
      <w:r w:rsidRPr="00E22450">
        <w:rPr>
          <w:noProof/>
          <w:lang w:val="pl-PL"/>
        </w:rPr>
        <w:t>le finansowe mogą się różnić</w:t>
      </w:r>
      <w:r w:rsidR="00F1653C" w:rsidRPr="00E22450">
        <w:rPr>
          <w:noProof/>
          <w:lang w:val="pl-PL"/>
        </w:rPr>
        <w:t xml:space="preserve"> w</w:t>
      </w:r>
      <w:r w:rsidR="00F1653C">
        <w:rPr>
          <w:noProof/>
          <w:lang w:val="pl-PL"/>
        </w:rPr>
        <w:t> </w:t>
      </w:r>
      <w:r w:rsidR="00F1653C" w:rsidRPr="00E22450">
        <w:rPr>
          <w:noProof/>
          <w:lang w:val="pl-PL"/>
        </w:rPr>
        <w:t>pos</w:t>
      </w:r>
      <w:r w:rsidRPr="00E22450">
        <w:rPr>
          <w:noProof/>
          <w:lang w:val="pl-PL"/>
        </w:rPr>
        <w:t>zczególnych państwach członkowskich, przy czym organy krajowe zasadniczo uznaje się za właściwe do identyfikowania takich ryzyk</w:t>
      </w:r>
      <w:r w:rsidR="00F1653C" w:rsidRPr="00E22450">
        <w:rPr>
          <w:noProof/>
          <w:lang w:val="pl-PL"/>
        </w:rPr>
        <w:t xml:space="preserve"> i</w:t>
      </w:r>
      <w:r w:rsidR="00F1653C">
        <w:rPr>
          <w:noProof/>
          <w:lang w:val="pl-PL"/>
        </w:rPr>
        <w:t> </w:t>
      </w:r>
      <w:r w:rsidR="00F1653C" w:rsidRPr="00E22450">
        <w:rPr>
          <w:noProof/>
          <w:lang w:val="pl-PL"/>
        </w:rPr>
        <w:t>sku</w:t>
      </w:r>
      <w:r w:rsidRPr="00E22450">
        <w:rPr>
          <w:noProof/>
          <w:lang w:val="pl-PL"/>
        </w:rPr>
        <w:t>tecznego zarządzania nimi. Modelu tego nie zawsze da się jednak pogodzić</w:t>
      </w:r>
      <w:r w:rsidR="00F1653C" w:rsidRPr="00E22450">
        <w:rPr>
          <w:noProof/>
          <w:lang w:val="pl-PL"/>
        </w:rPr>
        <w:t xml:space="preserve"> z</w:t>
      </w:r>
      <w:r w:rsidR="00F1653C">
        <w:rPr>
          <w:noProof/>
          <w:lang w:val="pl-PL"/>
        </w:rPr>
        <w:t> </w:t>
      </w:r>
      <w:r w:rsidR="00F1653C" w:rsidRPr="00E22450">
        <w:rPr>
          <w:noProof/>
          <w:lang w:val="pl-PL"/>
        </w:rPr>
        <w:t>fun</w:t>
      </w:r>
      <w:r w:rsidRPr="00E22450">
        <w:rPr>
          <w:noProof/>
          <w:lang w:val="pl-PL"/>
        </w:rPr>
        <w:t>kcjonowaniem jednolitego rynku. Konieczna jest harmonizacja niektórych aspektów zestawu narzędzi makroostrożnościowych</w:t>
      </w:r>
      <w:r w:rsidR="00F1653C" w:rsidRPr="00E22450">
        <w:rPr>
          <w:noProof/>
          <w:lang w:val="pl-PL"/>
        </w:rPr>
        <w:t xml:space="preserve"> w</w:t>
      </w:r>
      <w:r w:rsidR="00F1653C">
        <w:rPr>
          <w:noProof/>
          <w:lang w:val="pl-PL"/>
        </w:rPr>
        <w:t> </w:t>
      </w:r>
      <w:r w:rsidR="00F1653C" w:rsidRPr="00E22450">
        <w:rPr>
          <w:noProof/>
          <w:lang w:val="pl-PL"/>
        </w:rPr>
        <w:t>cel</w:t>
      </w:r>
      <w:r w:rsidRPr="00E22450">
        <w:rPr>
          <w:noProof/>
          <w:lang w:val="pl-PL"/>
        </w:rPr>
        <w:t xml:space="preserve">u zapewnienia równych warunków działania. </w:t>
      </w:r>
    </w:p>
    <w:p w14:paraId="2E1FEAE6" w14:textId="4471B6CF" w:rsidR="00241024" w:rsidRPr="00F1653C" w:rsidRDefault="00241024" w:rsidP="004709F3">
      <w:pPr>
        <w:spacing w:after="120" w:line="240" w:lineRule="auto"/>
        <w:rPr>
          <w:rFonts w:cs="Times New Roman"/>
          <w:noProof/>
          <w:lang w:val="pl-PL"/>
        </w:rPr>
      </w:pPr>
      <w:r w:rsidRPr="00E22450">
        <w:rPr>
          <w:noProof/>
          <w:lang w:val="pl-PL"/>
        </w:rPr>
        <w:t>Z jednej strony krajowe środki makroostrożnościowe mogą nie być skuteczne, jeżeli mogą być na przykład obchodzone</w:t>
      </w:r>
      <w:r w:rsidR="00F1653C" w:rsidRPr="00E22450">
        <w:rPr>
          <w:noProof/>
          <w:lang w:val="pl-PL"/>
        </w:rPr>
        <w:t xml:space="preserve"> w</w:t>
      </w:r>
      <w:r w:rsidR="00F1653C">
        <w:rPr>
          <w:noProof/>
          <w:lang w:val="pl-PL"/>
        </w:rPr>
        <w:t> </w:t>
      </w:r>
      <w:r w:rsidR="00F1653C" w:rsidRPr="00E22450">
        <w:rPr>
          <w:noProof/>
          <w:lang w:val="pl-PL"/>
        </w:rPr>
        <w:t>dzi</w:t>
      </w:r>
      <w:r w:rsidRPr="00E22450">
        <w:rPr>
          <w:noProof/>
          <w:lang w:val="pl-PL"/>
        </w:rPr>
        <w:t>ałalności transgranicznej. Problem ten można rozwiązać poprzez „wzajemność”, tj. stosowanie równoważnych środków przez organy krajowe innych państw członkowskich</w:t>
      </w:r>
      <w:r w:rsidR="00F1653C" w:rsidRPr="00E22450">
        <w:rPr>
          <w:noProof/>
          <w:lang w:val="pl-PL"/>
        </w:rPr>
        <w:t xml:space="preserve"> w</w:t>
      </w:r>
      <w:r w:rsidR="00F1653C">
        <w:rPr>
          <w:noProof/>
          <w:lang w:val="pl-PL"/>
        </w:rPr>
        <w:t> </w:t>
      </w:r>
      <w:r w:rsidR="00F1653C" w:rsidRPr="00E22450">
        <w:rPr>
          <w:noProof/>
          <w:lang w:val="pl-PL"/>
        </w:rPr>
        <w:t>odn</w:t>
      </w:r>
      <w:r w:rsidRPr="00E22450">
        <w:rPr>
          <w:noProof/>
          <w:lang w:val="pl-PL"/>
        </w:rPr>
        <w:t>iesieniu do banków prowadzących działalność transgraniczną</w:t>
      </w:r>
      <w:r w:rsidR="00F1653C" w:rsidRPr="00E22450">
        <w:rPr>
          <w:noProof/>
          <w:lang w:val="pl-PL"/>
        </w:rPr>
        <w:t xml:space="preserve"> w</w:t>
      </w:r>
      <w:r w:rsidR="00F1653C">
        <w:rPr>
          <w:noProof/>
          <w:lang w:val="pl-PL"/>
        </w:rPr>
        <w:t> </w:t>
      </w:r>
      <w:r w:rsidR="00F1653C" w:rsidRPr="00E22450">
        <w:rPr>
          <w:noProof/>
          <w:lang w:val="pl-PL"/>
        </w:rPr>
        <w:t>pań</w:t>
      </w:r>
      <w:r w:rsidRPr="00E22450">
        <w:rPr>
          <w:noProof/>
          <w:lang w:val="pl-PL"/>
        </w:rPr>
        <w:t>stwie, które nałożyło krajowy środek makroostrożnościowy</w:t>
      </w:r>
      <w:r w:rsidR="00F1653C" w:rsidRPr="00E22450">
        <w:rPr>
          <w:noProof/>
          <w:lang w:val="pl-PL"/>
        </w:rPr>
        <w:t>. Z</w:t>
      </w:r>
      <w:r w:rsidR="00F1653C">
        <w:rPr>
          <w:noProof/>
          <w:lang w:val="pl-PL"/>
        </w:rPr>
        <w:t> </w:t>
      </w:r>
      <w:r w:rsidR="00F1653C" w:rsidRPr="00E22450">
        <w:rPr>
          <w:noProof/>
          <w:lang w:val="pl-PL"/>
        </w:rPr>
        <w:t>dru</w:t>
      </w:r>
      <w:r w:rsidRPr="00E22450">
        <w:rPr>
          <w:noProof/>
          <w:lang w:val="pl-PL"/>
        </w:rPr>
        <w:t>giej strony bufor kapitałowy</w:t>
      </w:r>
      <w:r w:rsidR="00F1653C" w:rsidRPr="00E22450">
        <w:rPr>
          <w:noProof/>
          <w:lang w:val="pl-PL"/>
        </w:rPr>
        <w:t xml:space="preserve"> i</w:t>
      </w:r>
      <w:r w:rsidR="00F1653C">
        <w:rPr>
          <w:noProof/>
          <w:lang w:val="pl-PL"/>
        </w:rPr>
        <w:t> </w:t>
      </w:r>
      <w:r w:rsidR="00F1653C" w:rsidRPr="00E22450">
        <w:rPr>
          <w:noProof/>
          <w:lang w:val="pl-PL"/>
        </w:rPr>
        <w:t>wag</w:t>
      </w:r>
      <w:r w:rsidRPr="00E22450">
        <w:rPr>
          <w:noProof/>
          <w:lang w:val="pl-PL"/>
        </w:rPr>
        <w:t>i ryzyka można również wykorzystać do nadmiernego ograniczania swobodnego przepływu kapitału</w:t>
      </w:r>
      <w:r w:rsidR="00F1653C" w:rsidRPr="00E22450">
        <w:rPr>
          <w:noProof/>
          <w:lang w:val="pl-PL"/>
        </w:rPr>
        <w:t xml:space="preserve"> i</w:t>
      </w:r>
      <w:r w:rsidR="00F1653C">
        <w:rPr>
          <w:noProof/>
          <w:lang w:val="pl-PL"/>
        </w:rPr>
        <w:t> </w:t>
      </w:r>
      <w:r w:rsidR="00F1653C" w:rsidRPr="00E22450">
        <w:rPr>
          <w:noProof/>
          <w:lang w:val="pl-PL"/>
        </w:rPr>
        <w:t>zmu</w:t>
      </w:r>
      <w:r w:rsidRPr="00E22450">
        <w:rPr>
          <w:noProof/>
          <w:lang w:val="pl-PL"/>
        </w:rPr>
        <w:t>szenia transgranicznych grup bankowych do utrzymania wyższych wymogów kapitałowych</w:t>
      </w:r>
      <w:r w:rsidR="00F1653C" w:rsidRPr="00E22450">
        <w:rPr>
          <w:noProof/>
          <w:lang w:val="pl-PL"/>
        </w:rPr>
        <w:t xml:space="preserve"> w</w:t>
      </w:r>
      <w:r w:rsidR="00F1653C">
        <w:rPr>
          <w:noProof/>
          <w:lang w:val="pl-PL"/>
        </w:rPr>
        <w:t> </w:t>
      </w:r>
      <w:r w:rsidR="00F1653C" w:rsidRPr="00E22450">
        <w:rPr>
          <w:noProof/>
          <w:lang w:val="pl-PL"/>
        </w:rPr>
        <w:t>pań</w:t>
      </w:r>
      <w:r w:rsidRPr="00E22450">
        <w:rPr>
          <w:noProof/>
          <w:lang w:val="pl-PL"/>
        </w:rPr>
        <w:t>stwach przyjmujących. Może to potencjalnie zmniejszyć koszty upadłości banków</w:t>
      </w:r>
      <w:r w:rsidR="00F1653C" w:rsidRPr="00E22450">
        <w:rPr>
          <w:noProof/>
          <w:lang w:val="pl-PL"/>
        </w:rPr>
        <w:t xml:space="preserve"> w</w:t>
      </w:r>
      <w:r w:rsidR="00F1653C">
        <w:rPr>
          <w:noProof/>
          <w:lang w:val="pl-PL"/>
        </w:rPr>
        <w:t> </w:t>
      </w:r>
      <w:r w:rsidR="00F1653C" w:rsidRPr="00E22450">
        <w:rPr>
          <w:noProof/>
          <w:lang w:val="pl-PL"/>
        </w:rPr>
        <w:t>kra</w:t>
      </w:r>
      <w:r w:rsidRPr="00E22450">
        <w:rPr>
          <w:noProof/>
          <w:lang w:val="pl-PL"/>
        </w:rPr>
        <w:t>jach przyjmujących, ale może również zaszkodzić efektywności bankowości transgranicznej. ERRS, EBC, EUNB</w:t>
      </w:r>
      <w:r w:rsidR="00F1653C" w:rsidRPr="00E22450">
        <w:rPr>
          <w:noProof/>
          <w:lang w:val="pl-PL"/>
        </w:rPr>
        <w:t xml:space="preserve"> i</w:t>
      </w:r>
      <w:r w:rsidR="00F1653C">
        <w:rPr>
          <w:noProof/>
          <w:lang w:val="pl-PL"/>
        </w:rPr>
        <w:t> </w:t>
      </w:r>
      <w:r w:rsidR="00F1653C" w:rsidRPr="00E22450">
        <w:rPr>
          <w:noProof/>
          <w:lang w:val="pl-PL"/>
        </w:rPr>
        <w:t>Kom</w:t>
      </w:r>
      <w:r w:rsidRPr="00E22450">
        <w:rPr>
          <w:noProof/>
          <w:lang w:val="pl-PL"/>
        </w:rPr>
        <w:t>isja Europejska posiadają pewne uprawnienia</w:t>
      </w:r>
      <w:r w:rsidR="00F1653C" w:rsidRPr="00E22450">
        <w:rPr>
          <w:noProof/>
          <w:lang w:val="pl-PL"/>
        </w:rPr>
        <w:t xml:space="preserve"> w</w:t>
      </w:r>
      <w:r w:rsidR="00F1653C">
        <w:rPr>
          <w:noProof/>
          <w:lang w:val="pl-PL"/>
        </w:rPr>
        <w:t> </w:t>
      </w:r>
      <w:r w:rsidR="00F1653C" w:rsidRPr="00E22450">
        <w:rPr>
          <w:noProof/>
          <w:lang w:val="pl-PL"/>
        </w:rPr>
        <w:t>ram</w:t>
      </w:r>
      <w:r w:rsidRPr="00E22450">
        <w:rPr>
          <w:noProof/>
          <w:lang w:val="pl-PL"/>
        </w:rPr>
        <w:t>ach szczegółowych procedur koordynacji polityki makroostrożnościowej</w:t>
      </w:r>
      <w:r w:rsidR="00F1653C" w:rsidRPr="00E22450">
        <w:rPr>
          <w:noProof/>
          <w:lang w:val="pl-PL"/>
        </w:rPr>
        <w:t xml:space="preserve"> i</w:t>
      </w:r>
      <w:r w:rsidR="00F1653C">
        <w:rPr>
          <w:noProof/>
          <w:lang w:val="pl-PL"/>
        </w:rPr>
        <w:t> </w:t>
      </w:r>
      <w:r w:rsidR="00F1653C" w:rsidRPr="00E22450">
        <w:rPr>
          <w:noProof/>
          <w:lang w:val="pl-PL"/>
        </w:rPr>
        <w:t>pro</w:t>
      </w:r>
      <w:r w:rsidRPr="00E22450">
        <w:rPr>
          <w:noProof/>
          <w:lang w:val="pl-PL"/>
        </w:rPr>
        <w:t xml:space="preserve">mowania integralności jednolitego rynku, ale ich </w:t>
      </w:r>
      <w:r w:rsidRPr="00E22450">
        <w:rPr>
          <w:b/>
          <w:noProof/>
          <w:lang w:val="pl-PL"/>
        </w:rPr>
        <w:t>zdolność do zapewnienia spójności</w:t>
      </w:r>
      <w:r w:rsidRPr="00E22450">
        <w:rPr>
          <w:noProof/>
          <w:lang w:val="pl-PL"/>
        </w:rPr>
        <w:t xml:space="preserve"> podejść organów krajowych jest ograniczona</w:t>
      </w:r>
      <w:r>
        <w:rPr>
          <w:rStyle w:val="FootnoteReference"/>
          <w:rFonts w:cs="Times New Roman"/>
          <w:noProof/>
        </w:rPr>
        <w:footnoteReference w:id="41"/>
      </w:r>
      <w:r w:rsidRPr="00F1653C">
        <w:rPr>
          <w:noProof/>
          <w:lang w:val="pl-PL"/>
        </w:rPr>
        <w:t>.</w:t>
      </w:r>
      <w:r w:rsidR="00F1653C" w:rsidRPr="00F1653C">
        <w:rPr>
          <w:rStyle w:val="FootnoteReference"/>
          <w:noProof/>
          <w:lang w:val="pl-PL"/>
        </w:rPr>
        <w:t xml:space="preserve"> </w:t>
      </w:r>
    </w:p>
    <w:p w14:paraId="19833C3E" w14:textId="6EE7922D" w:rsidR="00241024" w:rsidRPr="00E22450" w:rsidRDefault="00241024" w:rsidP="004709F3">
      <w:pPr>
        <w:spacing w:after="120" w:line="240" w:lineRule="auto"/>
        <w:rPr>
          <w:rFonts w:cs="Times New Roman"/>
          <w:noProof/>
          <w:lang w:val="pl-PL"/>
        </w:rPr>
      </w:pPr>
      <w:r w:rsidRPr="00E22450">
        <w:rPr>
          <w:noProof/>
          <w:lang w:val="pl-PL"/>
        </w:rPr>
        <w:t>Identyfikacja innych instytucji</w:t>
      </w:r>
      <w:r w:rsidR="00F1653C" w:rsidRPr="00E22450">
        <w:rPr>
          <w:noProof/>
          <w:lang w:val="pl-PL"/>
        </w:rPr>
        <w:t xml:space="preserve"> o</w:t>
      </w:r>
      <w:r w:rsidR="00F1653C">
        <w:rPr>
          <w:noProof/>
          <w:lang w:val="pl-PL"/>
        </w:rPr>
        <w:t> </w:t>
      </w:r>
      <w:r w:rsidR="00F1653C" w:rsidRPr="00E22450">
        <w:rPr>
          <w:noProof/>
          <w:lang w:val="pl-PL"/>
        </w:rPr>
        <w:t>zna</w:t>
      </w:r>
      <w:r w:rsidRPr="00E22450">
        <w:rPr>
          <w:noProof/>
          <w:lang w:val="pl-PL"/>
        </w:rPr>
        <w:t>czeniu systemowym (O-SII)</w:t>
      </w:r>
      <w:r w:rsidR="00F1653C" w:rsidRPr="00E22450">
        <w:rPr>
          <w:noProof/>
          <w:lang w:val="pl-PL"/>
        </w:rPr>
        <w:t xml:space="preserve"> i</w:t>
      </w:r>
      <w:r w:rsidR="00F1653C">
        <w:rPr>
          <w:noProof/>
          <w:lang w:val="pl-PL"/>
        </w:rPr>
        <w:t> </w:t>
      </w:r>
      <w:r w:rsidR="00F1653C" w:rsidRPr="00E22450">
        <w:rPr>
          <w:noProof/>
          <w:lang w:val="pl-PL"/>
        </w:rPr>
        <w:t>kal</w:t>
      </w:r>
      <w:r w:rsidRPr="00E22450">
        <w:rPr>
          <w:noProof/>
          <w:lang w:val="pl-PL"/>
        </w:rPr>
        <w:t>ibracja wskaźników bufora O-SII nie odbywa się</w:t>
      </w:r>
      <w:r w:rsidR="00F1653C" w:rsidRPr="00E22450">
        <w:rPr>
          <w:noProof/>
          <w:lang w:val="pl-PL"/>
        </w:rPr>
        <w:t xml:space="preserve"> w</w:t>
      </w:r>
      <w:r w:rsidR="00F1653C">
        <w:rPr>
          <w:noProof/>
          <w:lang w:val="pl-PL"/>
        </w:rPr>
        <w:t> </w:t>
      </w:r>
      <w:r w:rsidR="00F1653C" w:rsidRPr="00E22450">
        <w:rPr>
          <w:noProof/>
          <w:lang w:val="pl-PL"/>
        </w:rPr>
        <w:t>spo</w:t>
      </w:r>
      <w:r w:rsidRPr="00E22450">
        <w:rPr>
          <w:noProof/>
          <w:lang w:val="pl-PL"/>
        </w:rPr>
        <w:t>sób spójny na jednolitym rynku.</w:t>
      </w:r>
      <w:r>
        <w:rPr>
          <w:rStyle w:val="FootnoteReference"/>
          <w:rFonts w:cs="Times New Roman"/>
          <w:noProof/>
        </w:rPr>
        <w:footnoteReference w:id="42"/>
      </w:r>
      <w:r w:rsidRPr="00F1653C">
        <w:rPr>
          <w:noProof/>
          <w:lang w:val="pl-PL"/>
        </w:rPr>
        <w:t>.</w:t>
      </w:r>
      <w:r w:rsidR="00F1653C" w:rsidRPr="00F1653C">
        <w:rPr>
          <w:rStyle w:val="FootnoteReference"/>
          <w:noProof/>
          <w:lang w:val="pl-PL"/>
        </w:rPr>
        <w:t xml:space="preserve"> </w:t>
      </w:r>
      <w:r w:rsidRPr="00F1653C">
        <w:rPr>
          <w:noProof/>
          <w:lang w:val="pl-PL"/>
        </w:rPr>
        <w:t>N</w:t>
      </w:r>
      <w:r w:rsidRPr="00E22450">
        <w:rPr>
          <w:noProof/>
          <w:lang w:val="pl-PL"/>
        </w:rPr>
        <w:t>a przykład O-SII</w:t>
      </w:r>
      <w:r w:rsidR="00F1653C" w:rsidRPr="00E22450">
        <w:rPr>
          <w:noProof/>
          <w:lang w:val="pl-PL"/>
        </w:rPr>
        <w:t xml:space="preserve"> o</w:t>
      </w:r>
      <w:r w:rsidR="00F1653C">
        <w:rPr>
          <w:noProof/>
          <w:lang w:val="pl-PL"/>
        </w:rPr>
        <w:t> </w:t>
      </w:r>
      <w:r w:rsidR="00F1653C" w:rsidRPr="00E22450">
        <w:rPr>
          <w:noProof/>
          <w:lang w:val="pl-PL"/>
        </w:rPr>
        <w:t>pod</w:t>
      </w:r>
      <w:r w:rsidRPr="00E22450">
        <w:rPr>
          <w:noProof/>
          <w:lang w:val="pl-PL"/>
        </w:rPr>
        <w:t>obnych wynikach opartych na standardowej metodzie EUNB dotyczącej kryteriów oceny O-SII są zobowiązane do utrzymania różnych wskaźników bufora innej O-SII. Tej niejednorodności nie można</w:t>
      </w:r>
      <w:r w:rsidR="00F1653C" w:rsidRPr="00E22450">
        <w:rPr>
          <w:noProof/>
          <w:lang w:val="pl-PL"/>
        </w:rPr>
        <w:t xml:space="preserve"> w</w:t>
      </w:r>
      <w:r w:rsidR="00F1653C">
        <w:rPr>
          <w:noProof/>
          <w:lang w:val="pl-PL"/>
        </w:rPr>
        <w:t> </w:t>
      </w:r>
      <w:r w:rsidR="00F1653C" w:rsidRPr="00E22450">
        <w:rPr>
          <w:noProof/>
          <w:lang w:val="pl-PL"/>
        </w:rPr>
        <w:t>peł</w:t>
      </w:r>
      <w:r w:rsidRPr="00E22450">
        <w:rPr>
          <w:noProof/>
          <w:lang w:val="pl-PL"/>
        </w:rPr>
        <w:t>ni wytłumaczyć szczególnymi warunkami gospodarczymi lub warunkami na rynku finansowym</w:t>
      </w:r>
      <w:r w:rsidR="00F1653C" w:rsidRPr="00E22450">
        <w:rPr>
          <w:noProof/>
          <w:lang w:val="pl-PL"/>
        </w:rPr>
        <w:t xml:space="preserve"> w</w:t>
      </w:r>
      <w:r w:rsidR="00F1653C">
        <w:rPr>
          <w:noProof/>
          <w:lang w:val="pl-PL"/>
        </w:rPr>
        <w:t> </w:t>
      </w:r>
      <w:r w:rsidR="00F1653C" w:rsidRPr="00E22450">
        <w:rPr>
          <w:noProof/>
          <w:lang w:val="pl-PL"/>
        </w:rPr>
        <w:t>pań</w:t>
      </w:r>
      <w:r w:rsidRPr="00E22450">
        <w:rPr>
          <w:noProof/>
          <w:lang w:val="pl-PL"/>
        </w:rPr>
        <w:t>stwach członkowskich, takimi jak wielkość lub koncentracja sektora bankowego, co stanowi problem dla jednolitego rynku</w:t>
      </w:r>
      <w:r w:rsidR="00F1653C" w:rsidRPr="00E22450">
        <w:rPr>
          <w:noProof/>
          <w:lang w:val="pl-PL"/>
        </w:rPr>
        <w:t xml:space="preserve"> i</w:t>
      </w:r>
      <w:r w:rsidR="00F1653C">
        <w:rPr>
          <w:noProof/>
          <w:lang w:val="pl-PL"/>
        </w:rPr>
        <w:t> </w:t>
      </w:r>
      <w:r w:rsidR="00F1653C" w:rsidRPr="00E22450">
        <w:rPr>
          <w:noProof/>
          <w:lang w:val="pl-PL"/>
        </w:rPr>
        <w:t>uni</w:t>
      </w:r>
      <w:r w:rsidRPr="00E22450">
        <w:rPr>
          <w:noProof/>
          <w:lang w:val="pl-PL"/>
        </w:rPr>
        <w:t>i bankowej. Niektóre</w:t>
      </w:r>
      <w:r w:rsidR="00F1653C" w:rsidRPr="00E22450">
        <w:rPr>
          <w:noProof/>
          <w:lang w:val="pl-PL"/>
        </w:rPr>
        <w:t xml:space="preserve"> z</w:t>
      </w:r>
      <w:r w:rsidR="00F1653C">
        <w:rPr>
          <w:noProof/>
          <w:lang w:val="pl-PL"/>
        </w:rPr>
        <w:t> </w:t>
      </w:r>
      <w:r w:rsidR="00F1653C" w:rsidRPr="00E22450">
        <w:rPr>
          <w:noProof/>
          <w:lang w:val="pl-PL"/>
        </w:rPr>
        <w:t>tyc</w:t>
      </w:r>
      <w:r w:rsidRPr="00E22450">
        <w:rPr>
          <w:noProof/>
          <w:lang w:val="pl-PL"/>
        </w:rPr>
        <w:t>h różnic można przypisać temu, że niektóre państwa członkowskie stosowały bufor SyRB zamiast bufora innej instytucji</w:t>
      </w:r>
      <w:r w:rsidR="00F1653C" w:rsidRPr="00E22450">
        <w:rPr>
          <w:noProof/>
          <w:lang w:val="pl-PL"/>
        </w:rPr>
        <w:t xml:space="preserve"> o</w:t>
      </w:r>
      <w:r w:rsidR="00F1653C">
        <w:rPr>
          <w:noProof/>
          <w:lang w:val="pl-PL"/>
        </w:rPr>
        <w:t> </w:t>
      </w:r>
      <w:r w:rsidR="00F1653C" w:rsidRPr="00E22450">
        <w:rPr>
          <w:noProof/>
          <w:lang w:val="pl-PL"/>
        </w:rPr>
        <w:t>zna</w:t>
      </w:r>
      <w:r w:rsidRPr="00E22450">
        <w:rPr>
          <w:noProof/>
          <w:lang w:val="pl-PL"/>
        </w:rPr>
        <w:t>czeniu systemowym lub oprócz niego</w:t>
      </w:r>
      <w:r w:rsidR="00F1653C" w:rsidRPr="00E22450">
        <w:rPr>
          <w:noProof/>
          <w:lang w:val="pl-PL"/>
        </w:rPr>
        <w:t xml:space="preserve"> w</w:t>
      </w:r>
      <w:r w:rsidR="00F1653C">
        <w:rPr>
          <w:noProof/>
          <w:lang w:val="pl-PL"/>
        </w:rPr>
        <w:t> </w:t>
      </w:r>
      <w:r w:rsidR="00F1653C" w:rsidRPr="00E22450">
        <w:rPr>
          <w:noProof/>
          <w:lang w:val="pl-PL"/>
        </w:rPr>
        <w:t>cel</w:t>
      </w:r>
      <w:r w:rsidRPr="00E22450">
        <w:rPr>
          <w:noProof/>
          <w:lang w:val="pl-PL"/>
        </w:rPr>
        <w:t xml:space="preserve">u przeciwdziałania tym zagrożeniom. </w:t>
      </w:r>
      <w:r w:rsidRPr="00E22450">
        <w:rPr>
          <w:b/>
          <w:noProof/>
          <w:lang w:val="pl-PL"/>
        </w:rPr>
        <w:t>Niejednorodność</w:t>
      </w:r>
      <w:r w:rsidR="00F1653C" w:rsidRPr="00E22450">
        <w:rPr>
          <w:noProof/>
          <w:lang w:val="pl-PL"/>
        </w:rPr>
        <w:t xml:space="preserve"> w</w:t>
      </w:r>
      <w:r w:rsidR="00F1653C">
        <w:rPr>
          <w:noProof/>
          <w:lang w:val="pl-PL"/>
        </w:rPr>
        <w:t> </w:t>
      </w:r>
      <w:r w:rsidR="00F1653C" w:rsidRPr="00E22450">
        <w:rPr>
          <w:noProof/>
          <w:lang w:val="pl-PL"/>
        </w:rPr>
        <w:t>ust</w:t>
      </w:r>
      <w:r w:rsidRPr="00E22450">
        <w:rPr>
          <w:noProof/>
          <w:lang w:val="pl-PL"/>
        </w:rPr>
        <w:t>alaniu buforów innych instytucji</w:t>
      </w:r>
      <w:r w:rsidR="00F1653C" w:rsidRPr="00E22450">
        <w:rPr>
          <w:noProof/>
          <w:lang w:val="pl-PL"/>
        </w:rPr>
        <w:t xml:space="preserve"> o</w:t>
      </w:r>
      <w:r w:rsidR="00F1653C">
        <w:rPr>
          <w:noProof/>
          <w:lang w:val="pl-PL"/>
        </w:rPr>
        <w:t> </w:t>
      </w:r>
      <w:r w:rsidR="00F1653C" w:rsidRPr="00E22450">
        <w:rPr>
          <w:noProof/>
          <w:lang w:val="pl-PL"/>
        </w:rPr>
        <w:t>zna</w:t>
      </w:r>
      <w:r w:rsidRPr="00E22450">
        <w:rPr>
          <w:noProof/>
          <w:lang w:val="pl-PL"/>
        </w:rPr>
        <w:t>czeniu systemowym wymaga dalszej oceny</w:t>
      </w:r>
      <w:r>
        <w:rPr>
          <w:rStyle w:val="FootnoteReference"/>
          <w:noProof/>
        </w:rPr>
        <w:footnoteReference w:id="43"/>
      </w:r>
      <w:r w:rsidRPr="00E22450">
        <w:rPr>
          <w:noProof/>
          <w:lang w:val="pl-PL"/>
        </w:rPr>
        <w:t xml:space="preserve">. </w:t>
      </w:r>
    </w:p>
    <w:p w14:paraId="5AAAE353" w14:textId="610E7C56" w:rsidR="00241024" w:rsidRPr="00E22450" w:rsidRDefault="00241024" w:rsidP="004709F3">
      <w:pPr>
        <w:spacing w:after="120" w:line="240" w:lineRule="auto"/>
        <w:rPr>
          <w:rFonts w:cs="Times New Roman"/>
          <w:noProof/>
          <w:lang w:val="pl-PL"/>
        </w:rPr>
      </w:pPr>
      <w:r w:rsidRPr="00E22450">
        <w:rPr>
          <w:noProof/>
          <w:lang w:val="pl-PL"/>
        </w:rPr>
        <w:t>SyRB – najbardziej elastyczny bufor – wykorzystuje się</w:t>
      </w:r>
      <w:r w:rsidR="00F1653C" w:rsidRPr="00E22450">
        <w:rPr>
          <w:noProof/>
          <w:lang w:val="pl-PL"/>
        </w:rPr>
        <w:t xml:space="preserve"> w</w:t>
      </w:r>
      <w:r w:rsidR="00F1653C">
        <w:rPr>
          <w:noProof/>
          <w:lang w:val="pl-PL"/>
        </w:rPr>
        <w:t> </w:t>
      </w:r>
      <w:r w:rsidR="00F1653C" w:rsidRPr="00E22450">
        <w:rPr>
          <w:noProof/>
          <w:lang w:val="pl-PL"/>
        </w:rPr>
        <w:t>raz</w:t>
      </w:r>
      <w:r w:rsidRPr="00E22450">
        <w:rPr>
          <w:noProof/>
          <w:lang w:val="pl-PL"/>
        </w:rPr>
        <w:t>ie konieczności stawienia czoła szerokiemu zakresowi ryzyka systemowego,</w:t>
      </w:r>
      <w:r w:rsidR="00F1653C" w:rsidRPr="00E22450">
        <w:rPr>
          <w:noProof/>
          <w:lang w:val="pl-PL"/>
        </w:rPr>
        <w:t xml:space="preserve"> w</w:t>
      </w:r>
      <w:r w:rsidR="00F1653C">
        <w:rPr>
          <w:noProof/>
          <w:lang w:val="pl-PL"/>
        </w:rPr>
        <w:t> </w:t>
      </w:r>
      <w:r w:rsidR="00F1653C" w:rsidRPr="00E22450">
        <w:rPr>
          <w:noProof/>
          <w:lang w:val="pl-PL"/>
        </w:rPr>
        <w:t>tym</w:t>
      </w:r>
      <w:r w:rsidRPr="00E22450">
        <w:rPr>
          <w:noProof/>
          <w:lang w:val="pl-PL"/>
        </w:rPr>
        <w:t xml:space="preserve"> wspólnych ekspozycji geograficznych, zadłużenia sektora publicznego</w:t>
      </w:r>
      <w:r w:rsidR="00F1653C" w:rsidRPr="00E22450">
        <w:rPr>
          <w:noProof/>
          <w:lang w:val="pl-PL"/>
        </w:rPr>
        <w:t xml:space="preserve"> i</w:t>
      </w:r>
      <w:r w:rsidR="00F1653C">
        <w:rPr>
          <w:noProof/>
          <w:lang w:val="pl-PL"/>
        </w:rPr>
        <w:t> </w:t>
      </w:r>
      <w:r w:rsidR="00F1653C" w:rsidRPr="00E22450">
        <w:rPr>
          <w:noProof/>
          <w:lang w:val="pl-PL"/>
        </w:rPr>
        <w:t>pry</w:t>
      </w:r>
      <w:r w:rsidRPr="00E22450">
        <w:rPr>
          <w:noProof/>
          <w:lang w:val="pl-PL"/>
        </w:rPr>
        <w:t xml:space="preserve">watnego, wielkości sektora bankowego wyrażonej jako odsetek PKB oraz wstrząsów zewnętrznych dla gospodarki. Elastyczność ta może jednak budzić obawy co do </w:t>
      </w:r>
      <w:r w:rsidRPr="00E22450">
        <w:rPr>
          <w:b/>
          <w:noProof/>
          <w:lang w:val="pl-PL"/>
        </w:rPr>
        <w:t>arbitralności</w:t>
      </w:r>
      <w:r w:rsidR="00F1653C" w:rsidRPr="00E22450">
        <w:rPr>
          <w:b/>
          <w:noProof/>
          <w:lang w:val="pl-PL"/>
        </w:rPr>
        <w:t xml:space="preserve"> i</w:t>
      </w:r>
      <w:r w:rsidR="00F1653C">
        <w:rPr>
          <w:b/>
          <w:noProof/>
          <w:lang w:val="pl-PL"/>
        </w:rPr>
        <w:t> </w:t>
      </w:r>
      <w:r w:rsidR="00F1653C" w:rsidRPr="00E22450">
        <w:rPr>
          <w:b/>
          <w:noProof/>
          <w:lang w:val="pl-PL"/>
        </w:rPr>
        <w:t>pow</w:t>
      </w:r>
      <w:r w:rsidRPr="00E22450">
        <w:rPr>
          <w:b/>
          <w:noProof/>
          <w:lang w:val="pl-PL"/>
        </w:rPr>
        <w:t>ielania wymogów ostrożnościowych</w:t>
      </w:r>
      <w:r w:rsidRPr="00E22450">
        <w:rPr>
          <w:noProof/>
          <w:lang w:val="pl-PL"/>
        </w:rPr>
        <w:t xml:space="preserve">. Ponadto </w:t>
      </w:r>
      <w:r w:rsidRPr="00F1653C">
        <w:rPr>
          <w:noProof/>
          <w:lang w:val="pl-PL"/>
        </w:rPr>
        <w:t>art.</w:t>
      </w:r>
      <w:r w:rsidR="00F1653C" w:rsidRPr="00F1653C">
        <w:rPr>
          <w:noProof/>
          <w:lang w:val="pl-PL"/>
        </w:rPr>
        <w:t> </w:t>
      </w:r>
      <w:r w:rsidRPr="00F1653C">
        <w:rPr>
          <w:noProof/>
          <w:lang w:val="pl-PL"/>
        </w:rPr>
        <w:t>4</w:t>
      </w:r>
      <w:r w:rsidRPr="00E22450">
        <w:rPr>
          <w:noProof/>
          <w:lang w:val="pl-PL"/>
        </w:rPr>
        <w:t>58 CRR, który zezwala na zwiększenie wag ryzyka</w:t>
      </w:r>
      <w:r w:rsidR="00F1653C" w:rsidRPr="00E22450">
        <w:rPr>
          <w:noProof/>
          <w:lang w:val="pl-PL"/>
        </w:rPr>
        <w:t xml:space="preserve"> w</w:t>
      </w:r>
      <w:r w:rsidR="00F1653C">
        <w:rPr>
          <w:noProof/>
          <w:lang w:val="pl-PL"/>
        </w:rPr>
        <w:t> </w:t>
      </w:r>
      <w:r w:rsidR="00F1653C" w:rsidRPr="00E22450">
        <w:rPr>
          <w:noProof/>
          <w:lang w:val="pl-PL"/>
        </w:rPr>
        <w:t>odn</w:t>
      </w:r>
      <w:r w:rsidRPr="00E22450">
        <w:rPr>
          <w:noProof/>
          <w:lang w:val="pl-PL"/>
        </w:rPr>
        <w:t>iesieniu do ekspozycji na ryzyko związane</w:t>
      </w:r>
      <w:r w:rsidR="00F1653C" w:rsidRPr="00E22450">
        <w:rPr>
          <w:noProof/>
          <w:lang w:val="pl-PL"/>
        </w:rPr>
        <w:t xml:space="preserve"> z</w:t>
      </w:r>
      <w:r w:rsidR="00F1653C">
        <w:rPr>
          <w:noProof/>
          <w:lang w:val="pl-PL"/>
        </w:rPr>
        <w:t> </w:t>
      </w:r>
      <w:r w:rsidR="00F1653C" w:rsidRPr="00E22450">
        <w:rPr>
          <w:noProof/>
          <w:lang w:val="pl-PL"/>
        </w:rPr>
        <w:t>nie</w:t>
      </w:r>
      <w:r w:rsidRPr="00E22450">
        <w:rPr>
          <w:noProof/>
          <w:lang w:val="pl-PL"/>
        </w:rPr>
        <w:t>ruchomościami</w:t>
      </w:r>
      <w:r w:rsidR="00F1653C" w:rsidRPr="00E22450">
        <w:rPr>
          <w:noProof/>
          <w:lang w:val="pl-PL"/>
        </w:rPr>
        <w:t xml:space="preserve"> w</w:t>
      </w:r>
      <w:r w:rsidR="00F1653C">
        <w:rPr>
          <w:noProof/>
          <w:lang w:val="pl-PL"/>
        </w:rPr>
        <w:t> </w:t>
      </w:r>
      <w:r w:rsidR="00F1653C" w:rsidRPr="00E22450">
        <w:rPr>
          <w:noProof/>
          <w:lang w:val="pl-PL"/>
        </w:rPr>
        <w:t>prz</w:t>
      </w:r>
      <w:r w:rsidRPr="00E22450">
        <w:rPr>
          <w:noProof/>
          <w:lang w:val="pl-PL"/>
        </w:rPr>
        <w:t xml:space="preserve">ypadku banków stosujących modele wewnętrzne, powinien być stosowany przez organy krajowe wyłącznie jako środek ostateczny. Zaobserwowano jednak pewne </w:t>
      </w:r>
      <w:r w:rsidRPr="00E22450">
        <w:rPr>
          <w:b/>
          <w:noProof/>
          <w:lang w:val="pl-PL"/>
        </w:rPr>
        <w:t>niespójności</w:t>
      </w:r>
      <w:r w:rsidR="00F1653C" w:rsidRPr="00E22450">
        <w:rPr>
          <w:noProof/>
          <w:lang w:val="pl-PL"/>
        </w:rPr>
        <w:t xml:space="preserve"> w</w:t>
      </w:r>
      <w:r w:rsidR="00F1653C">
        <w:rPr>
          <w:noProof/>
          <w:lang w:val="pl-PL"/>
        </w:rPr>
        <w:t> </w:t>
      </w:r>
      <w:r w:rsidR="00F1653C" w:rsidRPr="00E22450">
        <w:rPr>
          <w:noProof/>
          <w:lang w:val="pl-PL"/>
        </w:rPr>
        <w:t>spo</w:t>
      </w:r>
      <w:r w:rsidRPr="00E22450">
        <w:rPr>
          <w:noProof/>
          <w:lang w:val="pl-PL"/>
        </w:rPr>
        <w:t>sobie stosowania tego środka przez organy krajowe</w:t>
      </w:r>
      <w:r w:rsidR="00F1653C" w:rsidRPr="00E22450">
        <w:rPr>
          <w:noProof/>
          <w:lang w:val="pl-PL"/>
        </w:rPr>
        <w:t xml:space="preserve"> i</w:t>
      </w:r>
      <w:r w:rsidR="00F1653C">
        <w:rPr>
          <w:noProof/>
          <w:lang w:val="pl-PL"/>
        </w:rPr>
        <w:t> </w:t>
      </w:r>
      <w:r w:rsidR="00F1653C" w:rsidRPr="00E22450">
        <w:rPr>
          <w:noProof/>
          <w:lang w:val="pl-PL"/>
        </w:rPr>
        <w:t>kon</w:t>
      </w:r>
      <w:r w:rsidRPr="00E22450">
        <w:rPr>
          <w:noProof/>
          <w:lang w:val="pl-PL"/>
        </w:rPr>
        <w:t xml:space="preserve">ieczne byłoby również zapewnienie skuteczności procesu jego uruchomienia. </w:t>
      </w:r>
    </w:p>
    <w:p w14:paraId="68DFC7F5" w14:textId="65B43593" w:rsidR="00241024" w:rsidRPr="00E22450" w:rsidRDefault="00241024" w:rsidP="004709F3">
      <w:pPr>
        <w:pStyle w:val="Heading2"/>
        <w:numPr>
          <w:ilvl w:val="0"/>
          <w:numId w:val="0"/>
        </w:numPr>
        <w:spacing w:after="120"/>
        <w:ind w:left="1077" w:hanging="601"/>
        <w:rPr>
          <w:rFonts w:ascii="Times New Roman" w:hAnsi="Times New Roman" w:cs="Times New Roman"/>
          <w:noProof/>
          <w:sz w:val="22"/>
          <w:lang w:val="pl-PL"/>
        </w:rPr>
      </w:pPr>
      <w:r w:rsidRPr="00E22450">
        <w:rPr>
          <w:rFonts w:ascii="Times New Roman" w:hAnsi="Times New Roman"/>
          <w:noProof/>
          <w:sz w:val="22"/>
          <w:lang w:val="pl-PL"/>
        </w:rPr>
        <w:t>Uproszczenie</w:t>
      </w:r>
      <w:r w:rsidR="00F1653C" w:rsidRPr="00E22450">
        <w:rPr>
          <w:rFonts w:ascii="Times New Roman" w:hAnsi="Times New Roman"/>
          <w:noProof/>
          <w:sz w:val="22"/>
          <w:lang w:val="pl-PL"/>
        </w:rPr>
        <w:t xml:space="preserve"> i</w:t>
      </w:r>
      <w:r w:rsidR="00F1653C">
        <w:rPr>
          <w:rFonts w:ascii="Times New Roman" w:hAnsi="Times New Roman"/>
          <w:noProof/>
          <w:sz w:val="22"/>
          <w:lang w:val="pl-PL"/>
        </w:rPr>
        <w:t> </w:t>
      </w:r>
      <w:r w:rsidR="00F1653C" w:rsidRPr="00E22450">
        <w:rPr>
          <w:rFonts w:ascii="Times New Roman" w:hAnsi="Times New Roman"/>
          <w:noProof/>
          <w:sz w:val="22"/>
          <w:lang w:val="pl-PL"/>
        </w:rPr>
        <w:t>sku</w:t>
      </w:r>
      <w:r w:rsidRPr="00E22450">
        <w:rPr>
          <w:rFonts w:ascii="Times New Roman" w:hAnsi="Times New Roman"/>
          <w:noProof/>
          <w:sz w:val="22"/>
          <w:lang w:val="pl-PL"/>
        </w:rPr>
        <w:t>teczność ram makroostrożnościowych</w:t>
      </w:r>
      <w:r w:rsidR="00F1653C" w:rsidRPr="00E22450">
        <w:rPr>
          <w:rFonts w:ascii="Times New Roman" w:hAnsi="Times New Roman"/>
          <w:noProof/>
          <w:sz w:val="22"/>
          <w:lang w:val="pl-PL"/>
        </w:rPr>
        <w:t xml:space="preserve"> i</w:t>
      </w:r>
      <w:r w:rsidR="00F1653C">
        <w:rPr>
          <w:rFonts w:ascii="Times New Roman" w:hAnsi="Times New Roman"/>
          <w:noProof/>
          <w:sz w:val="22"/>
          <w:lang w:val="pl-PL"/>
        </w:rPr>
        <w:t> </w:t>
      </w:r>
      <w:r w:rsidR="00F1653C" w:rsidRPr="00E22450">
        <w:rPr>
          <w:rFonts w:ascii="Times New Roman" w:hAnsi="Times New Roman"/>
          <w:noProof/>
          <w:sz w:val="22"/>
          <w:lang w:val="pl-PL"/>
        </w:rPr>
        <w:t>zar</w:t>
      </w:r>
      <w:r w:rsidRPr="00E22450">
        <w:rPr>
          <w:rFonts w:ascii="Times New Roman" w:hAnsi="Times New Roman"/>
          <w:noProof/>
          <w:sz w:val="22"/>
          <w:lang w:val="pl-PL"/>
        </w:rPr>
        <w:t>ządzania nimi</w:t>
      </w:r>
    </w:p>
    <w:p w14:paraId="6C06F5EA" w14:textId="21A9EB51" w:rsidR="00241024" w:rsidRPr="00E22450" w:rsidRDefault="00241024" w:rsidP="004709F3">
      <w:pPr>
        <w:spacing w:after="120" w:line="240" w:lineRule="auto"/>
        <w:rPr>
          <w:rFonts w:cs="Times New Roman"/>
          <w:noProof/>
          <w:lang w:val="pl-PL"/>
        </w:rPr>
      </w:pPr>
      <w:r w:rsidRPr="00E22450">
        <w:rPr>
          <w:noProof/>
          <w:lang w:val="pl-PL"/>
        </w:rPr>
        <w:t>Skuteczność</w:t>
      </w:r>
      <w:r w:rsidR="00F1653C" w:rsidRPr="00E22450">
        <w:rPr>
          <w:noProof/>
          <w:lang w:val="pl-PL"/>
        </w:rPr>
        <w:t xml:space="preserve"> i</w:t>
      </w:r>
      <w:r w:rsidR="00F1653C">
        <w:rPr>
          <w:noProof/>
          <w:lang w:val="pl-PL"/>
        </w:rPr>
        <w:t> </w:t>
      </w:r>
      <w:r w:rsidR="00F1653C" w:rsidRPr="00E22450">
        <w:rPr>
          <w:noProof/>
          <w:lang w:val="pl-PL"/>
        </w:rPr>
        <w:t>wyd</w:t>
      </w:r>
      <w:r w:rsidRPr="00E22450">
        <w:rPr>
          <w:noProof/>
          <w:lang w:val="pl-PL"/>
        </w:rPr>
        <w:t>ajność zestawu narzędzi makroostrożnościowych może być ograniczona na skutek uwzględnienia środków, które nie są stosowane, lub na skutek braku środków</w:t>
      </w:r>
      <w:r w:rsidR="00F1653C" w:rsidRPr="00E22450">
        <w:rPr>
          <w:noProof/>
          <w:lang w:val="pl-PL"/>
        </w:rPr>
        <w:t xml:space="preserve"> w</w:t>
      </w:r>
      <w:r w:rsidR="00F1653C">
        <w:rPr>
          <w:noProof/>
          <w:lang w:val="pl-PL"/>
        </w:rPr>
        <w:t> </w:t>
      </w:r>
      <w:r w:rsidR="00F1653C" w:rsidRPr="00E22450">
        <w:rPr>
          <w:noProof/>
          <w:lang w:val="pl-PL"/>
        </w:rPr>
        <w:t>nie</w:t>
      </w:r>
      <w:r w:rsidRPr="00E22450">
        <w:rPr>
          <w:noProof/>
          <w:lang w:val="pl-PL"/>
        </w:rPr>
        <w:t xml:space="preserve">których obszarach. Na przykład </w:t>
      </w:r>
      <w:r w:rsidRPr="00F1653C">
        <w:rPr>
          <w:noProof/>
          <w:lang w:val="pl-PL"/>
        </w:rPr>
        <w:t>art.</w:t>
      </w:r>
      <w:r w:rsidR="00F1653C" w:rsidRPr="00F1653C">
        <w:rPr>
          <w:noProof/>
          <w:lang w:val="pl-PL"/>
        </w:rPr>
        <w:t> </w:t>
      </w:r>
      <w:r w:rsidRPr="00F1653C">
        <w:rPr>
          <w:noProof/>
          <w:lang w:val="pl-PL"/>
        </w:rPr>
        <w:t>1</w:t>
      </w:r>
      <w:r w:rsidRPr="00E22450">
        <w:rPr>
          <w:noProof/>
          <w:lang w:val="pl-PL"/>
        </w:rPr>
        <w:t>38</w:t>
      </w:r>
      <w:r w:rsidR="00F1653C" w:rsidRPr="00E22450">
        <w:rPr>
          <w:noProof/>
          <w:lang w:val="pl-PL"/>
        </w:rPr>
        <w:t xml:space="preserve"> i</w:t>
      </w:r>
      <w:r w:rsidR="00F1653C">
        <w:rPr>
          <w:noProof/>
          <w:lang w:val="pl-PL"/>
        </w:rPr>
        <w:t> </w:t>
      </w:r>
      <w:r w:rsidR="00F1653C" w:rsidRPr="00E22450">
        <w:rPr>
          <w:noProof/>
          <w:lang w:val="pl-PL"/>
        </w:rPr>
        <w:t>1</w:t>
      </w:r>
      <w:r w:rsidRPr="00E22450">
        <w:rPr>
          <w:noProof/>
          <w:lang w:val="pl-PL"/>
        </w:rPr>
        <w:t>39 CRD dotyczy przeciwdziałania ryzyku wynikającemu</w:t>
      </w:r>
      <w:r w:rsidR="00F1653C" w:rsidRPr="00E22450">
        <w:rPr>
          <w:noProof/>
          <w:lang w:val="pl-PL"/>
        </w:rPr>
        <w:t xml:space="preserve"> z</w:t>
      </w:r>
      <w:r w:rsidR="00F1653C">
        <w:rPr>
          <w:noProof/>
          <w:lang w:val="pl-PL"/>
        </w:rPr>
        <w:t> </w:t>
      </w:r>
      <w:r w:rsidR="00F1653C" w:rsidRPr="00E22450">
        <w:rPr>
          <w:noProof/>
          <w:lang w:val="pl-PL"/>
        </w:rPr>
        <w:t>nad</w:t>
      </w:r>
      <w:r w:rsidRPr="00E22450">
        <w:rPr>
          <w:noProof/>
          <w:lang w:val="pl-PL"/>
        </w:rPr>
        <w:t>miernego wzrostu akcji kredytowej</w:t>
      </w:r>
      <w:r w:rsidR="00F1653C" w:rsidRPr="00E22450">
        <w:rPr>
          <w:noProof/>
          <w:lang w:val="pl-PL"/>
        </w:rPr>
        <w:t xml:space="preserve"> w</w:t>
      </w:r>
      <w:r w:rsidR="00F1653C">
        <w:rPr>
          <w:noProof/>
          <w:lang w:val="pl-PL"/>
        </w:rPr>
        <w:t> </w:t>
      </w:r>
      <w:r w:rsidR="00F1653C" w:rsidRPr="00E22450">
        <w:rPr>
          <w:noProof/>
          <w:lang w:val="pl-PL"/>
        </w:rPr>
        <w:t>kon</w:t>
      </w:r>
      <w:r w:rsidRPr="00E22450">
        <w:rPr>
          <w:noProof/>
          <w:lang w:val="pl-PL"/>
        </w:rPr>
        <w:t>kretnych państwach trzecich, ale uprawnienia te nigdy nie zostały wykorzystane</w:t>
      </w:r>
      <w:r w:rsidRPr="00F1653C">
        <w:rPr>
          <w:noProof/>
          <w:lang w:val="pl-PL"/>
        </w:rPr>
        <w:t>.</w:t>
      </w:r>
      <w:r w:rsidR="00F1653C" w:rsidRPr="00F1653C">
        <w:rPr>
          <w:noProof/>
          <w:lang w:val="pl-PL"/>
        </w:rPr>
        <w:t xml:space="preserve"> </w:t>
      </w:r>
      <w:r w:rsidRPr="00F1653C">
        <w:rPr>
          <w:noProof/>
          <w:lang w:val="pl-PL"/>
        </w:rPr>
        <w:t>K</w:t>
      </w:r>
      <w:r w:rsidRPr="00E22450">
        <w:rPr>
          <w:noProof/>
          <w:lang w:val="pl-PL"/>
        </w:rPr>
        <w:t>onieczna może być również dalsza refleksja nad strukturą nadzoru</w:t>
      </w:r>
      <w:r w:rsidR="00F1653C" w:rsidRPr="00E22450">
        <w:rPr>
          <w:noProof/>
          <w:lang w:val="pl-PL"/>
        </w:rPr>
        <w:t xml:space="preserve"> i</w:t>
      </w:r>
      <w:r w:rsidR="00F1653C">
        <w:rPr>
          <w:noProof/>
          <w:lang w:val="pl-PL"/>
        </w:rPr>
        <w:t> </w:t>
      </w:r>
      <w:r w:rsidR="00F1653C" w:rsidRPr="00E22450">
        <w:rPr>
          <w:noProof/>
          <w:lang w:val="pl-PL"/>
        </w:rPr>
        <w:t>zar</w:t>
      </w:r>
      <w:r w:rsidRPr="00E22450">
        <w:rPr>
          <w:noProof/>
          <w:lang w:val="pl-PL"/>
        </w:rPr>
        <w:t>ządzania unijnym nadzorem makroostrożnościowym, zwłaszcza</w:t>
      </w:r>
      <w:r w:rsidR="00F1653C" w:rsidRPr="00E22450">
        <w:rPr>
          <w:noProof/>
          <w:lang w:val="pl-PL"/>
        </w:rPr>
        <w:t xml:space="preserve"> w</w:t>
      </w:r>
      <w:r w:rsidR="00F1653C">
        <w:rPr>
          <w:noProof/>
          <w:lang w:val="pl-PL"/>
        </w:rPr>
        <w:t> </w:t>
      </w:r>
      <w:r w:rsidR="00F1653C" w:rsidRPr="00E22450">
        <w:rPr>
          <w:noProof/>
          <w:lang w:val="pl-PL"/>
        </w:rPr>
        <w:t>odn</w:t>
      </w:r>
      <w:r w:rsidRPr="00E22450">
        <w:rPr>
          <w:noProof/>
          <w:lang w:val="pl-PL"/>
        </w:rPr>
        <w:t>iesieniu do nowych rodzajów ryzyka</w:t>
      </w:r>
      <w:r w:rsidR="00F1653C" w:rsidRPr="00E22450">
        <w:rPr>
          <w:noProof/>
          <w:lang w:val="pl-PL"/>
        </w:rPr>
        <w:t xml:space="preserve"> i</w:t>
      </w:r>
      <w:r w:rsidR="00F1653C">
        <w:rPr>
          <w:noProof/>
          <w:lang w:val="pl-PL"/>
        </w:rPr>
        <w:t> </w:t>
      </w:r>
      <w:r w:rsidR="00F1653C" w:rsidRPr="00E22450">
        <w:rPr>
          <w:noProof/>
          <w:lang w:val="pl-PL"/>
        </w:rPr>
        <w:t>nar</w:t>
      </w:r>
      <w:r w:rsidRPr="00E22450">
        <w:rPr>
          <w:noProof/>
          <w:lang w:val="pl-PL"/>
        </w:rPr>
        <w:t>zędzi. Celem byłoby uproszczenie</w:t>
      </w:r>
      <w:r w:rsidR="00F1653C" w:rsidRPr="00E22450">
        <w:rPr>
          <w:noProof/>
          <w:lang w:val="pl-PL"/>
        </w:rPr>
        <w:t xml:space="preserve"> w</w:t>
      </w:r>
      <w:r w:rsidR="00F1653C">
        <w:rPr>
          <w:noProof/>
          <w:lang w:val="pl-PL"/>
        </w:rPr>
        <w:t> </w:t>
      </w:r>
      <w:r w:rsidR="00F1653C" w:rsidRPr="00E22450">
        <w:rPr>
          <w:noProof/>
          <w:lang w:val="pl-PL"/>
        </w:rPr>
        <w:t>mia</w:t>
      </w:r>
      <w:r w:rsidRPr="00E22450">
        <w:rPr>
          <w:noProof/>
          <w:lang w:val="pl-PL"/>
        </w:rPr>
        <w:t>rę możliwości procesów nadzorczych,</w:t>
      </w:r>
      <w:r w:rsidR="00F1653C" w:rsidRPr="00E22450">
        <w:rPr>
          <w:noProof/>
          <w:lang w:val="pl-PL"/>
        </w:rPr>
        <w:t xml:space="preserve"> z</w:t>
      </w:r>
      <w:r w:rsidR="00F1653C">
        <w:rPr>
          <w:noProof/>
          <w:lang w:val="pl-PL"/>
        </w:rPr>
        <w:t> </w:t>
      </w:r>
      <w:r w:rsidR="00F1653C" w:rsidRPr="00E22450">
        <w:rPr>
          <w:noProof/>
          <w:lang w:val="pl-PL"/>
        </w:rPr>
        <w:t>uwz</w:t>
      </w:r>
      <w:r w:rsidRPr="00E22450">
        <w:rPr>
          <w:noProof/>
          <w:lang w:val="pl-PL"/>
        </w:rPr>
        <w:t>ględnieniem złożoności ekosystemu finansowego</w:t>
      </w:r>
      <w:r w:rsidR="00F1653C" w:rsidRPr="00E22450">
        <w:rPr>
          <w:noProof/>
          <w:lang w:val="pl-PL"/>
        </w:rPr>
        <w:t xml:space="preserve"> i</w:t>
      </w:r>
      <w:r w:rsidR="00F1653C">
        <w:rPr>
          <w:noProof/>
          <w:lang w:val="pl-PL"/>
        </w:rPr>
        <w:t> </w:t>
      </w:r>
      <w:r w:rsidR="00F1653C" w:rsidRPr="00E22450">
        <w:rPr>
          <w:noProof/>
          <w:lang w:val="pl-PL"/>
        </w:rPr>
        <w:t>och</w:t>
      </w:r>
      <w:r w:rsidRPr="00E22450">
        <w:rPr>
          <w:noProof/>
          <w:lang w:val="pl-PL"/>
        </w:rPr>
        <w:t xml:space="preserve">rony gospodarki europejskiej przed potencjalnymi zakłóceniami. </w:t>
      </w:r>
    </w:p>
    <w:p w14:paraId="62151222" w14:textId="3CBCA8A5" w:rsidR="00241024" w:rsidRPr="00E22450" w:rsidRDefault="00241024" w:rsidP="004709F3">
      <w:pPr>
        <w:pStyle w:val="Heading2"/>
        <w:numPr>
          <w:ilvl w:val="0"/>
          <w:numId w:val="0"/>
        </w:numPr>
        <w:spacing w:after="120"/>
        <w:ind w:left="1077" w:hanging="601"/>
        <w:rPr>
          <w:rFonts w:ascii="Times New Roman" w:hAnsi="Times New Roman" w:cs="Times New Roman"/>
          <w:noProof/>
          <w:sz w:val="22"/>
          <w:lang w:val="pl-PL"/>
        </w:rPr>
      </w:pPr>
      <w:r w:rsidRPr="00E22450">
        <w:rPr>
          <w:rFonts w:ascii="Times New Roman" w:hAnsi="Times New Roman"/>
          <w:noProof/>
          <w:sz w:val="22"/>
          <w:lang w:val="pl-PL"/>
        </w:rPr>
        <w:t>Zdolność zestawu narzędzi makroostrożnościowych dla banków do przeciwdziałania konwencjonalnym</w:t>
      </w:r>
      <w:r w:rsidR="00F1653C" w:rsidRPr="00E22450">
        <w:rPr>
          <w:rFonts w:ascii="Times New Roman" w:hAnsi="Times New Roman"/>
          <w:noProof/>
          <w:sz w:val="22"/>
          <w:lang w:val="pl-PL"/>
        </w:rPr>
        <w:t xml:space="preserve"> i</w:t>
      </w:r>
      <w:r w:rsidR="00F1653C">
        <w:rPr>
          <w:rFonts w:ascii="Times New Roman" w:hAnsi="Times New Roman"/>
          <w:noProof/>
          <w:sz w:val="22"/>
          <w:lang w:val="pl-PL"/>
        </w:rPr>
        <w:t> </w:t>
      </w:r>
      <w:r w:rsidR="00F1653C" w:rsidRPr="00E22450">
        <w:rPr>
          <w:rFonts w:ascii="Times New Roman" w:hAnsi="Times New Roman"/>
          <w:noProof/>
          <w:sz w:val="22"/>
          <w:lang w:val="pl-PL"/>
        </w:rPr>
        <w:t>now</w:t>
      </w:r>
      <w:r w:rsidRPr="00E22450">
        <w:rPr>
          <w:rFonts w:ascii="Times New Roman" w:hAnsi="Times New Roman"/>
          <w:noProof/>
          <w:sz w:val="22"/>
          <w:lang w:val="pl-PL"/>
        </w:rPr>
        <w:t>ym zagrożeniom</w:t>
      </w:r>
    </w:p>
    <w:p w14:paraId="4FB9E317" w14:textId="569E3C7C" w:rsidR="008654CC" w:rsidRPr="00E22450" w:rsidRDefault="00241024" w:rsidP="67E78FAA">
      <w:pPr>
        <w:spacing w:after="120" w:line="240" w:lineRule="auto"/>
        <w:rPr>
          <w:rFonts w:eastAsia="Times New Roman" w:cs="Times New Roman"/>
          <w:noProof/>
          <w:lang w:val="pl-PL"/>
        </w:rPr>
      </w:pPr>
      <w:r w:rsidRPr="00E22450">
        <w:rPr>
          <w:noProof/>
          <w:lang w:val="pl-PL"/>
        </w:rPr>
        <w:t>Od czasu wprowadzenia zestawu narzędzi makroostrożnościowych dla banków państwa członkowskie wdrożyły działania</w:t>
      </w:r>
      <w:r w:rsidR="00F1653C" w:rsidRPr="00E22450">
        <w:rPr>
          <w:noProof/>
          <w:lang w:val="pl-PL"/>
        </w:rPr>
        <w:t xml:space="preserve"> w</w:t>
      </w:r>
      <w:r w:rsidR="00F1653C">
        <w:rPr>
          <w:noProof/>
          <w:lang w:val="pl-PL"/>
        </w:rPr>
        <w:t> </w:t>
      </w:r>
      <w:r w:rsidR="00F1653C" w:rsidRPr="00E22450">
        <w:rPr>
          <w:noProof/>
          <w:lang w:val="pl-PL"/>
        </w:rPr>
        <w:t>cel</w:t>
      </w:r>
      <w:r w:rsidRPr="00E22450">
        <w:rPr>
          <w:noProof/>
          <w:lang w:val="pl-PL"/>
        </w:rPr>
        <w:t>u wyeliminowania podatności na zagrożenia związane</w:t>
      </w:r>
      <w:r w:rsidR="00F1653C" w:rsidRPr="00E22450">
        <w:rPr>
          <w:noProof/>
          <w:lang w:val="pl-PL"/>
        </w:rPr>
        <w:t xml:space="preserve"> z</w:t>
      </w:r>
      <w:r w:rsidR="00F1653C">
        <w:rPr>
          <w:noProof/>
          <w:lang w:val="pl-PL"/>
        </w:rPr>
        <w:t> </w:t>
      </w:r>
      <w:r w:rsidR="00F1653C" w:rsidRPr="00E22450">
        <w:rPr>
          <w:noProof/>
          <w:lang w:val="pl-PL"/>
        </w:rPr>
        <w:t>nie</w:t>
      </w:r>
      <w:r w:rsidRPr="00E22450">
        <w:rPr>
          <w:noProof/>
          <w:lang w:val="pl-PL"/>
        </w:rPr>
        <w:t>ruchomościami,</w:t>
      </w:r>
      <w:r w:rsidR="00F1653C" w:rsidRPr="00E22450">
        <w:rPr>
          <w:noProof/>
          <w:lang w:val="pl-PL"/>
        </w:rPr>
        <w:t xml:space="preserve"> w</w:t>
      </w:r>
      <w:r w:rsidR="00F1653C">
        <w:rPr>
          <w:noProof/>
          <w:lang w:val="pl-PL"/>
        </w:rPr>
        <w:t> </w:t>
      </w:r>
      <w:r w:rsidR="00F1653C" w:rsidRPr="00E22450">
        <w:rPr>
          <w:noProof/>
          <w:lang w:val="pl-PL"/>
        </w:rPr>
        <w:t>szc</w:t>
      </w:r>
      <w:r w:rsidRPr="00E22450">
        <w:rPr>
          <w:noProof/>
          <w:lang w:val="pl-PL"/>
        </w:rPr>
        <w:t>zególności</w:t>
      </w:r>
      <w:r w:rsidR="00F1653C" w:rsidRPr="00E22450">
        <w:rPr>
          <w:noProof/>
          <w:lang w:val="pl-PL"/>
        </w:rPr>
        <w:t xml:space="preserve"> w</w:t>
      </w:r>
      <w:r w:rsidR="00F1653C">
        <w:rPr>
          <w:noProof/>
          <w:lang w:val="pl-PL"/>
        </w:rPr>
        <w:t> </w:t>
      </w:r>
      <w:r w:rsidR="00F1653C" w:rsidRPr="00E22450">
        <w:rPr>
          <w:noProof/>
          <w:lang w:val="pl-PL"/>
        </w:rPr>
        <w:t>odn</w:t>
      </w:r>
      <w:r w:rsidRPr="00E22450">
        <w:rPr>
          <w:noProof/>
          <w:lang w:val="pl-PL"/>
        </w:rPr>
        <w:t>iesieniu do nieruchomości mieszkalnych</w:t>
      </w:r>
      <w:r>
        <w:rPr>
          <w:rStyle w:val="FootnoteReference"/>
          <w:rFonts w:cs="Times New Roman"/>
          <w:noProof/>
        </w:rPr>
        <w:footnoteReference w:id="44"/>
      </w:r>
      <w:r w:rsidRPr="00E22450">
        <w:rPr>
          <w:noProof/>
          <w:lang w:val="pl-PL"/>
        </w:rPr>
        <w:t xml:space="preserve">, wykorzystując zarówno </w:t>
      </w:r>
      <w:r w:rsidRPr="00E22450">
        <w:rPr>
          <w:b/>
          <w:noProof/>
          <w:lang w:val="pl-PL"/>
        </w:rPr>
        <w:t>środki kapitałowe</w:t>
      </w:r>
      <w:r w:rsidRPr="00E22450">
        <w:rPr>
          <w:noProof/>
          <w:lang w:val="pl-PL"/>
        </w:rPr>
        <w:t xml:space="preserve"> zapisane</w:t>
      </w:r>
      <w:r w:rsidR="00F1653C" w:rsidRPr="00E22450">
        <w:rPr>
          <w:noProof/>
          <w:lang w:val="pl-PL"/>
        </w:rPr>
        <w:t xml:space="preserve"> w</w:t>
      </w:r>
      <w:r w:rsidR="00F1653C">
        <w:rPr>
          <w:noProof/>
          <w:lang w:val="pl-PL"/>
        </w:rPr>
        <w:t> </w:t>
      </w:r>
      <w:r w:rsidR="00F1653C" w:rsidRPr="00E22450">
        <w:rPr>
          <w:noProof/>
          <w:lang w:val="pl-PL"/>
        </w:rPr>
        <w:t>pra</w:t>
      </w:r>
      <w:r w:rsidRPr="00E22450">
        <w:rPr>
          <w:noProof/>
          <w:lang w:val="pl-PL"/>
        </w:rPr>
        <w:t>wie Unii (bufory</w:t>
      </w:r>
      <w:r w:rsidR="00F1653C" w:rsidRPr="00E22450">
        <w:rPr>
          <w:noProof/>
          <w:lang w:val="pl-PL"/>
        </w:rPr>
        <w:t xml:space="preserve"> i</w:t>
      </w:r>
      <w:r w:rsidR="00F1653C">
        <w:rPr>
          <w:noProof/>
          <w:lang w:val="pl-PL"/>
        </w:rPr>
        <w:t> </w:t>
      </w:r>
      <w:r w:rsidR="00F1653C" w:rsidRPr="00E22450">
        <w:rPr>
          <w:noProof/>
          <w:lang w:val="pl-PL"/>
        </w:rPr>
        <w:t>mia</w:t>
      </w:r>
      <w:r w:rsidRPr="00E22450">
        <w:rPr>
          <w:noProof/>
          <w:lang w:val="pl-PL"/>
        </w:rPr>
        <w:t>ry wagi ryzyka), jak</w:t>
      </w:r>
      <w:r w:rsidR="00F1653C" w:rsidRPr="00E22450">
        <w:rPr>
          <w:noProof/>
          <w:lang w:val="pl-PL"/>
        </w:rPr>
        <w:t xml:space="preserve"> i</w:t>
      </w:r>
      <w:r w:rsidR="00F1653C">
        <w:rPr>
          <w:noProof/>
          <w:lang w:val="pl-PL"/>
        </w:rPr>
        <w:t> </w:t>
      </w:r>
      <w:r w:rsidR="00F1653C" w:rsidRPr="00E22450">
        <w:rPr>
          <w:b/>
          <w:noProof/>
          <w:lang w:val="pl-PL"/>
        </w:rPr>
        <w:t>śro</w:t>
      </w:r>
      <w:r w:rsidRPr="00E22450">
        <w:rPr>
          <w:b/>
          <w:noProof/>
          <w:lang w:val="pl-PL"/>
        </w:rPr>
        <w:t>dki</w:t>
      </w:r>
      <w:r w:rsidR="00F1653C" w:rsidRPr="00E22450">
        <w:rPr>
          <w:b/>
          <w:noProof/>
          <w:lang w:val="pl-PL"/>
        </w:rPr>
        <w:t xml:space="preserve"> w</w:t>
      </w:r>
      <w:r w:rsidR="00F1653C">
        <w:rPr>
          <w:b/>
          <w:noProof/>
          <w:lang w:val="pl-PL"/>
        </w:rPr>
        <w:t> </w:t>
      </w:r>
      <w:r w:rsidR="00F1653C" w:rsidRPr="00E22450">
        <w:rPr>
          <w:b/>
          <w:noProof/>
          <w:lang w:val="pl-PL"/>
        </w:rPr>
        <w:t>cor</w:t>
      </w:r>
      <w:r w:rsidRPr="00E22450">
        <w:rPr>
          <w:b/>
          <w:noProof/>
          <w:lang w:val="pl-PL"/>
        </w:rPr>
        <w:t>az większym stopniu ukierunkowane na kredytobiorcę</w:t>
      </w:r>
      <w:r w:rsidRPr="00E22450">
        <w:rPr>
          <w:noProof/>
          <w:lang w:val="pl-PL"/>
        </w:rPr>
        <w:t xml:space="preserve">. Niezależnie od </w:t>
      </w:r>
      <w:r w:rsidRPr="00F1653C">
        <w:rPr>
          <w:noProof/>
          <w:lang w:val="pl-PL"/>
        </w:rPr>
        <w:t>art.</w:t>
      </w:r>
      <w:r w:rsidR="00F1653C" w:rsidRPr="00F1653C">
        <w:rPr>
          <w:noProof/>
          <w:lang w:val="pl-PL"/>
        </w:rPr>
        <w:t> </w:t>
      </w:r>
      <w:r w:rsidRPr="00F1653C">
        <w:rPr>
          <w:noProof/>
          <w:lang w:val="pl-PL"/>
        </w:rPr>
        <w:t>4</w:t>
      </w:r>
      <w:r w:rsidRPr="00E22450">
        <w:rPr>
          <w:noProof/>
          <w:lang w:val="pl-PL"/>
        </w:rPr>
        <w:t xml:space="preserve">58 CRR, </w:t>
      </w:r>
      <w:r w:rsidRPr="00F1653C">
        <w:rPr>
          <w:noProof/>
          <w:lang w:val="pl-PL"/>
        </w:rPr>
        <w:t>art.</w:t>
      </w:r>
      <w:r w:rsidR="00F1653C" w:rsidRPr="00F1653C">
        <w:rPr>
          <w:noProof/>
          <w:lang w:val="pl-PL"/>
        </w:rPr>
        <w:t> </w:t>
      </w:r>
      <w:r w:rsidRPr="00F1653C">
        <w:rPr>
          <w:noProof/>
          <w:lang w:val="pl-PL"/>
        </w:rPr>
        <w:t>1</w:t>
      </w:r>
      <w:r w:rsidRPr="00E22450">
        <w:rPr>
          <w:noProof/>
          <w:lang w:val="pl-PL"/>
        </w:rPr>
        <w:t>24</w:t>
      </w:r>
      <w:r w:rsidR="00F1653C" w:rsidRPr="00E22450">
        <w:rPr>
          <w:noProof/>
          <w:lang w:val="pl-PL"/>
        </w:rPr>
        <w:t xml:space="preserve"> i</w:t>
      </w:r>
      <w:r w:rsidR="00F1653C">
        <w:rPr>
          <w:noProof/>
          <w:lang w:val="pl-PL"/>
        </w:rPr>
        <w:t> </w:t>
      </w:r>
      <w:r w:rsidR="00F1653C" w:rsidRPr="00E22450">
        <w:rPr>
          <w:noProof/>
          <w:lang w:val="pl-PL"/>
        </w:rPr>
        <w:t>1</w:t>
      </w:r>
      <w:r w:rsidRPr="00E22450">
        <w:rPr>
          <w:noProof/>
          <w:lang w:val="pl-PL"/>
        </w:rPr>
        <w:t>64 CRR umożliwiają państwom członkowskim stosowanie wyższych wag ryzyka dla ekspozycji zabezpieczonych hipotekami na nieruchomościach mieszkalnych</w:t>
      </w:r>
      <w:r w:rsidR="00F1653C" w:rsidRPr="00E22450">
        <w:rPr>
          <w:noProof/>
          <w:lang w:val="pl-PL"/>
        </w:rPr>
        <w:t xml:space="preserve"> i</w:t>
      </w:r>
      <w:r w:rsidR="00F1653C">
        <w:rPr>
          <w:noProof/>
          <w:lang w:val="pl-PL"/>
        </w:rPr>
        <w:t> </w:t>
      </w:r>
      <w:r w:rsidR="00F1653C" w:rsidRPr="00E22450">
        <w:rPr>
          <w:noProof/>
          <w:lang w:val="pl-PL"/>
        </w:rPr>
        <w:t>kom</w:t>
      </w:r>
      <w:r w:rsidRPr="00E22450">
        <w:rPr>
          <w:noProof/>
          <w:lang w:val="pl-PL"/>
        </w:rPr>
        <w:t>ercyjnych oraz dolnych limitów LGD dla ekspozycji detalicznych zabezpieczonych nieruchomościami mieszkalnymi</w:t>
      </w:r>
      <w:r w:rsidR="00F1653C" w:rsidRPr="00E22450">
        <w:rPr>
          <w:noProof/>
          <w:lang w:val="pl-PL"/>
        </w:rPr>
        <w:t xml:space="preserve"> i</w:t>
      </w:r>
      <w:r w:rsidR="00F1653C">
        <w:rPr>
          <w:noProof/>
          <w:lang w:val="pl-PL"/>
        </w:rPr>
        <w:t> </w:t>
      </w:r>
      <w:r w:rsidR="00F1653C" w:rsidRPr="00E22450">
        <w:rPr>
          <w:noProof/>
          <w:lang w:val="pl-PL"/>
        </w:rPr>
        <w:t>kom</w:t>
      </w:r>
      <w:r w:rsidRPr="00E22450">
        <w:rPr>
          <w:noProof/>
          <w:lang w:val="pl-PL"/>
        </w:rPr>
        <w:t xml:space="preserve">ercyjnymi. </w:t>
      </w:r>
    </w:p>
    <w:p w14:paraId="14B27031" w14:textId="244DCD4B" w:rsidR="008654CC" w:rsidRPr="00E22450" w:rsidRDefault="008E55BB" w:rsidP="67E78FAA">
      <w:pPr>
        <w:spacing w:after="120" w:line="240" w:lineRule="auto"/>
        <w:rPr>
          <w:noProof/>
          <w:color w:val="000000" w:themeColor="text1"/>
          <w:lang w:val="pl-PL"/>
        </w:rPr>
      </w:pPr>
      <w:r w:rsidRPr="00E22450">
        <w:rPr>
          <w:noProof/>
          <w:color w:val="000000" w:themeColor="text1"/>
          <w:lang w:val="pl-PL"/>
        </w:rPr>
        <w:t>Aby zwiększyć skuteczność tych narzędzi makroostrożnościowych opartych na korektach wag ryzyka, konieczne byłoby</w:t>
      </w:r>
      <w:r w:rsidRPr="00E22450">
        <w:rPr>
          <w:noProof/>
          <w:lang w:val="pl-PL"/>
        </w:rPr>
        <w:t xml:space="preserve"> osiągnięcie większej spójności</w:t>
      </w:r>
      <w:r w:rsidR="00F1653C" w:rsidRPr="00E22450">
        <w:rPr>
          <w:noProof/>
          <w:lang w:val="pl-PL"/>
        </w:rPr>
        <w:t xml:space="preserve"> w</w:t>
      </w:r>
      <w:r w:rsidR="00F1653C">
        <w:rPr>
          <w:noProof/>
          <w:lang w:val="pl-PL"/>
        </w:rPr>
        <w:t> </w:t>
      </w:r>
      <w:r w:rsidR="00F1653C" w:rsidRPr="00E22450">
        <w:rPr>
          <w:noProof/>
          <w:lang w:val="pl-PL"/>
        </w:rPr>
        <w:t>uru</w:t>
      </w:r>
      <w:r w:rsidRPr="00E22450">
        <w:rPr>
          <w:noProof/>
          <w:lang w:val="pl-PL"/>
        </w:rPr>
        <w:t>chamianiu</w:t>
      </w:r>
      <w:r w:rsidR="00F1653C" w:rsidRPr="00E22450">
        <w:rPr>
          <w:noProof/>
          <w:lang w:val="pl-PL"/>
        </w:rPr>
        <w:t xml:space="preserve"> i</w:t>
      </w:r>
      <w:r w:rsidR="00F1653C">
        <w:rPr>
          <w:noProof/>
          <w:lang w:val="pl-PL"/>
        </w:rPr>
        <w:t> </w:t>
      </w:r>
      <w:r w:rsidR="00F1653C" w:rsidRPr="00E22450">
        <w:rPr>
          <w:noProof/>
          <w:lang w:val="pl-PL"/>
        </w:rPr>
        <w:t>sto</w:t>
      </w:r>
      <w:r w:rsidRPr="00E22450">
        <w:rPr>
          <w:noProof/>
          <w:lang w:val="pl-PL"/>
        </w:rPr>
        <w:t>sowaniu środków ważenia ryzyka oraz dostosowanie zestawu narzędzi dotyczących wagi ryzyka makroostrożnościowych dla banków stosujących modele wewnętrzne</w:t>
      </w:r>
      <w:r w:rsidR="00F1653C" w:rsidRPr="00E22450">
        <w:rPr>
          <w:noProof/>
          <w:lang w:val="pl-PL"/>
        </w:rPr>
        <w:t xml:space="preserve"> i</w:t>
      </w:r>
      <w:r w:rsidR="00F1653C">
        <w:rPr>
          <w:noProof/>
          <w:lang w:val="pl-PL"/>
        </w:rPr>
        <w:t> </w:t>
      </w:r>
      <w:r w:rsidR="00F1653C" w:rsidRPr="00E22450">
        <w:rPr>
          <w:noProof/>
          <w:lang w:val="pl-PL"/>
        </w:rPr>
        <w:t>met</w:t>
      </w:r>
      <w:r w:rsidRPr="00E22450">
        <w:rPr>
          <w:noProof/>
          <w:lang w:val="pl-PL"/>
        </w:rPr>
        <w:t>odę standardową. Skuteczność tych środków można również zwiększyć poprzez skupienie się na wagach ryzyka,</w:t>
      </w:r>
      <w:r w:rsidR="00F1653C" w:rsidRPr="00E22450">
        <w:rPr>
          <w:noProof/>
          <w:lang w:val="pl-PL"/>
        </w:rPr>
        <w:t xml:space="preserve"> a</w:t>
      </w:r>
      <w:r w:rsidR="00F1653C">
        <w:rPr>
          <w:noProof/>
          <w:lang w:val="pl-PL"/>
        </w:rPr>
        <w:t> </w:t>
      </w:r>
      <w:r w:rsidR="00F1653C" w:rsidRPr="00E22450">
        <w:rPr>
          <w:noProof/>
          <w:lang w:val="pl-PL"/>
        </w:rPr>
        <w:t>nie</w:t>
      </w:r>
      <w:r w:rsidRPr="00E22450">
        <w:rPr>
          <w:noProof/>
          <w:lang w:val="pl-PL"/>
        </w:rPr>
        <w:t xml:space="preserve"> na poszczególnych parametrach ryzyka (</w:t>
      </w:r>
      <w:r w:rsidRPr="00F1653C">
        <w:rPr>
          <w:noProof/>
          <w:lang w:val="pl-PL"/>
        </w:rPr>
        <w:t>art.</w:t>
      </w:r>
      <w:r w:rsidR="00F1653C" w:rsidRPr="00F1653C">
        <w:rPr>
          <w:noProof/>
          <w:lang w:val="pl-PL"/>
        </w:rPr>
        <w:t> </w:t>
      </w:r>
      <w:r w:rsidRPr="00F1653C">
        <w:rPr>
          <w:noProof/>
          <w:lang w:val="pl-PL"/>
        </w:rPr>
        <w:t>1</w:t>
      </w:r>
      <w:r w:rsidRPr="00E22450">
        <w:rPr>
          <w:noProof/>
          <w:lang w:val="pl-PL"/>
        </w:rPr>
        <w:t>64 CRR). Środki ukierunkowane na kredytobiorcę to prewencyjne, makroostrożnościowe ograniczenia standardów kredytowania, które są przewidziane</w:t>
      </w:r>
      <w:r w:rsidR="00F1653C" w:rsidRPr="00E22450">
        <w:rPr>
          <w:noProof/>
          <w:lang w:val="pl-PL"/>
        </w:rPr>
        <w:t xml:space="preserve"> w</w:t>
      </w:r>
      <w:r w:rsidR="00F1653C">
        <w:rPr>
          <w:noProof/>
          <w:lang w:val="pl-PL"/>
        </w:rPr>
        <w:t> </w:t>
      </w:r>
      <w:r w:rsidR="00F1653C" w:rsidRPr="00E22450">
        <w:rPr>
          <w:noProof/>
          <w:lang w:val="pl-PL"/>
        </w:rPr>
        <w:t>prz</w:t>
      </w:r>
      <w:r w:rsidRPr="00E22450">
        <w:rPr>
          <w:noProof/>
          <w:lang w:val="pl-PL"/>
        </w:rPr>
        <w:t>episach krajowych</w:t>
      </w:r>
      <w:r w:rsidR="00F1653C" w:rsidRPr="00E22450">
        <w:rPr>
          <w:noProof/>
          <w:lang w:val="pl-PL"/>
        </w:rPr>
        <w:t xml:space="preserve"> w</w:t>
      </w:r>
      <w:r w:rsidR="00F1653C">
        <w:rPr>
          <w:noProof/>
          <w:lang w:val="pl-PL"/>
        </w:rPr>
        <w:t> </w:t>
      </w:r>
      <w:r w:rsidR="00F1653C" w:rsidRPr="00E22450">
        <w:rPr>
          <w:noProof/>
          <w:lang w:val="pl-PL"/>
        </w:rPr>
        <w:t>wię</w:t>
      </w:r>
      <w:r w:rsidRPr="00E22450">
        <w:rPr>
          <w:noProof/>
          <w:lang w:val="pl-PL"/>
        </w:rPr>
        <w:t>kszości państw członkowskich, ale które nie są obecnie zapisane</w:t>
      </w:r>
      <w:r w:rsidR="00F1653C" w:rsidRPr="00E22450">
        <w:rPr>
          <w:noProof/>
          <w:lang w:val="pl-PL"/>
        </w:rPr>
        <w:t xml:space="preserve"> w</w:t>
      </w:r>
      <w:r w:rsidR="00F1653C">
        <w:rPr>
          <w:noProof/>
          <w:lang w:val="pl-PL"/>
        </w:rPr>
        <w:t> </w:t>
      </w:r>
      <w:r w:rsidR="00F1653C" w:rsidRPr="00E22450">
        <w:rPr>
          <w:noProof/>
          <w:lang w:val="pl-PL"/>
        </w:rPr>
        <w:t>pra</w:t>
      </w:r>
      <w:r w:rsidRPr="00E22450">
        <w:rPr>
          <w:noProof/>
          <w:lang w:val="pl-PL"/>
        </w:rPr>
        <w:t>wie Unii</w:t>
      </w:r>
      <w:r>
        <w:rPr>
          <w:rStyle w:val="FootnoteReference"/>
          <w:rFonts w:cs="Times New Roman"/>
          <w:noProof/>
        </w:rPr>
        <w:footnoteReference w:id="45"/>
      </w:r>
      <w:r w:rsidRPr="00E22450">
        <w:rPr>
          <w:noProof/>
          <w:lang w:val="pl-PL"/>
        </w:rPr>
        <w:t>.</w:t>
      </w:r>
      <w:r w:rsidRPr="00E22450">
        <w:rPr>
          <w:rStyle w:val="FootnoteReference"/>
          <w:noProof/>
          <w:lang w:val="pl-PL"/>
        </w:rPr>
        <w:t xml:space="preserve"> </w:t>
      </w:r>
      <w:r w:rsidRPr="00E22450">
        <w:rPr>
          <w:noProof/>
          <w:lang w:val="pl-PL"/>
        </w:rPr>
        <w:t>Środki ukierunkowane na kredytobiorcę różnią się obecnie</w:t>
      </w:r>
      <w:r w:rsidR="00F1653C" w:rsidRPr="00E22450">
        <w:rPr>
          <w:noProof/>
          <w:lang w:val="pl-PL"/>
        </w:rPr>
        <w:t xml:space="preserve"> w</w:t>
      </w:r>
      <w:r w:rsidR="00F1653C">
        <w:rPr>
          <w:noProof/>
          <w:lang w:val="pl-PL"/>
        </w:rPr>
        <w:t> </w:t>
      </w:r>
      <w:r w:rsidR="00F1653C" w:rsidRPr="00E22450">
        <w:rPr>
          <w:noProof/>
          <w:lang w:val="pl-PL"/>
        </w:rPr>
        <w:t>pos</w:t>
      </w:r>
      <w:r w:rsidRPr="00E22450">
        <w:rPr>
          <w:noProof/>
          <w:lang w:val="pl-PL"/>
        </w:rPr>
        <w:t>zczególnych państwach członkowskich pod względem struktury, definicji podstawowych wskaźników, zakresu, charakteru (prawnie wiążący/niewiążący prawnie), wyjątków</w:t>
      </w:r>
      <w:r w:rsidR="00F1653C" w:rsidRPr="00E22450">
        <w:rPr>
          <w:noProof/>
          <w:lang w:val="pl-PL"/>
        </w:rPr>
        <w:t xml:space="preserve"> i</w:t>
      </w:r>
      <w:r w:rsidR="00F1653C">
        <w:rPr>
          <w:noProof/>
          <w:lang w:val="pl-PL"/>
        </w:rPr>
        <w:t> </w:t>
      </w:r>
      <w:r w:rsidR="00F1653C" w:rsidRPr="00E22450">
        <w:rPr>
          <w:noProof/>
          <w:lang w:val="pl-PL"/>
        </w:rPr>
        <w:t>zas</w:t>
      </w:r>
      <w:r w:rsidRPr="00E22450">
        <w:rPr>
          <w:noProof/>
          <w:lang w:val="pl-PL"/>
        </w:rPr>
        <w:t>ad zarządzania. Ponadto środki te nie są zapisane</w:t>
      </w:r>
      <w:r w:rsidR="00F1653C" w:rsidRPr="00E22450">
        <w:rPr>
          <w:noProof/>
          <w:lang w:val="pl-PL"/>
        </w:rPr>
        <w:t xml:space="preserve"> w</w:t>
      </w:r>
      <w:r w:rsidR="00F1653C">
        <w:rPr>
          <w:noProof/>
          <w:lang w:val="pl-PL"/>
        </w:rPr>
        <w:t> </w:t>
      </w:r>
      <w:r w:rsidR="00F1653C" w:rsidRPr="00E22450">
        <w:rPr>
          <w:noProof/>
          <w:lang w:val="pl-PL"/>
        </w:rPr>
        <w:t>pra</w:t>
      </w:r>
      <w:r w:rsidRPr="00E22450">
        <w:rPr>
          <w:noProof/>
          <w:lang w:val="pl-PL"/>
        </w:rPr>
        <w:t>wodawstwie wszystkich państw członkowskich, co komplikuje wzajemność</w:t>
      </w:r>
      <w:r w:rsidR="00F1653C" w:rsidRPr="00E22450">
        <w:rPr>
          <w:noProof/>
          <w:lang w:val="pl-PL"/>
        </w:rPr>
        <w:t xml:space="preserve"> i</w:t>
      </w:r>
      <w:r w:rsidR="00F1653C">
        <w:rPr>
          <w:noProof/>
          <w:lang w:val="pl-PL"/>
        </w:rPr>
        <w:t> </w:t>
      </w:r>
      <w:r w:rsidR="00F1653C" w:rsidRPr="00E22450">
        <w:rPr>
          <w:noProof/>
          <w:lang w:val="pl-PL"/>
        </w:rPr>
        <w:t>moż</w:t>
      </w:r>
      <w:r w:rsidRPr="00E22450">
        <w:rPr>
          <w:noProof/>
          <w:lang w:val="pl-PL"/>
        </w:rPr>
        <w:t>e nie pozwolić państwom członkowskim na skuteczne przeciwdziałanie ryzyku systemowemu wynikającemu</w:t>
      </w:r>
      <w:r w:rsidR="00F1653C" w:rsidRPr="00E22450">
        <w:rPr>
          <w:noProof/>
          <w:lang w:val="pl-PL"/>
        </w:rPr>
        <w:t xml:space="preserve"> z</w:t>
      </w:r>
      <w:r w:rsidR="00F1653C">
        <w:rPr>
          <w:noProof/>
          <w:lang w:val="pl-PL"/>
        </w:rPr>
        <w:t> </w:t>
      </w:r>
      <w:r w:rsidR="00F1653C" w:rsidRPr="00E22450">
        <w:rPr>
          <w:noProof/>
          <w:lang w:val="pl-PL"/>
        </w:rPr>
        <w:t>sek</w:t>
      </w:r>
      <w:r w:rsidRPr="00E22450">
        <w:rPr>
          <w:noProof/>
          <w:lang w:val="pl-PL"/>
        </w:rPr>
        <w:t>tora nieruchomości. Ponadto należy zwrócić większą uwagę na zmiany</w:t>
      </w:r>
      <w:r w:rsidR="00F1653C" w:rsidRPr="00E22450">
        <w:rPr>
          <w:noProof/>
          <w:lang w:val="pl-PL"/>
        </w:rPr>
        <w:t xml:space="preserve"> w</w:t>
      </w:r>
      <w:r w:rsidR="00F1653C">
        <w:rPr>
          <w:noProof/>
          <w:lang w:val="pl-PL"/>
        </w:rPr>
        <w:t> </w:t>
      </w:r>
      <w:r w:rsidR="00F1653C" w:rsidRPr="00E22450">
        <w:rPr>
          <w:noProof/>
          <w:lang w:val="pl-PL"/>
        </w:rPr>
        <w:t>sek</w:t>
      </w:r>
      <w:r w:rsidRPr="00E22450">
        <w:rPr>
          <w:noProof/>
          <w:lang w:val="pl-PL"/>
        </w:rPr>
        <w:t>torze nieruchomości komercyjnych. Środki makroostrożnościowe ukierunkowane konkretnie na nieruchomości komercyjne są rzadkie</w:t>
      </w:r>
      <w:r w:rsidR="00F1653C" w:rsidRPr="00E22450">
        <w:rPr>
          <w:noProof/>
          <w:lang w:val="pl-PL"/>
        </w:rPr>
        <w:t xml:space="preserve"> i</w:t>
      </w:r>
      <w:r w:rsidR="00F1653C">
        <w:rPr>
          <w:noProof/>
          <w:lang w:val="pl-PL"/>
        </w:rPr>
        <w:t> </w:t>
      </w:r>
      <w:r w:rsidR="00F1653C" w:rsidRPr="00E22450">
        <w:rPr>
          <w:noProof/>
          <w:lang w:val="pl-PL"/>
        </w:rPr>
        <w:t>moż</w:t>
      </w:r>
      <w:r w:rsidRPr="00E22450">
        <w:rPr>
          <w:noProof/>
          <w:lang w:val="pl-PL"/>
        </w:rPr>
        <w:t>na by je poddać dalszej ocenie wraz</w:t>
      </w:r>
      <w:r w:rsidR="00F1653C" w:rsidRPr="00E22450">
        <w:rPr>
          <w:noProof/>
          <w:lang w:val="pl-PL"/>
        </w:rPr>
        <w:t xml:space="preserve"> z</w:t>
      </w:r>
      <w:r w:rsidR="00F1653C">
        <w:rPr>
          <w:noProof/>
          <w:lang w:val="pl-PL"/>
        </w:rPr>
        <w:t> </w:t>
      </w:r>
      <w:r w:rsidR="00F1653C" w:rsidRPr="00E22450">
        <w:rPr>
          <w:noProof/>
          <w:lang w:val="pl-PL"/>
        </w:rPr>
        <w:t>dzi</w:t>
      </w:r>
      <w:r w:rsidRPr="00E22450">
        <w:rPr>
          <w:noProof/>
          <w:lang w:val="pl-PL"/>
        </w:rPr>
        <w:t>ałaniami na rzecz zlikwidowania obecnych luk</w:t>
      </w:r>
      <w:r w:rsidR="00F1653C" w:rsidRPr="00E22450">
        <w:rPr>
          <w:noProof/>
          <w:lang w:val="pl-PL"/>
        </w:rPr>
        <w:t xml:space="preserve"> w</w:t>
      </w:r>
      <w:r w:rsidR="00F1653C">
        <w:rPr>
          <w:noProof/>
          <w:lang w:val="pl-PL"/>
        </w:rPr>
        <w:t> </w:t>
      </w:r>
      <w:r w:rsidR="00F1653C" w:rsidRPr="00E22450">
        <w:rPr>
          <w:noProof/>
          <w:lang w:val="pl-PL"/>
        </w:rPr>
        <w:t>dan</w:t>
      </w:r>
      <w:r w:rsidRPr="00E22450">
        <w:rPr>
          <w:noProof/>
          <w:lang w:val="pl-PL"/>
        </w:rPr>
        <w:t>ych dotyczących ekspozycji banków</w:t>
      </w:r>
      <w:r w:rsidR="00F1653C" w:rsidRPr="00E22450">
        <w:rPr>
          <w:noProof/>
          <w:lang w:val="pl-PL"/>
        </w:rPr>
        <w:t xml:space="preserve"> w</w:t>
      </w:r>
      <w:r w:rsidR="00F1653C">
        <w:rPr>
          <w:noProof/>
          <w:lang w:val="pl-PL"/>
        </w:rPr>
        <w:t> </w:t>
      </w:r>
      <w:r w:rsidR="00F1653C" w:rsidRPr="00E22450">
        <w:rPr>
          <w:noProof/>
          <w:lang w:val="pl-PL"/>
        </w:rPr>
        <w:t>tym</w:t>
      </w:r>
      <w:r w:rsidRPr="00E22450">
        <w:rPr>
          <w:noProof/>
          <w:lang w:val="pl-PL"/>
        </w:rPr>
        <w:t xml:space="preserve"> sektorze.</w:t>
      </w:r>
    </w:p>
    <w:p w14:paraId="1CDB0D20" w14:textId="682AD819" w:rsidR="008654CC" w:rsidRPr="00E22450" w:rsidRDefault="00CC18E8" w:rsidP="67E78FAA">
      <w:pPr>
        <w:spacing w:after="120" w:line="240" w:lineRule="auto"/>
        <w:rPr>
          <w:rFonts w:cs="Times New Roman"/>
          <w:noProof/>
          <w:lang w:val="pl-PL"/>
        </w:rPr>
      </w:pPr>
      <w:r w:rsidRPr="00E22450">
        <w:rPr>
          <w:noProof/>
          <w:lang w:val="pl-PL"/>
        </w:rPr>
        <w:t>Przewidywanie, monitorowanie</w:t>
      </w:r>
      <w:r w:rsidR="00F1653C" w:rsidRPr="00E22450">
        <w:rPr>
          <w:noProof/>
          <w:lang w:val="pl-PL"/>
        </w:rPr>
        <w:t xml:space="preserve"> i</w:t>
      </w:r>
      <w:r w:rsidR="00F1653C">
        <w:rPr>
          <w:noProof/>
          <w:lang w:val="pl-PL"/>
        </w:rPr>
        <w:t> </w:t>
      </w:r>
      <w:r w:rsidR="00F1653C" w:rsidRPr="00E22450">
        <w:rPr>
          <w:noProof/>
          <w:lang w:val="pl-PL"/>
        </w:rPr>
        <w:t>łag</w:t>
      </w:r>
      <w:r w:rsidRPr="00E22450">
        <w:rPr>
          <w:noProof/>
          <w:lang w:val="pl-PL"/>
        </w:rPr>
        <w:t xml:space="preserve">odzenie zagrożeń dla stabilności finansowej związanych ze </w:t>
      </w:r>
      <w:r w:rsidRPr="00E22450">
        <w:rPr>
          <w:b/>
          <w:noProof/>
          <w:lang w:val="pl-PL"/>
        </w:rPr>
        <w:t>zmianą klimatu</w:t>
      </w:r>
      <w:r w:rsidR="00F1653C" w:rsidRPr="00E22450">
        <w:rPr>
          <w:b/>
          <w:noProof/>
          <w:lang w:val="pl-PL"/>
        </w:rPr>
        <w:t xml:space="preserve"> i</w:t>
      </w:r>
      <w:r w:rsidR="00F1653C">
        <w:rPr>
          <w:b/>
          <w:noProof/>
          <w:lang w:val="pl-PL"/>
        </w:rPr>
        <w:t> </w:t>
      </w:r>
      <w:r w:rsidR="00F1653C" w:rsidRPr="00E22450">
        <w:rPr>
          <w:b/>
          <w:noProof/>
          <w:lang w:val="pl-PL"/>
        </w:rPr>
        <w:t>deg</w:t>
      </w:r>
      <w:r w:rsidRPr="00E22450">
        <w:rPr>
          <w:b/>
          <w:noProof/>
          <w:lang w:val="pl-PL"/>
        </w:rPr>
        <w:t>radacją środowiska</w:t>
      </w:r>
      <w:r w:rsidRPr="00E22450">
        <w:rPr>
          <w:noProof/>
          <w:lang w:val="pl-PL"/>
        </w:rPr>
        <w:t xml:space="preserve"> staje się coraz bardziej istotnym zadaniem organów krajowych</w:t>
      </w:r>
      <w:r w:rsidR="00F1653C" w:rsidRPr="00E22450">
        <w:rPr>
          <w:noProof/>
          <w:lang w:val="pl-PL"/>
        </w:rPr>
        <w:t xml:space="preserve"> i</w:t>
      </w:r>
      <w:r w:rsidR="00F1653C">
        <w:rPr>
          <w:noProof/>
          <w:lang w:val="pl-PL"/>
        </w:rPr>
        <w:t> </w:t>
      </w:r>
      <w:r w:rsidR="00F1653C" w:rsidRPr="00E22450">
        <w:rPr>
          <w:noProof/>
          <w:lang w:val="pl-PL"/>
        </w:rPr>
        <w:t>uni</w:t>
      </w:r>
      <w:r w:rsidRPr="00E22450">
        <w:rPr>
          <w:noProof/>
          <w:lang w:val="pl-PL"/>
        </w:rPr>
        <w:t>jnych. Ryzyko przejściowe</w:t>
      </w:r>
      <w:r w:rsidR="00F1653C" w:rsidRPr="00E22450">
        <w:rPr>
          <w:noProof/>
          <w:lang w:val="pl-PL"/>
        </w:rPr>
        <w:t xml:space="preserve"> i</w:t>
      </w:r>
      <w:r w:rsidR="00F1653C">
        <w:rPr>
          <w:noProof/>
          <w:lang w:val="pl-PL"/>
        </w:rPr>
        <w:t> </w:t>
      </w:r>
      <w:r w:rsidR="00F1653C" w:rsidRPr="00E22450">
        <w:rPr>
          <w:noProof/>
          <w:lang w:val="pl-PL"/>
        </w:rPr>
        <w:t>fiz</w:t>
      </w:r>
      <w:r w:rsidRPr="00E22450">
        <w:rPr>
          <w:noProof/>
          <w:lang w:val="pl-PL"/>
        </w:rPr>
        <w:t>yczne mają wpływ na poszczególne instytucje finansowe</w:t>
      </w:r>
      <w:r w:rsidR="00F1653C" w:rsidRPr="00E22450">
        <w:rPr>
          <w:noProof/>
          <w:lang w:val="pl-PL"/>
        </w:rPr>
        <w:t xml:space="preserve"> i</w:t>
      </w:r>
      <w:r w:rsidR="00F1653C">
        <w:rPr>
          <w:noProof/>
          <w:lang w:val="pl-PL"/>
        </w:rPr>
        <w:t> </w:t>
      </w:r>
      <w:r w:rsidR="00F1653C" w:rsidRPr="00E22450">
        <w:rPr>
          <w:noProof/>
          <w:lang w:val="pl-PL"/>
        </w:rPr>
        <w:t>sze</w:t>
      </w:r>
      <w:r w:rsidRPr="00E22450">
        <w:rPr>
          <w:noProof/>
          <w:lang w:val="pl-PL"/>
        </w:rPr>
        <w:t>rzej pojęty sektor finansowy (w tym na pozabankowych pośredników finansowych). Ryzyko to może mieć</w:t>
      </w:r>
      <w:r w:rsidR="00F1653C" w:rsidRPr="00E22450">
        <w:rPr>
          <w:noProof/>
          <w:lang w:val="pl-PL"/>
        </w:rPr>
        <w:t xml:space="preserve"> w</w:t>
      </w:r>
      <w:r w:rsidR="00F1653C">
        <w:rPr>
          <w:noProof/>
          <w:lang w:val="pl-PL"/>
        </w:rPr>
        <w:t> </w:t>
      </w:r>
      <w:r w:rsidR="00F1653C" w:rsidRPr="00E22450">
        <w:rPr>
          <w:noProof/>
          <w:lang w:val="pl-PL"/>
        </w:rPr>
        <w:t>rów</w:t>
      </w:r>
      <w:r w:rsidRPr="00E22450">
        <w:rPr>
          <w:noProof/>
          <w:lang w:val="pl-PL"/>
        </w:rPr>
        <w:t>nym stopniu wpływ na wypłacalność kredytobiorców</w:t>
      </w:r>
      <w:r w:rsidR="00F1653C" w:rsidRPr="00E22450">
        <w:rPr>
          <w:noProof/>
          <w:lang w:val="pl-PL"/>
        </w:rPr>
        <w:t xml:space="preserve"> i</w:t>
      </w:r>
      <w:r w:rsidR="00F1653C">
        <w:rPr>
          <w:noProof/>
          <w:lang w:val="pl-PL"/>
        </w:rPr>
        <w:t> </w:t>
      </w:r>
      <w:r w:rsidR="00F1653C" w:rsidRPr="00E22450">
        <w:rPr>
          <w:noProof/>
          <w:lang w:val="pl-PL"/>
        </w:rPr>
        <w:t>war</w:t>
      </w:r>
      <w:r w:rsidRPr="00E22450">
        <w:rPr>
          <w:noProof/>
          <w:lang w:val="pl-PL"/>
        </w:rPr>
        <w:t>tość zabezpieczenia kredytów na nieruchomości – ekstremalne zdarzenia pogodowe,</w:t>
      </w:r>
      <w:r w:rsidR="00F1653C" w:rsidRPr="00E22450">
        <w:rPr>
          <w:noProof/>
          <w:lang w:val="pl-PL"/>
        </w:rPr>
        <w:t xml:space="preserve"> w</w:t>
      </w:r>
      <w:r w:rsidR="00F1653C">
        <w:rPr>
          <w:noProof/>
          <w:lang w:val="pl-PL"/>
        </w:rPr>
        <w:t> </w:t>
      </w:r>
      <w:r w:rsidR="00F1653C" w:rsidRPr="00E22450">
        <w:rPr>
          <w:noProof/>
          <w:lang w:val="pl-PL"/>
        </w:rPr>
        <w:t>tym</w:t>
      </w:r>
      <w:r w:rsidRPr="00E22450">
        <w:rPr>
          <w:noProof/>
          <w:lang w:val="pl-PL"/>
        </w:rPr>
        <w:t xml:space="preserve"> fale upałów, pożary lasów</w:t>
      </w:r>
      <w:r w:rsidR="00F1653C" w:rsidRPr="00E22450">
        <w:rPr>
          <w:noProof/>
          <w:lang w:val="pl-PL"/>
        </w:rPr>
        <w:t xml:space="preserve"> i</w:t>
      </w:r>
      <w:r w:rsidR="00F1653C">
        <w:rPr>
          <w:noProof/>
          <w:lang w:val="pl-PL"/>
        </w:rPr>
        <w:t> </w:t>
      </w:r>
      <w:r w:rsidR="00F1653C" w:rsidRPr="00E22450">
        <w:rPr>
          <w:noProof/>
          <w:lang w:val="pl-PL"/>
        </w:rPr>
        <w:t>nie</w:t>
      </w:r>
      <w:r w:rsidRPr="00E22450">
        <w:rPr>
          <w:noProof/>
          <w:lang w:val="pl-PL"/>
        </w:rPr>
        <w:t>dawne poważne powodzie na całym świecie, wyraźnie pokazały znaczące szkody, jakie mogą ponieść wrażliwe nieruchomości</w:t>
      </w:r>
      <w:r w:rsidR="00F1653C" w:rsidRPr="00E22450">
        <w:rPr>
          <w:noProof/>
          <w:lang w:val="pl-PL"/>
        </w:rPr>
        <w:t xml:space="preserve"> i</w:t>
      </w:r>
      <w:r w:rsidR="00F1653C">
        <w:rPr>
          <w:noProof/>
          <w:lang w:val="pl-PL"/>
        </w:rPr>
        <w:t> </w:t>
      </w:r>
      <w:r w:rsidR="00F1653C" w:rsidRPr="00E22450">
        <w:rPr>
          <w:noProof/>
          <w:lang w:val="pl-PL"/>
        </w:rPr>
        <w:t>inn</w:t>
      </w:r>
      <w:r w:rsidRPr="00E22450">
        <w:rPr>
          <w:noProof/>
          <w:lang w:val="pl-PL"/>
        </w:rPr>
        <w:t>e aktywa. Aktywa generujące znaczne emisje gazów cieplarnianych mogą podlegać przyspieszonej amortyzacji, ponieważ gospodarka zmierza</w:t>
      </w:r>
      <w:r w:rsidR="00F1653C" w:rsidRPr="00E22450">
        <w:rPr>
          <w:noProof/>
          <w:lang w:val="pl-PL"/>
        </w:rPr>
        <w:t xml:space="preserve"> w</w:t>
      </w:r>
      <w:r w:rsidR="00F1653C">
        <w:rPr>
          <w:noProof/>
          <w:lang w:val="pl-PL"/>
        </w:rPr>
        <w:t> </w:t>
      </w:r>
      <w:r w:rsidR="00F1653C" w:rsidRPr="00E22450">
        <w:rPr>
          <w:noProof/>
          <w:lang w:val="pl-PL"/>
        </w:rPr>
        <w:t>kie</w:t>
      </w:r>
      <w:r w:rsidRPr="00E22450">
        <w:rPr>
          <w:noProof/>
          <w:lang w:val="pl-PL"/>
        </w:rPr>
        <w:t>runku neutralności klimatycznej zgodnie</w:t>
      </w:r>
      <w:r w:rsidR="00F1653C" w:rsidRPr="00E22450">
        <w:rPr>
          <w:noProof/>
          <w:lang w:val="pl-PL"/>
        </w:rPr>
        <w:t xml:space="preserve"> z</w:t>
      </w:r>
      <w:r w:rsidR="00F1653C">
        <w:rPr>
          <w:noProof/>
          <w:lang w:val="pl-PL"/>
        </w:rPr>
        <w:t> </w:t>
      </w:r>
      <w:r w:rsidR="00F1653C" w:rsidRPr="00E22450">
        <w:rPr>
          <w:noProof/>
          <w:lang w:val="pl-PL"/>
        </w:rPr>
        <w:t>uni</w:t>
      </w:r>
      <w:r w:rsidRPr="00E22450">
        <w:rPr>
          <w:noProof/>
          <w:lang w:val="pl-PL"/>
        </w:rPr>
        <w:t>jnym prawem</w:t>
      </w:r>
      <w:r w:rsidR="00F1653C" w:rsidRPr="00E22450">
        <w:rPr>
          <w:noProof/>
          <w:lang w:val="pl-PL"/>
        </w:rPr>
        <w:t xml:space="preserve"> o</w:t>
      </w:r>
      <w:r w:rsidR="00F1653C">
        <w:rPr>
          <w:noProof/>
          <w:lang w:val="pl-PL"/>
        </w:rPr>
        <w:t> </w:t>
      </w:r>
      <w:r w:rsidR="00F1653C" w:rsidRPr="00E22450">
        <w:rPr>
          <w:noProof/>
          <w:lang w:val="pl-PL"/>
        </w:rPr>
        <w:t>kli</w:t>
      </w:r>
      <w:r w:rsidRPr="00E22450">
        <w:rPr>
          <w:noProof/>
          <w:lang w:val="pl-PL"/>
        </w:rPr>
        <w:t>macie</w:t>
      </w:r>
      <w:r>
        <w:rPr>
          <w:rStyle w:val="FootnoteReference"/>
          <w:rFonts w:cs="Times New Roman"/>
          <w:noProof/>
        </w:rPr>
        <w:footnoteReference w:id="46"/>
      </w:r>
      <w:r w:rsidRPr="00E22450">
        <w:rPr>
          <w:noProof/>
          <w:lang w:val="pl-PL"/>
        </w:rPr>
        <w:t>. Znaczna ekspozycja instytucji finansowych na te aktywa powinna być zatem zabezpieczona odpowiednimi buforami. Obecnie ryzyko finansowe związane</w:t>
      </w:r>
      <w:r w:rsidR="00F1653C" w:rsidRPr="00E22450">
        <w:rPr>
          <w:noProof/>
          <w:lang w:val="pl-PL"/>
        </w:rPr>
        <w:t xml:space="preserve"> z</w:t>
      </w:r>
      <w:r w:rsidR="00F1653C">
        <w:rPr>
          <w:noProof/>
          <w:lang w:val="pl-PL"/>
        </w:rPr>
        <w:t> </w:t>
      </w:r>
      <w:r w:rsidR="00F1653C" w:rsidRPr="00E22450">
        <w:rPr>
          <w:noProof/>
          <w:lang w:val="pl-PL"/>
        </w:rPr>
        <w:t>kli</w:t>
      </w:r>
      <w:r w:rsidRPr="00E22450">
        <w:rPr>
          <w:noProof/>
          <w:lang w:val="pl-PL"/>
        </w:rPr>
        <w:t>matem jest brane pod uwagę głównie</w:t>
      </w:r>
      <w:r w:rsidR="00F1653C" w:rsidRPr="00E22450">
        <w:rPr>
          <w:noProof/>
          <w:lang w:val="pl-PL"/>
        </w:rPr>
        <w:t xml:space="preserve"> w</w:t>
      </w:r>
      <w:r w:rsidR="00F1653C">
        <w:rPr>
          <w:noProof/>
          <w:lang w:val="pl-PL"/>
        </w:rPr>
        <w:t> </w:t>
      </w:r>
      <w:r w:rsidR="00F1653C" w:rsidRPr="00E22450">
        <w:rPr>
          <w:noProof/>
          <w:lang w:val="pl-PL"/>
        </w:rPr>
        <w:t>tes</w:t>
      </w:r>
      <w:r w:rsidRPr="00E22450">
        <w:rPr>
          <w:noProof/>
          <w:lang w:val="pl-PL"/>
        </w:rPr>
        <w:t>tach warunków skrajnych</w:t>
      </w:r>
      <w:r>
        <w:rPr>
          <w:rStyle w:val="FootnoteReference"/>
          <w:rFonts w:cs="Times New Roman"/>
          <w:noProof/>
        </w:rPr>
        <w:footnoteReference w:id="47"/>
      </w:r>
      <w:r w:rsidRPr="00E22450">
        <w:rPr>
          <w:noProof/>
          <w:lang w:val="pl-PL"/>
        </w:rPr>
        <w:t>, ale nie jest jeszcze</w:t>
      </w:r>
      <w:r w:rsidR="00F1653C" w:rsidRPr="00E22450">
        <w:rPr>
          <w:noProof/>
          <w:lang w:val="pl-PL"/>
        </w:rPr>
        <w:t xml:space="preserve"> w</w:t>
      </w:r>
      <w:r w:rsidR="00F1653C">
        <w:rPr>
          <w:noProof/>
          <w:lang w:val="pl-PL"/>
        </w:rPr>
        <w:t> </w:t>
      </w:r>
      <w:r w:rsidR="00F1653C" w:rsidRPr="00E22450">
        <w:rPr>
          <w:noProof/>
          <w:lang w:val="pl-PL"/>
        </w:rPr>
        <w:t>wię</w:t>
      </w:r>
      <w:r w:rsidRPr="00E22450">
        <w:rPr>
          <w:noProof/>
          <w:lang w:val="pl-PL"/>
        </w:rPr>
        <w:t>kszym stopniu uwzględniane</w:t>
      </w:r>
      <w:r w:rsidR="00F1653C" w:rsidRPr="00E22450">
        <w:rPr>
          <w:noProof/>
          <w:lang w:val="pl-PL"/>
        </w:rPr>
        <w:t xml:space="preserve"> w</w:t>
      </w:r>
      <w:r w:rsidR="00F1653C">
        <w:rPr>
          <w:noProof/>
          <w:lang w:val="pl-PL"/>
        </w:rPr>
        <w:t> </w:t>
      </w:r>
      <w:r w:rsidR="00F1653C" w:rsidRPr="00E22450">
        <w:rPr>
          <w:noProof/>
          <w:lang w:val="pl-PL"/>
        </w:rPr>
        <w:t>wym</w:t>
      </w:r>
      <w:r w:rsidRPr="00E22450">
        <w:rPr>
          <w:noProof/>
          <w:lang w:val="pl-PL"/>
        </w:rPr>
        <w:t>ogach makroostrożnościowych. Na unijnych</w:t>
      </w:r>
      <w:r w:rsidR="00F1653C" w:rsidRPr="00E22450">
        <w:rPr>
          <w:noProof/>
          <w:lang w:val="pl-PL"/>
        </w:rPr>
        <w:t xml:space="preserve"> i</w:t>
      </w:r>
      <w:r w:rsidR="00F1653C">
        <w:rPr>
          <w:noProof/>
          <w:lang w:val="pl-PL"/>
        </w:rPr>
        <w:t> </w:t>
      </w:r>
      <w:r w:rsidR="00F1653C" w:rsidRPr="00E22450">
        <w:rPr>
          <w:noProof/>
          <w:lang w:val="pl-PL"/>
        </w:rPr>
        <w:t>mię</w:t>
      </w:r>
      <w:r w:rsidRPr="00E22450">
        <w:rPr>
          <w:noProof/>
          <w:lang w:val="pl-PL"/>
        </w:rPr>
        <w:t>dzynarodowych forach (ERRS, EBC, Rada Stabilności Finansowej, sieć na rzecz ekologizacji systemu finansowego) trwają obecnie rozmowy na temat sposobów lepszego przeciwdziałania tym rodzajom ryzyka za pomocą narzędzi makroostrożnościowych</w:t>
      </w:r>
      <w:r w:rsidR="00F1653C" w:rsidRPr="00E22450">
        <w:rPr>
          <w:noProof/>
          <w:lang w:val="pl-PL"/>
        </w:rPr>
        <w:t>. W</w:t>
      </w:r>
      <w:r w:rsidR="00F1653C">
        <w:rPr>
          <w:noProof/>
          <w:lang w:val="pl-PL"/>
        </w:rPr>
        <w:t> </w:t>
      </w:r>
      <w:r w:rsidR="00F1653C" w:rsidRPr="00E22450">
        <w:rPr>
          <w:noProof/>
          <w:lang w:val="pl-PL"/>
        </w:rPr>
        <w:t>por</w:t>
      </w:r>
      <w:r w:rsidRPr="00E22450">
        <w:rPr>
          <w:noProof/>
          <w:lang w:val="pl-PL"/>
        </w:rPr>
        <w:t>ozumieniu osiągniętym</w:t>
      </w:r>
      <w:r w:rsidR="00F1653C" w:rsidRPr="00E22450">
        <w:rPr>
          <w:noProof/>
          <w:lang w:val="pl-PL"/>
        </w:rPr>
        <w:t xml:space="preserve"> w</w:t>
      </w:r>
      <w:r w:rsidR="00F1653C">
        <w:rPr>
          <w:noProof/>
          <w:lang w:val="pl-PL"/>
        </w:rPr>
        <w:t> </w:t>
      </w:r>
      <w:r w:rsidR="00F1653C" w:rsidRPr="00E22450">
        <w:rPr>
          <w:noProof/>
          <w:lang w:val="pl-PL"/>
        </w:rPr>
        <w:t>spr</w:t>
      </w:r>
      <w:r w:rsidRPr="00E22450">
        <w:rPr>
          <w:noProof/>
          <w:lang w:val="pl-PL"/>
        </w:rPr>
        <w:t>awie „pakietu bankowego” wyjaśniono, że bufor SyRB można by wykorzystać do przeciwdziałania ryzykom związanym ze zmianą klimatu</w:t>
      </w:r>
      <w:r w:rsidR="00F1653C" w:rsidRPr="00E22450">
        <w:rPr>
          <w:noProof/>
          <w:lang w:val="pl-PL"/>
        </w:rPr>
        <w:t xml:space="preserve"> i</w:t>
      </w:r>
      <w:r w:rsidR="00F1653C">
        <w:rPr>
          <w:noProof/>
          <w:lang w:val="pl-PL"/>
        </w:rPr>
        <w:t> </w:t>
      </w:r>
      <w:r w:rsidR="00F1653C" w:rsidRPr="00E22450">
        <w:rPr>
          <w:noProof/>
          <w:lang w:val="pl-PL"/>
        </w:rPr>
        <w:t>tra</w:t>
      </w:r>
      <w:r w:rsidRPr="00E22450">
        <w:rPr>
          <w:noProof/>
          <w:lang w:val="pl-PL"/>
        </w:rPr>
        <w:t xml:space="preserve">nsformacją klimatyczną. </w:t>
      </w:r>
    </w:p>
    <w:p w14:paraId="1A934A3C" w14:textId="30ECC64F" w:rsidR="00241024" w:rsidRPr="00E22450" w:rsidRDefault="00241024" w:rsidP="004709F3">
      <w:pPr>
        <w:spacing w:after="120" w:line="240" w:lineRule="auto"/>
        <w:rPr>
          <w:rFonts w:cs="Times New Roman"/>
          <w:noProof/>
          <w:lang w:val="pl-PL"/>
        </w:rPr>
      </w:pPr>
      <w:r w:rsidRPr="00E22450">
        <w:rPr>
          <w:b/>
          <w:noProof/>
          <w:lang w:val="pl-PL"/>
        </w:rPr>
        <w:t>Ogólnosystemowe ryzyko cybernetyczne</w:t>
      </w:r>
      <w:r w:rsidRPr="00E22450">
        <w:rPr>
          <w:noProof/>
          <w:lang w:val="pl-PL"/>
        </w:rPr>
        <w:t xml:space="preserve"> budzi poważne obawy</w:t>
      </w:r>
      <w:r w:rsidR="00F1653C" w:rsidRPr="00E22450">
        <w:rPr>
          <w:noProof/>
          <w:lang w:val="pl-PL"/>
        </w:rPr>
        <w:t xml:space="preserve"> z</w:t>
      </w:r>
      <w:r w:rsidR="00F1653C">
        <w:rPr>
          <w:noProof/>
          <w:lang w:val="pl-PL"/>
        </w:rPr>
        <w:t> </w:t>
      </w:r>
      <w:r w:rsidR="00F1653C" w:rsidRPr="00E22450">
        <w:rPr>
          <w:noProof/>
          <w:lang w:val="pl-PL"/>
        </w:rPr>
        <w:t>per</w:t>
      </w:r>
      <w:r w:rsidRPr="00E22450">
        <w:rPr>
          <w:noProof/>
          <w:lang w:val="pl-PL"/>
        </w:rPr>
        <w:t>spektywy makroostrożnościowej</w:t>
      </w:r>
      <w:r w:rsidR="00F1653C" w:rsidRPr="00E22450">
        <w:rPr>
          <w:noProof/>
          <w:lang w:val="pl-PL"/>
        </w:rPr>
        <w:t xml:space="preserve"> w</w:t>
      </w:r>
      <w:r w:rsidR="00F1653C">
        <w:rPr>
          <w:noProof/>
          <w:lang w:val="pl-PL"/>
        </w:rPr>
        <w:t> </w:t>
      </w:r>
      <w:r w:rsidR="00F1653C" w:rsidRPr="00E22450">
        <w:rPr>
          <w:noProof/>
          <w:lang w:val="pl-PL"/>
        </w:rPr>
        <w:t>cor</w:t>
      </w:r>
      <w:r w:rsidRPr="00E22450">
        <w:rPr>
          <w:noProof/>
          <w:lang w:val="pl-PL"/>
        </w:rPr>
        <w:t>az bardziej cyfrowym sektorze finansowym, który jest narażony na rosnące zagrożenia cyberbezpieczeństwa. Poleganie na zewnętrznych dostawcach usług ICT umożliwia instytucjom finansowym osiągnięcie najnowocześniejszej ochrony przed zagrożeniami cyberbezpieczeństwa, ale poleganie na infrastrukturze krytycznej zapewnianej przez dostawców zewnętrznych może również prowadzić do powstania nowych podatności na zagrożenia</w:t>
      </w:r>
      <w:r w:rsidR="00F1653C" w:rsidRPr="00E22450">
        <w:rPr>
          <w:noProof/>
          <w:lang w:val="pl-PL"/>
        </w:rPr>
        <w:t xml:space="preserve"> i</w:t>
      </w:r>
      <w:r w:rsidR="00F1653C">
        <w:rPr>
          <w:noProof/>
          <w:lang w:val="pl-PL"/>
        </w:rPr>
        <w:t> </w:t>
      </w:r>
      <w:r w:rsidR="00F1653C" w:rsidRPr="00E22450">
        <w:rPr>
          <w:noProof/>
          <w:lang w:val="pl-PL"/>
        </w:rPr>
        <w:t>ryz</w:t>
      </w:r>
      <w:r w:rsidRPr="00E22450">
        <w:rPr>
          <w:noProof/>
          <w:lang w:val="pl-PL"/>
        </w:rPr>
        <w:t>yka koncentracji. Stabilność finansowa może zostać zakłócona, gdy incydenty</w:t>
      </w:r>
      <w:r w:rsidR="00F1653C" w:rsidRPr="00E22450">
        <w:rPr>
          <w:noProof/>
          <w:lang w:val="pl-PL"/>
        </w:rPr>
        <w:t xml:space="preserve"> w</w:t>
      </w:r>
      <w:r w:rsidR="00F1653C">
        <w:rPr>
          <w:noProof/>
          <w:lang w:val="pl-PL"/>
        </w:rPr>
        <w:t> </w:t>
      </w:r>
      <w:r w:rsidR="00F1653C" w:rsidRPr="00E22450">
        <w:rPr>
          <w:noProof/>
          <w:lang w:val="pl-PL"/>
        </w:rPr>
        <w:t>cyb</w:t>
      </w:r>
      <w:r w:rsidRPr="00E22450">
        <w:rPr>
          <w:noProof/>
          <w:lang w:val="pl-PL"/>
        </w:rPr>
        <w:t>erbezpieczeństwie szybko rozprzestrzenią się</w:t>
      </w:r>
      <w:r w:rsidR="00F1653C" w:rsidRPr="00E22450">
        <w:rPr>
          <w:noProof/>
          <w:lang w:val="pl-PL"/>
        </w:rPr>
        <w:t xml:space="preserve"> w</w:t>
      </w:r>
      <w:r w:rsidR="00F1653C">
        <w:rPr>
          <w:noProof/>
          <w:lang w:val="pl-PL"/>
        </w:rPr>
        <w:t> </w:t>
      </w:r>
      <w:r w:rsidR="00F1653C" w:rsidRPr="00E22450">
        <w:rPr>
          <w:noProof/>
          <w:lang w:val="pl-PL"/>
        </w:rPr>
        <w:t>ban</w:t>
      </w:r>
      <w:r w:rsidRPr="00E22450">
        <w:rPr>
          <w:noProof/>
          <w:lang w:val="pl-PL"/>
        </w:rPr>
        <w:t>kach, podmiotach niebędących bankami</w:t>
      </w:r>
      <w:r w:rsidR="00F1653C" w:rsidRPr="00E22450">
        <w:rPr>
          <w:noProof/>
          <w:lang w:val="pl-PL"/>
        </w:rPr>
        <w:t xml:space="preserve"> i</w:t>
      </w:r>
      <w:r w:rsidR="00F1653C">
        <w:rPr>
          <w:noProof/>
          <w:lang w:val="pl-PL"/>
        </w:rPr>
        <w:t> </w:t>
      </w:r>
      <w:r w:rsidR="00F1653C" w:rsidRPr="00E22450">
        <w:rPr>
          <w:noProof/>
          <w:lang w:val="pl-PL"/>
        </w:rPr>
        <w:t>inf</w:t>
      </w:r>
      <w:r w:rsidRPr="00E22450">
        <w:rPr>
          <w:noProof/>
          <w:lang w:val="pl-PL"/>
        </w:rPr>
        <w:t>rastrukturach rynku finansowego dzięki połączeniom finansowym</w:t>
      </w:r>
      <w:r w:rsidR="00F1653C" w:rsidRPr="00E22450">
        <w:rPr>
          <w:noProof/>
          <w:lang w:val="pl-PL"/>
        </w:rPr>
        <w:t xml:space="preserve"> i</w:t>
      </w:r>
      <w:r w:rsidR="00F1653C">
        <w:rPr>
          <w:noProof/>
          <w:lang w:val="pl-PL"/>
        </w:rPr>
        <w:t> </w:t>
      </w:r>
      <w:r w:rsidR="00F1653C" w:rsidRPr="00E22450">
        <w:rPr>
          <w:noProof/>
          <w:lang w:val="pl-PL"/>
        </w:rPr>
        <w:t>inf</w:t>
      </w:r>
      <w:r w:rsidRPr="00E22450">
        <w:rPr>
          <w:noProof/>
          <w:lang w:val="pl-PL"/>
        </w:rPr>
        <w:t>ormatycznym oraz wspólnej zależności od dostawców usług będących osobami trzecimi. Zadaniem ram DORA</w:t>
      </w:r>
      <w:r>
        <w:rPr>
          <w:rStyle w:val="FootnoteReference"/>
          <w:rFonts w:cs="Times New Roman"/>
          <w:noProof/>
        </w:rPr>
        <w:footnoteReference w:id="48"/>
      </w:r>
      <w:r w:rsidRPr="00E22450">
        <w:rPr>
          <w:noProof/>
          <w:lang w:val="pl-PL"/>
        </w:rPr>
        <w:t>, dyrektywy</w:t>
      </w:r>
      <w:r w:rsidR="00F1653C" w:rsidRPr="00E22450">
        <w:rPr>
          <w:noProof/>
          <w:lang w:val="pl-PL"/>
        </w:rPr>
        <w:t xml:space="preserve"> w</w:t>
      </w:r>
      <w:r w:rsidR="00F1653C">
        <w:rPr>
          <w:noProof/>
          <w:lang w:val="pl-PL"/>
        </w:rPr>
        <w:t> </w:t>
      </w:r>
      <w:r w:rsidR="00F1653C" w:rsidRPr="00E22450">
        <w:rPr>
          <w:noProof/>
          <w:lang w:val="pl-PL"/>
        </w:rPr>
        <w:t>spr</w:t>
      </w:r>
      <w:r w:rsidRPr="00E22450">
        <w:rPr>
          <w:noProof/>
          <w:lang w:val="pl-PL"/>
        </w:rPr>
        <w:t>awie cyberbezpieczeństwa</w:t>
      </w:r>
      <w:r>
        <w:rPr>
          <w:rStyle w:val="FootnoteReference"/>
          <w:rFonts w:cs="Times New Roman"/>
          <w:noProof/>
        </w:rPr>
        <w:footnoteReference w:id="49"/>
      </w:r>
      <w:r w:rsidR="00F1653C" w:rsidRPr="00E22450">
        <w:rPr>
          <w:noProof/>
          <w:lang w:val="pl-PL"/>
        </w:rPr>
        <w:t xml:space="preserve"> i</w:t>
      </w:r>
      <w:r w:rsidR="00F1653C">
        <w:rPr>
          <w:noProof/>
          <w:lang w:val="pl-PL"/>
        </w:rPr>
        <w:t> </w:t>
      </w:r>
      <w:r w:rsidR="00F1653C" w:rsidRPr="00E22450">
        <w:rPr>
          <w:noProof/>
          <w:lang w:val="pl-PL"/>
        </w:rPr>
        <w:t>trw</w:t>
      </w:r>
      <w:r w:rsidRPr="00E22450">
        <w:rPr>
          <w:noProof/>
          <w:lang w:val="pl-PL"/>
        </w:rPr>
        <w:t>ających prac nad odpowiedzią na zalecenie ERRS</w:t>
      </w:r>
      <w:r w:rsidR="00F1653C" w:rsidRPr="00E22450">
        <w:rPr>
          <w:noProof/>
          <w:lang w:val="pl-PL"/>
        </w:rPr>
        <w:t xml:space="preserve"> w</w:t>
      </w:r>
      <w:r w:rsidR="00F1653C">
        <w:rPr>
          <w:noProof/>
          <w:lang w:val="pl-PL"/>
        </w:rPr>
        <w:t> </w:t>
      </w:r>
      <w:r w:rsidR="00F1653C" w:rsidRPr="00E22450">
        <w:rPr>
          <w:noProof/>
          <w:lang w:val="pl-PL"/>
        </w:rPr>
        <w:t>spr</w:t>
      </w:r>
      <w:r w:rsidRPr="00E22450">
        <w:rPr>
          <w:noProof/>
          <w:lang w:val="pl-PL"/>
        </w:rPr>
        <w:t>awie koordynacji incydentów</w:t>
      </w:r>
      <w:r w:rsidR="00F1653C" w:rsidRPr="00E22450">
        <w:rPr>
          <w:noProof/>
          <w:lang w:val="pl-PL"/>
        </w:rPr>
        <w:t xml:space="preserve"> w</w:t>
      </w:r>
      <w:r w:rsidR="00F1653C">
        <w:rPr>
          <w:noProof/>
          <w:lang w:val="pl-PL"/>
        </w:rPr>
        <w:t> </w:t>
      </w:r>
      <w:r w:rsidR="00F1653C" w:rsidRPr="00E22450">
        <w:rPr>
          <w:noProof/>
          <w:lang w:val="pl-PL"/>
        </w:rPr>
        <w:t>cyb</w:t>
      </w:r>
      <w:r w:rsidRPr="00E22450">
        <w:rPr>
          <w:noProof/>
          <w:lang w:val="pl-PL"/>
        </w:rPr>
        <w:t>erbezpieczeństwie,</w:t>
      </w:r>
      <w:r>
        <w:rPr>
          <w:rStyle w:val="FootnoteReference"/>
          <w:rFonts w:cs="Times New Roman"/>
          <w:noProof/>
        </w:rPr>
        <w:footnoteReference w:id="50"/>
      </w:r>
      <w:r w:rsidR="00F1653C" w:rsidRPr="00E22450">
        <w:rPr>
          <w:noProof/>
          <w:lang w:val="pl-PL"/>
        </w:rPr>
        <w:t xml:space="preserve"> a</w:t>
      </w:r>
      <w:r w:rsidR="00F1653C">
        <w:rPr>
          <w:noProof/>
          <w:lang w:val="pl-PL"/>
        </w:rPr>
        <w:t> </w:t>
      </w:r>
      <w:r w:rsidR="00F1653C" w:rsidRPr="00E22450">
        <w:rPr>
          <w:noProof/>
          <w:lang w:val="pl-PL"/>
        </w:rPr>
        <w:t>tak</w:t>
      </w:r>
      <w:r w:rsidRPr="00E22450">
        <w:rPr>
          <w:noProof/>
          <w:lang w:val="pl-PL"/>
        </w:rPr>
        <w:t>że nadzorczego testu warunków skrajnych odporności banków na cyberataki przeprowadzanego przez Jednolity Mechanizm Nadzorczy</w:t>
      </w:r>
      <w:r>
        <w:rPr>
          <w:rStyle w:val="FootnoteReference"/>
          <w:rFonts w:cs="Times New Roman"/>
          <w:noProof/>
        </w:rPr>
        <w:footnoteReference w:id="51"/>
      </w:r>
      <w:r w:rsidRPr="00E22450">
        <w:rPr>
          <w:noProof/>
          <w:lang w:val="pl-PL"/>
        </w:rPr>
        <w:t xml:space="preserve"> jest ograniczenie tego ryzyka. </w:t>
      </w:r>
    </w:p>
    <w:p w14:paraId="1F93AFD3" w14:textId="3E10B08C" w:rsidR="00241024" w:rsidRPr="00E22450" w:rsidRDefault="00241024" w:rsidP="004709F3">
      <w:pPr>
        <w:pStyle w:val="Heading2"/>
        <w:numPr>
          <w:ilvl w:val="0"/>
          <w:numId w:val="0"/>
        </w:numPr>
        <w:spacing w:after="120"/>
        <w:ind w:left="1077"/>
        <w:rPr>
          <w:rFonts w:ascii="Times New Roman" w:hAnsi="Times New Roman" w:cs="Times New Roman"/>
          <w:noProof/>
          <w:sz w:val="22"/>
          <w:lang w:val="pl-PL"/>
        </w:rPr>
      </w:pPr>
      <w:r w:rsidRPr="00E22450">
        <w:rPr>
          <w:rFonts w:ascii="Times New Roman" w:hAnsi="Times New Roman"/>
          <w:noProof/>
          <w:sz w:val="22"/>
          <w:lang w:val="pl-PL"/>
        </w:rPr>
        <w:t>Podatność pozabankowych pośredników finansowych (NBFI) na zagrożenia</w:t>
      </w:r>
    </w:p>
    <w:p w14:paraId="7FCCE4D3" w14:textId="5D84FFCA" w:rsidR="00241024" w:rsidRPr="00E22450" w:rsidRDefault="005142D7" w:rsidP="004709F3">
      <w:pPr>
        <w:spacing w:after="120" w:line="240" w:lineRule="auto"/>
        <w:rPr>
          <w:rFonts w:cs="Times New Roman"/>
          <w:noProof/>
          <w:lang w:val="pl-PL"/>
        </w:rPr>
      </w:pPr>
      <w:bookmarkStart w:id="2" w:name="_Hlk121309533"/>
      <w:r w:rsidRPr="00E22450">
        <w:rPr>
          <w:rStyle w:val="BodyTextChar"/>
          <w:noProof/>
          <w:lang w:val="pl-PL"/>
        </w:rPr>
        <w:t>W przypadku NBFI Rada Stabilności Finansowej i ERRS zidentyfikowały trzy główne strukturalne podatności na zagrożenia</w:t>
      </w:r>
      <w:r w:rsidR="00F1653C" w:rsidRPr="00E22450">
        <w:rPr>
          <w:rStyle w:val="BodyTextChar"/>
          <w:noProof/>
          <w:lang w:val="pl-PL"/>
        </w:rPr>
        <w:t xml:space="preserve"> o</w:t>
      </w:r>
      <w:r w:rsidR="00F1653C">
        <w:rPr>
          <w:rStyle w:val="BodyTextChar"/>
          <w:noProof/>
          <w:lang w:val="pl-PL"/>
        </w:rPr>
        <w:t> </w:t>
      </w:r>
      <w:r w:rsidR="00F1653C" w:rsidRPr="00E22450">
        <w:rPr>
          <w:rStyle w:val="BodyTextChar"/>
          <w:noProof/>
          <w:lang w:val="pl-PL"/>
        </w:rPr>
        <w:t>róż</w:t>
      </w:r>
      <w:r w:rsidRPr="00E22450">
        <w:rPr>
          <w:rStyle w:val="BodyTextChar"/>
          <w:noProof/>
          <w:lang w:val="pl-PL"/>
        </w:rPr>
        <w:t>nej intensywności, które są tylko częściowo eliminowane przez obecne środki makroostrożnościowe</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któ</w:t>
      </w:r>
      <w:r w:rsidRPr="00E22450">
        <w:rPr>
          <w:rStyle w:val="BodyTextChar"/>
          <w:noProof/>
          <w:lang w:val="pl-PL"/>
        </w:rPr>
        <w:t>re</w:t>
      </w:r>
      <w:r w:rsidRPr="00E22450">
        <w:rPr>
          <w:noProof/>
          <w:lang w:val="pl-PL"/>
        </w:rPr>
        <w:t xml:space="preserve"> mogą przyczyniać się do narastania ryzyka systemowego. Te trzy podatności na zagrożenia to systemowe niedopasowanie płynności, (nadmierna) dźwignia finansowa</w:t>
      </w:r>
      <w:r w:rsidR="00F1653C" w:rsidRPr="00E22450">
        <w:rPr>
          <w:noProof/>
          <w:lang w:val="pl-PL"/>
        </w:rPr>
        <w:t xml:space="preserve"> i</w:t>
      </w:r>
      <w:r w:rsidR="00F1653C">
        <w:rPr>
          <w:noProof/>
          <w:lang w:val="pl-PL"/>
        </w:rPr>
        <w:t> </w:t>
      </w:r>
      <w:r w:rsidR="00F1653C" w:rsidRPr="00E22450">
        <w:rPr>
          <w:noProof/>
          <w:lang w:val="pl-PL"/>
        </w:rPr>
        <w:t>wza</w:t>
      </w:r>
      <w:r w:rsidRPr="00E22450">
        <w:rPr>
          <w:noProof/>
          <w:lang w:val="pl-PL"/>
        </w:rPr>
        <w:t>jemne powiązania. Ograniczony</w:t>
      </w:r>
      <w:r w:rsidR="00F1653C" w:rsidRPr="00E22450">
        <w:rPr>
          <w:noProof/>
          <w:lang w:val="pl-PL"/>
        </w:rPr>
        <w:t xml:space="preserve"> i</w:t>
      </w:r>
      <w:r w:rsidR="00F1653C">
        <w:rPr>
          <w:noProof/>
          <w:lang w:val="pl-PL"/>
        </w:rPr>
        <w:t> </w:t>
      </w:r>
      <w:r w:rsidR="00F1653C" w:rsidRPr="00E22450">
        <w:rPr>
          <w:noProof/>
          <w:lang w:val="pl-PL"/>
        </w:rPr>
        <w:t>roz</w:t>
      </w:r>
      <w:r w:rsidRPr="00E22450">
        <w:rPr>
          <w:noProof/>
          <w:lang w:val="pl-PL"/>
        </w:rPr>
        <w:t xml:space="preserve">drobniony nadzór makroostrożnościowy nad NBFI we wszystkich państwach członkowskich może również stworzyć dodatkowe źródło ryzyka systemowego dla systemu finansowego UE. </w:t>
      </w:r>
    </w:p>
    <w:p w14:paraId="782AA9C1" w14:textId="55D11191" w:rsidR="000E2663" w:rsidRPr="00E22450" w:rsidRDefault="00241024" w:rsidP="004709F3">
      <w:pPr>
        <w:spacing w:after="120" w:line="240" w:lineRule="auto"/>
        <w:rPr>
          <w:noProof/>
          <w:lang w:val="pl-PL"/>
        </w:rPr>
      </w:pPr>
      <w:r w:rsidRPr="00E22450">
        <w:rPr>
          <w:rStyle w:val="BodyTextChar"/>
          <w:b/>
          <w:noProof/>
          <w:lang w:val="pl-PL"/>
        </w:rPr>
        <w:t>Systemowe</w:t>
      </w:r>
      <w:r w:rsidRPr="00E22450">
        <w:rPr>
          <w:rStyle w:val="BodyTextChar"/>
          <w:noProof/>
          <w:lang w:val="pl-PL"/>
        </w:rPr>
        <w:t xml:space="preserve"> </w:t>
      </w:r>
      <w:r w:rsidRPr="00E22450">
        <w:rPr>
          <w:rStyle w:val="BodyTextChar"/>
          <w:b/>
          <w:noProof/>
          <w:lang w:val="pl-PL"/>
        </w:rPr>
        <w:t>niedopasowanie płynności</w:t>
      </w:r>
      <w:r w:rsidRPr="00E22450">
        <w:rPr>
          <w:rStyle w:val="BodyTextChar"/>
          <w:noProof/>
          <w:lang w:val="pl-PL"/>
        </w:rPr>
        <w:t xml:space="preserve"> może wynikać</w:t>
      </w:r>
      <w:r w:rsidR="00F1653C" w:rsidRPr="00E22450">
        <w:rPr>
          <w:rStyle w:val="BodyTextChar"/>
          <w:noProof/>
          <w:lang w:val="pl-PL"/>
        </w:rPr>
        <w:t xml:space="preserve"> z</w:t>
      </w:r>
      <w:r w:rsidR="00F1653C">
        <w:rPr>
          <w:rStyle w:val="BodyTextChar"/>
          <w:noProof/>
          <w:lang w:val="pl-PL"/>
        </w:rPr>
        <w:t> </w:t>
      </w:r>
      <w:r w:rsidR="00F1653C" w:rsidRPr="00E22450">
        <w:rPr>
          <w:rStyle w:val="BodyTextChar"/>
          <w:noProof/>
          <w:lang w:val="pl-PL"/>
        </w:rPr>
        <w:t>duż</w:t>
      </w:r>
      <w:r w:rsidRPr="00E22450">
        <w:rPr>
          <w:rStyle w:val="BodyTextChar"/>
          <w:noProof/>
          <w:lang w:val="pl-PL"/>
        </w:rPr>
        <w:t>ych</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nie</w:t>
      </w:r>
      <w:r w:rsidRPr="00E22450">
        <w:rPr>
          <w:rStyle w:val="BodyTextChar"/>
          <w:noProof/>
          <w:lang w:val="pl-PL"/>
        </w:rPr>
        <w:t>oczekiwanych zmian</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pop</w:t>
      </w:r>
      <w:r w:rsidRPr="00E22450">
        <w:rPr>
          <w:rStyle w:val="BodyTextChar"/>
          <w:noProof/>
          <w:lang w:val="pl-PL"/>
        </w:rPr>
        <w:t>ycie na płynność, jeśli</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cza</w:t>
      </w:r>
      <w:r w:rsidRPr="00E22450">
        <w:rPr>
          <w:rStyle w:val="BodyTextChar"/>
          <w:noProof/>
          <w:lang w:val="pl-PL"/>
        </w:rPr>
        <w:t>sach napięć podaż płynności jest naturalnie mniejsza</w:t>
      </w:r>
      <w:r w:rsidR="00F1653C" w:rsidRPr="00E22450">
        <w:rPr>
          <w:rStyle w:val="BodyTextChar"/>
          <w:noProof/>
          <w:lang w:val="pl-PL"/>
        </w:rPr>
        <w:t>. W</w:t>
      </w:r>
      <w:r w:rsidR="00F1653C">
        <w:rPr>
          <w:rStyle w:val="BodyTextChar"/>
          <w:noProof/>
          <w:lang w:val="pl-PL"/>
        </w:rPr>
        <w:t> </w:t>
      </w:r>
      <w:r w:rsidR="00F1653C" w:rsidRPr="00E22450">
        <w:rPr>
          <w:rStyle w:val="BodyTextChar"/>
          <w:noProof/>
          <w:lang w:val="pl-PL"/>
        </w:rPr>
        <w:t>mar</w:t>
      </w:r>
      <w:r w:rsidRPr="00E22450">
        <w:rPr>
          <w:rStyle w:val="BodyTextChar"/>
          <w:noProof/>
          <w:lang w:val="pl-PL"/>
        </w:rPr>
        <w:t>cu 20</w:t>
      </w:r>
      <w:r w:rsidRPr="00F1653C">
        <w:rPr>
          <w:rStyle w:val="BodyTextChar"/>
          <w:noProof/>
          <w:lang w:val="pl-PL"/>
        </w:rPr>
        <w:t>20</w:t>
      </w:r>
      <w:r w:rsidR="00F1653C" w:rsidRPr="00F1653C">
        <w:rPr>
          <w:rStyle w:val="BodyTextChar"/>
          <w:noProof/>
          <w:lang w:val="pl-PL"/>
        </w:rPr>
        <w:t> </w:t>
      </w:r>
      <w:r w:rsidRPr="00F1653C">
        <w:rPr>
          <w:rStyle w:val="BodyTextChar"/>
          <w:noProof/>
          <w:lang w:val="pl-PL"/>
        </w:rPr>
        <w:t>r.</w:t>
      </w:r>
      <w:r w:rsidRPr="00E22450">
        <w:rPr>
          <w:rStyle w:val="BodyTextChar"/>
          <w:noProof/>
          <w:lang w:val="pl-PL"/>
        </w:rPr>
        <w:t xml:space="preserve"> zapobiegawczy popyt na płynność</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gos</w:t>
      </w:r>
      <w:r w:rsidRPr="00E22450">
        <w:rPr>
          <w:rStyle w:val="BodyTextChar"/>
          <w:noProof/>
          <w:lang w:val="pl-PL"/>
        </w:rPr>
        <w:t>podarce</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zwi</w:t>
      </w:r>
      <w:r w:rsidRPr="00E22450">
        <w:rPr>
          <w:rStyle w:val="BodyTextChar"/>
          <w:noProof/>
          <w:lang w:val="pl-PL"/>
        </w:rPr>
        <w:t>ązane</w:t>
      </w:r>
      <w:r w:rsidR="00F1653C" w:rsidRPr="00E22450">
        <w:rPr>
          <w:rStyle w:val="BodyTextChar"/>
          <w:noProof/>
          <w:lang w:val="pl-PL"/>
        </w:rPr>
        <w:t xml:space="preserve"> z</w:t>
      </w:r>
      <w:r w:rsidR="00F1653C">
        <w:rPr>
          <w:rStyle w:val="BodyTextChar"/>
          <w:noProof/>
          <w:lang w:val="pl-PL"/>
        </w:rPr>
        <w:t> </w:t>
      </w:r>
      <w:r w:rsidR="00F1653C" w:rsidRPr="00E22450">
        <w:rPr>
          <w:rStyle w:val="BodyTextChar"/>
          <w:noProof/>
          <w:lang w:val="pl-PL"/>
        </w:rPr>
        <w:t>tym</w:t>
      </w:r>
      <w:r w:rsidRPr="00E22450">
        <w:rPr>
          <w:rStyle w:val="BodyTextChar"/>
          <w:noProof/>
          <w:lang w:val="pl-PL"/>
        </w:rPr>
        <w:t xml:space="preserve"> zapotrzebowanie na gotówkę ze strony instytucji finansowych doprowadziły do szeroko zakrojonej wyprzedaży aktywów finansowych, tzw. „dash for cash”</w:t>
      </w:r>
      <w:r>
        <w:rPr>
          <w:rStyle w:val="FootnoteReference"/>
          <w:rFonts w:eastAsiaTheme="minorEastAsia" w:cs="Times New Roman"/>
          <w:noProof/>
        </w:rPr>
        <w:footnoteReference w:id="52"/>
      </w:r>
      <w:r w:rsidRPr="00E22450">
        <w:rPr>
          <w:noProof/>
          <w:lang w:val="pl-PL"/>
        </w:rPr>
        <w:t>.</w:t>
      </w:r>
      <w:r w:rsidRPr="00E22450">
        <w:rPr>
          <w:rStyle w:val="BodyTextChar"/>
          <w:noProof/>
          <w:lang w:val="pl-PL"/>
        </w:rPr>
        <w:t>Po stronie podaży, niższa skłonność do podejmowania ryzyka, ograniczenia regulacyjne (wraz</w:t>
      </w:r>
      <w:r w:rsidR="00F1653C" w:rsidRPr="00E22450">
        <w:rPr>
          <w:rStyle w:val="BodyTextChar"/>
          <w:noProof/>
          <w:lang w:val="pl-PL"/>
        </w:rPr>
        <w:t xml:space="preserve"> z</w:t>
      </w:r>
      <w:r w:rsidR="00F1653C">
        <w:rPr>
          <w:rStyle w:val="BodyTextChar"/>
          <w:noProof/>
          <w:lang w:val="pl-PL"/>
        </w:rPr>
        <w:t> </w:t>
      </w:r>
      <w:r w:rsidR="00F1653C" w:rsidRPr="00E22450">
        <w:rPr>
          <w:rStyle w:val="BodyTextChar"/>
          <w:noProof/>
          <w:lang w:val="pl-PL"/>
        </w:rPr>
        <w:t>wdr</w:t>
      </w:r>
      <w:r w:rsidRPr="00E22450">
        <w:rPr>
          <w:rStyle w:val="BodyTextChar"/>
          <w:noProof/>
          <w:lang w:val="pl-PL"/>
        </w:rPr>
        <w:t>ożeniem pakietu Bazylea III)</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wyz</w:t>
      </w:r>
      <w:r w:rsidRPr="00E22450">
        <w:rPr>
          <w:rStyle w:val="BodyTextChar"/>
          <w:noProof/>
          <w:lang w:val="pl-PL"/>
        </w:rPr>
        <w:t>wania operacyjne ograniczyły zapewnianie płynności przez banki</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dea</w:t>
      </w:r>
      <w:r w:rsidRPr="00E22450">
        <w:rPr>
          <w:rStyle w:val="BodyTextChar"/>
          <w:noProof/>
          <w:lang w:val="pl-PL"/>
        </w:rPr>
        <w:t xml:space="preserve">lerów brokerskich. </w:t>
      </w:r>
      <w:r w:rsidRPr="00E22450">
        <w:rPr>
          <w:noProof/>
          <w:lang w:val="pl-PL"/>
        </w:rPr>
        <w:t>We wrześniu 20</w:t>
      </w:r>
      <w:r w:rsidRPr="00F1653C">
        <w:rPr>
          <w:noProof/>
          <w:lang w:val="pl-PL"/>
        </w:rPr>
        <w:t>22</w:t>
      </w:r>
      <w:r w:rsidR="00F1653C" w:rsidRPr="00F1653C">
        <w:rPr>
          <w:noProof/>
          <w:lang w:val="pl-PL"/>
        </w:rPr>
        <w:t> </w:t>
      </w:r>
      <w:r w:rsidRPr="00F1653C">
        <w:rPr>
          <w:noProof/>
          <w:lang w:val="pl-PL"/>
        </w:rPr>
        <w:t>r.</w:t>
      </w:r>
      <w:r w:rsidRPr="00E22450">
        <w:rPr>
          <w:noProof/>
          <w:lang w:val="pl-PL"/>
        </w:rPr>
        <w:t xml:space="preserve"> gwałtowny wzrost stóp procentowych brytyjskich obligacji skarbowych (i późniejszy spadek cen aktywów finansowych) wywołał obawy</w:t>
      </w:r>
      <w:r w:rsidR="00F1653C" w:rsidRPr="00E22450">
        <w:rPr>
          <w:noProof/>
          <w:lang w:val="pl-PL"/>
        </w:rPr>
        <w:t xml:space="preserve"> w</w:t>
      </w:r>
      <w:r w:rsidR="00F1653C">
        <w:rPr>
          <w:noProof/>
          <w:lang w:val="pl-PL"/>
        </w:rPr>
        <w:t> </w:t>
      </w:r>
      <w:r w:rsidR="00F1653C" w:rsidRPr="00E22450">
        <w:rPr>
          <w:noProof/>
          <w:lang w:val="pl-PL"/>
        </w:rPr>
        <w:t>sek</w:t>
      </w:r>
      <w:r w:rsidRPr="00E22450">
        <w:rPr>
          <w:noProof/>
          <w:lang w:val="pl-PL"/>
        </w:rPr>
        <w:t>torze funduszy emerytalnych, gdzie strategie oparte na odpowiedzialności (LDI) doprowadziły do znacznej wyprzedaży brytyjskich obligacji skarbowych, co</w:t>
      </w:r>
      <w:r w:rsidR="00F1653C" w:rsidRPr="00E22450">
        <w:rPr>
          <w:noProof/>
          <w:lang w:val="pl-PL"/>
        </w:rPr>
        <w:t xml:space="preserve"> z</w:t>
      </w:r>
      <w:r w:rsidR="00F1653C">
        <w:rPr>
          <w:noProof/>
          <w:lang w:val="pl-PL"/>
        </w:rPr>
        <w:t> </w:t>
      </w:r>
      <w:r w:rsidR="00F1653C" w:rsidRPr="00E22450">
        <w:rPr>
          <w:noProof/>
          <w:lang w:val="pl-PL"/>
        </w:rPr>
        <w:t>kol</w:t>
      </w:r>
      <w:r w:rsidRPr="00E22450">
        <w:rPr>
          <w:noProof/>
          <w:lang w:val="pl-PL"/>
        </w:rPr>
        <w:t>ei spowodowało interwencję Banku Anglii</w:t>
      </w:r>
      <w:r w:rsidR="00F1653C" w:rsidRPr="00E22450">
        <w:rPr>
          <w:noProof/>
          <w:lang w:val="pl-PL"/>
        </w:rPr>
        <w:t xml:space="preserve"> w</w:t>
      </w:r>
      <w:r w:rsidR="00F1653C">
        <w:rPr>
          <w:noProof/>
          <w:lang w:val="pl-PL"/>
        </w:rPr>
        <w:t> </w:t>
      </w:r>
      <w:r w:rsidR="00F1653C" w:rsidRPr="00E22450">
        <w:rPr>
          <w:noProof/>
          <w:lang w:val="pl-PL"/>
        </w:rPr>
        <w:t>ram</w:t>
      </w:r>
      <w:r w:rsidRPr="00E22450">
        <w:rPr>
          <w:noProof/>
          <w:lang w:val="pl-PL"/>
        </w:rPr>
        <w:t>ach dużego programu skupu aktywów</w:t>
      </w:r>
      <w:r>
        <w:rPr>
          <w:rStyle w:val="FootnoteReference"/>
          <w:rFonts w:cs="Times New Roman"/>
          <w:noProof/>
        </w:rPr>
        <w:footnoteReference w:id="53"/>
      </w:r>
      <w:r w:rsidRPr="00E22450">
        <w:rPr>
          <w:noProof/>
          <w:lang w:val="pl-PL"/>
        </w:rPr>
        <w:t>. 28 września 20</w:t>
      </w:r>
      <w:r w:rsidRPr="00F1653C">
        <w:rPr>
          <w:noProof/>
          <w:lang w:val="pl-PL"/>
        </w:rPr>
        <w:t>23</w:t>
      </w:r>
      <w:r w:rsidR="00F1653C" w:rsidRPr="00F1653C">
        <w:rPr>
          <w:noProof/>
          <w:lang w:val="pl-PL"/>
        </w:rPr>
        <w:t> </w:t>
      </w:r>
      <w:r w:rsidRPr="00F1653C">
        <w:rPr>
          <w:noProof/>
          <w:lang w:val="pl-PL"/>
        </w:rPr>
        <w:t>r.</w:t>
      </w:r>
      <w:r w:rsidRPr="00E22450">
        <w:rPr>
          <w:noProof/>
          <w:lang w:val="pl-PL"/>
        </w:rPr>
        <w:t xml:space="preserve"> Bank Anglii ogłosił plan stworzenia nowego narzędzia płynności dla NBFI, które początkowo obejmie ubezpieczenia</w:t>
      </w:r>
      <w:r w:rsidR="00F1653C" w:rsidRPr="00E22450">
        <w:rPr>
          <w:noProof/>
          <w:lang w:val="pl-PL"/>
        </w:rPr>
        <w:t xml:space="preserve"> i</w:t>
      </w:r>
      <w:r w:rsidR="00F1653C">
        <w:rPr>
          <w:noProof/>
          <w:lang w:val="pl-PL"/>
        </w:rPr>
        <w:t> </w:t>
      </w:r>
      <w:r w:rsidR="00F1653C" w:rsidRPr="00E22450">
        <w:rPr>
          <w:noProof/>
          <w:lang w:val="pl-PL"/>
        </w:rPr>
        <w:t>fun</w:t>
      </w:r>
      <w:r w:rsidRPr="00E22450">
        <w:rPr>
          <w:noProof/>
          <w:lang w:val="pl-PL"/>
        </w:rPr>
        <w:t>dusze emerytalne</w:t>
      </w:r>
      <w:r w:rsidR="00F1653C" w:rsidRPr="00E22450">
        <w:rPr>
          <w:noProof/>
          <w:lang w:val="pl-PL"/>
        </w:rPr>
        <w:t xml:space="preserve"> i</w:t>
      </w:r>
      <w:r w:rsidR="00F1653C">
        <w:rPr>
          <w:noProof/>
          <w:lang w:val="pl-PL"/>
        </w:rPr>
        <w:t> </w:t>
      </w:r>
      <w:r w:rsidR="00F1653C" w:rsidRPr="00E22450">
        <w:rPr>
          <w:noProof/>
          <w:lang w:val="pl-PL"/>
        </w:rPr>
        <w:t>moż</w:t>
      </w:r>
      <w:r w:rsidRPr="00E22450">
        <w:rPr>
          <w:noProof/>
          <w:lang w:val="pl-PL"/>
        </w:rPr>
        <w:t xml:space="preserve">e zostać rozszerzone na wszystkie podmioty NBFI spełniające określone wymogi kwalifikowalności (w zakresie odporności </w:t>
      </w:r>
      <w:r w:rsidRPr="00E22450">
        <w:rPr>
          <w:i/>
          <w:noProof/>
          <w:lang w:val="pl-PL"/>
        </w:rPr>
        <w:t>ex ante</w:t>
      </w:r>
      <w:r w:rsidRPr="00E22450">
        <w:rPr>
          <w:noProof/>
          <w:lang w:val="pl-PL"/>
        </w:rPr>
        <w:t>)</w:t>
      </w:r>
      <w:r>
        <w:rPr>
          <w:rStyle w:val="FootnoteReference"/>
          <w:rFonts w:cs="Times New Roman"/>
          <w:noProof/>
        </w:rPr>
        <w:footnoteReference w:id="54"/>
      </w:r>
      <w:r w:rsidRPr="00E22450">
        <w:rPr>
          <w:noProof/>
          <w:lang w:val="pl-PL"/>
        </w:rPr>
        <w:t xml:space="preserve">. </w:t>
      </w:r>
    </w:p>
    <w:p w14:paraId="7273752D" w14:textId="2C878ED3" w:rsidR="00241024" w:rsidRPr="00E22450" w:rsidRDefault="00FC71E2" w:rsidP="004709F3">
      <w:pPr>
        <w:spacing w:after="120" w:line="240" w:lineRule="auto"/>
        <w:rPr>
          <w:rFonts w:cs="Times New Roman"/>
          <w:noProof/>
          <w:lang w:val="pl-PL"/>
        </w:rPr>
      </w:pPr>
      <w:r w:rsidRPr="00E22450">
        <w:rPr>
          <w:noProof/>
          <w:lang w:val="pl-PL"/>
        </w:rPr>
        <w:t>Ponadto</w:t>
      </w:r>
      <w:r w:rsidR="00F1653C" w:rsidRPr="00E22450">
        <w:rPr>
          <w:noProof/>
          <w:lang w:val="pl-PL"/>
        </w:rPr>
        <w:t xml:space="preserve"> w</w:t>
      </w:r>
      <w:r w:rsidR="00F1653C">
        <w:rPr>
          <w:noProof/>
          <w:lang w:val="pl-PL"/>
        </w:rPr>
        <w:t> </w:t>
      </w:r>
      <w:r w:rsidR="00F1653C" w:rsidRPr="00E22450">
        <w:rPr>
          <w:noProof/>
          <w:lang w:val="pl-PL"/>
        </w:rPr>
        <w:t>wyn</w:t>
      </w:r>
      <w:r w:rsidRPr="00E22450">
        <w:rPr>
          <w:noProof/>
          <w:lang w:val="pl-PL"/>
        </w:rPr>
        <w:t>iku napięć rynkowych spowodowanych pandemią COVID-19</w:t>
      </w:r>
      <w:r w:rsidR="00F1653C" w:rsidRPr="00E22450">
        <w:rPr>
          <w:noProof/>
          <w:lang w:val="pl-PL"/>
        </w:rPr>
        <w:t xml:space="preserve"> w</w:t>
      </w:r>
      <w:r w:rsidR="00F1653C">
        <w:rPr>
          <w:noProof/>
          <w:lang w:val="pl-PL"/>
        </w:rPr>
        <w:t> </w:t>
      </w:r>
      <w:r w:rsidR="00F1653C" w:rsidRPr="00E22450">
        <w:rPr>
          <w:noProof/>
          <w:lang w:val="pl-PL"/>
        </w:rPr>
        <w:t>mar</w:t>
      </w:r>
      <w:r w:rsidRPr="00E22450">
        <w:rPr>
          <w:noProof/>
          <w:lang w:val="pl-PL"/>
        </w:rPr>
        <w:t>cu 20</w:t>
      </w:r>
      <w:r w:rsidRPr="00F1653C">
        <w:rPr>
          <w:noProof/>
          <w:lang w:val="pl-PL"/>
        </w:rPr>
        <w:t>20</w:t>
      </w:r>
      <w:r w:rsidR="00F1653C" w:rsidRPr="00F1653C">
        <w:rPr>
          <w:noProof/>
          <w:lang w:val="pl-PL"/>
        </w:rPr>
        <w:t> </w:t>
      </w:r>
      <w:r w:rsidRPr="00F1653C">
        <w:rPr>
          <w:noProof/>
          <w:lang w:val="pl-PL"/>
        </w:rPr>
        <w:t>r.</w:t>
      </w:r>
      <w:r w:rsidRPr="00E22450">
        <w:rPr>
          <w:noProof/>
          <w:lang w:val="pl-PL"/>
        </w:rPr>
        <w:t xml:space="preserve"> okazało się, że niektóre fundusze rynku pieniężnego (FRP) mogą być podatne na działania inwestorów (co oznacza przewagę pioniera), co może pogłębić wstrząsy związane</w:t>
      </w:r>
      <w:r w:rsidR="00F1653C" w:rsidRPr="00E22450">
        <w:rPr>
          <w:noProof/>
          <w:lang w:val="pl-PL"/>
        </w:rPr>
        <w:t xml:space="preserve"> z</w:t>
      </w:r>
      <w:r w:rsidR="00F1653C">
        <w:rPr>
          <w:noProof/>
          <w:lang w:val="pl-PL"/>
        </w:rPr>
        <w:t> </w:t>
      </w:r>
      <w:r w:rsidR="00F1653C" w:rsidRPr="00E22450">
        <w:rPr>
          <w:noProof/>
          <w:lang w:val="pl-PL"/>
        </w:rPr>
        <w:t>pły</w:t>
      </w:r>
      <w:r w:rsidRPr="00E22450">
        <w:rPr>
          <w:noProof/>
          <w:lang w:val="pl-PL"/>
        </w:rPr>
        <w:t>nnością, ponieważ FRP muszą sprzedawać swoje aktywa, aby finansować bardzo duże odpływy</w:t>
      </w:r>
      <w:r w:rsidR="00F1653C" w:rsidRPr="00E22450">
        <w:rPr>
          <w:noProof/>
          <w:lang w:val="pl-PL"/>
        </w:rPr>
        <w:t xml:space="preserve"> w</w:t>
      </w:r>
      <w:r w:rsidR="00F1653C">
        <w:rPr>
          <w:noProof/>
          <w:lang w:val="pl-PL"/>
        </w:rPr>
        <w:t> </w:t>
      </w:r>
      <w:r w:rsidR="00F1653C" w:rsidRPr="00E22450">
        <w:rPr>
          <w:noProof/>
          <w:lang w:val="pl-PL"/>
        </w:rPr>
        <w:t>wyj</w:t>
      </w:r>
      <w:r w:rsidRPr="00E22450">
        <w:rPr>
          <w:noProof/>
          <w:lang w:val="pl-PL"/>
        </w:rPr>
        <w:t>ątkowych okolicznościach. Często może to mieć miejsce</w:t>
      </w:r>
      <w:r w:rsidR="00F1653C" w:rsidRPr="00E22450">
        <w:rPr>
          <w:noProof/>
          <w:lang w:val="pl-PL"/>
        </w:rPr>
        <w:t xml:space="preserve"> w</w:t>
      </w:r>
      <w:r w:rsidR="00F1653C">
        <w:rPr>
          <w:noProof/>
          <w:lang w:val="pl-PL"/>
        </w:rPr>
        <w:t> </w:t>
      </w:r>
      <w:r w:rsidR="00F1653C" w:rsidRPr="00E22450">
        <w:rPr>
          <w:noProof/>
          <w:lang w:val="pl-PL"/>
        </w:rPr>
        <w:t>zwi</w:t>
      </w:r>
      <w:r w:rsidRPr="00E22450">
        <w:rPr>
          <w:noProof/>
          <w:lang w:val="pl-PL"/>
        </w:rPr>
        <w:t>ązku</w:t>
      </w:r>
      <w:r w:rsidR="00F1653C" w:rsidRPr="00E22450">
        <w:rPr>
          <w:noProof/>
          <w:lang w:val="pl-PL"/>
        </w:rPr>
        <w:t xml:space="preserve"> z</w:t>
      </w:r>
      <w:r w:rsidR="00F1653C">
        <w:rPr>
          <w:noProof/>
          <w:lang w:val="pl-PL"/>
        </w:rPr>
        <w:t> </w:t>
      </w:r>
      <w:r w:rsidR="00F1653C" w:rsidRPr="00E22450">
        <w:rPr>
          <w:noProof/>
          <w:lang w:val="pl-PL"/>
        </w:rPr>
        <w:t>pły</w:t>
      </w:r>
      <w:r w:rsidRPr="00E22450">
        <w:rPr>
          <w:noProof/>
          <w:lang w:val="pl-PL"/>
        </w:rPr>
        <w:t>nnością</w:t>
      </w:r>
      <w:r w:rsidR="00F1653C" w:rsidRPr="00E22450">
        <w:rPr>
          <w:noProof/>
          <w:lang w:val="pl-PL"/>
        </w:rPr>
        <w:t xml:space="preserve"> i</w:t>
      </w:r>
      <w:r w:rsidR="00F1653C">
        <w:rPr>
          <w:noProof/>
          <w:lang w:val="pl-PL"/>
        </w:rPr>
        <w:t> </w:t>
      </w:r>
      <w:r w:rsidR="00F1653C" w:rsidRPr="00E22450">
        <w:rPr>
          <w:noProof/>
          <w:lang w:val="pl-PL"/>
        </w:rPr>
        <w:t>prz</w:t>
      </w:r>
      <w:r w:rsidRPr="00E22450">
        <w:rPr>
          <w:noProof/>
          <w:lang w:val="pl-PL"/>
        </w:rPr>
        <w:t>ejrzystością rynków finansowania krótkoterminowego</w:t>
      </w:r>
      <w:r>
        <w:rPr>
          <w:rStyle w:val="FootnoteReference"/>
          <w:noProof/>
        </w:rPr>
        <w:footnoteReference w:id="55"/>
      </w:r>
      <w:r w:rsidRPr="00E22450">
        <w:rPr>
          <w:noProof/>
          <w:lang w:val="pl-PL"/>
        </w:rPr>
        <w:t>. Komisja aktywnie uczestniczy</w:t>
      </w:r>
      <w:r w:rsidR="00F1653C" w:rsidRPr="00E22450">
        <w:rPr>
          <w:noProof/>
          <w:lang w:val="pl-PL"/>
        </w:rPr>
        <w:t xml:space="preserve"> w</w:t>
      </w:r>
      <w:r w:rsidR="00F1653C">
        <w:rPr>
          <w:noProof/>
          <w:lang w:val="pl-PL"/>
        </w:rPr>
        <w:t> </w:t>
      </w:r>
      <w:r w:rsidR="00F1653C" w:rsidRPr="00E22450">
        <w:rPr>
          <w:noProof/>
          <w:lang w:val="pl-PL"/>
        </w:rPr>
        <w:t>mię</w:t>
      </w:r>
      <w:r w:rsidRPr="00E22450">
        <w:rPr>
          <w:noProof/>
          <w:lang w:val="pl-PL"/>
        </w:rPr>
        <w:t>dzynarodowych dyskusjach na temat środków mających na celu rozwiązanie problemu systemowego niedopasowania płynności. Dyskusje te koncentrują się na prewencyjnych środkach wsparcia płynności (takich jak zabezpieczenia przed utratą płynności lub nowe praktyki uzupełniania depozytu zabezpieczającego) oraz na środkach płynności, których skutki</w:t>
      </w:r>
      <w:r w:rsidR="00F1653C" w:rsidRPr="00E22450">
        <w:rPr>
          <w:noProof/>
          <w:lang w:val="pl-PL"/>
        </w:rPr>
        <w:t xml:space="preserve"> i</w:t>
      </w:r>
      <w:r w:rsidR="00F1653C">
        <w:rPr>
          <w:noProof/>
          <w:lang w:val="pl-PL"/>
        </w:rPr>
        <w:t> </w:t>
      </w:r>
      <w:r w:rsidR="00F1653C" w:rsidRPr="00E22450">
        <w:rPr>
          <w:noProof/>
          <w:lang w:val="pl-PL"/>
        </w:rPr>
        <w:t>wyk</w:t>
      </w:r>
      <w:r w:rsidRPr="00E22450">
        <w:rPr>
          <w:noProof/>
          <w:lang w:val="pl-PL"/>
        </w:rPr>
        <w:t xml:space="preserve">orzystanie nasilają zdarzenia systemowe (takie jak sektorowe narzędzia zarządzania płynnością lub uprawnienie do zawieszenia praw do wykupu, zwane również „środkami płynności </w:t>
      </w:r>
      <w:r w:rsidRPr="00E22450">
        <w:rPr>
          <w:i/>
          <w:noProof/>
          <w:lang w:val="pl-PL"/>
        </w:rPr>
        <w:t>ex post</w:t>
      </w:r>
      <w:r w:rsidRPr="00E22450">
        <w:rPr>
          <w:noProof/>
          <w:lang w:val="pl-PL"/>
        </w:rPr>
        <w:t>”)</w:t>
      </w:r>
      <w:r w:rsidR="00F1653C" w:rsidRPr="00E22450">
        <w:rPr>
          <w:noProof/>
          <w:lang w:val="pl-PL"/>
        </w:rPr>
        <w:t xml:space="preserve"> w</w:t>
      </w:r>
      <w:r w:rsidR="00F1653C">
        <w:rPr>
          <w:noProof/>
          <w:lang w:val="pl-PL"/>
        </w:rPr>
        <w:t> </w:t>
      </w:r>
      <w:r w:rsidR="00F1653C" w:rsidRPr="00E22450">
        <w:rPr>
          <w:noProof/>
          <w:lang w:val="pl-PL"/>
        </w:rPr>
        <w:t>róż</w:t>
      </w:r>
      <w:r w:rsidRPr="00E22450">
        <w:rPr>
          <w:noProof/>
          <w:lang w:val="pl-PL"/>
        </w:rPr>
        <w:t>nych sektorach NBFI,</w:t>
      </w:r>
      <w:r w:rsidR="00F1653C" w:rsidRPr="00E22450">
        <w:rPr>
          <w:noProof/>
          <w:lang w:val="pl-PL"/>
        </w:rPr>
        <w:t xml:space="preserve"> w</w:t>
      </w:r>
      <w:r w:rsidR="00F1653C">
        <w:rPr>
          <w:noProof/>
          <w:lang w:val="pl-PL"/>
        </w:rPr>
        <w:t> </w:t>
      </w:r>
      <w:r w:rsidR="00F1653C" w:rsidRPr="00E22450">
        <w:rPr>
          <w:noProof/>
          <w:lang w:val="pl-PL"/>
        </w:rPr>
        <w:t>tym w</w:t>
      </w:r>
      <w:r w:rsidR="00F1653C">
        <w:rPr>
          <w:noProof/>
          <w:lang w:val="pl-PL"/>
        </w:rPr>
        <w:t> </w:t>
      </w:r>
      <w:r w:rsidR="00F1653C" w:rsidRPr="00E22450">
        <w:rPr>
          <w:noProof/>
          <w:lang w:val="pl-PL"/>
        </w:rPr>
        <w:t>fun</w:t>
      </w:r>
      <w:r w:rsidRPr="00E22450">
        <w:rPr>
          <w:noProof/>
          <w:lang w:val="pl-PL"/>
        </w:rPr>
        <w:t>duszach inwestycyjnych, funduszach emerytalnych</w:t>
      </w:r>
      <w:r w:rsidR="00F1653C" w:rsidRPr="00E22450">
        <w:rPr>
          <w:noProof/>
          <w:lang w:val="pl-PL"/>
        </w:rPr>
        <w:t xml:space="preserve"> i</w:t>
      </w:r>
      <w:r w:rsidR="00F1653C">
        <w:rPr>
          <w:noProof/>
          <w:lang w:val="pl-PL"/>
        </w:rPr>
        <w:t> </w:t>
      </w:r>
      <w:r w:rsidR="00F1653C" w:rsidRPr="00E22450">
        <w:rPr>
          <w:noProof/>
          <w:lang w:val="pl-PL"/>
        </w:rPr>
        <w:t>zak</w:t>
      </w:r>
      <w:r w:rsidRPr="00E22450">
        <w:rPr>
          <w:noProof/>
          <w:lang w:val="pl-PL"/>
        </w:rPr>
        <w:t>ładach ubezpieczeń</w:t>
      </w:r>
      <w:r>
        <w:rPr>
          <w:rStyle w:val="FootnoteReference"/>
          <w:noProof/>
        </w:rPr>
        <w:footnoteReference w:id="56"/>
      </w:r>
      <w:r w:rsidRPr="00E22450">
        <w:rPr>
          <w:noProof/>
          <w:lang w:val="pl-PL"/>
        </w:rPr>
        <w:t xml:space="preserve">. </w:t>
      </w:r>
    </w:p>
    <w:p w14:paraId="4ED46085" w14:textId="4D1BED29" w:rsidR="00A021AE" w:rsidRPr="00E22450" w:rsidRDefault="00241024" w:rsidP="004709F3">
      <w:pPr>
        <w:spacing w:after="120" w:line="240" w:lineRule="auto"/>
        <w:rPr>
          <w:rStyle w:val="BodyTextChar"/>
          <w:rFonts w:eastAsiaTheme="minorEastAsia" w:cs="Times New Roman"/>
          <w:noProof/>
          <w:lang w:val="pl-PL"/>
        </w:rPr>
      </w:pPr>
      <w:r w:rsidRPr="00E22450">
        <w:rPr>
          <w:rStyle w:val="BodyTextChar"/>
          <w:noProof/>
          <w:lang w:val="pl-PL"/>
        </w:rPr>
        <w:t>Niedopasowanie płynności nasila się często</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wyn</w:t>
      </w:r>
      <w:r w:rsidRPr="00E22450">
        <w:rPr>
          <w:rStyle w:val="BodyTextChar"/>
          <w:noProof/>
          <w:lang w:val="pl-PL"/>
        </w:rPr>
        <w:t>iku</w:t>
      </w:r>
      <w:r w:rsidRPr="00E22450">
        <w:rPr>
          <w:rStyle w:val="BodyTextChar"/>
          <w:b/>
          <w:noProof/>
          <w:lang w:val="pl-PL"/>
        </w:rPr>
        <w:t xml:space="preserve"> nadmiernej dźwigni finansowej</w:t>
      </w:r>
      <w:r w:rsidRPr="00E22450">
        <w:rPr>
          <w:rStyle w:val="BodyTextChar"/>
          <w:noProof/>
          <w:lang w:val="pl-PL"/>
        </w:rPr>
        <w:t>, która, gdy przestaje być możliwa do utrzymania ze względu na związane</w:t>
      </w:r>
      <w:r w:rsidR="00F1653C" w:rsidRPr="00E22450">
        <w:rPr>
          <w:rStyle w:val="BodyTextChar"/>
          <w:noProof/>
          <w:lang w:val="pl-PL"/>
        </w:rPr>
        <w:t xml:space="preserve"> z</w:t>
      </w:r>
      <w:r w:rsidR="00F1653C">
        <w:rPr>
          <w:rStyle w:val="BodyTextChar"/>
          <w:noProof/>
          <w:lang w:val="pl-PL"/>
        </w:rPr>
        <w:t> </w:t>
      </w:r>
      <w:r w:rsidR="00F1653C" w:rsidRPr="00E22450">
        <w:rPr>
          <w:rStyle w:val="BodyTextChar"/>
          <w:noProof/>
          <w:lang w:val="pl-PL"/>
        </w:rPr>
        <w:t>nią</w:t>
      </w:r>
      <w:r w:rsidRPr="00E22450">
        <w:rPr>
          <w:rStyle w:val="BodyTextChar"/>
          <w:noProof/>
          <w:lang w:val="pl-PL"/>
        </w:rPr>
        <w:t xml:space="preserve"> koszty finansowania, może prowadzić do nagłej likwidacji pozycji na rynku (delewarowanie)</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wyp</w:t>
      </w:r>
      <w:r w:rsidRPr="00E22450">
        <w:rPr>
          <w:rStyle w:val="BodyTextChar"/>
          <w:noProof/>
          <w:lang w:val="pl-PL"/>
        </w:rPr>
        <w:t>rzedaży aktywów, wywołując skutki uboczne dla innych części systemu finansowego</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gos</w:t>
      </w:r>
      <w:r w:rsidRPr="00E22450">
        <w:rPr>
          <w:rStyle w:val="BodyTextChar"/>
          <w:noProof/>
          <w:lang w:val="pl-PL"/>
        </w:rPr>
        <w:t>podarki. Przypadek Archegos Capital Management</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mar</w:t>
      </w:r>
      <w:r w:rsidRPr="00E22450">
        <w:rPr>
          <w:rStyle w:val="BodyTextChar"/>
          <w:noProof/>
          <w:lang w:val="pl-PL"/>
        </w:rPr>
        <w:t>cu 20</w:t>
      </w:r>
      <w:r w:rsidRPr="00F1653C">
        <w:rPr>
          <w:rStyle w:val="BodyTextChar"/>
          <w:noProof/>
          <w:lang w:val="pl-PL"/>
        </w:rPr>
        <w:t>21</w:t>
      </w:r>
      <w:r w:rsidR="00F1653C" w:rsidRPr="00F1653C">
        <w:rPr>
          <w:rStyle w:val="BodyTextChar"/>
          <w:noProof/>
          <w:lang w:val="pl-PL"/>
        </w:rPr>
        <w:t> </w:t>
      </w:r>
      <w:r w:rsidRPr="00F1653C">
        <w:rPr>
          <w:rStyle w:val="BodyTextChar"/>
          <w:noProof/>
          <w:lang w:val="pl-PL"/>
        </w:rPr>
        <w:t>r.</w:t>
      </w:r>
      <w:r w:rsidRPr="00E22450">
        <w:rPr>
          <w:rStyle w:val="BodyTextChar"/>
          <w:noProof/>
          <w:lang w:val="pl-PL"/>
        </w:rPr>
        <w:t>, podmiotu typu „family office” działającego jak fundusz hedgingowy, jest przykładem wpływu, jaki stosowanie dźwigni finansowej</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poł</w:t>
      </w:r>
      <w:r w:rsidRPr="00E22450">
        <w:rPr>
          <w:rStyle w:val="BodyTextChar"/>
          <w:noProof/>
          <w:lang w:val="pl-PL"/>
        </w:rPr>
        <w:t>ączeniu</w:t>
      </w:r>
      <w:r w:rsidR="00F1653C" w:rsidRPr="00E22450">
        <w:rPr>
          <w:rStyle w:val="BodyTextChar"/>
          <w:noProof/>
          <w:lang w:val="pl-PL"/>
        </w:rPr>
        <w:t xml:space="preserve"> z</w:t>
      </w:r>
      <w:r w:rsidR="00F1653C">
        <w:rPr>
          <w:rStyle w:val="BodyTextChar"/>
          <w:noProof/>
          <w:lang w:val="pl-PL"/>
        </w:rPr>
        <w:t> </w:t>
      </w:r>
      <w:r w:rsidR="00F1653C" w:rsidRPr="00E22450">
        <w:rPr>
          <w:rStyle w:val="BodyTextChar"/>
          <w:noProof/>
          <w:lang w:val="pl-PL"/>
        </w:rPr>
        <w:t>nie</w:t>
      </w:r>
      <w:r w:rsidRPr="00E22450">
        <w:rPr>
          <w:rStyle w:val="BodyTextChar"/>
          <w:noProof/>
          <w:lang w:val="pl-PL"/>
        </w:rPr>
        <w:t>dopasowaniem płynności może wywierać daleko poza NBFI. Upadek Archegos spowodował znaczne straty</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róż</w:t>
      </w:r>
      <w:r w:rsidRPr="00E22450">
        <w:rPr>
          <w:rStyle w:val="BodyTextChar"/>
          <w:noProof/>
          <w:lang w:val="pl-PL"/>
        </w:rPr>
        <w:t>nych instytucjach finansowych (a przede wszystkim</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prz</w:t>
      </w:r>
      <w:r w:rsidRPr="00E22450">
        <w:rPr>
          <w:rStyle w:val="BodyTextChar"/>
          <w:noProof/>
          <w:lang w:val="pl-PL"/>
        </w:rPr>
        <w:t>ypadku Credit Suisse, który stracił 5,5 mld USD) ze względu na dużą (lewarowaną) ekspozycję na niewielką liczbę akcji poprzez swapy przychodu całkowitego</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kon</w:t>
      </w:r>
      <w:r w:rsidRPr="00E22450">
        <w:rPr>
          <w:rStyle w:val="BodyTextChar"/>
          <w:noProof/>
          <w:lang w:val="pl-PL"/>
        </w:rPr>
        <w:t>trakty różnic kursowych, co dało Archegos możliwość uzyskania dźwigni finansowej 5-6 razy większej niż zainwestowany kapitał</w:t>
      </w:r>
      <w:r>
        <w:rPr>
          <w:rStyle w:val="FootnoteReference"/>
          <w:rFonts w:eastAsiaTheme="minorEastAsia" w:cs="Times New Roman"/>
          <w:noProof/>
        </w:rPr>
        <w:footnoteReference w:id="57"/>
      </w:r>
      <w:r w:rsidRPr="00E22450">
        <w:rPr>
          <w:noProof/>
          <w:lang w:val="pl-PL"/>
        </w:rPr>
        <w:t>.</w:t>
      </w:r>
      <w:r w:rsidRPr="00E22450">
        <w:rPr>
          <w:rStyle w:val="BodyTextChar"/>
          <w:noProof/>
          <w:lang w:val="pl-PL"/>
        </w:rPr>
        <w:t xml:space="preserve"> Informacje na temat transakcji były zgłaszane</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spo</w:t>
      </w:r>
      <w:r w:rsidRPr="00E22450">
        <w:rPr>
          <w:rStyle w:val="BodyTextChar"/>
          <w:noProof/>
          <w:lang w:val="pl-PL"/>
        </w:rPr>
        <w:t>sób niedostateczny ze względu na status regulacyjny podmiotów typu „family office”, które nie podlegały regulacjom zarówno</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Eur</w:t>
      </w:r>
      <w:r w:rsidRPr="00E22450">
        <w:rPr>
          <w:rStyle w:val="BodyTextChar"/>
          <w:noProof/>
          <w:lang w:val="pl-PL"/>
        </w:rPr>
        <w:t>opie, jak</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w</w:t>
      </w:r>
      <w:r w:rsidR="00F1653C">
        <w:rPr>
          <w:rStyle w:val="BodyTextChar"/>
          <w:noProof/>
          <w:lang w:val="pl-PL"/>
        </w:rPr>
        <w:t> </w:t>
      </w:r>
      <w:r w:rsidR="00F1653C" w:rsidRPr="00E22450">
        <w:rPr>
          <w:rStyle w:val="BodyTextChar"/>
          <w:noProof/>
          <w:lang w:val="pl-PL"/>
        </w:rPr>
        <w:t>Sta</w:t>
      </w:r>
      <w:r w:rsidRPr="00E22450">
        <w:rPr>
          <w:rStyle w:val="BodyTextChar"/>
          <w:noProof/>
          <w:lang w:val="pl-PL"/>
        </w:rPr>
        <w:t>nach Zjednoczonych. Niektóre transakcje można było jednak zaobserwować</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prz</w:t>
      </w:r>
      <w:r w:rsidRPr="00E22450">
        <w:rPr>
          <w:rStyle w:val="BodyTextChar"/>
          <w:noProof/>
          <w:lang w:val="pl-PL"/>
        </w:rPr>
        <w:t>ypadku handlu</w:t>
      </w:r>
      <w:r w:rsidR="00F1653C" w:rsidRPr="00E22450">
        <w:rPr>
          <w:rStyle w:val="BodyTextChar"/>
          <w:noProof/>
          <w:lang w:val="pl-PL"/>
        </w:rPr>
        <w:t xml:space="preserve"> z</w:t>
      </w:r>
      <w:r w:rsidR="00F1653C">
        <w:rPr>
          <w:rStyle w:val="BodyTextChar"/>
          <w:noProof/>
          <w:lang w:val="pl-PL"/>
        </w:rPr>
        <w:t> </w:t>
      </w:r>
      <w:r w:rsidR="00F1653C" w:rsidRPr="00E22450">
        <w:rPr>
          <w:rStyle w:val="BodyTextChar"/>
          <w:noProof/>
          <w:lang w:val="pl-PL"/>
        </w:rPr>
        <w:t>eur</w:t>
      </w:r>
      <w:r w:rsidRPr="00E22450">
        <w:rPr>
          <w:rStyle w:val="BodyTextChar"/>
          <w:noProof/>
          <w:lang w:val="pl-PL"/>
        </w:rPr>
        <w:t>opejskimi kontrahentami działającymi</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ram</w:t>
      </w:r>
      <w:r w:rsidRPr="00E22450">
        <w:rPr>
          <w:rStyle w:val="BodyTextChar"/>
          <w:noProof/>
          <w:lang w:val="pl-PL"/>
        </w:rPr>
        <w:t>ach sprawozdawczości EMIR (głównie</w:t>
      </w:r>
      <w:r w:rsidR="00F1653C" w:rsidRPr="00E22450">
        <w:rPr>
          <w:rStyle w:val="BodyTextChar"/>
          <w:noProof/>
          <w:lang w:val="pl-PL"/>
        </w:rPr>
        <w:t xml:space="preserve"> z</w:t>
      </w:r>
      <w:r w:rsidR="00F1653C">
        <w:rPr>
          <w:rStyle w:val="BodyTextChar"/>
          <w:noProof/>
          <w:lang w:val="pl-PL"/>
        </w:rPr>
        <w:t> </w:t>
      </w:r>
      <w:r w:rsidR="00F1653C" w:rsidRPr="00E22450">
        <w:rPr>
          <w:rStyle w:val="BodyTextChar"/>
          <w:noProof/>
          <w:lang w:val="pl-PL"/>
        </w:rPr>
        <w:t>ban</w:t>
      </w:r>
      <w:r w:rsidRPr="00E22450">
        <w:rPr>
          <w:rStyle w:val="BodyTextChar"/>
          <w:noProof/>
          <w:lang w:val="pl-PL"/>
        </w:rPr>
        <w:t>kami Zjednoczonego Królestwa), ale dane te były niewystarczające do uzyskania pełnego</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akt</w:t>
      </w:r>
      <w:r w:rsidRPr="00E22450">
        <w:rPr>
          <w:rStyle w:val="BodyTextChar"/>
          <w:noProof/>
          <w:lang w:val="pl-PL"/>
        </w:rPr>
        <w:t>ualnego obrazu sytuacji, który mógłby spowodować interwencję nadzorczą przynajmniej</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prz</w:t>
      </w:r>
      <w:r w:rsidRPr="00E22450">
        <w:rPr>
          <w:rStyle w:val="BodyTextChar"/>
          <w:noProof/>
          <w:lang w:val="pl-PL"/>
        </w:rPr>
        <w:t xml:space="preserve">ypadku kontrahentów bankowych. </w:t>
      </w:r>
    </w:p>
    <w:p w14:paraId="5263295F" w14:textId="074A67DF" w:rsidR="00241024" w:rsidRPr="00E22450" w:rsidRDefault="00241024" w:rsidP="004709F3">
      <w:pPr>
        <w:spacing w:after="120" w:line="240" w:lineRule="auto"/>
        <w:rPr>
          <w:rFonts w:cs="Times New Roman"/>
          <w:noProof/>
          <w:lang w:val="pl-PL"/>
        </w:rPr>
      </w:pPr>
      <w:r w:rsidRPr="00E22450">
        <w:rPr>
          <w:noProof/>
          <w:lang w:val="pl-PL"/>
        </w:rPr>
        <w:t>W pracach Rady Stabilności Finansowej zwrócono również uwagę na obszary wysokiego poziomu syntetycznej dźwigni finansowej</w:t>
      </w:r>
      <w:r w:rsidR="00F1653C" w:rsidRPr="00E22450">
        <w:rPr>
          <w:noProof/>
          <w:lang w:val="pl-PL"/>
        </w:rPr>
        <w:t xml:space="preserve"> w</w:t>
      </w:r>
      <w:r w:rsidR="00F1653C">
        <w:rPr>
          <w:noProof/>
          <w:lang w:val="pl-PL"/>
        </w:rPr>
        <w:t> </w:t>
      </w:r>
      <w:r w:rsidR="00F1653C" w:rsidRPr="00E22450">
        <w:rPr>
          <w:noProof/>
          <w:lang w:val="pl-PL"/>
        </w:rPr>
        <w:t>prz</w:t>
      </w:r>
      <w:r w:rsidRPr="00E22450">
        <w:rPr>
          <w:noProof/>
          <w:lang w:val="pl-PL"/>
        </w:rPr>
        <w:t>ypadku niektórych NBFI,</w:t>
      </w:r>
      <w:r w:rsidR="00F1653C" w:rsidRPr="00E22450">
        <w:rPr>
          <w:noProof/>
          <w:lang w:val="pl-PL"/>
        </w:rPr>
        <w:t xml:space="preserve"> w</w:t>
      </w:r>
      <w:r w:rsidR="00F1653C">
        <w:rPr>
          <w:noProof/>
          <w:lang w:val="pl-PL"/>
        </w:rPr>
        <w:t> </w:t>
      </w:r>
      <w:r w:rsidR="00F1653C" w:rsidRPr="00E22450">
        <w:rPr>
          <w:noProof/>
          <w:lang w:val="pl-PL"/>
        </w:rPr>
        <w:t>szc</w:t>
      </w:r>
      <w:r w:rsidRPr="00E22450">
        <w:rPr>
          <w:noProof/>
          <w:lang w:val="pl-PL"/>
        </w:rPr>
        <w:t>zególności</w:t>
      </w:r>
      <w:r w:rsidR="00F1653C" w:rsidRPr="00E22450">
        <w:rPr>
          <w:noProof/>
          <w:lang w:val="pl-PL"/>
        </w:rPr>
        <w:t xml:space="preserve"> w</w:t>
      </w:r>
      <w:r w:rsidR="00F1653C">
        <w:rPr>
          <w:noProof/>
          <w:lang w:val="pl-PL"/>
        </w:rPr>
        <w:t> </w:t>
      </w:r>
      <w:r w:rsidR="00F1653C" w:rsidRPr="00E22450">
        <w:rPr>
          <w:noProof/>
          <w:lang w:val="pl-PL"/>
        </w:rPr>
        <w:t>nie</w:t>
      </w:r>
      <w:r w:rsidRPr="00E22450">
        <w:rPr>
          <w:noProof/>
          <w:lang w:val="pl-PL"/>
        </w:rPr>
        <w:t>których funduszach hedgingowych</w:t>
      </w:r>
      <w:r w:rsidR="00F1653C" w:rsidRPr="00E22450">
        <w:rPr>
          <w:noProof/>
          <w:lang w:val="pl-PL"/>
        </w:rPr>
        <w:t xml:space="preserve"> i</w:t>
      </w:r>
      <w:r w:rsidR="00F1653C">
        <w:rPr>
          <w:noProof/>
          <w:lang w:val="pl-PL"/>
        </w:rPr>
        <w:t> </w:t>
      </w:r>
      <w:r w:rsidR="00F1653C" w:rsidRPr="00E22450">
        <w:rPr>
          <w:noProof/>
          <w:lang w:val="pl-PL"/>
        </w:rPr>
        <w:t>fun</w:t>
      </w:r>
      <w:r w:rsidRPr="00E22450">
        <w:rPr>
          <w:noProof/>
          <w:lang w:val="pl-PL"/>
        </w:rPr>
        <w:t>duszach inwestycyjnych opartych na zobowiązaniach (LDI)</w:t>
      </w:r>
      <w:r>
        <w:rPr>
          <w:rStyle w:val="FootnoteReference"/>
          <w:rFonts w:eastAsiaTheme="minorEastAsia" w:cs="Times New Roman"/>
          <w:noProof/>
        </w:rPr>
        <w:footnoteReference w:id="58"/>
      </w:r>
      <w:r w:rsidRPr="00E22450">
        <w:rPr>
          <w:noProof/>
          <w:lang w:val="pl-PL"/>
        </w:rPr>
        <w:t>, które</w:t>
      </w:r>
      <w:r w:rsidR="00F1653C" w:rsidRPr="00E22450">
        <w:rPr>
          <w:noProof/>
          <w:lang w:val="pl-PL"/>
        </w:rPr>
        <w:t xml:space="preserve"> w</w:t>
      </w:r>
      <w:r w:rsidR="00F1653C">
        <w:rPr>
          <w:noProof/>
          <w:lang w:val="pl-PL"/>
        </w:rPr>
        <w:t> </w:t>
      </w:r>
      <w:r w:rsidR="00F1653C" w:rsidRPr="00E22450">
        <w:rPr>
          <w:noProof/>
          <w:lang w:val="pl-PL"/>
        </w:rPr>
        <w:t>nie</w:t>
      </w:r>
      <w:r w:rsidRPr="00E22450">
        <w:rPr>
          <w:noProof/>
          <w:lang w:val="pl-PL"/>
        </w:rPr>
        <w:t>których przypadkach wykazują również wysoki stopień wzajemnych powiązań. Prowadzone obecnie prace zarówno na szczeblu unijnym, jak</w:t>
      </w:r>
      <w:r w:rsidR="00F1653C" w:rsidRPr="00E22450">
        <w:rPr>
          <w:noProof/>
          <w:lang w:val="pl-PL"/>
        </w:rPr>
        <w:t xml:space="preserve"> i</w:t>
      </w:r>
      <w:r w:rsidR="00F1653C">
        <w:rPr>
          <w:noProof/>
          <w:lang w:val="pl-PL"/>
        </w:rPr>
        <w:t> </w:t>
      </w:r>
      <w:r w:rsidR="00F1653C" w:rsidRPr="00E22450">
        <w:rPr>
          <w:noProof/>
          <w:lang w:val="pl-PL"/>
        </w:rPr>
        <w:t>mię</w:t>
      </w:r>
      <w:r w:rsidRPr="00E22450">
        <w:rPr>
          <w:noProof/>
          <w:lang w:val="pl-PL"/>
        </w:rPr>
        <w:t>dzynarodowym mają na celu głębsze zrozumienie sposobu,</w:t>
      </w:r>
      <w:r w:rsidR="00F1653C" w:rsidRPr="00E22450">
        <w:rPr>
          <w:noProof/>
          <w:lang w:val="pl-PL"/>
        </w:rPr>
        <w:t xml:space="preserve"> w</w:t>
      </w:r>
      <w:r w:rsidR="00F1653C">
        <w:rPr>
          <w:noProof/>
          <w:lang w:val="pl-PL"/>
        </w:rPr>
        <w:t> </w:t>
      </w:r>
      <w:r w:rsidR="00F1653C" w:rsidRPr="00E22450">
        <w:rPr>
          <w:noProof/>
          <w:lang w:val="pl-PL"/>
        </w:rPr>
        <w:t>jak</w:t>
      </w:r>
      <w:r w:rsidRPr="00E22450">
        <w:rPr>
          <w:noProof/>
          <w:lang w:val="pl-PL"/>
        </w:rPr>
        <w:t>i istniejące ramy sprawozdawczości</w:t>
      </w:r>
      <w:r w:rsidR="00F1653C" w:rsidRPr="00E22450">
        <w:rPr>
          <w:noProof/>
          <w:lang w:val="pl-PL"/>
        </w:rPr>
        <w:t xml:space="preserve"> i</w:t>
      </w:r>
      <w:r w:rsidR="00F1653C">
        <w:rPr>
          <w:noProof/>
          <w:lang w:val="pl-PL"/>
        </w:rPr>
        <w:t> </w:t>
      </w:r>
      <w:r w:rsidR="00F1653C" w:rsidRPr="00E22450">
        <w:rPr>
          <w:noProof/>
          <w:lang w:val="pl-PL"/>
        </w:rPr>
        <w:t>uja</w:t>
      </w:r>
      <w:r w:rsidRPr="00E22450">
        <w:rPr>
          <w:noProof/>
          <w:lang w:val="pl-PL"/>
        </w:rPr>
        <w:t>wniania informacji mogą skutecznie przeciwdziałać nadmiernemu lewarowaniu. Wiąże się to</w:t>
      </w:r>
      <w:r w:rsidR="00F1653C" w:rsidRPr="00E22450">
        <w:rPr>
          <w:noProof/>
          <w:lang w:val="pl-PL"/>
        </w:rPr>
        <w:t xml:space="preserve"> z</w:t>
      </w:r>
      <w:r w:rsidR="00F1653C">
        <w:rPr>
          <w:noProof/>
          <w:lang w:val="pl-PL"/>
        </w:rPr>
        <w:t> </w:t>
      </w:r>
      <w:r w:rsidR="00F1653C" w:rsidRPr="00E22450">
        <w:rPr>
          <w:noProof/>
          <w:lang w:val="pl-PL"/>
        </w:rPr>
        <w:t>zap</w:t>
      </w:r>
      <w:r w:rsidRPr="00E22450">
        <w:rPr>
          <w:noProof/>
          <w:lang w:val="pl-PL"/>
        </w:rPr>
        <w:t>ewnieniem, aby pozycje lewarowane pozostały przejrzyste</w:t>
      </w:r>
      <w:r w:rsidR="00F1653C" w:rsidRPr="00E22450">
        <w:rPr>
          <w:noProof/>
          <w:lang w:val="pl-PL"/>
        </w:rPr>
        <w:t xml:space="preserve"> i</w:t>
      </w:r>
      <w:r w:rsidR="00F1653C">
        <w:rPr>
          <w:noProof/>
          <w:lang w:val="pl-PL"/>
        </w:rPr>
        <w:t> </w:t>
      </w:r>
      <w:r w:rsidR="00F1653C" w:rsidRPr="00E22450">
        <w:rPr>
          <w:noProof/>
          <w:lang w:val="pl-PL"/>
        </w:rPr>
        <w:t>moż</w:t>
      </w:r>
      <w:r w:rsidRPr="00E22450">
        <w:rPr>
          <w:noProof/>
          <w:lang w:val="pl-PL"/>
        </w:rPr>
        <w:t>liwe do uzgodnienia, nawet</w:t>
      </w:r>
      <w:r w:rsidR="00F1653C" w:rsidRPr="00E22450">
        <w:rPr>
          <w:noProof/>
          <w:lang w:val="pl-PL"/>
        </w:rPr>
        <w:t xml:space="preserve"> w</w:t>
      </w:r>
      <w:r w:rsidR="00F1653C">
        <w:rPr>
          <w:noProof/>
          <w:lang w:val="pl-PL"/>
        </w:rPr>
        <w:t> </w:t>
      </w:r>
      <w:r w:rsidR="00F1653C" w:rsidRPr="00E22450">
        <w:rPr>
          <w:noProof/>
          <w:lang w:val="pl-PL"/>
        </w:rPr>
        <w:t>prz</w:t>
      </w:r>
      <w:r w:rsidRPr="00E22450">
        <w:rPr>
          <w:noProof/>
          <w:lang w:val="pl-PL"/>
        </w:rPr>
        <w:t>ypadku złożonych struktur prawnych lub skomplikowanych instrumentów pochodnych. Ponadto krajowe</w:t>
      </w:r>
      <w:r w:rsidR="00F1653C" w:rsidRPr="00E22450">
        <w:rPr>
          <w:noProof/>
          <w:lang w:val="pl-PL"/>
        </w:rPr>
        <w:t xml:space="preserve"> i</w:t>
      </w:r>
      <w:r w:rsidR="00F1653C">
        <w:rPr>
          <w:noProof/>
          <w:lang w:val="pl-PL"/>
        </w:rPr>
        <w:t> </w:t>
      </w:r>
      <w:r w:rsidR="00F1653C" w:rsidRPr="00E22450">
        <w:rPr>
          <w:noProof/>
          <w:lang w:val="pl-PL"/>
        </w:rPr>
        <w:t>uni</w:t>
      </w:r>
      <w:r w:rsidRPr="00E22450">
        <w:rPr>
          <w:noProof/>
          <w:lang w:val="pl-PL"/>
        </w:rPr>
        <w:t>jne organy nadzorcze aktywnie badają sposoby wykorzystania zgłoszonych danych do skutecznego zarządzania takim ryzykiem</w:t>
      </w:r>
      <w:r w:rsidR="00F1653C" w:rsidRPr="00E22450">
        <w:rPr>
          <w:noProof/>
          <w:lang w:val="pl-PL"/>
        </w:rPr>
        <w:t xml:space="preserve"> i</w:t>
      </w:r>
      <w:r w:rsidR="00F1653C">
        <w:rPr>
          <w:noProof/>
          <w:lang w:val="pl-PL"/>
        </w:rPr>
        <w:t> </w:t>
      </w:r>
      <w:r w:rsidR="00F1653C" w:rsidRPr="00E22450">
        <w:rPr>
          <w:noProof/>
          <w:lang w:val="pl-PL"/>
        </w:rPr>
        <w:t>pro</w:t>
      </w:r>
      <w:r w:rsidRPr="00E22450">
        <w:rPr>
          <w:noProof/>
          <w:lang w:val="pl-PL"/>
        </w:rPr>
        <w:t>mowania wymiany danych</w:t>
      </w:r>
      <w:r w:rsidR="00F1653C" w:rsidRPr="00E22450">
        <w:rPr>
          <w:noProof/>
          <w:lang w:val="pl-PL"/>
        </w:rPr>
        <w:t xml:space="preserve"> w</w:t>
      </w:r>
      <w:r w:rsidR="00F1653C">
        <w:rPr>
          <w:noProof/>
          <w:lang w:val="pl-PL"/>
        </w:rPr>
        <w:t> </w:t>
      </w:r>
      <w:r w:rsidR="00F1653C" w:rsidRPr="00E22450">
        <w:rPr>
          <w:noProof/>
          <w:lang w:val="pl-PL"/>
        </w:rPr>
        <w:t>cel</w:t>
      </w:r>
      <w:r w:rsidRPr="00E22450">
        <w:rPr>
          <w:noProof/>
          <w:lang w:val="pl-PL"/>
        </w:rPr>
        <w:t>u zminimalizowania dodatkowych obciążeń sprawozdawczych dla operatorów rynku</w:t>
      </w:r>
      <w:r>
        <w:rPr>
          <w:rStyle w:val="FootnoteReference"/>
          <w:rFonts w:cs="Times New Roman"/>
          <w:noProof/>
        </w:rPr>
        <w:footnoteReference w:id="59"/>
      </w:r>
      <w:r w:rsidRPr="00E22450">
        <w:rPr>
          <w:noProof/>
          <w:lang w:val="pl-PL"/>
        </w:rPr>
        <w:t>. Trwają również dyskusje na temat potencjalnych ograniczeń akumulacji lewarowania</w:t>
      </w:r>
      <w:r w:rsidR="00F1653C" w:rsidRPr="00E22450">
        <w:rPr>
          <w:noProof/>
          <w:lang w:val="pl-PL"/>
        </w:rPr>
        <w:t xml:space="preserve"> w</w:t>
      </w:r>
      <w:r w:rsidR="00F1653C">
        <w:rPr>
          <w:noProof/>
          <w:lang w:val="pl-PL"/>
        </w:rPr>
        <w:t> </w:t>
      </w:r>
      <w:r w:rsidR="00F1653C" w:rsidRPr="00E22450">
        <w:rPr>
          <w:noProof/>
          <w:lang w:val="pl-PL"/>
        </w:rPr>
        <w:t>okr</w:t>
      </w:r>
      <w:r w:rsidRPr="00E22450">
        <w:rPr>
          <w:noProof/>
          <w:lang w:val="pl-PL"/>
        </w:rPr>
        <w:t>eślonych sektorach,</w:t>
      </w:r>
      <w:r w:rsidR="00F1653C" w:rsidRPr="00E22450">
        <w:rPr>
          <w:noProof/>
          <w:lang w:val="pl-PL"/>
        </w:rPr>
        <w:t xml:space="preserve"> w</w:t>
      </w:r>
      <w:r w:rsidR="00F1653C">
        <w:rPr>
          <w:noProof/>
          <w:lang w:val="pl-PL"/>
        </w:rPr>
        <w:t> </w:t>
      </w:r>
      <w:r w:rsidR="00F1653C" w:rsidRPr="00E22450">
        <w:rPr>
          <w:noProof/>
          <w:lang w:val="pl-PL"/>
        </w:rPr>
        <w:t>szc</w:t>
      </w:r>
      <w:r w:rsidRPr="00E22450">
        <w:rPr>
          <w:noProof/>
          <w:lang w:val="pl-PL"/>
        </w:rPr>
        <w:t>zególności</w:t>
      </w:r>
      <w:r w:rsidR="00F1653C" w:rsidRPr="00E22450">
        <w:rPr>
          <w:noProof/>
          <w:lang w:val="pl-PL"/>
        </w:rPr>
        <w:t xml:space="preserve"> w</w:t>
      </w:r>
      <w:r w:rsidR="00F1653C">
        <w:rPr>
          <w:noProof/>
          <w:lang w:val="pl-PL"/>
        </w:rPr>
        <w:t> </w:t>
      </w:r>
      <w:r w:rsidR="00F1653C" w:rsidRPr="00E22450">
        <w:rPr>
          <w:noProof/>
          <w:lang w:val="pl-PL"/>
        </w:rPr>
        <w:t>nie</w:t>
      </w:r>
      <w:r w:rsidRPr="00E22450">
        <w:rPr>
          <w:noProof/>
          <w:lang w:val="pl-PL"/>
        </w:rPr>
        <w:t>uregulowanych podmiotach prawnych, takich jak podmioty typu „family offices”</w:t>
      </w:r>
      <w:r>
        <w:rPr>
          <w:rStyle w:val="FootnoteReference"/>
          <w:rFonts w:cs="Times New Roman"/>
          <w:noProof/>
        </w:rPr>
        <w:footnoteReference w:id="60"/>
      </w:r>
      <w:r w:rsidRPr="00E22450">
        <w:rPr>
          <w:noProof/>
          <w:lang w:val="pl-PL"/>
        </w:rPr>
        <w:t xml:space="preserve">. </w:t>
      </w:r>
    </w:p>
    <w:p w14:paraId="72475335" w14:textId="384EDD00" w:rsidR="00425138" w:rsidRPr="00E22450" w:rsidRDefault="00241024" w:rsidP="004709F3">
      <w:pPr>
        <w:spacing w:after="120" w:line="240" w:lineRule="auto"/>
        <w:rPr>
          <w:rStyle w:val="BodyTextChar"/>
          <w:rFonts w:eastAsiaTheme="minorEastAsia" w:cs="Times New Roman"/>
          <w:noProof/>
          <w:lang w:val="pl-PL"/>
        </w:rPr>
      </w:pPr>
      <w:bookmarkStart w:id="3" w:name="_Hlk121309552"/>
      <w:bookmarkEnd w:id="2"/>
      <w:r w:rsidRPr="00E22450">
        <w:rPr>
          <w:rStyle w:val="BodyTextChar"/>
          <w:b/>
          <w:noProof/>
          <w:lang w:val="pl-PL"/>
        </w:rPr>
        <w:t>Wzajemne powiązania między NBFI</w:t>
      </w:r>
      <w:r w:rsidR="00F1653C" w:rsidRPr="00E22450">
        <w:rPr>
          <w:rStyle w:val="BodyTextChar"/>
          <w:b/>
          <w:noProof/>
          <w:lang w:val="pl-PL"/>
        </w:rPr>
        <w:t xml:space="preserve"> i</w:t>
      </w:r>
      <w:r w:rsidR="00F1653C">
        <w:rPr>
          <w:rStyle w:val="BodyTextChar"/>
          <w:b/>
          <w:noProof/>
          <w:lang w:val="pl-PL"/>
        </w:rPr>
        <w:t> </w:t>
      </w:r>
      <w:r w:rsidR="00F1653C" w:rsidRPr="00E22450">
        <w:rPr>
          <w:rStyle w:val="BodyTextChar"/>
          <w:b/>
          <w:noProof/>
          <w:lang w:val="pl-PL"/>
        </w:rPr>
        <w:t>sek</w:t>
      </w:r>
      <w:r w:rsidRPr="00E22450">
        <w:rPr>
          <w:rStyle w:val="BodyTextChar"/>
          <w:b/>
          <w:noProof/>
          <w:lang w:val="pl-PL"/>
        </w:rPr>
        <w:t xml:space="preserve">torem bankowym </w:t>
      </w:r>
      <w:r w:rsidRPr="00E22450">
        <w:rPr>
          <w:rStyle w:val="BodyTextChar"/>
          <w:noProof/>
          <w:lang w:val="pl-PL"/>
        </w:rPr>
        <w:t>zwiększają ryzyko rozprzestrzenienia się efektu domina</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cał</w:t>
      </w:r>
      <w:r w:rsidRPr="00E22450">
        <w:rPr>
          <w:rStyle w:val="BodyTextChar"/>
          <w:noProof/>
          <w:lang w:val="pl-PL"/>
        </w:rPr>
        <w:t>ym sektorze finansowym, co może mieć negatywny wpływ na gospodarkę</w:t>
      </w:r>
      <w:bookmarkEnd w:id="3"/>
      <w:r w:rsidRPr="00E22450">
        <w:rPr>
          <w:rStyle w:val="BodyTextChar"/>
          <w:noProof/>
          <w:lang w:val="pl-PL"/>
        </w:rPr>
        <w:t>. Na przykład fundusze ubezpieczeniowe</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eme</w:t>
      </w:r>
      <w:r w:rsidRPr="00E22450">
        <w:rPr>
          <w:rStyle w:val="BodyTextChar"/>
          <w:noProof/>
          <w:lang w:val="pl-PL"/>
        </w:rPr>
        <w:t>rytalno-rentowe są największymi krajowymi inwestorami</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fun</w:t>
      </w:r>
      <w:r w:rsidRPr="00E22450">
        <w:rPr>
          <w:rStyle w:val="BodyTextChar"/>
          <w:noProof/>
          <w:lang w:val="pl-PL"/>
        </w:rPr>
        <w:t>duszach inwestycyjnych strefy euro (z wyłączeniem FRP) – około 25 %,</w:t>
      </w:r>
      <w:r w:rsidR="00F1653C" w:rsidRPr="00E22450">
        <w:rPr>
          <w:rStyle w:val="BodyTextChar"/>
          <w:noProof/>
          <w:lang w:val="pl-PL"/>
        </w:rPr>
        <w:t xml:space="preserve"> a</w:t>
      </w:r>
      <w:r w:rsidR="00F1653C">
        <w:rPr>
          <w:rStyle w:val="BodyTextChar"/>
          <w:noProof/>
          <w:lang w:val="pl-PL"/>
        </w:rPr>
        <w:t> </w:t>
      </w:r>
      <w:r w:rsidR="00F1653C" w:rsidRPr="00E22450">
        <w:rPr>
          <w:rStyle w:val="BodyTextChar"/>
          <w:noProof/>
          <w:lang w:val="pl-PL"/>
        </w:rPr>
        <w:t>nas</w:t>
      </w:r>
      <w:r w:rsidRPr="00E22450">
        <w:rPr>
          <w:rStyle w:val="BodyTextChar"/>
          <w:noProof/>
          <w:lang w:val="pl-PL"/>
        </w:rPr>
        <w:t>tępnie gospodarstwa domowe – 19 %,</w:t>
      </w:r>
      <w:r w:rsidR="00F1653C" w:rsidRPr="00E22450">
        <w:rPr>
          <w:rStyle w:val="BodyTextChar"/>
          <w:noProof/>
          <w:lang w:val="pl-PL"/>
        </w:rPr>
        <w:t xml:space="preserve"> a</w:t>
      </w:r>
      <w:r w:rsidR="00F1653C">
        <w:rPr>
          <w:rStyle w:val="BodyTextChar"/>
          <w:noProof/>
          <w:lang w:val="pl-PL"/>
        </w:rPr>
        <w:t> </w:t>
      </w:r>
      <w:r w:rsidR="00F1653C" w:rsidRPr="00E22450">
        <w:rPr>
          <w:rStyle w:val="BodyTextChar"/>
          <w:noProof/>
          <w:lang w:val="pl-PL"/>
        </w:rPr>
        <w:t>fun</w:t>
      </w:r>
      <w:r w:rsidRPr="00E22450">
        <w:rPr>
          <w:rStyle w:val="BodyTextChar"/>
          <w:noProof/>
          <w:lang w:val="pl-PL"/>
        </w:rPr>
        <w:t>dusze inwestycyjne (które inwestują</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inn</w:t>
      </w:r>
      <w:r w:rsidRPr="00E22450">
        <w:rPr>
          <w:rStyle w:val="BodyTextChar"/>
          <w:noProof/>
          <w:lang w:val="pl-PL"/>
        </w:rPr>
        <w:t>e fundusze) – 16 %</w:t>
      </w:r>
      <w:r>
        <w:rPr>
          <w:rStyle w:val="FootnoteReference"/>
          <w:rFonts w:cs="Times New Roman"/>
          <w:noProof/>
        </w:rPr>
        <w:footnoteReference w:id="61"/>
      </w:r>
      <w:r w:rsidR="00F1653C" w:rsidRPr="00E22450">
        <w:rPr>
          <w:noProof/>
          <w:lang w:val="pl-PL"/>
        </w:rPr>
        <w:t>.</w:t>
      </w:r>
      <w:r w:rsidR="00F1653C" w:rsidRPr="00E22450">
        <w:rPr>
          <w:rStyle w:val="BodyTextChar"/>
          <w:noProof/>
          <w:lang w:val="pl-PL"/>
        </w:rPr>
        <w:t xml:space="preserve"> Z</w:t>
      </w:r>
      <w:r w:rsidR="00F1653C">
        <w:rPr>
          <w:noProof/>
          <w:lang w:val="pl-PL"/>
        </w:rPr>
        <w:t> </w:t>
      </w:r>
      <w:r w:rsidR="00F1653C" w:rsidRPr="00E22450">
        <w:rPr>
          <w:rStyle w:val="BodyTextChar"/>
          <w:noProof/>
          <w:lang w:val="pl-PL"/>
        </w:rPr>
        <w:t>dru</w:t>
      </w:r>
      <w:r w:rsidRPr="00E22450">
        <w:rPr>
          <w:rStyle w:val="BodyTextChar"/>
          <w:noProof/>
          <w:lang w:val="pl-PL"/>
        </w:rPr>
        <w:t>giej strony, fundusze inwestycyjne</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otw</w:t>
      </w:r>
      <w:r w:rsidRPr="00E22450">
        <w:rPr>
          <w:rStyle w:val="BodyTextChar"/>
          <w:noProof/>
          <w:lang w:val="pl-PL"/>
        </w:rPr>
        <w:t>arte fundusze inwestycyjne (OFI) są ważnym źródłem finansowania dla sektora bankowego, ponieważ</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pie</w:t>
      </w:r>
      <w:r w:rsidRPr="00E22450">
        <w:rPr>
          <w:rStyle w:val="BodyTextChar"/>
          <w:noProof/>
          <w:lang w:val="pl-PL"/>
        </w:rPr>
        <w:t>rwszym kwartale 20</w:t>
      </w:r>
      <w:r w:rsidRPr="00F1653C">
        <w:rPr>
          <w:rStyle w:val="BodyTextChar"/>
          <w:noProof/>
          <w:lang w:val="pl-PL"/>
        </w:rPr>
        <w:t>23</w:t>
      </w:r>
      <w:r w:rsidR="00F1653C" w:rsidRPr="00F1653C">
        <w:rPr>
          <w:rStyle w:val="BodyTextChar"/>
          <w:noProof/>
          <w:lang w:val="pl-PL"/>
        </w:rPr>
        <w:t> </w:t>
      </w:r>
      <w:r w:rsidRPr="00F1653C">
        <w:rPr>
          <w:rStyle w:val="BodyTextChar"/>
          <w:noProof/>
          <w:lang w:val="pl-PL"/>
        </w:rPr>
        <w:t>r.</w:t>
      </w:r>
      <w:r w:rsidRPr="00E22450">
        <w:rPr>
          <w:rStyle w:val="BodyTextChar"/>
          <w:noProof/>
          <w:lang w:val="pl-PL"/>
        </w:rPr>
        <w:t xml:space="preserve"> posiadały 1</w:t>
      </w:r>
      <w:r w:rsidRPr="00F1653C">
        <w:rPr>
          <w:rStyle w:val="BodyTextChar"/>
          <w:noProof/>
          <w:lang w:val="pl-PL"/>
        </w:rPr>
        <w:t>4</w:t>
      </w:r>
      <w:r w:rsidR="00F1653C" w:rsidRPr="00F1653C">
        <w:rPr>
          <w:rStyle w:val="BodyTextChar"/>
          <w:noProof/>
          <w:lang w:val="pl-PL"/>
        </w:rPr>
        <w:t> </w:t>
      </w:r>
      <w:r w:rsidRPr="00F1653C">
        <w:rPr>
          <w:rStyle w:val="BodyTextChar"/>
          <w:noProof/>
          <w:lang w:val="pl-PL"/>
        </w:rPr>
        <w:t>%</w:t>
      </w:r>
      <w:r w:rsidRPr="00E22450">
        <w:rPr>
          <w:rStyle w:val="BodyTextChar"/>
          <w:noProof/>
          <w:lang w:val="pl-PL"/>
        </w:rPr>
        <w:t xml:space="preserve"> pasywów sektora bankowego strefy euro. NBFI,</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tym</w:t>
      </w:r>
      <w:r w:rsidRPr="00E22450">
        <w:rPr>
          <w:rStyle w:val="BodyTextChar"/>
          <w:noProof/>
          <w:lang w:val="pl-PL"/>
        </w:rPr>
        <w:t xml:space="preserve"> zakłady ubezpieczeń</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fun</w:t>
      </w:r>
      <w:r w:rsidRPr="00E22450">
        <w:rPr>
          <w:rStyle w:val="BodyTextChar"/>
          <w:noProof/>
          <w:lang w:val="pl-PL"/>
        </w:rPr>
        <w:t>dusze emerytalne, skupiają około 2</w:t>
      </w:r>
      <w:r w:rsidRPr="00F1653C">
        <w:rPr>
          <w:rStyle w:val="BodyTextChar"/>
          <w:noProof/>
          <w:lang w:val="pl-PL"/>
        </w:rPr>
        <w:t>8</w:t>
      </w:r>
      <w:r w:rsidR="00F1653C" w:rsidRPr="00F1653C">
        <w:rPr>
          <w:rStyle w:val="BodyTextChar"/>
          <w:noProof/>
          <w:lang w:val="pl-PL"/>
        </w:rPr>
        <w:t> </w:t>
      </w:r>
      <w:r w:rsidRPr="00F1653C">
        <w:rPr>
          <w:rStyle w:val="BodyTextChar"/>
          <w:noProof/>
          <w:lang w:val="pl-PL"/>
        </w:rPr>
        <w:t>%</w:t>
      </w:r>
      <w:r w:rsidRPr="00E22450">
        <w:rPr>
          <w:rStyle w:val="BodyTextChar"/>
          <w:noProof/>
          <w:lang w:val="pl-PL"/>
        </w:rPr>
        <w:t xml:space="preserve"> niespłaconych bankowych dłużnych papierów wartościowych</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str</w:t>
      </w:r>
      <w:r w:rsidRPr="00E22450">
        <w:rPr>
          <w:rStyle w:val="BodyTextChar"/>
          <w:noProof/>
          <w:lang w:val="pl-PL"/>
        </w:rPr>
        <w:t>efie euro</w:t>
      </w:r>
      <w:r>
        <w:rPr>
          <w:rStyle w:val="FootnoteReference"/>
          <w:rFonts w:eastAsiaTheme="minorEastAsia" w:cs="Times New Roman"/>
          <w:noProof/>
        </w:rPr>
        <w:footnoteReference w:id="62"/>
      </w:r>
      <w:r w:rsidRPr="00E22450">
        <w:rPr>
          <w:noProof/>
          <w:lang w:val="pl-PL"/>
        </w:rPr>
        <w:t>.</w:t>
      </w:r>
      <w:r w:rsidRPr="00E22450">
        <w:rPr>
          <w:rStyle w:val="BodyTextChar"/>
          <w:noProof/>
          <w:lang w:val="pl-PL"/>
        </w:rPr>
        <w:t xml:space="preserve"> </w:t>
      </w:r>
    </w:p>
    <w:p w14:paraId="2A0398F6" w14:textId="6D29848C" w:rsidR="00614647" w:rsidRPr="00E22450" w:rsidRDefault="00241024" w:rsidP="004709F3">
      <w:pPr>
        <w:spacing w:after="120" w:line="240" w:lineRule="auto"/>
        <w:rPr>
          <w:rStyle w:val="BodyTextChar"/>
          <w:rFonts w:eastAsiaTheme="minorEastAsia" w:cs="Times New Roman"/>
          <w:noProof/>
          <w:lang w:val="pl-PL"/>
        </w:rPr>
      </w:pPr>
      <w:r w:rsidRPr="00E22450">
        <w:rPr>
          <w:rStyle w:val="BodyTextChar"/>
          <w:noProof/>
          <w:lang w:val="pl-PL"/>
        </w:rPr>
        <w:t>Te wzajemne powiązania mogą nasilać negatywne skutki zaburzeń płynności lub nadmiernego lewarowania,</w:t>
      </w:r>
      <w:r w:rsidR="00F1653C" w:rsidRPr="00E22450">
        <w:rPr>
          <w:rStyle w:val="BodyTextChar"/>
          <w:noProof/>
          <w:lang w:val="pl-PL"/>
        </w:rPr>
        <w:t xml:space="preserve"> o</w:t>
      </w:r>
      <w:r w:rsidR="00F1653C">
        <w:rPr>
          <w:rStyle w:val="BodyTextChar"/>
          <w:noProof/>
          <w:lang w:val="pl-PL"/>
        </w:rPr>
        <w:t> </w:t>
      </w:r>
      <w:r w:rsidR="00F1653C" w:rsidRPr="00E22450">
        <w:rPr>
          <w:rStyle w:val="BodyTextChar"/>
          <w:noProof/>
          <w:lang w:val="pl-PL"/>
        </w:rPr>
        <w:t>któ</w:t>
      </w:r>
      <w:r w:rsidRPr="00E22450">
        <w:rPr>
          <w:rStyle w:val="BodyTextChar"/>
          <w:noProof/>
          <w:lang w:val="pl-PL"/>
        </w:rPr>
        <w:t>rych mowa powyżej,</w:t>
      </w:r>
      <w:r w:rsidR="00F1653C" w:rsidRPr="00E22450">
        <w:rPr>
          <w:rStyle w:val="BodyTextChar"/>
          <w:noProof/>
          <w:lang w:val="pl-PL"/>
        </w:rPr>
        <w:t xml:space="preserve"> a</w:t>
      </w:r>
      <w:r w:rsidR="00F1653C">
        <w:rPr>
          <w:rStyle w:val="BodyTextChar"/>
          <w:noProof/>
          <w:lang w:val="pl-PL"/>
        </w:rPr>
        <w:t> </w:t>
      </w:r>
      <w:r w:rsidR="00F1653C" w:rsidRPr="00E22450">
        <w:rPr>
          <w:rStyle w:val="BodyTextChar"/>
          <w:noProof/>
          <w:lang w:val="pl-PL"/>
        </w:rPr>
        <w:t>naw</w:t>
      </w:r>
      <w:r w:rsidRPr="00E22450">
        <w:rPr>
          <w:rStyle w:val="BodyTextChar"/>
          <w:noProof/>
          <w:lang w:val="pl-PL"/>
        </w:rPr>
        <w:t>et ukrywać podatności na zagrożenia</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nar</w:t>
      </w:r>
      <w:r w:rsidRPr="00E22450">
        <w:rPr>
          <w:rStyle w:val="BodyTextChar"/>
          <w:noProof/>
          <w:lang w:val="pl-PL"/>
        </w:rPr>
        <w:t>astanie ryzyka systemowego. Dużym ryzykiem związanym ze wzajemnymi powiązaniami między NBFI</w:t>
      </w:r>
      <w:r w:rsidR="00F1653C" w:rsidRPr="00E22450">
        <w:rPr>
          <w:rStyle w:val="BodyTextChar"/>
          <w:noProof/>
          <w:lang w:val="pl-PL"/>
        </w:rPr>
        <w:t xml:space="preserve"> a</w:t>
      </w:r>
      <w:r w:rsidR="00F1653C">
        <w:rPr>
          <w:rStyle w:val="BodyTextChar"/>
          <w:noProof/>
          <w:lang w:val="pl-PL"/>
        </w:rPr>
        <w:t> </w:t>
      </w:r>
      <w:r w:rsidR="00F1653C" w:rsidRPr="00E22450">
        <w:rPr>
          <w:rStyle w:val="BodyTextChar"/>
          <w:noProof/>
          <w:lang w:val="pl-PL"/>
        </w:rPr>
        <w:t>sek</w:t>
      </w:r>
      <w:r w:rsidRPr="00E22450">
        <w:rPr>
          <w:rStyle w:val="BodyTextChar"/>
          <w:noProof/>
          <w:lang w:val="pl-PL"/>
        </w:rPr>
        <w:t>torem bankowym jest potencjalne międzysektorowe przenoszenie wstrząsów finansowych. Jeśli NBFI doświadcza trudności finansowych, może przenieść te trudności na swoich kontrahentów</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sek</w:t>
      </w:r>
      <w:r w:rsidRPr="00E22450">
        <w:rPr>
          <w:rStyle w:val="BodyTextChar"/>
          <w:noProof/>
          <w:lang w:val="pl-PL"/>
        </w:rPr>
        <w:t>torze bankowym i na inne NBFI zarówno za pośrednictwem ekspozycji na aktywa, jak</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zob</w:t>
      </w:r>
      <w:r w:rsidRPr="00E22450">
        <w:rPr>
          <w:rStyle w:val="BodyTextChar"/>
          <w:noProof/>
          <w:lang w:val="pl-PL"/>
        </w:rPr>
        <w:t>owiązania (np. pozycje instrumentów pochodnych, bankowe papiery wartościowe</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fin</w:t>
      </w:r>
      <w:r w:rsidRPr="00E22450">
        <w:rPr>
          <w:rStyle w:val="BodyTextChar"/>
          <w:noProof/>
          <w:lang w:val="pl-PL"/>
        </w:rPr>
        <w:t>ansowanie</w:t>
      </w:r>
      <w:r w:rsidR="00F1653C" w:rsidRPr="00E22450">
        <w:rPr>
          <w:rStyle w:val="BodyTextChar"/>
          <w:noProof/>
          <w:lang w:val="pl-PL"/>
        </w:rPr>
        <w:t xml:space="preserve"> z</w:t>
      </w:r>
      <w:r w:rsidR="00F1653C">
        <w:rPr>
          <w:rStyle w:val="BodyTextChar"/>
          <w:noProof/>
          <w:lang w:val="pl-PL"/>
        </w:rPr>
        <w:t> </w:t>
      </w:r>
      <w:r w:rsidR="00F1653C" w:rsidRPr="00E22450">
        <w:rPr>
          <w:rStyle w:val="BodyTextChar"/>
          <w:noProof/>
          <w:lang w:val="pl-PL"/>
        </w:rPr>
        <w:t>udz</w:t>
      </w:r>
      <w:r w:rsidRPr="00E22450">
        <w:rPr>
          <w:rStyle w:val="BodyTextChar"/>
          <w:noProof/>
          <w:lang w:val="pl-PL"/>
        </w:rPr>
        <w:t>ielonym przyrzeczeniem odkupu). Niewykonanie zobowiązania przez Archegos pokazało, jak istotne znaczenie ma rzetelne zarządzanie ryzykiem oraz sposób,</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jak</w:t>
      </w:r>
      <w:r w:rsidRPr="00E22450">
        <w:rPr>
          <w:rStyle w:val="BodyTextChar"/>
          <w:noProof/>
          <w:lang w:val="pl-PL"/>
        </w:rPr>
        <w:t>i wzajemne powiązania mogą zwiększyć ryzyko kredytowe banków (jak miało to miejsce na przykład</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prz</w:t>
      </w:r>
      <w:r w:rsidRPr="00E22450">
        <w:rPr>
          <w:rStyle w:val="BodyTextChar"/>
          <w:noProof/>
          <w:lang w:val="pl-PL"/>
        </w:rPr>
        <w:t>ypadku Credit Suisse). Banki mogą również przenosić trudności finansowe na NBFI, ponieważ mają one kluczowe znaczenie dla funkcjonowania rynków instrumentów pochodnych,</w:t>
      </w:r>
      <w:r w:rsidR="00F1653C" w:rsidRPr="00E22450">
        <w:rPr>
          <w:rStyle w:val="BodyTextChar"/>
          <w:noProof/>
          <w:lang w:val="pl-PL"/>
        </w:rPr>
        <w:t xml:space="preserve"> a</w:t>
      </w:r>
      <w:r w:rsidR="00F1653C">
        <w:rPr>
          <w:rStyle w:val="BodyTextChar"/>
          <w:noProof/>
          <w:lang w:val="pl-PL"/>
        </w:rPr>
        <w:t> </w:t>
      </w:r>
      <w:r w:rsidR="00F1653C" w:rsidRPr="00E22450">
        <w:rPr>
          <w:rStyle w:val="BodyTextChar"/>
          <w:noProof/>
          <w:lang w:val="pl-PL"/>
        </w:rPr>
        <w:t>tak</w:t>
      </w:r>
      <w:r w:rsidRPr="00E22450">
        <w:rPr>
          <w:rStyle w:val="BodyTextChar"/>
          <w:noProof/>
          <w:lang w:val="pl-PL"/>
        </w:rPr>
        <w:t xml:space="preserve">że są dużymi kredytodawcami dla tych instytucji. </w:t>
      </w:r>
    </w:p>
    <w:p w14:paraId="4136FC40" w14:textId="444E93F2" w:rsidR="00241024" w:rsidRPr="00E22450" w:rsidRDefault="00241024" w:rsidP="004709F3">
      <w:pPr>
        <w:spacing w:after="120" w:line="240" w:lineRule="auto"/>
        <w:rPr>
          <w:noProof/>
          <w:lang w:val="pl-PL"/>
        </w:rPr>
      </w:pPr>
      <w:r w:rsidRPr="00E22450">
        <w:rPr>
          <w:rStyle w:val="BodyTextChar"/>
          <w:noProof/>
          <w:lang w:val="pl-PL"/>
        </w:rPr>
        <w:t>NBFI</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ban</w:t>
      </w:r>
      <w:r w:rsidRPr="00E22450">
        <w:rPr>
          <w:rStyle w:val="BodyTextChar"/>
          <w:noProof/>
          <w:lang w:val="pl-PL"/>
        </w:rPr>
        <w:t>ki mogą być wzajemnie powiązane poprzez wspólne ekspozycje, jeśli inwestują</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pod</w:t>
      </w:r>
      <w:r w:rsidRPr="00E22450">
        <w:rPr>
          <w:rStyle w:val="BodyTextChar"/>
          <w:noProof/>
          <w:lang w:val="pl-PL"/>
        </w:rPr>
        <w:t>obne aktywa lub mają ekspozycje wobec tych samych kontrahentów. Jeśli te wspólne ekspozycje zostaną poddane presji finansowej, NBFI</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ban</w:t>
      </w:r>
      <w:r w:rsidRPr="00E22450">
        <w:rPr>
          <w:rStyle w:val="BodyTextChar"/>
          <w:noProof/>
          <w:lang w:val="pl-PL"/>
        </w:rPr>
        <w:t>ki mogą ucierpieć jednocześnie, zwiększając możliwość kryzysu systemowego. Co więcej, jeśli NBFI</w:t>
      </w:r>
      <w:r w:rsidR="00F1653C" w:rsidRPr="00E22450">
        <w:rPr>
          <w:rStyle w:val="BodyTextChar"/>
          <w:noProof/>
          <w:lang w:val="pl-PL"/>
        </w:rPr>
        <w:t xml:space="preserve"> i</w:t>
      </w:r>
      <w:r w:rsidR="00F1653C">
        <w:rPr>
          <w:rStyle w:val="BodyTextChar"/>
          <w:noProof/>
          <w:lang w:val="pl-PL"/>
        </w:rPr>
        <w:t> </w:t>
      </w:r>
      <w:r w:rsidR="00F1653C" w:rsidRPr="00E22450">
        <w:rPr>
          <w:rStyle w:val="BodyTextChar"/>
          <w:noProof/>
          <w:lang w:val="pl-PL"/>
        </w:rPr>
        <w:t>tra</w:t>
      </w:r>
      <w:r w:rsidRPr="00E22450">
        <w:rPr>
          <w:rStyle w:val="BodyTextChar"/>
          <w:noProof/>
          <w:lang w:val="pl-PL"/>
        </w:rPr>
        <w:t>dycyjne banki będą działać</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spo</w:t>
      </w:r>
      <w:r w:rsidRPr="00E22450">
        <w:rPr>
          <w:rStyle w:val="BodyTextChar"/>
          <w:noProof/>
          <w:lang w:val="pl-PL"/>
        </w:rPr>
        <w:t>sób zsynchronizowany, mogą wywołać dużą wyprzedaż wspólnych aktywów (np. zawirowania na rynku</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mar</w:t>
      </w:r>
      <w:r w:rsidRPr="00E22450">
        <w:rPr>
          <w:rStyle w:val="BodyTextChar"/>
          <w:noProof/>
          <w:lang w:val="pl-PL"/>
        </w:rPr>
        <w:t>cu 20</w:t>
      </w:r>
      <w:r w:rsidRPr="00F1653C">
        <w:rPr>
          <w:rStyle w:val="BodyTextChar"/>
          <w:noProof/>
          <w:lang w:val="pl-PL"/>
        </w:rPr>
        <w:t>20</w:t>
      </w:r>
      <w:r w:rsidR="00F1653C" w:rsidRPr="00F1653C">
        <w:rPr>
          <w:rStyle w:val="BodyTextChar"/>
          <w:noProof/>
          <w:lang w:val="pl-PL"/>
        </w:rPr>
        <w:t> </w:t>
      </w:r>
      <w:r w:rsidRPr="00F1653C">
        <w:rPr>
          <w:rStyle w:val="BodyTextChar"/>
          <w:noProof/>
          <w:lang w:val="pl-PL"/>
        </w:rPr>
        <w:t>r.</w:t>
      </w:r>
      <w:r w:rsidRPr="00E22450">
        <w:rPr>
          <w:rStyle w:val="BodyTextChar"/>
          <w:noProof/>
          <w:lang w:val="pl-PL"/>
        </w:rPr>
        <w:t>, kryzys płynności spółek energetycznych spowodowany wzrostem wezwań do uzupełnienia depozytów zabezpieczających</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zwi</w:t>
      </w:r>
      <w:r w:rsidRPr="00E22450">
        <w:rPr>
          <w:rStyle w:val="BodyTextChar"/>
          <w:noProof/>
          <w:lang w:val="pl-PL"/>
        </w:rPr>
        <w:t>ązku</w:t>
      </w:r>
      <w:r w:rsidR="00F1653C" w:rsidRPr="00E22450">
        <w:rPr>
          <w:rStyle w:val="BodyTextChar"/>
          <w:noProof/>
          <w:lang w:val="pl-PL"/>
        </w:rPr>
        <w:t xml:space="preserve"> z</w:t>
      </w:r>
      <w:r w:rsidR="00F1653C">
        <w:rPr>
          <w:rStyle w:val="BodyTextChar"/>
          <w:noProof/>
          <w:lang w:val="pl-PL"/>
        </w:rPr>
        <w:t> </w:t>
      </w:r>
      <w:r w:rsidR="00F1653C" w:rsidRPr="00E22450">
        <w:rPr>
          <w:rStyle w:val="BodyTextChar"/>
          <w:noProof/>
          <w:lang w:val="pl-PL"/>
        </w:rPr>
        <w:t>kry</w:t>
      </w:r>
      <w:r w:rsidRPr="00E22450">
        <w:rPr>
          <w:rStyle w:val="BodyTextChar"/>
          <w:noProof/>
          <w:lang w:val="pl-PL"/>
        </w:rPr>
        <w:t>zysem energetycznym</w:t>
      </w:r>
      <w:r w:rsidR="00F1653C" w:rsidRPr="00E22450">
        <w:rPr>
          <w:rStyle w:val="BodyTextChar"/>
          <w:noProof/>
          <w:lang w:val="pl-PL"/>
        </w:rPr>
        <w:t xml:space="preserve"> w</w:t>
      </w:r>
      <w:r w:rsidR="00F1653C">
        <w:rPr>
          <w:rStyle w:val="BodyTextChar"/>
          <w:noProof/>
          <w:lang w:val="pl-PL"/>
        </w:rPr>
        <w:t> </w:t>
      </w:r>
      <w:r w:rsidR="00F1653C" w:rsidRPr="00E22450">
        <w:rPr>
          <w:rStyle w:val="BodyTextChar"/>
          <w:noProof/>
          <w:lang w:val="pl-PL"/>
        </w:rPr>
        <w:t>mar</w:t>
      </w:r>
      <w:r w:rsidRPr="00E22450">
        <w:rPr>
          <w:rStyle w:val="BodyTextChar"/>
          <w:noProof/>
          <w:lang w:val="pl-PL"/>
        </w:rPr>
        <w:t>cu 20</w:t>
      </w:r>
      <w:r w:rsidRPr="00F1653C">
        <w:rPr>
          <w:rStyle w:val="BodyTextChar"/>
          <w:noProof/>
          <w:lang w:val="pl-PL"/>
        </w:rPr>
        <w:t>22</w:t>
      </w:r>
      <w:r w:rsidR="00F1653C" w:rsidRPr="00F1653C">
        <w:rPr>
          <w:rStyle w:val="BodyTextChar"/>
          <w:noProof/>
          <w:lang w:val="pl-PL"/>
        </w:rPr>
        <w:t> </w:t>
      </w:r>
      <w:r w:rsidRPr="00F1653C">
        <w:rPr>
          <w:rStyle w:val="BodyTextChar"/>
          <w:noProof/>
          <w:lang w:val="pl-PL"/>
        </w:rPr>
        <w:t>r.</w:t>
      </w:r>
      <w:r w:rsidRPr="00E22450">
        <w:rPr>
          <w:rStyle w:val="BodyTextChar"/>
          <w:noProof/>
          <w:lang w:val="pl-PL"/>
        </w:rPr>
        <w:t xml:space="preserve">). </w:t>
      </w:r>
      <w:r w:rsidRPr="00E22450">
        <w:rPr>
          <w:noProof/>
          <w:lang w:val="pl-PL"/>
        </w:rPr>
        <w:t>Organy nadzoru monitorują potencjalne podatności na zagrożenia wynikające</w:t>
      </w:r>
      <w:r w:rsidR="00F1653C" w:rsidRPr="00E22450">
        <w:rPr>
          <w:noProof/>
          <w:lang w:val="pl-PL"/>
        </w:rPr>
        <w:t xml:space="preserve"> z</w:t>
      </w:r>
      <w:r w:rsidR="00F1653C">
        <w:rPr>
          <w:noProof/>
          <w:lang w:val="pl-PL"/>
        </w:rPr>
        <w:t> </w:t>
      </w:r>
      <w:r w:rsidR="00F1653C" w:rsidRPr="00E22450">
        <w:rPr>
          <w:noProof/>
          <w:lang w:val="pl-PL"/>
        </w:rPr>
        <w:t>wza</w:t>
      </w:r>
      <w:r w:rsidRPr="00E22450">
        <w:rPr>
          <w:noProof/>
          <w:lang w:val="pl-PL"/>
        </w:rPr>
        <w:t>jemnych powiązań</w:t>
      </w:r>
      <w:r w:rsidR="00F1653C" w:rsidRPr="00E22450">
        <w:rPr>
          <w:noProof/>
          <w:lang w:val="pl-PL"/>
        </w:rPr>
        <w:t xml:space="preserve"> w</w:t>
      </w:r>
      <w:r w:rsidR="00F1653C">
        <w:rPr>
          <w:noProof/>
          <w:lang w:val="pl-PL"/>
        </w:rPr>
        <w:t> </w:t>
      </w:r>
      <w:r w:rsidR="00F1653C" w:rsidRPr="00E22450">
        <w:rPr>
          <w:noProof/>
          <w:lang w:val="pl-PL"/>
        </w:rPr>
        <w:t>ram</w:t>
      </w:r>
      <w:r w:rsidRPr="00E22450">
        <w:rPr>
          <w:noProof/>
          <w:lang w:val="pl-PL"/>
        </w:rPr>
        <w:t>ach NBFI</w:t>
      </w:r>
      <w:r w:rsidR="00F1653C" w:rsidRPr="00E22450">
        <w:rPr>
          <w:noProof/>
          <w:lang w:val="pl-PL"/>
        </w:rPr>
        <w:t xml:space="preserve"> i</w:t>
      </w:r>
      <w:r w:rsidR="00F1653C">
        <w:rPr>
          <w:noProof/>
          <w:lang w:val="pl-PL"/>
        </w:rPr>
        <w:t> </w:t>
      </w:r>
      <w:r w:rsidR="00F1653C" w:rsidRPr="00E22450">
        <w:rPr>
          <w:noProof/>
          <w:lang w:val="pl-PL"/>
        </w:rPr>
        <w:t>z</w:t>
      </w:r>
      <w:r w:rsidR="00F1653C">
        <w:rPr>
          <w:noProof/>
          <w:lang w:val="pl-PL"/>
        </w:rPr>
        <w:t> </w:t>
      </w:r>
      <w:r w:rsidR="00F1653C" w:rsidRPr="00E22450">
        <w:rPr>
          <w:noProof/>
          <w:lang w:val="pl-PL"/>
        </w:rPr>
        <w:t>ban</w:t>
      </w:r>
      <w:r w:rsidRPr="00E22450">
        <w:rPr>
          <w:noProof/>
          <w:lang w:val="pl-PL"/>
        </w:rPr>
        <w:t>kami poprzez powiązania bezpośrednie (np. udziały między bankami i NBFI oraz między NBFI lub wezwania do uzupełnienia depozytu zabezpieczającego)</w:t>
      </w:r>
      <w:r w:rsidR="00F1653C" w:rsidRPr="00E22450">
        <w:rPr>
          <w:noProof/>
          <w:lang w:val="pl-PL"/>
        </w:rPr>
        <w:t xml:space="preserve"> i</w:t>
      </w:r>
      <w:r w:rsidR="00F1653C">
        <w:rPr>
          <w:noProof/>
          <w:lang w:val="pl-PL"/>
        </w:rPr>
        <w:t> </w:t>
      </w:r>
      <w:r w:rsidR="00F1653C" w:rsidRPr="00E22450">
        <w:rPr>
          <w:noProof/>
          <w:lang w:val="pl-PL"/>
        </w:rPr>
        <w:t>poś</w:t>
      </w:r>
      <w:r w:rsidRPr="00E22450">
        <w:rPr>
          <w:noProof/>
          <w:lang w:val="pl-PL"/>
        </w:rPr>
        <w:t xml:space="preserve">rednie (np. wspólne ekspozycje na aktywa). </w:t>
      </w:r>
    </w:p>
    <w:p w14:paraId="686D6687" w14:textId="59C5FC37" w:rsidR="00EA59BD" w:rsidRPr="00E22450" w:rsidRDefault="00241024" w:rsidP="004709F3">
      <w:pPr>
        <w:spacing w:after="120" w:line="240" w:lineRule="auto"/>
        <w:rPr>
          <w:noProof/>
          <w:lang w:val="pl-PL"/>
        </w:rPr>
      </w:pPr>
      <w:r w:rsidRPr="00E22450">
        <w:rPr>
          <w:noProof/>
          <w:lang w:val="pl-PL"/>
        </w:rPr>
        <w:t>Ponadto ze względu na te strukturalne podatności na zagrożenia</w:t>
      </w:r>
      <w:r w:rsidR="00F1653C" w:rsidRPr="00E22450">
        <w:rPr>
          <w:noProof/>
          <w:lang w:val="pl-PL"/>
        </w:rPr>
        <w:t xml:space="preserve"> i</w:t>
      </w:r>
      <w:r w:rsidR="00F1653C">
        <w:rPr>
          <w:noProof/>
          <w:lang w:val="pl-PL"/>
        </w:rPr>
        <w:t> </w:t>
      </w:r>
      <w:r w:rsidR="00F1653C" w:rsidRPr="00E22450">
        <w:rPr>
          <w:noProof/>
          <w:lang w:val="pl-PL"/>
        </w:rPr>
        <w:t>zło</w:t>
      </w:r>
      <w:r w:rsidRPr="00E22450">
        <w:rPr>
          <w:noProof/>
          <w:lang w:val="pl-PL"/>
        </w:rPr>
        <w:t xml:space="preserve">żoność nadzoru nad takimi wzajemnie powiązanymi sektorami należy poddać dalszej ocenie zalety </w:t>
      </w:r>
      <w:r w:rsidRPr="00E22450">
        <w:rPr>
          <w:b/>
          <w:noProof/>
          <w:lang w:val="pl-PL"/>
        </w:rPr>
        <w:t>bardziej spójnych</w:t>
      </w:r>
      <w:r w:rsidR="00F1653C" w:rsidRPr="00E22450">
        <w:rPr>
          <w:b/>
          <w:noProof/>
          <w:lang w:val="pl-PL"/>
        </w:rPr>
        <w:t xml:space="preserve"> i</w:t>
      </w:r>
      <w:r w:rsidR="00F1653C">
        <w:rPr>
          <w:b/>
          <w:noProof/>
          <w:lang w:val="pl-PL"/>
        </w:rPr>
        <w:t> </w:t>
      </w:r>
      <w:r w:rsidR="00F1653C" w:rsidRPr="00E22450">
        <w:rPr>
          <w:b/>
          <w:noProof/>
          <w:lang w:val="pl-PL"/>
        </w:rPr>
        <w:t>sko</w:t>
      </w:r>
      <w:r w:rsidRPr="00E22450">
        <w:rPr>
          <w:b/>
          <w:noProof/>
          <w:lang w:val="pl-PL"/>
        </w:rPr>
        <w:t>ordynowanych ram makroostrożnościowych dla NBFI</w:t>
      </w:r>
      <w:r w:rsidRPr="00E22450">
        <w:rPr>
          <w:noProof/>
          <w:lang w:val="pl-PL"/>
        </w:rPr>
        <w:t>. Obecnie istnieje tylko kilka środków makroostrożnościowych mających zastosowanie do NBFI,</w:t>
      </w:r>
      <w:r w:rsidR="00F1653C" w:rsidRPr="00E22450">
        <w:rPr>
          <w:noProof/>
          <w:lang w:val="pl-PL"/>
        </w:rPr>
        <w:t xml:space="preserve"> a</w:t>
      </w:r>
      <w:r w:rsidR="00F1653C">
        <w:rPr>
          <w:noProof/>
          <w:lang w:val="pl-PL"/>
        </w:rPr>
        <w:t> </w:t>
      </w:r>
      <w:r w:rsidR="00F1653C" w:rsidRPr="00E22450">
        <w:rPr>
          <w:noProof/>
          <w:lang w:val="pl-PL"/>
        </w:rPr>
        <w:t>nad</w:t>
      </w:r>
      <w:r w:rsidRPr="00E22450">
        <w:rPr>
          <w:noProof/>
          <w:lang w:val="pl-PL"/>
        </w:rPr>
        <w:t>zór nad takimi narzędziami dla każdego sektora obejmuje różne organy nadzoru, nawet</w:t>
      </w:r>
      <w:r w:rsidR="00F1653C" w:rsidRPr="00E22450">
        <w:rPr>
          <w:noProof/>
          <w:lang w:val="pl-PL"/>
        </w:rPr>
        <w:t xml:space="preserve"> w</w:t>
      </w:r>
      <w:r w:rsidR="00F1653C">
        <w:rPr>
          <w:noProof/>
          <w:lang w:val="pl-PL"/>
        </w:rPr>
        <w:t> </w:t>
      </w:r>
      <w:r w:rsidR="00F1653C" w:rsidRPr="00E22450">
        <w:rPr>
          <w:noProof/>
          <w:lang w:val="pl-PL"/>
        </w:rPr>
        <w:t>ram</w:t>
      </w:r>
      <w:r w:rsidRPr="00E22450">
        <w:rPr>
          <w:noProof/>
          <w:lang w:val="pl-PL"/>
        </w:rPr>
        <w:t>ach tej samej jurysdykcji. Na przykład na mocy dyrektyw</w:t>
      </w:r>
      <w:r w:rsidR="00F1653C" w:rsidRPr="00E22450">
        <w:rPr>
          <w:noProof/>
          <w:lang w:val="pl-PL"/>
        </w:rPr>
        <w:t xml:space="preserve"> w</w:t>
      </w:r>
      <w:r w:rsidR="00F1653C">
        <w:rPr>
          <w:noProof/>
          <w:lang w:val="pl-PL"/>
        </w:rPr>
        <w:t> </w:t>
      </w:r>
      <w:r w:rsidR="00F1653C" w:rsidRPr="00E22450">
        <w:rPr>
          <w:noProof/>
          <w:lang w:val="pl-PL"/>
        </w:rPr>
        <w:t>spr</w:t>
      </w:r>
      <w:r w:rsidRPr="00E22450">
        <w:rPr>
          <w:noProof/>
          <w:lang w:val="pl-PL"/>
        </w:rPr>
        <w:t>awie ZAFI/UCITS właściwe organy krajowe są uprawnione do zawieszenia praw inwestorów do umorzenia, jeżeli fundusze narażone są na ryzyko dla stabilności finansowej,</w:t>
      </w:r>
      <w:r w:rsidR="00F1653C" w:rsidRPr="00E22450">
        <w:rPr>
          <w:noProof/>
          <w:lang w:val="pl-PL"/>
        </w:rPr>
        <w:t xml:space="preserve"> a</w:t>
      </w:r>
      <w:r w:rsidR="00F1653C">
        <w:rPr>
          <w:noProof/>
          <w:lang w:val="pl-PL"/>
        </w:rPr>
        <w:t> </w:t>
      </w:r>
      <w:r w:rsidR="00F1653C" w:rsidRPr="00E22450">
        <w:rPr>
          <w:noProof/>
          <w:lang w:val="pl-PL"/>
        </w:rPr>
        <w:t>kra</w:t>
      </w:r>
      <w:r w:rsidRPr="00E22450">
        <w:rPr>
          <w:noProof/>
          <w:lang w:val="pl-PL"/>
        </w:rPr>
        <w:t>jowe organy nadzoru korzystały</w:t>
      </w:r>
      <w:r w:rsidR="00F1653C" w:rsidRPr="00E22450">
        <w:rPr>
          <w:noProof/>
          <w:lang w:val="pl-PL"/>
        </w:rPr>
        <w:t xml:space="preserve"> z</w:t>
      </w:r>
      <w:r w:rsidR="00F1653C">
        <w:rPr>
          <w:noProof/>
          <w:lang w:val="pl-PL"/>
        </w:rPr>
        <w:t> </w:t>
      </w:r>
      <w:r w:rsidR="00F1653C" w:rsidRPr="00E22450">
        <w:rPr>
          <w:noProof/>
          <w:lang w:val="pl-PL"/>
        </w:rPr>
        <w:t>teg</w:t>
      </w:r>
      <w:r w:rsidRPr="00E22450">
        <w:rPr>
          <w:noProof/>
          <w:lang w:val="pl-PL"/>
        </w:rPr>
        <w:t>o uprawnienia indywidualnie</w:t>
      </w:r>
      <w:r w:rsidR="00F1653C" w:rsidRPr="00E22450">
        <w:rPr>
          <w:noProof/>
          <w:lang w:val="pl-PL"/>
        </w:rPr>
        <w:t xml:space="preserve"> w</w:t>
      </w:r>
      <w:r w:rsidR="00F1653C">
        <w:rPr>
          <w:noProof/>
          <w:lang w:val="pl-PL"/>
        </w:rPr>
        <w:t> </w:t>
      </w:r>
      <w:r w:rsidR="00F1653C" w:rsidRPr="00E22450">
        <w:rPr>
          <w:noProof/>
          <w:lang w:val="pl-PL"/>
        </w:rPr>
        <w:t>prz</w:t>
      </w:r>
      <w:r w:rsidRPr="00E22450">
        <w:rPr>
          <w:noProof/>
          <w:lang w:val="pl-PL"/>
        </w:rPr>
        <w:t>eszłości. Doświadczenie</w:t>
      </w:r>
      <w:r w:rsidR="00F1653C" w:rsidRPr="00E22450">
        <w:rPr>
          <w:noProof/>
          <w:lang w:val="pl-PL"/>
        </w:rPr>
        <w:t xml:space="preserve"> w</w:t>
      </w:r>
      <w:r w:rsidR="00F1653C">
        <w:rPr>
          <w:noProof/>
          <w:lang w:val="pl-PL"/>
        </w:rPr>
        <w:t> </w:t>
      </w:r>
      <w:r w:rsidR="00F1653C" w:rsidRPr="00E22450">
        <w:rPr>
          <w:noProof/>
          <w:lang w:val="pl-PL"/>
        </w:rPr>
        <w:t>zak</w:t>
      </w:r>
      <w:r w:rsidRPr="00E22450">
        <w:rPr>
          <w:noProof/>
          <w:lang w:val="pl-PL"/>
        </w:rPr>
        <w:t>resie skoordynowanego korzystania</w:t>
      </w:r>
      <w:r w:rsidR="00F1653C" w:rsidRPr="00E22450">
        <w:rPr>
          <w:noProof/>
          <w:lang w:val="pl-PL"/>
        </w:rPr>
        <w:t xml:space="preserve"> z</w:t>
      </w:r>
      <w:r w:rsidR="00F1653C">
        <w:rPr>
          <w:noProof/>
          <w:lang w:val="pl-PL"/>
        </w:rPr>
        <w:t> </w:t>
      </w:r>
      <w:r w:rsidR="00F1653C" w:rsidRPr="00E22450">
        <w:rPr>
          <w:noProof/>
          <w:lang w:val="pl-PL"/>
        </w:rPr>
        <w:t>tak</w:t>
      </w:r>
      <w:r w:rsidRPr="00E22450">
        <w:rPr>
          <w:noProof/>
          <w:lang w:val="pl-PL"/>
        </w:rPr>
        <w:t>ich uprawnień jest ograniczone</w:t>
      </w:r>
      <w:r w:rsidR="00F1653C" w:rsidRPr="00E22450">
        <w:rPr>
          <w:noProof/>
          <w:lang w:val="pl-PL"/>
        </w:rPr>
        <w:t xml:space="preserve"> w</w:t>
      </w:r>
      <w:r w:rsidR="00F1653C">
        <w:rPr>
          <w:noProof/>
          <w:lang w:val="pl-PL"/>
        </w:rPr>
        <w:t> </w:t>
      </w:r>
      <w:r w:rsidR="00F1653C" w:rsidRPr="00E22450">
        <w:rPr>
          <w:noProof/>
          <w:lang w:val="pl-PL"/>
        </w:rPr>
        <w:t>prz</w:t>
      </w:r>
      <w:r w:rsidRPr="00E22450">
        <w:rPr>
          <w:noProof/>
          <w:lang w:val="pl-PL"/>
        </w:rPr>
        <w:t xml:space="preserve">ypadku wystąpienia szerszego ogólnounijnego ryzyka dla stabilności finansowej. </w:t>
      </w:r>
    </w:p>
    <w:p w14:paraId="7577FBD0" w14:textId="6A140B90" w:rsidR="006E5DA9" w:rsidRPr="00E22450" w:rsidRDefault="00E56C84" w:rsidP="004709F3">
      <w:pPr>
        <w:spacing w:after="120" w:line="240" w:lineRule="auto"/>
        <w:rPr>
          <w:noProof/>
          <w:lang w:val="pl-PL"/>
        </w:rPr>
      </w:pPr>
      <w:r w:rsidRPr="00E22450">
        <w:rPr>
          <w:noProof/>
          <w:lang w:val="pl-PL"/>
        </w:rPr>
        <w:t>Zapewnienie spójnego stosowania narzędzi makroostrożnościowych</w:t>
      </w:r>
      <w:r w:rsidR="00F1653C" w:rsidRPr="00E22450">
        <w:rPr>
          <w:noProof/>
          <w:lang w:val="pl-PL"/>
        </w:rPr>
        <w:t xml:space="preserve"> i</w:t>
      </w:r>
      <w:r w:rsidR="00F1653C">
        <w:rPr>
          <w:noProof/>
          <w:lang w:val="pl-PL"/>
        </w:rPr>
        <w:t> </w:t>
      </w:r>
      <w:r w:rsidR="00F1653C" w:rsidRPr="00E22450">
        <w:rPr>
          <w:noProof/>
          <w:lang w:val="pl-PL"/>
        </w:rPr>
        <w:t>wys</w:t>
      </w:r>
      <w:r w:rsidRPr="00E22450">
        <w:rPr>
          <w:noProof/>
          <w:lang w:val="pl-PL"/>
        </w:rPr>
        <w:t>tarczającej koordynacji między organami nadzoru w UE</w:t>
      </w:r>
      <w:r w:rsidR="00F1653C" w:rsidRPr="00E22450">
        <w:rPr>
          <w:noProof/>
          <w:lang w:val="pl-PL"/>
        </w:rPr>
        <w:t xml:space="preserve"> i</w:t>
      </w:r>
      <w:r w:rsidR="00F1653C">
        <w:rPr>
          <w:noProof/>
          <w:lang w:val="pl-PL"/>
        </w:rPr>
        <w:t> </w:t>
      </w:r>
      <w:r w:rsidR="00F1653C" w:rsidRPr="00E22450">
        <w:rPr>
          <w:noProof/>
          <w:lang w:val="pl-PL"/>
        </w:rPr>
        <w:t>org</w:t>
      </w:r>
      <w:r w:rsidRPr="00E22450">
        <w:rPr>
          <w:noProof/>
          <w:lang w:val="pl-PL"/>
        </w:rPr>
        <w:t>anami nadzoru</w:t>
      </w:r>
      <w:r w:rsidR="00F1653C" w:rsidRPr="00E22450">
        <w:rPr>
          <w:noProof/>
          <w:lang w:val="pl-PL"/>
        </w:rPr>
        <w:t xml:space="preserve"> w</w:t>
      </w:r>
      <w:r w:rsidR="00F1653C">
        <w:rPr>
          <w:noProof/>
          <w:lang w:val="pl-PL"/>
        </w:rPr>
        <w:t> </w:t>
      </w:r>
      <w:r w:rsidR="00F1653C" w:rsidRPr="00E22450">
        <w:rPr>
          <w:noProof/>
          <w:lang w:val="pl-PL"/>
        </w:rPr>
        <w:t>pań</w:t>
      </w:r>
      <w:r w:rsidRPr="00E22450">
        <w:rPr>
          <w:noProof/>
          <w:lang w:val="pl-PL"/>
        </w:rPr>
        <w:t>stwach trzecich ma kluczowe znaczenie dla skutecznej polityki makroostrożnościowej. Rozdrobnienie między sektorami</w:t>
      </w:r>
      <w:r w:rsidR="00F1653C" w:rsidRPr="00E22450">
        <w:rPr>
          <w:noProof/>
          <w:lang w:val="pl-PL"/>
        </w:rPr>
        <w:t xml:space="preserve"> i</w:t>
      </w:r>
      <w:r w:rsidR="00F1653C">
        <w:rPr>
          <w:noProof/>
          <w:lang w:val="pl-PL"/>
        </w:rPr>
        <w:t> </w:t>
      </w:r>
      <w:r w:rsidR="00F1653C" w:rsidRPr="00E22450">
        <w:rPr>
          <w:noProof/>
          <w:lang w:val="pl-PL"/>
        </w:rPr>
        <w:t>jur</w:t>
      </w:r>
      <w:r w:rsidRPr="00E22450">
        <w:rPr>
          <w:noProof/>
          <w:lang w:val="pl-PL"/>
        </w:rPr>
        <w:t>ysdykcjami krajowymi nasuwa ważne pytania dotyczące sposobu zapewnienia skutecznej koordynacji między państwami członkowskimi (zwłaszcza</w:t>
      </w:r>
      <w:r w:rsidR="00F1653C" w:rsidRPr="00E22450">
        <w:rPr>
          <w:noProof/>
          <w:lang w:val="pl-PL"/>
        </w:rPr>
        <w:t xml:space="preserve"> w</w:t>
      </w:r>
      <w:r w:rsidR="00F1653C">
        <w:rPr>
          <w:noProof/>
          <w:lang w:val="pl-PL"/>
        </w:rPr>
        <w:t> </w:t>
      </w:r>
      <w:r w:rsidR="00F1653C" w:rsidRPr="00E22450">
        <w:rPr>
          <w:noProof/>
          <w:lang w:val="pl-PL"/>
        </w:rPr>
        <w:t>odn</w:t>
      </w:r>
      <w:r w:rsidRPr="00E22450">
        <w:rPr>
          <w:noProof/>
          <w:lang w:val="pl-PL"/>
        </w:rPr>
        <w:t>iesieniu do zdarzeń systemowych, które mają wpływ na więcej niż jedno państwo członkowskie) oraz sposobu wymiany niezbędnych danych między organami</w:t>
      </w:r>
      <w:r w:rsidR="00F1653C" w:rsidRPr="00E22450">
        <w:rPr>
          <w:noProof/>
          <w:lang w:val="pl-PL"/>
        </w:rPr>
        <w:t xml:space="preserve"> w</w:t>
      </w:r>
      <w:r w:rsidR="00F1653C">
        <w:rPr>
          <w:noProof/>
          <w:lang w:val="pl-PL"/>
        </w:rPr>
        <w:t> </w:t>
      </w:r>
      <w:r w:rsidR="00F1653C" w:rsidRPr="00E22450">
        <w:rPr>
          <w:noProof/>
          <w:lang w:val="pl-PL"/>
        </w:rPr>
        <w:t>ram</w:t>
      </w:r>
      <w:r w:rsidRPr="00E22450">
        <w:rPr>
          <w:noProof/>
          <w:lang w:val="pl-PL"/>
        </w:rPr>
        <w:t xml:space="preserve">ach obecnych ram sprawozdawczości. </w:t>
      </w:r>
    </w:p>
    <w:sectPr w:rsidR="006E5DA9" w:rsidRPr="00E22450" w:rsidSect="00AB1DB8">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DA44A" w14:textId="77777777" w:rsidR="00284231" w:rsidRDefault="00284231" w:rsidP="00E6448C">
      <w:pPr>
        <w:spacing w:after="0" w:line="240" w:lineRule="auto"/>
      </w:pPr>
      <w:r>
        <w:separator/>
      </w:r>
    </w:p>
  </w:endnote>
  <w:endnote w:type="continuationSeparator" w:id="0">
    <w:p w14:paraId="4972AE78" w14:textId="77777777" w:rsidR="00284231" w:rsidRDefault="00284231" w:rsidP="00E6448C">
      <w:pPr>
        <w:spacing w:after="0" w:line="240" w:lineRule="auto"/>
      </w:pPr>
      <w:r>
        <w:continuationSeparator/>
      </w:r>
    </w:p>
  </w:endnote>
  <w:endnote w:type="continuationNotice" w:id="1">
    <w:p w14:paraId="336C1099" w14:textId="77777777" w:rsidR="00284231" w:rsidRDefault="002842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7D931" w14:textId="1905152B" w:rsidR="008028FF" w:rsidRPr="008028FF" w:rsidRDefault="008028FF" w:rsidP="008028FF">
    <w:pPr>
      <w:pStyle w:val="FooterCoverPage"/>
      <w:rPr>
        <w:rFonts w:ascii="Arial" w:hAnsi="Arial" w:cs="Arial"/>
        <w:b/>
        <w:sz w:val="48"/>
      </w:rPr>
    </w:pPr>
    <w:r w:rsidRPr="008028FF">
      <w:rPr>
        <w:rFonts w:ascii="Arial" w:hAnsi="Arial" w:cs="Arial"/>
        <w:b/>
        <w:sz w:val="48"/>
      </w:rPr>
      <w:t>PL</w:t>
    </w:r>
    <w:r w:rsidRPr="008028FF">
      <w:rPr>
        <w:rFonts w:ascii="Arial" w:hAnsi="Arial" w:cs="Arial"/>
        <w:b/>
        <w:sz w:val="48"/>
      </w:rPr>
      <w:tab/>
    </w:r>
    <w:r w:rsidRPr="008028FF">
      <w:rPr>
        <w:rFonts w:ascii="Arial" w:hAnsi="Arial" w:cs="Arial"/>
        <w:b/>
        <w:sz w:val="48"/>
      </w:rPr>
      <w:tab/>
    </w:r>
    <w:r w:rsidRPr="008028FF">
      <w:tab/>
    </w:r>
    <w:r w:rsidRPr="008028FF">
      <w:rPr>
        <w:rFonts w:ascii="Arial" w:hAnsi="Arial" w:cs="Arial"/>
        <w:b/>
        <w:sz w:val="48"/>
      </w:rPr>
      <w:t>PL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5021F" w14:textId="00DF0F0B" w:rsidR="008028FF" w:rsidRPr="008028FF" w:rsidRDefault="008028FF" w:rsidP="008028FF">
    <w:pPr>
      <w:pStyle w:val="FooterCoverPage"/>
      <w:rPr>
        <w:rFonts w:ascii="Arial" w:hAnsi="Arial" w:cs="Arial"/>
        <w:b/>
        <w:sz w:val="48"/>
      </w:rPr>
    </w:pPr>
    <w:r w:rsidRPr="008028FF">
      <w:rPr>
        <w:rFonts w:ascii="Arial" w:hAnsi="Arial" w:cs="Arial"/>
        <w:b/>
        <w:sz w:val="48"/>
      </w:rPr>
      <w:t>PL</w:t>
    </w:r>
    <w:r w:rsidRPr="008028FF">
      <w:rPr>
        <w:rFonts w:ascii="Arial" w:hAnsi="Arial" w:cs="Arial"/>
        <w:b/>
        <w:sz w:val="48"/>
      </w:rPr>
      <w:tab/>
    </w:r>
    <w:r w:rsidRPr="008028FF">
      <w:rPr>
        <w:rFonts w:ascii="Arial" w:hAnsi="Arial" w:cs="Arial"/>
        <w:b/>
        <w:sz w:val="48"/>
      </w:rPr>
      <w:tab/>
    </w:r>
    <w:r w:rsidRPr="008028FF">
      <w:tab/>
    </w:r>
    <w:r w:rsidRPr="008028FF">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15C76" w14:textId="77777777" w:rsidR="008028FF" w:rsidRPr="008028FF" w:rsidRDefault="008028FF" w:rsidP="008028F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0F34A" w14:textId="77777777" w:rsidR="00A8129C" w:rsidRDefault="00A812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cs="Calibri Light"/>
        <w:sz w:val="20"/>
      </w:rPr>
      <w:id w:val="-1687743973"/>
      <w:docPartObj>
        <w:docPartGallery w:val="Page Numbers (Bottom of Page)"/>
        <w:docPartUnique/>
      </w:docPartObj>
    </w:sdtPr>
    <w:sdtEndPr/>
    <w:sdtContent>
      <w:p w14:paraId="67E90E40" w14:textId="0957EABB" w:rsidR="008E1DB8" w:rsidRPr="00AF1438" w:rsidRDefault="008E1DB8">
        <w:pPr>
          <w:pStyle w:val="Footer"/>
          <w:jc w:val="center"/>
          <w:rPr>
            <w:rFonts w:ascii="Calibri Light" w:hAnsi="Calibri Light" w:cs="Calibri Light"/>
            <w:sz w:val="20"/>
          </w:rPr>
        </w:pPr>
        <w:r>
          <w:rPr>
            <w:rFonts w:ascii="Calibri Light" w:hAnsi="Calibri Light" w:cs="Calibri Light"/>
            <w:color w:val="2B579A"/>
            <w:sz w:val="20"/>
            <w:shd w:val="clear" w:color="auto" w:fill="E6E6E6"/>
          </w:rPr>
          <w:fldChar w:fldCharType="begin"/>
        </w:r>
        <w:r>
          <w:rPr>
            <w:rFonts w:ascii="Calibri Light" w:hAnsi="Calibri Light" w:cs="Calibri Light"/>
            <w:sz w:val="20"/>
          </w:rPr>
          <w:instrText xml:space="preserve"> PAGE   \* MERGEFORMAT </w:instrText>
        </w:r>
        <w:r>
          <w:rPr>
            <w:rFonts w:ascii="Calibri Light" w:hAnsi="Calibri Light" w:cs="Calibri Light"/>
            <w:color w:val="2B579A"/>
            <w:sz w:val="20"/>
            <w:shd w:val="clear" w:color="auto" w:fill="E6E6E6"/>
          </w:rPr>
          <w:fldChar w:fldCharType="separate"/>
        </w:r>
        <w:r w:rsidR="008028FF">
          <w:rPr>
            <w:rFonts w:ascii="Calibri Light" w:hAnsi="Calibri Light" w:cs="Calibri Light"/>
            <w:noProof/>
            <w:sz w:val="20"/>
          </w:rPr>
          <w:t>3</w:t>
        </w:r>
        <w:r>
          <w:rPr>
            <w:rFonts w:ascii="Calibri Light" w:hAnsi="Calibri Light" w:cs="Calibri Light"/>
            <w:color w:val="2B579A"/>
            <w:sz w:val="20"/>
            <w:shd w:val="clear" w:color="auto" w:fill="E6E6E6"/>
          </w:rPr>
          <w:fldChar w:fldCharType="end"/>
        </w:r>
      </w:p>
    </w:sdtContent>
  </w:sdt>
  <w:p w14:paraId="72D4A7FB" w14:textId="77777777" w:rsidR="008E1DB8" w:rsidRPr="00AF1438" w:rsidRDefault="008E1DB8">
    <w:pPr>
      <w:pStyle w:val="Footer"/>
      <w:rPr>
        <w:rFonts w:ascii="Calibri Light" w:hAnsi="Calibri Light" w:cs="Calibri Light"/>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846053"/>
      <w:docPartObj>
        <w:docPartGallery w:val="Page Numbers (Bottom of Page)"/>
        <w:docPartUnique/>
      </w:docPartObj>
    </w:sdtPr>
    <w:sdtEndPr/>
    <w:sdtContent>
      <w:sdt>
        <w:sdtPr>
          <w:rPr>
            <w:rFonts w:ascii="Calibri Light" w:hAnsi="Calibri Light" w:cs="Calibri Light"/>
            <w:sz w:val="20"/>
          </w:rPr>
          <w:id w:val="-12611931"/>
          <w:docPartObj>
            <w:docPartGallery w:val="Page Numbers (Bottom of Page)"/>
            <w:docPartUnique/>
          </w:docPartObj>
        </w:sdtPr>
        <w:sdtEndPr/>
        <w:sdtContent>
          <w:p w14:paraId="6FEDEAF6" w14:textId="77777777" w:rsidR="00FF4722" w:rsidRDefault="00FF4722" w:rsidP="00FF4722">
            <w:pPr>
              <w:pStyle w:val="Footer"/>
              <w:jc w:val="center"/>
              <w:rPr>
                <w:rFonts w:ascii="Calibri Light" w:hAnsi="Calibri Light" w:cs="Calibri Light"/>
                <w:sz w:val="20"/>
              </w:rPr>
            </w:pPr>
          </w:p>
          <w:p w14:paraId="51F9C4AD" w14:textId="70B2C4E0" w:rsidR="00FF4722" w:rsidRDefault="00FF4722" w:rsidP="00FF4722">
            <w:pPr>
              <w:pStyle w:val="Footer"/>
              <w:jc w:val="center"/>
              <w:rPr>
                <w:rFonts w:ascii="Calibri Light" w:hAnsi="Calibri Light" w:cs="Calibri Light"/>
                <w:sz w:val="20"/>
              </w:rPr>
            </w:pPr>
            <w:r>
              <w:rPr>
                <w:rFonts w:ascii="Calibri Light" w:hAnsi="Calibri Light" w:cs="Calibri Light"/>
                <w:color w:val="2B579A"/>
                <w:sz w:val="20"/>
                <w:shd w:val="clear" w:color="auto" w:fill="E6E6E6"/>
              </w:rPr>
              <w:fldChar w:fldCharType="begin"/>
            </w:r>
            <w:r>
              <w:rPr>
                <w:rFonts w:ascii="Calibri Light" w:hAnsi="Calibri Light" w:cs="Calibri Light"/>
                <w:sz w:val="20"/>
              </w:rPr>
              <w:instrText xml:space="preserve"> PAGE   \* MERGEFORMAT </w:instrText>
            </w:r>
            <w:r>
              <w:rPr>
                <w:rFonts w:ascii="Calibri Light" w:hAnsi="Calibri Light" w:cs="Calibri Light"/>
                <w:color w:val="2B579A"/>
                <w:sz w:val="20"/>
                <w:shd w:val="clear" w:color="auto" w:fill="E6E6E6"/>
              </w:rPr>
              <w:fldChar w:fldCharType="separate"/>
            </w:r>
            <w:r w:rsidR="008028FF" w:rsidRPr="008028FF">
              <w:rPr>
                <w:rFonts w:ascii="Calibri Light" w:hAnsi="Calibri Light" w:cs="Calibri Light"/>
                <w:noProof/>
                <w:color w:val="2B579A"/>
                <w:sz w:val="20"/>
                <w:shd w:val="clear" w:color="auto" w:fill="E6E6E6"/>
              </w:rPr>
              <w:t>1</w:t>
            </w:r>
            <w:r>
              <w:rPr>
                <w:rFonts w:ascii="Calibri Light" w:hAnsi="Calibri Light" w:cs="Calibri Light"/>
                <w:color w:val="2B579A"/>
                <w:sz w:val="20"/>
                <w:shd w:val="clear" w:color="auto" w:fill="E6E6E6"/>
              </w:rPr>
              <w:fldChar w:fldCharType="end"/>
            </w:r>
          </w:p>
        </w:sdtContent>
      </w:sdt>
      <w:p w14:paraId="708AC98D" w14:textId="75FB0A32" w:rsidR="00FF4722" w:rsidRDefault="008028FF">
        <w:pPr>
          <w:pStyle w:val="Footer"/>
          <w:jc w:val="center"/>
        </w:pPr>
      </w:p>
    </w:sdtContent>
  </w:sdt>
  <w:p w14:paraId="2A85633A" w14:textId="77777777" w:rsidR="00AA27E2" w:rsidRDefault="00AA2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FC9EA" w14:textId="77777777" w:rsidR="00284231" w:rsidRDefault="00284231" w:rsidP="00E6448C">
      <w:pPr>
        <w:spacing w:after="0" w:line="240" w:lineRule="auto"/>
      </w:pPr>
      <w:r>
        <w:separator/>
      </w:r>
    </w:p>
  </w:footnote>
  <w:footnote w:type="continuationSeparator" w:id="0">
    <w:p w14:paraId="66457610" w14:textId="77777777" w:rsidR="00284231" w:rsidRDefault="00284231" w:rsidP="00E6448C">
      <w:pPr>
        <w:spacing w:after="0" w:line="240" w:lineRule="auto"/>
      </w:pPr>
      <w:r>
        <w:continuationSeparator/>
      </w:r>
    </w:p>
  </w:footnote>
  <w:footnote w:type="continuationNotice" w:id="1">
    <w:p w14:paraId="5509FACD" w14:textId="77777777" w:rsidR="00284231" w:rsidRDefault="00284231">
      <w:pPr>
        <w:spacing w:after="0" w:line="240" w:lineRule="auto"/>
      </w:pPr>
    </w:p>
  </w:footnote>
  <w:footnote w:id="2">
    <w:p w14:paraId="3633450E" w14:textId="7FEDE949" w:rsidR="004656D0" w:rsidRPr="00E22450" w:rsidRDefault="004656D0" w:rsidP="00C64A13">
      <w:pPr>
        <w:pStyle w:val="FootnoteText"/>
        <w:rPr>
          <w:lang w:val="pl-PL"/>
        </w:rPr>
      </w:pPr>
      <w:r>
        <w:rPr>
          <w:rStyle w:val="FootnoteReference"/>
        </w:rPr>
        <w:footnoteRef/>
      </w:r>
      <w:r w:rsidRPr="00E22450">
        <w:rPr>
          <w:lang w:val="pl-PL"/>
        </w:rPr>
        <w:t xml:space="preserve"> </w:t>
      </w:r>
      <w:r w:rsidRPr="00E22450">
        <w:rPr>
          <w:shd w:val="clear" w:color="auto" w:fill="FFFFFF"/>
          <w:lang w:val="pl-PL"/>
        </w:rPr>
        <w:t>Sprawozdanie to zostało odroczone, co umożliwiło uwzględnienie kryzysu związanego z COVID-19</w:t>
      </w:r>
      <w:r w:rsidR="00F1653C" w:rsidRPr="00E22450">
        <w:rPr>
          <w:shd w:val="clear" w:color="auto" w:fill="FFFFFF"/>
          <w:lang w:val="pl-PL"/>
        </w:rPr>
        <w:t xml:space="preserve"> i</w:t>
      </w:r>
      <w:r w:rsidR="00F1653C">
        <w:rPr>
          <w:shd w:val="clear" w:color="auto" w:fill="FFFFFF"/>
          <w:lang w:val="pl-PL"/>
        </w:rPr>
        <w:t> </w:t>
      </w:r>
      <w:r w:rsidR="00F1653C" w:rsidRPr="00E22450">
        <w:rPr>
          <w:shd w:val="clear" w:color="auto" w:fill="FFFFFF"/>
          <w:lang w:val="pl-PL"/>
        </w:rPr>
        <w:t>jeg</w:t>
      </w:r>
      <w:r w:rsidRPr="00E22450">
        <w:rPr>
          <w:shd w:val="clear" w:color="auto" w:fill="FFFFFF"/>
          <w:lang w:val="pl-PL"/>
        </w:rPr>
        <w:t xml:space="preserve">o oddziaływania na system finansowy. </w:t>
      </w:r>
    </w:p>
  </w:footnote>
  <w:footnote w:id="3">
    <w:p w14:paraId="301E7429" w14:textId="7D970230" w:rsidR="006F76CF" w:rsidRPr="00E22450" w:rsidRDefault="006F76CF" w:rsidP="00C64A13">
      <w:pPr>
        <w:pStyle w:val="FootnoteText"/>
        <w:rPr>
          <w:lang w:val="pl-PL"/>
        </w:rPr>
      </w:pPr>
      <w:r>
        <w:rPr>
          <w:rStyle w:val="FootnoteReference"/>
        </w:rPr>
        <w:footnoteRef/>
      </w:r>
      <w:r w:rsidRPr="00E22450">
        <w:rPr>
          <w:lang w:val="pl-PL"/>
        </w:rPr>
        <w:t xml:space="preserve"> Zob. Komisja Europejska (20</w:t>
      </w:r>
      <w:r w:rsidRPr="00F1653C">
        <w:rPr>
          <w:lang w:val="pl-PL"/>
        </w:rPr>
        <w:t>21</w:t>
      </w:r>
      <w:r w:rsidR="00F1653C" w:rsidRPr="00F1653C">
        <w:rPr>
          <w:lang w:val="pl-PL"/>
        </w:rPr>
        <w:t> </w:t>
      </w:r>
      <w:r w:rsidRPr="00F1653C">
        <w:rPr>
          <w:lang w:val="pl-PL"/>
        </w:rPr>
        <w:t>r.</w:t>
      </w:r>
      <w:r w:rsidRPr="00E22450">
        <w:rPr>
          <w:lang w:val="pl-PL"/>
        </w:rPr>
        <w:t xml:space="preserve">), </w:t>
      </w:r>
      <w:hyperlink r:id="rId1" w:history="1">
        <w:r w:rsidRPr="00E22450">
          <w:rPr>
            <w:rStyle w:val="Hyperlink"/>
            <w:lang w:val="pl-PL"/>
          </w:rPr>
          <w:t>Ukierunkowane konsultacje</w:t>
        </w:r>
        <w:r w:rsidR="00F1653C" w:rsidRPr="00E22450">
          <w:rPr>
            <w:rStyle w:val="Hyperlink"/>
            <w:lang w:val="pl-PL"/>
          </w:rPr>
          <w:t xml:space="preserve"> w</w:t>
        </w:r>
        <w:r w:rsidR="00F1653C">
          <w:rPr>
            <w:rStyle w:val="Hyperlink"/>
            <w:lang w:val="pl-PL"/>
          </w:rPr>
          <w:t> </w:t>
        </w:r>
        <w:r w:rsidR="00F1653C" w:rsidRPr="00E22450">
          <w:rPr>
            <w:rStyle w:val="Hyperlink"/>
            <w:lang w:val="pl-PL"/>
          </w:rPr>
          <w:t>spr</w:t>
        </w:r>
        <w:r w:rsidRPr="00E22450">
          <w:rPr>
            <w:rStyle w:val="Hyperlink"/>
            <w:lang w:val="pl-PL"/>
          </w:rPr>
          <w:t>awie poprawy unijnych ram makroostrożnościowych dla sektora bankowego</w:t>
        </w:r>
      </w:hyperlink>
      <w:r w:rsidRPr="00E22450">
        <w:rPr>
          <w:lang w:val="pl-PL"/>
        </w:rPr>
        <w:t>, listopad 20</w:t>
      </w:r>
      <w:r w:rsidRPr="00F1653C">
        <w:rPr>
          <w:lang w:val="pl-PL"/>
        </w:rPr>
        <w:t>21</w:t>
      </w:r>
      <w:r w:rsidR="00F1653C" w:rsidRPr="00F1653C">
        <w:rPr>
          <w:lang w:val="pl-PL"/>
        </w:rPr>
        <w:t> </w:t>
      </w:r>
      <w:r w:rsidRPr="00F1653C">
        <w:rPr>
          <w:lang w:val="pl-PL"/>
        </w:rPr>
        <w:t>r.</w:t>
      </w:r>
      <w:r w:rsidRPr="00E22450">
        <w:rPr>
          <w:lang w:val="pl-PL"/>
        </w:rPr>
        <w:t>; Komisja Europejska (20</w:t>
      </w:r>
      <w:r w:rsidRPr="00F1653C">
        <w:rPr>
          <w:lang w:val="pl-PL"/>
        </w:rPr>
        <w:t>22</w:t>
      </w:r>
      <w:r w:rsidR="00F1653C" w:rsidRPr="00F1653C">
        <w:rPr>
          <w:lang w:val="pl-PL"/>
        </w:rPr>
        <w:t> </w:t>
      </w:r>
      <w:r w:rsidRPr="00F1653C">
        <w:rPr>
          <w:lang w:val="pl-PL"/>
        </w:rPr>
        <w:t>r.</w:t>
      </w:r>
      <w:r w:rsidRPr="00E22450">
        <w:rPr>
          <w:lang w:val="pl-PL"/>
        </w:rPr>
        <w:t xml:space="preserve">), </w:t>
      </w:r>
      <w:hyperlink r:id="rId2" w:history="1">
        <w:r w:rsidRPr="00E22450">
          <w:rPr>
            <w:rStyle w:val="Hyperlink"/>
            <w:lang w:val="pl-PL"/>
          </w:rPr>
          <w:t>Podsumowanie odpowiedzi na ukierunkowane konsultacje</w:t>
        </w:r>
      </w:hyperlink>
      <w:r w:rsidRPr="00E22450">
        <w:rPr>
          <w:lang w:val="pl-PL"/>
        </w:rPr>
        <w:t>, czerwiec 20</w:t>
      </w:r>
      <w:r w:rsidRPr="00F1653C">
        <w:rPr>
          <w:lang w:val="pl-PL"/>
        </w:rPr>
        <w:t>22</w:t>
      </w:r>
      <w:r w:rsidR="00F1653C" w:rsidRPr="00F1653C">
        <w:rPr>
          <w:lang w:val="pl-PL"/>
        </w:rPr>
        <w:t> </w:t>
      </w:r>
      <w:r w:rsidRPr="00F1653C">
        <w:rPr>
          <w:lang w:val="pl-PL"/>
        </w:rPr>
        <w:t>r.</w:t>
      </w:r>
      <w:r w:rsidRPr="00E22450">
        <w:rPr>
          <w:lang w:val="pl-PL"/>
        </w:rPr>
        <w:t>; Komisja Europejska (20</w:t>
      </w:r>
      <w:r w:rsidRPr="00F1653C">
        <w:rPr>
          <w:lang w:val="pl-PL"/>
        </w:rPr>
        <w:t>21</w:t>
      </w:r>
      <w:r w:rsidR="00F1653C" w:rsidRPr="00F1653C">
        <w:rPr>
          <w:lang w:val="pl-PL"/>
        </w:rPr>
        <w:t> </w:t>
      </w:r>
      <w:r w:rsidRPr="00F1653C">
        <w:rPr>
          <w:lang w:val="pl-PL"/>
        </w:rPr>
        <w:t>r.</w:t>
      </w:r>
      <w:r w:rsidRPr="00E22450">
        <w:rPr>
          <w:lang w:val="pl-PL"/>
        </w:rPr>
        <w:t>), Wniosek</w:t>
      </w:r>
      <w:r w:rsidR="00F1653C" w:rsidRPr="00E22450">
        <w:rPr>
          <w:lang w:val="pl-PL"/>
        </w:rPr>
        <w:t xml:space="preserve"> o</w:t>
      </w:r>
      <w:r w:rsidR="00F1653C">
        <w:rPr>
          <w:lang w:val="pl-PL"/>
        </w:rPr>
        <w:t> </w:t>
      </w:r>
      <w:r w:rsidR="00F1653C" w:rsidRPr="00E22450">
        <w:rPr>
          <w:lang w:val="pl-PL"/>
        </w:rPr>
        <w:t>prz</w:t>
      </w:r>
      <w:r w:rsidRPr="00E22450">
        <w:rPr>
          <w:lang w:val="pl-PL"/>
        </w:rPr>
        <w:t>edstawienie opinii</w:t>
      </w:r>
      <w:r w:rsidR="00F1653C" w:rsidRPr="00E22450">
        <w:rPr>
          <w:lang w:val="pl-PL"/>
        </w:rPr>
        <w:t xml:space="preserve"> w</w:t>
      </w:r>
      <w:r w:rsidR="00F1653C">
        <w:rPr>
          <w:lang w:val="pl-PL"/>
        </w:rPr>
        <w:t> </w:t>
      </w:r>
      <w:r w:rsidR="00F1653C" w:rsidRPr="00E22450">
        <w:rPr>
          <w:lang w:val="pl-PL"/>
        </w:rPr>
        <w:t>spr</w:t>
      </w:r>
      <w:r w:rsidRPr="00E22450">
        <w:rPr>
          <w:lang w:val="pl-PL"/>
        </w:rPr>
        <w:t>awie przeglądu ram makroostrożnościowych dla sektora bankowego, wrzesień 20</w:t>
      </w:r>
      <w:r w:rsidRPr="00F1653C">
        <w:rPr>
          <w:lang w:val="pl-PL"/>
        </w:rPr>
        <w:t>21</w:t>
      </w:r>
      <w:r w:rsidR="00F1653C" w:rsidRPr="00F1653C">
        <w:rPr>
          <w:lang w:val="pl-PL"/>
        </w:rPr>
        <w:t> </w:t>
      </w:r>
      <w:r w:rsidRPr="00F1653C">
        <w:rPr>
          <w:lang w:val="pl-PL"/>
        </w:rPr>
        <w:t>r.</w:t>
      </w:r>
      <w:r w:rsidRPr="00E22450">
        <w:rPr>
          <w:lang w:val="pl-PL"/>
        </w:rPr>
        <w:t xml:space="preserve"> </w:t>
      </w:r>
    </w:p>
  </w:footnote>
  <w:footnote w:id="4">
    <w:p w14:paraId="6891F3DF" w14:textId="5D04CE64" w:rsidR="00447816" w:rsidRPr="00447816" w:rsidRDefault="00447816">
      <w:pPr>
        <w:pStyle w:val="FootnoteText"/>
      </w:pPr>
      <w:r>
        <w:rPr>
          <w:rStyle w:val="FootnoteReference"/>
        </w:rPr>
        <w:footnoteRef/>
      </w:r>
      <w:r>
        <w:t xml:space="preserve"> Zob., MFW (2011), „Macroprudential Policy: An Organizing Framework”, dostępne pod adresem:</w:t>
      </w:r>
      <w:hyperlink r:id="rId3" w:history="1">
        <w:r>
          <w:rPr>
            <w:rStyle w:val="Hyperlink"/>
            <w:shd w:val="clear" w:color="auto" w:fill="FFFFFF"/>
          </w:rPr>
          <w:t>https://www.imf.org/external/np/pp/eng/2011/031411.pdf</w:t>
        </w:r>
      </w:hyperlink>
    </w:p>
  </w:footnote>
  <w:footnote w:id="5">
    <w:p w14:paraId="14A7E9A5" w14:textId="4AEF4BB7" w:rsidR="0096706B" w:rsidRPr="00E22450" w:rsidRDefault="0096706B" w:rsidP="00C64A13">
      <w:pPr>
        <w:pStyle w:val="FootnoteText"/>
        <w:rPr>
          <w:lang w:val="pl-PL"/>
        </w:rPr>
      </w:pPr>
      <w:r>
        <w:rPr>
          <w:rStyle w:val="FootnoteReference"/>
        </w:rPr>
        <w:footnoteRef/>
      </w:r>
      <w:r w:rsidRPr="00E22450">
        <w:rPr>
          <w:lang w:val="pl-PL"/>
        </w:rPr>
        <w:t xml:space="preserve"> „Zdarzenie systemowe” to duże zdarzenie mające negatywny wpływ na system finansowy, takie jak systemowy kryzys płynności, którego przykładem jest kryzys związany z COVID-19, lub poważne zdarzenie kredytowe, takie jak bankructwo Lehman Brothers, lub seria zdarzeń</w:t>
      </w:r>
      <w:r w:rsidR="00F1653C" w:rsidRPr="00E22450">
        <w:rPr>
          <w:lang w:val="pl-PL"/>
        </w:rPr>
        <w:t xml:space="preserve"> o</w:t>
      </w:r>
      <w:r w:rsidR="00F1653C">
        <w:rPr>
          <w:lang w:val="pl-PL"/>
        </w:rPr>
        <w:t> </w:t>
      </w:r>
      <w:r w:rsidR="00F1653C" w:rsidRPr="00E22450">
        <w:rPr>
          <w:lang w:val="pl-PL"/>
        </w:rPr>
        <w:t>mni</w:t>
      </w:r>
      <w:r w:rsidRPr="00E22450">
        <w:rPr>
          <w:lang w:val="pl-PL"/>
        </w:rPr>
        <w:t xml:space="preserve">ejszej skali (upadłość jednej lub kilku instytucji finansowych średniej wielkości, na przykład zdarzenia wywołane bankructwem Silicon Valley Bank), które wskazują na narastanie dużej nierównowagi finansowej (w postaci dużych ekspozycji lub wzajemnych powiązań między operatorami rynku). </w:t>
      </w:r>
    </w:p>
  </w:footnote>
  <w:footnote w:id="6">
    <w:p w14:paraId="08BB2A8C" w14:textId="390F885E" w:rsidR="0096706B" w:rsidRPr="00E22450" w:rsidRDefault="0096706B" w:rsidP="00C64A13">
      <w:pPr>
        <w:pStyle w:val="FootnoteText"/>
        <w:rPr>
          <w:lang w:val="pl-PL"/>
        </w:rPr>
      </w:pPr>
      <w:r>
        <w:rPr>
          <w:rStyle w:val="FootnoteReference"/>
        </w:rPr>
        <w:footnoteRef/>
      </w:r>
      <w:r w:rsidRPr="00E22450">
        <w:rPr>
          <w:lang w:val="pl-PL"/>
        </w:rPr>
        <w:t xml:space="preserve"> </w:t>
      </w:r>
      <w:hyperlink r:id="rId4" w:history="1">
        <w:r w:rsidRPr="00E22450">
          <w:rPr>
            <w:rStyle w:val="Hyperlink"/>
            <w:lang w:val="pl-PL"/>
          </w:rPr>
          <w:t>Grupa wysokiego szczebla ds. nadzoru finansowego w UE.</w:t>
        </w:r>
      </w:hyperlink>
      <w:hyperlink r:id="rId5" w:history="1">
        <w:r w:rsidRPr="00E22450">
          <w:rPr>
            <w:rStyle w:val="Hyperlink"/>
            <w:lang w:val="pl-PL"/>
          </w:rPr>
          <w:t xml:space="preserve"> Sprawozdanie grupy De Larosière’a (europa.eu)</w:t>
        </w:r>
      </w:hyperlink>
      <w:r w:rsidRPr="00E22450">
        <w:rPr>
          <w:rStyle w:val="Hyperlink"/>
          <w:lang w:val="pl-PL"/>
        </w:rPr>
        <w:t xml:space="preserve">. </w:t>
      </w:r>
    </w:p>
  </w:footnote>
  <w:footnote w:id="7">
    <w:p w14:paraId="0F5BFAE7" w14:textId="6AA5A298" w:rsidR="0096706B" w:rsidRPr="00E22450" w:rsidRDefault="0096706B" w:rsidP="00C64A13">
      <w:pPr>
        <w:pStyle w:val="FootnoteText"/>
        <w:rPr>
          <w:lang w:val="pl-PL"/>
        </w:rPr>
      </w:pPr>
      <w:r>
        <w:rPr>
          <w:rStyle w:val="FootnoteReference"/>
        </w:rPr>
        <w:footnoteRef/>
      </w:r>
      <w:r w:rsidRPr="00E22450">
        <w:rPr>
          <w:lang w:val="pl-PL"/>
        </w:rPr>
        <w:t xml:space="preserve"> Na przykład, limity dźwigni finansowej są środkami ostrożnościowymi, które mają charakter mikroostrożnościowy, gdy są zaprojektowane</w:t>
      </w:r>
      <w:r w:rsidR="00F1653C" w:rsidRPr="00E22450">
        <w:rPr>
          <w:lang w:val="pl-PL"/>
        </w:rPr>
        <w:t xml:space="preserve"> i</w:t>
      </w:r>
      <w:r w:rsidR="00F1653C">
        <w:rPr>
          <w:lang w:val="pl-PL"/>
        </w:rPr>
        <w:t> </w:t>
      </w:r>
      <w:r w:rsidR="00F1653C" w:rsidRPr="00E22450">
        <w:rPr>
          <w:lang w:val="pl-PL"/>
        </w:rPr>
        <w:t>wdr</w:t>
      </w:r>
      <w:r w:rsidRPr="00E22450">
        <w:rPr>
          <w:lang w:val="pl-PL"/>
        </w:rPr>
        <w:t>ożone</w:t>
      </w:r>
      <w:r w:rsidR="00F1653C" w:rsidRPr="00E22450">
        <w:rPr>
          <w:lang w:val="pl-PL"/>
        </w:rPr>
        <w:t xml:space="preserve"> w</w:t>
      </w:r>
      <w:r w:rsidR="00F1653C">
        <w:rPr>
          <w:lang w:val="pl-PL"/>
        </w:rPr>
        <w:t> </w:t>
      </w:r>
      <w:r w:rsidR="00F1653C" w:rsidRPr="00E22450">
        <w:rPr>
          <w:lang w:val="pl-PL"/>
        </w:rPr>
        <w:t>cel</w:t>
      </w:r>
      <w:r w:rsidRPr="00E22450">
        <w:rPr>
          <w:lang w:val="pl-PL"/>
        </w:rPr>
        <w:t>u stawienia czoła ryzyku niesystematycznemu na poziomie podmiotu lub transakcji, ale są narzędziami makroostrożnościowymi, gdy są zaprojektowane</w:t>
      </w:r>
      <w:r w:rsidR="00F1653C" w:rsidRPr="00E22450">
        <w:rPr>
          <w:lang w:val="pl-PL"/>
        </w:rPr>
        <w:t xml:space="preserve"> i</w:t>
      </w:r>
      <w:r w:rsidR="00F1653C">
        <w:rPr>
          <w:lang w:val="pl-PL"/>
        </w:rPr>
        <w:t> </w:t>
      </w:r>
      <w:r w:rsidR="00F1653C" w:rsidRPr="00E22450">
        <w:rPr>
          <w:lang w:val="pl-PL"/>
        </w:rPr>
        <w:t>wdr</w:t>
      </w:r>
      <w:r w:rsidRPr="00E22450">
        <w:rPr>
          <w:lang w:val="pl-PL"/>
        </w:rPr>
        <w:t>ożone na poziomie całego sektora,</w:t>
      </w:r>
      <w:r w:rsidR="00F1653C" w:rsidRPr="00E22450">
        <w:rPr>
          <w:lang w:val="pl-PL"/>
        </w:rPr>
        <w:t xml:space="preserve"> z</w:t>
      </w:r>
      <w:r w:rsidR="00F1653C">
        <w:rPr>
          <w:lang w:val="pl-PL"/>
        </w:rPr>
        <w:t> </w:t>
      </w:r>
      <w:r w:rsidR="00F1653C" w:rsidRPr="00E22450">
        <w:rPr>
          <w:lang w:val="pl-PL"/>
        </w:rPr>
        <w:t>pom</w:t>
      </w:r>
      <w:r w:rsidRPr="00E22450">
        <w:rPr>
          <w:lang w:val="pl-PL"/>
        </w:rPr>
        <w:t>inięciem indywidualnego modelu biznesowego lub działalności. Tak jest</w:t>
      </w:r>
      <w:r w:rsidR="00F1653C" w:rsidRPr="00E22450">
        <w:rPr>
          <w:lang w:val="pl-PL"/>
        </w:rPr>
        <w:t xml:space="preserve"> w</w:t>
      </w:r>
      <w:r w:rsidR="00F1653C">
        <w:rPr>
          <w:lang w:val="pl-PL"/>
        </w:rPr>
        <w:t> </w:t>
      </w:r>
      <w:r w:rsidR="00F1653C" w:rsidRPr="00E22450">
        <w:rPr>
          <w:lang w:val="pl-PL"/>
        </w:rPr>
        <w:t>prz</w:t>
      </w:r>
      <w:r w:rsidRPr="00E22450">
        <w:rPr>
          <w:lang w:val="pl-PL"/>
        </w:rPr>
        <w:t>ypadku limitów strukturalnych dla funduszy udzielających pożyczek,</w:t>
      </w:r>
      <w:r w:rsidR="00F1653C" w:rsidRPr="00E22450">
        <w:rPr>
          <w:lang w:val="pl-PL"/>
        </w:rPr>
        <w:t xml:space="preserve"> w</w:t>
      </w:r>
      <w:r w:rsidR="00F1653C">
        <w:rPr>
          <w:lang w:val="pl-PL"/>
        </w:rPr>
        <w:t> </w:t>
      </w:r>
      <w:r w:rsidR="00F1653C" w:rsidRPr="00E22450">
        <w:rPr>
          <w:lang w:val="pl-PL"/>
        </w:rPr>
        <w:t>ram</w:t>
      </w:r>
      <w:r w:rsidRPr="00E22450">
        <w:rPr>
          <w:lang w:val="pl-PL"/>
        </w:rPr>
        <w:t xml:space="preserve">ach niedawno uzgodnionego przeglądu dyrektywy ZAFI/UCITS, które kwalifikują się jako narzędzie makroostrożnościowe. </w:t>
      </w:r>
    </w:p>
  </w:footnote>
  <w:footnote w:id="8">
    <w:p w14:paraId="7DB3D210" w14:textId="03C26081" w:rsidR="00283466" w:rsidRPr="00F1653C" w:rsidRDefault="00283466" w:rsidP="00C64A13">
      <w:pPr>
        <w:pStyle w:val="FootnoteText"/>
        <w:rPr>
          <w:lang w:val="pl-PL"/>
        </w:rPr>
      </w:pPr>
      <w:r>
        <w:rPr>
          <w:rStyle w:val="FootnoteReference"/>
        </w:rPr>
        <w:footnoteRef/>
      </w:r>
      <w:r w:rsidRPr="00E22450">
        <w:rPr>
          <w:lang w:val="pl-PL"/>
        </w:rPr>
        <w:t xml:space="preserve"> </w:t>
      </w:r>
      <w:hyperlink r:id="rId6" w:history="1">
        <w:r w:rsidRPr="00E22450">
          <w:rPr>
            <w:rStyle w:val="Hyperlink"/>
            <w:lang w:val="pl-PL"/>
          </w:rPr>
          <w:t>Grupa wysokiego szczebla ds. nadzoru finansowego w UE.</w:t>
        </w:r>
      </w:hyperlink>
      <w:hyperlink r:id="rId7" w:history="1">
        <w:r w:rsidRPr="00E22450">
          <w:rPr>
            <w:rStyle w:val="Hyperlink"/>
            <w:lang w:val="pl-PL"/>
          </w:rPr>
          <w:t xml:space="preserve"> Sprawozdanie grupy De Larosière’a (europa.eu)</w:t>
        </w:r>
      </w:hyperlink>
      <w:r w:rsidRPr="00F1653C">
        <w:rPr>
          <w:rStyle w:val="Hyperlink"/>
          <w:lang w:val="pl-PL"/>
        </w:rPr>
        <w:t>.</w:t>
      </w:r>
      <w:r w:rsidR="00F1653C" w:rsidRPr="00F1653C">
        <w:rPr>
          <w:rStyle w:val="Hyperlink"/>
          <w:lang w:val="pl-PL"/>
        </w:rPr>
        <w:t xml:space="preserve"> </w:t>
      </w:r>
    </w:p>
  </w:footnote>
  <w:footnote w:id="9">
    <w:p w14:paraId="5E13B9A2" w14:textId="172D6A8A" w:rsidR="00CC30C3" w:rsidRPr="00E22450" w:rsidRDefault="00CC30C3" w:rsidP="00C64A13">
      <w:pPr>
        <w:pStyle w:val="FootnoteText"/>
        <w:rPr>
          <w:lang w:val="pl-PL"/>
        </w:rPr>
      </w:pPr>
      <w:r>
        <w:rPr>
          <w:rStyle w:val="FootnoteReference"/>
        </w:rPr>
        <w:footnoteRef/>
      </w:r>
      <w:r w:rsidRPr="00E22450">
        <w:rPr>
          <w:lang w:val="pl-PL"/>
        </w:rPr>
        <w:t xml:space="preserve"> Termin „instytucje finansowe” odnosi się zarówno do banków (tj. instytucji kredytowych), jak</w:t>
      </w:r>
      <w:r w:rsidR="00F1653C" w:rsidRPr="00E22450">
        <w:rPr>
          <w:lang w:val="pl-PL"/>
        </w:rPr>
        <w:t xml:space="preserve"> i</w:t>
      </w:r>
      <w:r w:rsidR="00F1653C">
        <w:rPr>
          <w:lang w:val="pl-PL"/>
        </w:rPr>
        <w:t> </w:t>
      </w:r>
      <w:r w:rsidR="00F1653C" w:rsidRPr="00E22450">
        <w:rPr>
          <w:lang w:val="pl-PL"/>
        </w:rPr>
        <w:t>poś</w:t>
      </w:r>
      <w:r w:rsidRPr="00E22450">
        <w:rPr>
          <w:lang w:val="pl-PL"/>
        </w:rPr>
        <w:t xml:space="preserve">redników niebędących bankami. </w:t>
      </w:r>
    </w:p>
  </w:footnote>
  <w:footnote w:id="10">
    <w:p w14:paraId="10A314D6" w14:textId="5B4BB3D5" w:rsidR="00241024" w:rsidRPr="00E22450" w:rsidRDefault="00241024" w:rsidP="00C64A13">
      <w:pPr>
        <w:pStyle w:val="FootnoteText"/>
        <w:rPr>
          <w:lang w:val="pl-PL"/>
        </w:rPr>
      </w:pPr>
      <w:r>
        <w:rPr>
          <w:rStyle w:val="FootnoteReference"/>
        </w:rPr>
        <w:footnoteRef/>
      </w:r>
      <w:r w:rsidRPr="00E22450">
        <w:rPr>
          <w:lang w:val="pl-PL"/>
        </w:rPr>
        <w:t xml:space="preserve"> Zgodnie</w:t>
      </w:r>
      <w:r w:rsidR="00F1653C" w:rsidRPr="00E22450">
        <w:rPr>
          <w:lang w:val="pl-PL"/>
        </w:rPr>
        <w:t xml:space="preserve"> z</w:t>
      </w:r>
      <w:r w:rsidR="00F1653C">
        <w:rPr>
          <w:lang w:val="pl-PL"/>
        </w:rPr>
        <w:t> </w:t>
      </w:r>
      <w:r w:rsidR="00F1653C" w:rsidRPr="00E22450">
        <w:rPr>
          <w:lang w:val="pl-PL"/>
        </w:rPr>
        <w:t>roz</w:t>
      </w:r>
      <w:r w:rsidRPr="00E22450">
        <w:rPr>
          <w:lang w:val="pl-PL"/>
        </w:rPr>
        <w:t>porządzeniem Parlamentu Europejskiego</w:t>
      </w:r>
      <w:r w:rsidR="00F1653C" w:rsidRPr="00E22450">
        <w:rPr>
          <w:lang w:val="pl-PL"/>
        </w:rPr>
        <w:t xml:space="preserve"> i</w:t>
      </w:r>
      <w:r w:rsidR="00F1653C">
        <w:rPr>
          <w:lang w:val="pl-PL"/>
        </w:rPr>
        <w:t> </w:t>
      </w:r>
      <w:r w:rsidR="00F1653C" w:rsidRPr="00E22450">
        <w:rPr>
          <w:lang w:val="pl-PL"/>
        </w:rPr>
        <w:t>Rad</w:t>
      </w:r>
      <w:r w:rsidRPr="00E22450">
        <w:rPr>
          <w:lang w:val="pl-PL"/>
        </w:rPr>
        <w:t xml:space="preserve">y (UE) </w:t>
      </w:r>
      <w:r w:rsidRPr="00F1653C">
        <w:rPr>
          <w:lang w:val="pl-PL"/>
        </w:rPr>
        <w:t>nr</w:t>
      </w:r>
      <w:r w:rsidR="00F1653C" w:rsidRPr="00F1653C">
        <w:rPr>
          <w:lang w:val="pl-PL"/>
        </w:rPr>
        <w:t> </w:t>
      </w:r>
      <w:r w:rsidRPr="00F1653C">
        <w:rPr>
          <w:lang w:val="pl-PL"/>
        </w:rPr>
        <w:t>5</w:t>
      </w:r>
      <w:r w:rsidRPr="00E22450">
        <w:rPr>
          <w:lang w:val="pl-PL"/>
        </w:rPr>
        <w:t>75/2013</w:t>
      </w:r>
      <w:r w:rsidR="00F1653C" w:rsidRPr="00E22450">
        <w:rPr>
          <w:lang w:val="pl-PL"/>
        </w:rPr>
        <w:t xml:space="preserve"> z</w:t>
      </w:r>
      <w:r w:rsidR="00F1653C">
        <w:rPr>
          <w:lang w:val="pl-PL"/>
        </w:rPr>
        <w:t> </w:t>
      </w:r>
      <w:r w:rsidR="00F1653C" w:rsidRPr="00E22450">
        <w:rPr>
          <w:lang w:val="pl-PL"/>
        </w:rPr>
        <w:t>dni</w:t>
      </w:r>
      <w:r w:rsidRPr="00E22450">
        <w:rPr>
          <w:lang w:val="pl-PL"/>
        </w:rPr>
        <w:t>a 26 czerwca 20</w:t>
      </w:r>
      <w:r w:rsidRPr="00F1653C">
        <w:rPr>
          <w:lang w:val="pl-PL"/>
        </w:rPr>
        <w:t>13</w:t>
      </w:r>
      <w:r w:rsidR="00F1653C" w:rsidRPr="00F1653C">
        <w:rPr>
          <w:lang w:val="pl-PL"/>
        </w:rPr>
        <w:t> </w:t>
      </w:r>
      <w:r w:rsidRPr="00F1653C">
        <w:rPr>
          <w:lang w:val="pl-PL"/>
        </w:rPr>
        <w:t>r.</w:t>
      </w:r>
      <w:r w:rsidRPr="00E22450">
        <w:rPr>
          <w:lang w:val="pl-PL"/>
        </w:rPr>
        <w:t xml:space="preserve"> zmienionym rozporządzeniem Parlamentu Europejskiego</w:t>
      </w:r>
      <w:r w:rsidR="00F1653C" w:rsidRPr="00E22450">
        <w:rPr>
          <w:lang w:val="pl-PL"/>
        </w:rPr>
        <w:t xml:space="preserve"> i</w:t>
      </w:r>
      <w:r w:rsidR="00F1653C">
        <w:rPr>
          <w:lang w:val="pl-PL"/>
        </w:rPr>
        <w:t> </w:t>
      </w:r>
      <w:r w:rsidR="00F1653C" w:rsidRPr="00E22450">
        <w:rPr>
          <w:lang w:val="pl-PL"/>
        </w:rPr>
        <w:t>Rad</w:t>
      </w:r>
      <w:r w:rsidRPr="00E22450">
        <w:rPr>
          <w:lang w:val="pl-PL"/>
        </w:rPr>
        <w:t>y (UE) 2019/876</w:t>
      </w:r>
      <w:r w:rsidR="00F1653C" w:rsidRPr="00E22450">
        <w:rPr>
          <w:lang w:val="pl-PL"/>
        </w:rPr>
        <w:t xml:space="preserve"> z</w:t>
      </w:r>
      <w:r w:rsidR="00F1653C">
        <w:rPr>
          <w:lang w:val="pl-PL"/>
        </w:rPr>
        <w:t> </w:t>
      </w:r>
      <w:r w:rsidR="00F1653C" w:rsidRPr="00E22450">
        <w:rPr>
          <w:lang w:val="pl-PL"/>
        </w:rPr>
        <w:t>dni</w:t>
      </w:r>
      <w:r w:rsidRPr="00E22450">
        <w:rPr>
          <w:lang w:val="pl-PL"/>
        </w:rPr>
        <w:t>a 20 maja 20</w:t>
      </w:r>
      <w:r w:rsidRPr="00F1653C">
        <w:rPr>
          <w:lang w:val="pl-PL"/>
        </w:rPr>
        <w:t>19</w:t>
      </w:r>
      <w:r w:rsidR="00F1653C" w:rsidRPr="00F1653C">
        <w:rPr>
          <w:lang w:val="pl-PL"/>
        </w:rPr>
        <w:t> </w:t>
      </w:r>
      <w:r w:rsidRPr="00F1653C">
        <w:rPr>
          <w:lang w:val="pl-PL"/>
        </w:rPr>
        <w:t>r.</w:t>
      </w:r>
      <w:r w:rsidRPr="00E22450">
        <w:rPr>
          <w:lang w:val="pl-PL"/>
        </w:rPr>
        <w:t xml:space="preserve"> (rozporządzenie</w:t>
      </w:r>
      <w:r w:rsidR="00F1653C" w:rsidRPr="00E22450">
        <w:rPr>
          <w:lang w:val="pl-PL"/>
        </w:rPr>
        <w:t xml:space="preserve"> w</w:t>
      </w:r>
      <w:r w:rsidR="00F1653C">
        <w:rPr>
          <w:lang w:val="pl-PL"/>
        </w:rPr>
        <w:t> </w:t>
      </w:r>
      <w:r w:rsidR="00F1653C" w:rsidRPr="00E22450">
        <w:rPr>
          <w:lang w:val="pl-PL"/>
        </w:rPr>
        <w:t>spr</w:t>
      </w:r>
      <w:r w:rsidRPr="00E22450">
        <w:rPr>
          <w:lang w:val="pl-PL"/>
        </w:rPr>
        <w:t>awie wymogów kapitałowych (CRR))</w:t>
      </w:r>
      <w:r w:rsidR="00F1653C" w:rsidRPr="00E22450">
        <w:rPr>
          <w:lang w:val="pl-PL"/>
        </w:rPr>
        <w:t xml:space="preserve"> w</w:t>
      </w:r>
      <w:r w:rsidR="00F1653C">
        <w:rPr>
          <w:lang w:val="pl-PL"/>
        </w:rPr>
        <w:t> </w:t>
      </w:r>
      <w:r w:rsidR="00F1653C" w:rsidRPr="00E22450">
        <w:rPr>
          <w:lang w:val="pl-PL"/>
        </w:rPr>
        <w:t>odn</w:t>
      </w:r>
      <w:r w:rsidRPr="00E22450">
        <w:rPr>
          <w:lang w:val="pl-PL"/>
        </w:rPr>
        <w:t>iesieniu do przepisów makroostrożnościowych; dyrektywą Parlamentu Europejskiego</w:t>
      </w:r>
      <w:r w:rsidR="00F1653C" w:rsidRPr="00E22450">
        <w:rPr>
          <w:lang w:val="pl-PL"/>
        </w:rPr>
        <w:t xml:space="preserve"> i</w:t>
      </w:r>
      <w:r w:rsidR="00F1653C">
        <w:rPr>
          <w:lang w:val="pl-PL"/>
        </w:rPr>
        <w:t> </w:t>
      </w:r>
      <w:r w:rsidR="00F1653C" w:rsidRPr="00E22450">
        <w:rPr>
          <w:lang w:val="pl-PL"/>
        </w:rPr>
        <w:t>Rad</w:t>
      </w:r>
      <w:r w:rsidRPr="00E22450">
        <w:rPr>
          <w:lang w:val="pl-PL"/>
        </w:rPr>
        <w:t>y 2013/36/UE</w:t>
      </w:r>
      <w:r w:rsidR="00F1653C" w:rsidRPr="00E22450">
        <w:rPr>
          <w:lang w:val="pl-PL"/>
        </w:rPr>
        <w:t xml:space="preserve"> z</w:t>
      </w:r>
      <w:r w:rsidR="00F1653C">
        <w:rPr>
          <w:lang w:val="pl-PL"/>
        </w:rPr>
        <w:t> </w:t>
      </w:r>
      <w:r w:rsidR="00F1653C" w:rsidRPr="00E22450">
        <w:rPr>
          <w:lang w:val="pl-PL"/>
        </w:rPr>
        <w:t>dni</w:t>
      </w:r>
      <w:r w:rsidRPr="00E22450">
        <w:rPr>
          <w:lang w:val="pl-PL"/>
        </w:rPr>
        <w:t>a 26 czerwca 20</w:t>
      </w:r>
      <w:r w:rsidRPr="00F1653C">
        <w:rPr>
          <w:lang w:val="pl-PL"/>
        </w:rPr>
        <w:t>13</w:t>
      </w:r>
      <w:r w:rsidR="00F1653C" w:rsidRPr="00F1653C">
        <w:rPr>
          <w:lang w:val="pl-PL"/>
        </w:rPr>
        <w:t> </w:t>
      </w:r>
      <w:r w:rsidRPr="00F1653C">
        <w:rPr>
          <w:lang w:val="pl-PL"/>
        </w:rPr>
        <w:t>r.</w:t>
      </w:r>
      <w:r w:rsidRPr="00E22450">
        <w:rPr>
          <w:lang w:val="pl-PL"/>
        </w:rPr>
        <w:t xml:space="preserve"> zmienioną dyrektywą Parlamentu Europejskiego</w:t>
      </w:r>
      <w:r w:rsidR="00F1653C" w:rsidRPr="00E22450">
        <w:rPr>
          <w:lang w:val="pl-PL"/>
        </w:rPr>
        <w:t xml:space="preserve"> i</w:t>
      </w:r>
      <w:r w:rsidR="00F1653C">
        <w:rPr>
          <w:lang w:val="pl-PL"/>
        </w:rPr>
        <w:t> </w:t>
      </w:r>
      <w:r w:rsidR="00F1653C" w:rsidRPr="00E22450">
        <w:rPr>
          <w:lang w:val="pl-PL"/>
        </w:rPr>
        <w:t>Rad</w:t>
      </w:r>
      <w:r w:rsidRPr="00E22450">
        <w:rPr>
          <w:lang w:val="pl-PL"/>
        </w:rPr>
        <w:t>y (UE) 2019/878</w:t>
      </w:r>
      <w:r w:rsidR="00F1653C" w:rsidRPr="00E22450">
        <w:rPr>
          <w:lang w:val="pl-PL"/>
        </w:rPr>
        <w:t xml:space="preserve"> z</w:t>
      </w:r>
      <w:r w:rsidR="00F1653C">
        <w:rPr>
          <w:lang w:val="pl-PL"/>
        </w:rPr>
        <w:t> </w:t>
      </w:r>
      <w:r w:rsidR="00F1653C" w:rsidRPr="00E22450">
        <w:rPr>
          <w:lang w:val="pl-PL"/>
        </w:rPr>
        <w:t>dni</w:t>
      </w:r>
      <w:r w:rsidRPr="00E22450">
        <w:rPr>
          <w:lang w:val="pl-PL"/>
        </w:rPr>
        <w:t>a 20 maja 20</w:t>
      </w:r>
      <w:r w:rsidRPr="00F1653C">
        <w:rPr>
          <w:lang w:val="pl-PL"/>
        </w:rPr>
        <w:t>19</w:t>
      </w:r>
      <w:r w:rsidR="00F1653C" w:rsidRPr="00F1653C">
        <w:rPr>
          <w:lang w:val="pl-PL"/>
        </w:rPr>
        <w:t> </w:t>
      </w:r>
      <w:r w:rsidRPr="00F1653C">
        <w:rPr>
          <w:lang w:val="pl-PL"/>
        </w:rPr>
        <w:t>r.</w:t>
      </w:r>
      <w:r w:rsidRPr="00E22450">
        <w:rPr>
          <w:lang w:val="pl-PL"/>
        </w:rPr>
        <w:t xml:space="preserve"> (dyrektywa</w:t>
      </w:r>
      <w:r w:rsidR="00F1653C" w:rsidRPr="00E22450">
        <w:rPr>
          <w:lang w:val="pl-PL"/>
        </w:rPr>
        <w:t xml:space="preserve"> w</w:t>
      </w:r>
      <w:r w:rsidR="00F1653C">
        <w:rPr>
          <w:lang w:val="pl-PL"/>
        </w:rPr>
        <w:t> </w:t>
      </w:r>
      <w:r w:rsidR="00F1653C" w:rsidRPr="00E22450">
        <w:rPr>
          <w:lang w:val="pl-PL"/>
        </w:rPr>
        <w:t>spr</w:t>
      </w:r>
      <w:r w:rsidRPr="00E22450">
        <w:rPr>
          <w:lang w:val="pl-PL"/>
        </w:rPr>
        <w:t>awie wymogów kapitałowych (CRD))</w:t>
      </w:r>
      <w:r w:rsidR="00F1653C" w:rsidRPr="00E22450">
        <w:rPr>
          <w:lang w:val="pl-PL"/>
        </w:rPr>
        <w:t xml:space="preserve"> w</w:t>
      </w:r>
      <w:r w:rsidR="00F1653C">
        <w:rPr>
          <w:lang w:val="pl-PL"/>
        </w:rPr>
        <w:t> </w:t>
      </w:r>
      <w:r w:rsidR="00F1653C" w:rsidRPr="00E22450">
        <w:rPr>
          <w:lang w:val="pl-PL"/>
        </w:rPr>
        <w:t>kwe</w:t>
      </w:r>
      <w:r w:rsidRPr="00E22450">
        <w:rPr>
          <w:lang w:val="pl-PL"/>
        </w:rPr>
        <w:t>stii przepisów makroostrożnościowych</w:t>
      </w:r>
      <w:r w:rsidR="00F1653C" w:rsidRPr="00E22450">
        <w:rPr>
          <w:lang w:val="pl-PL"/>
        </w:rPr>
        <w:t>. W</w:t>
      </w:r>
      <w:r w:rsidR="00F1653C">
        <w:rPr>
          <w:lang w:val="pl-PL"/>
        </w:rPr>
        <w:t> </w:t>
      </w:r>
      <w:r w:rsidR="00F1653C" w:rsidRPr="00E22450">
        <w:rPr>
          <w:lang w:val="pl-PL"/>
        </w:rPr>
        <w:t>ram</w:t>
      </w:r>
      <w:r w:rsidRPr="00E22450">
        <w:rPr>
          <w:lang w:val="pl-PL"/>
        </w:rPr>
        <w:t>ach pakietu bankowego</w:t>
      </w:r>
      <w:r w:rsidR="00F1653C" w:rsidRPr="00E22450">
        <w:rPr>
          <w:lang w:val="pl-PL"/>
        </w:rPr>
        <w:t xml:space="preserve"> z</w:t>
      </w:r>
      <w:r w:rsidR="00F1653C">
        <w:rPr>
          <w:lang w:val="pl-PL"/>
        </w:rPr>
        <w:t> </w:t>
      </w:r>
      <w:r w:rsidR="00F1653C" w:rsidRPr="00E22450">
        <w:rPr>
          <w:lang w:val="pl-PL"/>
        </w:rPr>
        <w:t>2</w:t>
      </w:r>
      <w:r w:rsidRPr="00E22450">
        <w:rPr>
          <w:lang w:val="pl-PL"/>
        </w:rPr>
        <w:t>0</w:t>
      </w:r>
      <w:r w:rsidRPr="00F1653C">
        <w:rPr>
          <w:lang w:val="pl-PL"/>
        </w:rPr>
        <w:t>19</w:t>
      </w:r>
      <w:r w:rsidR="00F1653C" w:rsidRPr="00F1653C">
        <w:rPr>
          <w:lang w:val="pl-PL"/>
        </w:rPr>
        <w:t> </w:t>
      </w:r>
      <w:r w:rsidRPr="00F1653C">
        <w:rPr>
          <w:lang w:val="pl-PL"/>
        </w:rPr>
        <w:t>r.</w:t>
      </w:r>
      <w:r w:rsidRPr="00E22450">
        <w:rPr>
          <w:lang w:val="pl-PL"/>
        </w:rPr>
        <w:t xml:space="preserve"> wprowadzono pewne ukierunkowane zmiany</w:t>
      </w:r>
      <w:r w:rsidR="00F1653C" w:rsidRPr="00E22450">
        <w:rPr>
          <w:lang w:val="pl-PL"/>
        </w:rPr>
        <w:t xml:space="preserve"> w</w:t>
      </w:r>
      <w:r w:rsidR="00F1653C">
        <w:rPr>
          <w:lang w:val="pl-PL"/>
        </w:rPr>
        <w:t> </w:t>
      </w:r>
      <w:r w:rsidR="00F1653C" w:rsidRPr="00E22450">
        <w:rPr>
          <w:lang w:val="pl-PL"/>
        </w:rPr>
        <w:t>prz</w:t>
      </w:r>
      <w:r w:rsidRPr="00E22450">
        <w:rPr>
          <w:lang w:val="pl-PL"/>
        </w:rPr>
        <w:t xml:space="preserve">episach makroostrożnościowych, które zaczęły obowiązywać </w:t>
      </w:r>
      <w:r w:rsidRPr="00F1653C">
        <w:rPr>
          <w:lang w:val="pl-PL"/>
        </w:rPr>
        <w:t>od</w:t>
      </w:r>
      <w:r w:rsidR="00F1653C" w:rsidRPr="00F1653C">
        <w:rPr>
          <w:lang w:val="pl-PL"/>
        </w:rPr>
        <w:t> </w:t>
      </w:r>
      <w:r w:rsidRPr="00F1653C">
        <w:rPr>
          <w:lang w:val="pl-PL"/>
        </w:rPr>
        <w:t>2</w:t>
      </w:r>
      <w:r w:rsidRPr="00E22450">
        <w:rPr>
          <w:lang w:val="pl-PL"/>
        </w:rPr>
        <w:t>9 grudnia 20</w:t>
      </w:r>
      <w:r w:rsidRPr="00F1653C">
        <w:rPr>
          <w:lang w:val="pl-PL"/>
        </w:rPr>
        <w:t>20</w:t>
      </w:r>
      <w:r w:rsidR="00F1653C" w:rsidRPr="00F1653C">
        <w:rPr>
          <w:lang w:val="pl-PL"/>
        </w:rPr>
        <w:t> </w:t>
      </w:r>
      <w:r w:rsidRPr="00F1653C">
        <w:rPr>
          <w:lang w:val="pl-PL"/>
        </w:rPr>
        <w:t>r.</w:t>
      </w:r>
      <w:r w:rsidRPr="00E22450">
        <w:rPr>
          <w:lang w:val="pl-PL"/>
        </w:rPr>
        <w:t xml:space="preserve"> </w:t>
      </w:r>
    </w:p>
  </w:footnote>
  <w:footnote w:id="11">
    <w:p w14:paraId="6467A42E" w14:textId="5A7BA32C" w:rsidR="007B124E" w:rsidRPr="00E22450" w:rsidRDefault="007B124E" w:rsidP="00C64A13">
      <w:pPr>
        <w:pStyle w:val="FootnoteText"/>
        <w:rPr>
          <w:lang w:val="pl-PL"/>
        </w:rPr>
      </w:pPr>
      <w:r>
        <w:rPr>
          <w:rStyle w:val="FootnoteReference"/>
        </w:rPr>
        <w:footnoteRef/>
      </w:r>
      <w:r w:rsidRPr="00E22450">
        <w:rPr>
          <w:lang w:val="pl-PL"/>
        </w:rPr>
        <w:t xml:space="preserve"> ERRS (2023), </w:t>
      </w:r>
      <w:hyperlink r:id="rId8" w:history="1">
        <w:r w:rsidRPr="00E22450">
          <w:rPr>
            <w:rStyle w:val="Hyperlink"/>
            <w:lang w:val="pl-PL"/>
          </w:rPr>
          <w:t>„EU Non-bank Financial Intermediation Risk Monitor 2022”</w:t>
        </w:r>
      </w:hyperlink>
      <w:r w:rsidRPr="00E22450">
        <w:rPr>
          <w:lang w:val="pl-PL"/>
        </w:rPr>
        <w:t xml:space="preserve"> [Unijne pozabankowe ramy monitorowania ryzyka pośrednictwa finansowego 2022], czerwiec 20</w:t>
      </w:r>
      <w:r w:rsidRPr="00F1653C">
        <w:rPr>
          <w:lang w:val="pl-PL"/>
        </w:rPr>
        <w:t>23</w:t>
      </w:r>
      <w:r w:rsidR="00F1653C" w:rsidRPr="00F1653C">
        <w:rPr>
          <w:lang w:val="pl-PL"/>
        </w:rPr>
        <w:t> </w:t>
      </w:r>
      <w:r w:rsidRPr="00F1653C">
        <w:rPr>
          <w:lang w:val="pl-PL"/>
        </w:rPr>
        <w:t>r.</w:t>
      </w:r>
      <w:r w:rsidRPr="00E22450">
        <w:rPr>
          <w:lang w:val="pl-PL"/>
        </w:rPr>
        <w:t xml:space="preserve"> Odsetek ten wzrasta </w:t>
      </w:r>
      <w:r w:rsidRPr="00F1653C">
        <w:rPr>
          <w:lang w:val="pl-PL"/>
        </w:rPr>
        <w:t>do</w:t>
      </w:r>
      <w:r w:rsidR="00F1653C" w:rsidRPr="00F1653C">
        <w:rPr>
          <w:lang w:val="pl-PL"/>
        </w:rPr>
        <w:t> </w:t>
      </w:r>
      <w:r w:rsidRPr="00F1653C">
        <w:rPr>
          <w:lang w:val="pl-PL"/>
        </w:rPr>
        <w:t>49</w:t>
      </w:r>
      <w:r w:rsidR="00F1653C" w:rsidRPr="00F1653C">
        <w:rPr>
          <w:lang w:val="pl-PL"/>
        </w:rPr>
        <w:t> </w:t>
      </w:r>
      <w:r w:rsidRPr="00F1653C">
        <w:rPr>
          <w:lang w:val="pl-PL"/>
        </w:rPr>
        <w:t>%</w:t>
      </w:r>
      <w:r w:rsidRPr="00E22450">
        <w:rPr>
          <w:lang w:val="pl-PL"/>
        </w:rPr>
        <w:t xml:space="preserve">, jeśli uwzględni się globalny system finansowy; zob. Rada Stabilności Finansowej w </w:t>
      </w:r>
      <w:hyperlink r:id="rId9" w:history="1">
        <w:r w:rsidRPr="00E22450">
          <w:rPr>
            <w:rStyle w:val="Hyperlink"/>
            <w:lang w:val="pl-PL"/>
          </w:rPr>
          <w:t>Pozabankowe pośrednictwo finansowe – Rada Stabilności Finansowej (fsb.org)</w:t>
        </w:r>
      </w:hyperlink>
      <w:r w:rsidRPr="00E22450">
        <w:rPr>
          <w:lang w:val="pl-PL"/>
        </w:rPr>
        <w:t xml:space="preserve">. </w:t>
      </w:r>
    </w:p>
  </w:footnote>
  <w:footnote w:id="12">
    <w:p w14:paraId="5B632251" w14:textId="2396A56D" w:rsidR="00241024" w:rsidRPr="00E22450" w:rsidRDefault="00241024" w:rsidP="00C64A13">
      <w:pPr>
        <w:pStyle w:val="FootnoteText"/>
        <w:rPr>
          <w:lang w:val="pl-PL"/>
        </w:rPr>
      </w:pPr>
      <w:r>
        <w:rPr>
          <w:rStyle w:val="FootnoteReference"/>
        </w:rPr>
        <w:footnoteRef/>
      </w:r>
      <w:r w:rsidRPr="00E22450">
        <w:rPr>
          <w:lang w:val="pl-PL"/>
        </w:rPr>
        <w:t xml:space="preserve"> ERRS uwzględnia również</w:t>
      </w:r>
      <w:r w:rsidR="00F1653C" w:rsidRPr="00E22450">
        <w:rPr>
          <w:lang w:val="pl-PL"/>
        </w:rPr>
        <w:t xml:space="preserve"> w</w:t>
      </w:r>
      <w:r w:rsidR="00F1653C">
        <w:rPr>
          <w:lang w:val="pl-PL"/>
        </w:rPr>
        <w:t> </w:t>
      </w:r>
      <w:r w:rsidR="00F1653C" w:rsidRPr="00E22450">
        <w:rPr>
          <w:lang w:val="pl-PL"/>
        </w:rPr>
        <w:t>ram</w:t>
      </w:r>
      <w:r w:rsidRPr="00E22450">
        <w:rPr>
          <w:lang w:val="pl-PL"/>
        </w:rPr>
        <w:t>ach monitorowania NBFI ocenę ekosystemu aktywów kryptograficznych, ponieważ „[NBFI] może angażować się</w:t>
      </w:r>
      <w:r w:rsidR="00F1653C" w:rsidRPr="00E22450">
        <w:rPr>
          <w:lang w:val="pl-PL"/>
        </w:rPr>
        <w:t xml:space="preserve"> w</w:t>
      </w:r>
      <w:r w:rsidR="00F1653C">
        <w:rPr>
          <w:lang w:val="pl-PL"/>
        </w:rPr>
        <w:t> </w:t>
      </w:r>
      <w:r w:rsidR="00F1653C" w:rsidRPr="00E22450">
        <w:rPr>
          <w:lang w:val="pl-PL"/>
        </w:rPr>
        <w:t>rod</w:t>
      </w:r>
      <w:r w:rsidRPr="00E22450">
        <w:rPr>
          <w:lang w:val="pl-PL"/>
        </w:rPr>
        <w:t>zaje pośrednictwa finansowego, które prowadzą do podobnych podatności na zagrożenia</w:t>
      </w:r>
      <w:r w:rsidR="00F1653C" w:rsidRPr="00E22450">
        <w:rPr>
          <w:lang w:val="pl-PL"/>
        </w:rPr>
        <w:t xml:space="preserve"> i</w:t>
      </w:r>
      <w:r w:rsidR="00F1653C">
        <w:rPr>
          <w:lang w:val="pl-PL"/>
        </w:rPr>
        <w:t> </w:t>
      </w:r>
      <w:r w:rsidR="00F1653C" w:rsidRPr="00E22450">
        <w:rPr>
          <w:lang w:val="pl-PL"/>
        </w:rPr>
        <w:t>nar</w:t>
      </w:r>
      <w:r w:rsidRPr="00E22450">
        <w:rPr>
          <w:lang w:val="pl-PL"/>
        </w:rPr>
        <w:t xml:space="preserve">ażają go na podobne ryzyko”, zob. ERRS (2023), </w:t>
      </w:r>
      <w:hyperlink r:id="rId10" w:history="1">
        <w:r w:rsidRPr="00E22450">
          <w:rPr>
            <w:rStyle w:val="Hyperlink"/>
            <w:lang w:val="pl-PL"/>
          </w:rPr>
          <w:t>Non-bank Financial Intermediation Risk Monitor 2022” [Unijne pozabankowe ramy monitorowania ryzyka pośrednictwa finansowego 2022] (europa.eu)</w:t>
        </w:r>
      </w:hyperlink>
      <w:r w:rsidRPr="00E22450">
        <w:rPr>
          <w:lang w:val="pl-PL"/>
        </w:rPr>
        <w:t xml:space="preserve">, s. 6. Rada Stabilności Finansowej definiuje „sektor NBFI” jako „szeroko rozumiany sektor wszystkich pozabankowych podmiotów finansowych, na który składają się wszystkie instytucje finansowe, które nie są bankami centralnymi, bankami ani publicznymi instytucjami finansowymi”. Rada Stabilności Finansowej (2022), </w:t>
      </w:r>
      <w:hyperlink r:id="rId11" w:history="1">
        <w:r w:rsidRPr="00E22450">
          <w:rPr>
            <w:rStyle w:val="Hyperlink"/>
            <w:lang w:val="pl-PL"/>
          </w:rPr>
          <w:t>„Global Monitoring Report on Non-Bank Financial Intermediation: 2022”</w:t>
        </w:r>
      </w:hyperlink>
      <w:r w:rsidRPr="00E22450">
        <w:rPr>
          <w:lang w:val="pl-PL"/>
        </w:rPr>
        <w:t xml:space="preserve"> [Globalne sprawozdanie monitorujące pozabankowe pośrednictwo finansowe: 2022]</w:t>
      </w:r>
      <w:hyperlink r:id="rId12" w:history="1"/>
      <w:r w:rsidRPr="00E22450">
        <w:rPr>
          <w:lang w:val="pl-PL"/>
        </w:rPr>
        <w:t>, s. 3. Ta kategoryzacja obejmuje również infrastrukturę rynku finansowego</w:t>
      </w:r>
      <w:r w:rsidR="00F1653C" w:rsidRPr="00E22450">
        <w:rPr>
          <w:lang w:val="pl-PL"/>
        </w:rPr>
        <w:t xml:space="preserve"> w</w:t>
      </w:r>
      <w:r w:rsidR="00F1653C">
        <w:rPr>
          <w:lang w:val="pl-PL"/>
        </w:rPr>
        <w:t> </w:t>
      </w:r>
      <w:r w:rsidR="00F1653C" w:rsidRPr="00E22450">
        <w:rPr>
          <w:lang w:val="pl-PL"/>
        </w:rPr>
        <w:t>kat</w:t>
      </w:r>
      <w:r w:rsidRPr="00E22450">
        <w:rPr>
          <w:lang w:val="pl-PL"/>
        </w:rPr>
        <w:t xml:space="preserve">egorii „pośredników rynkowych”. Zob. Rada Stabilności Finansowej (2022), </w:t>
      </w:r>
      <w:hyperlink r:id="rId13" w:history="1">
        <w:r w:rsidRPr="00E22450">
          <w:rPr>
            <w:rStyle w:val="Hyperlink"/>
            <w:lang w:val="pl-PL"/>
          </w:rPr>
          <w:t>Enhancing the Resilience of Non-Bank Financial Intermediation:</w:t>
        </w:r>
      </w:hyperlink>
      <w:hyperlink r:id="rId14" w:history="1">
        <w:r w:rsidRPr="00E22450">
          <w:rPr>
            <w:rStyle w:val="Hyperlink"/>
            <w:lang w:val="pl-PL"/>
          </w:rPr>
          <w:t xml:space="preserve"> Progress report</w:t>
        </w:r>
      </w:hyperlink>
      <w:r w:rsidRPr="00E22450">
        <w:rPr>
          <w:lang w:val="pl-PL"/>
        </w:rPr>
        <w:t xml:space="preserve"> [Zwiększenie odporności pozabankowego pośrednictwa finansowego: Sprawozdanie</w:t>
      </w:r>
      <w:r w:rsidR="00F1653C" w:rsidRPr="00E22450">
        <w:rPr>
          <w:lang w:val="pl-PL"/>
        </w:rPr>
        <w:t xml:space="preserve"> z</w:t>
      </w:r>
      <w:r w:rsidR="00F1653C">
        <w:rPr>
          <w:lang w:val="pl-PL"/>
        </w:rPr>
        <w:t> </w:t>
      </w:r>
      <w:r w:rsidR="00F1653C" w:rsidRPr="00E22450">
        <w:rPr>
          <w:lang w:val="pl-PL"/>
        </w:rPr>
        <w:t>pos</w:t>
      </w:r>
      <w:r w:rsidRPr="00E22450">
        <w:rPr>
          <w:lang w:val="pl-PL"/>
        </w:rPr>
        <w:t>tępów], s. 18. Rada Stabilności Finansowej zidentyfikowała jednak również „środek</w:t>
      </w:r>
      <w:r w:rsidR="00F1653C" w:rsidRPr="00E22450">
        <w:rPr>
          <w:lang w:val="pl-PL"/>
        </w:rPr>
        <w:t xml:space="preserve"> o</w:t>
      </w:r>
      <w:r w:rsidR="00F1653C">
        <w:rPr>
          <w:lang w:val="pl-PL"/>
        </w:rPr>
        <w:t> </w:t>
      </w:r>
      <w:r w:rsidR="00F1653C" w:rsidRPr="00E22450">
        <w:rPr>
          <w:lang w:val="pl-PL"/>
        </w:rPr>
        <w:t>wąs</w:t>
      </w:r>
      <w:r w:rsidRPr="00E22450">
        <w:rPr>
          <w:lang w:val="pl-PL"/>
        </w:rPr>
        <w:t>kim zakresie”</w:t>
      </w:r>
      <w:r w:rsidR="00F1653C" w:rsidRPr="00E22450">
        <w:rPr>
          <w:lang w:val="pl-PL"/>
        </w:rPr>
        <w:t xml:space="preserve"> w</w:t>
      </w:r>
      <w:r w:rsidR="00F1653C">
        <w:rPr>
          <w:lang w:val="pl-PL"/>
        </w:rPr>
        <w:t> </w:t>
      </w:r>
      <w:r w:rsidR="00F1653C" w:rsidRPr="00E22450">
        <w:rPr>
          <w:lang w:val="pl-PL"/>
        </w:rPr>
        <w:t>odn</w:t>
      </w:r>
      <w:r w:rsidRPr="00E22450">
        <w:rPr>
          <w:lang w:val="pl-PL"/>
        </w:rPr>
        <w:t xml:space="preserve">iesieniu do NBFI, który nie opiera się na podmiotach, lecz jest środkiem opartym na działalności bankowej. Rada Stabilności Finansowej (2022), tamże s. 3. </w:t>
      </w:r>
    </w:p>
  </w:footnote>
  <w:footnote w:id="13">
    <w:p w14:paraId="7B51B336" w14:textId="6B818150" w:rsidR="00241024" w:rsidRPr="00E22450" w:rsidRDefault="00241024" w:rsidP="00A52008">
      <w:pPr>
        <w:spacing w:after="0" w:line="240" w:lineRule="auto"/>
        <w:rPr>
          <w:rFonts w:cs="Times New Roman"/>
          <w:sz w:val="20"/>
          <w:lang w:val="pl-PL"/>
        </w:rPr>
      </w:pPr>
      <w:r>
        <w:rPr>
          <w:rStyle w:val="FootnoteReference"/>
        </w:rPr>
        <w:footnoteRef/>
      </w:r>
      <w:r w:rsidRPr="00E22450">
        <w:rPr>
          <w:sz w:val="20"/>
          <w:lang w:val="pl-PL"/>
        </w:rPr>
        <w:t xml:space="preserve"> </w:t>
      </w:r>
      <w:r w:rsidRPr="00E22450">
        <w:rPr>
          <w:color w:val="111111"/>
          <w:sz w:val="20"/>
          <w:shd w:val="clear" w:color="auto" w:fill="FFFFFF"/>
          <w:lang w:val="pl-PL"/>
        </w:rPr>
        <w:t>Transformacja płynności to proces wykorzystywania krótkoterminowych zobowiązań</w:t>
      </w:r>
      <w:r w:rsidR="00F1653C" w:rsidRPr="00E22450">
        <w:rPr>
          <w:color w:val="111111"/>
          <w:sz w:val="20"/>
          <w:shd w:val="clear" w:color="auto" w:fill="FFFFFF"/>
          <w:lang w:val="pl-PL"/>
        </w:rPr>
        <w:t xml:space="preserve"> o</w:t>
      </w:r>
      <w:r w:rsidR="00F1653C">
        <w:rPr>
          <w:color w:val="111111"/>
          <w:sz w:val="20"/>
          <w:shd w:val="clear" w:color="auto" w:fill="FFFFFF"/>
          <w:lang w:val="pl-PL"/>
        </w:rPr>
        <w:t> </w:t>
      </w:r>
      <w:r w:rsidR="00F1653C" w:rsidRPr="00E22450">
        <w:rPr>
          <w:color w:val="111111"/>
          <w:sz w:val="20"/>
          <w:shd w:val="clear" w:color="auto" w:fill="FFFFFF"/>
          <w:lang w:val="pl-PL"/>
        </w:rPr>
        <w:t>cha</w:t>
      </w:r>
      <w:r w:rsidRPr="00E22450">
        <w:rPr>
          <w:color w:val="111111"/>
          <w:sz w:val="20"/>
          <w:shd w:val="clear" w:color="auto" w:fill="FFFFFF"/>
          <w:lang w:val="pl-PL"/>
        </w:rPr>
        <w:t xml:space="preserve">rakterze pieniężnym do nabywania długoterminowych aktywów, takich jak pożyczki. </w:t>
      </w:r>
      <w:r w:rsidRPr="00E22450">
        <w:rPr>
          <w:sz w:val="20"/>
          <w:lang w:val="pl-PL"/>
        </w:rPr>
        <w:t>Dźwignia finansowa oznacza albo zaciąganie pożyczek na zakup składnika aktywów (dźwignia fizyczna lub finansowa), albo do wniesienia depozytów zabezpieczających do umowy,</w:t>
      </w:r>
      <w:r w:rsidR="00F1653C" w:rsidRPr="00E22450">
        <w:rPr>
          <w:sz w:val="20"/>
          <w:lang w:val="pl-PL"/>
        </w:rPr>
        <w:t xml:space="preserve"> w</w:t>
      </w:r>
      <w:r w:rsidR="00F1653C">
        <w:rPr>
          <w:sz w:val="20"/>
          <w:lang w:val="pl-PL"/>
        </w:rPr>
        <w:t> </w:t>
      </w:r>
      <w:r w:rsidR="00F1653C" w:rsidRPr="00E22450">
        <w:rPr>
          <w:sz w:val="20"/>
          <w:lang w:val="pl-PL"/>
        </w:rPr>
        <w:t>któ</w:t>
      </w:r>
      <w:r w:rsidRPr="00E22450">
        <w:rPr>
          <w:sz w:val="20"/>
          <w:lang w:val="pl-PL"/>
        </w:rPr>
        <w:t>rym strona ubiegająca się</w:t>
      </w:r>
      <w:r w:rsidR="00F1653C" w:rsidRPr="00E22450">
        <w:rPr>
          <w:sz w:val="20"/>
          <w:lang w:val="pl-PL"/>
        </w:rPr>
        <w:t xml:space="preserve"> o</w:t>
      </w:r>
      <w:r w:rsidR="00F1653C">
        <w:rPr>
          <w:sz w:val="20"/>
          <w:lang w:val="pl-PL"/>
        </w:rPr>
        <w:t> </w:t>
      </w:r>
      <w:r w:rsidR="00F1653C" w:rsidRPr="00E22450">
        <w:rPr>
          <w:sz w:val="20"/>
          <w:lang w:val="pl-PL"/>
        </w:rPr>
        <w:t>dźw</w:t>
      </w:r>
      <w:r w:rsidRPr="00E22450">
        <w:rPr>
          <w:sz w:val="20"/>
          <w:lang w:val="pl-PL"/>
        </w:rPr>
        <w:t>ignię finansową otrzymuje zwrot finansowy</w:t>
      </w:r>
      <w:r w:rsidR="00F1653C" w:rsidRPr="00E22450">
        <w:rPr>
          <w:sz w:val="20"/>
          <w:lang w:val="pl-PL"/>
        </w:rPr>
        <w:t xml:space="preserve"> z</w:t>
      </w:r>
      <w:r w:rsidR="00F1653C">
        <w:rPr>
          <w:sz w:val="20"/>
          <w:lang w:val="pl-PL"/>
        </w:rPr>
        <w:t> </w:t>
      </w:r>
      <w:r w:rsidR="00F1653C" w:rsidRPr="00E22450">
        <w:rPr>
          <w:sz w:val="20"/>
          <w:lang w:val="pl-PL"/>
        </w:rPr>
        <w:t>akt</w:t>
      </w:r>
      <w:r w:rsidRPr="00E22450">
        <w:rPr>
          <w:sz w:val="20"/>
          <w:lang w:val="pl-PL"/>
        </w:rPr>
        <w:t>ywów</w:t>
      </w:r>
      <w:r w:rsidR="00F1653C" w:rsidRPr="00E22450">
        <w:rPr>
          <w:sz w:val="20"/>
          <w:lang w:val="pl-PL"/>
        </w:rPr>
        <w:t xml:space="preserve"> w</w:t>
      </w:r>
      <w:r w:rsidR="00F1653C">
        <w:rPr>
          <w:sz w:val="20"/>
          <w:lang w:val="pl-PL"/>
        </w:rPr>
        <w:t> </w:t>
      </w:r>
      <w:r w:rsidR="00F1653C" w:rsidRPr="00E22450">
        <w:rPr>
          <w:sz w:val="20"/>
          <w:lang w:val="pl-PL"/>
        </w:rPr>
        <w:t>zam</w:t>
      </w:r>
      <w:r w:rsidRPr="00E22450">
        <w:rPr>
          <w:sz w:val="20"/>
          <w:lang w:val="pl-PL"/>
        </w:rPr>
        <w:t xml:space="preserve">ian za płatność lub opłatę (np. swap przychodu całkowitego lub opcje), tak zwaną „syntetyczną” dźwignię finansową. </w:t>
      </w:r>
    </w:p>
  </w:footnote>
  <w:footnote w:id="14">
    <w:p w14:paraId="2EC3955B" w14:textId="47F2E435" w:rsidR="00776FCF" w:rsidRPr="00E22450" w:rsidRDefault="00776FCF" w:rsidP="00776FCF">
      <w:pPr>
        <w:pStyle w:val="FootnoteText"/>
        <w:rPr>
          <w:lang w:val="pl-PL"/>
        </w:rPr>
      </w:pPr>
      <w:r>
        <w:rPr>
          <w:rStyle w:val="FootnoteReference"/>
        </w:rPr>
        <w:footnoteRef/>
      </w:r>
      <w:r w:rsidRPr="00E22450">
        <w:rPr>
          <w:lang w:val="pl-PL"/>
        </w:rPr>
        <w:t xml:space="preserve"> </w:t>
      </w:r>
      <w:r w:rsidRPr="00E22450">
        <w:rPr>
          <w:rStyle w:val="FootnoteTextChar"/>
          <w:lang w:val="pl-PL"/>
        </w:rPr>
        <w:t xml:space="preserve">Rada Stabilności Finansowej (2022), </w:t>
      </w:r>
      <w:hyperlink r:id="rId15" w:history="1">
        <w:r w:rsidRPr="00E22450">
          <w:rPr>
            <w:rStyle w:val="Hyperlink"/>
            <w:lang w:val="pl-PL"/>
          </w:rPr>
          <w:t>„Global Monitoring Report on Non-Bank Financial Intermediation: 2022”</w:t>
        </w:r>
      </w:hyperlink>
      <w:r w:rsidRPr="00E22450">
        <w:rPr>
          <w:rStyle w:val="FootnoteTextChar"/>
          <w:lang w:val="pl-PL"/>
        </w:rPr>
        <w:t xml:space="preserve"> [Globalne sprawozdanie monitorujące pozabankowe pośrednictwo finansowe: 2022], grudzień 20</w:t>
      </w:r>
      <w:r w:rsidRPr="00F1653C">
        <w:rPr>
          <w:rStyle w:val="FootnoteTextChar"/>
          <w:lang w:val="pl-PL"/>
        </w:rPr>
        <w:t>22</w:t>
      </w:r>
      <w:r w:rsidR="00F1653C" w:rsidRPr="00F1653C">
        <w:rPr>
          <w:rStyle w:val="FootnoteTextChar"/>
          <w:lang w:val="pl-PL"/>
        </w:rPr>
        <w:t> </w:t>
      </w:r>
      <w:r w:rsidRPr="00F1653C">
        <w:rPr>
          <w:rStyle w:val="FootnoteTextChar"/>
          <w:lang w:val="pl-PL"/>
        </w:rPr>
        <w:t>r.</w:t>
      </w:r>
      <w:r w:rsidRPr="00E22450">
        <w:rPr>
          <w:rStyle w:val="FootnoteTextChar"/>
          <w:lang w:val="pl-PL"/>
        </w:rPr>
        <w:t>, s. 31.</w:t>
      </w:r>
    </w:p>
  </w:footnote>
  <w:footnote w:id="15">
    <w:p w14:paraId="2045A312" w14:textId="720BA16F" w:rsidR="00776FCF" w:rsidRPr="00E22450" w:rsidRDefault="00776FCF" w:rsidP="00776FCF">
      <w:pPr>
        <w:spacing w:after="0" w:line="240" w:lineRule="auto"/>
        <w:rPr>
          <w:rFonts w:eastAsia="Calibri" w:cs="Times New Roman"/>
          <w:sz w:val="20"/>
          <w:lang w:val="pl-PL"/>
        </w:rPr>
      </w:pPr>
      <w:r>
        <w:rPr>
          <w:rStyle w:val="FootnoteReference"/>
        </w:rPr>
        <w:footnoteRef/>
      </w:r>
      <w:r w:rsidRPr="00E22450">
        <w:rPr>
          <w:lang w:val="pl-PL"/>
        </w:rPr>
        <w:t xml:space="preserve"> </w:t>
      </w:r>
      <w:r w:rsidRPr="00E22450">
        <w:rPr>
          <w:rStyle w:val="FootnoteTextChar"/>
          <w:lang w:val="pl-PL"/>
        </w:rPr>
        <w:t>ERRS, Monitorowanie NBFI, czerwiec 20</w:t>
      </w:r>
      <w:r w:rsidRPr="00F1653C">
        <w:rPr>
          <w:rStyle w:val="FootnoteTextChar"/>
          <w:lang w:val="pl-PL"/>
        </w:rPr>
        <w:t>23</w:t>
      </w:r>
      <w:r w:rsidR="00F1653C" w:rsidRPr="00F1653C">
        <w:rPr>
          <w:rStyle w:val="FootnoteTextChar"/>
          <w:lang w:val="pl-PL"/>
        </w:rPr>
        <w:t> </w:t>
      </w:r>
      <w:r w:rsidRPr="00F1653C">
        <w:rPr>
          <w:rStyle w:val="FootnoteTextChar"/>
          <w:lang w:val="pl-PL"/>
        </w:rPr>
        <w:t>r.</w:t>
      </w:r>
      <w:r w:rsidRPr="00E22450">
        <w:rPr>
          <w:rStyle w:val="FootnoteTextChar"/>
          <w:lang w:val="pl-PL"/>
        </w:rPr>
        <w:t>, s. 11, dokument dostępny:</w:t>
      </w:r>
      <w:hyperlink r:id="rId16" w:history="1">
        <w:r w:rsidRPr="00E22450">
          <w:rPr>
            <w:rStyle w:val="FootnoteTextChar"/>
            <w:lang w:val="pl-PL"/>
          </w:rPr>
          <w:t>„EU Non-bank Financial Intermediation Risk Monitor 2022”</w:t>
        </w:r>
      </w:hyperlink>
      <w:r w:rsidRPr="00E22450">
        <w:rPr>
          <w:lang w:val="pl-PL"/>
        </w:rPr>
        <w:t xml:space="preserve"> [Unijne pozabankowe ramy monitorowania ryzyka pośrednictwa finansowego 2022]</w:t>
      </w:r>
      <w:r w:rsidRPr="00E22450">
        <w:rPr>
          <w:rStyle w:val="FootnoteTextChar"/>
          <w:lang w:val="pl-PL"/>
        </w:rPr>
        <w:t xml:space="preserve"> (europa.eu). </w:t>
      </w:r>
    </w:p>
  </w:footnote>
  <w:footnote w:id="16">
    <w:p w14:paraId="2A8DA94E" w14:textId="78991C29" w:rsidR="00776FCF" w:rsidRPr="00E22450" w:rsidRDefault="00776FCF" w:rsidP="00776FCF">
      <w:pPr>
        <w:pStyle w:val="FootnoteText"/>
        <w:rPr>
          <w:lang w:val="pl-PL"/>
        </w:rPr>
      </w:pPr>
      <w:r>
        <w:rPr>
          <w:rStyle w:val="FootnoteReference"/>
        </w:rPr>
        <w:footnoteRef/>
      </w:r>
      <w:r w:rsidRPr="00E22450">
        <w:rPr>
          <w:lang w:val="pl-PL"/>
        </w:rPr>
        <w:t xml:space="preserve"> Niedopasowanie płynności to rozbieżność</w:t>
      </w:r>
      <w:r w:rsidR="00F1653C" w:rsidRPr="00E22450">
        <w:rPr>
          <w:lang w:val="pl-PL"/>
        </w:rPr>
        <w:t xml:space="preserve"> w</w:t>
      </w:r>
      <w:r w:rsidR="00F1653C">
        <w:rPr>
          <w:lang w:val="pl-PL"/>
        </w:rPr>
        <w:t> </w:t>
      </w:r>
      <w:r w:rsidR="00F1653C" w:rsidRPr="00E22450">
        <w:rPr>
          <w:lang w:val="pl-PL"/>
        </w:rPr>
        <w:t>pod</w:t>
      </w:r>
      <w:r w:rsidRPr="00E22450">
        <w:rPr>
          <w:lang w:val="pl-PL"/>
        </w:rPr>
        <w:t>aży lub popycie na papiery wartościowe lub</w:t>
      </w:r>
      <w:r w:rsidR="00F1653C" w:rsidRPr="00E22450">
        <w:rPr>
          <w:lang w:val="pl-PL"/>
        </w:rPr>
        <w:t xml:space="preserve"> w</w:t>
      </w:r>
      <w:r w:rsidR="00F1653C">
        <w:rPr>
          <w:lang w:val="pl-PL"/>
        </w:rPr>
        <w:t> </w:t>
      </w:r>
      <w:r w:rsidR="00F1653C" w:rsidRPr="00E22450">
        <w:rPr>
          <w:lang w:val="pl-PL"/>
        </w:rPr>
        <w:t>ter</w:t>
      </w:r>
      <w:r w:rsidRPr="00E22450">
        <w:rPr>
          <w:lang w:val="pl-PL"/>
        </w:rPr>
        <w:t>minach zapadalności papierów wartościowych. Niedopasowanie płynności występuje, jeżeli fundusze dają inwestorom możliwość krótkoterminowych umorzeń, jednocześnie inwestując</w:t>
      </w:r>
      <w:r w:rsidR="00F1653C" w:rsidRPr="00E22450">
        <w:rPr>
          <w:lang w:val="pl-PL"/>
        </w:rPr>
        <w:t xml:space="preserve"> w</w:t>
      </w:r>
      <w:r w:rsidR="00F1653C">
        <w:rPr>
          <w:lang w:val="pl-PL"/>
        </w:rPr>
        <w:t> </w:t>
      </w:r>
      <w:r w:rsidR="00F1653C" w:rsidRPr="00E22450">
        <w:rPr>
          <w:lang w:val="pl-PL"/>
        </w:rPr>
        <w:t>akt</w:t>
      </w:r>
      <w:r w:rsidRPr="00E22450">
        <w:rPr>
          <w:lang w:val="pl-PL"/>
        </w:rPr>
        <w:t>ywa, których nie można łatwo upłynnić</w:t>
      </w:r>
      <w:r w:rsidR="00F1653C" w:rsidRPr="00E22450">
        <w:rPr>
          <w:lang w:val="pl-PL"/>
        </w:rPr>
        <w:t xml:space="preserve"> w</w:t>
      </w:r>
      <w:r w:rsidR="00F1653C">
        <w:rPr>
          <w:lang w:val="pl-PL"/>
        </w:rPr>
        <w:t> </w:t>
      </w:r>
      <w:r w:rsidR="00F1653C" w:rsidRPr="00E22450">
        <w:rPr>
          <w:lang w:val="pl-PL"/>
        </w:rPr>
        <w:t>kró</w:t>
      </w:r>
      <w:r w:rsidRPr="00E22450">
        <w:rPr>
          <w:lang w:val="pl-PL"/>
        </w:rPr>
        <w:t xml:space="preserve">tkim czasie. </w:t>
      </w:r>
    </w:p>
    <w:p w14:paraId="17A4DEEB" w14:textId="5450391D" w:rsidR="00776FCF" w:rsidRPr="00E22450" w:rsidRDefault="008028FF" w:rsidP="00776FCF">
      <w:pPr>
        <w:pStyle w:val="FootnoteText"/>
        <w:rPr>
          <w:lang w:val="pl-PL"/>
        </w:rPr>
      </w:pPr>
      <w:hyperlink r:id="rId17" w:history="1">
        <w:r w:rsidR="00E22450" w:rsidRPr="00E22450">
          <w:rPr>
            <w:rStyle w:val="Hyperlink"/>
            <w:lang w:val="pl-PL"/>
          </w:rPr>
          <w:t>Liquidity mismatch in open-ended funds:</w:t>
        </w:r>
      </w:hyperlink>
      <w:hyperlink r:id="rId18" w:history="1">
        <w:r w:rsidR="00E22450" w:rsidRPr="00E22450">
          <w:rPr>
            <w:rStyle w:val="Hyperlink"/>
            <w:lang w:val="pl-PL"/>
          </w:rPr>
          <w:t xml:space="preserve"> trends, gaps and policy implications (europa.eu)</w:t>
        </w:r>
      </w:hyperlink>
      <w:r w:rsidR="00E22450" w:rsidRPr="00E22450">
        <w:rPr>
          <w:lang w:val="pl-PL"/>
        </w:rPr>
        <w:t xml:space="preserve"> [Niedopasowanie płynności</w:t>
      </w:r>
      <w:r w:rsidR="00F1653C" w:rsidRPr="00E22450">
        <w:rPr>
          <w:lang w:val="pl-PL"/>
        </w:rPr>
        <w:t xml:space="preserve"> w</w:t>
      </w:r>
      <w:r w:rsidR="00F1653C">
        <w:rPr>
          <w:lang w:val="pl-PL"/>
        </w:rPr>
        <w:t> </w:t>
      </w:r>
      <w:r w:rsidR="00F1653C" w:rsidRPr="00E22450">
        <w:rPr>
          <w:lang w:val="pl-PL"/>
        </w:rPr>
        <w:t>fun</w:t>
      </w:r>
      <w:r w:rsidR="00E22450" w:rsidRPr="00E22450">
        <w:rPr>
          <w:lang w:val="pl-PL"/>
        </w:rPr>
        <w:t>duszach otwartych: trendy, luki</w:t>
      </w:r>
      <w:r w:rsidR="00F1653C" w:rsidRPr="00E22450">
        <w:rPr>
          <w:lang w:val="pl-PL"/>
        </w:rPr>
        <w:t xml:space="preserve"> i</w:t>
      </w:r>
      <w:r w:rsidR="00F1653C">
        <w:rPr>
          <w:lang w:val="pl-PL"/>
        </w:rPr>
        <w:t> </w:t>
      </w:r>
      <w:r w:rsidR="00F1653C" w:rsidRPr="00E22450">
        <w:rPr>
          <w:lang w:val="pl-PL"/>
        </w:rPr>
        <w:t>sku</w:t>
      </w:r>
      <w:r w:rsidR="00E22450" w:rsidRPr="00E22450">
        <w:rPr>
          <w:lang w:val="pl-PL"/>
        </w:rPr>
        <w:t>tki dla polityki]</w:t>
      </w:r>
    </w:p>
  </w:footnote>
  <w:footnote w:id="17">
    <w:p w14:paraId="59A6FDDD" w14:textId="1B030367" w:rsidR="00E8064E" w:rsidRPr="00E22450" w:rsidRDefault="00E8064E" w:rsidP="00C64A13">
      <w:pPr>
        <w:pStyle w:val="FootnoteText"/>
        <w:rPr>
          <w:lang w:val="pl-PL"/>
        </w:rPr>
      </w:pPr>
      <w:r>
        <w:rPr>
          <w:rStyle w:val="FootnoteReference"/>
        </w:rPr>
        <w:footnoteRef/>
      </w:r>
      <w:r w:rsidRPr="00E22450">
        <w:rPr>
          <w:lang w:val="pl-PL"/>
        </w:rPr>
        <w:t xml:space="preserve"> W szczególności EBC wezwał do „kompleksowej [makroostrożnościowej] reakcji politycznej</w:t>
      </w:r>
      <w:r w:rsidR="00F1653C" w:rsidRPr="00E22450">
        <w:rPr>
          <w:lang w:val="pl-PL"/>
        </w:rPr>
        <w:t xml:space="preserve"> w</w:t>
      </w:r>
      <w:r w:rsidR="00F1653C">
        <w:rPr>
          <w:lang w:val="pl-PL"/>
        </w:rPr>
        <w:t> </w:t>
      </w:r>
      <w:r w:rsidR="00F1653C" w:rsidRPr="00E22450">
        <w:rPr>
          <w:lang w:val="pl-PL"/>
        </w:rPr>
        <w:t>cel</w:t>
      </w:r>
      <w:r w:rsidRPr="00E22450">
        <w:rPr>
          <w:lang w:val="pl-PL"/>
        </w:rPr>
        <w:t>u zwiększenia odporności” sektorów NBFI,</w:t>
      </w:r>
      <w:r w:rsidR="00F1653C" w:rsidRPr="00E22450">
        <w:rPr>
          <w:lang w:val="pl-PL"/>
        </w:rPr>
        <w:t xml:space="preserve"> w</w:t>
      </w:r>
      <w:r w:rsidR="00F1653C">
        <w:rPr>
          <w:lang w:val="pl-PL"/>
        </w:rPr>
        <w:t> </w:t>
      </w:r>
      <w:r w:rsidR="00F1653C" w:rsidRPr="00E22450">
        <w:rPr>
          <w:lang w:val="pl-PL"/>
        </w:rPr>
        <w:t>tym</w:t>
      </w:r>
      <w:r w:rsidRPr="00E22450">
        <w:rPr>
          <w:lang w:val="pl-PL"/>
        </w:rPr>
        <w:t xml:space="preserve"> „zmiany przeznaczenia istniejących narzędzi (tj. poprzez uwzględnienie perspektyw makroostrożnościowych)</w:t>
      </w:r>
      <w:r w:rsidR="00F1653C" w:rsidRPr="00E22450">
        <w:rPr>
          <w:lang w:val="pl-PL"/>
        </w:rPr>
        <w:t xml:space="preserve"> i</w:t>
      </w:r>
      <w:r w:rsidR="00F1653C">
        <w:rPr>
          <w:lang w:val="pl-PL"/>
        </w:rPr>
        <w:t> </w:t>
      </w:r>
      <w:r w:rsidR="00F1653C" w:rsidRPr="00E22450">
        <w:rPr>
          <w:lang w:val="pl-PL"/>
        </w:rPr>
        <w:t>opr</w:t>
      </w:r>
      <w:r w:rsidRPr="00E22450">
        <w:rPr>
          <w:lang w:val="pl-PL"/>
        </w:rPr>
        <w:t>acowania dodatkowych polityk makroostrożnościowych,</w:t>
      </w:r>
      <w:r w:rsidR="00F1653C" w:rsidRPr="00E22450">
        <w:rPr>
          <w:lang w:val="pl-PL"/>
        </w:rPr>
        <w:t xml:space="preserve"> a</w:t>
      </w:r>
      <w:r w:rsidR="00F1653C">
        <w:rPr>
          <w:lang w:val="pl-PL"/>
        </w:rPr>
        <w:t> </w:t>
      </w:r>
      <w:r w:rsidR="00F1653C" w:rsidRPr="00E22450">
        <w:rPr>
          <w:lang w:val="pl-PL"/>
        </w:rPr>
        <w:t>tak</w:t>
      </w:r>
      <w:r w:rsidRPr="00E22450">
        <w:rPr>
          <w:lang w:val="pl-PL"/>
        </w:rPr>
        <w:t>że oceny roli władz</w:t>
      </w:r>
      <w:r w:rsidR="00F1653C" w:rsidRPr="00E22450">
        <w:rPr>
          <w:lang w:val="pl-PL"/>
        </w:rPr>
        <w:t xml:space="preserve"> w</w:t>
      </w:r>
      <w:r w:rsidR="00F1653C">
        <w:rPr>
          <w:lang w:val="pl-PL"/>
        </w:rPr>
        <w:t> </w:t>
      </w:r>
      <w:r w:rsidR="00F1653C" w:rsidRPr="00E22450">
        <w:rPr>
          <w:lang w:val="pl-PL"/>
        </w:rPr>
        <w:t>ich</w:t>
      </w:r>
      <w:r w:rsidRPr="00E22450">
        <w:rPr>
          <w:lang w:val="pl-PL"/>
        </w:rPr>
        <w:t xml:space="preserve"> wdrażaniu”. Zob. </w:t>
      </w:r>
      <w:hyperlink r:id="rId19" w:anchor="toc36" w:history="1">
        <w:r w:rsidRPr="00E22450">
          <w:rPr>
            <w:rStyle w:val="Hyperlink"/>
            <w:lang w:val="pl-PL"/>
          </w:rPr>
          <w:t>EBC, Financial Stability Review Report [Sprawozdanie</w:t>
        </w:r>
        <w:r w:rsidR="00F1653C" w:rsidRPr="00E22450">
          <w:rPr>
            <w:rStyle w:val="Hyperlink"/>
            <w:lang w:val="pl-PL"/>
          </w:rPr>
          <w:t xml:space="preserve"> z</w:t>
        </w:r>
        <w:r w:rsidR="00F1653C">
          <w:rPr>
            <w:rStyle w:val="Hyperlink"/>
            <w:lang w:val="pl-PL"/>
          </w:rPr>
          <w:t> </w:t>
        </w:r>
        <w:r w:rsidR="00F1653C" w:rsidRPr="00E22450">
          <w:rPr>
            <w:rStyle w:val="Hyperlink"/>
            <w:lang w:val="pl-PL"/>
          </w:rPr>
          <w:t>prz</w:t>
        </w:r>
        <w:r w:rsidRPr="00E22450">
          <w:rPr>
            <w:rStyle w:val="Hyperlink"/>
            <w:lang w:val="pl-PL"/>
          </w:rPr>
          <w:t>eglądu dotyczącego stabilności finansowej], listopad 20</w:t>
        </w:r>
        <w:r w:rsidRPr="00F1653C">
          <w:rPr>
            <w:rStyle w:val="Hyperlink"/>
            <w:lang w:val="pl-PL"/>
          </w:rPr>
          <w:t>23</w:t>
        </w:r>
        <w:r w:rsidR="00F1653C" w:rsidRPr="00F1653C">
          <w:rPr>
            <w:rStyle w:val="Hyperlink"/>
            <w:lang w:val="pl-PL"/>
          </w:rPr>
          <w:t> </w:t>
        </w:r>
        <w:r w:rsidRPr="00F1653C">
          <w:rPr>
            <w:rStyle w:val="Hyperlink"/>
            <w:lang w:val="pl-PL"/>
          </w:rPr>
          <w:t>r.</w:t>
        </w:r>
      </w:hyperlink>
      <w:r w:rsidRPr="00E22450">
        <w:rPr>
          <w:lang w:val="pl-PL"/>
        </w:rPr>
        <w:t xml:space="preserve"> Banque de France zauważył, że „Podatności na zagrożenia związane z NBFI wymagają zharmonizowanego wdrożenia odpowiednich środków na szczeblu międzynarodowym. [...] Dotychczas prowadzone prace koncentrowały się jednak na środkach mikroostrożnościowych, przy czym uruchomienie niektórych narzędzi leżało</w:t>
      </w:r>
      <w:r w:rsidR="00F1653C" w:rsidRPr="00E22450">
        <w:rPr>
          <w:lang w:val="pl-PL"/>
        </w:rPr>
        <w:t xml:space="preserve"> w</w:t>
      </w:r>
      <w:r w:rsidR="00F1653C">
        <w:rPr>
          <w:lang w:val="pl-PL"/>
        </w:rPr>
        <w:t> </w:t>
      </w:r>
      <w:r w:rsidR="00F1653C" w:rsidRPr="00E22450">
        <w:rPr>
          <w:lang w:val="pl-PL"/>
        </w:rPr>
        <w:t>ges</w:t>
      </w:r>
      <w:r w:rsidRPr="00E22450">
        <w:rPr>
          <w:lang w:val="pl-PL"/>
        </w:rPr>
        <w:t>tii funduszy</w:t>
      </w:r>
      <w:r w:rsidR="00F1653C" w:rsidRPr="00E22450">
        <w:rPr>
          <w:lang w:val="pl-PL"/>
        </w:rPr>
        <w:t xml:space="preserve"> i</w:t>
      </w:r>
      <w:r w:rsidR="00F1653C">
        <w:rPr>
          <w:lang w:val="pl-PL"/>
        </w:rPr>
        <w:t> </w:t>
      </w:r>
      <w:r w:rsidR="00F1653C" w:rsidRPr="00E22450">
        <w:rPr>
          <w:lang w:val="pl-PL"/>
        </w:rPr>
        <w:t>kon</w:t>
      </w:r>
      <w:r w:rsidRPr="00E22450">
        <w:rPr>
          <w:lang w:val="pl-PL"/>
        </w:rPr>
        <w:t>centrowało się na ochronie inwestorów. Nie określono jeszcze podejścia makroostrożnościowego,</w:t>
      </w:r>
      <w:r w:rsidR="00F1653C" w:rsidRPr="00E22450">
        <w:rPr>
          <w:lang w:val="pl-PL"/>
        </w:rPr>
        <w:t xml:space="preserve"> w</w:t>
      </w:r>
      <w:r w:rsidR="00F1653C">
        <w:rPr>
          <w:lang w:val="pl-PL"/>
        </w:rPr>
        <w:t> </w:t>
      </w:r>
      <w:r w:rsidR="00F1653C" w:rsidRPr="00E22450">
        <w:rPr>
          <w:lang w:val="pl-PL"/>
        </w:rPr>
        <w:t>któ</w:t>
      </w:r>
      <w:r w:rsidRPr="00E22450">
        <w:rPr>
          <w:lang w:val="pl-PL"/>
        </w:rPr>
        <w:t>rym uwzględniono by ryzyko ponoszone przez poszczególne fundusze</w:t>
      </w:r>
      <w:r w:rsidR="00F1653C" w:rsidRPr="00E22450">
        <w:rPr>
          <w:lang w:val="pl-PL"/>
        </w:rPr>
        <w:t xml:space="preserve"> i</w:t>
      </w:r>
      <w:r w:rsidR="00F1653C">
        <w:rPr>
          <w:lang w:val="pl-PL"/>
        </w:rPr>
        <w:t> </w:t>
      </w:r>
      <w:r w:rsidR="00F1653C" w:rsidRPr="00E22450">
        <w:rPr>
          <w:lang w:val="pl-PL"/>
        </w:rPr>
        <w:t>ich</w:t>
      </w:r>
      <w:r w:rsidRPr="00E22450">
        <w:rPr>
          <w:lang w:val="pl-PL"/>
        </w:rPr>
        <w:t xml:space="preserve"> wpływ na system finansowy jako całość, potencjalnie</w:t>
      </w:r>
      <w:r w:rsidR="00F1653C" w:rsidRPr="00E22450">
        <w:rPr>
          <w:lang w:val="pl-PL"/>
        </w:rPr>
        <w:t xml:space="preserve"> z</w:t>
      </w:r>
      <w:r w:rsidR="00F1653C">
        <w:rPr>
          <w:lang w:val="pl-PL"/>
        </w:rPr>
        <w:t> </w:t>
      </w:r>
      <w:r w:rsidR="00F1653C" w:rsidRPr="00E22450">
        <w:rPr>
          <w:lang w:val="pl-PL"/>
        </w:rPr>
        <w:t>uwz</w:t>
      </w:r>
      <w:r w:rsidRPr="00E22450">
        <w:rPr>
          <w:lang w:val="pl-PL"/>
        </w:rPr>
        <w:t xml:space="preserve">ględnieniem narzędzi pozostających do dyspozycji władz”. Zob. Banque de France, </w:t>
      </w:r>
      <w:hyperlink r:id="rId20" w:history="1">
        <w:r w:rsidRPr="00E22450">
          <w:rPr>
            <w:rStyle w:val="Hyperlink"/>
            <w:lang w:val="pl-PL"/>
          </w:rPr>
          <w:t>„Non-bank financial intermediation:</w:t>
        </w:r>
      </w:hyperlink>
      <w:hyperlink r:id="rId21" w:history="1">
        <w:r w:rsidRPr="00E22450">
          <w:rPr>
            <w:rStyle w:val="Hyperlink"/>
            <w:lang w:val="pl-PL"/>
          </w:rPr>
          <w:t xml:space="preserve"> vulnerabilities and challenges”</w:t>
        </w:r>
      </w:hyperlink>
      <w:r w:rsidRPr="00E22450">
        <w:rPr>
          <w:lang w:val="pl-PL"/>
        </w:rPr>
        <w:t xml:space="preserve"> [Pozabankowe pośrednictwo finansowe: podatności na zagrożenia</w:t>
      </w:r>
      <w:r w:rsidR="00F1653C" w:rsidRPr="00E22450">
        <w:rPr>
          <w:lang w:val="pl-PL"/>
        </w:rPr>
        <w:t xml:space="preserve"> i</w:t>
      </w:r>
      <w:r w:rsidR="00F1653C">
        <w:rPr>
          <w:lang w:val="pl-PL"/>
        </w:rPr>
        <w:t> </w:t>
      </w:r>
      <w:r w:rsidR="00F1653C" w:rsidRPr="00E22450">
        <w:rPr>
          <w:lang w:val="pl-PL"/>
        </w:rPr>
        <w:t>wyz</w:t>
      </w:r>
      <w:r w:rsidRPr="00E22450">
        <w:rPr>
          <w:lang w:val="pl-PL"/>
        </w:rPr>
        <w:t>wania], 14 listopada 20</w:t>
      </w:r>
      <w:r w:rsidRPr="00F1653C">
        <w:rPr>
          <w:lang w:val="pl-PL"/>
        </w:rPr>
        <w:t>23</w:t>
      </w:r>
      <w:r w:rsidR="00F1653C" w:rsidRPr="00F1653C">
        <w:rPr>
          <w:lang w:val="pl-PL"/>
        </w:rPr>
        <w:t> </w:t>
      </w:r>
      <w:r w:rsidRPr="00F1653C">
        <w:rPr>
          <w:lang w:val="pl-PL"/>
        </w:rPr>
        <w:t>r</w:t>
      </w:r>
      <w:r w:rsidR="00F1653C" w:rsidRPr="00F1653C">
        <w:rPr>
          <w:lang w:val="pl-PL"/>
        </w:rPr>
        <w:t>.</w:t>
      </w:r>
      <w:r w:rsidR="00F1653C" w:rsidRPr="00E22450">
        <w:rPr>
          <w:lang w:val="pl-PL"/>
        </w:rPr>
        <w:t xml:space="preserve"> W</w:t>
      </w:r>
      <w:r w:rsidR="00F1653C">
        <w:rPr>
          <w:lang w:val="pl-PL"/>
        </w:rPr>
        <w:t> </w:t>
      </w:r>
      <w:r w:rsidR="00F1653C" w:rsidRPr="00E22450">
        <w:rPr>
          <w:lang w:val="pl-PL"/>
        </w:rPr>
        <w:t>lip</w:t>
      </w:r>
      <w:r w:rsidRPr="00E22450">
        <w:rPr>
          <w:lang w:val="pl-PL"/>
        </w:rPr>
        <w:t>cu 20</w:t>
      </w:r>
      <w:r w:rsidRPr="00F1653C">
        <w:rPr>
          <w:lang w:val="pl-PL"/>
        </w:rPr>
        <w:t>23</w:t>
      </w:r>
      <w:r w:rsidR="00F1653C" w:rsidRPr="00F1653C">
        <w:rPr>
          <w:lang w:val="pl-PL"/>
        </w:rPr>
        <w:t> </w:t>
      </w:r>
      <w:r w:rsidRPr="00F1653C">
        <w:rPr>
          <w:lang w:val="pl-PL"/>
        </w:rPr>
        <w:t>r.</w:t>
      </w:r>
      <w:r w:rsidRPr="00E22450">
        <w:rPr>
          <w:lang w:val="pl-PL"/>
        </w:rPr>
        <w:t xml:space="preserve"> Bank Centralny Irlandii opublikował dokument otwierający debatę pt. „</w:t>
      </w:r>
      <w:hyperlink r:id="rId22" w:history="1">
        <w:r w:rsidRPr="00E22450">
          <w:rPr>
            <w:rStyle w:val="Hyperlink"/>
            <w:lang w:val="pl-PL"/>
          </w:rPr>
          <w:t>Podejście do polityki makroostrożnościowej</w:t>
        </w:r>
        <w:r w:rsidR="00F1653C" w:rsidRPr="00E22450">
          <w:rPr>
            <w:rStyle w:val="Hyperlink"/>
            <w:lang w:val="pl-PL"/>
          </w:rPr>
          <w:t xml:space="preserve"> w</w:t>
        </w:r>
        <w:r w:rsidR="00F1653C">
          <w:rPr>
            <w:rStyle w:val="Hyperlink"/>
            <w:lang w:val="pl-PL"/>
          </w:rPr>
          <w:t> </w:t>
        </w:r>
        <w:r w:rsidR="00F1653C" w:rsidRPr="00E22450">
          <w:rPr>
            <w:rStyle w:val="Hyperlink"/>
            <w:lang w:val="pl-PL"/>
          </w:rPr>
          <w:t>odn</w:t>
        </w:r>
        <w:r w:rsidRPr="00E22450">
          <w:rPr>
            <w:rStyle w:val="Hyperlink"/>
            <w:lang w:val="pl-PL"/>
          </w:rPr>
          <w:t>iesieniu do funduszy inwestycyjnych</w:t>
        </w:r>
      </w:hyperlink>
      <w:r w:rsidRPr="00E22450">
        <w:rPr>
          <w:lang w:val="pl-PL"/>
        </w:rPr>
        <w:t>”,</w:t>
      </w:r>
      <w:r w:rsidR="00F1653C" w:rsidRPr="00E22450">
        <w:rPr>
          <w:lang w:val="pl-PL"/>
        </w:rPr>
        <w:t xml:space="preserve"> w</w:t>
      </w:r>
      <w:r w:rsidR="00F1653C">
        <w:rPr>
          <w:lang w:val="pl-PL"/>
        </w:rPr>
        <w:t> </w:t>
      </w:r>
      <w:r w:rsidR="00F1653C" w:rsidRPr="00E22450">
        <w:rPr>
          <w:lang w:val="pl-PL"/>
        </w:rPr>
        <w:t>któ</w:t>
      </w:r>
      <w:r w:rsidRPr="00E22450">
        <w:rPr>
          <w:lang w:val="pl-PL"/>
        </w:rPr>
        <w:t>rym między innymi analizuje ryzyko systemowe związane</w:t>
      </w:r>
      <w:r w:rsidR="00F1653C" w:rsidRPr="00E22450">
        <w:rPr>
          <w:lang w:val="pl-PL"/>
        </w:rPr>
        <w:t xml:space="preserve"> z</w:t>
      </w:r>
      <w:r w:rsidR="00F1653C">
        <w:rPr>
          <w:lang w:val="pl-PL"/>
        </w:rPr>
        <w:t> </w:t>
      </w:r>
      <w:r w:rsidR="00F1653C" w:rsidRPr="00E22450">
        <w:rPr>
          <w:lang w:val="pl-PL"/>
        </w:rPr>
        <w:t>fun</w:t>
      </w:r>
      <w:r w:rsidRPr="00E22450">
        <w:rPr>
          <w:lang w:val="pl-PL"/>
        </w:rPr>
        <w:t>duszami inwestycyjnymi</w:t>
      </w:r>
      <w:r w:rsidR="00F1653C" w:rsidRPr="00E22450">
        <w:rPr>
          <w:lang w:val="pl-PL"/>
        </w:rPr>
        <w:t xml:space="preserve"> i</w:t>
      </w:r>
      <w:r w:rsidR="00F1653C">
        <w:rPr>
          <w:lang w:val="pl-PL"/>
        </w:rPr>
        <w:t> </w:t>
      </w:r>
      <w:r w:rsidR="00F1653C" w:rsidRPr="00E22450">
        <w:rPr>
          <w:lang w:val="pl-PL"/>
        </w:rPr>
        <w:t>ana</w:t>
      </w:r>
      <w:r w:rsidRPr="00E22450">
        <w:rPr>
          <w:lang w:val="pl-PL"/>
        </w:rPr>
        <w:t>lizuje ideę bardziej całościowych ram makroostrożnościowych dla funduszy inwestycyjnych.</w:t>
      </w:r>
    </w:p>
  </w:footnote>
  <w:footnote w:id="18">
    <w:p w14:paraId="69452308" w14:textId="691748D4" w:rsidR="0021486B" w:rsidRPr="00E22450" w:rsidRDefault="0021486B" w:rsidP="00C64A13">
      <w:pPr>
        <w:pStyle w:val="FootnoteText"/>
        <w:rPr>
          <w:lang w:val="pl-PL"/>
        </w:rPr>
      </w:pPr>
      <w:r>
        <w:rPr>
          <w:rStyle w:val="FootnoteReference"/>
        </w:rPr>
        <w:footnoteRef/>
      </w:r>
      <w:r w:rsidRPr="00E22450">
        <w:rPr>
          <w:lang w:val="pl-PL"/>
        </w:rPr>
        <w:t xml:space="preserve"> Bufory kapitałowe, które razem tworzą wymóg połączonego bufora (CBR), są przewidziane</w:t>
      </w:r>
      <w:r w:rsidR="00F1653C" w:rsidRPr="00E22450">
        <w:rPr>
          <w:lang w:val="pl-PL"/>
        </w:rPr>
        <w:t xml:space="preserve"> w</w:t>
      </w:r>
      <w:r w:rsidR="00F1653C">
        <w:rPr>
          <w:lang w:val="pl-PL"/>
        </w:rPr>
        <w:t> </w:t>
      </w:r>
      <w:r w:rsidR="00F1653C" w:rsidRPr="00E22450">
        <w:rPr>
          <w:lang w:val="pl-PL"/>
        </w:rPr>
        <w:t>nas</w:t>
      </w:r>
      <w:r w:rsidRPr="00E22450">
        <w:rPr>
          <w:lang w:val="pl-PL"/>
        </w:rPr>
        <w:t xml:space="preserve">tępujących artykułach </w:t>
      </w:r>
      <w:r w:rsidRPr="00E22450">
        <w:rPr>
          <w:rStyle w:val="s2"/>
          <w:lang w:val="pl-PL"/>
        </w:rPr>
        <w:t>dyrektywy Parlamentu Europejskiego</w:t>
      </w:r>
      <w:r w:rsidR="00F1653C" w:rsidRPr="00E22450">
        <w:rPr>
          <w:rStyle w:val="s2"/>
          <w:lang w:val="pl-PL"/>
        </w:rPr>
        <w:t xml:space="preserve"> i</w:t>
      </w:r>
      <w:r w:rsidR="00F1653C">
        <w:rPr>
          <w:rStyle w:val="s2"/>
          <w:lang w:val="pl-PL"/>
        </w:rPr>
        <w:t> </w:t>
      </w:r>
      <w:r w:rsidR="00F1653C" w:rsidRPr="00E22450">
        <w:rPr>
          <w:rStyle w:val="s2"/>
          <w:lang w:val="pl-PL"/>
        </w:rPr>
        <w:t>Rad</w:t>
      </w:r>
      <w:r w:rsidRPr="00E22450">
        <w:rPr>
          <w:rStyle w:val="s2"/>
          <w:lang w:val="pl-PL"/>
        </w:rPr>
        <w:t>y 2013/36/UE</w:t>
      </w:r>
      <w:r w:rsidR="00F1653C" w:rsidRPr="00E22450">
        <w:rPr>
          <w:rStyle w:val="s2"/>
          <w:lang w:val="pl-PL"/>
        </w:rPr>
        <w:t xml:space="preserve"> z</w:t>
      </w:r>
      <w:r w:rsidR="00F1653C">
        <w:rPr>
          <w:rStyle w:val="s2"/>
          <w:lang w:val="pl-PL"/>
        </w:rPr>
        <w:t> </w:t>
      </w:r>
      <w:r w:rsidR="00F1653C" w:rsidRPr="00E22450">
        <w:rPr>
          <w:rStyle w:val="s2"/>
          <w:lang w:val="pl-PL"/>
        </w:rPr>
        <w:t>dni</w:t>
      </w:r>
      <w:r w:rsidRPr="00E22450">
        <w:rPr>
          <w:rStyle w:val="s2"/>
          <w:lang w:val="pl-PL"/>
        </w:rPr>
        <w:t>a 26 czerwca 20</w:t>
      </w:r>
      <w:r w:rsidRPr="00F1653C">
        <w:rPr>
          <w:rStyle w:val="s2"/>
          <w:lang w:val="pl-PL"/>
        </w:rPr>
        <w:t>13</w:t>
      </w:r>
      <w:r w:rsidR="00F1653C" w:rsidRPr="00F1653C">
        <w:rPr>
          <w:rStyle w:val="s2"/>
          <w:lang w:val="pl-PL"/>
        </w:rPr>
        <w:t> </w:t>
      </w:r>
      <w:r w:rsidRPr="00F1653C">
        <w:rPr>
          <w:rStyle w:val="s2"/>
          <w:lang w:val="pl-PL"/>
        </w:rPr>
        <w:t>r.</w:t>
      </w:r>
      <w:r w:rsidR="00F1653C" w:rsidRPr="00E22450">
        <w:rPr>
          <w:rStyle w:val="s2"/>
          <w:lang w:val="pl-PL"/>
        </w:rPr>
        <w:t xml:space="preserve"> w</w:t>
      </w:r>
      <w:r w:rsidR="00F1653C">
        <w:rPr>
          <w:rStyle w:val="s2"/>
          <w:lang w:val="pl-PL"/>
        </w:rPr>
        <w:t> </w:t>
      </w:r>
      <w:r w:rsidR="00F1653C" w:rsidRPr="00E22450">
        <w:rPr>
          <w:rStyle w:val="s2"/>
          <w:lang w:val="pl-PL"/>
        </w:rPr>
        <w:t>spr</w:t>
      </w:r>
      <w:r w:rsidRPr="00E22450">
        <w:rPr>
          <w:rStyle w:val="s2"/>
          <w:lang w:val="pl-PL"/>
        </w:rPr>
        <w:t>awie warunków dopuszczenia instytucji kredytowych do działalności oraz nadzoru ostrożnościowego nad instytucjami kredytowymi</w:t>
      </w:r>
      <w:r w:rsidR="00F1653C" w:rsidRPr="00E22450">
        <w:rPr>
          <w:rStyle w:val="s2"/>
          <w:lang w:val="pl-PL"/>
        </w:rPr>
        <w:t xml:space="preserve"> i</w:t>
      </w:r>
      <w:r w:rsidR="00F1653C">
        <w:rPr>
          <w:rStyle w:val="s2"/>
          <w:lang w:val="pl-PL"/>
        </w:rPr>
        <w:t> </w:t>
      </w:r>
      <w:r w:rsidR="00F1653C" w:rsidRPr="00E22450">
        <w:rPr>
          <w:rStyle w:val="s2"/>
          <w:lang w:val="pl-PL"/>
        </w:rPr>
        <w:t>fir</w:t>
      </w:r>
      <w:r w:rsidRPr="00E22450">
        <w:rPr>
          <w:rStyle w:val="s2"/>
          <w:lang w:val="pl-PL"/>
        </w:rPr>
        <w:t>mami inwestycyjnymi, (Dz.U. L 176</w:t>
      </w:r>
      <w:r w:rsidR="00F1653C" w:rsidRPr="00E22450">
        <w:rPr>
          <w:rStyle w:val="s2"/>
          <w:lang w:val="pl-PL"/>
        </w:rPr>
        <w:t xml:space="preserve"> z</w:t>
      </w:r>
      <w:r w:rsidR="00F1653C">
        <w:rPr>
          <w:rStyle w:val="s2"/>
          <w:lang w:val="pl-PL"/>
        </w:rPr>
        <w:t> </w:t>
      </w:r>
      <w:r w:rsidR="00F1653C" w:rsidRPr="00E22450">
        <w:rPr>
          <w:rStyle w:val="s2"/>
          <w:lang w:val="pl-PL"/>
        </w:rPr>
        <w:t>2</w:t>
      </w:r>
      <w:r w:rsidRPr="00E22450">
        <w:rPr>
          <w:rStyle w:val="s2"/>
          <w:lang w:val="pl-PL"/>
        </w:rPr>
        <w:t xml:space="preserve">7.6.2013, s. 338): bufor </w:t>
      </w:r>
      <w:r w:rsidRPr="00E22450">
        <w:rPr>
          <w:rStyle w:val="s2"/>
          <w:i/>
          <w:lang w:val="pl-PL"/>
        </w:rPr>
        <w:t>CCoB</w:t>
      </w:r>
      <w:r w:rsidR="00F1653C" w:rsidRPr="00E22450">
        <w:rPr>
          <w:rStyle w:val="s2"/>
          <w:lang w:val="pl-PL"/>
        </w:rPr>
        <w:t xml:space="preserve"> w</w:t>
      </w:r>
      <w:r w:rsidR="00F1653C">
        <w:rPr>
          <w:rStyle w:val="s2"/>
          <w:lang w:val="pl-PL"/>
        </w:rPr>
        <w:t> </w:t>
      </w:r>
      <w:r w:rsidR="00F1653C" w:rsidRPr="00F1653C">
        <w:rPr>
          <w:rStyle w:val="s2"/>
          <w:lang w:val="pl-PL"/>
        </w:rPr>
        <w:t>art</w:t>
      </w:r>
      <w:r w:rsidRPr="00F1653C">
        <w:rPr>
          <w:rStyle w:val="s2"/>
          <w:lang w:val="pl-PL"/>
        </w:rPr>
        <w:t>.</w:t>
      </w:r>
      <w:r w:rsidR="00F1653C" w:rsidRPr="00F1653C">
        <w:rPr>
          <w:rStyle w:val="s2"/>
          <w:lang w:val="pl-PL"/>
        </w:rPr>
        <w:t> </w:t>
      </w:r>
      <w:r w:rsidRPr="00F1653C">
        <w:rPr>
          <w:rStyle w:val="s2"/>
          <w:lang w:val="pl-PL"/>
        </w:rPr>
        <w:t>1</w:t>
      </w:r>
      <w:r w:rsidRPr="00E22450">
        <w:rPr>
          <w:rStyle w:val="s2"/>
          <w:lang w:val="pl-PL"/>
        </w:rPr>
        <w:t xml:space="preserve">29; bufory </w:t>
      </w:r>
      <w:r w:rsidRPr="00E22450">
        <w:rPr>
          <w:rStyle w:val="s2"/>
          <w:i/>
          <w:lang w:val="pl-PL"/>
        </w:rPr>
        <w:t>G-SII</w:t>
      </w:r>
      <w:r w:rsidRPr="00E22450">
        <w:rPr>
          <w:rStyle w:val="s2"/>
          <w:lang w:val="pl-PL"/>
        </w:rPr>
        <w:t xml:space="preserve"> i </w:t>
      </w:r>
      <w:r w:rsidRPr="00E22450">
        <w:rPr>
          <w:rStyle w:val="s2"/>
          <w:i/>
          <w:lang w:val="pl-PL"/>
        </w:rPr>
        <w:t>O-SII</w:t>
      </w:r>
      <w:r w:rsidR="00F1653C" w:rsidRPr="00E22450">
        <w:rPr>
          <w:rStyle w:val="s2"/>
          <w:lang w:val="pl-PL"/>
        </w:rPr>
        <w:t xml:space="preserve"> w</w:t>
      </w:r>
      <w:r w:rsidR="00F1653C">
        <w:rPr>
          <w:rStyle w:val="s2"/>
          <w:lang w:val="pl-PL"/>
        </w:rPr>
        <w:t> </w:t>
      </w:r>
      <w:r w:rsidR="00F1653C" w:rsidRPr="00F1653C">
        <w:rPr>
          <w:rStyle w:val="s2"/>
          <w:lang w:val="pl-PL"/>
        </w:rPr>
        <w:t>art</w:t>
      </w:r>
      <w:r w:rsidRPr="00F1653C">
        <w:rPr>
          <w:rStyle w:val="s2"/>
          <w:lang w:val="pl-PL"/>
        </w:rPr>
        <w:t>.</w:t>
      </w:r>
      <w:r w:rsidR="00F1653C" w:rsidRPr="00F1653C">
        <w:rPr>
          <w:rStyle w:val="s2"/>
          <w:lang w:val="pl-PL"/>
        </w:rPr>
        <w:t> </w:t>
      </w:r>
      <w:r w:rsidRPr="00F1653C">
        <w:rPr>
          <w:rStyle w:val="s2"/>
          <w:lang w:val="pl-PL"/>
        </w:rPr>
        <w:t>1</w:t>
      </w:r>
      <w:r w:rsidRPr="00E22450">
        <w:rPr>
          <w:rStyle w:val="s2"/>
          <w:lang w:val="pl-PL"/>
        </w:rPr>
        <w:t xml:space="preserve">31; bufor </w:t>
      </w:r>
      <w:r w:rsidRPr="00E22450">
        <w:rPr>
          <w:rStyle w:val="s2"/>
          <w:i/>
          <w:lang w:val="pl-PL"/>
        </w:rPr>
        <w:t>CCoB</w:t>
      </w:r>
      <w:r w:rsidR="00F1653C" w:rsidRPr="00E22450">
        <w:rPr>
          <w:rStyle w:val="s2"/>
          <w:lang w:val="pl-PL"/>
        </w:rPr>
        <w:t xml:space="preserve"> w</w:t>
      </w:r>
      <w:r w:rsidR="00F1653C">
        <w:rPr>
          <w:rStyle w:val="s2"/>
          <w:lang w:val="pl-PL"/>
        </w:rPr>
        <w:t> </w:t>
      </w:r>
      <w:r w:rsidR="00F1653C" w:rsidRPr="00F1653C">
        <w:rPr>
          <w:rStyle w:val="s2"/>
          <w:lang w:val="pl-PL"/>
        </w:rPr>
        <w:t>art</w:t>
      </w:r>
      <w:r w:rsidRPr="00F1653C">
        <w:rPr>
          <w:rStyle w:val="s2"/>
          <w:lang w:val="pl-PL"/>
        </w:rPr>
        <w:t>.</w:t>
      </w:r>
      <w:r w:rsidR="00F1653C" w:rsidRPr="00F1653C">
        <w:rPr>
          <w:rStyle w:val="s2"/>
          <w:lang w:val="pl-PL"/>
        </w:rPr>
        <w:t> </w:t>
      </w:r>
      <w:r w:rsidRPr="00F1653C">
        <w:rPr>
          <w:rStyle w:val="s2"/>
          <w:lang w:val="pl-PL"/>
        </w:rPr>
        <w:t>1</w:t>
      </w:r>
      <w:r w:rsidRPr="00E22450">
        <w:rPr>
          <w:rStyle w:val="s2"/>
          <w:lang w:val="pl-PL"/>
        </w:rPr>
        <w:t xml:space="preserve">30; bufor </w:t>
      </w:r>
      <w:r w:rsidRPr="00E22450">
        <w:rPr>
          <w:rStyle w:val="s2"/>
          <w:i/>
          <w:lang w:val="pl-PL"/>
        </w:rPr>
        <w:t>SyRB</w:t>
      </w:r>
      <w:r w:rsidR="00F1653C" w:rsidRPr="00E22450">
        <w:rPr>
          <w:rStyle w:val="s2"/>
          <w:lang w:val="pl-PL"/>
        </w:rPr>
        <w:t xml:space="preserve"> w</w:t>
      </w:r>
      <w:r w:rsidR="00F1653C">
        <w:rPr>
          <w:rStyle w:val="s2"/>
          <w:lang w:val="pl-PL"/>
        </w:rPr>
        <w:t> </w:t>
      </w:r>
      <w:r w:rsidR="00F1653C" w:rsidRPr="00F1653C">
        <w:rPr>
          <w:rStyle w:val="s2"/>
          <w:lang w:val="pl-PL"/>
        </w:rPr>
        <w:t>art</w:t>
      </w:r>
      <w:r w:rsidRPr="00F1653C">
        <w:rPr>
          <w:rStyle w:val="s2"/>
          <w:lang w:val="pl-PL"/>
        </w:rPr>
        <w:t>.</w:t>
      </w:r>
      <w:r w:rsidR="00F1653C" w:rsidRPr="00F1653C">
        <w:rPr>
          <w:rStyle w:val="s2"/>
          <w:lang w:val="pl-PL"/>
        </w:rPr>
        <w:t> </w:t>
      </w:r>
      <w:r w:rsidRPr="00F1653C">
        <w:rPr>
          <w:rStyle w:val="s2"/>
          <w:lang w:val="pl-PL"/>
        </w:rPr>
        <w:t>1</w:t>
      </w:r>
      <w:r w:rsidRPr="00E22450">
        <w:rPr>
          <w:rStyle w:val="s2"/>
          <w:lang w:val="pl-PL"/>
        </w:rPr>
        <w:t xml:space="preserve">33. </w:t>
      </w:r>
    </w:p>
  </w:footnote>
  <w:footnote w:id="19">
    <w:p w14:paraId="2E61FFA0" w14:textId="41C5FFEB" w:rsidR="00FB6E6D" w:rsidRPr="00E22450" w:rsidRDefault="00FB6E6D" w:rsidP="002E17E0">
      <w:pPr>
        <w:spacing w:after="0"/>
        <w:rPr>
          <w:rFonts w:cs="Times New Roman"/>
          <w:sz w:val="20"/>
          <w:lang w:val="pl-PL"/>
        </w:rPr>
      </w:pPr>
      <w:r>
        <w:rPr>
          <w:rStyle w:val="FootnoteReference"/>
        </w:rPr>
        <w:footnoteRef/>
      </w:r>
      <w:r w:rsidRPr="00E22450">
        <w:rPr>
          <w:sz w:val="20"/>
          <w:lang w:val="pl-PL"/>
        </w:rPr>
        <w:t xml:space="preserve"> Art. 5 </w:t>
      </w:r>
      <w:r w:rsidRPr="00F1653C">
        <w:rPr>
          <w:sz w:val="20"/>
          <w:lang w:val="pl-PL"/>
        </w:rPr>
        <w:t>ust.</w:t>
      </w:r>
      <w:r w:rsidR="00F1653C" w:rsidRPr="00F1653C">
        <w:rPr>
          <w:sz w:val="20"/>
          <w:lang w:val="pl-PL"/>
        </w:rPr>
        <w:t> </w:t>
      </w:r>
      <w:r w:rsidRPr="00F1653C">
        <w:rPr>
          <w:sz w:val="20"/>
          <w:lang w:val="pl-PL"/>
        </w:rPr>
        <w:t>2</w:t>
      </w:r>
      <w:r w:rsidRPr="00E22450">
        <w:rPr>
          <w:sz w:val="20"/>
          <w:lang w:val="pl-PL"/>
        </w:rPr>
        <w:t xml:space="preserve"> rozporządzenia Rady (UE) nr 1024/2013</w:t>
      </w:r>
      <w:r w:rsidR="00F1653C" w:rsidRPr="00E22450">
        <w:rPr>
          <w:sz w:val="20"/>
          <w:lang w:val="pl-PL"/>
        </w:rPr>
        <w:t xml:space="preserve"> z</w:t>
      </w:r>
      <w:r w:rsidR="00F1653C">
        <w:rPr>
          <w:sz w:val="20"/>
          <w:lang w:val="pl-PL"/>
        </w:rPr>
        <w:t> </w:t>
      </w:r>
      <w:r w:rsidR="00F1653C" w:rsidRPr="00E22450">
        <w:rPr>
          <w:sz w:val="20"/>
          <w:lang w:val="pl-PL"/>
        </w:rPr>
        <w:t>dni</w:t>
      </w:r>
      <w:r w:rsidRPr="00E22450">
        <w:rPr>
          <w:sz w:val="20"/>
          <w:lang w:val="pl-PL"/>
        </w:rPr>
        <w:t>a 15 października 2013 r. powierzające Europejskiemu Bankowi Centralnemu szczególne zadania</w:t>
      </w:r>
      <w:r w:rsidR="00F1653C" w:rsidRPr="00E22450">
        <w:rPr>
          <w:sz w:val="20"/>
          <w:lang w:val="pl-PL"/>
        </w:rPr>
        <w:t xml:space="preserve"> w</w:t>
      </w:r>
      <w:r w:rsidR="00F1653C">
        <w:rPr>
          <w:sz w:val="20"/>
          <w:lang w:val="pl-PL"/>
        </w:rPr>
        <w:t> </w:t>
      </w:r>
      <w:r w:rsidR="00F1653C" w:rsidRPr="00E22450">
        <w:rPr>
          <w:sz w:val="20"/>
          <w:lang w:val="pl-PL"/>
        </w:rPr>
        <w:t>odn</w:t>
      </w:r>
      <w:r w:rsidRPr="00E22450">
        <w:rPr>
          <w:sz w:val="20"/>
          <w:lang w:val="pl-PL"/>
        </w:rPr>
        <w:t>iesieniu do polityki związanej</w:t>
      </w:r>
      <w:r w:rsidR="00F1653C" w:rsidRPr="00E22450">
        <w:rPr>
          <w:sz w:val="20"/>
          <w:lang w:val="pl-PL"/>
        </w:rPr>
        <w:t xml:space="preserve"> z</w:t>
      </w:r>
      <w:r w:rsidR="00F1653C">
        <w:rPr>
          <w:sz w:val="20"/>
          <w:lang w:val="pl-PL"/>
        </w:rPr>
        <w:t> </w:t>
      </w:r>
      <w:r w:rsidR="00F1653C" w:rsidRPr="00E22450">
        <w:rPr>
          <w:sz w:val="20"/>
          <w:lang w:val="pl-PL"/>
        </w:rPr>
        <w:t>nad</w:t>
      </w:r>
      <w:r w:rsidRPr="00E22450">
        <w:rPr>
          <w:sz w:val="20"/>
          <w:lang w:val="pl-PL"/>
        </w:rPr>
        <w:t>zorem ostrożnościowym nad instytucjami kredytowymi.</w:t>
      </w:r>
    </w:p>
  </w:footnote>
  <w:footnote w:id="20">
    <w:p w14:paraId="78824C58" w14:textId="288D1AF3" w:rsidR="00241024" w:rsidRPr="00E22450" w:rsidRDefault="00241024" w:rsidP="00C45C15">
      <w:pPr>
        <w:spacing w:after="0" w:line="240" w:lineRule="auto"/>
        <w:rPr>
          <w:sz w:val="20"/>
          <w:lang w:val="pl-PL"/>
        </w:rPr>
      </w:pPr>
      <w:r>
        <w:rPr>
          <w:rStyle w:val="FootnoteReference"/>
        </w:rPr>
        <w:footnoteRef/>
      </w:r>
      <w:r w:rsidRPr="00E22450">
        <w:rPr>
          <w:sz w:val="20"/>
          <w:lang w:val="pl-PL"/>
        </w:rPr>
        <w:t xml:space="preserve"> </w:t>
      </w:r>
      <w:r w:rsidRPr="00E22450">
        <w:rPr>
          <w:color w:val="333333"/>
          <w:sz w:val="20"/>
          <w:shd w:val="clear" w:color="auto" w:fill="FFFFFF"/>
          <w:lang w:val="pl-PL"/>
        </w:rPr>
        <w:t>Dyrektywa Parlamentu Europejskiego</w:t>
      </w:r>
      <w:r w:rsidR="00F1653C" w:rsidRPr="00E22450">
        <w:rPr>
          <w:color w:val="333333"/>
          <w:sz w:val="20"/>
          <w:shd w:val="clear" w:color="auto" w:fill="FFFFFF"/>
          <w:lang w:val="pl-PL"/>
        </w:rPr>
        <w:t xml:space="preserve"> i</w:t>
      </w:r>
      <w:r w:rsidR="00F1653C">
        <w:rPr>
          <w:color w:val="333333"/>
          <w:sz w:val="20"/>
          <w:shd w:val="clear" w:color="auto" w:fill="FFFFFF"/>
          <w:lang w:val="pl-PL"/>
        </w:rPr>
        <w:t> </w:t>
      </w:r>
      <w:r w:rsidR="00F1653C" w:rsidRPr="00E22450">
        <w:rPr>
          <w:color w:val="333333"/>
          <w:sz w:val="20"/>
          <w:shd w:val="clear" w:color="auto" w:fill="FFFFFF"/>
          <w:lang w:val="pl-PL"/>
        </w:rPr>
        <w:t>Rad</w:t>
      </w:r>
      <w:r w:rsidRPr="00E22450">
        <w:rPr>
          <w:color w:val="333333"/>
          <w:sz w:val="20"/>
          <w:shd w:val="clear" w:color="auto" w:fill="FFFFFF"/>
          <w:lang w:val="pl-PL"/>
        </w:rPr>
        <w:t>y 2011/61/UE</w:t>
      </w:r>
      <w:r w:rsidR="00F1653C" w:rsidRPr="00E22450">
        <w:rPr>
          <w:color w:val="333333"/>
          <w:sz w:val="20"/>
          <w:shd w:val="clear" w:color="auto" w:fill="FFFFFF"/>
          <w:lang w:val="pl-PL"/>
        </w:rPr>
        <w:t xml:space="preserve"> z</w:t>
      </w:r>
      <w:r w:rsidR="00F1653C">
        <w:rPr>
          <w:color w:val="333333"/>
          <w:sz w:val="20"/>
          <w:shd w:val="clear" w:color="auto" w:fill="FFFFFF"/>
          <w:lang w:val="pl-PL"/>
        </w:rPr>
        <w:t> </w:t>
      </w:r>
      <w:r w:rsidR="00F1653C" w:rsidRPr="00E22450">
        <w:rPr>
          <w:color w:val="333333"/>
          <w:sz w:val="20"/>
          <w:shd w:val="clear" w:color="auto" w:fill="FFFFFF"/>
          <w:lang w:val="pl-PL"/>
        </w:rPr>
        <w:t>dni</w:t>
      </w:r>
      <w:r w:rsidRPr="00E22450">
        <w:rPr>
          <w:color w:val="333333"/>
          <w:sz w:val="20"/>
          <w:shd w:val="clear" w:color="auto" w:fill="FFFFFF"/>
          <w:lang w:val="pl-PL"/>
        </w:rPr>
        <w:t>a 8 czerwca 20</w:t>
      </w:r>
      <w:r w:rsidRPr="00F1653C">
        <w:rPr>
          <w:color w:val="333333"/>
          <w:sz w:val="20"/>
          <w:shd w:val="clear" w:color="auto" w:fill="FFFFFF"/>
          <w:lang w:val="pl-PL"/>
        </w:rPr>
        <w:t>11</w:t>
      </w:r>
      <w:r w:rsidR="00F1653C" w:rsidRPr="00F1653C">
        <w:rPr>
          <w:color w:val="333333"/>
          <w:sz w:val="20"/>
          <w:shd w:val="clear" w:color="auto" w:fill="FFFFFF"/>
          <w:lang w:val="pl-PL"/>
        </w:rPr>
        <w:t> </w:t>
      </w:r>
      <w:r w:rsidRPr="00F1653C">
        <w:rPr>
          <w:color w:val="333333"/>
          <w:sz w:val="20"/>
          <w:shd w:val="clear" w:color="auto" w:fill="FFFFFF"/>
          <w:lang w:val="pl-PL"/>
        </w:rPr>
        <w:t>r.</w:t>
      </w:r>
      <w:r w:rsidR="00F1653C" w:rsidRPr="00E22450">
        <w:rPr>
          <w:color w:val="333333"/>
          <w:sz w:val="20"/>
          <w:shd w:val="clear" w:color="auto" w:fill="FFFFFF"/>
          <w:lang w:val="pl-PL"/>
        </w:rPr>
        <w:t xml:space="preserve"> w</w:t>
      </w:r>
      <w:r w:rsidR="00F1653C">
        <w:rPr>
          <w:color w:val="333333"/>
          <w:sz w:val="20"/>
          <w:shd w:val="clear" w:color="auto" w:fill="FFFFFF"/>
          <w:lang w:val="pl-PL"/>
        </w:rPr>
        <w:t> </w:t>
      </w:r>
      <w:r w:rsidR="00F1653C" w:rsidRPr="00E22450">
        <w:rPr>
          <w:color w:val="333333"/>
          <w:sz w:val="20"/>
          <w:shd w:val="clear" w:color="auto" w:fill="FFFFFF"/>
          <w:lang w:val="pl-PL"/>
        </w:rPr>
        <w:t>spr</w:t>
      </w:r>
      <w:r w:rsidRPr="00E22450">
        <w:rPr>
          <w:color w:val="333333"/>
          <w:sz w:val="20"/>
          <w:shd w:val="clear" w:color="auto" w:fill="FFFFFF"/>
          <w:lang w:val="pl-PL"/>
        </w:rPr>
        <w:t>awie zarządzających alternatywnymi funduszami inwestycyjnymi</w:t>
      </w:r>
      <w:r w:rsidR="00F1653C" w:rsidRPr="00E22450">
        <w:rPr>
          <w:color w:val="333333"/>
          <w:sz w:val="20"/>
          <w:shd w:val="clear" w:color="auto" w:fill="FFFFFF"/>
          <w:lang w:val="pl-PL"/>
        </w:rPr>
        <w:t xml:space="preserve"> i</w:t>
      </w:r>
      <w:r w:rsidR="00F1653C">
        <w:rPr>
          <w:color w:val="333333"/>
          <w:sz w:val="20"/>
          <w:shd w:val="clear" w:color="auto" w:fill="FFFFFF"/>
          <w:lang w:val="pl-PL"/>
        </w:rPr>
        <w:t> </w:t>
      </w:r>
      <w:r w:rsidR="00F1653C" w:rsidRPr="00E22450">
        <w:rPr>
          <w:color w:val="333333"/>
          <w:sz w:val="20"/>
          <w:shd w:val="clear" w:color="auto" w:fill="FFFFFF"/>
          <w:lang w:val="pl-PL"/>
        </w:rPr>
        <w:t>zmi</w:t>
      </w:r>
      <w:r w:rsidRPr="00E22450">
        <w:rPr>
          <w:color w:val="333333"/>
          <w:sz w:val="20"/>
          <w:shd w:val="clear" w:color="auto" w:fill="FFFFFF"/>
          <w:lang w:val="pl-PL"/>
        </w:rPr>
        <w:t>any dyrektyw 2003/41/WE</w:t>
      </w:r>
      <w:r w:rsidR="00F1653C" w:rsidRPr="00E22450">
        <w:rPr>
          <w:color w:val="333333"/>
          <w:sz w:val="20"/>
          <w:shd w:val="clear" w:color="auto" w:fill="FFFFFF"/>
          <w:lang w:val="pl-PL"/>
        </w:rPr>
        <w:t xml:space="preserve"> i</w:t>
      </w:r>
      <w:r w:rsidR="00F1653C">
        <w:rPr>
          <w:color w:val="333333"/>
          <w:sz w:val="20"/>
          <w:shd w:val="clear" w:color="auto" w:fill="FFFFFF"/>
          <w:lang w:val="pl-PL"/>
        </w:rPr>
        <w:t> </w:t>
      </w:r>
      <w:r w:rsidR="00F1653C" w:rsidRPr="00E22450">
        <w:rPr>
          <w:color w:val="333333"/>
          <w:sz w:val="20"/>
          <w:shd w:val="clear" w:color="auto" w:fill="FFFFFF"/>
          <w:lang w:val="pl-PL"/>
        </w:rPr>
        <w:t>2</w:t>
      </w:r>
      <w:r w:rsidRPr="00E22450">
        <w:rPr>
          <w:color w:val="333333"/>
          <w:sz w:val="20"/>
          <w:shd w:val="clear" w:color="auto" w:fill="FFFFFF"/>
          <w:lang w:val="pl-PL"/>
        </w:rPr>
        <w:t xml:space="preserve">009/65/WE oraz rozporządzeń (WE) </w:t>
      </w:r>
      <w:r w:rsidRPr="00F1653C">
        <w:rPr>
          <w:color w:val="333333"/>
          <w:sz w:val="20"/>
          <w:shd w:val="clear" w:color="auto" w:fill="FFFFFF"/>
          <w:lang w:val="pl-PL"/>
        </w:rPr>
        <w:t>nr</w:t>
      </w:r>
      <w:r w:rsidR="00F1653C" w:rsidRPr="00F1653C">
        <w:rPr>
          <w:color w:val="333333"/>
          <w:sz w:val="20"/>
          <w:shd w:val="clear" w:color="auto" w:fill="FFFFFF"/>
          <w:lang w:val="pl-PL"/>
        </w:rPr>
        <w:t> </w:t>
      </w:r>
      <w:r w:rsidRPr="00F1653C">
        <w:rPr>
          <w:color w:val="333333"/>
          <w:sz w:val="20"/>
          <w:shd w:val="clear" w:color="auto" w:fill="FFFFFF"/>
          <w:lang w:val="pl-PL"/>
        </w:rPr>
        <w:t>1</w:t>
      </w:r>
      <w:r w:rsidRPr="00E22450">
        <w:rPr>
          <w:color w:val="333333"/>
          <w:sz w:val="20"/>
          <w:shd w:val="clear" w:color="auto" w:fill="FFFFFF"/>
          <w:lang w:val="pl-PL"/>
        </w:rPr>
        <w:t xml:space="preserve">060/2009 i (UE) </w:t>
      </w:r>
      <w:r w:rsidRPr="00F1653C">
        <w:rPr>
          <w:color w:val="333333"/>
          <w:sz w:val="20"/>
          <w:shd w:val="clear" w:color="auto" w:fill="FFFFFF"/>
          <w:lang w:val="pl-PL"/>
        </w:rPr>
        <w:t>nr</w:t>
      </w:r>
      <w:r w:rsidR="00F1653C" w:rsidRPr="00F1653C">
        <w:rPr>
          <w:color w:val="333333"/>
          <w:sz w:val="20"/>
          <w:shd w:val="clear" w:color="auto" w:fill="FFFFFF"/>
          <w:lang w:val="pl-PL"/>
        </w:rPr>
        <w:t> </w:t>
      </w:r>
      <w:r w:rsidRPr="00F1653C">
        <w:rPr>
          <w:color w:val="333333"/>
          <w:sz w:val="20"/>
          <w:shd w:val="clear" w:color="auto" w:fill="FFFFFF"/>
          <w:lang w:val="pl-PL"/>
        </w:rPr>
        <w:t>1</w:t>
      </w:r>
      <w:r w:rsidRPr="00E22450">
        <w:rPr>
          <w:color w:val="333333"/>
          <w:sz w:val="20"/>
          <w:shd w:val="clear" w:color="auto" w:fill="FFFFFF"/>
          <w:lang w:val="pl-PL"/>
        </w:rPr>
        <w:t xml:space="preserve">095/2010. </w:t>
      </w:r>
    </w:p>
  </w:footnote>
  <w:footnote w:id="21">
    <w:p w14:paraId="39B7D085" w14:textId="16CED35A" w:rsidR="00241024" w:rsidRPr="00E22450" w:rsidRDefault="00241024" w:rsidP="00C45C15">
      <w:pPr>
        <w:spacing w:after="0" w:line="240" w:lineRule="auto"/>
        <w:rPr>
          <w:sz w:val="20"/>
          <w:lang w:val="pl-PL"/>
        </w:rPr>
      </w:pPr>
      <w:r>
        <w:rPr>
          <w:rStyle w:val="FootnoteReference"/>
        </w:rPr>
        <w:footnoteRef/>
      </w:r>
      <w:r w:rsidRPr="00E22450">
        <w:rPr>
          <w:sz w:val="20"/>
          <w:lang w:val="pl-PL"/>
        </w:rPr>
        <w:t xml:space="preserve"> </w:t>
      </w:r>
      <w:r w:rsidRPr="00E22450">
        <w:rPr>
          <w:color w:val="333333"/>
          <w:sz w:val="20"/>
          <w:shd w:val="clear" w:color="auto" w:fill="FFFFFF"/>
          <w:lang w:val="pl-PL"/>
        </w:rPr>
        <w:t>Dyrektywa Parlamentu Europejskiego</w:t>
      </w:r>
      <w:r w:rsidR="00F1653C" w:rsidRPr="00E22450">
        <w:rPr>
          <w:color w:val="333333"/>
          <w:sz w:val="20"/>
          <w:shd w:val="clear" w:color="auto" w:fill="FFFFFF"/>
          <w:lang w:val="pl-PL"/>
        </w:rPr>
        <w:t xml:space="preserve"> i</w:t>
      </w:r>
      <w:r w:rsidR="00F1653C">
        <w:rPr>
          <w:color w:val="333333"/>
          <w:sz w:val="20"/>
          <w:shd w:val="clear" w:color="auto" w:fill="FFFFFF"/>
          <w:lang w:val="pl-PL"/>
        </w:rPr>
        <w:t> </w:t>
      </w:r>
      <w:r w:rsidR="00F1653C" w:rsidRPr="00E22450">
        <w:rPr>
          <w:color w:val="333333"/>
          <w:sz w:val="20"/>
          <w:shd w:val="clear" w:color="auto" w:fill="FFFFFF"/>
          <w:lang w:val="pl-PL"/>
        </w:rPr>
        <w:t>Rad</w:t>
      </w:r>
      <w:r w:rsidRPr="00E22450">
        <w:rPr>
          <w:color w:val="333333"/>
          <w:sz w:val="20"/>
          <w:shd w:val="clear" w:color="auto" w:fill="FFFFFF"/>
          <w:lang w:val="pl-PL"/>
        </w:rPr>
        <w:t>y 2009/65/WE</w:t>
      </w:r>
      <w:r w:rsidR="00F1653C" w:rsidRPr="00E22450">
        <w:rPr>
          <w:color w:val="333333"/>
          <w:sz w:val="20"/>
          <w:shd w:val="clear" w:color="auto" w:fill="FFFFFF"/>
          <w:lang w:val="pl-PL"/>
        </w:rPr>
        <w:t xml:space="preserve"> z</w:t>
      </w:r>
      <w:r w:rsidR="00F1653C">
        <w:rPr>
          <w:color w:val="333333"/>
          <w:sz w:val="20"/>
          <w:shd w:val="clear" w:color="auto" w:fill="FFFFFF"/>
          <w:lang w:val="pl-PL"/>
        </w:rPr>
        <w:t> </w:t>
      </w:r>
      <w:r w:rsidR="00F1653C" w:rsidRPr="00E22450">
        <w:rPr>
          <w:color w:val="333333"/>
          <w:sz w:val="20"/>
          <w:shd w:val="clear" w:color="auto" w:fill="FFFFFF"/>
          <w:lang w:val="pl-PL"/>
        </w:rPr>
        <w:t>dni</w:t>
      </w:r>
      <w:r w:rsidRPr="00E22450">
        <w:rPr>
          <w:color w:val="333333"/>
          <w:sz w:val="20"/>
          <w:shd w:val="clear" w:color="auto" w:fill="FFFFFF"/>
          <w:lang w:val="pl-PL"/>
        </w:rPr>
        <w:t>a 13 lipca 20</w:t>
      </w:r>
      <w:r w:rsidRPr="00F1653C">
        <w:rPr>
          <w:color w:val="333333"/>
          <w:sz w:val="20"/>
          <w:shd w:val="clear" w:color="auto" w:fill="FFFFFF"/>
          <w:lang w:val="pl-PL"/>
        </w:rPr>
        <w:t>09</w:t>
      </w:r>
      <w:r w:rsidR="00F1653C" w:rsidRPr="00F1653C">
        <w:rPr>
          <w:color w:val="333333"/>
          <w:sz w:val="20"/>
          <w:shd w:val="clear" w:color="auto" w:fill="FFFFFF"/>
          <w:lang w:val="pl-PL"/>
        </w:rPr>
        <w:t> </w:t>
      </w:r>
      <w:r w:rsidRPr="00F1653C">
        <w:rPr>
          <w:color w:val="333333"/>
          <w:sz w:val="20"/>
          <w:shd w:val="clear" w:color="auto" w:fill="FFFFFF"/>
          <w:lang w:val="pl-PL"/>
        </w:rPr>
        <w:t>r.</w:t>
      </w:r>
      <w:r w:rsidR="00F1653C" w:rsidRPr="00E22450">
        <w:rPr>
          <w:color w:val="333333"/>
          <w:sz w:val="20"/>
          <w:shd w:val="clear" w:color="auto" w:fill="FFFFFF"/>
          <w:lang w:val="pl-PL"/>
        </w:rPr>
        <w:t xml:space="preserve"> w</w:t>
      </w:r>
      <w:r w:rsidR="00F1653C">
        <w:rPr>
          <w:color w:val="333333"/>
          <w:sz w:val="20"/>
          <w:shd w:val="clear" w:color="auto" w:fill="FFFFFF"/>
          <w:lang w:val="pl-PL"/>
        </w:rPr>
        <w:t> </w:t>
      </w:r>
      <w:r w:rsidR="00F1653C" w:rsidRPr="00E22450">
        <w:rPr>
          <w:color w:val="333333"/>
          <w:sz w:val="20"/>
          <w:shd w:val="clear" w:color="auto" w:fill="FFFFFF"/>
          <w:lang w:val="pl-PL"/>
        </w:rPr>
        <w:t>spr</w:t>
      </w:r>
      <w:r w:rsidRPr="00E22450">
        <w:rPr>
          <w:color w:val="333333"/>
          <w:sz w:val="20"/>
          <w:shd w:val="clear" w:color="auto" w:fill="FFFFFF"/>
          <w:lang w:val="pl-PL"/>
        </w:rPr>
        <w:t>awie koordynacji przepisów ustawowych, wykonawczych</w:t>
      </w:r>
      <w:r w:rsidR="00F1653C" w:rsidRPr="00E22450">
        <w:rPr>
          <w:color w:val="333333"/>
          <w:sz w:val="20"/>
          <w:shd w:val="clear" w:color="auto" w:fill="FFFFFF"/>
          <w:lang w:val="pl-PL"/>
        </w:rPr>
        <w:t xml:space="preserve"> i</w:t>
      </w:r>
      <w:r w:rsidR="00F1653C">
        <w:rPr>
          <w:color w:val="333333"/>
          <w:sz w:val="20"/>
          <w:shd w:val="clear" w:color="auto" w:fill="FFFFFF"/>
          <w:lang w:val="pl-PL"/>
        </w:rPr>
        <w:t> </w:t>
      </w:r>
      <w:r w:rsidR="00F1653C" w:rsidRPr="00E22450">
        <w:rPr>
          <w:color w:val="333333"/>
          <w:sz w:val="20"/>
          <w:shd w:val="clear" w:color="auto" w:fill="FFFFFF"/>
          <w:lang w:val="pl-PL"/>
        </w:rPr>
        <w:t>adm</w:t>
      </w:r>
      <w:r w:rsidRPr="00E22450">
        <w:rPr>
          <w:color w:val="333333"/>
          <w:sz w:val="20"/>
          <w:shd w:val="clear" w:color="auto" w:fill="FFFFFF"/>
          <w:lang w:val="pl-PL"/>
        </w:rPr>
        <w:t>inistracyjnych odnoszących się do przedsiębiorstw zbiorowego inwestowania</w:t>
      </w:r>
      <w:r w:rsidR="00F1653C" w:rsidRPr="00E22450">
        <w:rPr>
          <w:color w:val="333333"/>
          <w:sz w:val="20"/>
          <w:shd w:val="clear" w:color="auto" w:fill="FFFFFF"/>
          <w:lang w:val="pl-PL"/>
        </w:rPr>
        <w:t xml:space="preserve"> w</w:t>
      </w:r>
      <w:r w:rsidR="00F1653C">
        <w:rPr>
          <w:color w:val="333333"/>
          <w:sz w:val="20"/>
          <w:shd w:val="clear" w:color="auto" w:fill="FFFFFF"/>
          <w:lang w:val="pl-PL"/>
        </w:rPr>
        <w:t> </w:t>
      </w:r>
      <w:r w:rsidR="00F1653C" w:rsidRPr="00E22450">
        <w:rPr>
          <w:color w:val="333333"/>
          <w:sz w:val="20"/>
          <w:shd w:val="clear" w:color="auto" w:fill="FFFFFF"/>
          <w:lang w:val="pl-PL"/>
        </w:rPr>
        <w:t>zby</w:t>
      </w:r>
      <w:r w:rsidRPr="00E22450">
        <w:rPr>
          <w:color w:val="333333"/>
          <w:sz w:val="20"/>
          <w:shd w:val="clear" w:color="auto" w:fill="FFFFFF"/>
          <w:lang w:val="pl-PL"/>
        </w:rPr>
        <w:t>walne papiery wartościowe (UCITS) (wersja przekształcona</w:t>
      </w:r>
      <w:r w:rsidRPr="00E22450">
        <w:rPr>
          <w:sz w:val="20"/>
          <w:lang w:val="pl-PL"/>
        </w:rPr>
        <w:t xml:space="preserve">). </w:t>
      </w:r>
    </w:p>
  </w:footnote>
  <w:footnote w:id="22">
    <w:p w14:paraId="5BC73E3B" w14:textId="2E5AE998" w:rsidR="00241024" w:rsidRPr="00E22450" w:rsidRDefault="00241024" w:rsidP="00C64A13">
      <w:pPr>
        <w:pStyle w:val="FootnoteText"/>
        <w:rPr>
          <w:lang w:val="pl-PL"/>
        </w:rPr>
      </w:pPr>
      <w:r>
        <w:rPr>
          <w:rStyle w:val="FootnoteReference"/>
        </w:rPr>
        <w:footnoteRef/>
      </w:r>
      <w:r w:rsidRPr="00E22450">
        <w:rPr>
          <w:lang w:val="pl-PL"/>
        </w:rPr>
        <w:t xml:space="preserve"> Komisja Europejska (2021), </w:t>
      </w:r>
      <w:hyperlink r:id="rId23" w:history="1">
        <w:r w:rsidRPr="00E22450">
          <w:rPr>
            <w:rStyle w:val="Hyperlink"/>
            <w:lang w:val="pl-PL"/>
          </w:rPr>
          <w:t>Unia rynków kapitałowych:</w:t>
        </w:r>
      </w:hyperlink>
      <w:hyperlink r:id="rId24" w:history="1">
        <w:r w:rsidRPr="00E22450">
          <w:rPr>
            <w:rStyle w:val="Hyperlink"/>
            <w:lang w:val="pl-PL"/>
          </w:rPr>
          <w:t xml:space="preserve"> Komisja przyjmuje pakiet zapewniający lepszy dostęp do danych</w:t>
        </w:r>
        <w:r w:rsidR="00F1653C" w:rsidRPr="00E22450">
          <w:rPr>
            <w:rStyle w:val="Hyperlink"/>
            <w:lang w:val="pl-PL"/>
          </w:rPr>
          <w:t xml:space="preserve"> i</w:t>
        </w:r>
        <w:r w:rsidR="00F1653C">
          <w:rPr>
            <w:rStyle w:val="Hyperlink"/>
            <w:lang w:val="pl-PL"/>
          </w:rPr>
          <w:t> </w:t>
        </w:r>
        <w:r w:rsidR="00F1653C" w:rsidRPr="00E22450">
          <w:rPr>
            <w:rStyle w:val="Hyperlink"/>
            <w:lang w:val="pl-PL"/>
          </w:rPr>
          <w:t>zmi</w:t>
        </w:r>
        <w:r w:rsidRPr="00E22450">
          <w:rPr>
            <w:rStyle w:val="Hyperlink"/>
            <w:lang w:val="pl-PL"/>
          </w:rPr>
          <w:t>enione zasady inwestowania</w:t>
        </w:r>
      </w:hyperlink>
      <w:r w:rsidRPr="00E22450">
        <w:rPr>
          <w:lang w:val="pl-PL"/>
        </w:rPr>
        <w:t>, 25 listopada 20</w:t>
      </w:r>
      <w:r w:rsidRPr="00F1653C">
        <w:rPr>
          <w:lang w:val="pl-PL"/>
        </w:rPr>
        <w:t>21</w:t>
      </w:r>
      <w:r w:rsidR="00F1653C" w:rsidRPr="00F1653C">
        <w:rPr>
          <w:lang w:val="pl-PL"/>
        </w:rPr>
        <w:t> </w:t>
      </w:r>
      <w:r w:rsidRPr="00F1653C">
        <w:rPr>
          <w:lang w:val="pl-PL"/>
        </w:rPr>
        <w:t>r.</w:t>
      </w:r>
      <w:r w:rsidRPr="00E22450">
        <w:rPr>
          <w:lang w:val="pl-PL"/>
        </w:rPr>
        <w:t xml:space="preserve"> </w:t>
      </w:r>
    </w:p>
  </w:footnote>
  <w:footnote w:id="23">
    <w:p w14:paraId="05AB34F4" w14:textId="327ECBA8" w:rsidR="00241024" w:rsidRPr="00E22450" w:rsidRDefault="00241024" w:rsidP="00C64A13">
      <w:pPr>
        <w:pStyle w:val="FootnoteText"/>
        <w:rPr>
          <w:lang w:val="pl-PL"/>
        </w:rPr>
      </w:pPr>
      <w:r>
        <w:rPr>
          <w:rStyle w:val="FootnoteReference"/>
        </w:rPr>
        <w:footnoteRef/>
      </w:r>
      <w:r w:rsidRPr="00E22450">
        <w:rPr>
          <w:lang w:val="pl-PL"/>
        </w:rPr>
        <w:t xml:space="preserve"> Zalecenie Europejskiej Rady ds. Ryzyka Systemowego</w:t>
      </w:r>
      <w:r w:rsidR="00F1653C" w:rsidRPr="00E22450">
        <w:rPr>
          <w:lang w:val="pl-PL"/>
        </w:rPr>
        <w:t xml:space="preserve"> z</w:t>
      </w:r>
      <w:r w:rsidR="00F1653C">
        <w:rPr>
          <w:lang w:val="pl-PL"/>
        </w:rPr>
        <w:t> </w:t>
      </w:r>
      <w:r w:rsidR="00F1653C" w:rsidRPr="00E22450">
        <w:rPr>
          <w:lang w:val="pl-PL"/>
        </w:rPr>
        <w:t>dni</w:t>
      </w:r>
      <w:r w:rsidRPr="00E22450">
        <w:rPr>
          <w:lang w:val="pl-PL"/>
        </w:rPr>
        <w:t>a 7 grudnia 20</w:t>
      </w:r>
      <w:r w:rsidRPr="00F1653C">
        <w:rPr>
          <w:lang w:val="pl-PL"/>
        </w:rPr>
        <w:t>17</w:t>
      </w:r>
      <w:r w:rsidR="00F1653C" w:rsidRPr="00F1653C">
        <w:rPr>
          <w:lang w:val="pl-PL"/>
        </w:rPr>
        <w:t> </w:t>
      </w:r>
      <w:r w:rsidRPr="00F1653C">
        <w:rPr>
          <w:lang w:val="pl-PL"/>
        </w:rPr>
        <w:t>r.</w:t>
      </w:r>
      <w:r w:rsidR="00F1653C" w:rsidRPr="00E22450">
        <w:rPr>
          <w:lang w:val="pl-PL"/>
        </w:rPr>
        <w:t xml:space="preserve"> w</w:t>
      </w:r>
      <w:r w:rsidR="00F1653C">
        <w:rPr>
          <w:lang w:val="pl-PL"/>
        </w:rPr>
        <w:t> </w:t>
      </w:r>
      <w:r w:rsidR="00F1653C" w:rsidRPr="00E22450">
        <w:rPr>
          <w:lang w:val="pl-PL"/>
        </w:rPr>
        <w:t>spr</w:t>
      </w:r>
      <w:r w:rsidRPr="00E22450">
        <w:rPr>
          <w:lang w:val="pl-PL"/>
        </w:rPr>
        <w:t>awie ryzyka związanego</w:t>
      </w:r>
      <w:r w:rsidR="00F1653C" w:rsidRPr="00E22450">
        <w:rPr>
          <w:lang w:val="pl-PL"/>
        </w:rPr>
        <w:t xml:space="preserve"> z</w:t>
      </w:r>
      <w:r w:rsidR="00F1653C">
        <w:rPr>
          <w:lang w:val="pl-PL"/>
        </w:rPr>
        <w:t> </w:t>
      </w:r>
      <w:r w:rsidR="00F1653C" w:rsidRPr="00E22450">
        <w:rPr>
          <w:lang w:val="pl-PL"/>
        </w:rPr>
        <w:t>pły</w:t>
      </w:r>
      <w:r w:rsidRPr="00E22450">
        <w:rPr>
          <w:lang w:val="pl-PL"/>
        </w:rPr>
        <w:t>nnością</w:t>
      </w:r>
      <w:r w:rsidR="00F1653C" w:rsidRPr="00E22450">
        <w:rPr>
          <w:lang w:val="pl-PL"/>
        </w:rPr>
        <w:t xml:space="preserve"> i</w:t>
      </w:r>
      <w:r w:rsidR="00F1653C">
        <w:rPr>
          <w:lang w:val="pl-PL"/>
        </w:rPr>
        <w:t> </w:t>
      </w:r>
      <w:r w:rsidR="00F1653C" w:rsidRPr="00E22450">
        <w:rPr>
          <w:lang w:val="pl-PL"/>
        </w:rPr>
        <w:t>dźw</w:t>
      </w:r>
      <w:r w:rsidRPr="00E22450">
        <w:rPr>
          <w:lang w:val="pl-PL"/>
        </w:rPr>
        <w:t>ignią finansową</w:t>
      </w:r>
      <w:r w:rsidR="00F1653C" w:rsidRPr="00E22450">
        <w:rPr>
          <w:lang w:val="pl-PL"/>
        </w:rPr>
        <w:t xml:space="preserve"> w</w:t>
      </w:r>
      <w:r w:rsidR="00F1653C">
        <w:rPr>
          <w:lang w:val="pl-PL"/>
        </w:rPr>
        <w:t> </w:t>
      </w:r>
      <w:r w:rsidR="00F1653C" w:rsidRPr="00E22450">
        <w:rPr>
          <w:lang w:val="pl-PL"/>
        </w:rPr>
        <w:t>fun</w:t>
      </w:r>
      <w:r w:rsidRPr="00E22450">
        <w:rPr>
          <w:lang w:val="pl-PL"/>
        </w:rPr>
        <w:t xml:space="preserve">duszach inwestycyjnych, (ESRB/2017/6). </w:t>
      </w:r>
    </w:p>
  </w:footnote>
  <w:footnote w:id="24">
    <w:p w14:paraId="141B2E1D" w14:textId="491F6367" w:rsidR="00241024" w:rsidRPr="00E22450" w:rsidRDefault="00241024" w:rsidP="00F43FC7">
      <w:pPr>
        <w:spacing w:after="0" w:line="240" w:lineRule="auto"/>
        <w:rPr>
          <w:rFonts w:eastAsia="Calibri" w:cs="Times New Roman"/>
          <w:sz w:val="20"/>
          <w:lang w:val="pl-PL"/>
        </w:rPr>
      </w:pPr>
      <w:r>
        <w:rPr>
          <w:rStyle w:val="FootnoteReference"/>
          <w:rFonts w:cs="Times New Roman"/>
        </w:rPr>
        <w:footnoteRef/>
      </w:r>
      <w:r w:rsidRPr="00E22450">
        <w:rPr>
          <w:sz w:val="20"/>
          <w:lang w:val="pl-PL"/>
        </w:rPr>
        <w:t xml:space="preserve"> </w:t>
      </w:r>
      <w:r w:rsidRPr="00E22450">
        <w:rPr>
          <w:rStyle w:val="FootnoteTextChar"/>
          <w:lang w:val="pl-PL"/>
        </w:rPr>
        <w:t>Rozporządzenie Parlamentu Europejskiego</w:t>
      </w:r>
      <w:r w:rsidR="00F1653C" w:rsidRPr="00E22450">
        <w:rPr>
          <w:rStyle w:val="FootnoteTextChar"/>
          <w:lang w:val="pl-PL"/>
        </w:rPr>
        <w:t xml:space="preserve"> i</w:t>
      </w:r>
      <w:r w:rsidR="00F1653C">
        <w:rPr>
          <w:rStyle w:val="FootnoteTextChar"/>
          <w:lang w:val="pl-PL"/>
        </w:rPr>
        <w:t> </w:t>
      </w:r>
      <w:r w:rsidR="00F1653C" w:rsidRPr="00E22450">
        <w:rPr>
          <w:rStyle w:val="FootnoteTextChar"/>
          <w:lang w:val="pl-PL"/>
        </w:rPr>
        <w:t>Rad</w:t>
      </w:r>
      <w:r w:rsidRPr="00E22450">
        <w:rPr>
          <w:rStyle w:val="FootnoteTextChar"/>
          <w:lang w:val="pl-PL"/>
        </w:rPr>
        <w:t>y (UE) 2017/1131</w:t>
      </w:r>
      <w:r w:rsidR="00F1653C" w:rsidRPr="00E22450">
        <w:rPr>
          <w:rStyle w:val="FootnoteTextChar"/>
          <w:lang w:val="pl-PL"/>
        </w:rPr>
        <w:t xml:space="preserve"> z</w:t>
      </w:r>
      <w:r w:rsidR="00F1653C">
        <w:rPr>
          <w:rStyle w:val="FootnoteTextChar"/>
          <w:lang w:val="pl-PL"/>
        </w:rPr>
        <w:t> </w:t>
      </w:r>
      <w:r w:rsidR="00F1653C" w:rsidRPr="00E22450">
        <w:rPr>
          <w:rStyle w:val="FootnoteTextChar"/>
          <w:lang w:val="pl-PL"/>
        </w:rPr>
        <w:t>dni</w:t>
      </w:r>
      <w:r w:rsidRPr="00E22450">
        <w:rPr>
          <w:rStyle w:val="FootnoteTextChar"/>
          <w:lang w:val="pl-PL"/>
        </w:rPr>
        <w:t>a 14 czerwca 20</w:t>
      </w:r>
      <w:r w:rsidRPr="00F1653C">
        <w:rPr>
          <w:rStyle w:val="FootnoteTextChar"/>
          <w:lang w:val="pl-PL"/>
        </w:rPr>
        <w:t>17</w:t>
      </w:r>
      <w:r w:rsidR="00F1653C" w:rsidRPr="00F1653C">
        <w:rPr>
          <w:rStyle w:val="FootnoteTextChar"/>
          <w:lang w:val="pl-PL"/>
        </w:rPr>
        <w:t> </w:t>
      </w:r>
      <w:r w:rsidRPr="00F1653C">
        <w:rPr>
          <w:rStyle w:val="FootnoteTextChar"/>
          <w:lang w:val="pl-PL"/>
        </w:rPr>
        <w:t>r.</w:t>
      </w:r>
      <w:r w:rsidR="00F1653C" w:rsidRPr="00E22450">
        <w:rPr>
          <w:rStyle w:val="FootnoteTextChar"/>
          <w:lang w:val="pl-PL"/>
        </w:rPr>
        <w:t xml:space="preserve"> w</w:t>
      </w:r>
      <w:r w:rsidR="00F1653C">
        <w:rPr>
          <w:rStyle w:val="FootnoteTextChar"/>
          <w:lang w:val="pl-PL"/>
        </w:rPr>
        <w:t> </w:t>
      </w:r>
      <w:r w:rsidR="00F1653C" w:rsidRPr="00E22450">
        <w:rPr>
          <w:rStyle w:val="FootnoteTextChar"/>
          <w:lang w:val="pl-PL"/>
        </w:rPr>
        <w:t>spr</w:t>
      </w:r>
      <w:r w:rsidRPr="00E22450">
        <w:rPr>
          <w:rStyle w:val="FootnoteTextChar"/>
          <w:lang w:val="pl-PL"/>
        </w:rPr>
        <w:t xml:space="preserve">awie funduszy rynku pieniężnego, dostępne: </w:t>
      </w:r>
      <w:hyperlink r:id="rId25" w:history="1">
        <w:r w:rsidRPr="00E22450">
          <w:rPr>
            <w:rStyle w:val="FootnoteTextChar"/>
            <w:lang w:val="pl-PL"/>
          </w:rPr>
          <w:t>EUR-Lex - 02017R1131-20190101 - EN - EUR-Lex (europa.eu)</w:t>
        </w:r>
      </w:hyperlink>
      <w:r w:rsidRPr="00E22450">
        <w:rPr>
          <w:rStyle w:val="FootnoteTextChar"/>
          <w:lang w:val="pl-PL"/>
        </w:rPr>
        <w:t xml:space="preserve">. </w:t>
      </w:r>
    </w:p>
  </w:footnote>
  <w:footnote w:id="25">
    <w:p w14:paraId="71C4CE39" w14:textId="2C6A5BEA" w:rsidR="00241024" w:rsidRPr="00E22450" w:rsidRDefault="00241024" w:rsidP="00C64A13">
      <w:pPr>
        <w:pStyle w:val="FootnoteText"/>
        <w:rPr>
          <w:lang w:val="pl-PL"/>
        </w:rPr>
      </w:pPr>
      <w:r>
        <w:rPr>
          <w:rStyle w:val="FootnoteReference"/>
        </w:rPr>
        <w:footnoteRef/>
      </w:r>
      <w:r w:rsidRPr="00E22450">
        <w:rPr>
          <w:lang w:val="pl-PL"/>
        </w:rPr>
        <w:t xml:space="preserve"> Komisja Europejska (2022), </w:t>
      </w:r>
      <w:hyperlink r:id="rId26" w:history="1">
        <w:r w:rsidRPr="00E22450">
          <w:rPr>
            <w:rStyle w:val="Hyperlink"/>
            <w:lang w:val="pl-PL"/>
          </w:rPr>
          <w:t xml:space="preserve"> Ukierunkowane konsultacje</w:t>
        </w:r>
        <w:r w:rsidR="00F1653C" w:rsidRPr="00E22450">
          <w:rPr>
            <w:rStyle w:val="Hyperlink"/>
            <w:lang w:val="pl-PL"/>
          </w:rPr>
          <w:t xml:space="preserve"> w</w:t>
        </w:r>
        <w:r w:rsidR="00F1653C">
          <w:rPr>
            <w:rStyle w:val="Hyperlink"/>
            <w:lang w:val="pl-PL"/>
          </w:rPr>
          <w:t> </w:t>
        </w:r>
        <w:r w:rsidR="00F1653C" w:rsidRPr="00E22450">
          <w:rPr>
            <w:rStyle w:val="Hyperlink"/>
            <w:lang w:val="pl-PL"/>
          </w:rPr>
          <w:t>spr</w:t>
        </w:r>
        <w:r w:rsidRPr="00E22450">
          <w:rPr>
            <w:rStyle w:val="Hyperlink"/>
            <w:lang w:val="pl-PL"/>
          </w:rPr>
          <w:t>awie funkcjonowania rozporządzenia</w:t>
        </w:r>
        <w:r w:rsidR="00F1653C" w:rsidRPr="00E22450">
          <w:rPr>
            <w:rStyle w:val="Hyperlink"/>
            <w:lang w:val="pl-PL"/>
          </w:rPr>
          <w:t xml:space="preserve"> w</w:t>
        </w:r>
        <w:r w:rsidR="00F1653C">
          <w:rPr>
            <w:rStyle w:val="Hyperlink"/>
            <w:lang w:val="pl-PL"/>
          </w:rPr>
          <w:t> </w:t>
        </w:r>
        <w:r w:rsidR="00F1653C" w:rsidRPr="00E22450">
          <w:rPr>
            <w:rStyle w:val="Hyperlink"/>
            <w:lang w:val="pl-PL"/>
          </w:rPr>
          <w:t>spr</w:t>
        </w:r>
        <w:r w:rsidRPr="00E22450">
          <w:rPr>
            <w:rStyle w:val="Hyperlink"/>
            <w:lang w:val="pl-PL"/>
          </w:rPr>
          <w:t>awie funduszy rynku pieniężnego</w:t>
        </w:r>
      </w:hyperlink>
      <w:r w:rsidRPr="00E22450">
        <w:rPr>
          <w:lang w:val="pl-PL"/>
        </w:rPr>
        <w:t>, 12 kwietnia 20</w:t>
      </w:r>
      <w:r w:rsidRPr="00F1653C">
        <w:rPr>
          <w:lang w:val="pl-PL"/>
        </w:rPr>
        <w:t>22</w:t>
      </w:r>
      <w:r w:rsidR="00F1653C" w:rsidRPr="00F1653C">
        <w:rPr>
          <w:lang w:val="pl-PL"/>
        </w:rPr>
        <w:t> </w:t>
      </w:r>
      <w:r w:rsidRPr="00F1653C">
        <w:rPr>
          <w:lang w:val="pl-PL"/>
        </w:rPr>
        <w:t>r.</w:t>
      </w:r>
      <w:r w:rsidRPr="00E22450">
        <w:rPr>
          <w:lang w:val="pl-PL"/>
        </w:rPr>
        <w:t xml:space="preserve"> </w:t>
      </w:r>
    </w:p>
  </w:footnote>
  <w:footnote w:id="26">
    <w:p w14:paraId="262849AF" w14:textId="2247070E" w:rsidR="00241024" w:rsidRPr="00E22450" w:rsidRDefault="00241024" w:rsidP="00C64A13">
      <w:pPr>
        <w:pStyle w:val="FootnoteText"/>
        <w:rPr>
          <w:lang w:val="pl-PL"/>
        </w:rPr>
      </w:pPr>
      <w:r>
        <w:rPr>
          <w:rStyle w:val="FootnoteReference"/>
        </w:rPr>
        <w:footnoteRef/>
      </w:r>
      <w:r w:rsidRPr="00E22450">
        <w:rPr>
          <w:lang w:val="pl-PL"/>
        </w:rPr>
        <w:t xml:space="preserve"> </w:t>
      </w:r>
      <w:hyperlink r:id="rId27" w:history="1">
        <w:r w:rsidRPr="00E22450">
          <w:rPr>
            <w:rStyle w:val="Hyperlink"/>
            <w:lang w:val="pl-PL"/>
          </w:rPr>
          <w:t>Sprawozdanie Komisji dotyczące adekwatności rozporządzenia Parlamentu Europejskiego</w:t>
        </w:r>
        <w:r w:rsidR="00F1653C" w:rsidRPr="00E22450">
          <w:rPr>
            <w:rStyle w:val="Hyperlink"/>
            <w:lang w:val="pl-PL"/>
          </w:rPr>
          <w:t xml:space="preserve"> i</w:t>
        </w:r>
        <w:r w:rsidR="00F1653C">
          <w:rPr>
            <w:rStyle w:val="Hyperlink"/>
            <w:lang w:val="pl-PL"/>
          </w:rPr>
          <w:t> </w:t>
        </w:r>
        <w:r w:rsidR="00F1653C" w:rsidRPr="00E22450">
          <w:rPr>
            <w:rStyle w:val="Hyperlink"/>
            <w:lang w:val="pl-PL"/>
          </w:rPr>
          <w:t>Rad</w:t>
        </w:r>
        <w:r w:rsidRPr="00E22450">
          <w:rPr>
            <w:rStyle w:val="Hyperlink"/>
            <w:lang w:val="pl-PL"/>
          </w:rPr>
          <w:t>y (UE) 2017/1131</w:t>
        </w:r>
        <w:r w:rsidR="00F1653C" w:rsidRPr="00E22450">
          <w:rPr>
            <w:rStyle w:val="Hyperlink"/>
            <w:lang w:val="pl-PL"/>
          </w:rPr>
          <w:t xml:space="preserve"> w</w:t>
        </w:r>
        <w:r w:rsidR="00F1653C">
          <w:rPr>
            <w:rStyle w:val="Hyperlink"/>
            <w:lang w:val="pl-PL"/>
          </w:rPr>
          <w:t> </w:t>
        </w:r>
        <w:r w:rsidR="00F1653C" w:rsidRPr="00E22450">
          <w:rPr>
            <w:rStyle w:val="Hyperlink"/>
            <w:lang w:val="pl-PL"/>
          </w:rPr>
          <w:t>spr</w:t>
        </w:r>
        <w:r w:rsidRPr="00E22450">
          <w:rPr>
            <w:rStyle w:val="Hyperlink"/>
            <w:lang w:val="pl-PL"/>
          </w:rPr>
          <w:t>awie funduszy rynku pieniężnego</w:t>
        </w:r>
        <w:r w:rsidR="00F1653C" w:rsidRPr="00E22450">
          <w:rPr>
            <w:rStyle w:val="Hyperlink"/>
            <w:lang w:val="pl-PL"/>
          </w:rPr>
          <w:t xml:space="preserve"> z</w:t>
        </w:r>
        <w:r w:rsidR="00F1653C">
          <w:rPr>
            <w:rStyle w:val="Hyperlink"/>
            <w:lang w:val="pl-PL"/>
          </w:rPr>
          <w:t> </w:t>
        </w:r>
        <w:r w:rsidR="00F1653C" w:rsidRPr="00E22450">
          <w:rPr>
            <w:rStyle w:val="Hyperlink"/>
            <w:lang w:val="pl-PL"/>
          </w:rPr>
          <w:t>ost</w:t>
        </w:r>
        <w:r w:rsidRPr="00E22450">
          <w:rPr>
            <w:rStyle w:val="Hyperlink"/>
            <w:lang w:val="pl-PL"/>
          </w:rPr>
          <w:t>rożnościowego</w:t>
        </w:r>
        <w:r w:rsidR="00F1653C" w:rsidRPr="00E22450">
          <w:rPr>
            <w:rStyle w:val="Hyperlink"/>
            <w:lang w:val="pl-PL"/>
          </w:rPr>
          <w:t xml:space="preserve"> i</w:t>
        </w:r>
        <w:r w:rsidR="00F1653C">
          <w:rPr>
            <w:rStyle w:val="Hyperlink"/>
            <w:lang w:val="pl-PL"/>
          </w:rPr>
          <w:t> </w:t>
        </w:r>
        <w:r w:rsidR="00F1653C" w:rsidRPr="00E22450">
          <w:rPr>
            <w:rStyle w:val="Hyperlink"/>
            <w:lang w:val="pl-PL"/>
          </w:rPr>
          <w:t>gos</w:t>
        </w:r>
        <w:r w:rsidRPr="00E22450">
          <w:rPr>
            <w:rStyle w:val="Hyperlink"/>
            <w:lang w:val="pl-PL"/>
          </w:rPr>
          <w:t>podarczego punktu widzenia (europa.eu)</w:t>
        </w:r>
      </w:hyperlink>
    </w:p>
  </w:footnote>
  <w:footnote w:id="27">
    <w:p w14:paraId="729F847B" w14:textId="2DB02F44" w:rsidR="00241024" w:rsidRPr="00E22450" w:rsidRDefault="00241024" w:rsidP="00C64A13">
      <w:pPr>
        <w:pStyle w:val="FootnoteText"/>
        <w:rPr>
          <w:lang w:val="pl-PL"/>
        </w:rPr>
      </w:pPr>
      <w:r>
        <w:rPr>
          <w:rStyle w:val="FootnoteReference"/>
        </w:rPr>
        <w:footnoteRef/>
      </w:r>
      <w:r w:rsidRPr="00E22450">
        <w:rPr>
          <w:lang w:val="pl-PL"/>
        </w:rPr>
        <w:t xml:space="preserve"> Komisja Europejska (2021), </w:t>
      </w:r>
      <w:hyperlink r:id="rId28" w:history="1">
        <w:r w:rsidRPr="00E22450">
          <w:rPr>
            <w:rStyle w:val="Hyperlink"/>
            <w:lang w:val="pl-PL"/>
          </w:rPr>
          <w:t>Przegląd dyrektywy Wypłacalność II (europa.eu)</w:t>
        </w:r>
      </w:hyperlink>
      <w:r w:rsidRPr="00E22450">
        <w:rPr>
          <w:lang w:val="pl-PL"/>
        </w:rPr>
        <w:t>, 22 września 20</w:t>
      </w:r>
      <w:r w:rsidRPr="00F1653C">
        <w:rPr>
          <w:lang w:val="pl-PL"/>
        </w:rPr>
        <w:t>21</w:t>
      </w:r>
      <w:r w:rsidR="00F1653C" w:rsidRPr="00F1653C">
        <w:rPr>
          <w:lang w:val="pl-PL"/>
        </w:rPr>
        <w:t> </w:t>
      </w:r>
      <w:r w:rsidRPr="00F1653C">
        <w:rPr>
          <w:lang w:val="pl-PL"/>
        </w:rPr>
        <w:t>r.</w:t>
      </w:r>
      <w:r w:rsidRPr="00E22450">
        <w:rPr>
          <w:lang w:val="pl-PL"/>
        </w:rPr>
        <w:t xml:space="preserve"> </w:t>
      </w:r>
    </w:p>
  </w:footnote>
  <w:footnote w:id="28">
    <w:p w14:paraId="6CAA4E94" w14:textId="49DE4C07" w:rsidR="00241024" w:rsidRPr="00E22450" w:rsidRDefault="00241024" w:rsidP="00C64A13">
      <w:pPr>
        <w:pStyle w:val="FootnoteText"/>
        <w:rPr>
          <w:lang w:val="pl-PL"/>
        </w:rPr>
      </w:pPr>
      <w:r>
        <w:rPr>
          <w:rStyle w:val="FootnoteReference"/>
        </w:rPr>
        <w:footnoteRef/>
      </w:r>
      <w:r w:rsidRPr="00E22450">
        <w:rPr>
          <w:lang w:val="pl-PL"/>
        </w:rPr>
        <w:t xml:space="preserve"> EIOPA (2020), </w:t>
      </w:r>
      <w:hyperlink r:id="rId29" w:history="1">
        <w:r w:rsidRPr="00E22450">
          <w:rPr>
            <w:rStyle w:val="Hyperlink"/>
            <w:lang w:val="pl-PL"/>
          </w:rPr>
          <w:t>Opinia</w:t>
        </w:r>
        <w:r w:rsidR="00F1653C" w:rsidRPr="00E22450">
          <w:rPr>
            <w:rStyle w:val="Hyperlink"/>
            <w:lang w:val="pl-PL"/>
          </w:rPr>
          <w:t xml:space="preserve"> w</w:t>
        </w:r>
        <w:r w:rsidR="00F1653C">
          <w:rPr>
            <w:rStyle w:val="Hyperlink"/>
            <w:lang w:val="pl-PL"/>
          </w:rPr>
          <w:t> </w:t>
        </w:r>
        <w:r w:rsidR="00F1653C" w:rsidRPr="00E22450">
          <w:rPr>
            <w:rStyle w:val="Hyperlink"/>
            <w:lang w:val="pl-PL"/>
          </w:rPr>
          <w:t>spr</w:t>
        </w:r>
        <w:r w:rsidRPr="00E22450">
          <w:rPr>
            <w:rStyle w:val="Hyperlink"/>
            <w:lang w:val="pl-PL"/>
          </w:rPr>
          <w:t>awie przeglądu dyrektywy Wypłacalność II</w:t>
        </w:r>
        <w:r w:rsidR="00F1653C" w:rsidRPr="00E22450">
          <w:rPr>
            <w:rStyle w:val="Hyperlink"/>
            <w:lang w:val="pl-PL"/>
          </w:rPr>
          <w:t xml:space="preserve"> w</w:t>
        </w:r>
        <w:r w:rsidR="00F1653C">
          <w:rPr>
            <w:rStyle w:val="Hyperlink"/>
            <w:lang w:val="pl-PL"/>
          </w:rPr>
          <w:t> </w:t>
        </w:r>
        <w:r w:rsidR="00F1653C" w:rsidRPr="00E22450">
          <w:rPr>
            <w:rStyle w:val="Hyperlink"/>
            <w:lang w:val="pl-PL"/>
          </w:rPr>
          <w:t>2</w:t>
        </w:r>
        <w:r w:rsidRPr="00E22450">
          <w:rPr>
            <w:rStyle w:val="Hyperlink"/>
            <w:lang w:val="pl-PL"/>
          </w:rPr>
          <w:t>0</w:t>
        </w:r>
        <w:r w:rsidRPr="00F1653C">
          <w:rPr>
            <w:rStyle w:val="Hyperlink"/>
            <w:lang w:val="pl-PL"/>
          </w:rPr>
          <w:t>20</w:t>
        </w:r>
        <w:r w:rsidR="00F1653C" w:rsidRPr="00F1653C">
          <w:rPr>
            <w:rStyle w:val="Hyperlink"/>
            <w:lang w:val="pl-PL"/>
          </w:rPr>
          <w:t> </w:t>
        </w:r>
        <w:r w:rsidRPr="00F1653C">
          <w:rPr>
            <w:rStyle w:val="Hyperlink"/>
            <w:lang w:val="pl-PL"/>
          </w:rPr>
          <w:t>r.</w:t>
        </w:r>
      </w:hyperlink>
      <w:r w:rsidRPr="00E22450">
        <w:rPr>
          <w:lang w:val="pl-PL"/>
        </w:rPr>
        <w:t>, 17 grudnia 20</w:t>
      </w:r>
      <w:r w:rsidRPr="00F1653C">
        <w:rPr>
          <w:lang w:val="pl-PL"/>
        </w:rPr>
        <w:t>20</w:t>
      </w:r>
      <w:r w:rsidR="00F1653C" w:rsidRPr="00F1653C">
        <w:rPr>
          <w:lang w:val="pl-PL"/>
        </w:rPr>
        <w:t> </w:t>
      </w:r>
      <w:r w:rsidRPr="00F1653C">
        <w:rPr>
          <w:lang w:val="pl-PL"/>
        </w:rPr>
        <w:t>r.</w:t>
      </w:r>
      <w:r w:rsidRPr="00E22450">
        <w:rPr>
          <w:lang w:val="pl-PL"/>
        </w:rPr>
        <w:t xml:space="preserve"> </w:t>
      </w:r>
    </w:p>
  </w:footnote>
  <w:footnote w:id="29">
    <w:p w14:paraId="5C95732F" w14:textId="5DE47013" w:rsidR="00241024" w:rsidRPr="00E22450" w:rsidRDefault="00241024" w:rsidP="00C64A13">
      <w:pPr>
        <w:pStyle w:val="FootnoteText"/>
        <w:rPr>
          <w:lang w:val="pl-PL"/>
        </w:rPr>
      </w:pPr>
      <w:r>
        <w:rPr>
          <w:rStyle w:val="FootnoteReference"/>
        </w:rPr>
        <w:footnoteRef/>
      </w:r>
      <w:r w:rsidRPr="00E22450">
        <w:rPr>
          <w:lang w:val="pl-PL"/>
        </w:rPr>
        <w:t xml:space="preserve"> Aby uzyskać informacje na temat narzędzi ryzyka systemowego dla ubezpieczycieli, zob. ERRS (2022), </w:t>
      </w:r>
      <w:hyperlink r:id="rId30" w:history="1">
        <w:r w:rsidRPr="00E22450">
          <w:rPr>
            <w:rStyle w:val="Hyperlink"/>
            <w:lang w:val="pl-PL"/>
          </w:rPr>
          <w:t>„Letter to Chairperson of the Council Working Party on Solvency II Review”</w:t>
        </w:r>
      </w:hyperlink>
      <w:r w:rsidRPr="00E22450">
        <w:rPr>
          <w:lang w:val="pl-PL"/>
        </w:rPr>
        <w:t xml:space="preserve"> [Pismo do przewodniczącego grupy roboczej Rady ds. przeglądu dyrektywy Wypłacalność II], 2 lutego 20</w:t>
      </w:r>
      <w:r w:rsidRPr="00F1653C">
        <w:rPr>
          <w:lang w:val="pl-PL"/>
        </w:rPr>
        <w:t>22</w:t>
      </w:r>
      <w:r w:rsidR="00F1653C" w:rsidRPr="00F1653C">
        <w:rPr>
          <w:lang w:val="pl-PL"/>
        </w:rPr>
        <w:t> </w:t>
      </w:r>
      <w:r w:rsidRPr="00F1653C">
        <w:rPr>
          <w:lang w:val="pl-PL"/>
        </w:rPr>
        <w:t>r.</w:t>
      </w:r>
      <w:r w:rsidRPr="00E22450">
        <w:rPr>
          <w:lang w:val="pl-PL"/>
        </w:rPr>
        <w:t xml:space="preserve">; ERRS (2022), </w:t>
      </w:r>
      <w:hyperlink r:id="rId31" w:history="1">
        <w:r w:rsidRPr="00E22450">
          <w:rPr>
            <w:rStyle w:val="Hyperlink"/>
            <w:lang w:val="pl-PL"/>
          </w:rPr>
          <w:t>„Letter to Members of the European Parliament”,</w:t>
        </w:r>
      </w:hyperlink>
      <w:r w:rsidRPr="00E22450">
        <w:rPr>
          <w:lang w:val="pl-PL"/>
        </w:rPr>
        <w:t xml:space="preserve"> [Pismo do posłów do Parlamentu Europejskiego], listopad 20</w:t>
      </w:r>
      <w:r w:rsidRPr="00F1653C">
        <w:rPr>
          <w:lang w:val="pl-PL"/>
        </w:rPr>
        <w:t>22</w:t>
      </w:r>
      <w:r w:rsidR="00F1653C" w:rsidRPr="00F1653C">
        <w:rPr>
          <w:lang w:val="pl-PL"/>
        </w:rPr>
        <w:t> </w:t>
      </w:r>
      <w:r w:rsidRPr="00F1653C">
        <w:rPr>
          <w:lang w:val="pl-PL"/>
        </w:rPr>
        <w:t>r.</w:t>
      </w:r>
      <w:r w:rsidRPr="00E22450">
        <w:rPr>
          <w:lang w:val="pl-PL"/>
        </w:rPr>
        <w:t xml:space="preserve"> </w:t>
      </w:r>
    </w:p>
  </w:footnote>
  <w:footnote w:id="30">
    <w:p w14:paraId="6C70AFCF" w14:textId="15674AA1" w:rsidR="00241024" w:rsidRPr="00E22450" w:rsidRDefault="00241024" w:rsidP="00C64A13">
      <w:pPr>
        <w:pStyle w:val="FootnoteText"/>
        <w:rPr>
          <w:lang w:val="pl-PL"/>
        </w:rPr>
      </w:pPr>
      <w:r>
        <w:rPr>
          <w:rStyle w:val="FootnoteReference"/>
        </w:rPr>
        <w:footnoteRef/>
      </w:r>
      <w:r w:rsidRPr="00E22450">
        <w:rPr>
          <w:lang w:val="pl-PL"/>
        </w:rPr>
        <w:t xml:space="preserve"> Komisja Europejska (2022), </w:t>
      </w:r>
      <w:hyperlink r:id="rId32" w:history="1">
        <w:r w:rsidRPr="00E22450">
          <w:rPr>
            <w:rStyle w:val="Hyperlink"/>
            <w:lang w:val="pl-PL"/>
          </w:rPr>
          <w:t>Unia rynków kapitałowych:</w:t>
        </w:r>
      </w:hyperlink>
      <w:hyperlink r:id="rId33" w:history="1">
        <w:r w:rsidRPr="00E22450">
          <w:rPr>
            <w:rStyle w:val="Hyperlink"/>
            <w:lang w:val="pl-PL"/>
          </w:rPr>
          <w:t xml:space="preserve"> pakiet dotyczący rozliczeń, niewypłacalności</w:t>
        </w:r>
        <w:r w:rsidR="00F1653C" w:rsidRPr="00E22450">
          <w:rPr>
            <w:rStyle w:val="Hyperlink"/>
            <w:lang w:val="pl-PL"/>
          </w:rPr>
          <w:t xml:space="preserve"> i</w:t>
        </w:r>
        <w:r w:rsidR="00F1653C">
          <w:rPr>
            <w:rStyle w:val="Hyperlink"/>
            <w:lang w:val="pl-PL"/>
          </w:rPr>
          <w:t> </w:t>
        </w:r>
        <w:r w:rsidR="00F1653C" w:rsidRPr="00E22450">
          <w:rPr>
            <w:rStyle w:val="Hyperlink"/>
            <w:lang w:val="pl-PL"/>
          </w:rPr>
          <w:t>dop</w:t>
        </w:r>
        <w:r w:rsidRPr="00E22450">
          <w:rPr>
            <w:rStyle w:val="Hyperlink"/>
            <w:lang w:val="pl-PL"/>
          </w:rPr>
          <w:t>uszczania do obrotu giełdowego (europa.eu)</w:t>
        </w:r>
      </w:hyperlink>
      <w:r w:rsidRPr="00E22450">
        <w:rPr>
          <w:lang w:val="pl-PL"/>
        </w:rPr>
        <w:t>, 7 grudnia 20</w:t>
      </w:r>
      <w:r w:rsidRPr="00F1653C">
        <w:rPr>
          <w:lang w:val="pl-PL"/>
        </w:rPr>
        <w:t>22</w:t>
      </w:r>
      <w:r w:rsidR="00F1653C" w:rsidRPr="00F1653C">
        <w:rPr>
          <w:lang w:val="pl-PL"/>
        </w:rPr>
        <w:t> </w:t>
      </w:r>
      <w:r w:rsidRPr="00F1653C">
        <w:rPr>
          <w:lang w:val="pl-PL"/>
        </w:rPr>
        <w:t>r.</w:t>
      </w:r>
      <w:r w:rsidRPr="00E22450">
        <w:rPr>
          <w:lang w:val="pl-PL"/>
        </w:rPr>
        <w:t xml:space="preserve"> </w:t>
      </w:r>
    </w:p>
  </w:footnote>
  <w:footnote w:id="31">
    <w:p w14:paraId="3A157AF5" w14:textId="54838820" w:rsidR="00241024" w:rsidRPr="00E22450" w:rsidRDefault="00241024" w:rsidP="00C64A13">
      <w:pPr>
        <w:pStyle w:val="FootnoteText"/>
        <w:rPr>
          <w:lang w:val="pl-PL"/>
        </w:rPr>
      </w:pPr>
      <w:r>
        <w:rPr>
          <w:rStyle w:val="FootnoteReference"/>
        </w:rPr>
        <w:footnoteRef/>
      </w:r>
      <w:r w:rsidRPr="00E22450">
        <w:rPr>
          <w:lang w:val="pl-PL"/>
        </w:rPr>
        <w:t xml:space="preserve"> Rozporządzenie Parlamentu Europejskiego</w:t>
      </w:r>
      <w:r w:rsidR="00F1653C" w:rsidRPr="00E22450">
        <w:rPr>
          <w:lang w:val="pl-PL"/>
        </w:rPr>
        <w:t xml:space="preserve"> i</w:t>
      </w:r>
      <w:r w:rsidR="00F1653C">
        <w:rPr>
          <w:lang w:val="pl-PL"/>
        </w:rPr>
        <w:t> </w:t>
      </w:r>
      <w:r w:rsidR="00F1653C" w:rsidRPr="00E22450">
        <w:rPr>
          <w:lang w:val="pl-PL"/>
        </w:rPr>
        <w:t>Rad</w:t>
      </w:r>
      <w:r w:rsidRPr="00E22450">
        <w:rPr>
          <w:lang w:val="pl-PL"/>
        </w:rPr>
        <w:t>y (UE) 2015/2365</w:t>
      </w:r>
      <w:r w:rsidR="00F1653C" w:rsidRPr="00E22450">
        <w:rPr>
          <w:lang w:val="pl-PL"/>
        </w:rPr>
        <w:t xml:space="preserve"> z</w:t>
      </w:r>
      <w:r w:rsidR="00F1653C">
        <w:rPr>
          <w:lang w:val="pl-PL"/>
        </w:rPr>
        <w:t> </w:t>
      </w:r>
      <w:r w:rsidR="00F1653C" w:rsidRPr="00E22450">
        <w:rPr>
          <w:lang w:val="pl-PL"/>
        </w:rPr>
        <w:t>dni</w:t>
      </w:r>
      <w:r w:rsidRPr="00E22450">
        <w:rPr>
          <w:lang w:val="pl-PL"/>
        </w:rPr>
        <w:t>a 25 listopada 20</w:t>
      </w:r>
      <w:r w:rsidRPr="00F1653C">
        <w:rPr>
          <w:lang w:val="pl-PL"/>
        </w:rPr>
        <w:t>15</w:t>
      </w:r>
      <w:r w:rsidR="00F1653C" w:rsidRPr="00F1653C">
        <w:rPr>
          <w:lang w:val="pl-PL"/>
        </w:rPr>
        <w:t> </w:t>
      </w:r>
      <w:r w:rsidRPr="00F1653C">
        <w:rPr>
          <w:lang w:val="pl-PL"/>
        </w:rPr>
        <w:t>r.</w:t>
      </w:r>
      <w:r w:rsidR="00F1653C" w:rsidRPr="00E22450">
        <w:rPr>
          <w:lang w:val="pl-PL"/>
        </w:rPr>
        <w:t xml:space="preserve"> w</w:t>
      </w:r>
      <w:r w:rsidR="00F1653C">
        <w:rPr>
          <w:lang w:val="pl-PL"/>
        </w:rPr>
        <w:t> </w:t>
      </w:r>
      <w:r w:rsidR="00F1653C" w:rsidRPr="00E22450">
        <w:rPr>
          <w:lang w:val="pl-PL"/>
        </w:rPr>
        <w:t>spr</w:t>
      </w:r>
      <w:r w:rsidRPr="00E22450">
        <w:rPr>
          <w:lang w:val="pl-PL"/>
        </w:rPr>
        <w:t>awie przejrzystości transakcji finansowanych</w:t>
      </w:r>
      <w:r w:rsidR="00F1653C" w:rsidRPr="00E22450">
        <w:rPr>
          <w:lang w:val="pl-PL"/>
        </w:rPr>
        <w:t xml:space="preserve"> z</w:t>
      </w:r>
      <w:r w:rsidR="00F1653C">
        <w:rPr>
          <w:lang w:val="pl-PL"/>
        </w:rPr>
        <w:t> </w:t>
      </w:r>
      <w:r w:rsidR="00F1653C" w:rsidRPr="00E22450">
        <w:rPr>
          <w:lang w:val="pl-PL"/>
        </w:rPr>
        <w:t>uży</w:t>
      </w:r>
      <w:r w:rsidRPr="00E22450">
        <w:rPr>
          <w:lang w:val="pl-PL"/>
        </w:rPr>
        <w:t>ciem papierów wartościowych</w:t>
      </w:r>
      <w:r w:rsidR="00F1653C" w:rsidRPr="00E22450">
        <w:rPr>
          <w:lang w:val="pl-PL"/>
        </w:rPr>
        <w:t xml:space="preserve"> i</w:t>
      </w:r>
      <w:r w:rsidR="00F1653C">
        <w:rPr>
          <w:lang w:val="pl-PL"/>
        </w:rPr>
        <w:t> </w:t>
      </w:r>
      <w:r w:rsidR="00F1653C" w:rsidRPr="00E22450">
        <w:rPr>
          <w:lang w:val="pl-PL"/>
        </w:rPr>
        <w:t>pon</w:t>
      </w:r>
      <w:r w:rsidRPr="00E22450">
        <w:rPr>
          <w:lang w:val="pl-PL"/>
        </w:rPr>
        <w:t xml:space="preserve">ownego wykorzystania oraz zmiany rozporządzenia (UE) </w:t>
      </w:r>
      <w:r w:rsidRPr="00F1653C">
        <w:rPr>
          <w:lang w:val="pl-PL"/>
        </w:rPr>
        <w:t>nr</w:t>
      </w:r>
      <w:r w:rsidR="00F1653C" w:rsidRPr="00F1653C">
        <w:rPr>
          <w:lang w:val="pl-PL"/>
        </w:rPr>
        <w:t> </w:t>
      </w:r>
      <w:r w:rsidRPr="00F1653C">
        <w:rPr>
          <w:lang w:val="pl-PL"/>
        </w:rPr>
        <w:t>6</w:t>
      </w:r>
      <w:r w:rsidRPr="00E22450">
        <w:rPr>
          <w:lang w:val="pl-PL"/>
        </w:rPr>
        <w:t>48/2012 (Tekst mający znaczenie dla EOG), (Dz.U. L 337</w:t>
      </w:r>
      <w:r w:rsidR="00F1653C" w:rsidRPr="00E22450">
        <w:rPr>
          <w:lang w:val="pl-PL"/>
        </w:rPr>
        <w:t xml:space="preserve"> z</w:t>
      </w:r>
      <w:r w:rsidR="00F1653C">
        <w:rPr>
          <w:lang w:val="pl-PL"/>
        </w:rPr>
        <w:t> </w:t>
      </w:r>
      <w:r w:rsidR="00F1653C" w:rsidRPr="00E22450">
        <w:rPr>
          <w:lang w:val="pl-PL"/>
        </w:rPr>
        <w:t>2</w:t>
      </w:r>
      <w:r w:rsidRPr="00E22450">
        <w:rPr>
          <w:lang w:val="pl-PL"/>
        </w:rPr>
        <w:t xml:space="preserve">3.12.2015, s. 1). </w:t>
      </w:r>
    </w:p>
  </w:footnote>
  <w:footnote w:id="32">
    <w:p w14:paraId="651ACC10" w14:textId="2C25800D" w:rsidR="00241024" w:rsidRPr="00E22450" w:rsidRDefault="00241024" w:rsidP="00C64A13">
      <w:pPr>
        <w:pStyle w:val="FootnoteText"/>
        <w:rPr>
          <w:lang w:val="pl-PL"/>
        </w:rPr>
      </w:pPr>
      <w:r>
        <w:rPr>
          <w:rStyle w:val="FootnoteReference"/>
        </w:rPr>
        <w:footnoteRef/>
      </w:r>
      <w:r w:rsidRPr="00E22450">
        <w:rPr>
          <w:lang w:val="pl-PL"/>
        </w:rPr>
        <w:t xml:space="preserve"> Zob. art. 394 </w:t>
      </w:r>
      <w:r w:rsidRPr="00F1653C">
        <w:rPr>
          <w:lang w:val="pl-PL"/>
        </w:rPr>
        <w:t>ust.</w:t>
      </w:r>
      <w:r w:rsidR="00F1653C" w:rsidRPr="00F1653C">
        <w:rPr>
          <w:lang w:val="pl-PL"/>
        </w:rPr>
        <w:t> </w:t>
      </w:r>
      <w:r w:rsidRPr="00F1653C">
        <w:rPr>
          <w:lang w:val="pl-PL"/>
        </w:rPr>
        <w:t>2</w:t>
      </w:r>
      <w:r w:rsidRPr="00E22450">
        <w:rPr>
          <w:lang w:val="pl-PL"/>
        </w:rPr>
        <w:t xml:space="preserve"> rozporządzenia (UE) nr 575/2013, Dz.U. L 176</w:t>
      </w:r>
      <w:r w:rsidR="00F1653C" w:rsidRPr="00E22450">
        <w:rPr>
          <w:lang w:val="pl-PL"/>
        </w:rPr>
        <w:t xml:space="preserve"> z</w:t>
      </w:r>
      <w:r w:rsidR="00F1653C">
        <w:rPr>
          <w:lang w:val="pl-PL"/>
        </w:rPr>
        <w:t> </w:t>
      </w:r>
      <w:r w:rsidR="00F1653C" w:rsidRPr="00E22450">
        <w:rPr>
          <w:lang w:val="pl-PL"/>
        </w:rPr>
        <w:t>2</w:t>
      </w:r>
      <w:r w:rsidRPr="00E22450">
        <w:rPr>
          <w:lang w:val="pl-PL"/>
        </w:rPr>
        <w:t xml:space="preserve">7.6.2013, s. 1. </w:t>
      </w:r>
    </w:p>
  </w:footnote>
  <w:footnote w:id="33">
    <w:p w14:paraId="7FE03CEE" w14:textId="70F66C36" w:rsidR="001A7126" w:rsidRPr="00E22450" w:rsidRDefault="001A7126" w:rsidP="00C64A13">
      <w:pPr>
        <w:pStyle w:val="FootnoteText"/>
        <w:rPr>
          <w:lang w:val="pl-PL"/>
        </w:rPr>
      </w:pPr>
      <w:r>
        <w:rPr>
          <w:rStyle w:val="FootnoteReference"/>
        </w:rPr>
        <w:footnoteRef/>
      </w:r>
      <w:r w:rsidRPr="00E22450">
        <w:rPr>
          <w:lang w:val="pl-PL"/>
        </w:rPr>
        <w:t xml:space="preserve"> Wymogi te zostały wdrożone</w:t>
      </w:r>
      <w:r w:rsidR="00F1653C" w:rsidRPr="00E22450">
        <w:rPr>
          <w:lang w:val="pl-PL"/>
        </w:rPr>
        <w:t xml:space="preserve"> w</w:t>
      </w:r>
      <w:r w:rsidR="00F1653C">
        <w:rPr>
          <w:lang w:val="pl-PL"/>
        </w:rPr>
        <w:t> </w:t>
      </w:r>
      <w:r w:rsidR="00F1653C" w:rsidRPr="00E22450">
        <w:rPr>
          <w:lang w:val="pl-PL"/>
        </w:rPr>
        <w:t>dro</w:t>
      </w:r>
      <w:r w:rsidRPr="00E22450">
        <w:rPr>
          <w:lang w:val="pl-PL"/>
        </w:rPr>
        <w:t>dze aktu delegowanego poziomu 2, przyjętego przez Komisję Europejską</w:t>
      </w:r>
      <w:r w:rsidR="00F1653C" w:rsidRPr="00E22450">
        <w:rPr>
          <w:lang w:val="pl-PL"/>
        </w:rPr>
        <w:t xml:space="preserve"> w</w:t>
      </w:r>
      <w:r w:rsidR="00F1653C">
        <w:rPr>
          <w:lang w:val="pl-PL"/>
        </w:rPr>
        <w:t> </w:t>
      </w:r>
      <w:r w:rsidR="00F1653C" w:rsidRPr="00E22450">
        <w:rPr>
          <w:lang w:val="pl-PL"/>
        </w:rPr>
        <w:t>dni</w:t>
      </w:r>
      <w:r w:rsidRPr="00E22450">
        <w:rPr>
          <w:lang w:val="pl-PL"/>
        </w:rPr>
        <w:t>u 6 września 20</w:t>
      </w:r>
      <w:r w:rsidRPr="00F1653C">
        <w:rPr>
          <w:lang w:val="pl-PL"/>
        </w:rPr>
        <w:t>23</w:t>
      </w:r>
      <w:r w:rsidR="00F1653C" w:rsidRPr="00F1653C">
        <w:rPr>
          <w:lang w:val="pl-PL"/>
        </w:rPr>
        <w:t> </w:t>
      </w:r>
      <w:r w:rsidRPr="00F1653C">
        <w:rPr>
          <w:lang w:val="pl-PL"/>
        </w:rPr>
        <w:t>r.</w:t>
      </w:r>
      <w:r w:rsidRPr="00E22450">
        <w:rPr>
          <w:lang w:val="pl-PL"/>
        </w:rPr>
        <w:t>, na mocy którego zharmonizowano kryteria identyfikacji tych podmiotów przez banki,</w:t>
      </w:r>
      <w:r w:rsidR="00F1653C" w:rsidRPr="00E22450">
        <w:rPr>
          <w:lang w:val="pl-PL"/>
        </w:rPr>
        <w:t xml:space="preserve"> w</w:t>
      </w:r>
      <w:r w:rsidR="00F1653C">
        <w:rPr>
          <w:lang w:val="pl-PL"/>
        </w:rPr>
        <w:t> </w:t>
      </w:r>
      <w:r w:rsidR="00F1653C" w:rsidRPr="00E22450">
        <w:rPr>
          <w:lang w:val="pl-PL"/>
        </w:rPr>
        <w:t>szc</w:t>
      </w:r>
      <w:r w:rsidRPr="00E22450">
        <w:rPr>
          <w:lang w:val="pl-PL"/>
        </w:rPr>
        <w:t>zególności określając akty UE stanowiące „uregulowane ramy”; zob. rozporządzenie delegowane Komisji (UE) 2023/2779</w:t>
      </w:r>
      <w:r w:rsidR="00F1653C" w:rsidRPr="00E22450">
        <w:rPr>
          <w:lang w:val="pl-PL"/>
        </w:rPr>
        <w:t xml:space="preserve"> z</w:t>
      </w:r>
      <w:r w:rsidR="00F1653C">
        <w:rPr>
          <w:lang w:val="pl-PL"/>
        </w:rPr>
        <w:t> </w:t>
      </w:r>
      <w:r w:rsidR="00F1653C" w:rsidRPr="00E22450">
        <w:rPr>
          <w:lang w:val="pl-PL"/>
        </w:rPr>
        <w:t>dni</w:t>
      </w:r>
      <w:r w:rsidRPr="00E22450">
        <w:rPr>
          <w:lang w:val="pl-PL"/>
        </w:rPr>
        <w:t>a 6 września 2023 r. uzupełniające rozporządzenie Parlamentu Europejskiego</w:t>
      </w:r>
      <w:r w:rsidR="00F1653C" w:rsidRPr="00E22450">
        <w:rPr>
          <w:lang w:val="pl-PL"/>
        </w:rPr>
        <w:t xml:space="preserve"> i</w:t>
      </w:r>
      <w:r w:rsidR="00F1653C">
        <w:rPr>
          <w:lang w:val="pl-PL"/>
        </w:rPr>
        <w:t> </w:t>
      </w:r>
      <w:r w:rsidR="00F1653C" w:rsidRPr="00E22450">
        <w:rPr>
          <w:lang w:val="pl-PL"/>
        </w:rPr>
        <w:t>Rad</w:t>
      </w:r>
      <w:r w:rsidRPr="00E22450">
        <w:rPr>
          <w:lang w:val="pl-PL"/>
        </w:rPr>
        <w:t>y (UE) nr 575/2013</w:t>
      </w:r>
      <w:r w:rsidR="00F1653C" w:rsidRPr="00E22450">
        <w:rPr>
          <w:lang w:val="pl-PL"/>
        </w:rPr>
        <w:t xml:space="preserve"> w</w:t>
      </w:r>
      <w:r w:rsidR="00F1653C">
        <w:rPr>
          <w:lang w:val="pl-PL"/>
        </w:rPr>
        <w:t> </w:t>
      </w:r>
      <w:r w:rsidR="00F1653C" w:rsidRPr="00E22450">
        <w:rPr>
          <w:lang w:val="pl-PL"/>
        </w:rPr>
        <w:t>odn</w:t>
      </w:r>
      <w:r w:rsidRPr="00E22450">
        <w:rPr>
          <w:lang w:val="pl-PL"/>
        </w:rPr>
        <w:t>iesieniu do regulacyjnych standardów technicznych określających kryteria identyfikacji podmiotów</w:t>
      </w:r>
      <w:r w:rsidR="00F1653C" w:rsidRPr="00E22450">
        <w:rPr>
          <w:lang w:val="pl-PL"/>
        </w:rPr>
        <w:t xml:space="preserve"> z</w:t>
      </w:r>
      <w:r w:rsidR="00F1653C">
        <w:rPr>
          <w:lang w:val="pl-PL"/>
        </w:rPr>
        <w:t> </w:t>
      </w:r>
      <w:r w:rsidR="00F1653C" w:rsidRPr="00E22450">
        <w:rPr>
          <w:lang w:val="pl-PL"/>
        </w:rPr>
        <w:t>rów</w:t>
      </w:r>
      <w:r w:rsidRPr="00E22450">
        <w:rPr>
          <w:lang w:val="pl-PL"/>
        </w:rPr>
        <w:t>noległego systemu bankowego,</w:t>
      </w:r>
      <w:r w:rsidR="00F1653C" w:rsidRPr="00E22450">
        <w:rPr>
          <w:lang w:val="pl-PL"/>
        </w:rPr>
        <w:t xml:space="preserve"> o</w:t>
      </w:r>
      <w:r w:rsidR="00F1653C">
        <w:rPr>
          <w:lang w:val="pl-PL"/>
        </w:rPr>
        <w:t> </w:t>
      </w:r>
      <w:r w:rsidR="00F1653C" w:rsidRPr="00E22450">
        <w:rPr>
          <w:lang w:val="pl-PL"/>
        </w:rPr>
        <w:t>któ</w:t>
      </w:r>
      <w:r w:rsidRPr="00E22450">
        <w:rPr>
          <w:lang w:val="pl-PL"/>
        </w:rPr>
        <w:t>rych mowa</w:t>
      </w:r>
      <w:r w:rsidR="00F1653C" w:rsidRPr="00E22450">
        <w:rPr>
          <w:lang w:val="pl-PL"/>
        </w:rPr>
        <w:t xml:space="preserve"> w</w:t>
      </w:r>
      <w:r w:rsidR="00F1653C">
        <w:rPr>
          <w:lang w:val="pl-PL"/>
        </w:rPr>
        <w:t> </w:t>
      </w:r>
      <w:r w:rsidR="00F1653C" w:rsidRPr="00E22450">
        <w:rPr>
          <w:lang w:val="pl-PL"/>
        </w:rPr>
        <w:t>art</w:t>
      </w:r>
      <w:r w:rsidRPr="00E22450">
        <w:rPr>
          <w:lang w:val="pl-PL"/>
        </w:rPr>
        <w:t>. 394 ust. 2 rozporządzenia (UE) nr 575/2013; Dz.U. L 2023/2779</w:t>
      </w:r>
      <w:r w:rsidR="00F1653C" w:rsidRPr="00E22450">
        <w:rPr>
          <w:lang w:val="pl-PL"/>
        </w:rPr>
        <w:t xml:space="preserve"> z</w:t>
      </w:r>
      <w:r w:rsidR="00F1653C">
        <w:rPr>
          <w:lang w:val="pl-PL"/>
        </w:rPr>
        <w:t> </w:t>
      </w:r>
      <w:r w:rsidR="00F1653C" w:rsidRPr="00E22450">
        <w:rPr>
          <w:lang w:val="pl-PL"/>
        </w:rPr>
        <w:t>1</w:t>
      </w:r>
      <w:r w:rsidRPr="00E22450">
        <w:rPr>
          <w:lang w:val="pl-PL"/>
        </w:rPr>
        <w:t xml:space="preserve">2.12.2023. </w:t>
      </w:r>
    </w:p>
  </w:footnote>
  <w:footnote w:id="34">
    <w:p w14:paraId="13E8616F" w14:textId="0EEA3480" w:rsidR="005F346F" w:rsidRPr="00E22450" w:rsidRDefault="005F346F" w:rsidP="00C64A13">
      <w:pPr>
        <w:pStyle w:val="FootnoteText"/>
        <w:rPr>
          <w:lang w:val="pl-PL"/>
        </w:rPr>
      </w:pPr>
      <w:r>
        <w:rPr>
          <w:rStyle w:val="FootnoteReference"/>
        </w:rPr>
        <w:footnoteRef/>
      </w:r>
      <w:r w:rsidRPr="00E22450">
        <w:rPr>
          <w:lang w:val="pl-PL"/>
        </w:rPr>
        <w:t xml:space="preserve"> Pozabankowe pośrednictwo finansowe odnosi się do heterogenicznej grupy instytucji finansowych, innych niż banki, które ułatwiają przepływ funduszy między oszczędzającymi</w:t>
      </w:r>
      <w:r w:rsidR="00F1653C" w:rsidRPr="00E22450">
        <w:rPr>
          <w:lang w:val="pl-PL"/>
        </w:rPr>
        <w:t xml:space="preserve"> a</w:t>
      </w:r>
      <w:r w:rsidR="00F1653C">
        <w:rPr>
          <w:lang w:val="pl-PL"/>
        </w:rPr>
        <w:t> </w:t>
      </w:r>
      <w:r w:rsidR="00F1653C" w:rsidRPr="00E22450">
        <w:rPr>
          <w:lang w:val="pl-PL"/>
        </w:rPr>
        <w:t>poż</w:t>
      </w:r>
      <w:r w:rsidRPr="00E22450">
        <w:rPr>
          <w:lang w:val="pl-PL"/>
        </w:rPr>
        <w:t>yczkobiorcami</w:t>
      </w:r>
      <w:r w:rsidR="00F1653C" w:rsidRPr="00E22450">
        <w:rPr>
          <w:lang w:val="pl-PL"/>
        </w:rPr>
        <w:t xml:space="preserve"> w</w:t>
      </w:r>
      <w:r w:rsidR="00F1653C">
        <w:rPr>
          <w:lang w:val="pl-PL"/>
        </w:rPr>
        <w:t> </w:t>
      </w:r>
      <w:r w:rsidR="00F1653C" w:rsidRPr="00E22450">
        <w:rPr>
          <w:lang w:val="pl-PL"/>
        </w:rPr>
        <w:t>gos</w:t>
      </w:r>
      <w:r w:rsidRPr="00E22450">
        <w:rPr>
          <w:lang w:val="pl-PL"/>
        </w:rPr>
        <w:t>podarce. Pośrednicy ci obejmują podmioty takie jak przedsiębiorstwa zarządzające aktywami, fundusze inwestycyjne, zakłady ubezpieczeń, fundusze emerytalne, podmioty typu „family office”, operatorzy rynku</w:t>
      </w:r>
      <w:r w:rsidR="00F1653C" w:rsidRPr="00E22450">
        <w:rPr>
          <w:lang w:val="pl-PL"/>
        </w:rPr>
        <w:t xml:space="preserve"> i</w:t>
      </w:r>
      <w:r w:rsidR="00F1653C">
        <w:rPr>
          <w:lang w:val="pl-PL"/>
        </w:rPr>
        <w:t> </w:t>
      </w:r>
      <w:r w:rsidR="00F1653C" w:rsidRPr="00E22450">
        <w:rPr>
          <w:lang w:val="pl-PL"/>
        </w:rPr>
        <w:t>inn</w:t>
      </w:r>
      <w:r w:rsidRPr="00E22450">
        <w:rPr>
          <w:lang w:val="pl-PL"/>
        </w:rPr>
        <w:t>e pozabankowe instytucje finansowe, które oferują różne usługi</w:t>
      </w:r>
      <w:r w:rsidR="00F1653C" w:rsidRPr="00E22450">
        <w:rPr>
          <w:lang w:val="pl-PL"/>
        </w:rPr>
        <w:t xml:space="preserve"> i</w:t>
      </w:r>
      <w:r w:rsidR="00F1653C">
        <w:rPr>
          <w:lang w:val="pl-PL"/>
        </w:rPr>
        <w:t> </w:t>
      </w:r>
      <w:r w:rsidR="00F1653C" w:rsidRPr="00E22450">
        <w:rPr>
          <w:lang w:val="pl-PL"/>
        </w:rPr>
        <w:t>pro</w:t>
      </w:r>
      <w:r w:rsidRPr="00E22450">
        <w:rPr>
          <w:lang w:val="pl-PL"/>
        </w:rPr>
        <w:t xml:space="preserve">dukty finansowe. </w:t>
      </w:r>
    </w:p>
  </w:footnote>
  <w:footnote w:id="35">
    <w:p w14:paraId="50137174" w14:textId="480A960A" w:rsidR="00241024" w:rsidRPr="00E22450" w:rsidRDefault="00241024" w:rsidP="00C64A13">
      <w:pPr>
        <w:pStyle w:val="FootnoteText"/>
        <w:rPr>
          <w:lang w:val="pl-PL"/>
        </w:rPr>
      </w:pPr>
      <w:r>
        <w:rPr>
          <w:rStyle w:val="FootnoteReference"/>
        </w:rPr>
        <w:footnoteRef/>
      </w:r>
      <w:r w:rsidRPr="00E22450">
        <w:rPr>
          <w:lang w:val="pl-PL"/>
        </w:rPr>
        <w:t xml:space="preserve"> Aby uzyskać więcej informacji na temat możliwych przeszkód</w:t>
      </w:r>
      <w:r w:rsidR="00F1653C" w:rsidRPr="00E22450">
        <w:rPr>
          <w:lang w:val="pl-PL"/>
        </w:rPr>
        <w:t xml:space="preserve"> w</w:t>
      </w:r>
      <w:r w:rsidR="00F1653C">
        <w:rPr>
          <w:lang w:val="pl-PL"/>
        </w:rPr>
        <w:t> </w:t>
      </w:r>
      <w:r w:rsidR="00F1653C" w:rsidRPr="00E22450">
        <w:rPr>
          <w:lang w:val="pl-PL"/>
        </w:rPr>
        <w:t>kor</w:t>
      </w:r>
      <w:r w:rsidRPr="00E22450">
        <w:rPr>
          <w:lang w:val="pl-PL"/>
        </w:rPr>
        <w:t>zystaniu</w:t>
      </w:r>
      <w:r w:rsidR="00F1653C" w:rsidRPr="00E22450">
        <w:rPr>
          <w:lang w:val="pl-PL"/>
        </w:rPr>
        <w:t xml:space="preserve"> z</w:t>
      </w:r>
      <w:r w:rsidR="00F1653C">
        <w:rPr>
          <w:lang w:val="pl-PL"/>
        </w:rPr>
        <w:t> </w:t>
      </w:r>
      <w:r w:rsidR="00F1653C" w:rsidRPr="00E22450">
        <w:rPr>
          <w:lang w:val="pl-PL"/>
        </w:rPr>
        <w:t>buf</w:t>
      </w:r>
      <w:r w:rsidRPr="00E22450">
        <w:rPr>
          <w:lang w:val="pl-PL"/>
        </w:rPr>
        <w:t xml:space="preserve">ora, zob. Behn i in. (2020), </w:t>
      </w:r>
      <w:hyperlink r:id="rId34" w:history="1">
        <w:r w:rsidRPr="00E22450">
          <w:rPr>
            <w:rStyle w:val="Hyperlink"/>
            <w:lang w:val="pl-PL"/>
          </w:rPr>
          <w:t>Makroostrożnościowe bufory kapitałowe – cele</w:t>
        </w:r>
        <w:r w:rsidR="00F1653C" w:rsidRPr="00E22450">
          <w:rPr>
            <w:rStyle w:val="Hyperlink"/>
            <w:lang w:val="pl-PL"/>
          </w:rPr>
          <w:t xml:space="preserve"> i</w:t>
        </w:r>
        <w:r w:rsidR="00F1653C">
          <w:rPr>
            <w:rStyle w:val="Hyperlink"/>
            <w:lang w:val="pl-PL"/>
          </w:rPr>
          <w:t> </w:t>
        </w:r>
        <w:r w:rsidR="00F1653C" w:rsidRPr="00E22450">
          <w:rPr>
            <w:rStyle w:val="Hyperlink"/>
            <w:lang w:val="pl-PL"/>
          </w:rPr>
          <w:t>uży</w:t>
        </w:r>
        <w:r w:rsidRPr="00E22450">
          <w:rPr>
            <w:rStyle w:val="Hyperlink"/>
            <w:lang w:val="pl-PL"/>
          </w:rPr>
          <w:t>teczność</w:t>
        </w:r>
      </w:hyperlink>
      <w:r w:rsidRPr="00E22450">
        <w:rPr>
          <w:lang w:val="pl-PL"/>
        </w:rPr>
        <w:t xml:space="preserve">, Macroprudential Bulletin [Biuletyn makroostrożnościowy] EBC, październik. </w:t>
      </w:r>
    </w:p>
  </w:footnote>
  <w:footnote w:id="36">
    <w:p w14:paraId="14F461B5" w14:textId="6AAAA41B" w:rsidR="00241024" w:rsidRPr="00E22450" w:rsidRDefault="00241024" w:rsidP="00C64A13">
      <w:pPr>
        <w:pStyle w:val="FootnoteText"/>
        <w:rPr>
          <w:lang w:val="pl-PL"/>
        </w:rPr>
      </w:pPr>
      <w:r>
        <w:rPr>
          <w:rStyle w:val="FootnoteReference"/>
        </w:rPr>
        <w:footnoteRef/>
      </w:r>
      <w:r w:rsidRPr="00E22450">
        <w:rPr>
          <w:lang w:val="pl-PL"/>
        </w:rPr>
        <w:t xml:space="preserve"> Zob. ERRS (2021), </w:t>
      </w:r>
      <w:hyperlink r:id="rId35" w:history="1">
        <w:r w:rsidRPr="00E22450">
          <w:rPr>
            <w:rStyle w:val="Hyperlink"/>
            <w:lang w:val="pl-PL"/>
          </w:rPr>
          <w:t>„Report of the Analytical Task Force on the overlap between capital buffers and minimum requirements”</w:t>
        </w:r>
      </w:hyperlink>
      <w:r w:rsidRPr="00E22450">
        <w:rPr>
          <w:lang w:val="pl-PL"/>
        </w:rPr>
        <w:t xml:space="preserve"> [Sprawozdanie analitycznej grupy zadaniowej ds. nakładania się buforów kapitałowych</w:t>
      </w:r>
      <w:r w:rsidR="00F1653C" w:rsidRPr="00E22450">
        <w:rPr>
          <w:lang w:val="pl-PL"/>
        </w:rPr>
        <w:t xml:space="preserve"> i</w:t>
      </w:r>
      <w:r w:rsidR="00F1653C">
        <w:rPr>
          <w:lang w:val="pl-PL"/>
        </w:rPr>
        <w:t> </w:t>
      </w:r>
      <w:r w:rsidR="00F1653C" w:rsidRPr="00E22450">
        <w:rPr>
          <w:lang w:val="pl-PL"/>
        </w:rPr>
        <w:t>wym</w:t>
      </w:r>
      <w:r w:rsidRPr="00E22450">
        <w:rPr>
          <w:lang w:val="pl-PL"/>
        </w:rPr>
        <w:t>ogów minimalnych], grudzień 20</w:t>
      </w:r>
      <w:r w:rsidRPr="00F1653C">
        <w:rPr>
          <w:lang w:val="pl-PL"/>
        </w:rPr>
        <w:t>21</w:t>
      </w:r>
      <w:r w:rsidR="00F1653C" w:rsidRPr="00F1653C">
        <w:rPr>
          <w:lang w:val="pl-PL"/>
        </w:rPr>
        <w:t> </w:t>
      </w:r>
      <w:r w:rsidRPr="00F1653C">
        <w:rPr>
          <w:lang w:val="pl-PL"/>
        </w:rPr>
        <w:t>r.</w:t>
      </w:r>
      <w:r w:rsidRPr="00E22450">
        <w:rPr>
          <w:lang w:val="pl-PL"/>
        </w:rPr>
        <w:t xml:space="preserve"> oraz Bazylejski Komitet Nadzoru Bankowego (2022), „Buffer usability and cyclicality in the Basel Framework” [Użyteczność bufora</w:t>
      </w:r>
      <w:r w:rsidR="00F1653C" w:rsidRPr="00E22450">
        <w:rPr>
          <w:lang w:val="pl-PL"/>
        </w:rPr>
        <w:t xml:space="preserve"> i</w:t>
      </w:r>
      <w:r w:rsidR="00F1653C">
        <w:rPr>
          <w:lang w:val="pl-PL"/>
        </w:rPr>
        <w:t> </w:t>
      </w:r>
      <w:r w:rsidR="00F1653C" w:rsidRPr="00E22450">
        <w:rPr>
          <w:lang w:val="pl-PL"/>
        </w:rPr>
        <w:t>cyk</w:t>
      </w:r>
      <w:r w:rsidRPr="00E22450">
        <w:rPr>
          <w:lang w:val="pl-PL"/>
        </w:rPr>
        <w:t>liczność</w:t>
      </w:r>
      <w:r w:rsidR="00F1653C" w:rsidRPr="00E22450">
        <w:rPr>
          <w:lang w:val="pl-PL"/>
        </w:rPr>
        <w:t xml:space="preserve"> w</w:t>
      </w:r>
      <w:r w:rsidR="00F1653C">
        <w:rPr>
          <w:lang w:val="pl-PL"/>
        </w:rPr>
        <w:t> </w:t>
      </w:r>
      <w:r w:rsidR="00F1653C" w:rsidRPr="00E22450">
        <w:rPr>
          <w:lang w:val="pl-PL"/>
        </w:rPr>
        <w:t>reg</w:t>
      </w:r>
      <w:r w:rsidRPr="00E22450">
        <w:rPr>
          <w:lang w:val="pl-PL"/>
        </w:rPr>
        <w:t xml:space="preserve">ulacjach bazylejskich]. </w:t>
      </w:r>
    </w:p>
  </w:footnote>
  <w:footnote w:id="37">
    <w:p w14:paraId="6AD89EF1" w14:textId="24BF2793" w:rsidR="00F80F30" w:rsidRPr="00E22450" w:rsidRDefault="00F80F30" w:rsidP="00C64A13">
      <w:pPr>
        <w:pStyle w:val="FootnoteText"/>
        <w:rPr>
          <w:lang w:val="pl-PL"/>
        </w:rPr>
      </w:pPr>
      <w:r>
        <w:rPr>
          <w:rStyle w:val="FootnoteReference"/>
        </w:rPr>
        <w:footnoteRef/>
      </w:r>
      <w:r w:rsidRPr="00E22450">
        <w:rPr>
          <w:lang w:val="pl-PL"/>
        </w:rPr>
        <w:t xml:space="preserve"> Za ustalenie MREL odpowiedzialne są organy ds. restrukturyzacji</w:t>
      </w:r>
      <w:r w:rsidR="00F1653C" w:rsidRPr="00E22450">
        <w:rPr>
          <w:lang w:val="pl-PL"/>
        </w:rPr>
        <w:t xml:space="preserve"> i</w:t>
      </w:r>
      <w:r w:rsidR="00F1653C">
        <w:rPr>
          <w:lang w:val="pl-PL"/>
        </w:rPr>
        <w:t> </w:t>
      </w:r>
      <w:r w:rsidR="00F1653C" w:rsidRPr="00E22450">
        <w:rPr>
          <w:lang w:val="pl-PL"/>
        </w:rPr>
        <w:t>upo</w:t>
      </w:r>
      <w:r w:rsidRPr="00E22450">
        <w:rPr>
          <w:lang w:val="pl-PL"/>
        </w:rPr>
        <w:t>rządkowanej likwidacji, których celem jest zapewnienie, aby banki utrzymywały przez cały czas wystarczającą liczbę kwalifikujących się instrumentów, by móc wesprzeć wybraną strategię restrukturyzacji</w:t>
      </w:r>
      <w:r w:rsidR="00F1653C" w:rsidRPr="00E22450">
        <w:rPr>
          <w:lang w:val="pl-PL"/>
        </w:rPr>
        <w:t xml:space="preserve"> i</w:t>
      </w:r>
      <w:r w:rsidR="00F1653C">
        <w:rPr>
          <w:lang w:val="pl-PL"/>
        </w:rPr>
        <w:t> </w:t>
      </w:r>
      <w:r w:rsidR="00F1653C" w:rsidRPr="00E22450">
        <w:rPr>
          <w:lang w:val="pl-PL"/>
        </w:rPr>
        <w:t>upo</w:t>
      </w:r>
      <w:r w:rsidRPr="00E22450">
        <w:rPr>
          <w:lang w:val="pl-PL"/>
        </w:rPr>
        <w:t>rządkowanej likwidacji. Na przykład jeżeli strategia restrukturyzacji</w:t>
      </w:r>
      <w:r w:rsidR="00F1653C" w:rsidRPr="00E22450">
        <w:rPr>
          <w:lang w:val="pl-PL"/>
        </w:rPr>
        <w:t xml:space="preserve"> i</w:t>
      </w:r>
      <w:r w:rsidR="00F1653C">
        <w:rPr>
          <w:lang w:val="pl-PL"/>
        </w:rPr>
        <w:t> </w:t>
      </w:r>
      <w:r w:rsidR="00F1653C" w:rsidRPr="00E22450">
        <w:rPr>
          <w:lang w:val="pl-PL"/>
        </w:rPr>
        <w:t>upo</w:t>
      </w:r>
      <w:r w:rsidRPr="00E22450">
        <w:rPr>
          <w:lang w:val="pl-PL"/>
        </w:rPr>
        <w:t>rządkowanej likwidacji obejmuje umorzenie lub konwersję długu oraz kontynuację działalności banku na rynku, MREL ustala się</w:t>
      </w:r>
      <w:r w:rsidR="00F1653C" w:rsidRPr="00E22450">
        <w:rPr>
          <w:lang w:val="pl-PL"/>
        </w:rPr>
        <w:t xml:space="preserve"> w</w:t>
      </w:r>
      <w:r w:rsidR="00F1653C">
        <w:rPr>
          <w:lang w:val="pl-PL"/>
        </w:rPr>
        <w:t> </w:t>
      </w:r>
      <w:r w:rsidR="00F1653C" w:rsidRPr="00E22450">
        <w:rPr>
          <w:lang w:val="pl-PL"/>
        </w:rPr>
        <w:t>cel</w:t>
      </w:r>
      <w:r w:rsidRPr="00E22450">
        <w:rPr>
          <w:lang w:val="pl-PL"/>
        </w:rPr>
        <w:t>u pokrycia strat</w:t>
      </w:r>
      <w:r w:rsidR="00F1653C" w:rsidRPr="00E22450">
        <w:rPr>
          <w:lang w:val="pl-PL"/>
        </w:rPr>
        <w:t xml:space="preserve"> i</w:t>
      </w:r>
      <w:r w:rsidR="00F1653C">
        <w:rPr>
          <w:lang w:val="pl-PL"/>
        </w:rPr>
        <w:t> </w:t>
      </w:r>
      <w:r w:rsidR="00F1653C" w:rsidRPr="00E22450">
        <w:rPr>
          <w:lang w:val="pl-PL"/>
        </w:rPr>
        <w:t>prz</w:t>
      </w:r>
      <w:r w:rsidRPr="00E22450">
        <w:rPr>
          <w:lang w:val="pl-PL"/>
        </w:rPr>
        <w:t>ywrócenia pozycji kapitałowej banku, umożliwiając mu dalsze wykonywanie jego funkcji krytycznych po kryzysie. Wymogi te szczegółowo opisano</w:t>
      </w:r>
      <w:r w:rsidR="00F1653C" w:rsidRPr="00E22450">
        <w:rPr>
          <w:lang w:val="pl-PL"/>
        </w:rPr>
        <w:t xml:space="preserve"> w</w:t>
      </w:r>
      <w:r w:rsidR="00F1653C">
        <w:rPr>
          <w:lang w:val="pl-PL"/>
        </w:rPr>
        <w:t> </w:t>
      </w:r>
      <w:r w:rsidR="00F1653C" w:rsidRPr="00E22450">
        <w:rPr>
          <w:lang w:val="pl-PL"/>
        </w:rPr>
        <w:t>uni</w:t>
      </w:r>
      <w:r w:rsidRPr="00E22450">
        <w:rPr>
          <w:lang w:val="pl-PL"/>
        </w:rPr>
        <w:t>jnej dyrektywie 2014/59/UE</w:t>
      </w:r>
      <w:r w:rsidR="00F1653C" w:rsidRPr="00E22450">
        <w:rPr>
          <w:lang w:val="pl-PL"/>
        </w:rPr>
        <w:t xml:space="preserve"> w</w:t>
      </w:r>
      <w:r w:rsidR="00F1653C">
        <w:rPr>
          <w:lang w:val="pl-PL"/>
        </w:rPr>
        <w:t> </w:t>
      </w:r>
      <w:r w:rsidR="00F1653C" w:rsidRPr="00E22450">
        <w:rPr>
          <w:lang w:val="pl-PL"/>
        </w:rPr>
        <w:t>spr</w:t>
      </w:r>
      <w:r w:rsidRPr="00E22450">
        <w:rPr>
          <w:lang w:val="pl-PL"/>
        </w:rPr>
        <w:t>awie naprawy oraz restrukturyzacji</w:t>
      </w:r>
      <w:r w:rsidR="00F1653C" w:rsidRPr="00E22450">
        <w:rPr>
          <w:lang w:val="pl-PL"/>
        </w:rPr>
        <w:t xml:space="preserve"> i</w:t>
      </w:r>
      <w:r w:rsidR="00F1653C">
        <w:rPr>
          <w:lang w:val="pl-PL"/>
        </w:rPr>
        <w:t> </w:t>
      </w:r>
      <w:r w:rsidR="00F1653C" w:rsidRPr="00E22450">
        <w:rPr>
          <w:lang w:val="pl-PL"/>
        </w:rPr>
        <w:t>upo</w:t>
      </w:r>
      <w:r w:rsidRPr="00E22450">
        <w:rPr>
          <w:lang w:val="pl-PL"/>
        </w:rPr>
        <w:t>rządkowanej likwidacji banków (dyrektywa BRRD) zmienionej dyrektywą (UE) 2019/879</w:t>
      </w:r>
      <w:r w:rsidR="00F1653C" w:rsidRPr="00E22450">
        <w:rPr>
          <w:lang w:val="pl-PL"/>
        </w:rPr>
        <w:t xml:space="preserve"> w</w:t>
      </w:r>
      <w:r w:rsidR="00F1653C">
        <w:rPr>
          <w:lang w:val="pl-PL"/>
        </w:rPr>
        <w:t> </w:t>
      </w:r>
      <w:r w:rsidR="00F1653C" w:rsidRPr="00E22450">
        <w:rPr>
          <w:lang w:val="pl-PL"/>
        </w:rPr>
        <w:t>odn</w:t>
      </w:r>
      <w:r w:rsidRPr="00E22450">
        <w:rPr>
          <w:lang w:val="pl-PL"/>
        </w:rPr>
        <w:t>iesieniu do zdolności do pokrycia strat</w:t>
      </w:r>
      <w:r w:rsidR="00F1653C" w:rsidRPr="00E22450">
        <w:rPr>
          <w:lang w:val="pl-PL"/>
        </w:rPr>
        <w:t xml:space="preserve"> i</w:t>
      </w:r>
      <w:r w:rsidR="00F1653C">
        <w:rPr>
          <w:lang w:val="pl-PL"/>
        </w:rPr>
        <w:t> </w:t>
      </w:r>
      <w:r w:rsidR="00F1653C" w:rsidRPr="00E22450">
        <w:rPr>
          <w:lang w:val="pl-PL"/>
        </w:rPr>
        <w:t>dok</w:t>
      </w:r>
      <w:r w:rsidRPr="00E22450">
        <w:rPr>
          <w:lang w:val="pl-PL"/>
        </w:rPr>
        <w:t>apitalizowania instytucji kredytowych</w:t>
      </w:r>
      <w:r w:rsidR="00F1653C" w:rsidRPr="00E22450">
        <w:rPr>
          <w:lang w:val="pl-PL"/>
        </w:rPr>
        <w:t xml:space="preserve"> i</w:t>
      </w:r>
      <w:r w:rsidR="00F1653C">
        <w:rPr>
          <w:lang w:val="pl-PL"/>
        </w:rPr>
        <w:t> </w:t>
      </w:r>
      <w:r w:rsidR="00F1653C" w:rsidRPr="00E22450">
        <w:rPr>
          <w:lang w:val="pl-PL"/>
        </w:rPr>
        <w:t>fir</w:t>
      </w:r>
      <w:r w:rsidRPr="00E22450">
        <w:rPr>
          <w:lang w:val="pl-PL"/>
        </w:rPr>
        <w:t xml:space="preserve">m inwestycyjnych (BRRD II); rozporządzeniu nr (UE) </w:t>
      </w:r>
      <w:r w:rsidRPr="00F1653C">
        <w:rPr>
          <w:lang w:val="pl-PL"/>
        </w:rPr>
        <w:t>nr</w:t>
      </w:r>
      <w:r w:rsidR="00F1653C" w:rsidRPr="00F1653C">
        <w:rPr>
          <w:lang w:val="pl-PL"/>
        </w:rPr>
        <w:t> </w:t>
      </w:r>
      <w:r w:rsidRPr="00F1653C">
        <w:rPr>
          <w:lang w:val="pl-PL"/>
        </w:rPr>
        <w:t>8</w:t>
      </w:r>
      <w:r w:rsidRPr="00E22450">
        <w:rPr>
          <w:lang w:val="pl-PL"/>
        </w:rPr>
        <w:t>06/2014 ustanawiającym jednolity mechanizm restrukturyzacji</w:t>
      </w:r>
      <w:r w:rsidR="00F1653C" w:rsidRPr="00E22450">
        <w:rPr>
          <w:lang w:val="pl-PL"/>
        </w:rPr>
        <w:t xml:space="preserve"> i</w:t>
      </w:r>
      <w:r w:rsidR="00F1653C">
        <w:rPr>
          <w:lang w:val="pl-PL"/>
        </w:rPr>
        <w:t> </w:t>
      </w:r>
      <w:r w:rsidR="00F1653C" w:rsidRPr="00E22450">
        <w:rPr>
          <w:lang w:val="pl-PL"/>
        </w:rPr>
        <w:t>upo</w:t>
      </w:r>
      <w:r w:rsidRPr="00E22450">
        <w:rPr>
          <w:lang w:val="pl-PL"/>
        </w:rPr>
        <w:t>rządkowanej likwidacji (rozporządzenie SRM), zmienionym rozporządzeniem (UE) 2019/877</w:t>
      </w:r>
      <w:r w:rsidR="00F1653C" w:rsidRPr="00E22450">
        <w:rPr>
          <w:lang w:val="pl-PL"/>
        </w:rPr>
        <w:t xml:space="preserve"> w</w:t>
      </w:r>
      <w:r w:rsidR="00F1653C">
        <w:rPr>
          <w:lang w:val="pl-PL"/>
        </w:rPr>
        <w:t> </w:t>
      </w:r>
      <w:r w:rsidR="00F1653C" w:rsidRPr="00E22450">
        <w:rPr>
          <w:lang w:val="pl-PL"/>
        </w:rPr>
        <w:t>odn</w:t>
      </w:r>
      <w:r w:rsidRPr="00E22450">
        <w:rPr>
          <w:lang w:val="pl-PL"/>
        </w:rPr>
        <w:t>iesieniu do zdolności do pokrycia strat</w:t>
      </w:r>
      <w:r w:rsidR="00F1653C" w:rsidRPr="00E22450">
        <w:rPr>
          <w:lang w:val="pl-PL"/>
        </w:rPr>
        <w:t xml:space="preserve"> i</w:t>
      </w:r>
      <w:r w:rsidR="00F1653C">
        <w:rPr>
          <w:lang w:val="pl-PL"/>
        </w:rPr>
        <w:t> </w:t>
      </w:r>
      <w:r w:rsidR="00F1653C" w:rsidRPr="00E22450">
        <w:rPr>
          <w:lang w:val="pl-PL"/>
        </w:rPr>
        <w:t>dok</w:t>
      </w:r>
      <w:r w:rsidRPr="00E22450">
        <w:rPr>
          <w:lang w:val="pl-PL"/>
        </w:rPr>
        <w:t>apitalizowania instytucji kredytowych</w:t>
      </w:r>
      <w:r w:rsidR="00F1653C" w:rsidRPr="00E22450">
        <w:rPr>
          <w:lang w:val="pl-PL"/>
        </w:rPr>
        <w:t xml:space="preserve"> i</w:t>
      </w:r>
      <w:r w:rsidR="00F1653C">
        <w:rPr>
          <w:lang w:val="pl-PL"/>
        </w:rPr>
        <w:t> </w:t>
      </w:r>
      <w:r w:rsidR="00F1653C" w:rsidRPr="00E22450">
        <w:rPr>
          <w:lang w:val="pl-PL"/>
        </w:rPr>
        <w:t>fir</w:t>
      </w:r>
      <w:r w:rsidRPr="00E22450">
        <w:rPr>
          <w:lang w:val="pl-PL"/>
        </w:rPr>
        <w:t>m inwestycyjnych (rozporządzenie SRM II); oraz CRR i CRD.</w:t>
      </w:r>
    </w:p>
  </w:footnote>
  <w:footnote w:id="38">
    <w:p w14:paraId="7E552C2D" w14:textId="4FF88CA6" w:rsidR="00241024" w:rsidRPr="00E22450" w:rsidRDefault="00241024" w:rsidP="00C64A13">
      <w:pPr>
        <w:pStyle w:val="FootnoteText"/>
        <w:rPr>
          <w:lang w:val="pl-PL"/>
        </w:rPr>
      </w:pPr>
      <w:r>
        <w:rPr>
          <w:rStyle w:val="FootnoteReference"/>
        </w:rPr>
        <w:footnoteRef/>
      </w:r>
      <w:r w:rsidRPr="005135EB">
        <w:rPr>
          <w:lang w:val="pl-PL"/>
        </w:rPr>
        <w:t xml:space="preserve"> Zob. np. Leitner i in. </w:t>
      </w:r>
      <w:r>
        <w:t xml:space="preserve">(2023), </w:t>
      </w:r>
      <w:hyperlink r:id="rId36" w:history="1">
        <w:r>
          <w:rPr>
            <w:rStyle w:val="Hyperlink"/>
          </w:rPr>
          <w:t>How usable are capital buffers?</w:t>
        </w:r>
      </w:hyperlink>
      <w:hyperlink r:id="rId37" w:history="1">
        <w:r>
          <w:rPr>
            <w:rStyle w:val="Hyperlink"/>
          </w:rPr>
          <w:t xml:space="preserve"> An empirical analysis of the interaction between capital buffers and the leverage ratio since 2016</w:t>
        </w:r>
      </w:hyperlink>
      <w:r>
        <w:t xml:space="preserve"> [Jak przydatne są bufory kapitałowe? </w:t>
      </w:r>
      <w:r w:rsidRPr="00E22450">
        <w:rPr>
          <w:lang w:val="pl-PL"/>
        </w:rPr>
        <w:t>Analiza empiryczna interakcji między buforami kapitałowymi</w:t>
      </w:r>
      <w:r w:rsidR="00F1653C" w:rsidRPr="00E22450">
        <w:rPr>
          <w:lang w:val="pl-PL"/>
        </w:rPr>
        <w:t xml:space="preserve"> a</w:t>
      </w:r>
      <w:r w:rsidR="00F1653C">
        <w:rPr>
          <w:lang w:val="pl-PL"/>
        </w:rPr>
        <w:t> </w:t>
      </w:r>
      <w:r w:rsidR="00F1653C" w:rsidRPr="00E22450">
        <w:rPr>
          <w:lang w:val="pl-PL"/>
        </w:rPr>
        <w:t>wsk</w:t>
      </w:r>
      <w:r w:rsidRPr="00E22450">
        <w:rPr>
          <w:lang w:val="pl-PL"/>
        </w:rPr>
        <w:t xml:space="preserve">aźnikiem dźwigni </w:t>
      </w:r>
      <w:r w:rsidRPr="00F1653C">
        <w:rPr>
          <w:lang w:val="pl-PL"/>
        </w:rPr>
        <w:t>od</w:t>
      </w:r>
      <w:r w:rsidR="00F1653C" w:rsidRPr="00F1653C">
        <w:rPr>
          <w:lang w:val="pl-PL"/>
        </w:rPr>
        <w:t> </w:t>
      </w:r>
      <w:r w:rsidRPr="00F1653C">
        <w:rPr>
          <w:lang w:val="pl-PL"/>
        </w:rPr>
        <w:t>2</w:t>
      </w:r>
      <w:r w:rsidRPr="00E22450">
        <w:rPr>
          <w:lang w:val="pl-PL"/>
        </w:rPr>
        <w:t>0</w:t>
      </w:r>
      <w:r w:rsidRPr="00F1653C">
        <w:rPr>
          <w:lang w:val="pl-PL"/>
        </w:rPr>
        <w:t>16</w:t>
      </w:r>
      <w:r w:rsidR="00F1653C" w:rsidRPr="00F1653C">
        <w:rPr>
          <w:lang w:val="pl-PL"/>
        </w:rPr>
        <w:t> </w:t>
      </w:r>
      <w:r w:rsidRPr="00F1653C">
        <w:rPr>
          <w:lang w:val="pl-PL"/>
        </w:rPr>
        <w:t>r.</w:t>
      </w:r>
      <w:r w:rsidRPr="00E22450">
        <w:rPr>
          <w:lang w:val="pl-PL"/>
        </w:rPr>
        <w:t xml:space="preserve">], dokument okolicznościowy EBC </w:t>
      </w:r>
      <w:r w:rsidRPr="00F1653C">
        <w:rPr>
          <w:lang w:val="pl-PL"/>
        </w:rPr>
        <w:t>nr</w:t>
      </w:r>
      <w:r w:rsidR="00F1653C" w:rsidRPr="00F1653C">
        <w:rPr>
          <w:lang w:val="pl-PL"/>
        </w:rPr>
        <w:t> </w:t>
      </w:r>
      <w:r w:rsidRPr="00F1653C">
        <w:rPr>
          <w:lang w:val="pl-PL"/>
        </w:rPr>
        <w:t>3</w:t>
      </w:r>
      <w:r w:rsidRPr="00E22450">
        <w:rPr>
          <w:lang w:val="pl-PL"/>
        </w:rPr>
        <w:t xml:space="preserve">29. </w:t>
      </w:r>
    </w:p>
  </w:footnote>
  <w:footnote w:id="39">
    <w:p w14:paraId="248CA8DE" w14:textId="1A832FB4" w:rsidR="00241024" w:rsidRPr="00E22450" w:rsidRDefault="00241024" w:rsidP="00C64A13">
      <w:pPr>
        <w:pStyle w:val="FootnoteText"/>
        <w:rPr>
          <w:lang w:val="pl-PL"/>
        </w:rPr>
      </w:pPr>
      <w:r>
        <w:rPr>
          <w:rStyle w:val="FootnoteReference"/>
        </w:rPr>
        <w:footnoteRef/>
      </w:r>
      <w:r w:rsidRPr="00E22450">
        <w:rPr>
          <w:lang w:val="pl-PL"/>
        </w:rPr>
        <w:t xml:space="preserve"> W badaniu EBC oszacowano, że większe bufory kapitałowe</w:t>
      </w:r>
      <w:r w:rsidR="00F1653C" w:rsidRPr="00E22450">
        <w:rPr>
          <w:lang w:val="pl-PL"/>
        </w:rPr>
        <w:t xml:space="preserve"> i</w:t>
      </w:r>
      <w:r w:rsidR="00F1653C">
        <w:rPr>
          <w:lang w:val="pl-PL"/>
        </w:rPr>
        <w:t> </w:t>
      </w:r>
      <w:r w:rsidR="00F1653C" w:rsidRPr="00E22450">
        <w:rPr>
          <w:lang w:val="pl-PL"/>
        </w:rPr>
        <w:t>now</w:t>
      </w:r>
      <w:r w:rsidRPr="00E22450">
        <w:rPr>
          <w:lang w:val="pl-PL"/>
        </w:rPr>
        <w:t>e zasady restrukturyzacji</w:t>
      </w:r>
      <w:r w:rsidR="00F1653C" w:rsidRPr="00E22450">
        <w:rPr>
          <w:lang w:val="pl-PL"/>
        </w:rPr>
        <w:t xml:space="preserve"> i</w:t>
      </w:r>
      <w:r w:rsidR="00F1653C">
        <w:rPr>
          <w:lang w:val="pl-PL"/>
        </w:rPr>
        <w:t> </w:t>
      </w:r>
      <w:r w:rsidR="00F1653C" w:rsidRPr="00E22450">
        <w:rPr>
          <w:lang w:val="pl-PL"/>
        </w:rPr>
        <w:t>upo</w:t>
      </w:r>
      <w:r w:rsidRPr="00E22450">
        <w:rPr>
          <w:lang w:val="pl-PL"/>
        </w:rPr>
        <w:t xml:space="preserve">rządkowanej likwidacji znacznie zwiększyły zdolność systemu bankowego do absorpcji strat. Zdolność systemu bankowego do pokrywania strat wzrosła </w:t>
      </w:r>
      <w:r w:rsidRPr="00E22450">
        <w:rPr>
          <w:i/>
          <w:lang w:val="pl-PL"/>
        </w:rPr>
        <w:t>ponad trzykrotnie</w:t>
      </w:r>
      <w:r w:rsidR="00F1653C" w:rsidRPr="00E22450">
        <w:rPr>
          <w:lang w:val="pl-PL"/>
        </w:rPr>
        <w:t xml:space="preserve"> w</w:t>
      </w:r>
      <w:r w:rsidR="00F1653C">
        <w:rPr>
          <w:lang w:val="pl-PL"/>
        </w:rPr>
        <w:t> </w:t>
      </w:r>
      <w:r w:rsidR="00F1653C" w:rsidRPr="00E22450">
        <w:rPr>
          <w:lang w:val="pl-PL"/>
        </w:rPr>
        <w:t>cią</w:t>
      </w:r>
      <w:r w:rsidRPr="00E22450">
        <w:rPr>
          <w:lang w:val="pl-PL"/>
        </w:rPr>
        <w:t xml:space="preserve">gu ostatnich dziesięciu lat. </w:t>
      </w:r>
      <w:r>
        <w:t xml:space="preserve">Zob. Carmassi i in. (2019), </w:t>
      </w:r>
      <w:hyperlink r:id="rId38" w:history="1">
        <w:r>
          <w:rPr>
            <w:rStyle w:val="Hyperlink"/>
          </w:rPr>
          <w:t>Is taxpayers’ money better protected now?</w:t>
        </w:r>
      </w:hyperlink>
      <w:hyperlink r:id="rId39" w:history="1">
        <w:r>
          <w:rPr>
            <w:rStyle w:val="Hyperlink"/>
          </w:rPr>
          <w:t xml:space="preserve"> An assessment of banking regulatory reforms ten years after the global financial crisis</w:t>
        </w:r>
      </w:hyperlink>
      <w:r>
        <w:t xml:space="preserve"> [Czy pieniądze podatników są teraz lepiej chronione? </w:t>
      </w:r>
      <w:r w:rsidRPr="00E22450">
        <w:rPr>
          <w:lang w:val="pl-PL"/>
        </w:rPr>
        <w:t xml:space="preserve">Ocena bankowych reform regulacyjnych dziesięć lat po globalnym kryzysie finansowym]. Zob. także Bazylejski Komitet Nadzoru Bankowego (2022), </w:t>
      </w:r>
      <w:hyperlink r:id="rId40" w:history="1">
        <w:r w:rsidRPr="00E22450">
          <w:rPr>
            <w:rStyle w:val="Hyperlink"/>
            <w:lang w:val="pl-PL"/>
          </w:rPr>
          <w:t>Buffer usability and cyclicality in the Basel framework</w:t>
        </w:r>
      </w:hyperlink>
      <w:r w:rsidRPr="00E22450">
        <w:rPr>
          <w:lang w:val="pl-PL"/>
        </w:rPr>
        <w:t xml:space="preserve"> [Użyteczność bufora</w:t>
      </w:r>
      <w:r w:rsidR="00F1653C" w:rsidRPr="00E22450">
        <w:rPr>
          <w:lang w:val="pl-PL"/>
        </w:rPr>
        <w:t xml:space="preserve"> i</w:t>
      </w:r>
      <w:r w:rsidR="00F1653C">
        <w:rPr>
          <w:lang w:val="pl-PL"/>
        </w:rPr>
        <w:t> </w:t>
      </w:r>
      <w:r w:rsidR="00F1653C" w:rsidRPr="00E22450">
        <w:rPr>
          <w:lang w:val="pl-PL"/>
        </w:rPr>
        <w:t>cyk</w:t>
      </w:r>
      <w:r w:rsidRPr="00E22450">
        <w:rPr>
          <w:lang w:val="pl-PL"/>
        </w:rPr>
        <w:t>liczność</w:t>
      </w:r>
      <w:r w:rsidR="00F1653C" w:rsidRPr="00E22450">
        <w:rPr>
          <w:lang w:val="pl-PL"/>
        </w:rPr>
        <w:t xml:space="preserve"> w</w:t>
      </w:r>
      <w:r w:rsidR="00F1653C">
        <w:rPr>
          <w:lang w:val="pl-PL"/>
        </w:rPr>
        <w:t> </w:t>
      </w:r>
      <w:r w:rsidR="00F1653C" w:rsidRPr="00E22450">
        <w:rPr>
          <w:lang w:val="pl-PL"/>
        </w:rPr>
        <w:t>reg</w:t>
      </w:r>
      <w:r w:rsidRPr="00E22450">
        <w:rPr>
          <w:lang w:val="pl-PL"/>
        </w:rPr>
        <w:t>ulacjach bazylejskich], 5 października 20</w:t>
      </w:r>
      <w:r w:rsidRPr="00F1653C">
        <w:rPr>
          <w:lang w:val="pl-PL"/>
        </w:rPr>
        <w:t>22</w:t>
      </w:r>
      <w:r w:rsidR="00F1653C" w:rsidRPr="00F1653C">
        <w:rPr>
          <w:lang w:val="pl-PL"/>
        </w:rPr>
        <w:t> </w:t>
      </w:r>
      <w:r w:rsidRPr="00F1653C">
        <w:rPr>
          <w:lang w:val="pl-PL"/>
        </w:rPr>
        <w:t>r.</w:t>
      </w:r>
      <w:r w:rsidRPr="00E22450">
        <w:rPr>
          <w:lang w:val="pl-PL"/>
        </w:rPr>
        <w:t xml:space="preserve"> </w:t>
      </w:r>
    </w:p>
  </w:footnote>
  <w:footnote w:id="40">
    <w:p w14:paraId="4337237E" w14:textId="498806E2" w:rsidR="00241024" w:rsidRPr="00E22450" w:rsidRDefault="00241024" w:rsidP="00C64A13">
      <w:pPr>
        <w:pStyle w:val="FootnoteText"/>
        <w:rPr>
          <w:lang w:val="pl-PL"/>
        </w:rPr>
      </w:pPr>
      <w:r>
        <w:rPr>
          <w:rStyle w:val="FootnoteReference"/>
        </w:rPr>
        <w:footnoteRef/>
      </w:r>
      <w:r w:rsidRPr="005135EB">
        <w:rPr>
          <w:lang w:val="pl-PL"/>
        </w:rPr>
        <w:t xml:space="preserve"> Zob. Couaillier i in. (2021, 2022), </w:t>
      </w:r>
      <w:hyperlink r:id="rId41">
        <w:r w:rsidRPr="005135EB">
          <w:rPr>
            <w:rStyle w:val="Hyperlink"/>
            <w:lang w:val="pl-PL"/>
          </w:rPr>
          <w:t>Bank capital buffers and lending in the euro area during the pandemic</w:t>
        </w:r>
      </w:hyperlink>
      <w:r w:rsidRPr="005135EB">
        <w:rPr>
          <w:lang w:val="pl-PL"/>
        </w:rPr>
        <w:t xml:space="preserve"> [Bufory kapitałowe banków</w:t>
      </w:r>
      <w:r w:rsidR="00F1653C" w:rsidRPr="005135EB">
        <w:rPr>
          <w:lang w:val="pl-PL"/>
        </w:rPr>
        <w:t xml:space="preserve"> i</w:t>
      </w:r>
      <w:r w:rsidR="00F1653C">
        <w:rPr>
          <w:lang w:val="pl-PL"/>
        </w:rPr>
        <w:t> </w:t>
      </w:r>
      <w:r w:rsidR="00F1653C" w:rsidRPr="005135EB">
        <w:rPr>
          <w:lang w:val="pl-PL"/>
        </w:rPr>
        <w:t>akc</w:t>
      </w:r>
      <w:r w:rsidRPr="005135EB">
        <w:rPr>
          <w:lang w:val="pl-PL"/>
        </w:rPr>
        <w:t>ja kredytowa</w:t>
      </w:r>
      <w:r w:rsidR="00F1653C" w:rsidRPr="005135EB">
        <w:rPr>
          <w:lang w:val="pl-PL"/>
        </w:rPr>
        <w:t xml:space="preserve"> w</w:t>
      </w:r>
      <w:r w:rsidR="00F1653C">
        <w:rPr>
          <w:lang w:val="pl-PL"/>
        </w:rPr>
        <w:t> </w:t>
      </w:r>
      <w:r w:rsidR="00F1653C" w:rsidRPr="005135EB">
        <w:rPr>
          <w:lang w:val="pl-PL"/>
        </w:rPr>
        <w:t>str</w:t>
      </w:r>
      <w:r w:rsidRPr="005135EB">
        <w:rPr>
          <w:lang w:val="pl-PL"/>
        </w:rPr>
        <w:t xml:space="preserve">efie euro podczas pandemii] oraz </w:t>
      </w:r>
      <w:hyperlink r:id="rId42">
        <w:r w:rsidRPr="005135EB">
          <w:rPr>
            <w:rStyle w:val="Hyperlink"/>
            <w:lang w:val="pl-PL"/>
          </w:rPr>
          <w:t>Caution:</w:t>
        </w:r>
      </w:hyperlink>
      <w:hyperlink r:id="rId43">
        <w:r w:rsidRPr="005135EB">
          <w:rPr>
            <w:rStyle w:val="Hyperlink"/>
            <w:lang w:val="pl-PL"/>
          </w:rPr>
          <w:t xml:space="preserve"> do not cross!</w:t>
        </w:r>
      </w:hyperlink>
      <w:hyperlink r:id="rId44">
        <w:r w:rsidRPr="005135EB">
          <w:rPr>
            <w:rStyle w:val="Hyperlink"/>
            <w:lang w:val="pl-PL"/>
          </w:rPr>
          <w:t xml:space="preserve"> </w:t>
        </w:r>
        <w:r>
          <w:rPr>
            <w:rStyle w:val="Hyperlink"/>
          </w:rPr>
          <w:t>Capital buffers and lending in Covid-19 times</w:t>
        </w:r>
      </w:hyperlink>
      <w:r>
        <w:t xml:space="preserve"> [Uwaga: nie przekraczać! </w:t>
      </w:r>
      <w:r w:rsidRPr="00E22450">
        <w:rPr>
          <w:lang w:val="pl-PL"/>
        </w:rPr>
        <w:t>Bufory kapitałowe</w:t>
      </w:r>
      <w:r w:rsidR="00F1653C" w:rsidRPr="00E22450">
        <w:rPr>
          <w:lang w:val="pl-PL"/>
        </w:rPr>
        <w:t xml:space="preserve"> i</w:t>
      </w:r>
      <w:r w:rsidR="00F1653C">
        <w:rPr>
          <w:lang w:val="pl-PL"/>
        </w:rPr>
        <w:t> </w:t>
      </w:r>
      <w:r w:rsidR="00F1653C" w:rsidRPr="00E22450">
        <w:rPr>
          <w:lang w:val="pl-PL"/>
        </w:rPr>
        <w:t>udz</w:t>
      </w:r>
      <w:r w:rsidRPr="00E22450">
        <w:rPr>
          <w:lang w:val="pl-PL"/>
        </w:rPr>
        <w:t>ielanie pożyczek</w:t>
      </w:r>
      <w:r w:rsidR="00F1653C" w:rsidRPr="00E22450">
        <w:rPr>
          <w:lang w:val="pl-PL"/>
        </w:rPr>
        <w:t xml:space="preserve"> w</w:t>
      </w:r>
      <w:r w:rsidR="00F1653C">
        <w:rPr>
          <w:lang w:val="pl-PL"/>
        </w:rPr>
        <w:t> </w:t>
      </w:r>
      <w:r w:rsidR="00F1653C" w:rsidRPr="00E22450">
        <w:rPr>
          <w:lang w:val="pl-PL"/>
        </w:rPr>
        <w:t>cza</w:t>
      </w:r>
      <w:r w:rsidRPr="00E22450">
        <w:rPr>
          <w:lang w:val="pl-PL"/>
        </w:rPr>
        <w:t xml:space="preserve">sie pandemii COVID-19]. </w:t>
      </w:r>
    </w:p>
  </w:footnote>
  <w:footnote w:id="41">
    <w:p w14:paraId="35596042" w14:textId="44E4F6F2" w:rsidR="00241024" w:rsidRPr="00E22450" w:rsidRDefault="00241024" w:rsidP="00C64A13">
      <w:pPr>
        <w:pStyle w:val="FootnoteText"/>
        <w:rPr>
          <w:lang w:val="pl-PL"/>
        </w:rPr>
      </w:pPr>
      <w:r>
        <w:rPr>
          <w:rStyle w:val="FootnoteReference"/>
        </w:rPr>
        <w:footnoteRef/>
      </w:r>
      <w:r w:rsidRPr="00E22450">
        <w:rPr>
          <w:lang w:val="pl-PL"/>
        </w:rPr>
        <w:t xml:space="preserve"> Na przykład ERRS i EUNB mają wydawać opinie na temat niektórych środków</w:t>
      </w:r>
      <w:r w:rsidR="00F1653C" w:rsidRPr="00E22450">
        <w:rPr>
          <w:lang w:val="pl-PL"/>
        </w:rPr>
        <w:t xml:space="preserve"> i</w:t>
      </w:r>
      <w:r w:rsidR="00F1653C">
        <w:rPr>
          <w:lang w:val="pl-PL"/>
        </w:rPr>
        <w:t> </w:t>
      </w:r>
      <w:r w:rsidR="00F1653C" w:rsidRPr="00E22450">
        <w:rPr>
          <w:lang w:val="pl-PL"/>
        </w:rPr>
        <w:t>dzi</w:t>
      </w:r>
      <w:r w:rsidRPr="00E22450">
        <w:rPr>
          <w:lang w:val="pl-PL"/>
        </w:rPr>
        <w:t>ałań</w:t>
      </w:r>
      <w:r w:rsidR="00F1653C" w:rsidRPr="00E22450">
        <w:rPr>
          <w:lang w:val="pl-PL"/>
        </w:rPr>
        <w:t xml:space="preserve"> o</w:t>
      </w:r>
      <w:r w:rsidR="00F1653C">
        <w:rPr>
          <w:lang w:val="pl-PL"/>
        </w:rPr>
        <w:t> </w:t>
      </w:r>
      <w:r w:rsidR="00F1653C" w:rsidRPr="00E22450">
        <w:rPr>
          <w:lang w:val="pl-PL"/>
        </w:rPr>
        <w:t>duż</w:t>
      </w:r>
      <w:r w:rsidRPr="00E22450">
        <w:rPr>
          <w:lang w:val="pl-PL"/>
        </w:rPr>
        <w:t>ym oddziaływaniu, które wymagają zezwolenia lub braku sprzeciwu Komisji. EBC ma prawo sprzeciwić się każdemu środkowi makroostrożnościowemu określonemu</w:t>
      </w:r>
      <w:r w:rsidR="00F1653C" w:rsidRPr="00E22450">
        <w:rPr>
          <w:lang w:val="pl-PL"/>
        </w:rPr>
        <w:t xml:space="preserve"> w</w:t>
      </w:r>
      <w:r w:rsidR="00F1653C">
        <w:rPr>
          <w:lang w:val="pl-PL"/>
        </w:rPr>
        <w:t> </w:t>
      </w:r>
      <w:r w:rsidR="00F1653C" w:rsidRPr="00E22450">
        <w:rPr>
          <w:lang w:val="pl-PL"/>
        </w:rPr>
        <w:t>pra</w:t>
      </w:r>
      <w:r w:rsidRPr="00E22450">
        <w:rPr>
          <w:lang w:val="pl-PL"/>
        </w:rPr>
        <w:t>wie UE, który ma zostać wprowadzony przez państwo członkowskie uczestniczące</w:t>
      </w:r>
      <w:r w:rsidR="00F1653C" w:rsidRPr="00E22450">
        <w:rPr>
          <w:lang w:val="pl-PL"/>
        </w:rPr>
        <w:t xml:space="preserve"> w</w:t>
      </w:r>
      <w:r w:rsidR="00F1653C">
        <w:rPr>
          <w:lang w:val="pl-PL"/>
        </w:rPr>
        <w:t> </w:t>
      </w:r>
      <w:r w:rsidR="00F1653C" w:rsidRPr="00E22450">
        <w:rPr>
          <w:lang w:val="pl-PL"/>
        </w:rPr>
        <w:t>Jed</w:t>
      </w:r>
      <w:r w:rsidRPr="00E22450">
        <w:rPr>
          <w:lang w:val="pl-PL"/>
        </w:rPr>
        <w:t>nolitym Mechanizmie Nadzorczym. ERRS posiada również bardziej ogólne uprawnienia</w:t>
      </w:r>
      <w:r w:rsidR="00F1653C" w:rsidRPr="00E22450">
        <w:rPr>
          <w:lang w:val="pl-PL"/>
        </w:rPr>
        <w:t xml:space="preserve"> w</w:t>
      </w:r>
      <w:r w:rsidR="00F1653C">
        <w:rPr>
          <w:lang w:val="pl-PL"/>
        </w:rPr>
        <w:t> </w:t>
      </w:r>
      <w:r w:rsidR="00F1653C" w:rsidRPr="00E22450">
        <w:rPr>
          <w:lang w:val="pl-PL"/>
        </w:rPr>
        <w:t>zak</w:t>
      </w:r>
      <w:r w:rsidRPr="00E22450">
        <w:rPr>
          <w:lang w:val="pl-PL"/>
        </w:rPr>
        <w:t>resie koordynacji, na przykład</w:t>
      </w:r>
      <w:r w:rsidR="00F1653C" w:rsidRPr="00E22450">
        <w:rPr>
          <w:lang w:val="pl-PL"/>
        </w:rPr>
        <w:t xml:space="preserve"> w</w:t>
      </w:r>
      <w:r w:rsidR="00F1653C">
        <w:rPr>
          <w:lang w:val="pl-PL"/>
        </w:rPr>
        <w:t> </w:t>
      </w:r>
      <w:r w:rsidR="00F1653C" w:rsidRPr="00E22450">
        <w:rPr>
          <w:lang w:val="pl-PL"/>
        </w:rPr>
        <w:t>zak</w:t>
      </w:r>
      <w:r w:rsidRPr="00E22450">
        <w:rPr>
          <w:lang w:val="pl-PL"/>
        </w:rPr>
        <w:t>resie wydawania ostrzeżeń</w:t>
      </w:r>
      <w:r w:rsidR="00F1653C" w:rsidRPr="00E22450">
        <w:rPr>
          <w:lang w:val="pl-PL"/>
        </w:rPr>
        <w:t xml:space="preserve"> i</w:t>
      </w:r>
      <w:r w:rsidR="00F1653C">
        <w:rPr>
          <w:lang w:val="pl-PL"/>
        </w:rPr>
        <w:t> </w:t>
      </w:r>
      <w:r w:rsidR="00F1653C" w:rsidRPr="00E22450">
        <w:rPr>
          <w:lang w:val="pl-PL"/>
        </w:rPr>
        <w:t>zal</w:t>
      </w:r>
      <w:r w:rsidRPr="00E22450">
        <w:rPr>
          <w:lang w:val="pl-PL"/>
        </w:rPr>
        <w:t>eceń dla organów krajowych, np.</w:t>
      </w:r>
      <w:r w:rsidR="00F1653C" w:rsidRPr="00E22450">
        <w:rPr>
          <w:lang w:val="pl-PL"/>
        </w:rPr>
        <w:t xml:space="preserve"> w</w:t>
      </w:r>
      <w:r w:rsidR="00F1653C">
        <w:rPr>
          <w:lang w:val="pl-PL"/>
        </w:rPr>
        <w:t> </w:t>
      </w:r>
      <w:r w:rsidR="00F1653C" w:rsidRPr="00E22450">
        <w:rPr>
          <w:lang w:val="pl-PL"/>
        </w:rPr>
        <w:t>spr</w:t>
      </w:r>
      <w:r w:rsidRPr="00E22450">
        <w:rPr>
          <w:lang w:val="pl-PL"/>
        </w:rPr>
        <w:t xml:space="preserve">awie buforu CCyB lub dobrowolnej wzajemności. </w:t>
      </w:r>
    </w:p>
  </w:footnote>
  <w:footnote w:id="42">
    <w:p w14:paraId="40CE8264" w14:textId="3D309EC9" w:rsidR="00241024" w:rsidRPr="00E22450" w:rsidRDefault="00241024" w:rsidP="00C64A13">
      <w:pPr>
        <w:pStyle w:val="FootnoteText"/>
        <w:rPr>
          <w:lang w:val="pl-PL"/>
        </w:rPr>
      </w:pPr>
      <w:r>
        <w:rPr>
          <w:rStyle w:val="FootnoteReference"/>
        </w:rPr>
        <w:footnoteRef/>
      </w:r>
      <w:r w:rsidRPr="00E22450">
        <w:rPr>
          <w:lang w:val="pl-PL"/>
        </w:rPr>
        <w:t xml:space="preserve"> </w:t>
      </w:r>
      <w:hyperlink r:id="rId45" w:history="1">
        <w:r w:rsidRPr="00E22450">
          <w:rPr>
            <w:rStyle w:val="Hyperlink"/>
            <w:lang w:val="pl-PL"/>
          </w:rPr>
          <w:t>EBA report on calibration of OSII buffer rates</w:t>
        </w:r>
      </w:hyperlink>
      <w:r w:rsidRPr="00E22450">
        <w:rPr>
          <w:lang w:val="pl-PL"/>
        </w:rPr>
        <w:t xml:space="preserve"> [Sprawozdanie EUNB</w:t>
      </w:r>
      <w:r w:rsidR="00F1653C" w:rsidRPr="00E22450">
        <w:rPr>
          <w:lang w:val="pl-PL"/>
        </w:rPr>
        <w:t xml:space="preserve"> w</w:t>
      </w:r>
      <w:r w:rsidR="00F1653C">
        <w:rPr>
          <w:lang w:val="pl-PL"/>
        </w:rPr>
        <w:t> </w:t>
      </w:r>
      <w:r w:rsidR="00F1653C" w:rsidRPr="00E22450">
        <w:rPr>
          <w:lang w:val="pl-PL"/>
        </w:rPr>
        <w:t>spr</w:t>
      </w:r>
      <w:r w:rsidRPr="00E22450">
        <w:rPr>
          <w:lang w:val="pl-PL"/>
        </w:rPr>
        <w:t>awie kalibracji wskaźników bufora OSII].</w:t>
      </w:r>
      <w:r w:rsidRPr="00E22450">
        <w:rPr>
          <w:rStyle w:val="Hyperlink"/>
          <w:lang w:val="pl-PL"/>
        </w:rPr>
        <w:t xml:space="preserve"> </w:t>
      </w:r>
    </w:p>
  </w:footnote>
  <w:footnote w:id="43">
    <w:p w14:paraId="4D6D1BEE" w14:textId="2F35BBED" w:rsidR="00241024" w:rsidRPr="00E22450" w:rsidRDefault="00241024" w:rsidP="00C64A13">
      <w:pPr>
        <w:pStyle w:val="FootnoteText"/>
        <w:rPr>
          <w:lang w:val="pl-PL"/>
        </w:rPr>
      </w:pPr>
      <w:r>
        <w:rPr>
          <w:rStyle w:val="FootnoteReference"/>
        </w:rPr>
        <w:footnoteRef/>
      </w:r>
      <w:r w:rsidRPr="00E22450">
        <w:rPr>
          <w:lang w:val="pl-PL"/>
        </w:rPr>
        <w:t xml:space="preserve"> Z analizy EUNB wynika, że niektóre państwa członkowskie są bardzo rygorystyczne</w:t>
      </w:r>
      <w:r w:rsidR="00F1653C" w:rsidRPr="00E22450">
        <w:rPr>
          <w:lang w:val="pl-PL"/>
        </w:rPr>
        <w:t xml:space="preserve"> i</w:t>
      </w:r>
      <w:r w:rsidR="00F1653C">
        <w:rPr>
          <w:lang w:val="pl-PL"/>
        </w:rPr>
        <w:t> </w:t>
      </w:r>
      <w:r w:rsidR="00F1653C" w:rsidRPr="00E22450">
        <w:rPr>
          <w:lang w:val="pl-PL"/>
        </w:rPr>
        <w:t>ust</w:t>
      </w:r>
      <w:r w:rsidRPr="00E22450">
        <w:rPr>
          <w:lang w:val="pl-PL"/>
        </w:rPr>
        <w:t>alają maksymalny możliwy wskaźnik bufora O-SII zgodnie z CRD IV dla banków</w:t>
      </w:r>
      <w:r w:rsidR="00F1653C" w:rsidRPr="00E22450">
        <w:rPr>
          <w:lang w:val="pl-PL"/>
        </w:rPr>
        <w:t xml:space="preserve"> o</w:t>
      </w:r>
      <w:r w:rsidR="00F1653C">
        <w:rPr>
          <w:lang w:val="pl-PL"/>
        </w:rPr>
        <w:t> </w:t>
      </w:r>
      <w:r w:rsidR="00F1653C" w:rsidRPr="00E22450">
        <w:rPr>
          <w:lang w:val="pl-PL"/>
        </w:rPr>
        <w:t>sto</w:t>
      </w:r>
      <w:r w:rsidRPr="00E22450">
        <w:rPr>
          <w:lang w:val="pl-PL"/>
        </w:rPr>
        <w:t>sunkowo niskim wyniku O-SII, podczas gdy inne państwa członkowskie są stosunkowo łagodne</w:t>
      </w:r>
      <w:r w:rsidR="00F1653C" w:rsidRPr="00E22450">
        <w:rPr>
          <w:lang w:val="pl-PL"/>
        </w:rPr>
        <w:t xml:space="preserve"> i</w:t>
      </w:r>
      <w:r w:rsidR="00F1653C">
        <w:rPr>
          <w:lang w:val="pl-PL"/>
        </w:rPr>
        <w:t> </w:t>
      </w:r>
      <w:r w:rsidR="00F1653C" w:rsidRPr="00E22450">
        <w:rPr>
          <w:lang w:val="pl-PL"/>
        </w:rPr>
        <w:t>ust</w:t>
      </w:r>
      <w:r w:rsidRPr="00E22450">
        <w:rPr>
          <w:lang w:val="pl-PL"/>
        </w:rPr>
        <w:t xml:space="preserve">alają </w:t>
      </w:r>
      <w:r w:rsidRPr="00F1653C">
        <w:rPr>
          <w:lang w:val="pl-PL"/>
        </w:rPr>
        <w:t>0</w:t>
      </w:r>
      <w:r w:rsidR="00F1653C" w:rsidRPr="00F1653C">
        <w:rPr>
          <w:lang w:val="pl-PL"/>
        </w:rPr>
        <w:t> </w:t>
      </w:r>
      <w:r w:rsidRPr="00F1653C">
        <w:rPr>
          <w:lang w:val="pl-PL"/>
        </w:rPr>
        <w:t>%</w:t>
      </w:r>
      <w:r w:rsidRPr="00E22450">
        <w:rPr>
          <w:lang w:val="pl-PL"/>
        </w:rPr>
        <w:t xml:space="preserve"> lub niski wskaźnik bufora pomimo bardzo wysokich wyników O-SII</w:t>
      </w:r>
      <w:r w:rsidR="00F1653C" w:rsidRPr="00E22450">
        <w:rPr>
          <w:lang w:val="pl-PL"/>
        </w:rPr>
        <w:t>. Z</w:t>
      </w:r>
      <w:r w:rsidR="00F1653C">
        <w:rPr>
          <w:lang w:val="pl-PL"/>
        </w:rPr>
        <w:t> </w:t>
      </w:r>
      <w:r w:rsidR="00F1653C" w:rsidRPr="00E22450">
        <w:rPr>
          <w:lang w:val="pl-PL"/>
        </w:rPr>
        <w:t>dru</w:t>
      </w:r>
      <w:r w:rsidRPr="00E22450">
        <w:rPr>
          <w:lang w:val="pl-PL"/>
        </w:rPr>
        <w:t>giej strony, bardzo wysokie wyniki O-SII mogą skutkować wskaźnikami bufora O-SII na poziomie 0,2</w:t>
      </w:r>
      <w:r w:rsidRPr="00F1653C">
        <w:rPr>
          <w:lang w:val="pl-PL"/>
        </w:rPr>
        <w:t>5</w:t>
      </w:r>
      <w:r w:rsidR="00F1653C" w:rsidRPr="00F1653C">
        <w:rPr>
          <w:lang w:val="pl-PL"/>
        </w:rPr>
        <w:t> </w:t>
      </w:r>
      <w:r w:rsidRPr="00F1653C">
        <w:rPr>
          <w:lang w:val="pl-PL"/>
        </w:rPr>
        <w:t>%</w:t>
      </w:r>
      <w:r w:rsidR="00F1653C" w:rsidRPr="00E22450">
        <w:rPr>
          <w:lang w:val="pl-PL"/>
        </w:rPr>
        <w:t xml:space="preserve"> w</w:t>
      </w:r>
      <w:r w:rsidR="00F1653C">
        <w:rPr>
          <w:lang w:val="pl-PL"/>
        </w:rPr>
        <w:t> </w:t>
      </w:r>
      <w:r w:rsidR="00F1653C" w:rsidRPr="00E22450">
        <w:rPr>
          <w:lang w:val="pl-PL"/>
        </w:rPr>
        <w:t>jed</w:t>
      </w:r>
      <w:r w:rsidRPr="00E22450">
        <w:rPr>
          <w:lang w:val="pl-PL"/>
        </w:rPr>
        <w:t>nym państwie członkowskim</w:t>
      </w:r>
      <w:r w:rsidR="00F1653C" w:rsidRPr="00E22450">
        <w:rPr>
          <w:lang w:val="pl-PL"/>
        </w:rPr>
        <w:t xml:space="preserve"> i</w:t>
      </w:r>
      <w:r w:rsidR="00F1653C">
        <w:rPr>
          <w:lang w:val="pl-PL"/>
        </w:rPr>
        <w:t> </w:t>
      </w:r>
      <w:r w:rsidR="00F1653C" w:rsidRPr="00F1653C">
        <w:rPr>
          <w:lang w:val="pl-PL"/>
        </w:rPr>
        <w:t>2 </w:t>
      </w:r>
      <w:r w:rsidRPr="00F1653C">
        <w:rPr>
          <w:lang w:val="pl-PL"/>
        </w:rPr>
        <w:t>%</w:t>
      </w:r>
      <w:r w:rsidRPr="00E22450">
        <w:rPr>
          <w:lang w:val="pl-PL"/>
        </w:rPr>
        <w:t xml:space="preserve"> (maksymalny wskaźnik</w:t>
      </w:r>
      <w:r w:rsidR="00F1653C" w:rsidRPr="00E22450">
        <w:rPr>
          <w:lang w:val="pl-PL"/>
        </w:rPr>
        <w:t xml:space="preserve"> w</w:t>
      </w:r>
      <w:r w:rsidR="00F1653C">
        <w:rPr>
          <w:lang w:val="pl-PL"/>
        </w:rPr>
        <w:t> </w:t>
      </w:r>
      <w:r w:rsidR="00F1653C" w:rsidRPr="00E22450">
        <w:rPr>
          <w:lang w:val="pl-PL"/>
        </w:rPr>
        <w:t>mom</w:t>
      </w:r>
      <w:r w:rsidRPr="00E22450">
        <w:rPr>
          <w:lang w:val="pl-PL"/>
        </w:rPr>
        <w:t>encie analizy)</w:t>
      </w:r>
      <w:r w:rsidR="00F1653C" w:rsidRPr="00E22450">
        <w:rPr>
          <w:lang w:val="pl-PL"/>
        </w:rPr>
        <w:t xml:space="preserve"> w</w:t>
      </w:r>
      <w:r w:rsidR="00F1653C">
        <w:rPr>
          <w:lang w:val="pl-PL"/>
        </w:rPr>
        <w:t> </w:t>
      </w:r>
      <w:r w:rsidR="00F1653C" w:rsidRPr="00E22450">
        <w:rPr>
          <w:lang w:val="pl-PL"/>
        </w:rPr>
        <w:t>inn</w:t>
      </w:r>
      <w:r w:rsidRPr="00E22450">
        <w:rPr>
          <w:lang w:val="pl-PL"/>
        </w:rPr>
        <w:t xml:space="preserve">ym państwie członkowskim. </w:t>
      </w:r>
    </w:p>
  </w:footnote>
  <w:footnote w:id="44">
    <w:p w14:paraId="6DD55EFC" w14:textId="1AF300C3" w:rsidR="00241024" w:rsidRPr="00E22450" w:rsidRDefault="00241024" w:rsidP="00C64A13">
      <w:pPr>
        <w:pStyle w:val="FootnoteText"/>
        <w:rPr>
          <w:lang w:val="pl-PL"/>
        </w:rPr>
      </w:pPr>
      <w:r>
        <w:rPr>
          <w:rStyle w:val="FootnoteReference"/>
        </w:rPr>
        <w:footnoteRef/>
      </w:r>
      <w:r w:rsidRPr="00E22450">
        <w:rPr>
          <w:lang w:val="pl-PL"/>
        </w:rPr>
        <w:t xml:space="preserve"> ERRS przeprowadzała systematyczne, prognostyczne oceny podatności na zagrożenia na rynkach nieruchomości mieszkaniowych w EOG</w:t>
      </w:r>
      <w:r w:rsidR="00F1653C" w:rsidRPr="00E22450">
        <w:rPr>
          <w:lang w:val="pl-PL"/>
        </w:rPr>
        <w:t xml:space="preserve"> w</w:t>
      </w:r>
      <w:r w:rsidR="00F1653C">
        <w:rPr>
          <w:lang w:val="pl-PL"/>
        </w:rPr>
        <w:t> </w:t>
      </w:r>
      <w:r w:rsidR="00F1653C" w:rsidRPr="00E22450">
        <w:rPr>
          <w:lang w:val="pl-PL"/>
        </w:rPr>
        <w:t>rok</w:t>
      </w:r>
      <w:r w:rsidRPr="00E22450">
        <w:rPr>
          <w:lang w:val="pl-PL"/>
        </w:rPr>
        <w:t xml:space="preserve">u </w:t>
      </w:r>
      <w:hyperlink r:id="rId46" w:history="1">
        <w:r w:rsidRPr="00E22450">
          <w:rPr>
            <w:rStyle w:val="Hyperlink"/>
            <w:lang w:val="pl-PL"/>
          </w:rPr>
          <w:t>2016</w:t>
        </w:r>
      </w:hyperlink>
      <w:r w:rsidRPr="00E22450">
        <w:rPr>
          <w:lang w:val="pl-PL"/>
        </w:rPr>
        <w:t xml:space="preserve">, </w:t>
      </w:r>
      <w:hyperlink r:id="rId47" w:history="1">
        <w:r w:rsidRPr="00E22450">
          <w:rPr>
            <w:rStyle w:val="Hyperlink"/>
            <w:lang w:val="pl-PL"/>
          </w:rPr>
          <w:t>2019</w:t>
        </w:r>
      </w:hyperlink>
      <w:r w:rsidRPr="00E22450">
        <w:rPr>
          <w:rStyle w:val="Hyperlink"/>
          <w:lang w:val="pl-PL"/>
        </w:rPr>
        <w:t xml:space="preserve"> i </w:t>
      </w:r>
      <w:hyperlink r:id="rId48" w:history="1">
        <w:r w:rsidRPr="00E22450">
          <w:rPr>
            <w:rStyle w:val="Hyperlink"/>
            <w:lang w:val="pl-PL"/>
          </w:rPr>
          <w:t>2022</w:t>
        </w:r>
      </w:hyperlink>
      <w:r w:rsidRPr="00E22450">
        <w:rPr>
          <w:lang w:val="pl-PL"/>
        </w:rPr>
        <w:t>, które stanowiły podstawę ostrzeżeń</w:t>
      </w:r>
      <w:r w:rsidR="00F1653C" w:rsidRPr="00E22450">
        <w:rPr>
          <w:lang w:val="pl-PL"/>
        </w:rPr>
        <w:t xml:space="preserve"> i</w:t>
      </w:r>
      <w:r w:rsidR="00F1653C">
        <w:rPr>
          <w:lang w:val="pl-PL"/>
        </w:rPr>
        <w:t> </w:t>
      </w:r>
      <w:r w:rsidR="00F1653C" w:rsidRPr="00E22450">
        <w:rPr>
          <w:lang w:val="pl-PL"/>
        </w:rPr>
        <w:t>zal</w:t>
      </w:r>
      <w:r w:rsidRPr="00E22450">
        <w:rPr>
          <w:lang w:val="pl-PL"/>
        </w:rPr>
        <w:t xml:space="preserve">eceń dla poszczególnych krajów. </w:t>
      </w:r>
    </w:p>
  </w:footnote>
  <w:footnote w:id="45">
    <w:p w14:paraId="2DA9EE79" w14:textId="6B97F978" w:rsidR="00241024" w:rsidRPr="00E22450" w:rsidRDefault="00241024" w:rsidP="00C64A13">
      <w:pPr>
        <w:pStyle w:val="FootnoteText"/>
        <w:rPr>
          <w:lang w:val="pl-PL"/>
        </w:rPr>
      </w:pPr>
      <w:r>
        <w:rPr>
          <w:rStyle w:val="FootnoteReference"/>
        </w:rPr>
        <w:footnoteRef/>
      </w:r>
      <w:r w:rsidRPr="00E22450">
        <w:rPr>
          <w:lang w:val="pl-PL"/>
        </w:rPr>
        <w:t xml:space="preserve"> Więcej szczegółowych informacji można znaleźć</w:t>
      </w:r>
      <w:r w:rsidR="00F1653C" w:rsidRPr="00E22450">
        <w:rPr>
          <w:lang w:val="pl-PL"/>
        </w:rPr>
        <w:t xml:space="preserve"> w</w:t>
      </w:r>
      <w:r w:rsidR="00F1653C">
        <w:rPr>
          <w:lang w:val="pl-PL"/>
        </w:rPr>
        <w:t> </w:t>
      </w:r>
      <w:r w:rsidR="00F1653C" w:rsidRPr="00E22450">
        <w:rPr>
          <w:lang w:val="pl-PL"/>
        </w:rPr>
        <w:t>opr</w:t>
      </w:r>
      <w:r w:rsidRPr="00E22450">
        <w:rPr>
          <w:lang w:val="pl-PL"/>
        </w:rPr>
        <w:t>acowanym przez ERRS</w:t>
      </w:r>
      <w:hyperlink r:id="rId49" w:history="1">
        <w:r w:rsidRPr="00E22450">
          <w:rPr>
            <w:rStyle w:val="Hyperlink"/>
            <w:lang w:val="pl-PL"/>
          </w:rPr>
          <w:t xml:space="preserve"> Przeglądzie unijnych ram makroostrożnościowych dla sektora bankowego:</w:t>
        </w:r>
      </w:hyperlink>
      <w:hyperlink r:id="rId50" w:history="1">
        <w:r w:rsidRPr="00E22450">
          <w:rPr>
            <w:rStyle w:val="Hyperlink"/>
            <w:lang w:val="pl-PL"/>
          </w:rPr>
          <w:t xml:space="preserve"> Odpowiedź na wniosek</w:t>
        </w:r>
        <w:r w:rsidR="00F1653C" w:rsidRPr="00E22450">
          <w:rPr>
            <w:rStyle w:val="Hyperlink"/>
            <w:lang w:val="pl-PL"/>
          </w:rPr>
          <w:t xml:space="preserve"> o</w:t>
        </w:r>
        <w:r w:rsidR="00F1653C">
          <w:rPr>
            <w:rStyle w:val="Hyperlink"/>
            <w:lang w:val="pl-PL"/>
          </w:rPr>
          <w:t> </w:t>
        </w:r>
        <w:r w:rsidR="00F1653C" w:rsidRPr="00E22450">
          <w:rPr>
            <w:rStyle w:val="Hyperlink"/>
            <w:lang w:val="pl-PL"/>
          </w:rPr>
          <w:t>prz</w:t>
        </w:r>
        <w:r w:rsidRPr="00E22450">
          <w:rPr>
            <w:rStyle w:val="Hyperlink"/>
            <w:lang w:val="pl-PL"/>
          </w:rPr>
          <w:t>edstawienie opinii</w:t>
        </w:r>
      </w:hyperlink>
      <w:r w:rsidRPr="00E22450">
        <w:rPr>
          <w:lang w:val="pl-PL"/>
        </w:rPr>
        <w:t>, marzec 20</w:t>
      </w:r>
      <w:r w:rsidRPr="00F1653C">
        <w:rPr>
          <w:lang w:val="pl-PL"/>
        </w:rPr>
        <w:t>22</w:t>
      </w:r>
      <w:r w:rsidR="00F1653C" w:rsidRPr="00F1653C">
        <w:rPr>
          <w:lang w:val="pl-PL"/>
        </w:rPr>
        <w:t> </w:t>
      </w:r>
      <w:r w:rsidRPr="00F1653C">
        <w:rPr>
          <w:lang w:val="pl-PL"/>
        </w:rPr>
        <w:t>r.</w:t>
      </w:r>
      <w:r w:rsidRPr="00E22450">
        <w:rPr>
          <w:lang w:val="pl-PL"/>
        </w:rPr>
        <w:t xml:space="preserve">, oraz baza danych ERRS dotyczących środków krajowych. </w:t>
      </w:r>
    </w:p>
  </w:footnote>
  <w:footnote w:id="46">
    <w:p w14:paraId="5D5CC673" w14:textId="2553EA4A" w:rsidR="006024CB" w:rsidRPr="00E22450" w:rsidRDefault="006024CB" w:rsidP="00C64A13">
      <w:pPr>
        <w:pStyle w:val="FootnoteText"/>
        <w:rPr>
          <w:lang w:val="pl-PL"/>
        </w:rPr>
      </w:pPr>
      <w:r w:rsidRPr="00F1653C">
        <w:rPr>
          <w:rStyle w:val="FootnoteReference"/>
          <w:lang w:val="pl-PL"/>
        </w:rPr>
        <w:footnoteRef/>
      </w:r>
      <w:r w:rsidR="00F1653C" w:rsidRPr="00F1653C">
        <w:rPr>
          <w:lang w:val="pl-PL"/>
        </w:rPr>
        <w:t xml:space="preserve"> </w:t>
      </w:r>
      <w:r w:rsidRPr="00F1653C">
        <w:rPr>
          <w:rStyle w:val="cf01"/>
          <w:lang w:val="pl-PL"/>
        </w:rPr>
        <w:t>R</w:t>
      </w:r>
      <w:r w:rsidRPr="00E22450">
        <w:rPr>
          <w:rStyle w:val="cf01"/>
          <w:lang w:val="pl-PL"/>
        </w:rPr>
        <w:t>ozporządzenie Parlamentu Europejskiego</w:t>
      </w:r>
      <w:r w:rsidR="00F1653C" w:rsidRPr="00E22450">
        <w:rPr>
          <w:rStyle w:val="cf01"/>
          <w:lang w:val="pl-PL"/>
        </w:rPr>
        <w:t xml:space="preserve"> i</w:t>
      </w:r>
      <w:r w:rsidR="00F1653C">
        <w:rPr>
          <w:rStyle w:val="cf01"/>
          <w:lang w:val="pl-PL"/>
        </w:rPr>
        <w:t> </w:t>
      </w:r>
      <w:r w:rsidR="00F1653C" w:rsidRPr="00E22450">
        <w:rPr>
          <w:rStyle w:val="cf01"/>
          <w:lang w:val="pl-PL"/>
        </w:rPr>
        <w:t>Rad</w:t>
      </w:r>
      <w:r w:rsidRPr="00E22450">
        <w:rPr>
          <w:rStyle w:val="cf01"/>
          <w:lang w:val="pl-PL"/>
        </w:rPr>
        <w:t>y (UE) 2021/1119</w:t>
      </w:r>
      <w:r w:rsidR="00F1653C" w:rsidRPr="00E22450">
        <w:rPr>
          <w:rStyle w:val="cf01"/>
          <w:lang w:val="pl-PL"/>
        </w:rPr>
        <w:t xml:space="preserve"> w</w:t>
      </w:r>
      <w:r w:rsidR="00F1653C">
        <w:rPr>
          <w:rStyle w:val="cf01"/>
          <w:lang w:val="pl-PL"/>
        </w:rPr>
        <w:t> </w:t>
      </w:r>
      <w:r w:rsidR="00F1653C" w:rsidRPr="00E22450">
        <w:rPr>
          <w:rStyle w:val="cf01"/>
          <w:lang w:val="pl-PL"/>
        </w:rPr>
        <w:t>spr</w:t>
      </w:r>
      <w:r w:rsidRPr="00E22450">
        <w:rPr>
          <w:rStyle w:val="cf01"/>
          <w:lang w:val="pl-PL"/>
        </w:rPr>
        <w:t>awie ustanowienia ram na potrzeby osiągnięcia neutralności klimatycznej</w:t>
      </w:r>
      <w:r w:rsidR="00F1653C" w:rsidRPr="00E22450">
        <w:rPr>
          <w:rStyle w:val="cf01"/>
          <w:lang w:val="pl-PL"/>
        </w:rPr>
        <w:t xml:space="preserve"> i</w:t>
      </w:r>
      <w:r w:rsidR="00F1653C">
        <w:rPr>
          <w:rStyle w:val="cf01"/>
          <w:lang w:val="pl-PL"/>
        </w:rPr>
        <w:t> </w:t>
      </w:r>
      <w:r w:rsidR="00F1653C" w:rsidRPr="00E22450">
        <w:rPr>
          <w:rStyle w:val="cf01"/>
          <w:lang w:val="pl-PL"/>
        </w:rPr>
        <w:t>zmi</w:t>
      </w:r>
      <w:r w:rsidRPr="00E22450">
        <w:rPr>
          <w:rStyle w:val="cf01"/>
          <w:lang w:val="pl-PL"/>
        </w:rPr>
        <w:t xml:space="preserve">any rozporządzeń (WE) </w:t>
      </w:r>
      <w:r w:rsidRPr="00F1653C">
        <w:rPr>
          <w:rStyle w:val="cf01"/>
          <w:lang w:val="pl-PL"/>
        </w:rPr>
        <w:t>nr</w:t>
      </w:r>
      <w:r w:rsidR="00F1653C" w:rsidRPr="00F1653C">
        <w:rPr>
          <w:rStyle w:val="cf01"/>
          <w:lang w:val="pl-PL"/>
        </w:rPr>
        <w:t> </w:t>
      </w:r>
      <w:r w:rsidRPr="00F1653C">
        <w:rPr>
          <w:rStyle w:val="cf01"/>
          <w:lang w:val="pl-PL"/>
        </w:rPr>
        <w:t>4</w:t>
      </w:r>
      <w:r w:rsidRPr="00E22450">
        <w:rPr>
          <w:rStyle w:val="cf01"/>
          <w:lang w:val="pl-PL"/>
        </w:rPr>
        <w:t>01/2009 i (UE) 2018/1999 (Europejskie prawo</w:t>
      </w:r>
      <w:r w:rsidR="00F1653C" w:rsidRPr="00E22450">
        <w:rPr>
          <w:rStyle w:val="cf01"/>
          <w:lang w:val="pl-PL"/>
        </w:rPr>
        <w:t xml:space="preserve"> o</w:t>
      </w:r>
      <w:r w:rsidR="00F1653C">
        <w:rPr>
          <w:rStyle w:val="cf01"/>
          <w:lang w:val="pl-PL"/>
        </w:rPr>
        <w:t> </w:t>
      </w:r>
      <w:r w:rsidR="00F1653C" w:rsidRPr="00E22450">
        <w:rPr>
          <w:rStyle w:val="cf01"/>
          <w:lang w:val="pl-PL"/>
        </w:rPr>
        <w:t>kli</w:t>
      </w:r>
      <w:r w:rsidRPr="00E22450">
        <w:rPr>
          <w:rStyle w:val="cf01"/>
          <w:lang w:val="pl-PL"/>
        </w:rPr>
        <w:t>macie), Dz.U. L 243</w:t>
      </w:r>
      <w:r w:rsidR="00F1653C" w:rsidRPr="00E22450">
        <w:rPr>
          <w:rStyle w:val="cf01"/>
          <w:lang w:val="pl-PL"/>
        </w:rPr>
        <w:t xml:space="preserve"> z</w:t>
      </w:r>
      <w:r w:rsidR="00F1653C">
        <w:rPr>
          <w:rStyle w:val="cf01"/>
          <w:lang w:val="pl-PL"/>
        </w:rPr>
        <w:t> </w:t>
      </w:r>
      <w:r w:rsidR="00F1653C" w:rsidRPr="00E22450">
        <w:rPr>
          <w:rStyle w:val="cf01"/>
          <w:lang w:val="pl-PL"/>
        </w:rPr>
        <w:t>9</w:t>
      </w:r>
      <w:r w:rsidRPr="00E22450">
        <w:rPr>
          <w:rStyle w:val="cf01"/>
          <w:lang w:val="pl-PL"/>
        </w:rPr>
        <w:t>.7.2021.</w:t>
      </w:r>
    </w:p>
  </w:footnote>
  <w:footnote w:id="47">
    <w:p w14:paraId="6B2E546C" w14:textId="7F274961" w:rsidR="00241024" w:rsidRPr="00E22450" w:rsidRDefault="00241024" w:rsidP="00C64A13">
      <w:pPr>
        <w:pStyle w:val="FootnoteText"/>
        <w:rPr>
          <w:lang w:val="pl-PL"/>
        </w:rPr>
      </w:pPr>
      <w:r>
        <w:rPr>
          <w:rStyle w:val="FootnoteReference"/>
        </w:rPr>
        <w:footnoteRef/>
      </w:r>
      <w:r w:rsidRPr="00E22450">
        <w:rPr>
          <w:lang w:val="pl-PL"/>
        </w:rPr>
        <w:t xml:space="preserve"> EUNB ma specjalne kompetencje</w:t>
      </w:r>
      <w:r w:rsidR="00F1653C" w:rsidRPr="00E22450">
        <w:rPr>
          <w:lang w:val="pl-PL"/>
        </w:rPr>
        <w:t xml:space="preserve"> w</w:t>
      </w:r>
      <w:r w:rsidR="00F1653C">
        <w:rPr>
          <w:lang w:val="pl-PL"/>
        </w:rPr>
        <w:t> </w:t>
      </w:r>
      <w:r w:rsidR="00F1653C" w:rsidRPr="00E22450">
        <w:rPr>
          <w:lang w:val="pl-PL"/>
        </w:rPr>
        <w:t>zak</w:t>
      </w:r>
      <w:r w:rsidRPr="00E22450">
        <w:rPr>
          <w:lang w:val="pl-PL"/>
        </w:rPr>
        <w:t>resie testów warunków skrajnych ryzyka klimatycznego. EBC przeprowadza również testy warunków skrajnych</w:t>
      </w:r>
      <w:r w:rsidR="00F1653C" w:rsidRPr="00E22450">
        <w:rPr>
          <w:lang w:val="pl-PL"/>
        </w:rPr>
        <w:t xml:space="preserve"> w</w:t>
      </w:r>
      <w:r w:rsidR="00F1653C">
        <w:rPr>
          <w:lang w:val="pl-PL"/>
        </w:rPr>
        <w:t> </w:t>
      </w:r>
      <w:r w:rsidR="00F1653C" w:rsidRPr="00E22450">
        <w:rPr>
          <w:lang w:val="pl-PL"/>
        </w:rPr>
        <w:t>zak</w:t>
      </w:r>
      <w:r w:rsidRPr="00E22450">
        <w:rPr>
          <w:lang w:val="pl-PL"/>
        </w:rPr>
        <w:t>resie ryzyka klimatycznego</w:t>
      </w:r>
      <w:r w:rsidR="00F1653C" w:rsidRPr="00E22450">
        <w:rPr>
          <w:lang w:val="pl-PL"/>
        </w:rPr>
        <w:t xml:space="preserve"> i</w:t>
      </w:r>
      <w:r w:rsidR="00F1653C">
        <w:rPr>
          <w:lang w:val="pl-PL"/>
        </w:rPr>
        <w:t> </w:t>
      </w:r>
      <w:r w:rsidR="00F1653C" w:rsidRPr="00E22450">
        <w:rPr>
          <w:lang w:val="pl-PL"/>
        </w:rPr>
        <w:t>uwz</w:t>
      </w:r>
      <w:r w:rsidRPr="00E22450">
        <w:rPr>
          <w:lang w:val="pl-PL"/>
        </w:rPr>
        <w:t>ględnia wyniki tych testów</w:t>
      </w:r>
      <w:r w:rsidR="00F1653C" w:rsidRPr="00E22450">
        <w:rPr>
          <w:lang w:val="pl-PL"/>
        </w:rPr>
        <w:t xml:space="preserve"> w</w:t>
      </w:r>
      <w:r w:rsidR="00F1653C">
        <w:rPr>
          <w:lang w:val="pl-PL"/>
        </w:rPr>
        <w:t> </w:t>
      </w:r>
      <w:r w:rsidR="00F1653C" w:rsidRPr="00E22450">
        <w:rPr>
          <w:lang w:val="pl-PL"/>
        </w:rPr>
        <w:t>pro</w:t>
      </w:r>
      <w:r w:rsidRPr="00E22450">
        <w:rPr>
          <w:lang w:val="pl-PL"/>
        </w:rPr>
        <w:t>cesie przeglądu</w:t>
      </w:r>
      <w:r w:rsidR="00F1653C" w:rsidRPr="00E22450">
        <w:rPr>
          <w:lang w:val="pl-PL"/>
        </w:rPr>
        <w:t xml:space="preserve"> i</w:t>
      </w:r>
      <w:r w:rsidR="00F1653C">
        <w:rPr>
          <w:lang w:val="pl-PL"/>
        </w:rPr>
        <w:t> </w:t>
      </w:r>
      <w:r w:rsidR="00F1653C" w:rsidRPr="00E22450">
        <w:rPr>
          <w:lang w:val="pl-PL"/>
        </w:rPr>
        <w:t>oce</w:t>
      </w:r>
      <w:r w:rsidRPr="00E22450">
        <w:rPr>
          <w:lang w:val="pl-PL"/>
        </w:rPr>
        <w:t xml:space="preserve">ny nadzorczej (SREP), stosując podejście jakościowe. </w:t>
      </w:r>
    </w:p>
  </w:footnote>
  <w:footnote w:id="48">
    <w:p w14:paraId="6B69A37A" w14:textId="5E7BFC81" w:rsidR="00241024" w:rsidRPr="00E22450" w:rsidRDefault="00241024" w:rsidP="00C64A13">
      <w:pPr>
        <w:pStyle w:val="FootnoteText"/>
        <w:rPr>
          <w:lang w:val="pl-PL"/>
        </w:rPr>
      </w:pPr>
      <w:r>
        <w:rPr>
          <w:rStyle w:val="FootnoteReference"/>
        </w:rPr>
        <w:footnoteRef/>
      </w:r>
      <w:r w:rsidRPr="00E22450">
        <w:rPr>
          <w:lang w:val="pl-PL"/>
        </w:rPr>
        <w:t xml:space="preserve"> </w:t>
      </w:r>
      <w:r w:rsidRPr="00E22450">
        <w:rPr>
          <w:shd w:val="clear" w:color="auto" w:fill="FFFFFF"/>
          <w:lang w:val="pl-PL"/>
        </w:rPr>
        <w:t>Rozporządzenie Parlamentu Europejskiego</w:t>
      </w:r>
      <w:r w:rsidR="00F1653C" w:rsidRPr="00E22450">
        <w:rPr>
          <w:shd w:val="clear" w:color="auto" w:fill="FFFFFF"/>
          <w:lang w:val="pl-PL"/>
        </w:rPr>
        <w:t xml:space="preserve"> i</w:t>
      </w:r>
      <w:r w:rsidR="00F1653C">
        <w:rPr>
          <w:shd w:val="clear" w:color="auto" w:fill="FFFFFF"/>
          <w:lang w:val="pl-PL"/>
        </w:rPr>
        <w:t> </w:t>
      </w:r>
      <w:r w:rsidR="00F1653C" w:rsidRPr="00E22450">
        <w:rPr>
          <w:shd w:val="clear" w:color="auto" w:fill="FFFFFF"/>
          <w:lang w:val="pl-PL"/>
        </w:rPr>
        <w:t>Rad</w:t>
      </w:r>
      <w:r w:rsidRPr="00E22450">
        <w:rPr>
          <w:shd w:val="clear" w:color="auto" w:fill="FFFFFF"/>
          <w:lang w:val="pl-PL"/>
        </w:rPr>
        <w:t>y (UE) 2022/2554</w:t>
      </w:r>
      <w:r w:rsidR="00F1653C" w:rsidRPr="00E22450">
        <w:rPr>
          <w:shd w:val="clear" w:color="auto" w:fill="FFFFFF"/>
          <w:lang w:val="pl-PL"/>
        </w:rPr>
        <w:t xml:space="preserve"> z</w:t>
      </w:r>
      <w:r w:rsidR="00F1653C">
        <w:rPr>
          <w:shd w:val="clear" w:color="auto" w:fill="FFFFFF"/>
          <w:lang w:val="pl-PL"/>
        </w:rPr>
        <w:t> </w:t>
      </w:r>
      <w:r w:rsidR="00F1653C" w:rsidRPr="00E22450">
        <w:rPr>
          <w:shd w:val="clear" w:color="auto" w:fill="FFFFFF"/>
          <w:lang w:val="pl-PL"/>
        </w:rPr>
        <w:t>dni</w:t>
      </w:r>
      <w:r w:rsidRPr="00E22450">
        <w:rPr>
          <w:shd w:val="clear" w:color="auto" w:fill="FFFFFF"/>
          <w:lang w:val="pl-PL"/>
        </w:rPr>
        <w:t>a 14 grudnia 20</w:t>
      </w:r>
      <w:r w:rsidRPr="00F1653C">
        <w:rPr>
          <w:shd w:val="clear" w:color="auto" w:fill="FFFFFF"/>
          <w:lang w:val="pl-PL"/>
        </w:rPr>
        <w:t>22</w:t>
      </w:r>
      <w:r w:rsidR="00F1653C" w:rsidRPr="00F1653C">
        <w:rPr>
          <w:shd w:val="clear" w:color="auto" w:fill="FFFFFF"/>
          <w:lang w:val="pl-PL"/>
        </w:rPr>
        <w:t> </w:t>
      </w:r>
      <w:r w:rsidRPr="00F1653C">
        <w:rPr>
          <w:shd w:val="clear" w:color="auto" w:fill="FFFFFF"/>
          <w:lang w:val="pl-PL"/>
        </w:rPr>
        <w:t>r.</w:t>
      </w:r>
      <w:r w:rsidR="00F1653C" w:rsidRPr="00E22450">
        <w:rPr>
          <w:shd w:val="clear" w:color="auto" w:fill="FFFFFF"/>
          <w:lang w:val="pl-PL"/>
        </w:rPr>
        <w:t xml:space="preserve"> w</w:t>
      </w:r>
      <w:r w:rsidR="00F1653C">
        <w:rPr>
          <w:shd w:val="clear" w:color="auto" w:fill="FFFFFF"/>
          <w:lang w:val="pl-PL"/>
        </w:rPr>
        <w:t> </w:t>
      </w:r>
      <w:r w:rsidR="00F1653C" w:rsidRPr="00E22450">
        <w:rPr>
          <w:shd w:val="clear" w:color="auto" w:fill="FFFFFF"/>
          <w:lang w:val="pl-PL"/>
        </w:rPr>
        <w:t>spr</w:t>
      </w:r>
      <w:r w:rsidRPr="00E22450">
        <w:rPr>
          <w:shd w:val="clear" w:color="auto" w:fill="FFFFFF"/>
          <w:lang w:val="pl-PL"/>
        </w:rPr>
        <w:t>awie operacyjnej odporności cyfrowej sektora finansowego</w:t>
      </w:r>
      <w:r w:rsidR="00F1653C" w:rsidRPr="00E22450">
        <w:rPr>
          <w:shd w:val="clear" w:color="auto" w:fill="FFFFFF"/>
          <w:lang w:val="pl-PL"/>
        </w:rPr>
        <w:t xml:space="preserve"> i</w:t>
      </w:r>
      <w:r w:rsidR="00F1653C">
        <w:rPr>
          <w:shd w:val="clear" w:color="auto" w:fill="FFFFFF"/>
          <w:lang w:val="pl-PL"/>
        </w:rPr>
        <w:t> </w:t>
      </w:r>
      <w:r w:rsidR="00F1653C" w:rsidRPr="00E22450">
        <w:rPr>
          <w:shd w:val="clear" w:color="auto" w:fill="FFFFFF"/>
          <w:lang w:val="pl-PL"/>
        </w:rPr>
        <w:t>zmi</w:t>
      </w:r>
      <w:r w:rsidRPr="00E22450">
        <w:rPr>
          <w:shd w:val="clear" w:color="auto" w:fill="FFFFFF"/>
          <w:lang w:val="pl-PL"/>
        </w:rPr>
        <w:t xml:space="preserve">eniające rozporządzenia (WE) </w:t>
      </w:r>
      <w:r w:rsidRPr="00F1653C">
        <w:rPr>
          <w:shd w:val="clear" w:color="auto" w:fill="FFFFFF"/>
          <w:lang w:val="pl-PL"/>
        </w:rPr>
        <w:t>nr</w:t>
      </w:r>
      <w:r w:rsidR="00F1653C" w:rsidRPr="00F1653C">
        <w:rPr>
          <w:shd w:val="clear" w:color="auto" w:fill="FFFFFF"/>
          <w:lang w:val="pl-PL"/>
        </w:rPr>
        <w:t> </w:t>
      </w:r>
      <w:r w:rsidRPr="00F1653C">
        <w:rPr>
          <w:shd w:val="clear" w:color="auto" w:fill="FFFFFF"/>
          <w:lang w:val="pl-PL"/>
        </w:rPr>
        <w:t>1</w:t>
      </w:r>
      <w:r w:rsidRPr="00E22450">
        <w:rPr>
          <w:shd w:val="clear" w:color="auto" w:fill="FFFFFF"/>
          <w:lang w:val="pl-PL"/>
        </w:rPr>
        <w:t xml:space="preserve">060/2009, (UE) </w:t>
      </w:r>
      <w:r w:rsidRPr="00F1653C">
        <w:rPr>
          <w:shd w:val="clear" w:color="auto" w:fill="FFFFFF"/>
          <w:lang w:val="pl-PL"/>
        </w:rPr>
        <w:t>nr</w:t>
      </w:r>
      <w:r w:rsidR="00F1653C" w:rsidRPr="00F1653C">
        <w:rPr>
          <w:shd w:val="clear" w:color="auto" w:fill="FFFFFF"/>
          <w:lang w:val="pl-PL"/>
        </w:rPr>
        <w:t> </w:t>
      </w:r>
      <w:r w:rsidRPr="00F1653C">
        <w:rPr>
          <w:shd w:val="clear" w:color="auto" w:fill="FFFFFF"/>
          <w:lang w:val="pl-PL"/>
        </w:rPr>
        <w:t>6</w:t>
      </w:r>
      <w:r w:rsidRPr="00E22450">
        <w:rPr>
          <w:shd w:val="clear" w:color="auto" w:fill="FFFFFF"/>
          <w:lang w:val="pl-PL"/>
        </w:rPr>
        <w:t xml:space="preserve">48/2012, (UE) </w:t>
      </w:r>
      <w:r w:rsidRPr="00F1653C">
        <w:rPr>
          <w:shd w:val="clear" w:color="auto" w:fill="FFFFFF"/>
          <w:lang w:val="pl-PL"/>
        </w:rPr>
        <w:t>nr</w:t>
      </w:r>
      <w:r w:rsidR="00F1653C" w:rsidRPr="00F1653C">
        <w:rPr>
          <w:shd w:val="clear" w:color="auto" w:fill="FFFFFF"/>
          <w:lang w:val="pl-PL"/>
        </w:rPr>
        <w:t> </w:t>
      </w:r>
      <w:r w:rsidRPr="00F1653C">
        <w:rPr>
          <w:shd w:val="clear" w:color="auto" w:fill="FFFFFF"/>
          <w:lang w:val="pl-PL"/>
        </w:rPr>
        <w:t>6</w:t>
      </w:r>
      <w:r w:rsidRPr="00E22450">
        <w:rPr>
          <w:shd w:val="clear" w:color="auto" w:fill="FFFFFF"/>
          <w:lang w:val="pl-PL"/>
        </w:rPr>
        <w:t xml:space="preserve">00/2014, (UE) </w:t>
      </w:r>
      <w:r w:rsidRPr="00F1653C">
        <w:rPr>
          <w:shd w:val="clear" w:color="auto" w:fill="FFFFFF"/>
          <w:lang w:val="pl-PL"/>
        </w:rPr>
        <w:t>nr</w:t>
      </w:r>
      <w:r w:rsidR="00F1653C" w:rsidRPr="00F1653C">
        <w:rPr>
          <w:shd w:val="clear" w:color="auto" w:fill="FFFFFF"/>
          <w:lang w:val="pl-PL"/>
        </w:rPr>
        <w:t> </w:t>
      </w:r>
      <w:r w:rsidRPr="00F1653C">
        <w:rPr>
          <w:shd w:val="clear" w:color="auto" w:fill="FFFFFF"/>
          <w:lang w:val="pl-PL"/>
        </w:rPr>
        <w:t>9</w:t>
      </w:r>
      <w:r w:rsidRPr="00E22450">
        <w:rPr>
          <w:shd w:val="clear" w:color="auto" w:fill="FFFFFF"/>
          <w:lang w:val="pl-PL"/>
        </w:rPr>
        <w:t xml:space="preserve">09/2014 oraz (UE) 2016/1011. </w:t>
      </w:r>
    </w:p>
  </w:footnote>
  <w:footnote w:id="49">
    <w:p w14:paraId="0C3497DA" w14:textId="3B23A14F" w:rsidR="00A17108" w:rsidRPr="00E22450" w:rsidRDefault="00A17108" w:rsidP="00C64A13">
      <w:pPr>
        <w:pStyle w:val="FootnoteText"/>
        <w:rPr>
          <w:lang w:val="pl-PL"/>
        </w:rPr>
      </w:pPr>
      <w:r>
        <w:rPr>
          <w:rStyle w:val="FootnoteReference"/>
        </w:rPr>
        <w:footnoteRef/>
      </w:r>
      <w:r w:rsidRPr="00E22450">
        <w:rPr>
          <w:lang w:val="pl-PL"/>
        </w:rPr>
        <w:t xml:space="preserve"> </w:t>
      </w:r>
      <w:r w:rsidRPr="00E22450">
        <w:rPr>
          <w:shd w:val="clear" w:color="auto" w:fill="FFFFFF"/>
          <w:lang w:val="pl-PL"/>
        </w:rPr>
        <w:t>Dyrektywa Parlamentu Europejskiego</w:t>
      </w:r>
      <w:r w:rsidR="00F1653C" w:rsidRPr="00E22450">
        <w:rPr>
          <w:shd w:val="clear" w:color="auto" w:fill="FFFFFF"/>
          <w:lang w:val="pl-PL"/>
        </w:rPr>
        <w:t xml:space="preserve"> i</w:t>
      </w:r>
      <w:r w:rsidR="00F1653C">
        <w:rPr>
          <w:shd w:val="clear" w:color="auto" w:fill="FFFFFF"/>
          <w:lang w:val="pl-PL"/>
        </w:rPr>
        <w:t> </w:t>
      </w:r>
      <w:r w:rsidR="00F1653C" w:rsidRPr="00E22450">
        <w:rPr>
          <w:shd w:val="clear" w:color="auto" w:fill="FFFFFF"/>
          <w:lang w:val="pl-PL"/>
        </w:rPr>
        <w:t>Rad</w:t>
      </w:r>
      <w:r w:rsidRPr="00E22450">
        <w:rPr>
          <w:shd w:val="clear" w:color="auto" w:fill="FFFFFF"/>
          <w:lang w:val="pl-PL"/>
        </w:rPr>
        <w:t>y (UE) 2022/2555</w:t>
      </w:r>
      <w:r w:rsidR="00F1653C" w:rsidRPr="00E22450">
        <w:rPr>
          <w:shd w:val="clear" w:color="auto" w:fill="FFFFFF"/>
          <w:lang w:val="pl-PL"/>
        </w:rPr>
        <w:t xml:space="preserve"> z</w:t>
      </w:r>
      <w:r w:rsidR="00F1653C">
        <w:rPr>
          <w:shd w:val="clear" w:color="auto" w:fill="FFFFFF"/>
          <w:lang w:val="pl-PL"/>
        </w:rPr>
        <w:t> </w:t>
      </w:r>
      <w:r w:rsidR="00F1653C" w:rsidRPr="00E22450">
        <w:rPr>
          <w:shd w:val="clear" w:color="auto" w:fill="FFFFFF"/>
          <w:lang w:val="pl-PL"/>
        </w:rPr>
        <w:t>dni</w:t>
      </w:r>
      <w:r w:rsidRPr="00E22450">
        <w:rPr>
          <w:shd w:val="clear" w:color="auto" w:fill="FFFFFF"/>
          <w:lang w:val="pl-PL"/>
        </w:rPr>
        <w:t>a 14 grudnia 2022 r.</w:t>
      </w:r>
      <w:r w:rsidR="00F1653C" w:rsidRPr="00E22450">
        <w:rPr>
          <w:shd w:val="clear" w:color="auto" w:fill="FFFFFF"/>
          <w:lang w:val="pl-PL"/>
        </w:rPr>
        <w:t xml:space="preserve"> w</w:t>
      </w:r>
      <w:r w:rsidR="00F1653C">
        <w:rPr>
          <w:shd w:val="clear" w:color="auto" w:fill="FFFFFF"/>
          <w:lang w:val="pl-PL"/>
        </w:rPr>
        <w:t> </w:t>
      </w:r>
      <w:r w:rsidR="00F1653C" w:rsidRPr="00E22450">
        <w:rPr>
          <w:shd w:val="clear" w:color="auto" w:fill="FFFFFF"/>
          <w:lang w:val="pl-PL"/>
        </w:rPr>
        <w:t>spr</w:t>
      </w:r>
      <w:r w:rsidRPr="00E22450">
        <w:rPr>
          <w:shd w:val="clear" w:color="auto" w:fill="FFFFFF"/>
          <w:lang w:val="pl-PL"/>
        </w:rPr>
        <w:t>awie środków na rzecz wysokiego wspólnego poziomu cyberbezpieczeństwa na terytorium Unii, zmieniająca rozporządzenie (UE) nr 910/2014</w:t>
      </w:r>
      <w:r w:rsidR="00F1653C" w:rsidRPr="00E22450">
        <w:rPr>
          <w:shd w:val="clear" w:color="auto" w:fill="FFFFFF"/>
          <w:lang w:val="pl-PL"/>
        </w:rPr>
        <w:t xml:space="preserve"> i</w:t>
      </w:r>
      <w:r w:rsidR="00F1653C">
        <w:rPr>
          <w:shd w:val="clear" w:color="auto" w:fill="FFFFFF"/>
          <w:lang w:val="pl-PL"/>
        </w:rPr>
        <w:t> </w:t>
      </w:r>
      <w:r w:rsidR="00F1653C" w:rsidRPr="00E22450">
        <w:rPr>
          <w:shd w:val="clear" w:color="auto" w:fill="FFFFFF"/>
          <w:lang w:val="pl-PL"/>
        </w:rPr>
        <w:t>dyr</w:t>
      </w:r>
      <w:r w:rsidRPr="00E22450">
        <w:rPr>
          <w:shd w:val="clear" w:color="auto" w:fill="FFFFFF"/>
          <w:lang w:val="pl-PL"/>
        </w:rPr>
        <w:t>ektywę (UE) 2018/1972 oraz uchylająca dyrektywę (UE) 2016/1148 (dyrektywa NIS 2), (Dz.U. L 333</w:t>
      </w:r>
      <w:r w:rsidR="00F1653C" w:rsidRPr="00E22450">
        <w:rPr>
          <w:shd w:val="clear" w:color="auto" w:fill="FFFFFF"/>
          <w:lang w:val="pl-PL"/>
        </w:rPr>
        <w:t xml:space="preserve"> z</w:t>
      </w:r>
      <w:r w:rsidR="00F1653C">
        <w:rPr>
          <w:shd w:val="clear" w:color="auto" w:fill="FFFFFF"/>
          <w:lang w:val="pl-PL"/>
        </w:rPr>
        <w:t> </w:t>
      </w:r>
      <w:r w:rsidR="00F1653C" w:rsidRPr="00E22450">
        <w:rPr>
          <w:shd w:val="clear" w:color="auto" w:fill="FFFFFF"/>
          <w:lang w:val="pl-PL"/>
        </w:rPr>
        <w:t>2</w:t>
      </w:r>
      <w:r w:rsidRPr="00E22450">
        <w:rPr>
          <w:shd w:val="clear" w:color="auto" w:fill="FFFFFF"/>
          <w:lang w:val="pl-PL"/>
        </w:rPr>
        <w:t>7.12.2022)</w:t>
      </w:r>
      <w:r w:rsidRPr="00E22450">
        <w:rPr>
          <w:lang w:val="pl-PL"/>
        </w:rPr>
        <w:t>. Dyrektywa jest horyzontalnym rodzajem aktu prawnego mającego zastosowanie do szeregu sektorów</w:t>
      </w:r>
      <w:r w:rsidR="00F1653C" w:rsidRPr="00E22450">
        <w:rPr>
          <w:lang w:val="pl-PL"/>
        </w:rPr>
        <w:t xml:space="preserve"> i</w:t>
      </w:r>
      <w:r w:rsidR="00F1653C">
        <w:rPr>
          <w:lang w:val="pl-PL"/>
        </w:rPr>
        <w:t> </w:t>
      </w:r>
      <w:r w:rsidR="00F1653C" w:rsidRPr="00E22450">
        <w:rPr>
          <w:lang w:val="pl-PL"/>
        </w:rPr>
        <w:t>zob</w:t>
      </w:r>
      <w:r w:rsidRPr="00E22450">
        <w:rPr>
          <w:lang w:val="pl-PL"/>
        </w:rPr>
        <w:t>owiązuje podmioty, takie jak dostawcy usług</w:t>
      </w:r>
      <w:r w:rsidR="00F1653C" w:rsidRPr="00E22450">
        <w:rPr>
          <w:lang w:val="pl-PL"/>
        </w:rPr>
        <w:t xml:space="preserve"> w</w:t>
      </w:r>
      <w:r w:rsidR="00F1653C">
        <w:rPr>
          <w:lang w:val="pl-PL"/>
        </w:rPr>
        <w:t> </w:t>
      </w:r>
      <w:r w:rsidR="00F1653C" w:rsidRPr="00E22450">
        <w:rPr>
          <w:lang w:val="pl-PL"/>
        </w:rPr>
        <w:t>chm</w:t>
      </w:r>
      <w:r w:rsidRPr="00E22450">
        <w:rPr>
          <w:lang w:val="pl-PL"/>
        </w:rPr>
        <w:t>urze, ośrodki przetwarzania danych, dostawcy usług zarządzanych lub dostawcy usług zarządzanych</w:t>
      </w:r>
      <w:r w:rsidR="00F1653C" w:rsidRPr="00E22450">
        <w:rPr>
          <w:lang w:val="pl-PL"/>
        </w:rPr>
        <w:t xml:space="preserve"> w</w:t>
      </w:r>
      <w:r w:rsidR="00F1653C">
        <w:rPr>
          <w:lang w:val="pl-PL"/>
        </w:rPr>
        <w:t> </w:t>
      </w:r>
      <w:r w:rsidR="00F1653C" w:rsidRPr="00E22450">
        <w:rPr>
          <w:lang w:val="pl-PL"/>
        </w:rPr>
        <w:t>zak</w:t>
      </w:r>
      <w:r w:rsidRPr="00E22450">
        <w:rPr>
          <w:lang w:val="pl-PL"/>
        </w:rPr>
        <w:t>resie bezpieczeństwa, do stosowania środków zarządzania ryzykiem</w:t>
      </w:r>
      <w:r w:rsidR="00F1653C" w:rsidRPr="00E22450">
        <w:rPr>
          <w:lang w:val="pl-PL"/>
        </w:rPr>
        <w:t xml:space="preserve"> w</w:t>
      </w:r>
      <w:r w:rsidR="00F1653C">
        <w:rPr>
          <w:lang w:val="pl-PL"/>
        </w:rPr>
        <w:t> </w:t>
      </w:r>
      <w:r w:rsidR="00F1653C" w:rsidRPr="00E22450">
        <w:rPr>
          <w:lang w:val="pl-PL"/>
        </w:rPr>
        <w:t>cyb</w:t>
      </w:r>
      <w:r w:rsidRPr="00E22450">
        <w:rPr>
          <w:lang w:val="pl-PL"/>
        </w:rPr>
        <w:t>erprzestrzeni,</w:t>
      </w:r>
      <w:r w:rsidR="00F1653C" w:rsidRPr="00E22450">
        <w:rPr>
          <w:lang w:val="pl-PL"/>
        </w:rPr>
        <w:t xml:space="preserve"> w</w:t>
      </w:r>
      <w:r w:rsidR="00F1653C">
        <w:rPr>
          <w:lang w:val="pl-PL"/>
        </w:rPr>
        <w:t> </w:t>
      </w:r>
      <w:r w:rsidR="00F1653C" w:rsidRPr="00E22450">
        <w:rPr>
          <w:lang w:val="pl-PL"/>
        </w:rPr>
        <w:t>tym</w:t>
      </w:r>
      <w:r w:rsidRPr="00E22450">
        <w:rPr>
          <w:lang w:val="pl-PL"/>
        </w:rPr>
        <w:t xml:space="preserve"> środków bezpieczeństwa łańcucha dostaw. Do dnia 17 października 20</w:t>
      </w:r>
      <w:r w:rsidRPr="00F1653C">
        <w:rPr>
          <w:lang w:val="pl-PL"/>
        </w:rPr>
        <w:t>24</w:t>
      </w:r>
      <w:r w:rsidR="00F1653C" w:rsidRPr="00F1653C">
        <w:rPr>
          <w:lang w:val="pl-PL"/>
        </w:rPr>
        <w:t> </w:t>
      </w:r>
      <w:r w:rsidRPr="00F1653C">
        <w:rPr>
          <w:lang w:val="pl-PL"/>
        </w:rPr>
        <w:t>r.</w:t>
      </w:r>
      <w:r w:rsidRPr="00E22450">
        <w:rPr>
          <w:lang w:val="pl-PL"/>
        </w:rPr>
        <w:t xml:space="preserve"> Komisja musi przyjąć akt wykonawczy doprecyzowujący środki cyberbezpieczeństwa</w:t>
      </w:r>
      <w:r w:rsidR="00F1653C" w:rsidRPr="00E22450">
        <w:rPr>
          <w:lang w:val="pl-PL"/>
        </w:rPr>
        <w:t xml:space="preserve"> w</w:t>
      </w:r>
      <w:r w:rsidR="00F1653C">
        <w:rPr>
          <w:lang w:val="pl-PL"/>
        </w:rPr>
        <w:t> </w:t>
      </w:r>
      <w:r w:rsidR="00F1653C" w:rsidRPr="00E22450">
        <w:rPr>
          <w:lang w:val="pl-PL"/>
        </w:rPr>
        <w:t>odn</w:t>
      </w:r>
      <w:r w:rsidRPr="00E22450">
        <w:rPr>
          <w:lang w:val="pl-PL"/>
        </w:rPr>
        <w:t>iesieniu do tego rodzaju podmiotów.</w:t>
      </w:r>
    </w:p>
  </w:footnote>
  <w:footnote w:id="50">
    <w:p w14:paraId="4EB15D0E" w14:textId="598E15D5" w:rsidR="00241024" w:rsidRPr="00E22450" w:rsidRDefault="00241024" w:rsidP="00C64A13">
      <w:pPr>
        <w:pStyle w:val="FootnoteText"/>
        <w:rPr>
          <w:lang w:val="pl-PL"/>
        </w:rPr>
      </w:pPr>
      <w:r>
        <w:rPr>
          <w:rStyle w:val="FootnoteReference"/>
        </w:rPr>
        <w:footnoteRef/>
      </w:r>
      <w:r w:rsidRPr="00E22450">
        <w:rPr>
          <w:lang w:val="pl-PL"/>
        </w:rPr>
        <w:t xml:space="preserve"> </w:t>
      </w:r>
      <w:hyperlink r:id="rId51" w:history="1">
        <w:r w:rsidRPr="00E22450">
          <w:rPr>
            <w:rStyle w:val="Hyperlink"/>
            <w:lang w:val="pl-PL"/>
          </w:rPr>
          <w:t>ERRS zaleca ustanowienie systemowych ram koordynacji incydentów</w:t>
        </w:r>
        <w:r w:rsidR="00F1653C" w:rsidRPr="00E22450">
          <w:rPr>
            <w:rStyle w:val="Hyperlink"/>
            <w:lang w:val="pl-PL"/>
          </w:rPr>
          <w:t xml:space="preserve"> w</w:t>
        </w:r>
        <w:r w:rsidR="00F1653C">
          <w:rPr>
            <w:rStyle w:val="Hyperlink"/>
            <w:lang w:val="pl-PL"/>
          </w:rPr>
          <w:t> </w:t>
        </w:r>
        <w:r w:rsidR="00F1653C" w:rsidRPr="00E22450">
          <w:rPr>
            <w:rStyle w:val="Hyperlink"/>
            <w:lang w:val="pl-PL"/>
          </w:rPr>
          <w:t>cyb</w:t>
        </w:r>
        <w:r w:rsidRPr="00E22450">
          <w:rPr>
            <w:rStyle w:val="Hyperlink"/>
            <w:lang w:val="pl-PL"/>
          </w:rPr>
          <w:t>erbezpieczeństwie (europa.eu)</w:t>
        </w:r>
      </w:hyperlink>
      <w:r w:rsidRPr="00E22450">
        <w:rPr>
          <w:lang w:val="pl-PL"/>
        </w:rPr>
        <w:t xml:space="preserve">. </w:t>
      </w:r>
    </w:p>
  </w:footnote>
  <w:footnote w:id="51">
    <w:p w14:paraId="0E4D76AA" w14:textId="09BD9D2A" w:rsidR="00732BA0" w:rsidRPr="00E22450" w:rsidRDefault="00732BA0" w:rsidP="00C64A13">
      <w:pPr>
        <w:pStyle w:val="FootnoteText"/>
        <w:rPr>
          <w:lang w:val="pl-PL"/>
        </w:rPr>
      </w:pPr>
      <w:r>
        <w:rPr>
          <w:rStyle w:val="FootnoteReference"/>
        </w:rPr>
        <w:footnoteRef/>
      </w:r>
      <w:r w:rsidRPr="00E22450">
        <w:rPr>
          <w:lang w:val="pl-PL"/>
        </w:rPr>
        <w:t xml:space="preserve"> </w:t>
      </w:r>
      <w:hyperlink r:id="rId52" w:history="1">
        <w:r w:rsidRPr="00E22450">
          <w:rPr>
            <w:rStyle w:val="Hyperlink"/>
            <w:lang w:val="pl-PL"/>
          </w:rPr>
          <w:t>EBC przeprowadzi test warunków skrajnych</w:t>
        </w:r>
        <w:r w:rsidR="00F1653C" w:rsidRPr="00E22450">
          <w:rPr>
            <w:rStyle w:val="Hyperlink"/>
            <w:lang w:val="pl-PL"/>
          </w:rPr>
          <w:t xml:space="preserve"> w</w:t>
        </w:r>
        <w:r w:rsidR="00F1653C">
          <w:rPr>
            <w:rStyle w:val="Hyperlink"/>
            <w:lang w:val="pl-PL"/>
          </w:rPr>
          <w:t> </w:t>
        </w:r>
        <w:r w:rsidR="00F1653C" w:rsidRPr="00E22450">
          <w:rPr>
            <w:rStyle w:val="Hyperlink"/>
            <w:lang w:val="pl-PL"/>
          </w:rPr>
          <w:t>zak</w:t>
        </w:r>
        <w:r w:rsidRPr="00E22450">
          <w:rPr>
            <w:rStyle w:val="Hyperlink"/>
            <w:lang w:val="pl-PL"/>
          </w:rPr>
          <w:t>resie zdolności banków do odzyskania sprawności po cyberataku (europa.eu)</w:t>
        </w:r>
      </w:hyperlink>
      <w:r w:rsidRPr="00E22450">
        <w:rPr>
          <w:lang w:val="pl-PL"/>
        </w:rPr>
        <w:t>.</w:t>
      </w:r>
    </w:p>
  </w:footnote>
  <w:footnote w:id="52">
    <w:p w14:paraId="6FDDB5D5" w14:textId="05D4AACA" w:rsidR="00241024" w:rsidRPr="00E22450" w:rsidRDefault="00241024" w:rsidP="00C64A13">
      <w:pPr>
        <w:pStyle w:val="FootnoteText"/>
        <w:rPr>
          <w:lang w:val="pl-PL"/>
        </w:rPr>
      </w:pPr>
      <w:r>
        <w:rPr>
          <w:rStyle w:val="FootnoteReference"/>
        </w:rPr>
        <w:footnoteRef/>
      </w:r>
      <w:r w:rsidRPr="00E22450">
        <w:rPr>
          <w:lang w:val="pl-PL"/>
        </w:rPr>
        <w:t xml:space="preserve"> Zob. Rada Stabilności Finansowej (2020), </w:t>
      </w:r>
      <w:hyperlink r:id="rId53" w:history="1">
        <w:r w:rsidRPr="00E22450">
          <w:rPr>
            <w:rStyle w:val="Hyperlink"/>
            <w:lang w:val="pl-PL"/>
          </w:rPr>
          <w:t>Holistic Review of the March Market Turmoil [Całościowy przegląd marcowych zawirowań na rynk</w:t>
        </w:r>
        <w:r w:rsidR="00F1653C" w:rsidRPr="00E22450">
          <w:rPr>
            <w:rStyle w:val="Hyperlink"/>
            <w:lang w:val="pl-PL"/>
          </w:rPr>
          <w:t>u]</w:t>
        </w:r>
        <w:r w:rsidRPr="00E22450">
          <w:rPr>
            <w:rStyle w:val="Hyperlink"/>
            <w:lang w:val="pl-PL"/>
          </w:rPr>
          <w:t xml:space="preserve"> – Rada Stabilności Finansowej (fsb.org)</w:t>
        </w:r>
      </w:hyperlink>
      <w:r w:rsidRPr="00E22450">
        <w:rPr>
          <w:lang w:val="pl-PL"/>
        </w:rPr>
        <w:t xml:space="preserve">, s. 11. </w:t>
      </w:r>
    </w:p>
  </w:footnote>
  <w:footnote w:id="53">
    <w:p w14:paraId="2795A790" w14:textId="2937194A" w:rsidR="00241024" w:rsidRPr="00F1653C" w:rsidRDefault="00241024" w:rsidP="00F43FC7">
      <w:pPr>
        <w:spacing w:after="0" w:line="240" w:lineRule="auto"/>
        <w:rPr>
          <w:rFonts w:cs="Times New Roman"/>
          <w:sz w:val="20"/>
          <w:lang w:val="pl-PL"/>
        </w:rPr>
      </w:pPr>
      <w:r>
        <w:rPr>
          <w:rStyle w:val="FootnoteReference"/>
          <w:rFonts w:cs="Times New Roman"/>
        </w:rPr>
        <w:footnoteRef/>
      </w:r>
      <w:r w:rsidRPr="00E22450">
        <w:rPr>
          <w:sz w:val="20"/>
          <w:lang w:val="pl-PL"/>
        </w:rPr>
        <w:t xml:space="preserve"> </w:t>
      </w:r>
      <w:r w:rsidRPr="00E22450">
        <w:rPr>
          <w:rStyle w:val="FootnoteTextChar"/>
          <w:lang w:val="pl-PL"/>
        </w:rPr>
        <w:t>Aby uzyskać więcej informacji, zob. Bank Anglii (20</w:t>
      </w:r>
      <w:r w:rsidRPr="00F1653C">
        <w:rPr>
          <w:rStyle w:val="FootnoteTextChar"/>
          <w:lang w:val="pl-PL"/>
        </w:rPr>
        <w:t>23</w:t>
      </w:r>
      <w:r w:rsidR="00F1653C" w:rsidRPr="00F1653C">
        <w:rPr>
          <w:rStyle w:val="FootnoteTextChar"/>
          <w:lang w:val="pl-PL"/>
        </w:rPr>
        <w:t> </w:t>
      </w:r>
      <w:r w:rsidRPr="00F1653C">
        <w:rPr>
          <w:rStyle w:val="FootnoteTextChar"/>
          <w:lang w:val="pl-PL"/>
        </w:rPr>
        <w:t>r.</w:t>
      </w:r>
      <w:r w:rsidRPr="00E22450">
        <w:rPr>
          <w:rStyle w:val="FootnoteTextChar"/>
          <w:lang w:val="pl-PL"/>
        </w:rPr>
        <w:t>),</w:t>
      </w:r>
      <w:hyperlink r:id="rId54" w:history="1">
        <w:r w:rsidRPr="00E22450">
          <w:rPr>
            <w:rStyle w:val="Hyperlink"/>
            <w:sz w:val="20"/>
            <w:lang w:val="pl-PL"/>
          </w:rPr>
          <w:t xml:space="preserve"> Anatomy of </w:t>
        </w:r>
        <w:r w:rsidRPr="00F1653C">
          <w:rPr>
            <w:rStyle w:val="Hyperlink"/>
            <w:sz w:val="20"/>
            <w:lang w:val="pl-PL"/>
          </w:rPr>
          <w:t>the</w:t>
        </w:r>
        <w:r w:rsidR="00F1653C" w:rsidRPr="00F1653C">
          <w:rPr>
            <w:rStyle w:val="Hyperlink"/>
            <w:sz w:val="20"/>
            <w:lang w:val="pl-PL"/>
          </w:rPr>
          <w:t> </w:t>
        </w:r>
        <w:r w:rsidRPr="00F1653C">
          <w:rPr>
            <w:rStyle w:val="Hyperlink"/>
            <w:sz w:val="20"/>
            <w:lang w:val="pl-PL"/>
          </w:rPr>
          <w:t>2</w:t>
        </w:r>
        <w:r w:rsidRPr="00E22450">
          <w:rPr>
            <w:rStyle w:val="Hyperlink"/>
            <w:sz w:val="20"/>
            <w:lang w:val="pl-PL"/>
          </w:rPr>
          <w:t>022 gilt market crisis</w:t>
        </w:r>
      </w:hyperlink>
      <w:r w:rsidRPr="00E22450">
        <w:rPr>
          <w:rStyle w:val="FootnoteTextChar"/>
          <w:lang w:val="pl-PL"/>
        </w:rPr>
        <w:t xml:space="preserve"> [Anatomia kryzysu na rynku obligacji</w:t>
      </w:r>
      <w:r w:rsidR="00F1653C" w:rsidRPr="00E22450">
        <w:rPr>
          <w:rStyle w:val="FootnoteTextChar"/>
          <w:lang w:val="pl-PL"/>
        </w:rPr>
        <w:t xml:space="preserve"> w</w:t>
      </w:r>
      <w:r w:rsidR="00F1653C">
        <w:rPr>
          <w:rStyle w:val="FootnoteTextChar"/>
          <w:lang w:val="pl-PL"/>
        </w:rPr>
        <w:t> </w:t>
      </w:r>
      <w:r w:rsidR="00F1653C" w:rsidRPr="00E22450">
        <w:rPr>
          <w:rStyle w:val="FootnoteTextChar"/>
          <w:lang w:val="pl-PL"/>
        </w:rPr>
        <w:t>2</w:t>
      </w:r>
      <w:r w:rsidRPr="00E22450">
        <w:rPr>
          <w:rStyle w:val="FootnoteTextChar"/>
          <w:lang w:val="pl-PL"/>
        </w:rPr>
        <w:t>0</w:t>
      </w:r>
      <w:r w:rsidRPr="00F1653C">
        <w:rPr>
          <w:rStyle w:val="FootnoteTextChar"/>
          <w:lang w:val="pl-PL"/>
        </w:rPr>
        <w:t>22</w:t>
      </w:r>
      <w:r w:rsidR="00F1653C" w:rsidRPr="00F1653C">
        <w:rPr>
          <w:rStyle w:val="FootnoteTextChar"/>
          <w:lang w:val="pl-PL"/>
        </w:rPr>
        <w:t> </w:t>
      </w:r>
      <w:r w:rsidRPr="00F1653C">
        <w:rPr>
          <w:rStyle w:val="FootnoteTextChar"/>
          <w:lang w:val="pl-PL"/>
        </w:rPr>
        <w:t>r.</w:t>
      </w:r>
      <w:r w:rsidRPr="00E22450">
        <w:rPr>
          <w:rStyle w:val="FootnoteTextChar"/>
          <w:lang w:val="pl-PL"/>
        </w:rPr>
        <w:t xml:space="preserve">], dokument roboczy służb Komisji </w:t>
      </w:r>
      <w:r w:rsidRPr="00F1653C">
        <w:rPr>
          <w:rStyle w:val="FootnoteTextChar"/>
          <w:lang w:val="pl-PL"/>
        </w:rPr>
        <w:t>nr</w:t>
      </w:r>
      <w:r w:rsidR="00F1653C" w:rsidRPr="00F1653C">
        <w:rPr>
          <w:rStyle w:val="FootnoteTextChar"/>
          <w:lang w:val="pl-PL"/>
        </w:rPr>
        <w:t> </w:t>
      </w:r>
      <w:r w:rsidRPr="00F1653C">
        <w:rPr>
          <w:rStyle w:val="FootnoteTextChar"/>
          <w:lang w:val="pl-PL"/>
        </w:rPr>
        <w:t>1</w:t>
      </w:r>
      <w:r w:rsidRPr="00E22450">
        <w:rPr>
          <w:rStyle w:val="FootnoteTextChar"/>
          <w:lang w:val="pl-PL"/>
        </w:rPr>
        <w:t>019, 31 marca 20</w:t>
      </w:r>
      <w:r w:rsidRPr="00F1653C">
        <w:rPr>
          <w:rStyle w:val="FootnoteTextChar"/>
          <w:lang w:val="pl-PL"/>
        </w:rPr>
        <w:t>23</w:t>
      </w:r>
      <w:r w:rsidR="00F1653C" w:rsidRPr="00F1653C">
        <w:rPr>
          <w:rStyle w:val="FootnoteTextChar"/>
          <w:lang w:val="pl-PL"/>
        </w:rPr>
        <w:t> </w:t>
      </w:r>
      <w:r w:rsidRPr="00F1653C">
        <w:rPr>
          <w:rStyle w:val="FootnoteTextChar"/>
          <w:lang w:val="pl-PL"/>
        </w:rPr>
        <w:t>r.</w:t>
      </w:r>
      <w:r w:rsidR="00F1653C" w:rsidRPr="00F1653C">
        <w:rPr>
          <w:rStyle w:val="FootnoteTextChar"/>
          <w:lang w:val="pl-PL"/>
        </w:rPr>
        <w:t xml:space="preserve"> </w:t>
      </w:r>
    </w:p>
  </w:footnote>
  <w:footnote w:id="54">
    <w:p w14:paraId="525492ED" w14:textId="0C2245E9" w:rsidR="00C64A13" w:rsidRPr="00E22450" w:rsidRDefault="00C64A13" w:rsidP="00C64A13">
      <w:pPr>
        <w:pStyle w:val="FootnoteText"/>
        <w:rPr>
          <w:lang w:val="pl-PL"/>
        </w:rPr>
      </w:pPr>
      <w:r>
        <w:rPr>
          <w:rStyle w:val="FootnoteReference"/>
        </w:rPr>
        <w:footnoteRef/>
      </w:r>
      <w:r w:rsidRPr="00E22450">
        <w:rPr>
          <w:lang w:val="pl-PL"/>
        </w:rPr>
        <w:t xml:space="preserve"> </w:t>
      </w:r>
      <w:hyperlink r:id="rId55" w:history="1">
        <w:r w:rsidRPr="00E22450">
          <w:rPr>
            <w:rStyle w:val="Hyperlink"/>
            <w:lang w:val="pl-PL"/>
          </w:rPr>
          <w:t xml:space="preserve">A journey </w:t>
        </w:r>
        <w:r w:rsidRPr="00F1653C">
          <w:rPr>
            <w:rStyle w:val="Hyperlink"/>
            <w:lang w:val="pl-PL"/>
          </w:rPr>
          <w:t>of</w:t>
        </w:r>
        <w:r w:rsidR="00F1653C" w:rsidRPr="00F1653C">
          <w:rPr>
            <w:rStyle w:val="Hyperlink"/>
            <w:lang w:val="pl-PL"/>
          </w:rPr>
          <w:t> </w:t>
        </w:r>
        <w:r w:rsidRPr="00F1653C">
          <w:rPr>
            <w:rStyle w:val="Hyperlink"/>
            <w:lang w:val="pl-PL"/>
          </w:rPr>
          <w:t>1</w:t>
        </w:r>
        <w:r w:rsidRPr="00E22450">
          <w:rPr>
            <w:rStyle w:val="Hyperlink"/>
            <w:lang w:val="pl-PL"/>
          </w:rPr>
          <w:t>000 miles begins with</w:t>
        </w:r>
        <w:r w:rsidR="00F1653C" w:rsidRPr="00E22450">
          <w:rPr>
            <w:rStyle w:val="Hyperlink"/>
            <w:lang w:val="pl-PL"/>
          </w:rPr>
          <w:t xml:space="preserve"> a</w:t>
        </w:r>
        <w:r w:rsidR="00F1653C">
          <w:rPr>
            <w:rStyle w:val="Hyperlink"/>
            <w:lang w:val="pl-PL"/>
          </w:rPr>
          <w:t> </w:t>
        </w:r>
        <w:r w:rsidR="00F1653C" w:rsidRPr="00E22450">
          <w:rPr>
            <w:rStyle w:val="Hyperlink"/>
            <w:lang w:val="pl-PL"/>
          </w:rPr>
          <w:t>sin</w:t>
        </w:r>
        <w:r w:rsidRPr="00E22450">
          <w:rPr>
            <w:rStyle w:val="Hyperlink"/>
            <w:lang w:val="pl-PL"/>
          </w:rPr>
          <w:t>gle step:</w:t>
        </w:r>
      </w:hyperlink>
      <w:hyperlink r:id="rId56" w:history="1">
        <w:r w:rsidRPr="00E22450">
          <w:rPr>
            <w:rStyle w:val="Hyperlink"/>
            <w:lang w:val="pl-PL"/>
          </w:rPr>
          <w:t xml:space="preserve"> filling gaps in the central bank liquidity toolkit – speech by Andrew Hauser</w:t>
        </w:r>
      </w:hyperlink>
      <w:r w:rsidRPr="00E22450">
        <w:rPr>
          <w:lang w:val="pl-PL"/>
        </w:rPr>
        <w:t xml:space="preserve"> [Podróż 1000 mil zaczyna się od jednego kroku: wypełnienie luk</w:t>
      </w:r>
      <w:r w:rsidR="00F1653C" w:rsidRPr="00E22450">
        <w:rPr>
          <w:lang w:val="pl-PL"/>
        </w:rPr>
        <w:t xml:space="preserve"> w</w:t>
      </w:r>
      <w:r w:rsidR="00F1653C">
        <w:rPr>
          <w:lang w:val="pl-PL"/>
        </w:rPr>
        <w:t> </w:t>
      </w:r>
      <w:r w:rsidR="00F1653C" w:rsidRPr="00E22450">
        <w:rPr>
          <w:lang w:val="pl-PL"/>
        </w:rPr>
        <w:t>zes</w:t>
      </w:r>
      <w:r w:rsidRPr="00E22450">
        <w:rPr>
          <w:lang w:val="pl-PL"/>
        </w:rPr>
        <w:t>tawie narzędzi płynnościowych banku centralnego – przemówienie Andrew Hausera]</w:t>
      </w:r>
      <w:hyperlink r:id="rId57" w:history="1">
        <w:r w:rsidRPr="00E22450">
          <w:rPr>
            <w:rStyle w:val="Hyperlink"/>
            <w:lang w:val="pl-PL"/>
          </w:rPr>
          <w:t xml:space="preserve"> Bank Anglii</w:t>
        </w:r>
      </w:hyperlink>
      <w:r w:rsidRPr="00E22450">
        <w:rPr>
          <w:lang w:val="pl-PL"/>
        </w:rPr>
        <w:t xml:space="preserve">. </w:t>
      </w:r>
    </w:p>
  </w:footnote>
  <w:footnote w:id="55">
    <w:p w14:paraId="334A0A77" w14:textId="0D4112C1" w:rsidR="00241024" w:rsidRPr="00E22450" w:rsidRDefault="00241024" w:rsidP="00C64A13">
      <w:pPr>
        <w:pStyle w:val="FootnoteText"/>
        <w:rPr>
          <w:lang w:val="pl-PL"/>
        </w:rPr>
      </w:pPr>
      <w:r>
        <w:rPr>
          <w:rStyle w:val="FootnoteReference"/>
        </w:rPr>
        <w:footnoteRef/>
      </w:r>
      <w:r w:rsidRPr="00E22450">
        <w:rPr>
          <w:lang w:val="pl-PL"/>
        </w:rPr>
        <w:t xml:space="preserve"> Zob. Komisja Europejska (2023), </w:t>
      </w:r>
      <w:hyperlink r:id="rId58" w:history="1">
        <w:r w:rsidRPr="00E22450">
          <w:rPr>
            <w:rStyle w:val="Hyperlink"/>
            <w:lang w:val="pl-PL"/>
          </w:rPr>
          <w:t>Report from the Commission on the adequacy of Regulation (EU) 2017/1131 on money market funds from</w:t>
        </w:r>
        <w:r w:rsidR="00F1653C" w:rsidRPr="00E22450">
          <w:rPr>
            <w:rStyle w:val="Hyperlink"/>
            <w:lang w:val="pl-PL"/>
          </w:rPr>
          <w:t xml:space="preserve"> a</w:t>
        </w:r>
        <w:r w:rsidR="00F1653C">
          <w:rPr>
            <w:rStyle w:val="Hyperlink"/>
            <w:lang w:val="pl-PL"/>
          </w:rPr>
          <w:t> </w:t>
        </w:r>
        <w:r w:rsidR="00F1653C" w:rsidRPr="00E22450">
          <w:rPr>
            <w:rStyle w:val="Hyperlink"/>
            <w:lang w:val="pl-PL"/>
          </w:rPr>
          <w:t>pru</w:t>
        </w:r>
        <w:r w:rsidRPr="00E22450">
          <w:rPr>
            <w:rStyle w:val="Hyperlink"/>
            <w:lang w:val="pl-PL"/>
          </w:rPr>
          <w:t>dential and economic point of view</w:t>
        </w:r>
      </w:hyperlink>
      <w:r w:rsidRPr="00E22450">
        <w:rPr>
          <w:lang w:val="pl-PL"/>
        </w:rPr>
        <w:t xml:space="preserve"> [Sprawozdanie Komisji dotyczące adekwatności rozporządzenia Parlamentu Europejskiego</w:t>
      </w:r>
      <w:r w:rsidR="00F1653C" w:rsidRPr="00E22450">
        <w:rPr>
          <w:lang w:val="pl-PL"/>
        </w:rPr>
        <w:t xml:space="preserve"> i</w:t>
      </w:r>
      <w:r w:rsidR="00F1653C">
        <w:rPr>
          <w:lang w:val="pl-PL"/>
        </w:rPr>
        <w:t> </w:t>
      </w:r>
      <w:r w:rsidR="00F1653C" w:rsidRPr="00E22450">
        <w:rPr>
          <w:lang w:val="pl-PL"/>
        </w:rPr>
        <w:t>Rad</w:t>
      </w:r>
      <w:r w:rsidRPr="00E22450">
        <w:rPr>
          <w:lang w:val="pl-PL"/>
        </w:rPr>
        <w:t>y (UE) 2017/1131</w:t>
      </w:r>
      <w:r w:rsidR="00F1653C" w:rsidRPr="00E22450">
        <w:rPr>
          <w:lang w:val="pl-PL"/>
        </w:rPr>
        <w:t xml:space="preserve"> w</w:t>
      </w:r>
      <w:r w:rsidR="00F1653C">
        <w:rPr>
          <w:lang w:val="pl-PL"/>
        </w:rPr>
        <w:t> </w:t>
      </w:r>
      <w:r w:rsidR="00F1653C" w:rsidRPr="00E22450">
        <w:rPr>
          <w:lang w:val="pl-PL"/>
        </w:rPr>
        <w:t>spr</w:t>
      </w:r>
      <w:r w:rsidRPr="00E22450">
        <w:rPr>
          <w:lang w:val="pl-PL"/>
        </w:rPr>
        <w:t>awie funduszy rynku pieniężnego</w:t>
      </w:r>
      <w:r w:rsidR="00F1653C" w:rsidRPr="00E22450">
        <w:rPr>
          <w:lang w:val="pl-PL"/>
        </w:rPr>
        <w:t xml:space="preserve"> z</w:t>
      </w:r>
      <w:r w:rsidR="00F1653C">
        <w:rPr>
          <w:lang w:val="pl-PL"/>
        </w:rPr>
        <w:t> </w:t>
      </w:r>
      <w:r w:rsidR="00F1653C" w:rsidRPr="00E22450">
        <w:rPr>
          <w:lang w:val="pl-PL"/>
        </w:rPr>
        <w:t>ost</w:t>
      </w:r>
      <w:r w:rsidRPr="00E22450">
        <w:rPr>
          <w:lang w:val="pl-PL"/>
        </w:rPr>
        <w:t>rożnościowego</w:t>
      </w:r>
      <w:r w:rsidR="00F1653C" w:rsidRPr="00E22450">
        <w:rPr>
          <w:lang w:val="pl-PL"/>
        </w:rPr>
        <w:t xml:space="preserve"> i</w:t>
      </w:r>
      <w:r w:rsidR="00F1653C">
        <w:rPr>
          <w:lang w:val="pl-PL"/>
        </w:rPr>
        <w:t> </w:t>
      </w:r>
      <w:r w:rsidR="00F1653C" w:rsidRPr="00E22450">
        <w:rPr>
          <w:lang w:val="pl-PL"/>
        </w:rPr>
        <w:t>gos</w:t>
      </w:r>
      <w:r w:rsidRPr="00E22450">
        <w:rPr>
          <w:lang w:val="pl-PL"/>
        </w:rPr>
        <w:t xml:space="preserve">podarczego punktu widzenia] (europa.eu) oraz ERRS (2022) </w:t>
      </w:r>
      <w:hyperlink r:id="rId59" w:history="1">
        <w:r w:rsidRPr="00E22450">
          <w:rPr>
            <w:rStyle w:val="Hyperlink"/>
            <w:lang w:val="pl-PL"/>
          </w:rPr>
          <w:t>The market for short-term debt securities in Europe:</w:t>
        </w:r>
      </w:hyperlink>
      <w:hyperlink r:id="rId60" w:history="1">
        <w:r w:rsidRPr="00E22450">
          <w:rPr>
            <w:rStyle w:val="Hyperlink"/>
            <w:lang w:val="pl-PL"/>
          </w:rPr>
          <w:t xml:space="preserve"> what we know and what we do not know (europa.eu)</w:t>
        </w:r>
      </w:hyperlink>
      <w:r w:rsidRPr="00E22450">
        <w:rPr>
          <w:lang w:val="pl-PL"/>
        </w:rPr>
        <w:t xml:space="preserve"> [Rynek krótkoterminowych papierów dłużnych</w:t>
      </w:r>
      <w:r w:rsidR="00F1653C" w:rsidRPr="00E22450">
        <w:rPr>
          <w:lang w:val="pl-PL"/>
        </w:rPr>
        <w:t xml:space="preserve"> w</w:t>
      </w:r>
      <w:r w:rsidR="00F1653C">
        <w:rPr>
          <w:lang w:val="pl-PL"/>
        </w:rPr>
        <w:t> </w:t>
      </w:r>
      <w:r w:rsidR="00F1653C" w:rsidRPr="00E22450">
        <w:rPr>
          <w:lang w:val="pl-PL"/>
        </w:rPr>
        <w:t>Eur</w:t>
      </w:r>
      <w:r w:rsidRPr="00E22450">
        <w:rPr>
          <w:lang w:val="pl-PL"/>
        </w:rPr>
        <w:t xml:space="preserve">opie: what we know and what we do not know]. </w:t>
      </w:r>
    </w:p>
  </w:footnote>
  <w:footnote w:id="56">
    <w:p w14:paraId="3A805830" w14:textId="131D0008" w:rsidR="00241024" w:rsidRPr="00E22450" w:rsidRDefault="00241024" w:rsidP="00C64A13">
      <w:pPr>
        <w:pStyle w:val="FootnoteText"/>
        <w:rPr>
          <w:lang w:val="pl-PL"/>
        </w:rPr>
      </w:pPr>
      <w:r>
        <w:rPr>
          <w:rStyle w:val="FootnoteReference"/>
        </w:rPr>
        <w:footnoteRef/>
      </w:r>
      <w:r w:rsidRPr="00E22450">
        <w:rPr>
          <w:lang w:val="pl-PL"/>
        </w:rPr>
        <w:t xml:space="preserve"> Rada Stabilności Finansowej rozważa również opracowanie wykazu działań dotyczących praktyk</w:t>
      </w:r>
      <w:r w:rsidR="00F1653C" w:rsidRPr="00E22450">
        <w:rPr>
          <w:lang w:val="pl-PL"/>
        </w:rPr>
        <w:t xml:space="preserve"> w</w:t>
      </w:r>
      <w:r w:rsidR="00F1653C">
        <w:rPr>
          <w:lang w:val="pl-PL"/>
        </w:rPr>
        <w:t> </w:t>
      </w:r>
      <w:r w:rsidR="00F1653C" w:rsidRPr="00E22450">
        <w:rPr>
          <w:lang w:val="pl-PL"/>
        </w:rPr>
        <w:t>zak</w:t>
      </w:r>
      <w:r w:rsidRPr="00E22450">
        <w:rPr>
          <w:lang w:val="pl-PL"/>
        </w:rPr>
        <w:t>resie depozytów zabezpieczających zarówno dla użytkowników (gotowość do obsługi depozytów zabezpieczających), jak</w:t>
      </w:r>
      <w:r w:rsidR="00F1653C" w:rsidRPr="00E22450">
        <w:rPr>
          <w:lang w:val="pl-PL"/>
        </w:rPr>
        <w:t xml:space="preserve"> i</w:t>
      </w:r>
      <w:r w:rsidR="00F1653C">
        <w:rPr>
          <w:lang w:val="pl-PL"/>
        </w:rPr>
        <w:t> </w:t>
      </w:r>
      <w:r w:rsidR="00F1653C" w:rsidRPr="00E22450">
        <w:rPr>
          <w:lang w:val="pl-PL"/>
        </w:rPr>
        <w:t>ope</w:t>
      </w:r>
      <w:r w:rsidRPr="00E22450">
        <w:rPr>
          <w:lang w:val="pl-PL"/>
        </w:rPr>
        <w:t>ratorów infrastruktury rynkowej,</w:t>
      </w:r>
      <w:r w:rsidR="00F1653C" w:rsidRPr="00E22450">
        <w:rPr>
          <w:lang w:val="pl-PL"/>
        </w:rPr>
        <w:t xml:space="preserve"> z</w:t>
      </w:r>
      <w:r w:rsidR="00F1653C">
        <w:rPr>
          <w:lang w:val="pl-PL"/>
        </w:rPr>
        <w:t> </w:t>
      </w:r>
      <w:r w:rsidR="00F1653C" w:rsidRPr="00E22450">
        <w:rPr>
          <w:lang w:val="pl-PL"/>
        </w:rPr>
        <w:t>któ</w:t>
      </w:r>
      <w:r w:rsidRPr="00E22450">
        <w:rPr>
          <w:lang w:val="pl-PL"/>
        </w:rPr>
        <w:t>rych część została już uwzględniona</w:t>
      </w:r>
      <w:r w:rsidR="00F1653C" w:rsidRPr="00E22450">
        <w:rPr>
          <w:lang w:val="pl-PL"/>
        </w:rPr>
        <w:t xml:space="preserve"> w</w:t>
      </w:r>
      <w:r w:rsidR="00F1653C">
        <w:rPr>
          <w:lang w:val="pl-PL"/>
        </w:rPr>
        <w:t> </w:t>
      </w:r>
      <w:r w:rsidR="00F1653C" w:rsidRPr="00E22450">
        <w:rPr>
          <w:lang w:val="pl-PL"/>
        </w:rPr>
        <w:t>ram</w:t>
      </w:r>
      <w:r w:rsidRPr="00E22450">
        <w:rPr>
          <w:lang w:val="pl-PL"/>
        </w:rPr>
        <w:t xml:space="preserve">ach EMIR. Zob. Rada Stabilności Finansowej (2022), </w:t>
      </w:r>
      <w:hyperlink r:id="rId61" w:history="1">
        <w:r w:rsidRPr="00E22450">
          <w:rPr>
            <w:rStyle w:val="Hyperlink"/>
            <w:lang w:val="pl-PL"/>
          </w:rPr>
          <w:t>Enhancing the Resilience of Non-Bank Financial Intermediation:</w:t>
        </w:r>
      </w:hyperlink>
      <w:hyperlink r:id="rId62" w:history="1">
        <w:r w:rsidRPr="00E22450">
          <w:rPr>
            <w:rStyle w:val="Hyperlink"/>
            <w:lang w:val="pl-PL"/>
          </w:rPr>
          <w:t xml:space="preserve"> Progress report</w:t>
        </w:r>
      </w:hyperlink>
      <w:r w:rsidRPr="00E22450">
        <w:rPr>
          <w:lang w:val="pl-PL"/>
        </w:rPr>
        <w:t xml:space="preserve"> [Zwiększenie odporności pozabankowego pośrednictwa finansowego: Sprawozdanie</w:t>
      </w:r>
      <w:r w:rsidR="00F1653C" w:rsidRPr="00E22450">
        <w:rPr>
          <w:lang w:val="pl-PL"/>
        </w:rPr>
        <w:t xml:space="preserve"> z</w:t>
      </w:r>
      <w:r w:rsidR="00F1653C">
        <w:rPr>
          <w:lang w:val="pl-PL"/>
        </w:rPr>
        <w:t> </w:t>
      </w:r>
      <w:r w:rsidR="00F1653C" w:rsidRPr="00E22450">
        <w:rPr>
          <w:lang w:val="pl-PL"/>
        </w:rPr>
        <w:t>pos</w:t>
      </w:r>
      <w:r w:rsidRPr="00E22450">
        <w:rPr>
          <w:lang w:val="pl-PL"/>
        </w:rPr>
        <w:t xml:space="preserve">tępów] (fsb.org), s. 25. </w:t>
      </w:r>
    </w:p>
  </w:footnote>
  <w:footnote w:id="57">
    <w:p w14:paraId="7FC931D9" w14:textId="360AAAF2" w:rsidR="00B10513" w:rsidRPr="00E22450" w:rsidRDefault="00B10513" w:rsidP="00C64A13">
      <w:pPr>
        <w:pStyle w:val="FootnoteText"/>
        <w:rPr>
          <w:lang w:val="pl-PL"/>
        </w:rPr>
      </w:pPr>
      <w:r>
        <w:rPr>
          <w:rStyle w:val="FootnoteReference"/>
        </w:rPr>
        <w:footnoteRef/>
      </w:r>
      <w:r w:rsidRPr="00E22450">
        <w:rPr>
          <w:lang w:val="pl-PL"/>
        </w:rPr>
        <w:t xml:space="preserve"> Aby uzyskać więcej szczegółowych informacji, zob. ESMA (2022), </w:t>
      </w:r>
      <w:hyperlink r:id="rId63" w:history="1">
        <w:r w:rsidRPr="00E22450">
          <w:rPr>
            <w:rStyle w:val="Hyperlink"/>
            <w:lang w:val="pl-PL"/>
          </w:rPr>
          <w:t xml:space="preserve">ESMA publishes </w:t>
        </w:r>
        <w:r w:rsidRPr="00E22450">
          <w:rPr>
            <w:rStyle w:val="Hyperlink"/>
            <w:i/>
            <w:iCs/>
            <w:lang w:val="pl-PL"/>
          </w:rPr>
          <w:t>ex pos</w:t>
        </w:r>
        <w:r w:rsidRPr="00E22450">
          <w:rPr>
            <w:rStyle w:val="Hyperlink"/>
            <w:lang w:val="pl-PL"/>
          </w:rPr>
          <w:t>t analysis of derivatives risks in Archegos (europa.eu)</w:t>
        </w:r>
      </w:hyperlink>
      <w:r w:rsidRPr="00E22450">
        <w:rPr>
          <w:lang w:val="pl-PL"/>
        </w:rPr>
        <w:t xml:space="preserve"> [ESMA publikuje analizę </w:t>
      </w:r>
      <w:r w:rsidRPr="00E22450">
        <w:rPr>
          <w:i/>
          <w:iCs/>
          <w:lang w:val="pl-PL"/>
        </w:rPr>
        <w:t>ex post</w:t>
      </w:r>
      <w:r w:rsidRPr="00E22450">
        <w:rPr>
          <w:lang w:val="pl-PL"/>
        </w:rPr>
        <w:t xml:space="preserve"> ryzyka związanego</w:t>
      </w:r>
      <w:r w:rsidR="00F1653C" w:rsidRPr="00E22450">
        <w:rPr>
          <w:lang w:val="pl-PL"/>
        </w:rPr>
        <w:t xml:space="preserve"> z</w:t>
      </w:r>
      <w:r w:rsidR="00F1653C">
        <w:rPr>
          <w:lang w:val="pl-PL"/>
        </w:rPr>
        <w:t> </w:t>
      </w:r>
      <w:r w:rsidR="00F1653C" w:rsidRPr="00E22450">
        <w:rPr>
          <w:lang w:val="pl-PL"/>
        </w:rPr>
        <w:t>ins</w:t>
      </w:r>
      <w:r w:rsidRPr="00E22450">
        <w:rPr>
          <w:lang w:val="pl-PL"/>
        </w:rPr>
        <w:t>trumentami pochodnymi</w:t>
      </w:r>
      <w:r w:rsidR="00F1653C" w:rsidRPr="00E22450">
        <w:rPr>
          <w:lang w:val="pl-PL"/>
        </w:rPr>
        <w:t xml:space="preserve"> w</w:t>
      </w:r>
      <w:r w:rsidR="00F1653C">
        <w:rPr>
          <w:lang w:val="pl-PL"/>
        </w:rPr>
        <w:t> </w:t>
      </w:r>
      <w:r w:rsidR="00F1653C" w:rsidRPr="00E22450">
        <w:rPr>
          <w:lang w:val="pl-PL"/>
        </w:rPr>
        <w:t>Arc</w:t>
      </w:r>
      <w:r w:rsidRPr="00E22450">
        <w:rPr>
          <w:lang w:val="pl-PL"/>
        </w:rPr>
        <w:t>hegos].</w:t>
      </w:r>
    </w:p>
  </w:footnote>
  <w:footnote w:id="58">
    <w:p w14:paraId="7B83ABFF" w14:textId="4BAF6877" w:rsidR="0029368A" w:rsidRPr="00E22450" w:rsidRDefault="0029368A" w:rsidP="00C64A13">
      <w:pPr>
        <w:pStyle w:val="FootnoteText"/>
        <w:rPr>
          <w:lang w:val="pl-PL"/>
        </w:rPr>
      </w:pPr>
      <w:r>
        <w:rPr>
          <w:rStyle w:val="FootnoteReference"/>
        </w:rPr>
        <w:footnoteRef/>
      </w:r>
      <w:r w:rsidRPr="00E22450">
        <w:rPr>
          <w:lang w:val="pl-PL"/>
        </w:rPr>
        <w:t xml:space="preserve"> Zob. Rada Stabilności Finansowej (2023) </w:t>
      </w:r>
      <w:hyperlink r:id="rId64" w:history="1">
        <w:r w:rsidRPr="00E22450">
          <w:rPr>
            <w:rStyle w:val="Hyperlink"/>
            <w:lang w:val="pl-PL"/>
          </w:rPr>
          <w:t>The Financial Stability Implications of Leverage in Non-Bank Financial Intermediation – Financial Stability Board (fsb.org)</w:t>
        </w:r>
      </w:hyperlink>
      <w:r w:rsidRPr="00E22450">
        <w:rPr>
          <w:lang w:val="pl-PL"/>
        </w:rPr>
        <w:t xml:space="preserve"> [Skutki lewarowania</w:t>
      </w:r>
      <w:r w:rsidR="00F1653C" w:rsidRPr="00E22450">
        <w:rPr>
          <w:lang w:val="pl-PL"/>
        </w:rPr>
        <w:t xml:space="preserve"> w</w:t>
      </w:r>
      <w:r w:rsidR="00F1653C">
        <w:rPr>
          <w:lang w:val="pl-PL"/>
        </w:rPr>
        <w:t> </w:t>
      </w:r>
      <w:r w:rsidR="00F1653C" w:rsidRPr="00E22450">
        <w:rPr>
          <w:lang w:val="pl-PL"/>
        </w:rPr>
        <w:t>poz</w:t>
      </w:r>
      <w:r w:rsidRPr="00E22450">
        <w:rPr>
          <w:lang w:val="pl-PL"/>
        </w:rPr>
        <w:t>abankowym pośrednictwie finansowym</w:t>
      </w:r>
      <w:r w:rsidR="00F1653C" w:rsidRPr="00E22450">
        <w:rPr>
          <w:lang w:val="pl-PL"/>
        </w:rPr>
        <w:t xml:space="preserve"> a</w:t>
      </w:r>
      <w:r w:rsidR="00F1653C">
        <w:rPr>
          <w:lang w:val="pl-PL"/>
        </w:rPr>
        <w:t> </w:t>
      </w:r>
      <w:r w:rsidR="00F1653C" w:rsidRPr="00E22450">
        <w:rPr>
          <w:lang w:val="pl-PL"/>
        </w:rPr>
        <w:t>sta</w:t>
      </w:r>
      <w:r w:rsidRPr="00E22450">
        <w:rPr>
          <w:lang w:val="pl-PL"/>
        </w:rPr>
        <w:t>bilność finansowa – Rada Stabilności Finansowej].</w:t>
      </w:r>
    </w:p>
  </w:footnote>
  <w:footnote w:id="59">
    <w:p w14:paraId="63CE90CE" w14:textId="1BEC867A" w:rsidR="008F57E7" w:rsidRPr="00E22450" w:rsidRDefault="008F57E7" w:rsidP="00C64A13">
      <w:pPr>
        <w:pStyle w:val="FootnoteText"/>
        <w:rPr>
          <w:lang w:val="pl-PL"/>
        </w:rPr>
      </w:pPr>
      <w:r>
        <w:rPr>
          <w:rStyle w:val="FootnoteReference"/>
        </w:rPr>
        <w:footnoteRef/>
      </w:r>
      <w:r w:rsidRPr="00E22450">
        <w:rPr>
          <w:lang w:val="pl-PL"/>
        </w:rPr>
        <w:t xml:space="preserve"> W grudniu 20</w:t>
      </w:r>
      <w:r w:rsidRPr="00F1653C">
        <w:rPr>
          <w:lang w:val="pl-PL"/>
        </w:rPr>
        <w:t>21</w:t>
      </w:r>
      <w:r w:rsidR="00F1653C" w:rsidRPr="00F1653C">
        <w:rPr>
          <w:lang w:val="pl-PL"/>
        </w:rPr>
        <w:t> </w:t>
      </w:r>
      <w:r w:rsidRPr="00F1653C">
        <w:rPr>
          <w:lang w:val="pl-PL"/>
        </w:rPr>
        <w:t>r.</w:t>
      </w:r>
      <w:r w:rsidRPr="00E22450">
        <w:rPr>
          <w:lang w:val="pl-PL"/>
        </w:rPr>
        <w:t xml:space="preserve"> Komisja Europejska przyjęła również szerszą </w:t>
      </w:r>
      <w:hyperlink r:id="rId65" w:history="1">
        <w:r w:rsidRPr="00E22450">
          <w:rPr>
            <w:rStyle w:val="Hyperlink"/>
            <w:lang w:val="pl-PL"/>
          </w:rPr>
          <w:t>strategię dotyczącą danych nadzorczych</w:t>
        </w:r>
        <w:r w:rsidR="00F1653C" w:rsidRPr="00E22450">
          <w:rPr>
            <w:rStyle w:val="Hyperlink"/>
            <w:lang w:val="pl-PL"/>
          </w:rPr>
          <w:t xml:space="preserve"> w</w:t>
        </w:r>
        <w:r w:rsidR="00F1653C">
          <w:rPr>
            <w:rStyle w:val="Hyperlink"/>
            <w:lang w:val="pl-PL"/>
          </w:rPr>
          <w:t> </w:t>
        </w:r>
        <w:r w:rsidR="00F1653C" w:rsidRPr="00E22450">
          <w:rPr>
            <w:rStyle w:val="Hyperlink"/>
            <w:lang w:val="pl-PL"/>
          </w:rPr>
          <w:t>usł</w:t>
        </w:r>
        <w:r w:rsidRPr="00E22450">
          <w:rPr>
            <w:rStyle w:val="Hyperlink"/>
            <w:lang w:val="pl-PL"/>
          </w:rPr>
          <w:t>ugach finansowych UE (europa.eu)</w:t>
        </w:r>
      </w:hyperlink>
      <w:r w:rsidRPr="00E22450">
        <w:rPr>
          <w:lang w:val="pl-PL"/>
        </w:rPr>
        <w:t>, której celem jest udostępnianie</w:t>
      </w:r>
      <w:r w:rsidR="00F1653C" w:rsidRPr="00E22450">
        <w:rPr>
          <w:lang w:val="pl-PL"/>
        </w:rPr>
        <w:t xml:space="preserve"> i</w:t>
      </w:r>
      <w:r w:rsidR="00F1653C">
        <w:rPr>
          <w:lang w:val="pl-PL"/>
        </w:rPr>
        <w:t> </w:t>
      </w:r>
      <w:r w:rsidR="00F1653C" w:rsidRPr="00E22450">
        <w:rPr>
          <w:lang w:val="pl-PL"/>
        </w:rPr>
        <w:t>pon</w:t>
      </w:r>
      <w:r w:rsidRPr="00E22450">
        <w:rPr>
          <w:lang w:val="pl-PL"/>
        </w:rPr>
        <w:t>owne wykorzystywanie danych nadzorczych</w:t>
      </w:r>
      <w:r w:rsidR="00F1653C" w:rsidRPr="00E22450">
        <w:rPr>
          <w:lang w:val="pl-PL"/>
        </w:rPr>
        <w:t xml:space="preserve"> w</w:t>
      </w:r>
      <w:r w:rsidR="00F1653C">
        <w:rPr>
          <w:lang w:val="pl-PL"/>
        </w:rPr>
        <w:t> </w:t>
      </w:r>
      <w:r w:rsidR="00F1653C" w:rsidRPr="00E22450">
        <w:rPr>
          <w:lang w:val="pl-PL"/>
        </w:rPr>
        <w:t>cał</w:t>
      </w:r>
      <w:r w:rsidRPr="00E22450">
        <w:rPr>
          <w:lang w:val="pl-PL"/>
        </w:rPr>
        <w:t>ym systemie finansowym.</w:t>
      </w:r>
    </w:p>
  </w:footnote>
  <w:footnote w:id="60">
    <w:p w14:paraId="68C404EC" w14:textId="675231BA" w:rsidR="00241024" w:rsidRPr="00F1653C" w:rsidRDefault="00241024" w:rsidP="00C64A13">
      <w:pPr>
        <w:pStyle w:val="FootnoteText"/>
        <w:rPr>
          <w:lang w:val="pl-PL"/>
        </w:rPr>
      </w:pPr>
      <w:r>
        <w:rPr>
          <w:rStyle w:val="FootnoteReference"/>
        </w:rPr>
        <w:footnoteRef/>
      </w:r>
      <w:r w:rsidRPr="00E22450">
        <w:rPr>
          <w:lang w:val="pl-PL"/>
        </w:rPr>
        <w:t xml:space="preserve"> Rozważa się m.in. uwzględnienie nowych wskaźników pomiaru dźwigni finansowej dostosowanych do różnych NBFI,</w:t>
      </w:r>
      <w:r w:rsidR="00F1653C" w:rsidRPr="00E22450">
        <w:rPr>
          <w:lang w:val="pl-PL"/>
        </w:rPr>
        <w:t xml:space="preserve"> w</w:t>
      </w:r>
      <w:r w:rsidR="00F1653C">
        <w:rPr>
          <w:lang w:val="pl-PL"/>
        </w:rPr>
        <w:t> </w:t>
      </w:r>
      <w:r w:rsidR="00F1653C" w:rsidRPr="00E22450">
        <w:rPr>
          <w:lang w:val="pl-PL"/>
        </w:rPr>
        <w:t>szc</w:t>
      </w:r>
      <w:r w:rsidRPr="00E22450">
        <w:rPr>
          <w:lang w:val="pl-PL"/>
        </w:rPr>
        <w:t>zególności tych wprowadzonych</w:t>
      </w:r>
      <w:r w:rsidR="00F1653C" w:rsidRPr="00E22450">
        <w:rPr>
          <w:lang w:val="pl-PL"/>
        </w:rPr>
        <w:t xml:space="preserve"> w</w:t>
      </w:r>
      <w:r w:rsidR="00F1653C">
        <w:rPr>
          <w:lang w:val="pl-PL"/>
        </w:rPr>
        <w:t> </w:t>
      </w:r>
      <w:r w:rsidR="00F1653C" w:rsidRPr="00E22450">
        <w:rPr>
          <w:lang w:val="pl-PL"/>
        </w:rPr>
        <w:t>ram</w:t>
      </w:r>
      <w:r w:rsidRPr="00E22450">
        <w:rPr>
          <w:lang w:val="pl-PL"/>
        </w:rPr>
        <w:t>ach działań pozabilansowych, takich jak ukierunkowane pozabilansowe instrumenty pochodne lub transakcje finansowane</w:t>
      </w:r>
      <w:r w:rsidR="00F1653C" w:rsidRPr="00E22450">
        <w:rPr>
          <w:lang w:val="pl-PL"/>
        </w:rPr>
        <w:t xml:space="preserve"> z</w:t>
      </w:r>
      <w:r w:rsidR="00F1653C">
        <w:rPr>
          <w:lang w:val="pl-PL"/>
        </w:rPr>
        <w:t> </w:t>
      </w:r>
      <w:r w:rsidR="00F1653C" w:rsidRPr="00E22450">
        <w:rPr>
          <w:lang w:val="pl-PL"/>
        </w:rPr>
        <w:t>uży</w:t>
      </w:r>
      <w:r w:rsidRPr="00E22450">
        <w:rPr>
          <w:lang w:val="pl-PL"/>
        </w:rPr>
        <w:t>ciem papierów wartościowych. Chodzi na przykład</w:t>
      </w:r>
      <w:r w:rsidR="00F1653C" w:rsidRPr="00E22450">
        <w:rPr>
          <w:lang w:val="pl-PL"/>
        </w:rPr>
        <w:t xml:space="preserve"> o</w:t>
      </w:r>
      <w:r w:rsidR="00F1653C">
        <w:rPr>
          <w:lang w:val="pl-PL"/>
        </w:rPr>
        <w:t> </w:t>
      </w:r>
      <w:r w:rsidR="00F1653C" w:rsidRPr="00E22450">
        <w:rPr>
          <w:lang w:val="pl-PL"/>
        </w:rPr>
        <w:t>inf</w:t>
      </w:r>
      <w:r w:rsidRPr="00E22450">
        <w:rPr>
          <w:lang w:val="pl-PL"/>
        </w:rPr>
        <w:t>ormacje,</w:t>
      </w:r>
      <w:r w:rsidR="00F1653C" w:rsidRPr="00E22450">
        <w:rPr>
          <w:lang w:val="pl-PL"/>
        </w:rPr>
        <w:t xml:space="preserve"> w</w:t>
      </w:r>
      <w:r w:rsidR="00F1653C">
        <w:rPr>
          <w:lang w:val="pl-PL"/>
        </w:rPr>
        <w:t> </w:t>
      </w:r>
      <w:r w:rsidR="00F1653C" w:rsidRPr="00E22450">
        <w:rPr>
          <w:lang w:val="pl-PL"/>
        </w:rPr>
        <w:t>jak</w:t>
      </w:r>
      <w:r w:rsidRPr="00E22450">
        <w:rPr>
          <w:lang w:val="pl-PL"/>
        </w:rPr>
        <w:t>im stopniu transakcje obejmujące złożone zabezpieczenie są wykazywane</w:t>
      </w:r>
      <w:r w:rsidR="00F1653C" w:rsidRPr="00E22450">
        <w:rPr>
          <w:lang w:val="pl-PL"/>
        </w:rPr>
        <w:t xml:space="preserve"> w</w:t>
      </w:r>
      <w:r w:rsidR="00F1653C">
        <w:rPr>
          <w:lang w:val="pl-PL"/>
        </w:rPr>
        <w:t> </w:t>
      </w:r>
      <w:r w:rsidR="00F1653C" w:rsidRPr="00E22450">
        <w:rPr>
          <w:lang w:val="pl-PL"/>
        </w:rPr>
        <w:t>bil</w:t>
      </w:r>
      <w:r w:rsidRPr="00E22450">
        <w:rPr>
          <w:lang w:val="pl-PL"/>
        </w:rPr>
        <w:t>ansie NBFI oraz</w:t>
      </w:r>
      <w:r w:rsidR="00F1653C" w:rsidRPr="00E22450">
        <w:rPr>
          <w:lang w:val="pl-PL"/>
        </w:rPr>
        <w:t xml:space="preserve"> w</w:t>
      </w:r>
      <w:r w:rsidR="00F1653C">
        <w:rPr>
          <w:lang w:val="pl-PL"/>
        </w:rPr>
        <w:t> </w:t>
      </w:r>
      <w:r w:rsidR="00F1653C" w:rsidRPr="00E22450">
        <w:rPr>
          <w:lang w:val="pl-PL"/>
        </w:rPr>
        <w:t>jak</w:t>
      </w:r>
      <w:r w:rsidRPr="00E22450">
        <w:rPr>
          <w:lang w:val="pl-PL"/>
        </w:rPr>
        <w:t>i sposób można uzgodnić te pozycje przy zastosowaniu obecnych wymogów sprawozdawczych</w:t>
      </w:r>
      <w:r w:rsidRPr="00F1653C">
        <w:rPr>
          <w:lang w:val="pl-PL"/>
        </w:rPr>
        <w:t>.</w:t>
      </w:r>
      <w:r w:rsidR="00F1653C" w:rsidRPr="00F1653C">
        <w:rPr>
          <w:lang w:val="pl-PL"/>
        </w:rPr>
        <w:t xml:space="preserve"> </w:t>
      </w:r>
    </w:p>
  </w:footnote>
  <w:footnote w:id="61">
    <w:p w14:paraId="42FDC99F" w14:textId="602C351A" w:rsidR="00241024" w:rsidRPr="00E22450" w:rsidRDefault="00241024" w:rsidP="00C64A13">
      <w:pPr>
        <w:pStyle w:val="FootnoteText"/>
        <w:rPr>
          <w:lang w:val="pl-PL"/>
        </w:rPr>
      </w:pPr>
      <w:r>
        <w:rPr>
          <w:rStyle w:val="FootnoteReference"/>
        </w:rPr>
        <w:footnoteRef/>
      </w:r>
      <w:r w:rsidRPr="00E22450">
        <w:rPr>
          <w:lang w:val="pl-PL"/>
        </w:rPr>
        <w:t xml:space="preserve"> ERRS (2022), </w:t>
      </w:r>
      <w:hyperlink r:id="rId66" w:history="1">
        <w:r w:rsidRPr="00E22450">
          <w:rPr>
            <w:rStyle w:val="Hyperlink"/>
            <w:lang w:val="pl-PL"/>
          </w:rPr>
          <w:t>„EU Non-bank Financial Intermediation Risk Monitor 2022” (europa.eu)</w:t>
        </w:r>
      </w:hyperlink>
      <w:r w:rsidRPr="00E22450">
        <w:rPr>
          <w:lang w:val="pl-PL"/>
        </w:rPr>
        <w:t xml:space="preserve"> [Unijne pozabankowe ramy monitorowania ryzyka pośrednictwa finansowego 2022], lipiec 20</w:t>
      </w:r>
      <w:r w:rsidRPr="00F1653C">
        <w:rPr>
          <w:lang w:val="pl-PL"/>
        </w:rPr>
        <w:t>22</w:t>
      </w:r>
      <w:r w:rsidR="00F1653C" w:rsidRPr="00F1653C">
        <w:rPr>
          <w:lang w:val="pl-PL"/>
        </w:rPr>
        <w:t> </w:t>
      </w:r>
      <w:r w:rsidRPr="00F1653C">
        <w:rPr>
          <w:lang w:val="pl-PL"/>
        </w:rPr>
        <w:t>r.</w:t>
      </w:r>
      <w:r w:rsidRPr="00E22450">
        <w:rPr>
          <w:lang w:val="pl-PL"/>
        </w:rPr>
        <w:t xml:space="preserve"> </w:t>
      </w:r>
    </w:p>
  </w:footnote>
  <w:footnote w:id="62">
    <w:p w14:paraId="1D2CA438" w14:textId="032A1445" w:rsidR="00241024" w:rsidRPr="00E22450" w:rsidRDefault="00241024" w:rsidP="00C64A13">
      <w:pPr>
        <w:pStyle w:val="FootnoteText"/>
        <w:rPr>
          <w:lang w:val="pl-PL"/>
        </w:rPr>
      </w:pPr>
      <w:r>
        <w:rPr>
          <w:rStyle w:val="FootnoteReference"/>
        </w:rPr>
        <w:footnoteRef/>
      </w:r>
      <w:r w:rsidRPr="00E22450">
        <w:rPr>
          <w:lang w:val="pl-PL"/>
        </w:rPr>
        <w:t xml:space="preserve"> Zob. EBC, „Financial Stability Review” [„Przegląd stabilności finansowej”], </w:t>
      </w:r>
      <w:r w:rsidRPr="00F1653C">
        <w:rPr>
          <w:lang w:val="pl-PL"/>
        </w:rPr>
        <w:t>maj</w:t>
      </w:r>
      <w:r w:rsidR="00F1653C" w:rsidRPr="00F1653C">
        <w:rPr>
          <w:lang w:val="pl-PL"/>
        </w:rPr>
        <w:t> </w:t>
      </w:r>
      <w:r w:rsidRPr="00F1653C">
        <w:rPr>
          <w:lang w:val="pl-PL"/>
        </w:rPr>
        <w:t>2</w:t>
      </w:r>
      <w:r w:rsidRPr="00E22450">
        <w:rPr>
          <w:lang w:val="pl-PL"/>
        </w:rPr>
        <w:t>0</w:t>
      </w:r>
      <w:r w:rsidRPr="00F1653C">
        <w:rPr>
          <w:lang w:val="pl-PL"/>
        </w:rPr>
        <w:t>23</w:t>
      </w:r>
      <w:r w:rsidR="00F1653C" w:rsidRPr="00F1653C">
        <w:rPr>
          <w:lang w:val="pl-PL"/>
        </w:rPr>
        <w:t> </w:t>
      </w:r>
      <w:r w:rsidRPr="00F1653C">
        <w:rPr>
          <w:lang w:val="pl-PL"/>
        </w:rPr>
        <w:t>r.</w:t>
      </w:r>
      <w:r w:rsidRPr="00E22450">
        <w:rPr>
          <w:lang w:val="pl-PL"/>
        </w:rPr>
        <w:t>, dodatek specjalny „Key linkages between banks and the non-bank financial sector” [Kluczowe powiązania między bankami</w:t>
      </w:r>
      <w:r w:rsidR="00F1653C" w:rsidRPr="00E22450">
        <w:rPr>
          <w:lang w:val="pl-PL"/>
        </w:rPr>
        <w:t xml:space="preserve"> a</w:t>
      </w:r>
      <w:r w:rsidR="00F1653C">
        <w:rPr>
          <w:lang w:val="pl-PL"/>
        </w:rPr>
        <w:t> </w:t>
      </w:r>
      <w:r w:rsidR="00F1653C" w:rsidRPr="00E22450">
        <w:rPr>
          <w:lang w:val="pl-PL"/>
        </w:rPr>
        <w:t>poz</w:t>
      </w:r>
      <w:r w:rsidRPr="00E22450">
        <w:rPr>
          <w:lang w:val="pl-PL"/>
        </w:rPr>
        <w:t xml:space="preserve">abankowym sektorem finansowym].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EB356" w14:textId="77777777" w:rsidR="008028FF" w:rsidRPr="008028FF" w:rsidRDefault="008028FF" w:rsidP="008028FF">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7E7D3" w14:textId="77777777" w:rsidR="008028FF" w:rsidRPr="008028FF" w:rsidRDefault="008028FF" w:rsidP="008028F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5757C" w14:textId="77777777" w:rsidR="008028FF" w:rsidRPr="008028FF" w:rsidRDefault="008028FF" w:rsidP="008028F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10DB3" w14:textId="77777777" w:rsidR="00FA5994" w:rsidRDefault="00FA59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F51DCF" w14:paraId="656AF1E5" w14:textId="77777777" w:rsidTr="00BE2F17">
      <w:trPr>
        <w:trHeight w:val="300"/>
      </w:trPr>
      <w:tc>
        <w:tcPr>
          <w:tcW w:w="3120" w:type="dxa"/>
        </w:tcPr>
        <w:p w14:paraId="76DE7DC9" w14:textId="77777777" w:rsidR="00F51DCF" w:rsidRDefault="00F51DCF" w:rsidP="00BE2F17">
          <w:pPr>
            <w:pStyle w:val="Header"/>
            <w:ind w:left="-115"/>
            <w:jc w:val="left"/>
          </w:pPr>
        </w:p>
      </w:tc>
      <w:tc>
        <w:tcPr>
          <w:tcW w:w="3120" w:type="dxa"/>
        </w:tcPr>
        <w:p w14:paraId="508C7830" w14:textId="77777777" w:rsidR="00F51DCF" w:rsidRDefault="00F51DCF" w:rsidP="00BE2F17">
          <w:pPr>
            <w:pStyle w:val="Header"/>
            <w:jc w:val="center"/>
          </w:pPr>
        </w:p>
      </w:tc>
      <w:tc>
        <w:tcPr>
          <w:tcW w:w="3120" w:type="dxa"/>
        </w:tcPr>
        <w:p w14:paraId="37EBA021" w14:textId="77777777" w:rsidR="00F51DCF" w:rsidRDefault="00F51DCF" w:rsidP="00BE2F17">
          <w:pPr>
            <w:pStyle w:val="Header"/>
            <w:ind w:right="-115"/>
            <w:jc w:val="right"/>
          </w:pPr>
        </w:p>
      </w:tc>
    </w:tr>
  </w:tbl>
  <w:p w14:paraId="52CECB36" w14:textId="77777777" w:rsidR="00F51DCF" w:rsidRDefault="00F51D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0041A0" w14:paraId="61B6FAE3" w14:textId="77777777" w:rsidTr="00BE2F17">
      <w:trPr>
        <w:trHeight w:val="300"/>
      </w:trPr>
      <w:tc>
        <w:tcPr>
          <w:tcW w:w="3120" w:type="dxa"/>
        </w:tcPr>
        <w:p w14:paraId="2D301028" w14:textId="77777777" w:rsidR="000041A0" w:rsidRDefault="000041A0" w:rsidP="00BE2F17">
          <w:pPr>
            <w:pStyle w:val="Header"/>
            <w:ind w:left="-115"/>
            <w:jc w:val="left"/>
          </w:pPr>
        </w:p>
      </w:tc>
      <w:tc>
        <w:tcPr>
          <w:tcW w:w="3120" w:type="dxa"/>
        </w:tcPr>
        <w:p w14:paraId="27E8AC32" w14:textId="77777777" w:rsidR="000041A0" w:rsidRDefault="000041A0" w:rsidP="00BE2F17">
          <w:pPr>
            <w:pStyle w:val="Header"/>
            <w:jc w:val="center"/>
          </w:pPr>
        </w:p>
      </w:tc>
      <w:tc>
        <w:tcPr>
          <w:tcW w:w="3120" w:type="dxa"/>
        </w:tcPr>
        <w:p w14:paraId="2422AF97" w14:textId="77777777" w:rsidR="000041A0" w:rsidRDefault="000041A0" w:rsidP="00BE2F17">
          <w:pPr>
            <w:pStyle w:val="Header"/>
            <w:ind w:right="-115"/>
            <w:jc w:val="right"/>
          </w:pPr>
        </w:p>
      </w:tc>
    </w:tr>
  </w:tbl>
  <w:p w14:paraId="43C3B7CC" w14:textId="77777777" w:rsidR="000041A0" w:rsidRDefault="00004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0459D"/>
    <w:multiLevelType w:val="multilevel"/>
    <w:tmpl w:val="D6EA8B26"/>
    <w:lvl w:ilvl="0">
      <w:start w:val="3"/>
      <w:numFmt w:val="decimal"/>
      <w:lvlText w:val="%1"/>
      <w:lvlJc w:val="left"/>
      <w:pPr>
        <w:ind w:left="450" w:hanging="450"/>
      </w:pPr>
      <w:rPr>
        <w:rFonts w:hint="default"/>
      </w:rPr>
    </w:lvl>
    <w:lvl w:ilvl="1">
      <w:start w:val="4"/>
      <w:numFmt w:val="decimal"/>
      <w:lvlText w:val="%1.%2"/>
      <w:lvlJc w:val="left"/>
      <w:pPr>
        <w:ind w:left="688" w:hanging="45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434" w:hanging="72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270" w:hanging="1080"/>
      </w:pPr>
      <w:rPr>
        <w:rFonts w:hint="default"/>
      </w:rPr>
    </w:lvl>
    <w:lvl w:ilvl="6">
      <w:start w:val="1"/>
      <w:numFmt w:val="decimal"/>
      <w:lvlText w:val="%1.%2.%3.%4.%5.%6.%7"/>
      <w:lvlJc w:val="left"/>
      <w:pPr>
        <w:ind w:left="2868" w:hanging="1440"/>
      </w:pPr>
      <w:rPr>
        <w:rFonts w:hint="default"/>
      </w:rPr>
    </w:lvl>
    <w:lvl w:ilvl="7">
      <w:start w:val="1"/>
      <w:numFmt w:val="decimal"/>
      <w:lvlText w:val="%1.%2.%3.%4.%5.%6.%7.%8"/>
      <w:lvlJc w:val="left"/>
      <w:pPr>
        <w:ind w:left="3106" w:hanging="1440"/>
      </w:pPr>
      <w:rPr>
        <w:rFonts w:hint="default"/>
      </w:rPr>
    </w:lvl>
    <w:lvl w:ilvl="8">
      <w:start w:val="1"/>
      <w:numFmt w:val="decimal"/>
      <w:lvlText w:val="%1.%2.%3.%4.%5.%6.%7.%8.%9"/>
      <w:lvlJc w:val="left"/>
      <w:pPr>
        <w:ind w:left="3344" w:hanging="1440"/>
      </w:pPr>
      <w:rPr>
        <w:rFonts w:hint="default"/>
      </w:rPr>
    </w:lvl>
  </w:abstractNum>
  <w:abstractNum w:abstractNumId="1" w15:restartNumberingAfterBreak="0">
    <w:nsid w:val="13E74BDC"/>
    <w:multiLevelType w:val="hybridMultilevel"/>
    <w:tmpl w:val="76F63C3E"/>
    <w:lvl w:ilvl="0" w:tplc="5F46813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10544AC"/>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283A772E"/>
    <w:multiLevelType w:val="hybridMultilevel"/>
    <w:tmpl w:val="99BC6848"/>
    <w:lvl w:ilvl="0" w:tplc="B91856E2">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61E3EC"/>
    <w:multiLevelType w:val="hybridMultilevel"/>
    <w:tmpl w:val="FFFFFFFF"/>
    <w:lvl w:ilvl="0" w:tplc="8826A1DA">
      <w:start w:val="1"/>
      <w:numFmt w:val="upperRoman"/>
      <w:lvlText w:val="%1."/>
      <w:lvlJc w:val="left"/>
      <w:pPr>
        <w:ind w:left="1080" w:hanging="720"/>
      </w:pPr>
    </w:lvl>
    <w:lvl w:ilvl="1" w:tplc="BE206706">
      <w:start w:val="1"/>
      <w:numFmt w:val="lowerLetter"/>
      <w:lvlText w:val="%2."/>
      <w:lvlJc w:val="left"/>
      <w:pPr>
        <w:ind w:left="1440" w:hanging="360"/>
      </w:pPr>
    </w:lvl>
    <w:lvl w:ilvl="2" w:tplc="C38A0D0C">
      <w:start w:val="1"/>
      <w:numFmt w:val="lowerRoman"/>
      <w:lvlText w:val="%3."/>
      <w:lvlJc w:val="right"/>
      <w:pPr>
        <w:ind w:left="2160" w:hanging="180"/>
      </w:pPr>
    </w:lvl>
    <w:lvl w:ilvl="3" w:tplc="D220D070">
      <w:start w:val="1"/>
      <w:numFmt w:val="decimal"/>
      <w:lvlText w:val="%4."/>
      <w:lvlJc w:val="left"/>
      <w:pPr>
        <w:ind w:left="2880" w:hanging="360"/>
      </w:pPr>
    </w:lvl>
    <w:lvl w:ilvl="4" w:tplc="F96A1276">
      <w:start w:val="1"/>
      <w:numFmt w:val="lowerLetter"/>
      <w:lvlText w:val="%5."/>
      <w:lvlJc w:val="left"/>
      <w:pPr>
        <w:ind w:left="3600" w:hanging="360"/>
      </w:pPr>
    </w:lvl>
    <w:lvl w:ilvl="5" w:tplc="B156CB96">
      <w:start w:val="1"/>
      <w:numFmt w:val="lowerRoman"/>
      <w:lvlText w:val="%6."/>
      <w:lvlJc w:val="right"/>
      <w:pPr>
        <w:ind w:left="4320" w:hanging="180"/>
      </w:pPr>
    </w:lvl>
    <w:lvl w:ilvl="6" w:tplc="CFE05298">
      <w:start w:val="1"/>
      <w:numFmt w:val="decimal"/>
      <w:lvlText w:val="%7."/>
      <w:lvlJc w:val="left"/>
      <w:pPr>
        <w:ind w:left="5040" w:hanging="360"/>
      </w:pPr>
    </w:lvl>
    <w:lvl w:ilvl="7" w:tplc="EAF0770C">
      <w:start w:val="1"/>
      <w:numFmt w:val="lowerLetter"/>
      <w:lvlText w:val="%8."/>
      <w:lvlJc w:val="left"/>
      <w:pPr>
        <w:ind w:left="5760" w:hanging="360"/>
      </w:pPr>
    </w:lvl>
    <w:lvl w:ilvl="8" w:tplc="8542BFE6">
      <w:start w:val="1"/>
      <w:numFmt w:val="lowerRoman"/>
      <w:lvlText w:val="%9."/>
      <w:lvlJc w:val="right"/>
      <w:pPr>
        <w:ind w:left="6480" w:hanging="180"/>
      </w:pPr>
    </w:lvl>
  </w:abstractNum>
  <w:abstractNum w:abstractNumId="5" w15:restartNumberingAfterBreak="0">
    <w:nsid w:val="2D543B47"/>
    <w:multiLevelType w:val="hybridMultilevel"/>
    <w:tmpl w:val="776CEC42"/>
    <w:lvl w:ilvl="0" w:tplc="FFFFFFFF">
      <w:start w:val="1"/>
      <w:numFmt w:val="upperRoman"/>
      <w:lvlText w:val="%1."/>
      <w:lvlJc w:val="left"/>
      <w:pPr>
        <w:ind w:left="1080" w:hanging="72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06E2D56"/>
    <w:multiLevelType w:val="hybridMultilevel"/>
    <w:tmpl w:val="032619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8055961"/>
    <w:multiLevelType w:val="hybridMultilevel"/>
    <w:tmpl w:val="5A90E0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C061AAB"/>
    <w:multiLevelType w:val="hybridMultilevel"/>
    <w:tmpl w:val="FFFFFFFF"/>
    <w:lvl w:ilvl="0" w:tplc="CACED330">
      <w:start w:val="1"/>
      <w:numFmt w:val="decimal"/>
      <w:lvlText w:val="%1."/>
      <w:lvlJc w:val="left"/>
      <w:pPr>
        <w:ind w:left="720" w:hanging="360"/>
      </w:pPr>
    </w:lvl>
    <w:lvl w:ilvl="1" w:tplc="8EC2126C">
      <w:start w:val="1"/>
      <w:numFmt w:val="lowerLetter"/>
      <w:lvlText w:val="%2."/>
      <w:lvlJc w:val="left"/>
      <w:pPr>
        <w:ind w:left="1440" w:hanging="360"/>
      </w:pPr>
    </w:lvl>
    <w:lvl w:ilvl="2" w:tplc="187EE1AC">
      <w:start w:val="1"/>
      <w:numFmt w:val="lowerRoman"/>
      <w:lvlText w:val="%3."/>
      <w:lvlJc w:val="right"/>
      <w:pPr>
        <w:ind w:left="2160" w:hanging="180"/>
      </w:pPr>
    </w:lvl>
    <w:lvl w:ilvl="3" w:tplc="300A7C7C">
      <w:start w:val="1"/>
      <w:numFmt w:val="decimal"/>
      <w:lvlText w:val="%4."/>
      <w:lvlJc w:val="left"/>
      <w:pPr>
        <w:ind w:left="2880" w:hanging="360"/>
      </w:pPr>
    </w:lvl>
    <w:lvl w:ilvl="4" w:tplc="106085A0">
      <w:start w:val="1"/>
      <w:numFmt w:val="lowerLetter"/>
      <w:lvlText w:val="%5."/>
      <w:lvlJc w:val="left"/>
      <w:pPr>
        <w:ind w:left="3600" w:hanging="360"/>
      </w:pPr>
    </w:lvl>
    <w:lvl w:ilvl="5" w:tplc="DB90D49A">
      <w:start w:val="1"/>
      <w:numFmt w:val="lowerRoman"/>
      <w:lvlText w:val="%6."/>
      <w:lvlJc w:val="right"/>
      <w:pPr>
        <w:ind w:left="4320" w:hanging="180"/>
      </w:pPr>
    </w:lvl>
    <w:lvl w:ilvl="6" w:tplc="9D462314">
      <w:start w:val="1"/>
      <w:numFmt w:val="decimal"/>
      <w:lvlText w:val="%7."/>
      <w:lvlJc w:val="left"/>
      <w:pPr>
        <w:ind w:left="5040" w:hanging="360"/>
      </w:pPr>
    </w:lvl>
    <w:lvl w:ilvl="7" w:tplc="11C4E746">
      <w:start w:val="1"/>
      <w:numFmt w:val="lowerLetter"/>
      <w:lvlText w:val="%8."/>
      <w:lvlJc w:val="left"/>
      <w:pPr>
        <w:ind w:left="5760" w:hanging="360"/>
      </w:pPr>
    </w:lvl>
    <w:lvl w:ilvl="8" w:tplc="204E929C">
      <w:start w:val="1"/>
      <w:numFmt w:val="lowerRoman"/>
      <w:lvlText w:val="%9."/>
      <w:lvlJc w:val="right"/>
      <w:pPr>
        <w:ind w:left="6480" w:hanging="180"/>
      </w:pPr>
    </w:lvl>
  </w:abstractNum>
  <w:abstractNum w:abstractNumId="9" w15:restartNumberingAfterBreak="0">
    <w:nsid w:val="41720A4F"/>
    <w:multiLevelType w:val="hybridMultilevel"/>
    <w:tmpl w:val="FFFFFFFF"/>
    <w:lvl w:ilvl="0" w:tplc="40325134">
      <w:start w:val="1"/>
      <w:numFmt w:val="decimal"/>
      <w:lvlText w:val="%1."/>
      <w:lvlJc w:val="left"/>
      <w:pPr>
        <w:ind w:left="720" w:hanging="360"/>
      </w:pPr>
    </w:lvl>
    <w:lvl w:ilvl="1" w:tplc="8C7009CA">
      <w:start w:val="1"/>
      <w:numFmt w:val="lowerLetter"/>
      <w:lvlText w:val="%2."/>
      <w:lvlJc w:val="left"/>
      <w:pPr>
        <w:ind w:left="1440" w:hanging="360"/>
      </w:pPr>
    </w:lvl>
    <w:lvl w:ilvl="2" w:tplc="EEA4CE7E">
      <w:start w:val="1"/>
      <w:numFmt w:val="lowerRoman"/>
      <w:lvlText w:val="%3."/>
      <w:lvlJc w:val="right"/>
      <w:pPr>
        <w:ind w:left="2160" w:hanging="180"/>
      </w:pPr>
    </w:lvl>
    <w:lvl w:ilvl="3" w:tplc="4B741F46">
      <w:start w:val="1"/>
      <w:numFmt w:val="decimal"/>
      <w:lvlText w:val="%4."/>
      <w:lvlJc w:val="left"/>
      <w:pPr>
        <w:ind w:left="2880" w:hanging="360"/>
      </w:pPr>
    </w:lvl>
    <w:lvl w:ilvl="4" w:tplc="1E78242C">
      <w:start w:val="1"/>
      <w:numFmt w:val="lowerLetter"/>
      <w:lvlText w:val="%5."/>
      <w:lvlJc w:val="left"/>
      <w:pPr>
        <w:ind w:left="3600" w:hanging="360"/>
      </w:pPr>
    </w:lvl>
    <w:lvl w:ilvl="5" w:tplc="F8A459CE">
      <w:start w:val="1"/>
      <w:numFmt w:val="lowerRoman"/>
      <w:lvlText w:val="%6."/>
      <w:lvlJc w:val="right"/>
      <w:pPr>
        <w:ind w:left="4320" w:hanging="180"/>
      </w:pPr>
    </w:lvl>
    <w:lvl w:ilvl="6" w:tplc="B3BCE9D6">
      <w:start w:val="1"/>
      <w:numFmt w:val="decimal"/>
      <w:lvlText w:val="%7."/>
      <w:lvlJc w:val="left"/>
      <w:pPr>
        <w:ind w:left="5040" w:hanging="360"/>
      </w:pPr>
    </w:lvl>
    <w:lvl w:ilvl="7" w:tplc="5DC004E8">
      <w:start w:val="1"/>
      <w:numFmt w:val="lowerLetter"/>
      <w:lvlText w:val="%8."/>
      <w:lvlJc w:val="left"/>
      <w:pPr>
        <w:ind w:left="5760" w:hanging="360"/>
      </w:pPr>
    </w:lvl>
    <w:lvl w:ilvl="8" w:tplc="884C68D6">
      <w:start w:val="1"/>
      <w:numFmt w:val="lowerRoman"/>
      <w:lvlText w:val="%9."/>
      <w:lvlJc w:val="right"/>
      <w:pPr>
        <w:ind w:left="6480" w:hanging="180"/>
      </w:pPr>
    </w:lvl>
  </w:abstractNum>
  <w:abstractNum w:abstractNumId="10" w15:restartNumberingAfterBreak="0">
    <w:nsid w:val="44E266B3"/>
    <w:multiLevelType w:val="hybridMultilevel"/>
    <w:tmpl w:val="3F2038CC"/>
    <w:lvl w:ilvl="0" w:tplc="31BA31EE">
      <w:start w:val="1"/>
      <w:numFmt w:val="lowerRoman"/>
      <w:lvlText w:val="%1)"/>
      <w:lvlJc w:val="left"/>
      <w:pPr>
        <w:ind w:left="360" w:hanging="360"/>
      </w:pPr>
      <w:rPr>
        <w:rFonts w:ascii="Times New Roman" w:eastAsiaTheme="minorHAnsi" w:hAnsi="Times New Roman"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59AA807"/>
    <w:multiLevelType w:val="hybridMultilevel"/>
    <w:tmpl w:val="FFFFFFFF"/>
    <w:lvl w:ilvl="0" w:tplc="22D25D62">
      <w:start w:val="1"/>
      <w:numFmt w:val="decimal"/>
      <w:lvlText w:val="%1."/>
      <w:lvlJc w:val="left"/>
      <w:pPr>
        <w:ind w:left="720" w:hanging="360"/>
      </w:pPr>
    </w:lvl>
    <w:lvl w:ilvl="1" w:tplc="023AD190">
      <w:start w:val="1"/>
      <w:numFmt w:val="lowerLetter"/>
      <w:lvlText w:val="%2."/>
      <w:lvlJc w:val="left"/>
      <w:pPr>
        <w:ind w:left="1440" w:hanging="360"/>
      </w:pPr>
    </w:lvl>
    <w:lvl w:ilvl="2" w:tplc="2D0A53EA">
      <w:start w:val="1"/>
      <w:numFmt w:val="lowerRoman"/>
      <w:lvlText w:val="%3."/>
      <w:lvlJc w:val="right"/>
      <w:pPr>
        <w:ind w:left="2160" w:hanging="180"/>
      </w:pPr>
    </w:lvl>
    <w:lvl w:ilvl="3" w:tplc="B2747CB0">
      <w:start w:val="1"/>
      <w:numFmt w:val="decimal"/>
      <w:lvlText w:val="%4."/>
      <w:lvlJc w:val="left"/>
      <w:pPr>
        <w:ind w:left="2880" w:hanging="360"/>
      </w:pPr>
    </w:lvl>
    <w:lvl w:ilvl="4" w:tplc="DEB8CB24">
      <w:start w:val="1"/>
      <w:numFmt w:val="lowerLetter"/>
      <w:lvlText w:val="%5."/>
      <w:lvlJc w:val="left"/>
      <w:pPr>
        <w:ind w:left="3600" w:hanging="360"/>
      </w:pPr>
    </w:lvl>
    <w:lvl w:ilvl="5" w:tplc="A59AA056">
      <w:start w:val="1"/>
      <w:numFmt w:val="lowerRoman"/>
      <w:lvlText w:val="%6."/>
      <w:lvlJc w:val="right"/>
      <w:pPr>
        <w:ind w:left="4320" w:hanging="180"/>
      </w:pPr>
    </w:lvl>
    <w:lvl w:ilvl="6" w:tplc="B234F6EA">
      <w:start w:val="1"/>
      <w:numFmt w:val="decimal"/>
      <w:lvlText w:val="%7."/>
      <w:lvlJc w:val="left"/>
      <w:pPr>
        <w:ind w:left="5040" w:hanging="360"/>
      </w:pPr>
    </w:lvl>
    <w:lvl w:ilvl="7" w:tplc="18C0C06C">
      <w:start w:val="1"/>
      <w:numFmt w:val="lowerLetter"/>
      <w:lvlText w:val="%8."/>
      <w:lvlJc w:val="left"/>
      <w:pPr>
        <w:ind w:left="5760" w:hanging="360"/>
      </w:pPr>
    </w:lvl>
    <w:lvl w:ilvl="8" w:tplc="A3BCCAB8">
      <w:start w:val="1"/>
      <w:numFmt w:val="lowerRoman"/>
      <w:lvlText w:val="%9."/>
      <w:lvlJc w:val="right"/>
      <w:pPr>
        <w:ind w:left="6480" w:hanging="180"/>
      </w:pPr>
    </w:lvl>
  </w:abstractNum>
  <w:abstractNum w:abstractNumId="12" w15:restartNumberingAfterBreak="0">
    <w:nsid w:val="56A11BC2"/>
    <w:multiLevelType w:val="hybridMultilevel"/>
    <w:tmpl w:val="049893C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9A00E69"/>
    <w:multiLevelType w:val="hybridMultilevel"/>
    <w:tmpl w:val="E856E7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C1864FA"/>
    <w:multiLevelType w:val="hybridMultilevel"/>
    <w:tmpl w:val="FFFFFFFF"/>
    <w:lvl w:ilvl="0" w:tplc="E6A875C0">
      <w:start w:val="1"/>
      <w:numFmt w:val="decimal"/>
      <w:lvlText w:val="%1."/>
      <w:lvlJc w:val="left"/>
      <w:pPr>
        <w:ind w:left="720" w:hanging="360"/>
      </w:pPr>
    </w:lvl>
    <w:lvl w:ilvl="1" w:tplc="A2400ACE">
      <w:start w:val="1"/>
      <w:numFmt w:val="lowerLetter"/>
      <w:lvlText w:val="%2."/>
      <w:lvlJc w:val="left"/>
      <w:pPr>
        <w:ind w:left="1440" w:hanging="360"/>
      </w:pPr>
    </w:lvl>
    <w:lvl w:ilvl="2" w:tplc="E00EF3A6">
      <w:start w:val="1"/>
      <w:numFmt w:val="lowerRoman"/>
      <w:lvlText w:val="%3."/>
      <w:lvlJc w:val="right"/>
      <w:pPr>
        <w:ind w:left="2160" w:hanging="180"/>
      </w:pPr>
    </w:lvl>
    <w:lvl w:ilvl="3" w:tplc="C986A8AA">
      <w:start w:val="1"/>
      <w:numFmt w:val="decimal"/>
      <w:lvlText w:val="%4."/>
      <w:lvlJc w:val="left"/>
      <w:pPr>
        <w:ind w:left="2880" w:hanging="360"/>
      </w:pPr>
    </w:lvl>
    <w:lvl w:ilvl="4" w:tplc="2FE0151C">
      <w:start w:val="1"/>
      <w:numFmt w:val="lowerLetter"/>
      <w:lvlText w:val="%5."/>
      <w:lvlJc w:val="left"/>
      <w:pPr>
        <w:ind w:left="3600" w:hanging="360"/>
      </w:pPr>
    </w:lvl>
    <w:lvl w:ilvl="5" w:tplc="3D58E330">
      <w:start w:val="1"/>
      <w:numFmt w:val="lowerRoman"/>
      <w:lvlText w:val="%6."/>
      <w:lvlJc w:val="right"/>
      <w:pPr>
        <w:ind w:left="4320" w:hanging="180"/>
      </w:pPr>
    </w:lvl>
    <w:lvl w:ilvl="6" w:tplc="6B725C7E">
      <w:start w:val="1"/>
      <w:numFmt w:val="decimal"/>
      <w:lvlText w:val="%7."/>
      <w:lvlJc w:val="left"/>
      <w:pPr>
        <w:ind w:left="5040" w:hanging="360"/>
      </w:pPr>
    </w:lvl>
    <w:lvl w:ilvl="7" w:tplc="D564E6D0">
      <w:start w:val="1"/>
      <w:numFmt w:val="lowerLetter"/>
      <w:lvlText w:val="%8."/>
      <w:lvlJc w:val="left"/>
      <w:pPr>
        <w:ind w:left="5760" w:hanging="360"/>
      </w:pPr>
    </w:lvl>
    <w:lvl w:ilvl="8" w:tplc="7BD069D0">
      <w:start w:val="1"/>
      <w:numFmt w:val="lowerRoman"/>
      <w:lvlText w:val="%9."/>
      <w:lvlJc w:val="right"/>
      <w:pPr>
        <w:ind w:left="6480" w:hanging="180"/>
      </w:pPr>
    </w:lvl>
  </w:abstractNum>
  <w:abstractNum w:abstractNumId="15" w15:restartNumberingAfterBreak="0">
    <w:nsid w:val="6028904D"/>
    <w:multiLevelType w:val="hybridMultilevel"/>
    <w:tmpl w:val="FFFFFFFF"/>
    <w:lvl w:ilvl="0" w:tplc="FBBE59BC">
      <w:start w:val="1"/>
      <w:numFmt w:val="bullet"/>
      <w:lvlText w:val=""/>
      <w:lvlJc w:val="left"/>
      <w:pPr>
        <w:ind w:left="720" w:hanging="360"/>
      </w:pPr>
    </w:lvl>
    <w:lvl w:ilvl="1" w:tplc="100862F2">
      <w:start w:val="1"/>
      <w:numFmt w:val="lowerLetter"/>
      <w:lvlText w:val="%2."/>
      <w:lvlJc w:val="left"/>
      <w:pPr>
        <w:ind w:left="1440" w:hanging="360"/>
      </w:pPr>
    </w:lvl>
    <w:lvl w:ilvl="2" w:tplc="4DBE0B94">
      <w:start w:val="1"/>
      <w:numFmt w:val="lowerRoman"/>
      <w:lvlText w:val="%3."/>
      <w:lvlJc w:val="right"/>
      <w:pPr>
        <w:ind w:left="2160" w:hanging="180"/>
      </w:pPr>
    </w:lvl>
    <w:lvl w:ilvl="3" w:tplc="75C0D482">
      <w:start w:val="1"/>
      <w:numFmt w:val="decimal"/>
      <w:lvlText w:val="%4."/>
      <w:lvlJc w:val="left"/>
      <w:pPr>
        <w:ind w:left="2880" w:hanging="360"/>
      </w:pPr>
    </w:lvl>
    <w:lvl w:ilvl="4" w:tplc="FB28B050">
      <w:start w:val="1"/>
      <w:numFmt w:val="lowerLetter"/>
      <w:lvlText w:val="%5."/>
      <w:lvlJc w:val="left"/>
      <w:pPr>
        <w:ind w:left="3600" w:hanging="360"/>
      </w:pPr>
    </w:lvl>
    <w:lvl w:ilvl="5" w:tplc="583A3766">
      <w:start w:val="1"/>
      <w:numFmt w:val="lowerRoman"/>
      <w:lvlText w:val="%6."/>
      <w:lvlJc w:val="right"/>
      <w:pPr>
        <w:ind w:left="4320" w:hanging="180"/>
      </w:pPr>
    </w:lvl>
    <w:lvl w:ilvl="6" w:tplc="D3C0F3F4">
      <w:start w:val="1"/>
      <w:numFmt w:val="decimal"/>
      <w:lvlText w:val="%7."/>
      <w:lvlJc w:val="left"/>
      <w:pPr>
        <w:ind w:left="5040" w:hanging="360"/>
      </w:pPr>
    </w:lvl>
    <w:lvl w:ilvl="7" w:tplc="73527866">
      <w:start w:val="1"/>
      <w:numFmt w:val="lowerLetter"/>
      <w:lvlText w:val="%8."/>
      <w:lvlJc w:val="left"/>
      <w:pPr>
        <w:ind w:left="5760" w:hanging="360"/>
      </w:pPr>
    </w:lvl>
    <w:lvl w:ilvl="8" w:tplc="6C2E8260">
      <w:start w:val="1"/>
      <w:numFmt w:val="lowerRoman"/>
      <w:lvlText w:val="%9."/>
      <w:lvlJc w:val="right"/>
      <w:pPr>
        <w:ind w:left="6480" w:hanging="180"/>
      </w:pPr>
    </w:lvl>
  </w:abstractNum>
  <w:abstractNum w:abstractNumId="16" w15:restartNumberingAfterBreak="0">
    <w:nsid w:val="636D3CE3"/>
    <w:multiLevelType w:val="hybridMultilevel"/>
    <w:tmpl w:val="FFFFFFFF"/>
    <w:lvl w:ilvl="0" w:tplc="0ED2CE7E">
      <w:start w:val="1"/>
      <w:numFmt w:val="decimal"/>
      <w:lvlText w:val="%1."/>
      <w:lvlJc w:val="left"/>
      <w:pPr>
        <w:ind w:left="720" w:hanging="360"/>
      </w:pPr>
    </w:lvl>
    <w:lvl w:ilvl="1" w:tplc="3922302C">
      <w:start w:val="1"/>
      <w:numFmt w:val="lowerLetter"/>
      <w:lvlText w:val="%2."/>
      <w:lvlJc w:val="left"/>
      <w:pPr>
        <w:ind w:left="1440" w:hanging="360"/>
      </w:pPr>
    </w:lvl>
    <w:lvl w:ilvl="2" w:tplc="6BA64AFE">
      <w:start w:val="1"/>
      <w:numFmt w:val="lowerRoman"/>
      <w:lvlText w:val="%3."/>
      <w:lvlJc w:val="right"/>
      <w:pPr>
        <w:ind w:left="2160" w:hanging="180"/>
      </w:pPr>
    </w:lvl>
    <w:lvl w:ilvl="3" w:tplc="6FF0AE42">
      <w:start w:val="1"/>
      <w:numFmt w:val="decimal"/>
      <w:lvlText w:val="%4."/>
      <w:lvlJc w:val="left"/>
      <w:pPr>
        <w:ind w:left="2880" w:hanging="360"/>
      </w:pPr>
    </w:lvl>
    <w:lvl w:ilvl="4" w:tplc="C0340A92">
      <w:start w:val="1"/>
      <w:numFmt w:val="lowerLetter"/>
      <w:lvlText w:val="%5."/>
      <w:lvlJc w:val="left"/>
      <w:pPr>
        <w:ind w:left="3600" w:hanging="360"/>
      </w:pPr>
    </w:lvl>
    <w:lvl w:ilvl="5" w:tplc="CA3CF05E">
      <w:start w:val="1"/>
      <w:numFmt w:val="lowerRoman"/>
      <w:lvlText w:val="%6."/>
      <w:lvlJc w:val="right"/>
      <w:pPr>
        <w:ind w:left="4320" w:hanging="180"/>
      </w:pPr>
    </w:lvl>
    <w:lvl w:ilvl="6" w:tplc="F6FAA09C">
      <w:start w:val="1"/>
      <w:numFmt w:val="decimal"/>
      <w:lvlText w:val="%7."/>
      <w:lvlJc w:val="left"/>
      <w:pPr>
        <w:ind w:left="5040" w:hanging="360"/>
      </w:pPr>
    </w:lvl>
    <w:lvl w:ilvl="7" w:tplc="F6DACD52">
      <w:start w:val="1"/>
      <w:numFmt w:val="lowerLetter"/>
      <w:lvlText w:val="%8."/>
      <w:lvlJc w:val="left"/>
      <w:pPr>
        <w:ind w:left="5760" w:hanging="360"/>
      </w:pPr>
    </w:lvl>
    <w:lvl w:ilvl="8" w:tplc="49C6A45C">
      <w:start w:val="1"/>
      <w:numFmt w:val="lowerRoman"/>
      <w:lvlText w:val="%9."/>
      <w:lvlJc w:val="right"/>
      <w:pPr>
        <w:ind w:left="6480" w:hanging="180"/>
      </w:pPr>
    </w:lvl>
  </w:abstractNum>
  <w:abstractNum w:abstractNumId="17" w15:restartNumberingAfterBreak="0">
    <w:nsid w:val="63DAA7EB"/>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657743D8"/>
    <w:multiLevelType w:val="hybridMultilevel"/>
    <w:tmpl w:val="273C8D72"/>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8111DA8"/>
    <w:multiLevelType w:val="hybridMultilevel"/>
    <w:tmpl w:val="2CECCB2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60560AC"/>
    <w:multiLevelType w:val="hybridMultilevel"/>
    <w:tmpl w:val="FFFFFFFF"/>
    <w:lvl w:ilvl="0" w:tplc="D4263B6E">
      <w:start w:val="1"/>
      <w:numFmt w:val="decimal"/>
      <w:lvlText w:val="%1."/>
      <w:lvlJc w:val="left"/>
      <w:pPr>
        <w:ind w:left="720" w:hanging="360"/>
      </w:pPr>
    </w:lvl>
    <w:lvl w:ilvl="1" w:tplc="6204BF80">
      <w:start w:val="1"/>
      <w:numFmt w:val="lowerLetter"/>
      <w:lvlText w:val="%2."/>
      <w:lvlJc w:val="left"/>
      <w:pPr>
        <w:ind w:left="1440" w:hanging="360"/>
      </w:pPr>
    </w:lvl>
    <w:lvl w:ilvl="2" w:tplc="017AEF78">
      <w:start w:val="1"/>
      <w:numFmt w:val="lowerRoman"/>
      <w:lvlText w:val="%3."/>
      <w:lvlJc w:val="right"/>
      <w:pPr>
        <w:ind w:left="2160" w:hanging="180"/>
      </w:pPr>
    </w:lvl>
    <w:lvl w:ilvl="3" w:tplc="8A10110C">
      <w:start w:val="1"/>
      <w:numFmt w:val="decimal"/>
      <w:lvlText w:val="%4."/>
      <w:lvlJc w:val="left"/>
      <w:pPr>
        <w:ind w:left="2880" w:hanging="360"/>
      </w:pPr>
    </w:lvl>
    <w:lvl w:ilvl="4" w:tplc="6E8670F6">
      <w:start w:val="1"/>
      <w:numFmt w:val="lowerLetter"/>
      <w:lvlText w:val="%5."/>
      <w:lvlJc w:val="left"/>
      <w:pPr>
        <w:ind w:left="3600" w:hanging="360"/>
      </w:pPr>
    </w:lvl>
    <w:lvl w:ilvl="5" w:tplc="F6D8785C">
      <w:start w:val="1"/>
      <w:numFmt w:val="lowerRoman"/>
      <w:lvlText w:val="%6."/>
      <w:lvlJc w:val="right"/>
      <w:pPr>
        <w:ind w:left="4320" w:hanging="180"/>
      </w:pPr>
    </w:lvl>
    <w:lvl w:ilvl="6" w:tplc="C43E0FB6">
      <w:start w:val="1"/>
      <w:numFmt w:val="decimal"/>
      <w:lvlText w:val="%7."/>
      <w:lvlJc w:val="left"/>
      <w:pPr>
        <w:ind w:left="5040" w:hanging="360"/>
      </w:pPr>
    </w:lvl>
    <w:lvl w:ilvl="7" w:tplc="26329EC8">
      <w:start w:val="1"/>
      <w:numFmt w:val="lowerLetter"/>
      <w:lvlText w:val="%8."/>
      <w:lvlJc w:val="left"/>
      <w:pPr>
        <w:ind w:left="5760" w:hanging="360"/>
      </w:pPr>
    </w:lvl>
    <w:lvl w:ilvl="8" w:tplc="C6069046">
      <w:start w:val="1"/>
      <w:numFmt w:val="lowerRoman"/>
      <w:lvlText w:val="%9."/>
      <w:lvlJc w:val="right"/>
      <w:pPr>
        <w:ind w:left="6480" w:hanging="180"/>
      </w:pPr>
    </w:lvl>
  </w:abstractNum>
  <w:abstractNum w:abstractNumId="21" w15:restartNumberingAfterBreak="0">
    <w:nsid w:val="7C65145E"/>
    <w:multiLevelType w:val="multilevel"/>
    <w:tmpl w:val="A60A4B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601"/>
      </w:pPr>
      <w:rPr>
        <w:rFonts w:ascii="Times New Roman" w:hAnsi="Times New Roman" w:cs="Times New Roman" w:hint="default"/>
        <w:sz w:val="22"/>
      </w:rPr>
    </w:lvl>
    <w:lvl w:ilvl="2">
      <w:start w:val="1"/>
      <w:numFmt w:val="decimal"/>
      <w:pStyle w:val="Heading3"/>
      <w:lvlText w:val="%1.%2.%3."/>
      <w:lvlJc w:val="left"/>
      <w:pPr>
        <w:tabs>
          <w:tab w:val="num" w:pos="1922"/>
        </w:tabs>
        <w:ind w:left="192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num w:numId="1">
    <w:abstractNumId w:val="4"/>
  </w:num>
  <w:num w:numId="2">
    <w:abstractNumId w:val="20"/>
  </w:num>
  <w:num w:numId="3">
    <w:abstractNumId w:val="16"/>
  </w:num>
  <w:num w:numId="4">
    <w:abstractNumId w:val="9"/>
  </w:num>
  <w:num w:numId="5">
    <w:abstractNumId w:val="11"/>
  </w:num>
  <w:num w:numId="6">
    <w:abstractNumId w:val="14"/>
  </w:num>
  <w:num w:numId="7">
    <w:abstractNumId w:val="2"/>
  </w:num>
  <w:num w:numId="8">
    <w:abstractNumId w:val="17"/>
  </w:num>
  <w:num w:numId="9">
    <w:abstractNumId w:val="15"/>
  </w:num>
  <w:num w:numId="10">
    <w:abstractNumId w:val="8"/>
  </w:num>
  <w:num w:numId="11">
    <w:abstractNumId w:val="21"/>
  </w:num>
  <w:num w:numId="12">
    <w:abstractNumId w:val="10"/>
  </w:num>
  <w:num w:numId="13">
    <w:abstractNumId w:val="7"/>
  </w:num>
  <w:num w:numId="14">
    <w:abstractNumId w:val="6"/>
  </w:num>
  <w:num w:numId="15">
    <w:abstractNumId w:val="18"/>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5"/>
  </w:num>
  <w:num w:numId="20">
    <w:abstractNumId w:val="19"/>
  </w:num>
  <w:num w:numId="21">
    <w:abstractNumId w:val="21"/>
  </w:num>
  <w:num w:numId="22">
    <w:abstractNumId w:val="21"/>
  </w:num>
  <w:num w:numId="23">
    <w:abstractNumId w:val="0"/>
  </w:num>
  <w:num w:numId="24">
    <w:abstractNumId w:val="21"/>
  </w:num>
  <w:num w:numId="25">
    <w:abstractNumId w:val="21"/>
  </w:num>
  <w:num w:numId="26">
    <w:abstractNumId w:val="13"/>
  </w:num>
  <w:num w:numId="27">
    <w:abstractNumId w:val="3"/>
  </w:num>
  <w:num w:numId="2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0722953D-BF0A-4C83-AEB4-E1F7369ADFC3"/>
    <w:docVar w:name="LW_COVERPAGE_TYPE" w:val="1"/>
    <w:docVar w:name="LW_CROSSREFERENCE" w:val="&lt;UNUSED&gt;"/>
    <w:docVar w:name="LW_DocType" w:val="NORMAL"/>
    <w:docVar w:name="LW_EMISSION" w:val="24.1.2024"/>
    <w:docVar w:name="LW_EMISSION_ISODATE" w:val="2024-01-24"/>
    <w:docVar w:name="LW_EMISSION_LOCATION" w:val="BRX"/>
    <w:docVar w:name="LW_EMISSION_PREFIX" w:val="Bruksela, dnia "/>
    <w:docVar w:name="LW_EMISSION_SUFFIX" w:val=" r."/>
    <w:docVar w:name="LW_ID_DOCTYPE_NONLW" w:val="CP-006"/>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24) 2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z przegl\u261?du makroostro\u380?no\u347?ciowego dotycz\u261?cego instytucji kredytowych, ryzyka systemowego zwi\u261?zanego z niebankowymi po\u347?rednikami finansowymi (NBFI) i ich wzajemnych powi\u261?za\u324? z instytucjami kredytowymi, na podstawie art. 513 rozporz\u261?dzenia Parlamentu Europejskiego i Rady (UE) nr 575/2013 z dnia 26 czerwca 2013 r. w sprawie wymogów ostro\u380?no\u347?ciowych dla instytucji kredytowych oraz zmieniaj\u261?cego rozporz\u261?dzenie (UE) nr 648/2012"/>
    <w:docVar w:name="LW_TYPE.DOC.CP" w:val="SPRAWOZDANIE KOMISJI DLA PARLAMENTU EUROPEJSKIEGO I RADY"/>
    <w:docVar w:name="LwApiVersions" w:val="LW4CoDe 1.24.4.0; LW 9.0, Build 20240125"/>
  </w:docVars>
  <w:rsids>
    <w:rsidRoot w:val="00E6448C"/>
    <w:rsid w:val="000000FC"/>
    <w:rsid w:val="000002F8"/>
    <w:rsid w:val="000005AF"/>
    <w:rsid w:val="000005B0"/>
    <w:rsid w:val="0000076D"/>
    <w:rsid w:val="00000C3C"/>
    <w:rsid w:val="00000DD2"/>
    <w:rsid w:val="000010F3"/>
    <w:rsid w:val="0000137A"/>
    <w:rsid w:val="00001396"/>
    <w:rsid w:val="00001410"/>
    <w:rsid w:val="00001767"/>
    <w:rsid w:val="000018DB"/>
    <w:rsid w:val="00001966"/>
    <w:rsid w:val="00001C15"/>
    <w:rsid w:val="00001E92"/>
    <w:rsid w:val="000025D5"/>
    <w:rsid w:val="0000266C"/>
    <w:rsid w:val="00002BBD"/>
    <w:rsid w:val="00002C82"/>
    <w:rsid w:val="00002DEB"/>
    <w:rsid w:val="00002EFA"/>
    <w:rsid w:val="000030F5"/>
    <w:rsid w:val="00003506"/>
    <w:rsid w:val="00003594"/>
    <w:rsid w:val="0000368C"/>
    <w:rsid w:val="00003C4E"/>
    <w:rsid w:val="00003EF9"/>
    <w:rsid w:val="00004006"/>
    <w:rsid w:val="00004058"/>
    <w:rsid w:val="00004097"/>
    <w:rsid w:val="00004107"/>
    <w:rsid w:val="000041A0"/>
    <w:rsid w:val="0000431D"/>
    <w:rsid w:val="000043B6"/>
    <w:rsid w:val="0000442F"/>
    <w:rsid w:val="000044F5"/>
    <w:rsid w:val="0000457B"/>
    <w:rsid w:val="000046C3"/>
    <w:rsid w:val="0000472B"/>
    <w:rsid w:val="00004F2B"/>
    <w:rsid w:val="00005216"/>
    <w:rsid w:val="000059F9"/>
    <w:rsid w:val="00005AA4"/>
    <w:rsid w:val="00005AFE"/>
    <w:rsid w:val="00005DFD"/>
    <w:rsid w:val="00005FB0"/>
    <w:rsid w:val="00006AE8"/>
    <w:rsid w:val="00006BDD"/>
    <w:rsid w:val="00006D1F"/>
    <w:rsid w:val="00006FC2"/>
    <w:rsid w:val="0000722B"/>
    <w:rsid w:val="00007555"/>
    <w:rsid w:val="0000767B"/>
    <w:rsid w:val="0000788A"/>
    <w:rsid w:val="00007988"/>
    <w:rsid w:val="00007AD7"/>
    <w:rsid w:val="00007B6F"/>
    <w:rsid w:val="00007DFB"/>
    <w:rsid w:val="00007EAA"/>
    <w:rsid w:val="000101F9"/>
    <w:rsid w:val="0001031C"/>
    <w:rsid w:val="000105E7"/>
    <w:rsid w:val="00010700"/>
    <w:rsid w:val="00010D25"/>
    <w:rsid w:val="00010D32"/>
    <w:rsid w:val="00010FB3"/>
    <w:rsid w:val="00011050"/>
    <w:rsid w:val="00011086"/>
    <w:rsid w:val="00011166"/>
    <w:rsid w:val="00011407"/>
    <w:rsid w:val="000115D7"/>
    <w:rsid w:val="000115E9"/>
    <w:rsid w:val="00011B30"/>
    <w:rsid w:val="00011BCE"/>
    <w:rsid w:val="00011D01"/>
    <w:rsid w:val="00011D63"/>
    <w:rsid w:val="00012296"/>
    <w:rsid w:val="00012789"/>
    <w:rsid w:val="0001281D"/>
    <w:rsid w:val="000128A3"/>
    <w:rsid w:val="00012B24"/>
    <w:rsid w:val="00012B5E"/>
    <w:rsid w:val="0001370B"/>
    <w:rsid w:val="000138A5"/>
    <w:rsid w:val="00013D31"/>
    <w:rsid w:val="00014208"/>
    <w:rsid w:val="00014652"/>
    <w:rsid w:val="0001485F"/>
    <w:rsid w:val="000148A3"/>
    <w:rsid w:val="000148D2"/>
    <w:rsid w:val="00014BB6"/>
    <w:rsid w:val="00014CD9"/>
    <w:rsid w:val="000152B6"/>
    <w:rsid w:val="000152BF"/>
    <w:rsid w:val="000158D0"/>
    <w:rsid w:val="000158F1"/>
    <w:rsid w:val="00015DB3"/>
    <w:rsid w:val="00015EE8"/>
    <w:rsid w:val="0001666C"/>
    <w:rsid w:val="00016A80"/>
    <w:rsid w:val="00016B78"/>
    <w:rsid w:val="00016BF0"/>
    <w:rsid w:val="00016CAA"/>
    <w:rsid w:val="00016FAE"/>
    <w:rsid w:val="00017188"/>
    <w:rsid w:val="00017358"/>
    <w:rsid w:val="000174D7"/>
    <w:rsid w:val="000175DF"/>
    <w:rsid w:val="000176E0"/>
    <w:rsid w:val="00017CD3"/>
    <w:rsid w:val="00020203"/>
    <w:rsid w:val="000202DC"/>
    <w:rsid w:val="000204CE"/>
    <w:rsid w:val="00020664"/>
    <w:rsid w:val="000208C1"/>
    <w:rsid w:val="00020ADD"/>
    <w:rsid w:val="00020CDE"/>
    <w:rsid w:val="00020D96"/>
    <w:rsid w:val="00020E2B"/>
    <w:rsid w:val="000210BD"/>
    <w:rsid w:val="0002115D"/>
    <w:rsid w:val="000211D6"/>
    <w:rsid w:val="00021278"/>
    <w:rsid w:val="000212A5"/>
    <w:rsid w:val="00021972"/>
    <w:rsid w:val="000219DD"/>
    <w:rsid w:val="00022321"/>
    <w:rsid w:val="00022572"/>
    <w:rsid w:val="000230A8"/>
    <w:rsid w:val="00023113"/>
    <w:rsid w:val="00023992"/>
    <w:rsid w:val="00023A4C"/>
    <w:rsid w:val="00023EB2"/>
    <w:rsid w:val="00024692"/>
    <w:rsid w:val="0002488A"/>
    <w:rsid w:val="00024F71"/>
    <w:rsid w:val="000251AE"/>
    <w:rsid w:val="000254FA"/>
    <w:rsid w:val="000256D3"/>
    <w:rsid w:val="000259E2"/>
    <w:rsid w:val="00025ACE"/>
    <w:rsid w:val="00025FA4"/>
    <w:rsid w:val="00026213"/>
    <w:rsid w:val="00026332"/>
    <w:rsid w:val="000264D1"/>
    <w:rsid w:val="00026720"/>
    <w:rsid w:val="00026A9E"/>
    <w:rsid w:val="000273ED"/>
    <w:rsid w:val="0002794B"/>
    <w:rsid w:val="00027A50"/>
    <w:rsid w:val="00027C2A"/>
    <w:rsid w:val="00027C34"/>
    <w:rsid w:val="000300D7"/>
    <w:rsid w:val="00030750"/>
    <w:rsid w:val="00030964"/>
    <w:rsid w:val="00030AE1"/>
    <w:rsid w:val="00031251"/>
    <w:rsid w:val="00031EBB"/>
    <w:rsid w:val="000320CC"/>
    <w:rsid w:val="00032343"/>
    <w:rsid w:val="00032379"/>
    <w:rsid w:val="000323E0"/>
    <w:rsid w:val="00032403"/>
    <w:rsid w:val="000324CD"/>
    <w:rsid w:val="00032648"/>
    <w:rsid w:val="00032753"/>
    <w:rsid w:val="00032991"/>
    <w:rsid w:val="00032CA4"/>
    <w:rsid w:val="00032E8B"/>
    <w:rsid w:val="00032ED5"/>
    <w:rsid w:val="00033356"/>
    <w:rsid w:val="0003362B"/>
    <w:rsid w:val="000337C2"/>
    <w:rsid w:val="00033B55"/>
    <w:rsid w:val="00033D39"/>
    <w:rsid w:val="000340C1"/>
    <w:rsid w:val="000341FA"/>
    <w:rsid w:val="000342C7"/>
    <w:rsid w:val="00034356"/>
    <w:rsid w:val="000343E4"/>
    <w:rsid w:val="0003446A"/>
    <w:rsid w:val="00034689"/>
    <w:rsid w:val="000349F9"/>
    <w:rsid w:val="00034B5C"/>
    <w:rsid w:val="00034CEF"/>
    <w:rsid w:val="00034D9A"/>
    <w:rsid w:val="0003508A"/>
    <w:rsid w:val="00035168"/>
    <w:rsid w:val="000351BE"/>
    <w:rsid w:val="000357DD"/>
    <w:rsid w:val="00035DE3"/>
    <w:rsid w:val="00035E57"/>
    <w:rsid w:val="00036483"/>
    <w:rsid w:val="000364E5"/>
    <w:rsid w:val="0003651A"/>
    <w:rsid w:val="000366AF"/>
    <w:rsid w:val="0003687E"/>
    <w:rsid w:val="000368C2"/>
    <w:rsid w:val="00036A63"/>
    <w:rsid w:val="00037103"/>
    <w:rsid w:val="00037423"/>
    <w:rsid w:val="00037606"/>
    <w:rsid w:val="00037821"/>
    <w:rsid w:val="00037929"/>
    <w:rsid w:val="0003792E"/>
    <w:rsid w:val="00037C0C"/>
    <w:rsid w:val="00037CD5"/>
    <w:rsid w:val="0004005A"/>
    <w:rsid w:val="000402F9"/>
    <w:rsid w:val="000407A2"/>
    <w:rsid w:val="00040829"/>
    <w:rsid w:val="000409E7"/>
    <w:rsid w:val="00040F01"/>
    <w:rsid w:val="0004123D"/>
    <w:rsid w:val="0004179D"/>
    <w:rsid w:val="000417D9"/>
    <w:rsid w:val="00041848"/>
    <w:rsid w:val="00041A5C"/>
    <w:rsid w:val="00041B5A"/>
    <w:rsid w:val="00041C99"/>
    <w:rsid w:val="00041E69"/>
    <w:rsid w:val="000421CA"/>
    <w:rsid w:val="00042282"/>
    <w:rsid w:val="00042474"/>
    <w:rsid w:val="000427C3"/>
    <w:rsid w:val="00042988"/>
    <w:rsid w:val="00042C28"/>
    <w:rsid w:val="00042F07"/>
    <w:rsid w:val="00042F69"/>
    <w:rsid w:val="00042FA6"/>
    <w:rsid w:val="0004302C"/>
    <w:rsid w:val="00043517"/>
    <w:rsid w:val="0004362E"/>
    <w:rsid w:val="00043890"/>
    <w:rsid w:val="00043EC2"/>
    <w:rsid w:val="000444CF"/>
    <w:rsid w:val="000446B5"/>
    <w:rsid w:val="000448A6"/>
    <w:rsid w:val="00044AE7"/>
    <w:rsid w:val="00044E36"/>
    <w:rsid w:val="00045077"/>
    <w:rsid w:val="000453F0"/>
    <w:rsid w:val="0004545B"/>
    <w:rsid w:val="00045ACC"/>
    <w:rsid w:val="00045BF9"/>
    <w:rsid w:val="00045BFE"/>
    <w:rsid w:val="0004626C"/>
    <w:rsid w:val="00046360"/>
    <w:rsid w:val="00046606"/>
    <w:rsid w:val="000466E6"/>
    <w:rsid w:val="00046810"/>
    <w:rsid w:val="00046E56"/>
    <w:rsid w:val="0004719A"/>
    <w:rsid w:val="00047446"/>
    <w:rsid w:val="00047C32"/>
    <w:rsid w:val="00047D37"/>
    <w:rsid w:val="00047EE8"/>
    <w:rsid w:val="00050D9B"/>
    <w:rsid w:val="00050F00"/>
    <w:rsid w:val="00050F4A"/>
    <w:rsid w:val="00050F62"/>
    <w:rsid w:val="0005128A"/>
    <w:rsid w:val="0005134C"/>
    <w:rsid w:val="0005171C"/>
    <w:rsid w:val="0005209E"/>
    <w:rsid w:val="000520BC"/>
    <w:rsid w:val="00052137"/>
    <w:rsid w:val="000523BC"/>
    <w:rsid w:val="00052825"/>
    <w:rsid w:val="000529BE"/>
    <w:rsid w:val="00052AB1"/>
    <w:rsid w:val="00053193"/>
    <w:rsid w:val="00053348"/>
    <w:rsid w:val="00053762"/>
    <w:rsid w:val="00054184"/>
    <w:rsid w:val="00054190"/>
    <w:rsid w:val="000541C4"/>
    <w:rsid w:val="000544D4"/>
    <w:rsid w:val="0005472F"/>
    <w:rsid w:val="00054A34"/>
    <w:rsid w:val="0005527D"/>
    <w:rsid w:val="00055533"/>
    <w:rsid w:val="0005556D"/>
    <w:rsid w:val="00055660"/>
    <w:rsid w:val="00055811"/>
    <w:rsid w:val="00055A64"/>
    <w:rsid w:val="000560FF"/>
    <w:rsid w:val="00056503"/>
    <w:rsid w:val="00056700"/>
    <w:rsid w:val="000568D6"/>
    <w:rsid w:val="00056CE6"/>
    <w:rsid w:val="000570E2"/>
    <w:rsid w:val="000574E9"/>
    <w:rsid w:val="00057512"/>
    <w:rsid w:val="00057BDC"/>
    <w:rsid w:val="00057D25"/>
    <w:rsid w:val="00060253"/>
    <w:rsid w:val="000602FE"/>
    <w:rsid w:val="00060799"/>
    <w:rsid w:val="000609A7"/>
    <w:rsid w:val="00060A4D"/>
    <w:rsid w:val="00060AB7"/>
    <w:rsid w:val="00060ABB"/>
    <w:rsid w:val="00060ADE"/>
    <w:rsid w:val="00060AFF"/>
    <w:rsid w:val="00060FA4"/>
    <w:rsid w:val="000612A5"/>
    <w:rsid w:val="000614B2"/>
    <w:rsid w:val="000618F9"/>
    <w:rsid w:val="00061B28"/>
    <w:rsid w:val="00061C58"/>
    <w:rsid w:val="00061C68"/>
    <w:rsid w:val="00061FFE"/>
    <w:rsid w:val="0006208E"/>
    <w:rsid w:val="0006248D"/>
    <w:rsid w:val="0006254A"/>
    <w:rsid w:val="00062ADF"/>
    <w:rsid w:val="00062BDC"/>
    <w:rsid w:val="00062EFD"/>
    <w:rsid w:val="0006306F"/>
    <w:rsid w:val="000630B8"/>
    <w:rsid w:val="000631AA"/>
    <w:rsid w:val="000632BC"/>
    <w:rsid w:val="000636FC"/>
    <w:rsid w:val="00063864"/>
    <w:rsid w:val="00063881"/>
    <w:rsid w:val="0006397C"/>
    <w:rsid w:val="00063C83"/>
    <w:rsid w:val="000640BE"/>
    <w:rsid w:val="00064914"/>
    <w:rsid w:val="00064DA5"/>
    <w:rsid w:val="00064E99"/>
    <w:rsid w:val="00064F34"/>
    <w:rsid w:val="000652D1"/>
    <w:rsid w:val="0006555F"/>
    <w:rsid w:val="00065C94"/>
    <w:rsid w:val="00065CC5"/>
    <w:rsid w:val="0006603C"/>
    <w:rsid w:val="00066102"/>
    <w:rsid w:val="000668D2"/>
    <w:rsid w:val="000668D3"/>
    <w:rsid w:val="00066BA3"/>
    <w:rsid w:val="00067050"/>
    <w:rsid w:val="000671EB"/>
    <w:rsid w:val="000679B6"/>
    <w:rsid w:val="00067C66"/>
    <w:rsid w:val="00067F78"/>
    <w:rsid w:val="00070146"/>
    <w:rsid w:val="00070584"/>
    <w:rsid w:val="00070758"/>
    <w:rsid w:val="00070921"/>
    <w:rsid w:val="000709EE"/>
    <w:rsid w:val="00070C73"/>
    <w:rsid w:val="00070DF9"/>
    <w:rsid w:val="00070EF2"/>
    <w:rsid w:val="000710F4"/>
    <w:rsid w:val="00071644"/>
    <w:rsid w:val="000722A8"/>
    <w:rsid w:val="00072477"/>
    <w:rsid w:val="00072530"/>
    <w:rsid w:val="00072C7B"/>
    <w:rsid w:val="00072CAE"/>
    <w:rsid w:val="00072DFD"/>
    <w:rsid w:val="00072E6E"/>
    <w:rsid w:val="00073315"/>
    <w:rsid w:val="0007359C"/>
    <w:rsid w:val="00073988"/>
    <w:rsid w:val="000739E2"/>
    <w:rsid w:val="00073A5B"/>
    <w:rsid w:val="00073F45"/>
    <w:rsid w:val="000740BB"/>
    <w:rsid w:val="00074127"/>
    <w:rsid w:val="0007431B"/>
    <w:rsid w:val="00074E48"/>
    <w:rsid w:val="000754A8"/>
    <w:rsid w:val="000759F4"/>
    <w:rsid w:val="00075A2B"/>
    <w:rsid w:val="00075AED"/>
    <w:rsid w:val="00075BAA"/>
    <w:rsid w:val="00075F1F"/>
    <w:rsid w:val="0007690B"/>
    <w:rsid w:val="000769B2"/>
    <w:rsid w:val="00076D82"/>
    <w:rsid w:val="00076EF4"/>
    <w:rsid w:val="00077125"/>
    <w:rsid w:val="00077470"/>
    <w:rsid w:val="0007781A"/>
    <w:rsid w:val="0007792F"/>
    <w:rsid w:val="00077C1E"/>
    <w:rsid w:val="00077D10"/>
    <w:rsid w:val="00077DCE"/>
    <w:rsid w:val="00080160"/>
    <w:rsid w:val="0008023C"/>
    <w:rsid w:val="000803CF"/>
    <w:rsid w:val="0008063F"/>
    <w:rsid w:val="000807A0"/>
    <w:rsid w:val="00080B08"/>
    <w:rsid w:val="00081052"/>
    <w:rsid w:val="000810C5"/>
    <w:rsid w:val="00081316"/>
    <w:rsid w:val="0008137A"/>
    <w:rsid w:val="000817A9"/>
    <w:rsid w:val="00081E36"/>
    <w:rsid w:val="000820E8"/>
    <w:rsid w:val="0008210E"/>
    <w:rsid w:val="00082343"/>
    <w:rsid w:val="0008241A"/>
    <w:rsid w:val="00082447"/>
    <w:rsid w:val="00082686"/>
    <w:rsid w:val="00082692"/>
    <w:rsid w:val="00082B38"/>
    <w:rsid w:val="00082CCF"/>
    <w:rsid w:val="00082F30"/>
    <w:rsid w:val="00083039"/>
    <w:rsid w:val="00083065"/>
    <w:rsid w:val="00083177"/>
    <w:rsid w:val="00083633"/>
    <w:rsid w:val="00083959"/>
    <w:rsid w:val="00083EE2"/>
    <w:rsid w:val="0008417D"/>
    <w:rsid w:val="00084296"/>
    <w:rsid w:val="00084475"/>
    <w:rsid w:val="00084888"/>
    <w:rsid w:val="00084B8F"/>
    <w:rsid w:val="00084BF3"/>
    <w:rsid w:val="00085218"/>
    <w:rsid w:val="00085285"/>
    <w:rsid w:val="000852C5"/>
    <w:rsid w:val="0008551D"/>
    <w:rsid w:val="000855A3"/>
    <w:rsid w:val="00085A1D"/>
    <w:rsid w:val="00085D80"/>
    <w:rsid w:val="000860A1"/>
    <w:rsid w:val="00086143"/>
    <w:rsid w:val="000861D2"/>
    <w:rsid w:val="0008648F"/>
    <w:rsid w:val="000864A8"/>
    <w:rsid w:val="00086591"/>
    <w:rsid w:val="000865B9"/>
    <w:rsid w:val="000868FD"/>
    <w:rsid w:val="00086F72"/>
    <w:rsid w:val="00087413"/>
    <w:rsid w:val="0008764D"/>
    <w:rsid w:val="0008774B"/>
    <w:rsid w:val="000877FC"/>
    <w:rsid w:val="00087BE4"/>
    <w:rsid w:val="00087D16"/>
    <w:rsid w:val="00087E24"/>
    <w:rsid w:val="000905D1"/>
    <w:rsid w:val="000906F0"/>
    <w:rsid w:val="000907B5"/>
    <w:rsid w:val="00090C0D"/>
    <w:rsid w:val="00090D04"/>
    <w:rsid w:val="0009109F"/>
    <w:rsid w:val="00091606"/>
    <w:rsid w:val="00091715"/>
    <w:rsid w:val="000920AF"/>
    <w:rsid w:val="00092193"/>
    <w:rsid w:val="000922E9"/>
    <w:rsid w:val="0009235A"/>
    <w:rsid w:val="0009244D"/>
    <w:rsid w:val="00092713"/>
    <w:rsid w:val="00092776"/>
    <w:rsid w:val="00092A33"/>
    <w:rsid w:val="00092AC0"/>
    <w:rsid w:val="00092B1B"/>
    <w:rsid w:val="0009312D"/>
    <w:rsid w:val="0009322A"/>
    <w:rsid w:val="000934D1"/>
    <w:rsid w:val="00093611"/>
    <w:rsid w:val="00093B04"/>
    <w:rsid w:val="00093BEA"/>
    <w:rsid w:val="0009409E"/>
    <w:rsid w:val="00094315"/>
    <w:rsid w:val="0009469F"/>
    <w:rsid w:val="00094826"/>
    <w:rsid w:val="000950CE"/>
    <w:rsid w:val="000950D7"/>
    <w:rsid w:val="00095268"/>
    <w:rsid w:val="0009534D"/>
    <w:rsid w:val="00095440"/>
    <w:rsid w:val="00095481"/>
    <w:rsid w:val="0009558A"/>
    <w:rsid w:val="0009596D"/>
    <w:rsid w:val="00095B6B"/>
    <w:rsid w:val="0009618E"/>
    <w:rsid w:val="000965AB"/>
    <w:rsid w:val="000967A5"/>
    <w:rsid w:val="00096B0B"/>
    <w:rsid w:val="00096B2B"/>
    <w:rsid w:val="00096F3D"/>
    <w:rsid w:val="00097026"/>
    <w:rsid w:val="00097348"/>
    <w:rsid w:val="00097804"/>
    <w:rsid w:val="0009798D"/>
    <w:rsid w:val="0009799F"/>
    <w:rsid w:val="00097A5B"/>
    <w:rsid w:val="000A0022"/>
    <w:rsid w:val="000A00EE"/>
    <w:rsid w:val="000A023C"/>
    <w:rsid w:val="000A03CD"/>
    <w:rsid w:val="000A043A"/>
    <w:rsid w:val="000A0F08"/>
    <w:rsid w:val="000A1604"/>
    <w:rsid w:val="000A1731"/>
    <w:rsid w:val="000A19B0"/>
    <w:rsid w:val="000A1B7A"/>
    <w:rsid w:val="000A1BDA"/>
    <w:rsid w:val="000A2B06"/>
    <w:rsid w:val="000A2B95"/>
    <w:rsid w:val="000A3068"/>
    <w:rsid w:val="000A3459"/>
    <w:rsid w:val="000A37F8"/>
    <w:rsid w:val="000A3D0D"/>
    <w:rsid w:val="000A3FD9"/>
    <w:rsid w:val="000A4B34"/>
    <w:rsid w:val="000A4CBD"/>
    <w:rsid w:val="000A4E3E"/>
    <w:rsid w:val="000A4E4F"/>
    <w:rsid w:val="000A58BE"/>
    <w:rsid w:val="000A5924"/>
    <w:rsid w:val="000A5950"/>
    <w:rsid w:val="000A5FDA"/>
    <w:rsid w:val="000A613F"/>
    <w:rsid w:val="000A6395"/>
    <w:rsid w:val="000A63DB"/>
    <w:rsid w:val="000A656A"/>
    <w:rsid w:val="000A67D1"/>
    <w:rsid w:val="000A67F7"/>
    <w:rsid w:val="000A6B9E"/>
    <w:rsid w:val="000A71E1"/>
    <w:rsid w:val="000A751D"/>
    <w:rsid w:val="000A75A4"/>
    <w:rsid w:val="000A7721"/>
    <w:rsid w:val="000A7966"/>
    <w:rsid w:val="000A7F23"/>
    <w:rsid w:val="000B02A1"/>
    <w:rsid w:val="000B0380"/>
    <w:rsid w:val="000B0385"/>
    <w:rsid w:val="000B0772"/>
    <w:rsid w:val="000B0A4C"/>
    <w:rsid w:val="000B11F5"/>
    <w:rsid w:val="000B13DC"/>
    <w:rsid w:val="000B14F9"/>
    <w:rsid w:val="000B151D"/>
    <w:rsid w:val="000B1585"/>
    <w:rsid w:val="000B1702"/>
    <w:rsid w:val="000B1D8A"/>
    <w:rsid w:val="000B2123"/>
    <w:rsid w:val="000B273C"/>
    <w:rsid w:val="000B2907"/>
    <w:rsid w:val="000B2D5F"/>
    <w:rsid w:val="000B35CC"/>
    <w:rsid w:val="000B38D7"/>
    <w:rsid w:val="000B394E"/>
    <w:rsid w:val="000B3C04"/>
    <w:rsid w:val="000B3C85"/>
    <w:rsid w:val="000B3D5E"/>
    <w:rsid w:val="000B3DE4"/>
    <w:rsid w:val="000B3DF5"/>
    <w:rsid w:val="000B4589"/>
    <w:rsid w:val="000B4760"/>
    <w:rsid w:val="000B4784"/>
    <w:rsid w:val="000B4794"/>
    <w:rsid w:val="000B4B23"/>
    <w:rsid w:val="000B4F7E"/>
    <w:rsid w:val="000B53EE"/>
    <w:rsid w:val="000B5526"/>
    <w:rsid w:val="000B5A46"/>
    <w:rsid w:val="000B5ED6"/>
    <w:rsid w:val="000B6294"/>
    <w:rsid w:val="000B62CD"/>
    <w:rsid w:val="000B68A6"/>
    <w:rsid w:val="000B6DCD"/>
    <w:rsid w:val="000B6E1A"/>
    <w:rsid w:val="000B7358"/>
    <w:rsid w:val="000B7496"/>
    <w:rsid w:val="000B7562"/>
    <w:rsid w:val="000B780A"/>
    <w:rsid w:val="000B787E"/>
    <w:rsid w:val="000B7BAD"/>
    <w:rsid w:val="000B7F8F"/>
    <w:rsid w:val="000C00DA"/>
    <w:rsid w:val="000C0232"/>
    <w:rsid w:val="000C0261"/>
    <w:rsid w:val="000C0A27"/>
    <w:rsid w:val="000C0C3F"/>
    <w:rsid w:val="000C0F43"/>
    <w:rsid w:val="000C112F"/>
    <w:rsid w:val="000C1859"/>
    <w:rsid w:val="000C18E9"/>
    <w:rsid w:val="000C18EA"/>
    <w:rsid w:val="000C1B5D"/>
    <w:rsid w:val="000C1C9E"/>
    <w:rsid w:val="000C1D14"/>
    <w:rsid w:val="000C1F02"/>
    <w:rsid w:val="000C1FE4"/>
    <w:rsid w:val="000C2169"/>
    <w:rsid w:val="000C2219"/>
    <w:rsid w:val="000C27E8"/>
    <w:rsid w:val="000C2C5E"/>
    <w:rsid w:val="000C2E31"/>
    <w:rsid w:val="000C2EFB"/>
    <w:rsid w:val="000C2F20"/>
    <w:rsid w:val="000C335E"/>
    <w:rsid w:val="000C34AF"/>
    <w:rsid w:val="000C3546"/>
    <w:rsid w:val="000C3A12"/>
    <w:rsid w:val="000C3A95"/>
    <w:rsid w:val="000C3AD7"/>
    <w:rsid w:val="000C3BBB"/>
    <w:rsid w:val="000C3EA8"/>
    <w:rsid w:val="000C42E3"/>
    <w:rsid w:val="000C49ED"/>
    <w:rsid w:val="000C4A1D"/>
    <w:rsid w:val="000C4A90"/>
    <w:rsid w:val="000C4B57"/>
    <w:rsid w:val="000C5028"/>
    <w:rsid w:val="000C547B"/>
    <w:rsid w:val="000C5662"/>
    <w:rsid w:val="000C5C25"/>
    <w:rsid w:val="000C5D4F"/>
    <w:rsid w:val="000C5D71"/>
    <w:rsid w:val="000C638A"/>
    <w:rsid w:val="000C658B"/>
    <w:rsid w:val="000C675B"/>
    <w:rsid w:val="000C6A5A"/>
    <w:rsid w:val="000C6A7B"/>
    <w:rsid w:val="000C6AAA"/>
    <w:rsid w:val="000C6C47"/>
    <w:rsid w:val="000C6C54"/>
    <w:rsid w:val="000C6DE4"/>
    <w:rsid w:val="000C700A"/>
    <w:rsid w:val="000C7045"/>
    <w:rsid w:val="000C70C7"/>
    <w:rsid w:val="000C71E2"/>
    <w:rsid w:val="000C72E7"/>
    <w:rsid w:val="000C742C"/>
    <w:rsid w:val="000C780B"/>
    <w:rsid w:val="000C78E7"/>
    <w:rsid w:val="000C7A2E"/>
    <w:rsid w:val="000C7BD0"/>
    <w:rsid w:val="000C7D28"/>
    <w:rsid w:val="000C7FF7"/>
    <w:rsid w:val="000CE1C1"/>
    <w:rsid w:val="000D002B"/>
    <w:rsid w:val="000D00DD"/>
    <w:rsid w:val="000D01AC"/>
    <w:rsid w:val="000D01F5"/>
    <w:rsid w:val="000D0219"/>
    <w:rsid w:val="000D0AFC"/>
    <w:rsid w:val="000D0C73"/>
    <w:rsid w:val="000D0E0F"/>
    <w:rsid w:val="000D0F17"/>
    <w:rsid w:val="000D121B"/>
    <w:rsid w:val="000D1EB0"/>
    <w:rsid w:val="000D21D5"/>
    <w:rsid w:val="000D25B6"/>
    <w:rsid w:val="000D2B48"/>
    <w:rsid w:val="000D2F58"/>
    <w:rsid w:val="000D3016"/>
    <w:rsid w:val="000D30CC"/>
    <w:rsid w:val="000D32CD"/>
    <w:rsid w:val="000D3596"/>
    <w:rsid w:val="000D38D6"/>
    <w:rsid w:val="000D392F"/>
    <w:rsid w:val="000D3DD0"/>
    <w:rsid w:val="000D3DD5"/>
    <w:rsid w:val="000D3E66"/>
    <w:rsid w:val="000D4154"/>
    <w:rsid w:val="000D42DB"/>
    <w:rsid w:val="000D4623"/>
    <w:rsid w:val="000D46E4"/>
    <w:rsid w:val="000D47E0"/>
    <w:rsid w:val="000D4A13"/>
    <w:rsid w:val="000D4D2C"/>
    <w:rsid w:val="000D4D78"/>
    <w:rsid w:val="000D4F13"/>
    <w:rsid w:val="000D5481"/>
    <w:rsid w:val="000D55D6"/>
    <w:rsid w:val="000D5619"/>
    <w:rsid w:val="000D5799"/>
    <w:rsid w:val="000D59D8"/>
    <w:rsid w:val="000D59FB"/>
    <w:rsid w:val="000D5B56"/>
    <w:rsid w:val="000D6086"/>
    <w:rsid w:val="000D65D1"/>
    <w:rsid w:val="000D66E7"/>
    <w:rsid w:val="000D677D"/>
    <w:rsid w:val="000D6DFB"/>
    <w:rsid w:val="000D6F9C"/>
    <w:rsid w:val="000D734C"/>
    <w:rsid w:val="000D7959"/>
    <w:rsid w:val="000D7C2D"/>
    <w:rsid w:val="000D7D89"/>
    <w:rsid w:val="000D7E48"/>
    <w:rsid w:val="000D7F70"/>
    <w:rsid w:val="000D7FAA"/>
    <w:rsid w:val="000E015F"/>
    <w:rsid w:val="000E03E4"/>
    <w:rsid w:val="000E05EA"/>
    <w:rsid w:val="000E0796"/>
    <w:rsid w:val="000E08B0"/>
    <w:rsid w:val="000E0991"/>
    <w:rsid w:val="000E0FBC"/>
    <w:rsid w:val="000E104E"/>
    <w:rsid w:val="000E10E3"/>
    <w:rsid w:val="000E1890"/>
    <w:rsid w:val="000E18D9"/>
    <w:rsid w:val="000E1D62"/>
    <w:rsid w:val="000E1DB8"/>
    <w:rsid w:val="000E1DFA"/>
    <w:rsid w:val="000E20D4"/>
    <w:rsid w:val="000E219F"/>
    <w:rsid w:val="000E2452"/>
    <w:rsid w:val="000E2663"/>
    <w:rsid w:val="000E2669"/>
    <w:rsid w:val="000E2F48"/>
    <w:rsid w:val="000E3049"/>
    <w:rsid w:val="000E31E7"/>
    <w:rsid w:val="000E3308"/>
    <w:rsid w:val="000E3714"/>
    <w:rsid w:val="000E3B1E"/>
    <w:rsid w:val="000E418D"/>
    <w:rsid w:val="000E4316"/>
    <w:rsid w:val="000E43F6"/>
    <w:rsid w:val="000E4415"/>
    <w:rsid w:val="000E46FB"/>
    <w:rsid w:val="000E4702"/>
    <w:rsid w:val="000E51B3"/>
    <w:rsid w:val="000E5385"/>
    <w:rsid w:val="000E543C"/>
    <w:rsid w:val="000E545B"/>
    <w:rsid w:val="000E5476"/>
    <w:rsid w:val="000E5511"/>
    <w:rsid w:val="000E56E2"/>
    <w:rsid w:val="000E5824"/>
    <w:rsid w:val="000E58E0"/>
    <w:rsid w:val="000E5B7B"/>
    <w:rsid w:val="000E5D47"/>
    <w:rsid w:val="000E6A97"/>
    <w:rsid w:val="000E6AC5"/>
    <w:rsid w:val="000E6BF4"/>
    <w:rsid w:val="000E6DCE"/>
    <w:rsid w:val="000E710B"/>
    <w:rsid w:val="000E73C9"/>
    <w:rsid w:val="000E7748"/>
    <w:rsid w:val="000E7B33"/>
    <w:rsid w:val="000E7BC5"/>
    <w:rsid w:val="000F0136"/>
    <w:rsid w:val="000F0B2B"/>
    <w:rsid w:val="000F0EC8"/>
    <w:rsid w:val="000F0FD4"/>
    <w:rsid w:val="000F107F"/>
    <w:rsid w:val="000F111B"/>
    <w:rsid w:val="000F11BC"/>
    <w:rsid w:val="000F1265"/>
    <w:rsid w:val="000F1295"/>
    <w:rsid w:val="000F12BC"/>
    <w:rsid w:val="000F19E5"/>
    <w:rsid w:val="000F1C84"/>
    <w:rsid w:val="000F1EEA"/>
    <w:rsid w:val="000F20C0"/>
    <w:rsid w:val="000F23C8"/>
    <w:rsid w:val="000F2734"/>
    <w:rsid w:val="000F2741"/>
    <w:rsid w:val="000F2826"/>
    <w:rsid w:val="000F28CC"/>
    <w:rsid w:val="000F3459"/>
    <w:rsid w:val="000F393D"/>
    <w:rsid w:val="000F3CCF"/>
    <w:rsid w:val="000F3E59"/>
    <w:rsid w:val="000F4115"/>
    <w:rsid w:val="000F46A9"/>
    <w:rsid w:val="000F505A"/>
    <w:rsid w:val="000F5295"/>
    <w:rsid w:val="000F5921"/>
    <w:rsid w:val="000F5AE6"/>
    <w:rsid w:val="000F5C1F"/>
    <w:rsid w:val="000F5C24"/>
    <w:rsid w:val="000F5EEB"/>
    <w:rsid w:val="000F6311"/>
    <w:rsid w:val="000F65F3"/>
    <w:rsid w:val="000F66B6"/>
    <w:rsid w:val="000F689B"/>
    <w:rsid w:val="000F6983"/>
    <w:rsid w:val="000F6B52"/>
    <w:rsid w:val="000F6CAE"/>
    <w:rsid w:val="000F6D06"/>
    <w:rsid w:val="000F6E7F"/>
    <w:rsid w:val="000F6EE3"/>
    <w:rsid w:val="000F6F70"/>
    <w:rsid w:val="000F70D2"/>
    <w:rsid w:val="000F752C"/>
    <w:rsid w:val="000F7AD9"/>
    <w:rsid w:val="000F7DAD"/>
    <w:rsid w:val="000F7F73"/>
    <w:rsid w:val="0010042D"/>
    <w:rsid w:val="001005D6"/>
    <w:rsid w:val="001008FD"/>
    <w:rsid w:val="00100AA0"/>
    <w:rsid w:val="00100AB4"/>
    <w:rsid w:val="00100C7D"/>
    <w:rsid w:val="00100E08"/>
    <w:rsid w:val="00100F1E"/>
    <w:rsid w:val="00101347"/>
    <w:rsid w:val="00101580"/>
    <w:rsid w:val="0010172F"/>
    <w:rsid w:val="001018BB"/>
    <w:rsid w:val="00101C91"/>
    <w:rsid w:val="0010235F"/>
    <w:rsid w:val="001026DA"/>
    <w:rsid w:val="00102720"/>
    <w:rsid w:val="001033F2"/>
    <w:rsid w:val="001035FC"/>
    <w:rsid w:val="00103AC0"/>
    <w:rsid w:val="00103D74"/>
    <w:rsid w:val="00104029"/>
    <w:rsid w:val="00104066"/>
    <w:rsid w:val="0010451E"/>
    <w:rsid w:val="0010474D"/>
    <w:rsid w:val="0010477D"/>
    <w:rsid w:val="00104885"/>
    <w:rsid w:val="001048BF"/>
    <w:rsid w:val="00104AAF"/>
    <w:rsid w:val="00104AC5"/>
    <w:rsid w:val="00104B2D"/>
    <w:rsid w:val="00104CC8"/>
    <w:rsid w:val="00104CD8"/>
    <w:rsid w:val="00105321"/>
    <w:rsid w:val="001054BF"/>
    <w:rsid w:val="0010588C"/>
    <w:rsid w:val="00105B57"/>
    <w:rsid w:val="00105BCE"/>
    <w:rsid w:val="00105D4C"/>
    <w:rsid w:val="00105D89"/>
    <w:rsid w:val="00105DB4"/>
    <w:rsid w:val="00106118"/>
    <w:rsid w:val="001061B8"/>
    <w:rsid w:val="0010621E"/>
    <w:rsid w:val="00106268"/>
    <w:rsid w:val="001066B2"/>
    <w:rsid w:val="00106702"/>
    <w:rsid w:val="00106783"/>
    <w:rsid w:val="00106797"/>
    <w:rsid w:val="0010730A"/>
    <w:rsid w:val="0010741F"/>
    <w:rsid w:val="001076D2"/>
    <w:rsid w:val="001077A5"/>
    <w:rsid w:val="00107AE7"/>
    <w:rsid w:val="00107C0D"/>
    <w:rsid w:val="001101E2"/>
    <w:rsid w:val="00110259"/>
    <w:rsid w:val="00110325"/>
    <w:rsid w:val="0011072D"/>
    <w:rsid w:val="00110967"/>
    <w:rsid w:val="00110C19"/>
    <w:rsid w:val="00110CA6"/>
    <w:rsid w:val="00110DFD"/>
    <w:rsid w:val="00110E55"/>
    <w:rsid w:val="001112EA"/>
    <w:rsid w:val="00111443"/>
    <w:rsid w:val="001115B5"/>
    <w:rsid w:val="001116AF"/>
    <w:rsid w:val="001120F4"/>
    <w:rsid w:val="001121CE"/>
    <w:rsid w:val="0011226E"/>
    <w:rsid w:val="00112675"/>
    <w:rsid w:val="00112C3F"/>
    <w:rsid w:val="00113039"/>
    <w:rsid w:val="0011303C"/>
    <w:rsid w:val="001133B4"/>
    <w:rsid w:val="001133CC"/>
    <w:rsid w:val="00113BAC"/>
    <w:rsid w:val="00113F0E"/>
    <w:rsid w:val="0011431A"/>
    <w:rsid w:val="0011445F"/>
    <w:rsid w:val="0011465E"/>
    <w:rsid w:val="00114B04"/>
    <w:rsid w:val="00114D24"/>
    <w:rsid w:val="00115040"/>
    <w:rsid w:val="0011529B"/>
    <w:rsid w:val="001155A6"/>
    <w:rsid w:val="0011571A"/>
    <w:rsid w:val="001158EC"/>
    <w:rsid w:val="001159EE"/>
    <w:rsid w:val="00115B3C"/>
    <w:rsid w:val="00115DA9"/>
    <w:rsid w:val="00116076"/>
    <w:rsid w:val="00116110"/>
    <w:rsid w:val="00116691"/>
    <w:rsid w:val="001168A9"/>
    <w:rsid w:val="00116AE2"/>
    <w:rsid w:val="00116B17"/>
    <w:rsid w:val="00116C16"/>
    <w:rsid w:val="00116E58"/>
    <w:rsid w:val="00116F4A"/>
    <w:rsid w:val="00117175"/>
    <w:rsid w:val="00117453"/>
    <w:rsid w:val="00117577"/>
    <w:rsid w:val="00117642"/>
    <w:rsid w:val="0012027D"/>
    <w:rsid w:val="00120373"/>
    <w:rsid w:val="00120503"/>
    <w:rsid w:val="00120D95"/>
    <w:rsid w:val="00120E65"/>
    <w:rsid w:val="00121193"/>
    <w:rsid w:val="00121963"/>
    <w:rsid w:val="00121B83"/>
    <w:rsid w:val="00121C59"/>
    <w:rsid w:val="001220BB"/>
    <w:rsid w:val="00122572"/>
    <w:rsid w:val="00122651"/>
    <w:rsid w:val="00122754"/>
    <w:rsid w:val="00122BED"/>
    <w:rsid w:val="00122D26"/>
    <w:rsid w:val="00122DC6"/>
    <w:rsid w:val="00122EC7"/>
    <w:rsid w:val="00122FE2"/>
    <w:rsid w:val="00123197"/>
    <w:rsid w:val="001232F9"/>
    <w:rsid w:val="0012367E"/>
    <w:rsid w:val="001238FF"/>
    <w:rsid w:val="0012466A"/>
    <w:rsid w:val="001249E1"/>
    <w:rsid w:val="00124A7C"/>
    <w:rsid w:val="00124CAC"/>
    <w:rsid w:val="00124DEB"/>
    <w:rsid w:val="00125368"/>
    <w:rsid w:val="0012563D"/>
    <w:rsid w:val="001259ED"/>
    <w:rsid w:val="00125AA0"/>
    <w:rsid w:val="00125AE0"/>
    <w:rsid w:val="001260B7"/>
    <w:rsid w:val="0012618D"/>
    <w:rsid w:val="00126541"/>
    <w:rsid w:val="001267BB"/>
    <w:rsid w:val="00126879"/>
    <w:rsid w:val="00126AC1"/>
    <w:rsid w:val="00126C33"/>
    <w:rsid w:val="00126D40"/>
    <w:rsid w:val="001271AA"/>
    <w:rsid w:val="001272F0"/>
    <w:rsid w:val="0012746B"/>
    <w:rsid w:val="00127874"/>
    <w:rsid w:val="00127A45"/>
    <w:rsid w:val="00127B73"/>
    <w:rsid w:val="0013034A"/>
    <w:rsid w:val="001306D0"/>
    <w:rsid w:val="0013084F"/>
    <w:rsid w:val="00130FAC"/>
    <w:rsid w:val="00131224"/>
    <w:rsid w:val="00131469"/>
    <w:rsid w:val="00131984"/>
    <w:rsid w:val="001320F8"/>
    <w:rsid w:val="00132158"/>
    <w:rsid w:val="00132383"/>
    <w:rsid w:val="001327D8"/>
    <w:rsid w:val="00132862"/>
    <w:rsid w:val="001328D7"/>
    <w:rsid w:val="00132A94"/>
    <w:rsid w:val="00132B64"/>
    <w:rsid w:val="00132BC5"/>
    <w:rsid w:val="00132ECE"/>
    <w:rsid w:val="00132EE0"/>
    <w:rsid w:val="00132F1E"/>
    <w:rsid w:val="00132FBC"/>
    <w:rsid w:val="00133021"/>
    <w:rsid w:val="00133041"/>
    <w:rsid w:val="0013386B"/>
    <w:rsid w:val="00134768"/>
    <w:rsid w:val="00134833"/>
    <w:rsid w:val="00135760"/>
    <w:rsid w:val="00135B41"/>
    <w:rsid w:val="00135DCB"/>
    <w:rsid w:val="00136058"/>
    <w:rsid w:val="00136347"/>
    <w:rsid w:val="0013634A"/>
    <w:rsid w:val="00136402"/>
    <w:rsid w:val="0013678E"/>
    <w:rsid w:val="00136C6F"/>
    <w:rsid w:val="00136D7A"/>
    <w:rsid w:val="00137133"/>
    <w:rsid w:val="001373C7"/>
    <w:rsid w:val="00137549"/>
    <w:rsid w:val="00137BB7"/>
    <w:rsid w:val="00137CFF"/>
    <w:rsid w:val="00137EAC"/>
    <w:rsid w:val="001401B7"/>
    <w:rsid w:val="001401E4"/>
    <w:rsid w:val="0014047E"/>
    <w:rsid w:val="001404C5"/>
    <w:rsid w:val="001404FD"/>
    <w:rsid w:val="00140753"/>
    <w:rsid w:val="00140823"/>
    <w:rsid w:val="00140879"/>
    <w:rsid w:val="00140E6F"/>
    <w:rsid w:val="00140EFF"/>
    <w:rsid w:val="001413D9"/>
    <w:rsid w:val="00141849"/>
    <w:rsid w:val="00141A55"/>
    <w:rsid w:val="00141BAB"/>
    <w:rsid w:val="00141DD7"/>
    <w:rsid w:val="00141FB6"/>
    <w:rsid w:val="00142271"/>
    <w:rsid w:val="001424A7"/>
    <w:rsid w:val="0014261D"/>
    <w:rsid w:val="0014267E"/>
    <w:rsid w:val="001428D1"/>
    <w:rsid w:val="00142B0D"/>
    <w:rsid w:val="00142B67"/>
    <w:rsid w:val="00142EB3"/>
    <w:rsid w:val="0014319D"/>
    <w:rsid w:val="001432EE"/>
    <w:rsid w:val="00143328"/>
    <w:rsid w:val="001433D1"/>
    <w:rsid w:val="001433D8"/>
    <w:rsid w:val="001436F2"/>
    <w:rsid w:val="001436F4"/>
    <w:rsid w:val="00143C5A"/>
    <w:rsid w:val="00143CA6"/>
    <w:rsid w:val="00143E27"/>
    <w:rsid w:val="0014444B"/>
    <w:rsid w:val="001448CC"/>
    <w:rsid w:val="001449C7"/>
    <w:rsid w:val="00144C40"/>
    <w:rsid w:val="00144D09"/>
    <w:rsid w:val="00144DC0"/>
    <w:rsid w:val="00144ED9"/>
    <w:rsid w:val="00145027"/>
    <w:rsid w:val="001451D7"/>
    <w:rsid w:val="00145305"/>
    <w:rsid w:val="00145582"/>
    <w:rsid w:val="0014574C"/>
    <w:rsid w:val="00145820"/>
    <w:rsid w:val="00145F38"/>
    <w:rsid w:val="001460A7"/>
    <w:rsid w:val="001466EA"/>
    <w:rsid w:val="00146A62"/>
    <w:rsid w:val="00146BC9"/>
    <w:rsid w:val="00146FF0"/>
    <w:rsid w:val="0014709F"/>
    <w:rsid w:val="0014711F"/>
    <w:rsid w:val="0014730A"/>
    <w:rsid w:val="001477E6"/>
    <w:rsid w:val="00147802"/>
    <w:rsid w:val="00147BA6"/>
    <w:rsid w:val="00147C12"/>
    <w:rsid w:val="00147F58"/>
    <w:rsid w:val="00150039"/>
    <w:rsid w:val="001501DA"/>
    <w:rsid w:val="0015062C"/>
    <w:rsid w:val="00150894"/>
    <w:rsid w:val="00150948"/>
    <w:rsid w:val="00150BBC"/>
    <w:rsid w:val="00151161"/>
    <w:rsid w:val="001512E4"/>
    <w:rsid w:val="0015165F"/>
    <w:rsid w:val="001518AF"/>
    <w:rsid w:val="00151962"/>
    <w:rsid w:val="00151D22"/>
    <w:rsid w:val="00151F1C"/>
    <w:rsid w:val="00151F96"/>
    <w:rsid w:val="00152035"/>
    <w:rsid w:val="00152513"/>
    <w:rsid w:val="0015298F"/>
    <w:rsid w:val="00152C78"/>
    <w:rsid w:val="00152F4A"/>
    <w:rsid w:val="00152FC3"/>
    <w:rsid w:val="00153392"/>
    <w:rsid w:val="00153553"/>
    <w:rsid w:val="0015394A"/>
    <w:rsid w:val="0015397F"/>
    <w:rsid w:val="00153A28"/>
    <w:rsid w:val="00153BDA"/>
    <w:rsid w:val="00153EDC"/>
    <w:rsid w:val="001542D6"/>
    <w:rsid w:val="0015440E"/>
    <w:rsid w:val="001545CB"/>
    <w:rsid w:val="001547DA"/>
    <w:rsid w:val="00154CC5"/>
    <w:rsid w:val="00154FA9"/>
    <w:rsid w:val="0015516D"/>
    <w:rsid w:val="00155301"/>
    <w:rsid w:val="001553BA"/>
    <w:rsid w:val="00155532"/>
    <w:rsid w:val="0015669D"/>
    <w:rsid w:val="001572E4"/>
    <w:rsid w:val="0015734D"/>
    <w:rsid w:val="001573EA"/>
    <w:rsid w:val="001574D8"/>
    <w:rsid w:val="00157C25"/>
    <w:rsid w:val="00157C74"/>
    <w:rsid w:val="00157D3A"/>
    <w:rsid w:val="00157E02"/>
    <w:rsid w:val="0016006B"/>
    <w:rsid w:val="00160258"/>
    <w:rsid w:val="001605EF"/>
    <w:rsid w:val="00160BF3"/>
    <w:rsid w:val="00160D0F"/>
    <w:rsid w:val="0016138D"/>
    <w:rsid w:val="00161B74"/>
    <w:rsid w:val="001620B3"/>
    <w:rsid w:val="0016243C"/>
    <w:rsid w:val="001625DA"/>
    <w:rsid w:val="0016297F"/>
    <w:rsid w:val="00162A6C"/>
    <w:rsid w:val="00162D17"/>
    <w:rsid w:val="00162FE8"/>
    <w:rsid w:val="0016372A"/>
    <w:rsid w:val="0016377E"/>
    <w:rsid w:val="00163ACB"/>
    <w:rsid w:val="00163D26"/>
    <w:rsid w:val="00164135"/>
    <w:rsid w:val="001641DA"/>
    <w:rsid w:val="001642D3"/>
    <w:rsid w:val="00164575"/>
    <w:rsid w:val="001645A1"/>
    <w:rsid w:val="001645A3"/>
    <w:rsid w:val="001645E8"/>
    <w:rsid w:val="00164B6A"/>
    <w:rsid w:val="00164D48"/>
    <w:rsid w:val="00165313"/>
    <w:rsid w:val="00165337"/>
    <w:rsid w:val="001654C7"/>
    <w:rsid w:val="001655A0"/>
    <w:rsid w:val="001655B1"/>
    <w:rsid w:val="00165740"/>
    <w:rsid w:val="00165A07"/>
    <w:rsid w:val="00165AC6"/>
    <w:rsid w:val="00165BE3"/>
    <w:rsid w:val="00165C83"/>
    <w:rsid w:val="00166174"/>
    <w:rsid w:val="0016634A"/>
    <w:rsid w:val="0016634E"/>
    <w:rsid w:val="001666EA"/>
    <w:rsid w:val="00166904"/>
    <w:rsid w:val="00166F77"/>
    <w:rsid w:val="0016705C"/>
    <w:rsid w:val="001670A9"/>
    <w:rsid w:val="00167136"/>
    <w:rsid w:val="0016732A"/>
    <w:rsid w:val="00167454"/>
    <w:rsid w:val="00167613"/>
    <w:rsid w:val="00167AFB"/>
    <w:rsid w:val="00167E58"/>
    <w:rsid w:val="00167F30"/>
    <w:rsid w:val="00167F8A"/>
    <w:rsid w:val="00167FC6"/>
    <w:rsid w:val="0017047C"/>
    <w:rsid w:val="0017054C"/>
    <w:rsid w:val="00170672"/>
    <w:rsid w:val="0017085F"/>
    <w:rsid w:val="00170A80"/>
    <w:rsid w:val="0017109B"/>
    <w:rsid w:val="00171164"/>
    <w:rsid w:val="00171640"/>
    <w:rsid w:val="0017173D"/>
    <w:rsid w:val="001718DF"/>
    <w:rsid w:val="00171995"/>
    <w:rsid w:val="00171BF4"/>
    <w:rsid w:val="00171D14"/>
    <w:rsid w:val="00172128"/>
    <w:rsid w:val="001721D7"/>
    <w:rsid w:val="00172542"/>
    <w:rsid w:val="001725ED"/>
    <w:rsid w:val="0017268D"/>
    <w:rsid w:val="0017270A"/>
    <w:rsid w:val="00172A7F"/>
    <w:rsid w:val="00172C8F"/>
    <w:rsid w:val="00172F1B"/>
    <w:rsid w:val="0017306E"/>
    <w:rsid w:val="00173107"/>
    <w:rsid w:val="00173366"/>
    <w:rsid w:val="001733F8"/>
    <w:rsid w:val="001737A9"/>
    <w:rsid w:val="00173D3E"/>
    <w:rsid w:val="00173FD4"/>
    <w:rsid w:val="00174807"/>
    <w:rsid w:val="00174A62"/>
    <w:rsid w:val="00174D88"/>
    <w:rsid w:val="00174E29"/>
    <w:rsid w:val="00174F15"/>
    <w:rsid w:val="0017548E"/>
    <w:rsid w:val="00175857"/>
    <w:rsid w:val="00175B47"/>
    <w:rsid w:val="00175DE6"/>
    <w:rsid w:val="00176369"/>
    <w:rsid w:val="0017661E"/>
    <w:rsid w:val="0017676E"/>
    <w:rsid w:val="00176A89"/>
    <w:rsid w:val="00176F87"/>
    <w:rsid w:val="001771CC"/>
    <w:rsid w:val="001772A6"/>
    <w:rsid w:val="001773AD"/>
    <w:rsid w:val="00177A8F"/>
    <w:rsid w:val="00177C7F"/>
    <w:rsid w:val="00177F20"/>
    <w:rsid w:val="00180143"/>
    <w:rsid w:val="001804ED"/>
    <w:rsid w:val="0018093C"/>
    <w:rsid w:val="001809AF"/>
    <w:rsid w:val="00180C99"/>
    <w:rsid w:val="00180FEB"/>
    <w:rsid w:val="0018123F"/>
    <w:rsid w:val="00181597"/>
    <w:rsid w:val="001815C4"/>
    <w:rsid w:val="00181A9C"/>
    <w:rsid w:val="00181C40"/>
    <w:rsid w:val="00181D8F"/>
    <w:rsid w:val="00181E35"/>
    <w:rsid w:val="00181EB1"/>
    <w:rsid w:val="00182511"/>
    <w:rsid w:val="00182790"/>
    <w:rsid w:val="001827DA"/>
    <w:rsid w:val="00182A16"/>
    <w:rsid w:val="00182DC5"/>
    <w:rsid w:val="00182EC3"/>
    <w:rsid w:val="0018327E"/>
    <w:rsid w:val="001832EE"/>
    <w:rsid w:val="00183304"/>
    <w:rsid w:val="001835F3"/>
    <w:rsid w:val="001837F6"/>
    <w:rsid w:val="001838ED"/>
    <w:rsid w:val="00183B72"/>
    <w:rsid w:val="00183E8E"/>
    <w:rsid w:val="001842F4"/>
    <w:rsid w:val="0018439E"/>
    <w:rsid w:val="00184525"/>
    <w:rsid w:val="001847A8"/>
    <w:rsid w:val="00184DE8"/>
    <w:rsid w:val="00185239"/>
    <w:rsid w:val="0018566C"/>
    <w:rsid w:val="00185A4C"/>
    <w:rsid w:val="00185AAE"/>
    <w:rsid w:val="00185BC9"/>
    <w:rsid w:val="0018619C"/>
    <w:rsid w:val="001862D6"/>
    <w:rsid w:val="001862E2"/>
    <w:rsid w:val="00186665"/>
    <w:rsid w:val="00186AE8"/>
    <w:rsid w:val="00186F25"/>
    <w:rsid w:val="001870A3"/>
    <w:rsid w:val="00187163"/>
    <w:rsid w:val="001871D5"/>
    <w:rsid w:val="00187365"/>
    <w:rsid w:val="001873CF"/>
    <w:rsid w:val="001875C9"/>
    <w:rsid w:val="00187667"/>
    <w:rsid w:val="00187749"/>
    <w:rsid w:val="001877FC"/>
    <w:rsid w:val="00187D3B"/>
    <w:rsid w:val="001901E4"/>
    <w:rsid w:val="001906B1"/>
    <w:rsid w:val="001906F2"/>
    <w:rsid w:val="00190767"/>
    <w:rsid w:val="00190E5E"/>
    <w:rsid w:val="00190ED7"/>
    <w:rsid w:val="00190F72"/>
    <w:rsid w:val="00191D0F"/>
    <w:rsid w:val="00191ED5"/>
    <w:rsid w:val="00191FB8"/>
    <w:rsid w:val="00192184"/>
    <w:rsid w:val="001925DF"/>
    <w:rsid w:val="00192C01"/>
    <w:rsid w:val="00192C15"/>
    <w:rsid w:val="00192D0E"/>
    <w:rsid w:val="00192D6A"/>
    <w:rsid w:val="00192E75"/>
    <w:rsid w:val="00192F43"/>
    <w:rsid w:val="00192F68"/>
    <w:rsid w:val="0019343C"/>
    <w:rsid w:val="0019345F"/>
    <w:rsid w:val="001937D1"/>
    <w:rsid w:val="00193896"/>
    <w:rsid w:val="0019389F"/>
    <w:rsid w:val="001938B7"/>
    <w:rsid w:val="00193BB5"/>
    <w:rsid w:val="00193E1B"/>
    <w:rsid w:val="001940C7"/>
    <w:rsid w:val="001948C4"/>
    <w:rsid w:val="00194A12"/>
    <w:rsid w:val="00194A4B"/>
    <w:rsid w:val="00194BE7"/>
    <w:rsid w:val="00194BF6"/>
    <w:rsid w:val="00194D71"/>
    <w:rsid w:val="00194E7E"/>
    <w:rsid w:val="00195042"/>
    <w:rsid w:val="0019504A"/>
    <w:rsid w:val="00195420"/>
    <w:rsid w:val="00195566"/>
    <w:rsid w:val="00195EE6"/>
    <w:rsid w:val="001964AC"/>
    <w:rsid w:val="001964DB"/>
    <w:rsid w:val="00196A28"/>
    <w:rsid w:val="00196F67"/>
    <w:rsid w:val="00197185"/>
    <w:rsid w:val="0019726A"/>
    <w:rsid w:val="0019751A"/>
    <w:rsid w:val="0019759C"/>
    <w:rsid w:val="001975C0"/>
    <w:rsid w:val="0019762F"/>
    <w:rsid w:val="001976A8"/>
    <w:rsid w:val="001977B4"/>
    <w:rsid w:val="00197898"/>
    <w:rsid w:val="00197982"/>
    <w:rsid w:val="00197A85"/>
    <w:rsid w:val="00197B79"/>
    <w:rsid w:val="00197C64"/>
    <w:rsid w:val="001A0337"/>
    <w:rsid w:val="001A0427"/>
    <w:rsid w:val="001A0754"/>
    <w:rsid w:val="001A07EB"/>
    <w:rsid w:val="001A0BF4"/>
    <w:rsid w:val="001A0D2E"/>
    <w:rsid w:val="001A0DC9"/>
    <w:rsid w:val="001A0FA0"/>
    <w:rsid w:val="001A12A3"/>
    <w:rsid w:val="001A1497"/>
    <w:rsid w:val="001A1528"/>
    <w:rsid w:val="001A1826"/>
    <w:rsid w:val="001A199C"/>
    <w:rsid w:val="001A1A4B"/>
    <w:rsid w:val="001A1CB6"/>
    <w:rsid w:val="001A1D4E"/>
    <w:rsid w:val="001A22D0"/>
    <w:rsid w:val="001A2486"/>
    <w:rsid w:val="001A2767"/>
    <w:rsid w:val="001A299E"/>
    <w:rsid w:val="001A2B36"/>
    <w:rsid w:val="001A2FDC"/>
    <w:rsid w:val="001A3197"/>
    <w:rsid w:val="001A3238"/>
    <w:rsid w:val="001A3462"/>
    <w:rsid w:val="001A3DF9"/>
    <w:rsid w:val="001A3F7F"/>
    <w:rsid w:val="001A3FFC"/>
    <w:rsid w:val="001A4091"/>
    <w:rsid w:val="001A4184"/>
    <w:rsid w:val="001A4352"/>
    <w:rsid w:val="001A4AD0"/>
    <w:rsid w:val="001A4C0A"/>
    <w:rsid w:val="001A4C2A"/>
    <w:rsid w:val="001A4CD7"/>
    <w:rsid w:val="001A4CDF"/>
    <w:rsid w:val="001A5ADF"/>
    <w:rsid w:val="001A5D21"/>
    <w:rsid w:val="001A66A9"/>
    <w:rsid w:val="001A6826"/>
    <w:rsid w:val="001A699A"/>
    <w:rsid w:val="001A6C21"/>
    <w:rsid w:val="001A6C26"/>
    <w:rsid w:val="001A6DE2"/>
    <w:rsid w:val="001A6EBB"/>
    <w:rsid w:val="001A70C4"/>
    <w:rsid w:val="001A7126"/>
    <w:rsid w:val="001A7356"/>
    <w:rsid w:val="001A79AA"/>
    <w:rsid w:val="001A7F21"/>
    <w:rsid w:val="001B010E"/>
    <w:rsid w:val="001B011A"/>
    <w:rsid w:val="001B01AD"/>
    <w:rsid w:val="001B0397"/>
    <w:rsid w:val="001B03A2"/>
    <w:rsid w:val="001B0C73"/>
    <w:rsid w:val="001B109A"/>
    <w:rsid w:val="001B1420"/>
    <w:rsid w:val="001B1534"/>
    <w:rsid w:val="001B15B3"/>
    <w:rsid w:val="001B1632"/>
    <w:rsid w:val="001B1963"/>
    <w:rsid w:val="001B20C5"/>
    <w:rsid w:val="001B238B"/>
    <w:rsid w:val="001B2637"/>
    <w:rsid w:val="001B285C"/>
    <w:rsid w:val="001B28E4"/>
    <w:rsid w:val="001B293C"/>
    <w:rsid w:val="001B2B9F"/>
    <w:rsid w:val="001B305C"/>
    <w:rsid w:val="001B3262"/>
    <w:rsid w:val="001B32C9"/>
    <w:rsid w:val="001B32E6"/>
    <w:rsid w:val="001B3BC1"/>
    <w:rsid w:val="001B4214"/>
    <w:rsid w:val="001B452E"/>
    <w:rsid w:val="001B4836"/>
    <w:rsid w:val="001B4A92"/>
    <w:rsid w:val="001B4AFC"/>
    <w:rsid w:val="001B4E36"/>
    <w:rsid w:val="001B4EBE"/>
    <w:rsid w:val="001B542F"/>
    <w:rsid w:val="001B557D"/>
    <w:rsid w:val="001B562D"/>
    <w:rsid w:val="001B56F5"/>
    <w:rsid w:val="001B57F6"/>
    <w:rsid w:val="001B5855"/>
    <w:rsid w:val="001B59BB"/>
    <w:rsid w:val="001B59CA"/>
    <w:rsid w:val="001B6084"/>
    <w:rsid w:val="001B628C"/>
    <w:rsid w:val="001B6336"/>
    <w:rsid w:val="001B65CA"/>
    <w:rsid w:val="001B67F8"/>
    <w:rsid w:val="001B6817"/>
    <w:rsid w:val="001B6F45"/>
    <w:rsid w:val="001B70DA"/>
    <w:rsid w:val="001B73D5"/>
    <w:rsid w:val="001B7699"/>
    <w:rsid w:val="001B7EA6"/>
    <w:rsid w:val="001B7EFB"/>
    <w:rsid w:val="001B7F82"/>
    <w:rsid w:val="001C0068"/>
    <w:rsid w:val="001C0378"/>
    <w:rsid w:val="001C04C7"/>
    <w:rsid w:val="001C082E"/>
    <w:rsid w:val="001C08F6"/>
    <w:rsid w:val="001C0AE4"/>
    <w:rsid w:val="001C0D29"/>
    <w:rsid w:val="001C0ED2"/>
    <w:rsid w:val="001C1139"/>
    <w:rsid w:val="001C12DC"/>
    <w:rsid w:val="001C1F87"/>
    <w:rsid w:val="001C1FAC"/>
    <w:rsid w:val="001C2116"/>
    <w:rsid w:val="001C24DA"/>
    <w:rsid w:val="001C2770"/>
    <w:rsid w:val="001C2862"/>
    <w:rsid w:val="001C2E4D"/>
    <w:rsid w:val="001C3036"/>
    <w:rsid w:val="001C3129"/>
    <w:rsid w:val="001C33A1"/>
    <w:rsid w:val="001C3564"/>
    <w:rsid w:val="001C3639"/>
    <w:rsid w:val="001C38AC"/>
    <w:rsid w:val="001C3A6D"/>
    <w:rsid w:val="001C3BAF"/>
    <w:rsid w:val="001C3E3B"/>
    <w:rsid w:val="001C3FDF"/>
    <w:rsid w:val="001C44FA"/>
    <w:rsid w:val="001C4520"/>
    <w:rsid w:val="001C45AD"/>
    <w:rsid w:val="001C498C"/>
    <w:rsid w:val="001C4998"/>
    <w:rsid w:val="001C4C2D"/>
    <w:rsid w:val="001C4D10"/>
    <w:rsid w:val="001C522E"/>
    <w:rsid w:val="001C54BA"/>
    <w:rsid w:val="001C555C"/>
    <w:rsid w:val="001C561D"/>
    <w:rsid w:val="001C5B38"/>
    <w:rsid w:val="001C5D17"/>
    <w:rsid w:val="001C61FC"/>
    <w:rsid w:val="001C63BD"/>
    <w:rsid w:val="001C663B"/>
    <w:rsid w:val="001C6890"/>
    <w:rsid w:val="001C69AF"/>
    <w:rsid w:val="001C6A45"/>
    <w:rsid w:val="001C6C38"/>
    <w:rsid w:val="001C7057"/>
    <w:rsid w:val="001C78C8"/>
    <w:rsid w:val="001C7A43"/>
    <w:rsid w:val="001C7ECF"/>
    <w:rsid w:val="001D04D8"/>
    <w:rsid w:val="001D0535"/>
    <w:rsid w:val="001D0BA3"/>
    <w:rsid w:val="001D21A8"/>
    <w:rsid w:val="001D25BE"/>
    <w:rsid w:val="001D2679"/>
    <w:rsid w:val="001D2EE2"/>
    <w:rsid w:val="001D2F89"/>
    <w:rsid w:val="001D33EE"/>
    <w:rsid w:val="001D3700"/>
    <w:rsid w:val="001D3C15"/>
    <w:rsid w:val="001D421F"/>
    <w:rsid w:val="001D453C"/>
    <w:rsid w:val="001D45C6"/>
    <w:rsid w:val="001D4660"/>
    <w:rsid w:val="001D4A69"/>
    <w:rsid w:val="001D4B06"/>
    <w:rsid w:val="001D5091"/>
    <w:rsid w:val="001D54F8"/>
    <w:rsid w:val="001D57C0"/>
    <w:rsid w:val="001D59F5"/>
    <w:rsid w:val="001D601A"/>
    <w:rsid w:val="001D60BE"/>
    <w:rsid w:val="001D6217"/>
    <w:rsid w:val="001D63B3"/>
    <w:rsid w:val="001D6406"/>
    <w:rsid w:val="001D64F2"/>
    <w:rsid w:val="001D689D"/>
    <w:rsid w:val="001D6EF0"/>
    <w:rsid w:val="001D7164"/>
    <w:rsid w:val="001D75AA"/>
    <w:rsid w:val="001D75B2"/>
    <w:rsid w:val="001D7673"/>
    <w:rsid w:val="001D77E0"/>
    <w:rsid w:val="001D7890"/>
    <w:rsid w:val="001D79E9"/>
    <w:rsid w:val="001D7CA1"/>
    <w:rsid w:val="001D7D4F"/>
    <w:rsid w:val="001D7D60"/>
    <w:rsid w:val="001D7DB9"/>
    <w:rsid w:val="001D7ED1"/>
    <w:rsid w:val="001D7EF1"/>
    <w:rsid w:val="001E0320"/>
    <w:rsid w:val="001E0512"/>
    <w:rsid w:val="001E0864"/>
    <w:rsid w:val="001E107F"/>
    <w:rsid w:val="001E1584"/>
    <w:rsid w:val="001E1C3C"/>
    <w:rsid w:val="001E1C8A"/>
    <w:rsid w:val="001E2136"/>
    <w:rsid w:val="001E2421"/>
    <w:rsid w:val="001E2459"/>
    <w:rsid w:val="001E246A"/>
    <w:rsid w:val="001E277C"/>
    <w:rsid w:val="001E2EE5"/>
    <w:rsid w:val="001E2F99"/>
    <w:rsid w:val="001E3156"/>
    <w:rsid w:val="001E3308"/>
    <w:rsid w:val="001E3368"/>
    <w:rsid w:val="001E35F8"/>
    <w:rsid w:val="001E37FC"/>
    <w:rsid w:val="001E396D"/>
    <w:rsid w:val="001E3B99"/>
    <w:rsid w:val="001E3FEE"/>
    <w:rsid w:val="001E4002"/>
    <w:rsid w:val="001E41FE"/>
    <w:rsid w:val="001E429E"/>
    <w:rsid w:val="001E4442"/>
    <w:rsid w:val="001E47E5"/>
    <w:rsid w:val="001E49E9"/>
    <w:rsid w:val="001E4B0C"/>
    <w:rsid w:val="001E4B8A"/>
    <w:rsid w:val="001E4E41"/>
    <w:rsid w:val="001E5400"/>
    <w:rsid w:val="001E55B0"/>
    <w:rsid w:val="001E570C"/>
    <w:rsid w:val="001E576E"/>
    <w:rsid w:val="001E58A2"/>
    <w:rsid w:val="001E59C2"/>
    <w:rsid w:val="001E5E52"/>
    <w:rsid w:val="001E632A"/>
    <w:rsid w:val="001E646C"/>
    <w:rsid w:val="001E65F9"/>
    <w:rsid w:val="001E6767"/>
    <w:rsid w:val="001E69CB"/>
    <w:rsid w:val="001E69CC"/>
    <w:rsid w:val="001E6AE9"/>
    <w:rsid w:val="001E6DB8"/>
    <w:rsid w:val="001E7311"/>
    <w:rsid w:val="001E73CD"/>
    <w:rsid w:val="001E73E8"/>
    <w:rsid w:val="001E74FC"/>
    <w:rsid w:val="001E788C"/>
    <w:rsid w:val="001E793B"/>
    <w:rsid w:val="001E7B44"/>
    <w:rsid w:val="001E7BDF"/>
    <w:rsid w:val="001F055F"/>
    <w:rsid w:val="001F06DA"/>
    <w:rsid w:val="001F0760"/>
    <w:rsid w:val="001F077C"/>
    <w:rsid w:val="001F07D4"/>
    <w:rsid w:val="001F0DEF"/>
    <w:rsid w:val="001F1017"/>
    <w:rsid w:val="001F1299"/>
    <w:rsid w:val="001F1894"/>
    <w:rsid w:val="001F18A7"/>
    <w:rsid w:val="001F199F"/>
    <w:rsid w:val="001F1AC5"/>
    <w:rsid w:val="001F1B30"/>
    <w:rsid w:val="001F1C65"/>
    <w:rsid w:val="001F1DE5"/>
    <w:rsid w:val="001F20BB"/>
    <w:rsid w:val="001F2118"/>
    <w:rsid w:val="001F237C"/>
    <w:rsid w:val="001F272F"/>
    <w:rsid w:val="001F283E"/>
    <w:rsid w:val="001F2970"/>
    <w:rsid w:val="001F2E1B"/>
    <w:rsid w:val="001F3CC1"/>
    <w:rsid w:val="001F3D64"/>
    <w:rsid w:val="001F4127"/>
    <w:rsid w:val="001F46BD"/>
    <w:rsid w:val="001F4983"/>
    <w:rsid w:val="001F498B"/>
    <w:rsid w:val="001F4AE3"/>
    <w:rsid w:val="001F4BA0"/>
    <w:rsid w:val="001F4BD8"/>
    <w:rsid w:val="001F4EDF"/>
    <w:rsid w:val="001F520C"/>
    <w:rsid w:val="001F540D"/>
    <w:rsid w:val="001F57B7"/>
    <w:rsid w:val="001F5936"/>
    <w:rsid w:val="001F598B"/>
    <w:rsid w:val="001F5A2F"/>
    <w:rsid w:val="001F5A60"/>
    <w:rsid w:val="001F5C81"/>
    <w:rsid w:val="001F5D28"/>
    <w:rsid w:val="001F5EDC"/>
    <w:rsid w:val="001F6266"/>
    <w:rsid w:val="001F6537"/>
    <w:rsid w:val="001F6963"/>
    <w:rsid w:val="001F69ED"/>
    <w:rsid w:val="001F6BB2"/>
    <w:rsid w:val="001F6BD0"/>
    <w:rsid w:val="001F7081"/>
    <w:rsid w:val="001F7133"/>
    <w:rsid w:val="001F7511"/>
    <w:rsid w:val="001F78FF"/>
    <w:rsid w:val="001F7DB3"/>
    <w:rsid w:val="001F7FB5"/>
    <w:rsid w:val="002003AB"/>
    <w:rsid w:val="002003C2"/>
    <w:rsid w:val="00200829"/>
    <w:rsid w:val="00200B36"/>
    <w:rsid w:val="00200BB7"/>
    <w:rsid w:val="00200BD6"/>
    <w:rsid w:val="00200C49"/>
    <w:rsid w:val="00200E82"/>
    <w:rsid w:val="00201532"/>
    <w:rsid w:val="00201922"/>
    <w:rsid w:val="00201A13"/>
    <w:rsid w:val="00201B12"/>
    <w:rsid w:val="00201B86"/>
    <w:rsid w:val="00201C3C"/>
    <w:rsid w:val="00201E4B"/>
    <w:rsid w:val="00201E53"/>
    <w:rsid w:val="00201EC9"/>
    <w:rsid w:val="00201ECB"/>
    <w:rsid w:val="002021AB"/>
    <w:rsid w:val="002027CA"/>
    <w:rsid w:val="00202884"/>
    <w:rsid w:val="00202BA4"/>
    <w:rsid w:val="00202DBE"/>
    <w:rsid w:val="00203053"/>
    <w:rsid w:val="002030C4"/>
    <w:rsid w:val="002032A7"/>
    <w:rsid w:val="00203375"/>
    <w:rsid w:val="0020357B"/>
    <w:rsid w:val="002035EA"/>
    <w:rsid w:val="002036A8"/>
    <w:rsid w:val="002036E6"/>
    <w:rsid w:val="002039F6"/>
    <w:rsid w:val="002040D0"/>
    <w:rsid w:val="0020415F"/>
    <w:rsid w:val="002049A1"/>
    <w:rsid w:val="00204B9B"/>
    <w:rsid w:val="00204CD6"/>
    <w:rsid w:val="002050FE"/>
    <w:rsid w:val="00205134"/>
    <w:rsid w:val="00205662"/>
    <w:rsid w:val="0020567D"/>
    <w:rsid w:val="002057B9"/>
    <w:rsid w:val="002058AC"/>
    <w:rsid w:val="00205945"/>
    <w:rsid w:val="00205CBB"/>
    <w:rsid w:val="00205EE2"/>
    <w:rsid w:val="00206108"/>
    <w:rsid w:val="002061A0"/>
    <w:rsid w:val="00206230"/>
    <w:rsid w:val="002063E7"/>
    <w:rsid w:val="0020649E"/>
    <w:rsid w:val="00206542"/>
    <w:rsid w:val="002065A6"/>
    <w:rsid w:val="002068F8"/>
    <w:rsid w:val="00206E17"/>
    <w:rsid w:val="0020703D"/>
    <w:rsid w:val="00207040"/>
    <w:rsid w:val="00207534"/>
    <w:rsid w:val="002078A6"/>
    <w:rsid w:val="00207BA7"/>
    <w:rsid w:val="00207BE9"/>
    <w:rsid w:val="00207C32"/>
    <w:rsid w:val="00207EEA"/>
    <w:rsid w:val="00210661"/>
    <w:rsid w:val="002106A8"/>
    <w:rsid w:val="00210722"/>
    <w:rsid w:val="0021082B"/>
    <w:rsid w:val="002113EA"/>
    <w:rsid w:val="002117F8"/>
    <w:rsid w:val="00211A79"/>
    <w:rsid w:val="00211A9E"/>
    <w:rsid w:val="00211C85"/>
    <w:rsid w:val="00211D80"/>
    <w:rsid w:val="00211DDF"/>
    <w:rsid w:val="002121CE"/>
    <w:rsid w:val="002124D3"/>
    <w:rsid w:val="002125FB"/>
    <w:rsid w:val="0021292B"/>
    <w:rsid w:val="00212953"/>
    <w:rsid w:val="00212A4B"/>
    <w:rsid w:val="00212B6A"/>
    <w:rsid w:val="00212E29"/>
    <w:rsid w:val="00213409"/>
    <w:rsid w:val="002138E8"/>
    <w:rsid w:val="002139D0"/>
    <w:rsid w:val="00213C49"/>
    <w:rsid w:val="00213E01"/>
    <w:rsid w:val="00213F4C"/>
    <w:rsid w:val="002140C1"/>
    <w:rsid w:val="00214228"/>
    <w:rsid w:val="0021433D"/>
    <w:rsid w:val="002143DF"/>
    <w:rsid w:val="00214555"/>
    <w:rsid w:val="0021480F"/>
    <w:rsid w:val="0021486B"/>
    <w:rsid w:val="002148F5"/>
    <w:rsid w:val="00215054"/>
    <w:rsid w:val="002156CA"/>
    <w:rsid w:val="00215808"/>
    <w:rsid w:val="00215EB1"/>
    <w:rsid w:val="002164AB"/>
    <w:rsid w:val="002164AE"/>
    <w:rsid w:val="00216B14"/>
    <w:rsid w:val="0021734A"/>
    <w:rsid w:val="00217364"/>
    <w:rsid w:val="0021743E"/>
    <w:rsid w:val="00217766"/>
    <w:rsid w:val="002177E0"/>
    <w:rsid w:val="00217B7A"/>
    <w:rsid w:val="00217C62"/>
    <w:rsid w:val="00220061"/>
    <w:rsid w:val="00220263"/>
    <w:rsid w:val="00220433"/>
    <w:rsid w:val="002204C9"/>
    <w:rsid w:val="00220543"/>
    <w:rsid w:val="00220888"/>
    <w:rsid w:val="00220A73"/>
    <w:rsid w:val="00220D81"/>
    <w:rsid w:val="00220DF1"/>
    <w:rsid w:val="00220E3C"/>
    <w:rsid w:val="00220E4D"/>
    <w:rsid w:val="00221136"/>
    <w:rsid w:val="00221170"/>
    <w:rsid w:val="0022132D"/>
    <w:rsid w:val="0022142B"/>
    <w:rsid w:val="0022155B"/>
    <w:rsid w:val="0022187A"/>
    <w:rsid w:val="00221946"/>
    <w:rsid w:val="00221B88"/>
    <w:rsid w:val="00222125"/>
    <w:rsid w:val="00222348"/>
    <w:rsid w:val="002223F7"/>
    <w:rsid w:val="00222400"/>
    <w:rsid w:val="0022241F"/>
    <w:rsid w:val="002224A9"/>
    <w:rsid w:val="002224E0"/>
    <w:rsid w:val="00222EC7"/>
    <w:rsid w:val="00223083"/>
    <w:rsid w:val="00223303"/>
    <w:rsid w:val="002233D4"/>
    <w:rsid w:val="002234F0"/>
    <w:rsid w:val="002238C7"/>
    <w:rsid w:val="00223A49"/>
    <w:rsid w:val="00223B41"/>
    <w:rsid w:val="00223C31"/>
    <w:rsid w:val="00223E3E"/>
    <w:rsid w:val="00223FB3"/>
    <w:rsid w:val="00224065"/>
    <w:rsid w:val="002240E7"/>
    <w:rsid w:val="002244BB"/>
    <w:rsid w:val="00224562"/>
    <w:rsid w:val="00224B34"/>
    <w:rsid w:val="00224E6F"/>
    <w:rsid w:val="0022526B"/>
    <w:rsid w:val="0022538B"/>
    <w:rsid w:val="00225F9D"/>
    <w:rsid w:val="00226310"/>
    <w:rsid w:val="00226622"/>
    <w:rsid w:val="00226A1D"/>
    <w:rsid w:val="0022700E"/>
    <w:rsid w:val="00227461"/>
    <w:rsid w:val="002278C4"/>
    <w:rsid w:val="00227AB1"/>
    <w:rsid w:val="00227E43"/>
    <w:rsid w:val="0023019F"/>
    <w:rsid w:val="00230465"/>
    <w:rsid w:val="0023073C"/>
    <w:rsid w:val="0023090C"/>
    <w:rsid w:val="00230AFD"/>
    <w:rsid w:val="00230B13"/>
    <w:rsid w:val="00230B3F"/>
    <w:rsid w:val="00230BC3"/>
    <w:rsid w:val="00230CBC"/>
    <w:rsid w:val="00231269"/>
    <w:rsid w:val="00231B38"/>
    <w:rsid w:val="002321A3"/>
    <w:rsid w:val="002321FB"/>
    <w:rsid w:val="00232376"/>
    <w:rsid w:val="0023243E"/>
    <w:rsid w:val="002324D3"/>
    <w:rsid w:val="002327D9"/>
    <w:rsid w:val="00233063"/>
    <w:rsid w:val="00233351"/>
    <w:rsid w:val="002333C6"/>
    <w:rsid w:val="00233D1A"/>
    <w:rsid w:val="002340C1"/>
    <w:rsid w:val="00234B10"/>
    <w:rsid w:val="00234B92"/>
    <w:rsid w:val="00234EC8"/>
    <w:rsid w:val="00235077"/>
    <w:rsid w:val="0023525A"/>
    <w:rsid w:val="00235886"/>
    <w:rsid w:val="002359D8"/>
    <w:rsid w:val="00236053"/>
    <w:rsid w:val="00236232"/>
    <w:rsid w:val="0023629A"/>
    <w:rsid w:val="002364E6"/>
    <w:rsid w:val="002365C0"/>
    <w:rsid w:val="002365D4"/>
    <w:rsid w:val="002368C5"/>
    <w:rsid w:val="00236ED6"/>
    <w:rsid w:val="00237142"/>
    <w:rsid w:val="002372F0"/>
    <w:rsid w:val="00237332"/>
    <w:rsid w:val="002373D8"/>
    <w:rsid w:val="00237663"/>
    <w:rsid w:val="002378DB"/>
    <w:rsid w:val="00237983"/>
    <w:rsid w:val="00237B63"/>
    <w:rsid w:val="00237CEE"/>
    <w:rsid w:val="00237D2D"/>
    <w:rsid w:val="00237D89"/>
    <w:rsid w:val="002402B5"/>
    <w:rsid w:val="00240610"/>
    <w:rsid w:val="002407FA"/>
    <w:rsid w:val="00240BF5"/>
    <w:rsid w:val="00240E94"/>
    <w:rsid w:val="00241024"/>
    <w:rsid w:val="002411CA"/>
    <w:rsid w:val="0024126D"/>
    <w:rsid w:val="00241423"/>
    <w:rsid w:val="00241546"/>
    <w:rsid w:val="00241930"/>
    <w:rsid w:val="002419EE"/>
    <w:rsid w:val="0024230C"/>
    <w:rsid w:val="00242657"/>
    <w:rsid w:val="00242AFE"/>
    <w:rsid w:val="00242C88"/>
    <w:rsid w:val="00242CA6"/>
    <w:rsid w:val="00242DF0"/>
    <w:rsid w:val="00242F11"/>
    <w:rsid w:val="00243036"/>
    <w:rsid w:val="00243152"/>
    <w:rsid w:val="00243760"/>
    <w:rsid w:val="00243AC8"/>
    <w:rsid w:val="00243CE6"/>
    <w:rsid w:val="00243D4E"/>
    <w:rsid w:val="00243FBD"/>
    <w:rsid w:val="00244432"/>
    <w:rsid w:val="0024452A"/>
    <w:rsid w:val="00244A1D"/>
    <w:rsid w:val="00244AA1"/>
    <w:rsid w:val="00244CC3"/>
    <w:rsid w:val="002450E5"/>
    <w:rsid w:val="00245265"/>
    <w:rsid w:val="00245280"/>
    <w:rsid w:val="0024530B"/>
    <w:rsid w:val="002453A2"/>
    <w:rsid w:val="002453AF"/>
    <w:rsid w:val="00245635"/>
    <w:rsid w:val="0024568F"/>
    <w:rsid w:val="00245699"/>
    <w:rsid w:val="0024571A"/>
    <w:rsid w:val="002457FA"/>
    <w:rsid w:val="00245979"/>
    <w:rsid w:val="00245AF5"/>
    <w:rsid w:val="00246230"/>
    <w:rsid w:val="0024648D"/>
    <w:rsid w:val="00246546"/>
    <w:rsid w:val="00246655"/>
    <w:rsid w:val="00246F08"/>
    <w:rsid w:val="002470B8"/>
    <w:rsid w:val="002470CF"/>
    <w:rsid w:val="0024723B"/>
    <w:rsid w:val="002472EB"/>
    <w:rsid w:val="0024730E"/>
    <w:rsid w:val="00247318"/>
    <w:rsid w:val="00247402"/>
    <w:rsid w:val="00247C41"/>
    <w:rsid w:val="00247CFD"/>
    <w:rsid w:val="00250097"/>
    <w:rsid w:val="00250510"/>
    <w:rsid w:val="002506C3"/>
    <w:rsid w:val="00250812"/>
    <w:rsid w:val="002508AE"/>
    <w:rsid w:val="00250948"/>
    <w:rsid w:val="00250D00"/>
    <w:rsid w:val="0025103D"/>
    <w:rsid w:val="00251077"/>
    <w:rsid w:val="00251258"/>
    <w:rsid w:val="002513B6"/>
    <w:rsid w:val="002515BA"/>
    <w:rsid w:val="00251668"/>
    <w:rsid w:val="002516A8"/>
    <w:rsid w:val="00251B6C"/>
    <w:rsid w:val="00251B7D"/>
    <w:rsid w:val="00251BF4"/>
    <w:rsid w:val="00251C7D"/>
    <w:rsid w:val="00251FC9"/>
    <w:rsid w:val="002521AF"/>
    <w:rsid w:val="00252967"/>
    <w:rsid w:val="00252C8A"/>
    <w:rsid w:val="00252E7A"/>
    <w:rsid w:val="00252EC4"/>
    <w:rsid w:val="00253271"/>
    <w:rsid w:val="0025331E"/>
    <w:rsid w:val="00253338"/>
    <w:rsid w:val="0025356B"/>
    <w:rsid w:val="00253588"/>
    <w:rsid w:val="00253A57"/>
    <w:rsid w:val="00253B48"/>
    <w:rsid w:val="00253B64"/>
    <w:rsid w:val="00253F2A"/>
    <w:rsid w:val="0025404C"/>
    <w:rsid w:val="0025486C"/>
    <w:rsid w:val="002549F5"/>
    <w:rsid w:val="00254A12"/>
    <w:rsid w:val="00254C2E"/>
    <w:rsid w:val="00254D2F"/>
    <w:rsid w:val="00255100"/>
    <w:rsid w:val="00255207"/>
    <w:rsid w:val="002552B9"/>
    <w:rsid w:val="0025532B"/>
    <w:rsid w:val="00255383"/>
    <w:rsid w:val="002553B6"/>
    <w:rsid w:val="00255621"/>
    <w:rsid w:val="00255946"/>
    <w:rsid w:val="002559EA"/>
    <w:rsid w:val="00255C84"/>
    <w:rsid w:val="00255F05"/>
    <w:rsid w:val="00256113"/>
    <w:rsid w:val="00256159"/>
    <w:rsid w:val="00256327"/>
    <w:rsid w:val="002565A4"/>
    <w:rsid w:val="00256613"/>
    <w:rsid w:val="002567DC"/>
    <w:rsid w:val="00256BA4"/>
    <w:rsid w:val="00256C51"/>
    <w:rsid w:val="00257052"/>
    <w:rsid w:val="002570BE"/>
    <w:rsid w:val="002575B6"/>
    <w:rsid w:val="0025760F"/>
    <w:rsid w:val="00257902"/>
    <w:rsid w:val="0025792C"/>
    <w:rsid w:val="00257931"/>
    <w:rsid w:val="0026001B"/>
    <w:rsid w:val="00260071"/>
    <w:rsid w:val="00260237"/>
    <w:rsid w:val="002603A2"/>
    <w:rsid w:val="00260806"/>
    <w:rsid w:val="0026088E"/>
    <w:rsid w:val="00261308"/>
    <w:rsid w:val="0026138F"/>
    <w:rsid w:val="002614E3"/>
    <w:rsid w:val="0026167C"/>
    <w:rsid w:val="002617FE"/>
    <w:rsid w:val="002621FF"/>
    <w:rsid w:val="00262209"/>
    <w:rsid w:val="002623C7"/>
    <w:rsid w:val="002626FF"/>
    <w:rsid w:val="00263039"/>
    <w:rsid w:val="00263515"/>
    <w:rsid w:val="002636E5"/>
    <w:rsid w:val="00263AC5"/>
    <w:rsid w:val="00263D13"/>
    <w:rsid w:val="00263D1C"/>
    <w:rsid w:val="00263F81"/>
    <w:rsid w:val="002643CC"/>
    <w:rsid w:val="00264455"/>
    <w:rsid w:val="002644C8"/>
    <w:rsid w:val="0026532B"/>
    <w:rsid w:val="0026542B"/>
    <w:rsid w:val="00265559"/>
    <w:rsid w:val="00265717"/>
    <w:rsid w:val="002659C8"/>
    <w:rsid w:val="002663DE"/>
    <w:rsid w:val="00266455"/>
    <w:rsid w:val="00266F63"/>
    <w:rsid w:val="0026706F"/>
    <w:rsid w:val="002670B7"/>
    <w:rsid w:val="0026734F"/>
    <w:rsid w:val="0026759C"/>
    <w:rsid w:val="002675E8"/>
    <w:rsid w:val="00270149"/>
    <w:rsid w:val="00270174"/>
    <w:rsid w:val="002703DD"/>
    <w:rsid w:val="0027051D"/>
    <w:rsid w:val="002706FB"/>
    <w:rsid w:val="00270873"/>
    <w:rsid w:val="00270B7D"/>
    <w:rsid w:val="00270BDC"/>
    <w:rsid w:val="00270C28"/>
    <w:rsid w:val="00270EC0"/>
    <w:rsid w:val="00270FBD"/>
    <w:rsid w:val="00271002"/>
    <w:rsid w:val="0027110A"/>
    <w:rsid w:val="002714A6"/>
    <w:rsid w:val="00271711"/>
    <w:rsid w:val="0027179D"/>
    <w:rsid w:val="00271807"/>
    <w:rsid w:val="00271AC1"/>
    <w:rsid w:val="0027201C"/>
    <w:rsid w:val="00272210"/>
    <w:rsid w:val="0027257B"/>
    <w:rsid w:val="00272696"/>
    <w:rsid w:val="00272DA2"/>
    <w:rsid w:val="00272E01"/>
    <w:rsid w:val="00272E5C"/>
    <w:rsid w:val="00272ED3"/>
    <w:rsid w:val="0027315C"/>
    <w:rsid w:val="00273305"/>
    <w:rsid w:val="00273874"/>
    <w:rsid w:val="00273880"/>
    <w:rsid w:val="00273D78"/>
    <w:rsid w:val="00273D9B"/>
    <w:rsid w:val="0027424A"/>
    <w:rsid w:val="00274379"/>
    <w:rsid w:val="002746E9"/>
    <w:rsid w:val="00274905"/>
    <w:rsid w:val="00274A85"/>
    <w:rsid w:val="00274D08"/>
    <w:rsid w:val="00274E26"/>
    <w:rsid w:val="002751B3"/>
    <w:rsid w:val="00275288"/>
    <w:rsid w:val="00275735"/>
    <w:rsid w:val="00275866"/>
    <w:rsid w:val="0027586E"/>
    <w:rsid w:val="00275B36"/>
    <w:rsid w:val="00275B57"/>
    <w:rsid w:val="00275E43"/>
    <w:rsid w:val="00275E84"/>
    <w:rsid w:val="0027617C"/>
    <w:rsid w:val="002762F3"/>
    <w:rsid w:val="00276550"/>
    <w:rsid w:val="00276F38"/>
    <w:rsid w:val="0027712A"/>
    <w:rsid w:val="002772D8"/>
    <w:rsid w:val="002773C3"/>
    <w:rsid w:val="002775C1"/>
    <w:rsid w:val="002775C7"/>
    <w:rsid w:val="00277697"/>
    <w:rsid w:val="0027777E"/>
    <w:rsid w:val="00277926"/>
    <w:rsid w:val="0027799B"/>
    <w:rsid w:val="00277E1C"/>
    <w:rsid w:val="00280048"/>
    <w:rsid w:val="002801F3"/>
    <w:rsid w:val="002801F7"/>
    <w:rsid w:val="002802DA"/>
    <w:rsid w:val="002804F8"/>
    <w:rsid w:val="00280538"/>
    <w:rsid w:val="002805D6"/>
    <w:rsid w:val="00280821"/>
    <w:rsid w:val="00280984"/>
    <w:rsid w:val="00280A6A"/>
    <w:rsid w:val="00280BF1"/>
    <w:rsid w:val="00280C94"/>
    <w:rsid w:val="00281094"/>
    <w:rsid w:val="0028117A"/>
    <w:rsid w:val="002813F7"/>
    <w:rsid w:val="00281470"/>
    <w:rsid w:val="002814ED"/>
    <w:rsid w:val="002816F8"/>
    <w:rsid w:val="00281776"/>
    <w:rsid w:val="0028182C"/>
    <w:rsid w:val="00281846"/>
    <w:rsid w:val="00281899"/>
    <w:rsid w:val="0028198C"/>
    <w:rsid w:val="00281A06"/>
    <w:rsid w:val="00281A3A"/>
    <w:rsid w:val="00281D08"/>
    <w:rsid w:val="00281E46"/>
    <w:rsid w:val="00281E7F"/>
    <w:rsid w:val="00281F4B"/>
    <w:rsid w:val="00282336"/>
    <w:rsid w:val="0028247F"/>
    <w:rsid w:val="00282540"/>
    <w:rsid w:val="0028258A"/>
    <w:rsid w:val="0028281D"/>
    <w:rsid w:val="00283087"/>
    <w:rsid w:val="002833BC"/>
    <w:rsid w:val="00283466"/>
    <w:rsid w:val="0028369E"/>
    <w:rsid w:val="00283875"/>
    <w:rsid w:val="00283B33"/>
    <w:rsid w:val="00283EDE"/>
    <w:rsid w:val="00283F5D"/>
    <w:rsid w:val="00283FD8"/>
    <w:rsid w:val="00284231"/>
    <w:rsid w:val="002845DD"/>
    <w:rsid w:val="00285D4F"/>
    <w:rsid w:val="002860FB"/>
    <w:rsid w:val="00286251"/>
    <w:rsid w:val="00286296"/>
    <w:rsid w:val="00286319"/>
    <w:rsid w:val="002864B7"/>
    <w:rsid w:val="002864DA"/>
    <w:rsid w:val="002869CA"/>
    <w:rsid w:val="00286B90"/>
    <w:rsid w:val="00286CA8"/>
    <w:rsid w:val="00286E08"/>
    <w:rsid w:val="00286E35"/>
    <w:rsid w:val="00287172"/>
    <w:rsid w:val="002872B9"/>
    <w:rsid w:val="0028782E"/>
    <w:rsid w:val="002878E8"/>
    <w:rsid w:val="0028791E"/>
    <w:rsid w:val="00287A61"/>
    <w:rsid w:val="00287AE4"/>
    <w:rsid w:val="002901FE"/>
    <w:rsid w:val="0029074B"/>
    <w:rsid w:val="002909F8"/>
    <w:rsid w:val="00290EAB"/>
    <w:rsid w:val="00291202"/>
    <w:rsid w:val="002912D6"/>
    <w:rsid w:val="00291BF9"/>
    <w:rsid w:val="00291C93"/>
    <w:rsid w:val="00291CD6"/>
    <w:rsid w:val="002923E0"/>
    <w:rsid w:val="002923E8"/>
    <w:rsid w:val="00292448"/>
    <w:rsid w:val="00292539"/>
    <w:rsid w:val="002925C5"/>
    <w:rsid w:val="00292925"/>
    <w:rsid w:val="00292AB6"/>
    <w:rsid w:val="00292E38"/>
    <w:rsid w:val="00293232"/>
    <w:rsid w:val="00293473"/>
    <w:rsid w:val="0029368A"/>
    <w:rsid w:val="002936F1"/>
    <w:rsid w:val="00293AA7"/>
    <w:rsid w:val="00293D2A"/>
    <w:rsid w:val="00293F16"/>
    <w:rsid w:val="002941A1"/>
    <w:rsid w:val="00294821"/>
    <w:rsid w:val="002949AA"/>
    <w:rsid w:val="00294A18"/>
    <w:rsid w:val="00294C81"/>
    <w:rsid w:val="00294C9A"/>
    <w:rsid w:val="002952D6"/>
    <w:rsid w:val="00295A9D"/>
    <w:rsid w:val="00295B40"/>
    <w:rsid w:val="00295DCA"/>
    <w:rsid w:val="00296F83"/>
    <w:rsid w:val="00296FEE"/>
    <w:rsid w:val="00297227"/>
    <w:rsid w:val="002976E6"/>
    <w:rsid w:val="00297801"/>
    <w:rsid w:val="002979A9"/>
    <w:rsid w:val="00297A10"/>
    <w:rsid w:val="002A04A7"/>
    <w:rsid w:val="002A05C5"/>
    <w:rsid w:val="002A13C7"/>
    <w:rsid w:val="002A14BC"/>
    <w:rsid w:val="002A1673"/>
    <w:rsid w:val="002A1C40"/>
    <w:rsid w:val="002A1EC3"/>
    <w:rsid w:val="002A2167"/>
    <w:rsid w:val="002A2266"/>
    <w:rsid w:val="002A2D9D"/>
    <w:rsid w:val="002A2F37"/>
    <w:rsid w:val="002A33C2"/>
    <w:rsid w:val="002A365D"/>
    <w:rsid w:val="002A3997"/>
    <w:rsid w:val="002A39C5"/>
    <w:rsid w:val="002A3CC3"/>
    <w:rsid w:val="002A3ED5"/>
    <w:rsid w:val="002A404D"/>
    <w:rsid w:val="002A4082"/>
    <w:rsid w:val="002A4190"/>
    <w:rsid w:val="002A4257"/>
    <w:rsid w:val="002A43AE"/>
    <w:rsid w:val="002A45AF"/>
    <w:rsid w:val="002A4642"/>
    <w:rsid w:val="002A47CD"/>
    <w:rsid w:val="002A4858"/>
    <w:rsid w:val="002A4A23"/>
    <w:rsid w:val="002A4A81"/>
    <w:rsid w:val="002A4DAF"/>
    <w:rsid w:val="002A51F6"/>
    <w:rsid w:val="002A57CE"/>
    <w:rsid w:val="002A58E5"/>
    <w:rsid w:val="002A5BF9"/>
    <w:rsid w:val="002A6205"/>
    <w:rsid w:val="002A649F"/>
    <w:rsid w:val="002A652A"/>
    <w:rsid w:val="002A6612"/>
    <w:rsid w:val="002A66F6"/>
    <w:rsid w:val="002A6806"/>
    <w:rsid w:val="002A69D8"/>
    <w:rsid w:val="002A6BAA"/>
    <w:rsid w:val="002A6D00"/>
    <w:rsid w:val="002A6F33"/>
    <w:rsid w:val="002A735C"/>
    <w:rsid w:val="002A7C06"/>
    <w:rsid w:val="002B0655"/>
    <w:rsid w:val="002B08D6"/>
    <w:rsid w:val="002B0B6D"/>
    <w:rsid w:val="002B0C8C"/>
    <w:rsid w:val="002B0CC1"/>
    <w:rsid w:val="002B0D87"/>
    <w:rsid w:val="002B1384"/>
    <w:rsid w:val="002B14E8"/>
    <w:rsid w:val="002B162D"/>
    <w:rsid w:val="002B17BA"/>
    <w:rsid w:val="002B1A8C"/>
    <w:rsid w:val="002B1A9E"/>
    <w:rsid w:val="002B1CB9"/>
    <w:rsid w:val="002B2116"/>
    <w:rsid w:val="002B229E"/>
    <w:rsid w:val="002B30E4"/>
    <w:rsid w:val="002B32F0"/>
    <w:rsid w:val="002B3509"/>
    <w:rsid w:val="002B378E"/>
    <w:rsid w:val="002B392F"/>
    <w:rsid w:val="002B39C4"/>
    <w:rsid w:val="002B3B30"/>
    <w:rsid w:val="002B3D55"/>
    <w:rsid w:val="002B3DDC"/>
    <w:rsid w:val="002B4254"/>
    <w:rsid w:val="002B4288"/>
    <w:rsid w:val="002B44AA"/>
    <w:rsid w:val="002B46A9"/>
    <w:rsid w:val="002B48D4"/>
    <w:rsid w:val="002B4BE6"/>
    <w:rsid w:val="002B4FF8"/>
    <w:rsid w:val="002B50F8"/>
    <w:rsid w:val="002B5450"/>
    <w:rsid w:val="002B6499"/>
    <w:rsid w:val="002B6769"/>
    <w:rsid w:val="002B67AE"/>
    <w:rsid w:val="002B6943"/>
    <w:rsid w:val="002B6ABE"/>
    <w:rsid w:val="002B6DFA"/>
    <w:rsid w:val="002B719F"/>
    <w:rsid w:val="002B728B"/>
    <w:rsid w:val="002B72B0"/>
    <w:rsid w:val="002B7416"/>
    <w:rsid w:val="002B77CF"/>
    <w:rsid w:val="002B78ED"/>
    <w:rsid w:val="002B7991"/>
    <w:rsid w:val="002B79BB"/>
    <w:rsid w:val="002B7A5B"/>
    <w:rsid w:val="002B7E56"/>
    <w:rsid w:val="002B7FCA"/>
    <w:rsid w:val="002C012C"/>
    <w:rsid w:val="002C03BE"/>
    <w:rsid w:val="002C0945"/>
    <w:rsid w:val="002C0AA3"/>
    <w:rsid w:val="002C0C00"/>
    <w:rsid w:val="002C0CC5"/>
    <w:rsid w:val="002C0D09"/>
    <w:rsid w:val="002C0D19"/>
    <w:rsid w:val="002C0EF8"/>
    <w:rsid w:val="002C1040"/>
    <w:rsid w:val="002C14C0"/>
    <w:rsid w:val="002C16C8"/>
    <w:rsid w:val="002C1DD5"/>
    <w:rsid w:val="002C1E1C"/>
    <w:rsid w:val="002C20A0"/>
    <w:rsid w:val="002C22C6"/>
    <w:rsid w:val="002C23A1"/>
    <w:rsid w:val="002C282A"/>
    <w:rsid w:val="002C2877"/>
    <w:rsid w:val="002C2B67"/>
    <w:rsid w:val="002C2C69"/>
    <w:rsid w:val="002C2F1E"/>
    <w:rsid w:val="002C3116"/>
    <w:rsid w:val="002C356C"/>
    <w:rsid w:val="002C382C"/>
    <w:rsid w:val="002C38B7"/>
    <w:rsid w:val="002C3917"/>
    <w:rsid w:val="002C3A48"/>
    <w:rsid w:val="002C3AB2"/>
    <w:rsid w:val="002C3B7F"/>
    <w:rsid w:val="002C3EDF"/>
    <w:rsid w:val="002C42BF"/>
    <w:rsid w:val="002C4DCB"/>
    <w:rsid w:val="002C5020"/>
    <w:rsid w:val="002C5213"/>
    <w:rsid w:val="002C523E"/>
    <w:rsid w:val="002C56A7"/>
    <w:rsid w:val="002C5AA1"/>
    <w:rsid w:val="002C5DCF"/>
    <w:rsid w:val="002C60B5"/>
    <w:rsid w:val="002C62B8"/>
    <w:rsid w:val="002C6387"/>
    <w:rsid w:val="002C6637"/>
    <w:rsid w:val="002C672E"/>
    <w:rsid w:val="002C685A"/>
    <w:rsid w:val="002C688B"/>
    <w:rsid w:val="002C6B7F"/>
    <w:rsid w:val="002C6D1B"/>
    <w:rsid w:val="002C6D20"/>
    <w:rsid w:val="002C7119"/>
    <w:rsid w:val="002C7280"/>
    <w:rsid w:val="002C781A"/>
    <w:rsid w:val="002C7AC4"/>
    <w:rsid w:val="002C7D53"/>
    <w:rsid w:val="002D041C"/>
    <w:rsid w:val="002D0603"/>
    <w:rsid w:val="002D08FF"/>
    <w:rsid w:val="002D09E7"/>
    <w:rsid w:val="002D12B0"/>
    <w:rsid w:val="002D1334"/>
    <w:rsid w:val="002D1465"/>
    <w:rsid w:val="002D1624"/>
    <w:rsid w:val="002D16C1"/>
    <w:rsid w:val="002D17FF"/>
    <w:rsid w:val="002D1B81"/>
    <w:rsid w:val="002D1E8B"/>
    <w:rsid w:val="002D271B"/>
    <w:rsid w:val="002D2813"/>
    <w:rsid w:val="002D28D7"/>
    <w:rsid w:val="002D2BAD"/>
    <w:rsid w:val="002D3002"/>
    <w:rsid w:val="002D313A"/>
    <w:rsid w:val="002D316E"/>
    <w:rsid w:val="002D3195"/>
    <w:rsid w:val="002D3385"/>
    <w:rsid w:val="002D38E5"/>
    <w:rsid w:val="002D3EFE"/>
    <w:rsid w:val="002D472B"/>
    <w:rsid w:val="002D4C9C"/>
    <w:rsid w:val="002D4EDB"/>
    <w:rsid w:val="002D514C"/>
    <w:rsid w:val="002D525C"/>
    <w:rsid w:val="002D53AC"/>
    <w:rsid w:val="002D581A"/>
    <w:rsid w:val="002D585E"/>
    <w:rsid w:val="002D5915"/>
    <w:rsid w:val="002D5AAE"/>
    <w:rsid w:val="002D5BF2"/>
    <w:rsid w:val="002D5E5C"/>
    <w:rsid w:val="002D6138"/>
    <w:rsid w:val="002D6226"/>
    <w:rsid w:val="002D67D5"/>
    <w:rsid w:val="002D69EB"/>
    <w:rsid w:val="002D6CC2"/>
    <w:rsid w:val="002D6EE0"/>
    <w:rsid w:val="002D77CC"/>
    <w:rsid w:val="002E008F"/>
    <w:rsid w:val="002E0295"/>
    <w:rsid w:val="002E03EF"/>
    <w:rsid w:val="002E0586"/>
    <w:rsid w:val="002E05F5"/>
    <w:rsid w:val="002E0710"/>
    <w:rsid w:val="002E0DA5"/>
    <w:rsid w:val="002E0DEF"/>
    <w:rsid w:val="002E113C"/>
    <w:rsid w:val="002E136B"/>
    <w:rsid w:val="002E153E"/>
    <w:rsid w:val="002E15FB"/>
    <w:rsid w:val="002E1792"/>
    <w:rsid w:val="002E17E0"/>
    <w:rsid w:val="002E17F5"/>
    <w:rsid w:val="002E1836"/>
    <w:rsid w:val="002E1C36"/>
    <w:rsid w:val="002E1FB3"/>
    <w:rsid w:val="002E2066"/>
    <w:rsid w:val="002E20CA"/>
    <w:rsid w:val="002E25A1"/>
    <w:rsid w:val="002E262E"/>
    <w:rsid w:val="002E2657"/>
    <w:rsid w:val="002E2954"/>
    <w:rsid w:val="002E2A0A"/>
    <w:rsid w:val="002E2BD0"/>
    <w:rsid w:val="002E2E58"/>
    <w:rsid w:val="002E2FE1"/>
    <w:rsid w:val="002E30C5"/>
    <w:rsid w:val="002E3364"/>
    <w:rsid w:val="002E389A"/>
    <w:rsid w:val="002E3B29"/>
    <w:rsid w:val="002E3DC6"/>
    <w:rsid w:val="002E3E18"/>
    <w:rsid w:val="002E3F40"/>
    <w:rsid w:val="002E4368"/>
    <w:rsid w:val="002E512B"/>
    <w:rsid w:val="002E5533"/>
    <w:rsid w:val="002E5D99"/>
    <w:rsid w:val="002E5DE5"/>
    <w:rsid w:val="002E5FD0"/>
    <w:rsid w:val="002E6085"/>
    <w:rsid w:val="002E631E"/>
    <w:rsid w:val="002E63C7"/>
    <w:rsid w:val="002E6602"/>
    <w:rsid w:val="002E684B"/>
    <w:rsid w:val="002E68AE"/>
    <w:rsid w:val="002E6B11"/>
    <w:rsid w:val="002E7183"/>
    <w:rsid w:val="002E7457"/>
    <w:rsid w:val="002E778F"/>
    <w:rsid w:val="002E783D"/>
    <w:rsid w:val="002E7C12"/>
    <w:rsid w:val="002E7D62"/>
    <w:rsid w:val="002E7DC3"/>
    <w:rsid w:val="002E7E8A"/>
    <w:rsid w:val="002E7FB0"/>
    <w:rsid w:val="002F009C"/>
    <w:rsid w:val="002F01FE"/>
    <w:rsid w:val="002F020D"/>
    <w:rsid w:val="002F0457"/>
    <w:rsid w:val="002F099E"/>
    <w:rsid w:val="002F09B5"/>
    <w:rsid w:val="002F108E"/>
    <w:rsid w:val="002F11A9"/>
    <w:rsid w:val="002F142D"/>
    <w:rsid w:val="002F16D3"/>
    <w:rsid w:val="002F172A"/>
    <w:rsid w:val="002F1824"/>
    <w:rsid w:val="002F19DF"/>
    <w:rsid w:val="002F1CF8"/>
    <w:rsid w:val="002F2064"/>
    <w:rsid w:val="002F25D4"/>
    <w:rsid w:val="002F27B9"/>
    <w:rsid w:val="002F28CB"/>
    <w:rsid w:val="002F29AA"/>
    <w:rsid w:val="002F2A78"/>
    <w:rsid w:val="002F2B77"/>
    <w:rsid w:val="002F2BD7"/>
    <w:rsid w:val="002F31CE"/>
    <w:rsid w:val="002F3844"/>
    <w:rsid w:val="002F3AF2"/>
    <w:rsid w:val="002F4161"/>
    <w:rsid w:val="002F43A7"/>
    <w:rsid w:val="002F4773"/>
    <w:rsid w:val="002F4BCD"/>
    <w:rsid w:val="002F501F"/>
    <w:rsid w:val="002F53C4"/>
    <w:rsid w:val="002F53EB"/>
    <w:rsid w:val="002F5655"/>
    <w:rsid w:val="002F589A"/>
    <w:rsid w:val="002F5FAA"/>
    <w:rsid w:val="002F610A"/>
    <w:rsid w:val="002F621D"/>
    <w:rsid w:val="002F62CC"/>
    <w:rsid w:val="002F65B6"/>
    <w:rsid w:val="002F6646"/>
    <w:rsid w:val="002F6AA0"/>
    <w:rsid w:val="002F6AAC"/>
    <w:rsid w:val="002F6B8D"/>
    <w:rsid w:val="002F6C7D"/>
    <w:rsid w:val="002F6CD3"/>
    <w:rsid w:val="002F6E20"/>
    <w:rsid w:val="002F6EF9"/>
    <w:rsid w:val="002F7296"/>
    <w:rsid w:val="002F7395"/>
    <w:rsid w:val="002F7501"/>
    <w:rsid w:val="002F7A63"/>
    <w:rsid w:val="002F7F06"/>
    <w:rsid w:val="0030026B"/>
    <w:rsid w:val="003007A2"/>
    <w:rsid w:val="00300DE0"/>
    <w:rsid w:val="00301281"/>
    <w:rsid w:val="0030151F"/>
    <w:rsid w:val="00301759"/>
    <w:rsid w:val="00301D2C"/>
    <w:rsid w:val="00302133"/>
    <w:rsid w:val="0030231B"/>
    <w:rsid w:val="00302721"/>
    <w:rsid w:val="00302A06"/>
    <w:rsid w:val="00302A63"/>
    <w:rsid w:val="00302ABB"/>
    <w:rsid w:val="00302C29"/>
    <w:rsid w:val="00302D11"/>
    <w:rsid w:val="00302D4C"/>
    <w:rsid w:val="00303031"/>
    <w:rsid w:val="003031A6"/>
    <w:rsid w:val="0030370C"/>
    <w:rsid w:val="00303718"/>
    <w:rsid w:val="00303926"/>
    <w:rsid w:val="00303A40"/>
    <w:rsid w:val="00303C07"/>
    <w:rsid w:val="00303E6F"/>
    <w:rsid w:val="00304358"/>
    <w:rsid w:val="00304420"/>
    <w:rsid w:val="00304668"/>
    <w:rsid w:val="003049A0"/>
    <w:rsid w:val="00304E99"/>
    <w:rsid w:val="00305277"/>
    <w:rsid w:val="0030542B"/>
    <w:rsid w:val="0030589D"/>
    <w:rsid w:val="00305920"/>
    <w:rsid w:val="003059D4"/>
    <w:rsid w:val="00305C58"/>
    <w:rsid w:val="00305F2F"/>
    <w:rsid w:val="00305F70"/>
    <w:rsid w:val="00305FF9"/>
    <w:rsid w:val="0030608F"/>
    <w:rsid w:val="003060AB"/>
    <w:rsid w:val="00306399"/>
    <w:rsid w:val="003064D1"/>
    <w:rsid w:val="00306509"/>
    <w:rsid w:val="003066BD"/>
    <w:rsid w:val="003069A4"/>
    <w:rsid w:val="00306BF0"/>
    <w:rsid w:val="00306C1E"/>
    <w:rsid w:val="00306D42"/>
    <w:rsid w:val="00306F3A"/>
    <w:rsid w:val="00307303"/>
    <w:rsid w:val="003074DA"/>
    <w:rsid w:val="003077C7"/>
    <w:rsid w:val="00307976"/>
    <w:rsid w:val="00307A2A"/>
    <w:rsid w:val="00307C68"/>
    <w:rsid w:val="00307F6C"/>
    <w:rsid w:val="0031070B"/>
    <w:rsid w:val="003107E9"/>
    <w:rsid w:val="003109CD"/>
    <w:rsid w:val="00310CBF"/>
    <w:rsid w:val="00310E8F"/>
    <w:rsid w:val="00310F85"/>
    <w:rsid w:val="003117CC"/>
    <w:rsid w:val="00311828"/>
    <w:rsid w:val="00312184"/>
    <w:rsid w:val="003122E2"/>
    <w:rsid w:val="00312411"/>
    <w:rsid w:val="00312619"/>
    <w:rsid w:val="00312925"/>
    <w:rsid w:val="00312A3C"/>
    <w:rsid w:val="00312DBB"/>
    <w:rsid w:val="00313226"/>
    <w:rsid w:val="00313546"/>
    <w:rsid w:val="003142A0"/>
    <w:rsid w:val="0031445A"/>
    <w:rsid w:val="00314531"/>
    <w:rsid w:val="00314CB5"/>
    <w:rsid w:val="003157B6"/>
    <w:rsid w:val="003157D8"/>
    <w:rsid w:val="0031587D"/>
    <w:rsid w:val="00315931"/>
    <w:rsid w:val="00315B53"/>
    <w:rsid w:val="00315D07"/>
    <w:rsid w:val="00315D2B"/>
    <w:rsid w:val="00315E8A"/>
    <w:rsid w:val="00315F58"/>
    <w:rsid w:val="003164B0"/>
    <w:rsid w:val="0031663B"/>
    <w:rsid w:val="0031669D"/>
    <w:rsid w:val="00316871"/>
    <w:rsid w:val="00316A3F"/>
    <w:rsid w:val="00316BB8"/>
    <w:rsid w:val="00316CFD"/>
    <w:rsid w:val="003171C5"/>
    <w:rsid w:val="00317389"/>
    <w:rsid w:val="003174A1"/>
    <w:rsid w:val="003174F2"/>
    <w:rsid w:val="003175D8"/>
    <w:rsid w:val="0031790E"/>
    <w:rsid w:val="003179F9"/>
    <w:rsid w:val="00317A57"/>
    <w:rsid w:val="00317D2E"/>
    <w:rsid w:val="00320296"/>
    <w:rsid w:val="0032033B"/>
    <w:rsid w:val="0032045C"/>
    <w:rsid w:val="0032067E"/>
    <w:rsid w:val="0032069D"/>
    <w:rsid w:val="00320928"/>
    <w:rsid w:val="0032093C"/>
    <w:rsid w:val="00320DD1"/>
    <w:rsid w:val="00320F1A"/>
    <w:rsid w:val="00321119"/>
    <w:rsid w:val="0032118D"/>
    <w:rsid w:val="00321191"/>
    <w:rsid w:val="003212E1"/>
    <w:rsid w:val="0032135B"/>
    <w:rsid w:val="003218CA"/>
    <w:rsid w:val="00321B13"/>
    <w:rsid w:val="00321EB6"/>
    <w:rsid w:val="00322241"/>
    <w:rsid w:val="003222AF"/>
    <w:rsid w:val="003222CB"/>
    <w:rsid w:val="0032273E"/>
    <w:rsid w:val="00322B9A"/>
    <w:rsid w:val="0032313D"/>
    <w:rsid w:val="00323577"/>
    <w:rsid w:val="00323DA0"/>
    <w:rsid w:val="003245DA"/>
    <w:rsid w:val="00324611"/>
    <w:rsid w:val="00324618"/>
    <w:rsid w:val="003247EA"/>
    <w:rsid w:val="0032499D"/>
    <w:rsid w:val="00324D7D"/>
    <w:rsid w:val="00324ECB"/>
    <w:rsid w:val="003259FC"/>
    <w:rsid w:val="00325CD3"/>
    <w:rsid w:val="00325D68"/>
    <w:rsid w:val="00325E10"/>
    <w:rsid w:val="00325E9F"/>
    <w:rsid w:val="0032616A"/>
    <w:rsid w:val="00326269"/>
    <w:rsid w:val="00326634"/>
    <w:rsid w:val="003266C6"/>
    <w:rsid w:val="00326760"/>
    <w:rsid w:val="00326836"/>
    <w:rsid w:val="00326881"/>
    <w:rsid w:val="00326990"/>
    <w:rsid w:val="00326B47"/>
    <w:rsid w:val="0032742E"/>
    <w:rsid w:val="003274F0"/>
    <w:rsid w:val="003274FD"/>
    <w:rsid w:val="00327727"/>
    <w:rsid w:val="00327AE9"/>
    <w:rsid w:val="00327C11"/>
    <w:rsid w:val="00327E0D"/>
    <w:rsid w:val="00327F60"/>
    <w:rsid w:val="003303C6"/>
    <w:rsid w:val="00330419"/>
    <w:rsid w:val="003307EA"/>
    <w:rsid w:val="00330C77"/>
    <w:rsid w:val="00330F36"/>
    <w:rsid w:val="00331048"/>
    <w:rsid w:val="0033110B"/>
    <w:rsid w:val="00331184"/>
    <w:rsid w:val="003314E2"/>
    <w:rsid w:val="00331DE1"/>
    <w:rsid w:val="00331E30"/>
    <w:rsid w:val="0033208F"/>
    <w:rsid w:val="0033222B"/>
    <w:rsid w:val="00332251"/>
    <w:rsid w:val="003322BA"/>
    <w:rsid w:val="003322F2"/>
    <w:rsid w:val="0033238A"/>
    <w:rsid w:val="003325B3"/>
    <w:rsid w:val="0033263A"/>
    <w:rsid w:val="003327B8"/>
    <w:rsid w:val="00332BF9"/>
    <w:rsid w:val="00332FE8"/>
    <w:rsid w:val="00333038"/>
    <w:rsid w:val="00333369"/>
    <w:rsid w:val="0033378C"/>
    <w:rsid w:val="00333B3D"/>
    <w:rsid w:val="00333BA3"/>
    <w:rsid w:val="00333F2F"/>
    <w:rsid w:val="00334478"/>
    <w:rsid w:val="003344F8"/>
    <w:rsid w:val="00334825"/>
    <w:rsid w:val="00334A8C"/>
    <w:rsid w:val="00334C9A"/>
    <w:rsid w:val="00334F6F"/>
    <w:rsid w:val="0033551B"/>
    <w:rsid w:val="003356B6"/>
    <w:rsid w:val="003359A5"/>
    <w:rsid w:val="00335A37"/>
    <w:rsid w:val="00335C2A"/>
    <w:rsid w:val="00335D80"/>
    <w:rsid w:val="00336036"/>
    <w:rsid w:val="00336154"/>
    <w:rsid w:val="0033637A"/>
    <w:rsid w:val="00336B21"/>
    <w:rsid w:val="00336BF2"/>
    <w:rsid w:val="00336D6C"/>
    <w:rsid w:val="00337784"/>
    <w:rsid w:val="003377C8"/>
    <w:rsid w:val="00337BDC"/>
    <w:rsid w:val="00337CA8"/>
    <w:rsid w:val="00337E31"/>
    <w:rsid w:val="00337F35"/>
    <w:rsid w:val="00337F46"/>
    <w:rsid w:val="0034018F"/>
    <w:rsid w:val="003405ED"/>
    <w:rsid w:val="00341654"/>
    <w:rsid w:val="00341C9C"/>
    <w:rsid w:val="00341F71"/>
    <w:rsid w:val="00342086"/>
    <w:rsid w:val="0034226D"/>
    <w:rsid w:val="003422DC"/>
    <w:rsid w:val="003424F9"/>
    <w:rsid w:val="0034270B"/>
    <w:rsid w:val="00342B73"/>
    <w:rsid w:val="00342C27"/>
    <w:rsid w:val="0034319F"/>
    <w:rsid w:val="00343688"/>
    <w:rsid w:val="0034390A"/>
    <w:rsid w:val="00343B86"/>
    <w:rsid w:val="00343E23"/>
    <w:rsid w:val="0034401F"/>
    <w:rsid w:val="00344222"/>
    <w:rsid w:val="00344585"/>
    <w:rsid w:val="00344706"/>
    <w:rsid w:val="00344CE8"/>
    <w:rsid w:val="00344DB1"/>
    <w:rsid w:val="003452E7"/>
    <w:rsid w:val="0034555B"/>
    <w:rsid w:val="00345D44"/>
    <w:rsid w:val="003460F2"/>
    <w:rsid w:val="003464E9"/>
    <w:rsid w:val="00346A03"/>
    <w:rsid w:val="00346D88"/>
    <w:rsid w:val="003471D3"/>
    <w:rsid w:val="003471D7"/>
    <w:rsid w:val="003472D3"/>
    <w:rsid w:val="0034750B"/>
    <w:rsid w:val="003479F6"/>
    <w:rsid w:val="00347A7A"/>
    <w:rsid w:val="00347D30"/>
    <w:rsid w:val="00347FCF"/>
    <w:rsid w:val="00350033"/>
    <w:rsid w:val="00350084"/>
    <w:rsid w:val="00350209"/>
    <w:rsid w:val="003502DA"/>
    <w:rsid w:val="00350339"/>
    <w:rsid w:val="00350429"/>
    <w:rsid w:val="00350599"/>
    <w:rsid w:val="00350DDD"/>
    <w:rsid w:val="0035103C"/>
    <w:rsid w:val="00351BB3"/>
    <w:rsid w:val="00351BE2"/>
    <w:rsid w:val="00351ED4"/>
    <w:rsid w:val="00351FFE"/>
    <w:rsid w:val="00352442"/>
    <w:rsid w:val="0035260D"/>
    <w:rsid w:val="00352873"/>
    <w:rsid w:val="003528A8"/>
    <w:rsid w:val="003529E4"/>
    <w:rsid w:val="00352B01"/>
    <w:rsid w:val="003530D6"/>
    <w:rsid w:val="00353309"/>
    <w:rsid w:val="00353436"/>
    <w:rsid w:val="003534A2"/>
    <w:rsid w:val="00353549"/>
    <w:rsid w:val="003535BC"/>
    <w:rsid w:val="0035396B"/>
    <w:rsid w:val="00353B97"/>
    <w:rsid w:val="00353D70"/>
    <w:rsid w:val="00353E36"/>
    <w:rsid w:val="00353E92"/>
    <w:rsid w:val="00353FDA"/>
    <w:rsid w:val="00354711"/>
    <w:rsid w:val="003547EA"/>
    <w:rsid w:val="00354B93"/>
    <w:rsid w:val="003556D8"/>
    <w:rsid w:val="0035577F"/>
    <w:rsid w:val="00355AAF"/>
    <w:rsid w:val="00355C29"/>
    <w:rsid w:val="00355CFD"/>
    <w:rsid w:val="003560FA"/>
    <w:rsid w:val="00356122"/>
    <w:rsid w:val="003561D5"/>
    <w:rsid w:val="0035643F"/>
    <w:rsid w:val="00356477"/>
    <w:rsid w:val="0035667D"/>
    <w:rsid w:val="00356911"/>
    <w:rsid w:val="0035698C"/>
    <w:rsid w:val="00356DD4"/>
    <w:rsid w:val="003570E6"/>
    <w:rsid w:val="0035713C"/>
    <w:rsid w:val="00357449"/>
    <w:rsid w:val="00357591"/>
    <w:rsid w:val="00357833"/>
    <w:rsid w:val="00357ECC"/>
    <w:rsid w:val="00357F38"/>
    <w:rsid w:val="003600E4"/>
    <w:rsid w:val="0036012D"/>
    <w:rsid w:val="00360B38"/>
    <w:rsid w:val="00360C7B"/>
    <w:rsid w:val="00360C95"/>
    <w:rsid w:val="00360CB3"/>
    <w:rsid w:val="00360DDD"/>
    <w:rsid w:val="0036127C"/>
    <w:rsid w:val="00361581"/>
    <w:rsid w:val="0036177A"/>
    <w:rsid w:val="00361804"/>
    <w:rsid w:val="003618C0"/>
    <w:rsid w:val="00361B93"/>
    <w:rsid w:val="00362170"/>
    <w:rsid w:val="00362232"/>
    <w:rsid w:val="00362513"/>
    <w:rsid w:val="003625A9"/>
    <w:rsid w:val="00362742"/>
    <w:rsid w:val="00362774"/>
    <w:rsid w:val="0036286C"/>
    <w:rsid w:val="003628C6"/>
    <w:rsid w:val="00362C41"/>
    <w:rsid w:val="00362E99"/>
    <w:rsid w:val="003632FC"/>
    <w:rsid w:val="00363626"/>
    <w:rsid w:val="003638A9"/>
    <w:rsid w:val="00363946"/>
    <w:rsid w:val="00363E7B"/>
    <w:rsid w:val="003642C2"/>
    <w:rsid w:val="003644B4"/>
    <w:rsid w:val="003644DF"/>
    <w:rsid w:val="0036459C"/>
    <w:rsid w:val="003645EB"/>
    <w:rsid w:val="00364616"/>
    <w:rsid w:val="00364921"/>
    <w:rsid w:val="00364A04"/>
    <w:rsid w:val="00364B02"/>
    <w:rsid w:val="00364B60"/>
    <w:rsid w:val="00364B75"/>
    <w:rsid w:val="00364E0F"/>
    <w:rsid w:val="00365251"/>
    <w:rsid w:val="0036534B"/>
    <w:rsid w:val="003654DB"/>
    <w:rsid w:val="00365882"/>
    <w:rsid w:val="00365C89"/>
    <w:rsid w:val="003663D2"/>
    <w:rsid w:val="00366417"/>
    <w:rsid w:val="003666F0"/>
    <w:rsid w:val="0036680E"/>
    <w:rsid w:val="00366965"/>
    <w:rsid w:val="00366A49"/>
    <w:rsid w:val="00366B64"/>
    <w:rsid w:val="00366D78"/>
    <w:rsid w:val="00366E41"/>
    <w:rsid w:val="00367139"/>
    <w:rsid w:val="00367A91"/>
    <w:rsid w:val="00367AE5"/>
    <w:rsid w:val="00367EAB"/>
    <w:rsid w:val="00367EF1"/>
    <w:rsid w:val="00367FD5"/>
    <w:rsid w:val="00370055"/>
    <w:rsid w:val="003700C3"/>
    <w:rsid w:val="00370274"/>
    <w:rsid w:val="0037064C"/>
    <w:rsid w:val="0037068D"/>
    <w:rsid w:val="00370754"/>
    <w:rsid w:val="00371164"/>
    <w:rsid w:val="0037147A"/>
    <w:rsid w:val="003723CB"/>
    <w:rsid w:val="0037248D"/>
    <w:rsid w:val="003726AE"/>
    <w:rsid w:val="00372D48"/>
    <w:rsid w:val="00372D73"/>
    <w:rsid w:val="00372DD2"/>
    <w:rsid w:val="00373300"/>
    <w:rsid w:val="0037334E"/>
    <w:rsid w:val="003738E1"/>
    <w:rsid w:val="00373B20"/>
    <w:rsid w:val="00374104"/>
    <w:rsid w:val="00374325"/>
    <w:rsid w:val="0037477A"/>
    <w:rsid w:val="0037490C"/>
    <w:rsid w:val="00374A7E"/>
    <w:rsid w:val="00374BA7"/>
    <w:rsid w:val="003750D6"/>
    <w:rsid w:val="00375123"/>
    <w:rsid w:val="003752DF"/>
    <w:rsid w:val="00375357"/>
    <w:rsid w:val="003757F3"/>
    <w:rsid w:val="00375D81"/>
    <w:rsid w:val="00375E42"/>
    <w:rsid w:val="00376275"/>
    <w:rsid w:val="003766D9"/>
    <w:rsid w:val="0037681A"/>
    <w:rsid w:val="003768FF"/>
    <w:rsid w:val="00376955"/>
    <w:rsid w:val="00376AD7"/>
    <w:rsid w:val="00376D69"/>
    <w:rsid w:val="00376F66"/>
    <w:rsid w:val="003774F6"/>
    <w:rsid w:val="00377780"/>
    <w:rsid w:val="0037778A"/>
    <w:rsid w:val="00377ADC"/>
    <w:rsid w:val="00377C22"/>
    <w:rsid w:val="003800B6"/>
    <w:rsid w:val="003800BC"/>
    <w:rsid w:val="003804C8"/>
    <w:rsid w:val="003804DD"/>
    <w:rsid w:val="00380C5F"/>
    <w:rsid w:val="00380C93"/>
    <w:rsid w:val="00380DC0"/>
    <w:rsid w:val="00380EBA"/>
    <w:rsid w:val="00380FDA"/>
    <w:rsid w:val="00381089"/>
    <w:rsid w:val="003810BE"/>
    <w:rsid w:val="00381121"/>
    <w:rsid w:val="00381202"/>
    <w:rsid w:val="00381461"/>
    <w:rsid w:val="00381508"/>
    <w:rsid w:val="003815C9"/>
    <w:rsid w:val="0038180A"/>
    <w:rsid w:val="003818DB"/>
    <w:rsid w:val="00381A42"/>
    <w:rsid w:val="00381CA3"/>
    <w:rsid w:val="00381E88"/>
    <w:rsid w:val="00382013"/>
    <w:rsid w:val="00382152"/>
    <w:rsid w:val="00382936"/>
    <w:rsid w:val="00383062"/>
    <w:rsid w:val="00383749"/>
    <w:rsid w:val="00384D27"/>
    <w:rsid w:val="0038507F"/>
    <w:rsid w:val="003851D8"/>
    <w:rsid w:val="00385239"/>
    <w:rsid w:val="003856F6"/>
    <w:rsid w:val="0038592F"/>
    <w:rsid w:val="0038597B"/>
    <w:rsid w:val="00385CAE"/>
    <w:rsid w:val="00385DBA"/>
    <w:rsid w:val="00385E56"/>
    <w:rsid w:val="00385F3E"/>
    <w:rsid w:val="00385F7C"/>
    <w:rsid w:val="0038618D"/>
    <w:rsid w:val="00386333"/>
    <w:rsid w:val="00386585"/>
    <w:rsid w:val="003869B9"/>
    <w:rsid w:val="003869BE"/>
    <w:rsid w:val="00386A37"/>
    <w:rsid w:val="00386A9A"/>
    <w:rsid w:val="00386D99"/>
    <w:rsid w:val="003878AB"/>
    <w:rsid w:val="003879D8"/>
    <w:rsid w:val="00387B0D"/>
    <w:rsid w:val="00387E13"/>
    <w:rsid w:val="00390667"/>
    <w:rsid w:val="003908A4"/>
    <w:rsid w:val="003908F0"/>
    <w:rsid w:val="00390DE4"/>
    <w:rsid w:val="00391DBE"/>
    <w:rsid w:val="003921D6"/>
    <w:rsid w:val="0039243A"/>
    <w:rsid w:val="003924D9"/>
    <w:rsid w:val="003924E1"/>
    <w:rsid w:val="00392CCE"/>
    <w:rsid w:val="0039300A"/>
    <w:rsid w:val="0039334E"/>
    <w:rsid w:val="003933BB"/>
    <w:rsid w:val="003934F6"/>
    <w:rsid w:val="003937B4"/>
    <w:rsid w:val="00393825"/>
    <w:rsid w:val="00393A38"/>
    <w:rsid w:val="00393A5D"/>
    <w:rsid w:val="0039406E"/>
    <w:rsid w:val="0039408E"/>
    <w:rsid w:val="00394677"/>
    <w:rsid w:val="00394A5B"/>
    <w:rsid w:val="00394BBF"/>
    <w:rsid w:val="00394ED6"/>
    <w:rsid w:val="00394FAB"/>
    <w:rsid w:val="00394FCD"/>
    <w:rsid w:val="0039510F"/>
    <w:rsid w:val="003952D6"/>
    <w:rsid w:val="0039537C"/>
    <w:rsid w:val="003954C9"/>
    <w:rsid w:val="00395581"/>
    <w:rsid w:val="00395864"/>
    <w:rsid w:val="00395C56"/>
    <w:rsid w:val="00395F59"/>
    <w:rsid w:val="0039639C"/>
    <w:rsid w:val="003963FB"/>
    <w:rsid w:val="00396433"/>
    <w:rsid w:val="00396450"/>
    <w:rsid w:val="0039687E"/>
    <w:rsid w:val="00396A61"/>
    <w:rsid w:val="00396BC4"/>
    <w:rsid w:val="00396EB7"/>
    <w:rsid w:val="003972BB"/>
    <w:rsid w:val="0039741F"/>
    <w:rsid w:val="00397789"/>
    <w:rsid w:val="0039779B"/>
    <w:rsid w:val="003977AF"/>
    <w:rsid w:val="0039789F"/>
    <w:rsid w:val="00397923"/>
    <w:rsid w:val="00397AE3"/>
    <w:rsid w:val="00397AF1"/>
    <w:rsid w:val="00397BDD"/>
    <w:rsid w:val="00397C0D"/>
    <w:rsid w:val="00397DCA"/>
    <w:rsid w:val="00397DDE"/>
    <w:rsid w:val="003A0277"/>
    <w:rsid w:val="003A07F5"/>
    <w:rsid w:val="003A08A5"/>
    <w:rsid w:val="003A0927"/>
    <w:rsid w:val="003A0CF3"/>
    <w:rsid w:val="003A0EB5"/>
    <w:rsid w:val="003A0F55"/>
    <w:rsid w:val="003A1271"/>
    <w:rsid w:val="003A16B3"/>
    <w:rsid w:val="003A1702"/>
    <w:rsid w:val="003A187F"/>
    <w:rsid w:val="003A1EEF"/>
    <w:rsid w:val="003A1FB2"/>
    <w:rsid w:val="003A2761"/>
    <w:rsid w:val="003A27AE"/>
    <w:rsid w:val="003A2B8F"/>
    <w:rsid w:val="003A2BBE"/>
    <w:rsid w:val="003A2ED1"/>
    <w:rsid w:val="003A2EE5"/>
    <w:rsid w:val="003A2F53"/>
    <w:rsid w:val="003A331B"/>
    <w:rsid w:val="003A376D"/>
    <w:rsid w:val="003A3955"/>
    <w:rsid w:val="003A3A2A"/>
    <w:rsid w:val="003A3C34"/>
    <w:rsid w:val="003A3D9C"/>
    <w:rsid w:val="003A3DCC"/>
    <w:rsid w:val="003A3F1F"/>
    <w:rsid w:val="003A4176"/>
    <w:rsid w:val="003A4212"/>
    <w:rsid w:val="003A47F3"/>
    <w:rsid w:val="003A492A"/>
    <w:rsid w:val="003A4CBE"/>
    <w:rsid w:val="003A4DD2"/>
    <w:rsid w:val="003A4E08"/>
    <w:rsid w:val="003A4E13"/>
    <w:rsid w:val="003A5713"/>
    <w:rsid w:val="003A57E6"/>
    <w:rsid w:val="003A5D2F"/>
    <w:rsid w:val="003A5F52"/>
    <w:rsid w:val="003A6A15"/>
    <w:rsid w:val="003A6CE3"/>
    <w:rsid w:val="003A6D10"/>
    <w:rsid w:val="003A6DBD"/>
    <w:rsid w:val="003A707B"/>
    <w:rsid w:val="003A7083"/>
    <w:rsid w:val="003A70DA"/>
    <w:rsid w:val="003A77E1"/>
    <w:rsid w:val="003A7ADC"/>
    <w:rsid w:val="003A7CA5"/>
    <w:rsid w:val="003B028E"/>
    <w:rsid w:val="003B0487"/>
    <w:rsid w:val="003B0970"/>
    <w:rsid w:val="003B0CB8"/>
    <w:rsid w:val="003B22CD"/>
    <w:rsid w:val="003B24B4"/>
    <w:rsid w:val="003B27E2"/>
    <w:rsid w:val="003B2B05"/>
    <w:rsid w:val="003B2E02"/>
    <w:rsid w:val="003B2EAD"/>
    <w:rsid w:val="003B2F91"/>
    <w:rsid w:val="003B3156"/>
    <w:rsid w:val="003B32DB"/>
    <w:rsid w:val="003B3555"/>
    <w:rsid w:val="003B38AF"/>
    <w:rsid w:val="003B38D8"/>
    <w:rsid w:val="003B3A8B"/>
    <w:rsid w:val="003B3B44"/>
    <w:rsid w:val="003B3D05"/>
    <w:rsid w:val="003B3D42"/>
    <w:rsid w:val="003B3FC9"/>
    <w:rsid w:val="003B401C"/>
    <w:rsid w:val="003B415F"/>
    <w:rsid w:val="003B4A40"/>
    <w:rsid w:val="003B4E59"/>
    <w:rsid w:val="003B5186"/>
    <w:rsid w:val="003B5282"/>
    <w:rsid w:val="003B5308"/>
    <w:rsid w:val="003B558D"/>
    <w:rsid w:val="003B55C2"/>
    <w:rsid w:val="003B55F9"/>
    <w:rsid w:val="003B56E9"/>
    <w:rsid w:val="003B5905"/>
    <w:rsid w:val="003B620B"/>
    <w:rsid w:val="003B62C0"/>
    <w:rsid w:val="003B688A"/>
    <w:rsid w:val="003B6DE9"/>
    <w:rsid w:val="003B77EE"/>
    <w:rsid w:val="003B7873"/>
    <w:rsid w:val="003B7923"/>
    <w:rsid w:val="003B7A1B"/>
    <w:rsid w:val="003B7B82"/>
    <w:rsid w:val="003B7B87"/>
    <w:rsid w:val="003B7C12"/>
    <w:rsid w:val="003B7F47"/>
    <w:rsid w:val="003B7FFC"/>
    <w:rsid w:val="003C014F"/>
    <w:rsid w:val="003C0194"/>
    <w:rsid w:val="003C09CB"/>
    <w:rsid w:val="003C0CDD"/>
    <w:rsid w:val="003C14BC"/>
    <w:rsid w:val="003C17A0"/>
    <w:rsid w:val="003C1958"/>
    <w:rsid w:val="003C1AE5"/>
    <w:rsid w:val="003C205D"/>
    <w:rsid w:val="003C20BC"/>
    <w:rsid w:val="003C2144"/>
    <w:rsid w:val="003C2154"/>
    <w:rsid w:val="003C2500"/>
    <w:rsid w:val="003C25C4"/>
    <w:rsid w:val="003C266C"/>
    <w:rsid w:val="003C26A7"/>
    <w:rsid w:val="003C27AA"/>
    <w:rsid w:val="003C2EFB"/>
    <w:rsid w:val="003C34E0"/>
    <w:rsid w:val="003C3610"/>
    <w:rsid w:val="003C3B42"/>
    <w:rsid w:val="003C3D44"/>
    <w:rsid w:val="003C3E13"/>
    <w:rsid w:val="003C3F5D"/>
    <w:rsid w:val="003C3FEC"/>
    <w:rsid w:val="003C44AF"/>
    <w:rsid w:val="003C48B6"/>
    <w:rsid w:val="003C48B9"/>
    <w:rsid w:val="003C4A2B"/>
    <w:rsid w:val="003C4CE0"/>
    <w:rsid w:val="003C4CE9"/>
    <w:rsid w:val="003C4E33"/>
    <w:rsid w:val="003C4E85"/>
    <w:rsid w:val="003C5041"/>
    <w:rsid w:val="003C556C"/>
    <w:rsid w:val="003C57E3"/>
    <w:rsid w:val="003C5B2D"/>
    <w:rsid w:val="003C5D33"/>
    <w:rsid w:val="003C5D6F"/>
    <w:rsid w:val="003C5E1B"/>
    <w:rsid w:val="003C6132"/>
    <w:rsid w:val="003C68AC"/>
    <w:rsid w:val="003C68D0"/>
    <w:rsid w:val="003C6927"/>
    <w:rsid w:val="003C6B43"/>
    <w:rsid w:val="003C6BCE"/>
    <w:rsid w:val="003C6CC1"/>
    <w:rsid w:val="003C6DDB"/>
    <w:rsid w:val="003C711C"/>
    <w:rsid w:val="003C7356"/>
    <w:rsid w:val="003C73A4"/>
    <w:rsid w:val="003C73E6"/>
    <w:rsid w:val="003C74F6"/>
    <w:rsid w:val="003C789C"/>
    <w:rsid w:val="003C7BE8"/>
    <w:rsid w:val="003C7DF1"/>
    <w:rsid w:val="003C7E47"/>
    <w:rsid w:val="003C7FBC"/>
    <w:rsid w:val="003D0003"/>
    <w:rsid w:val="003D0076"/>
    <w:rsid w:val="003D00AA"/>
    <w:rsid w:val="003D04C5"/>
    <w:rsid w:val="003D0549"/>
    <w:rsid w:val="003D080B"/>
    <w:rsid w:val="003D0813"/>
    <w:rsid w:val="003D0BCB"/>
    <w:rsid w:val="003D0D08"/>
    <w:rsid w:val="003D129B"/>
    <w:rsid w:val="003D1534"/>
    <w:rsid w:val="003D1896"/>
    <w:rsid w:val="003D1BC6"/>
    <w:rsid w:val="003D1DD7"/>
    <w:rsid w:val="003D25B4"/>
    <w:rsid w:val="003D2D92"/>
    <w:rsid w:val="003D2F51"/>
    <w:rsid w:val="003D3082"/>
    <w:rsid w:val="003D3252"/>
    <w:rsid w:val="003D3332"/>
    <w:rsid w:val="003D3468"/>
    <w:rsid w:val="003D347B"/>
    <w:rsid w:val="003D3646"/>
    <w:rsid w:val="003D3661"/>
    <w:rsid w:val="003D3718"/>
    <w:rsid w:val="003D3732"/>
    <w:rsid w:val="003D3892"/>
    <w:rsid w:val="003D38EC"/>
    <w:rsid w:val="003D3B1E"/>
    <w:rsid w:val="003D3BE6"/>
    <w:rsid w:val="003D3C59"/>
    <w:rsid w:val="003D3D67"/>
    <w:rsid w:val="003D3E73"/>
    <w:rsid w:val="003D3FB4"/>
    <w:rsid w:val="003D411F"/>
    <w:rsid w:val="003D4752"/>
    <w:rsid w:val="003D47FA"/>
    <w:rsid w:val="003D487E"/>
    <w:rsid w:val="003D4AAC"/>
    <w:rsid w:val="003D4CE6"/>
    <w:rsid w:val="003D4E4C"/>
    <w:rsid w:val="003D5072"/>
    <w:rsid w:val="003D50A4"/>
    <w:rsid w:val="003D512D"/>
    <w:rsid w:val="003D5300"/>
    <w:rsid w:val="003D5349"/>
    <w:rsid w:val="003D5373"/>
    <w:rsid w:val="003D544C"/>
    <w:rsid w:val="003D5505"/>
    <w:rsid w:val="003D588D"/>
    <w:rsid w:val="003D58D1"/>
    <w:rsid w:val="003D6300"/>
    <w:rsid w:val="003D636C"/>
    <w:rsid w:val="003D64B0"/>
    <w:rsid w:val="003D6525"/>
    <w:rsid w:val="003D67BE"/>
    <w:rsid w:val="003D6823"/>
    <w:rsid w:val="003D7257"/>
    <w:rsid w:val="003D73EC"/>
    <w:rsid w:val="003D75CC"/>
    <w:rsid w:val="003D78EB"/>
    <w:rsid w:val="003D7ACD"/>
    <w:rsid w:val="003D7C39"/>
    <w:rsid w:val="003D7FE5"/>
    <w:rsid w:val="003E0010"/>
    <w:rsid w:val="003E08F6"/>
    <w:rsid w:val="003E0994"/>
    <w:rsid w:val="003E121B"/>
    <w:rsid w:val="003E14AC"/>
    <w:rsid w:val="003E1DAD"/>
    <w:rsid w:val="003E21F1"/>
    <w:rsid w:val="003E2789"/>
    <w:rsid w:val="003E2CC4"/>
    <w:rsid w:val="003E2E31"/>
    <w:rsid w:val="003E3266"/>
    <w:rsid w:val="003E3514"/>
    <w:rsid w:val="003E3563"/>
    <w:rsid w:val="003E3680"/>
    <w:rsid w:val="003E3A6A"/>
    <w:rsid w:val="003E3A6D"/>
    <w:rsid w:val="003E3EBD"/>
    <w:rsid w:val="003E3FF4"/>
    <w:rsid w:val="003E402C"/>
    <w:rsid w:val="003E40AB"/>
    <w:rsid w:val="003E41E8"/>
    <w:rsid w:val="003E4279"/>
    <w:rsid w:val="003E4593"/>
    <w:rsid w:val="003E478D"/>
    <w:rsid w:val="003E4A8B"/>
    <w:rsid w:val="003E5743"/>
    <w:rsid w:val="003E579D"/>
    <w:rsid w:val="003E59C6"/>
    <w:rsid w:val="003E5AC8"/>
    <w:rsid w:val="003E5EEC"/>
    <w:rsid w:val="003E6198"/>
    <w:rsid w:val="003E62CC"/>
    <w:rsid w:val="003E62EB"/>
    <w:rsid w:val="003E6326"/>
    <w:rsid w:val="003E6332"/>
    <w:rsid w:val="003E6EC2"/>
    <w:rsid w:val="003E7025"/>
    <w:rsid w:val="003E7477"/>
    <w:rsid w:val="003E785C"/>
    <w:rsid w:val="003E78A6"/>
    <w:rsid w:val="003E7BA0"/>
    <w:rsid w:val="003F00EB"/>
    <w:rsid w:val="003F017F"/>
    <w:rsid w:val="003F0487"/>
    <w:rsid w:val="003F04A9"/>
    <w:rsid w:val="003F0909"/>
    <w:rsid w:val="003F0987"/>
    <w:rsid w:val="003F0DFC"/>
    <w:rsid w:val="003F1077"/>
    <w:rsid w:val="003F10AE"/>
    <w:rsid w:val="003F1333"/>
    <w:rsid w:val="003F134B"/>
    <w:rsid w:val="003F16C2"/>
    <w:rsid w:val="003F1C0B"/>
    <w:rsid w:val="003F1D60"/>
    <w:rsid w:val="003F1D65"/>
    <w:rsid w:val="003F1DC3"/>
    <w:rsid w:val="003F205E"/>
    <w:rsid w:val="003F2542"/>
    <w:rsid w:val="003F25F3"/>
    <w:rsid w:val="003F2961"/>
    <w:rsid w:val="003F31B9"/>
    <w:rsid w:val="003F31E8"/>
    <w:rsid w:val="003F3A56"/>
    <w:rsid w:val="003F3EC2"/>
    <w:rsid w:val="003F416C"/>
    <w:rsid w:val="003F45DA"/>
    <w:rsid w:val="003F46C8"/>
    <w:rsid w:val="003F4B65"/>
    <w:rsid w:val="003F4C0A"/>
    <w:rsid w:val="003F5106"/>
    <w:rsid w:val="003F54C1"/>
    <w:rsid w:val="003F5986"/>
    <w:rsid w:val="003F59DE"/>
    <w:rsid w:val="003F5A9B"/>
    <w:rsid w:val="003F5BAE"/>
    <w:rsid w:val="003F5EDA"/>
    <w:rsid w:val="003F6370"/>
    <w:rsid w:val="003F681A"/>
    <w:rsid w:val="003F6F28"/>
    <w:rsid w:val="003F74A3"/>
    <w:rsid w:val="003F7BA7"/>
    <w:rsid w:val="003F7E3A"/>
    <w:rsid w:val="00400291"/>
    <w:rsid w:val="00400AF1"/>
    <w:rsid w:val="00400C9D"/>
    <w:rsid w:val="00400EAF"/>
    <w:rsid w:val="00401083"/>
    <w:rsid w:val="0040121A"/>
    <w:rsid w:val="00401634"/>
    <w:rsid w:val="004018E0"/>
    <w:rsid w:val="00401997"/>
    <w:rsid w:val="00401E97"/>
    <w:rsid w:val="00401EB2"/>
    <w:rsid w:val="00401FFA"/>
    <w:rsid w:val="004026C3"/>
    <w:rsid w:val="00402F85"/>
    <w:rsid w:val="0040304B"/>
    <w:rsid w:val="004031B7"/>
    <w:rsid w:val="004031D8"/>
    <w:rsid w:val="0040358E"/>
    <w:rsid w:val="00403AF0"/>
    <w:rsid w:val="00403BD6"/>
    <w:rsid w:val="00403D5C"/>
    <w:rsid w:val="00403E13"/>
    <w:rsid w:val="004043EA"/>
    <w:rsid w:val="004045E5"/>
    <w:rsid w:val="0040482B"/>
    <w:rsid w:val="00404DF0"/>
    <w:rsid w:val="00404F16"/>
    <w:rsid w:val="004050D5"/>
    <w:rsid w:val="00405185"/>
    <w:rsid w:val="0040548F"/>
    <w:rsid w:val="00405497"/>
    <w:rsid w:val="00405539"/>
    <w:rsid w:val="004057A0"/>
    <w:rsid w:val="00405A93"/>
    <w:rsid w:val="00405C57"/>
    <w:rsid w:val="00405FD7"/>
    <w:rsid w:val="0040610F"/>
    <w:rsid w:val="0040675D"/>
    <w:rsid w:val="00406B02"/>
    <w:rsid w:val="00406B77"/>
    <w:rsid w:val="00406DD7"/>
    <w:rsid w:val="00406F7C"/>
    <w:rsid w:val="0040720E"/>
    <w:rsid w:val="0040791B"/>
    <w:rsid w:val="00407A5A"/>
    <w:rsid w:val="00407BEA"/>
    <w:rsid w:val="004103A3"/>
    <w:rsid w:val="004103F2"/>
    <w:rsid w:val="00410941"/>
    <w:rsid w:val="0041098C"/>
    <w:rsid w:val="00410AE9"/>
    <w:rsid w:val="00410B6B"/>
    <w:rsid w:val="00410CAE"/>
    <w:rsid w:val="00411C66"/>
    <w:rsid w:val="00411EDA"/>
    <w:rsid w:val="00412099"/>
    <w:rsid w:val="00412507"/>
    <w:rsid w:val="0041267A"/>
    <w:rsid w:val="0041274F"/>
    <w:rsid w:val="00412A8A"/>
    <w:rsid w:val="00412D04"/>
    <w:rsid w:val="00412EEF"/>
    <w:rsid w:val="00412F5E"/>
    <w:rsid w:val="00413272"/>
    <w:rsid w:val="004133E2"/>
    <w:rsid w:val="004135FF"/>
    <w:rsid w:val="0041384A"/>
    <w:rsid w:val="00413938"/>
    <w:rsid w:val="0041399E"/>
    <w:rsid w:val="00413AC0"/>
    <w:rsid w:val="00413C5C"/>
    <w:rsid w:val="00413DD8"/>
    <w:rsid w:val="004143F2"/>
    <w:rsid w:val="00414AD5"/>
    <w:rsid w:val="00414CC5"/>
    <w:rsid w:val="00414D57"/>
    <w:rsid w:val="00414DDF"/>
    <w:rsid w:val="004154B5"/>
    <w:rsid w:val="004154BC"/>
    <w:rsid w:val="00415511"/>
    <w:rsid w:val="00415583"/>
    <w:rsid w:val="004155BA"/>
    <w:rsid w:val="00415616"/>
    <w:rsid w:val="00415A1A"/>
    <w:rsid w:val="00415B25"/>
    <w:rsid w:val="00415F5D"/>
    <w:rsid w:val="00415F7E"/>
    <w:rsid w:val="00415F85"/>
    <w:rsid w:val="0041608C"/>
    <w:rsid w:val="00416209"/>
    <w:rsid w:val="0041636C"/>
    <w:rsid w:val="004163A0"/>
    <w:rsid w:val="0041659C"/>
    <w:rsid w:val="00416A85"/>
    <w:rsid w:val="00416AE4"/>
    <w:rsid w:val="00416C8B"/>
    <w:rsid w:val="00416CF7"/>
    <w:rsid w:val="00416E0F"/>
    <w:rsid w:val="00416FD7"/>
    <w:rsid w:val="004171EA"/>
    <w:rsid w:val="0041785F"/>
    <w:rsid w:val="00417C7D"/>
    <w:rsid w:val="00417DA7"/>
    <w:rsid w:val="00420375"/>
    <w:rsid w:val="00420755"/>
    <w:rsid w:val="004209EB"/>
    <w:rsid w:val="00420AAD"/>
    <w:rsid w:val="00420B19"/>
    <w:rsid w:val="00420BCA"/>
    <w:rsid w:val="00420FAF"/>
    <w:rsid w:val="004219CF"/>
    <w:rsid w:val="00421CC1"/>
    <w:rsid w:val="00421CF7"/>
    <w:rsid w:val="00421D62"/>
    <w:rsid w:val="00421DB0"/>
    <w:rsid w:val="00421F8F"/>
    <w:rsid w:val="00422487"/>
    <w:rsid w:val="004226B4"/>
    <w:rsid w:val="00422725"/>
    <w:rsid w:val="00422A61"/>
    <w:rsid w:val="00422D78"/>
    <w:rsid w:val="004232B3"/>
    <w:rsid w:val="00423414"/>
    <w:rsid w:val="00423893"/>
    <w:rsid w:val="00423BCD"/>
    <w:rsid w:val="00423BEF"/>
    <w:rsid w:val="004240BC"/>
    <w:rsid w:val="004242AA"/>
    <w:rsid w:val="0042433F"/>
    <w:rsid w:val="004244E7"/>
    <w:rsid w:val="0042450E"/>
    <w:rsid w:val="00424835"/>
    <w:rsid w:val="004250C6"/>
    <w:rsid w:val="00425138"/>
    <w:rsid w:val="004258DA"/>
    <w:rsid w:val="00425A3F"/>
    <w:rsid w:val="00425A4D"/>
    <w:rsid w:val="00425C70"/>
    <w:rsid w:val="00426881"/>
    <w:rsid w:val="00426957"/>
    <w:rsid w:val="00426A09"/>
    <w:rsid w:val="00426DA1"/>
    <w:rsid w:val="00426F63"/>
    <w:rsid w:val="00427676"/>
    <w:rsid w:val="0042769D"/>
    <w:rsid w:val="00427725"/>
    <w:rsid w:val="004277D0"/>
    <w:rsid w:val="00427A77"/>
    <w:rsid w:val="00427AB6"/>
    <w:rsid w:val="00427B10"/>
    <w:rsid w:val="00427C47"/>
    <w:rsid w:val="00427F04"/>
    <w:rsid w:val="00427F5C"/>
    <w:rsid w:val="004301E1"/>
    <w:rsid w:val="00430308"/>
    <w:rsid w:val="00430402"/>
    <w:rsid w:val="004308C9"/>
    <w:rsid w:val="00430AF3"/>
    <w:rsid w:val="00430B39"/>
    <w:rsid w:val="00430C05"/>
    <w:rsid w:val="00430EC6"/>
    <w:rsid w:val="00431128"/>
    <w:rsid w:val="00431364"/>
    <w:rsid w:val="0043154C"/>
    <w:rsid w:val="0043160D"/>
    <w:rsid w:val="00431DC9"/>
    <w:rsid w:val="004324B8"/>
    <w:rsid w:val="0043262C"/>
    <w:rsid w:val="00432762"/>
    <w:rsid w:val="004328BE"/>
    <w:rsid w:val="004328D3"/>
    <w:rsid w:val="00432A7D"/>
    <w:rsid w:val="004335AB"/>
    <w:rsid w:val="004338F6"/>
    <w:rsid w:val="00433E63"/>
    <w:rsid w:val="004340EC"/>
    <w:rsid w:val="004341DA"/>
    <w:rsid w:val="00434567"/>
    <w:rsid w:val="00434876"/>
    <w:rsid w:val="0043488B"/>
    <w:rsid w:val="00434D9A"/>
    <w:rsid w:val="00434F02"/>
    <w:rsid w:val="00435144"/>
    <w:rsid w:val="004355BC"/>
    <w:rsid w:val="00435920"/>
    <w:rsid w:val="00435E7D"/>
    <w:rsid w:val="004362B5"/>
    <w:rsid w:val="00436954"/>
    <w:rsid w:val="00436E5A"/>
    <w:rsid w:val="004371EC"/>
    <w:rsid w:val="00437203"/>
    <w:rsid w:val="00437272"/>
    <w:rsid w:val="004373A7"/>
    <w:rsid w:val="00437534"/>
    <w:rsid w:val="00437EDC"/>
    <w:rsid w:val="00440005"/>
    <w:rsid w:val="0044059F"/>
    <w:rsid w:val="004406B3"/>
    <w:rsid w:val="0044078E"/>
    <w:rsid w:val="00440ECA"/>
    <w:rsid w:val="00440F62"/>
    <w:rsid w:val="00441131"/>
    <w:rsid w:val="0044133C"/>
    <w:rsid w:val="004413A3"/>
    <w:rsid w:val="004415F7"/>
    <w:rsid w:val="004416F8"/>
    <w:rsid w:val="004419AB"/>
    <w:rsid w:val="00441EE5"/>
    <w:rsid w:val="00442040"/>
    <w:rsid w:val="004422BC"/>
    <w:rsid w:val="00442F07"/>
    <w:rsid w:val="004434DC"/>
    <w:rsid w:val="0044378B"/>
    <w:rsid w:val="00443A0B"/>
    <w:rsid w:val="00443F87"/>
    <w:rsid w:val="00444176"/>
    <w:rsid w:val="00444201"/>
    <w:rsid w:val="00444227"/>
    <w:rsid w:val="0044436E"/>
    <w:rsid w:val="004443B5"/>
    <w:rsid w:val="0044465D"/>
    <w:rsid w:val="00444872"/>
    <w:rsid w:val="00444954"/>
    <w:rsid w:val="004449C4"/>
    <w:rsid w:val="0044516C"/>
    <w:rsid w:val="00445275"/>
    <w:rsid w:val="0044537E"/>
    <w:rsid w:val="0044552A"/>
    <w:rsid w:val="00445BCB"/>
    <w:rsid w:val="00446513"/>
    <w:rsid w:val="00446700"/>
    <w:rsid w:val="00446724"/>
    <w:rsid w:val="004469D4"/>
    <w:rsid w:val="00446F32"/>
    <w:rsid w:val="00446F60"/>
    <w:rsid w:val="00447283"/>
    <w:rsid w:val="004475F8"/>
    <w:rsid w:val="00447816"/>
    <w:rsid w:val="00447BDE"/>
    <w:rsid w:val="00447C46"/>
    <w:rsid w:val="00447D7E"/>
    <w:rsid w:val="00447F2E"/>
    <w:rsid w:val="00450023"/>
    <w:rsid w:val="0045011D"/>
    <w:rsid w:val="004502AC"/>
    <w:rsid w:val="004502BE"/>
    <w:rsid w:val="0045035F"/>
    <w:rsid w:val="00450577"/>
    <w:rsid w:val="0045068F"/>
    <w:rsid w:val="0045074B"/>
    <w:rsid w:val="004507E9"/>
    <w:rsid w:val="00450871"/>
    <w:rsid w:val="00450900"/>
    <w:rsid w:val="00450B15"/>
    <w:rsid w:val="00450B5B"/>
    <w:rsid w:val="0045132B"/>
    <w:rsid w:val="004515AD"/>
    <w:rsid w:val="0045163E"/>
    <w:rsid w:val="0045194F"/>
    <w:rsid w:val="004519C0"/>
    <w:rsid w:val="00452006"/>
    <w:rsid w:val="0045226D"/>
    <w:rsid w:val="004523DA"/>
    <w:rsid w:val="004527FB"/>
    <w:rsid w:val="004528A0"/>
    <w:rsid w:val="0045299B"/>
    <w:rsid w:val="00452AC5"/>
    <w:rsid w:val="00452C2A"/>
    <w:rsid w:val="00452D01"/>
    <w:rsid w:val="00452EDE"/>
    <w:rsid w:val="004535BC"/>
    <w:rsid w:val="00453664"/>
    <w:rsid w:val="00453703"/>
    <w:rsid w:val="004538D2"/>
    <w:rsid w:val="004538DB"/>
    <w:rsid w:val="00453948"/>
    <w:rsid w:val="004539EA"/>
    <w:rsid w:val="00453A8A"/>
    <w:rsid w:val="00453C56"/>
    <w:rsid w:val="00453D1A"/>
    <w:rsid w:val="00453FC8"/>
    <w:rsid w:val="004541AB"/>
    <w:rsid w:val="0045464D"/>
    <w:rsid w:val="004548FE"/>
    <w:rsid w:val="00454A7A"/>
    <w:rsid w:val="00454B69"/>
    <w:rsid w:val="00454B9C"/>
    <w:rsid w:val="00454D2D"/>
    <w:rsid w:val="00454FF9"/>
    <w:rsid w:val="004553C9"/>
    <w:rsid w:val="00455449"/>
    <w:rsid w:val="00455A02"/>
    <w:rsid w:val="00455ABE"/>
    <w:rsid w:val="00455AEE"/>
    <w:rsid w:val="00455D83"/>
    <w:rsid w:val="00455DC5"/>
    <w:rsid w:val="00455E00"/>
    <w:rsid w:val="00455E18"/>
    <w:rsid w:val="00455E8F"/>
    <w:rsid w:val="0045679B"/>
    <w:rsid w:val="0045690F"/>
    <w:rsid w:val="00456BBF"/>
    <w:rsid w:val="004570B8"/>
    <w:rsid w:val="00457151"/>
    <w:rsid w:val="00457184"/>
    <w:rsid w:val="004571AD"/>
    <w:rsid w:val="00457242"/>
    <w:rsid w:val="00457306"/>
    <w:rsid w:val="004574BE"/>
    <w:rsid w:val="00457650"/>
    <w:rsid w:val="0045768D"/>
    <w:rsid w:val="004578A1"/>
    <w:rsid w:val="00457B35"/>
    <w:rsid w:val="00457D06"/>
    <w:rsid w:val="004603D4"/>
    <w:rsid w:val="004603DC"/>
    <w:rsid w:val="00460661"/>
    <w:rsid w:val="004607B0"/>
    <w:rsid w:val="00460805"/>
    <w:rsid w:val="00460887"/>
    <w:rsid w:val="00460CD5"/>
    <w:rsid w:val="00461160"/>
    <w:rsid w:val="00461395"/>
    <w:rsid w:val="0046175C"/>
    <w:rsid w:val="00461F03"/>
    <w:rsid w:val="00462069"/>
    <w:rsid w:val="004621DF"/>
    <w:rsid w:val="00462A1F"/>
    <w:rsid w:val="00462A23"/>
    <w:rsid w:val="00462A6D"/>
    <w:rsid w:val="00462F10"/>
    <w:rsid w:val="00463002"/>
    <w:rsid w:val="0046325D"/>
    <w:rsid w:val="00463624"/>
    <w:rsid w:val="004636AE"/>
    <w:rsid w:val="00463B53"/>
    <w:rsid w:val="00463BE1"/>
    <w:rsid w:val="00463C08"/>
    <w:rsid w:val="004640C4"/>
    <w:rsid w:val="00464122"/>
    <w:rsid w:val="00464A83"/>
    <w:rsid w:val="00464C94"/>
    <w:rsid w:val="00464D3C"/>
    <w:rsid w:val="004656D0"/>
    <w:rsid w:val="00465BEA"/>
    <w:rsid w:val="00465C44"/>
    <w:rsid w:val="00465CC2"/>
    <w:rsid w:val="00465E3E"/>
    <w:rsid w:val="0046638A"/>
    <w:rsid w:val="004664F4"/>
    <w:rsid w:val="004668CB"/>
    <w:rsid w:val="004672E7"/>
    <w:rsid w:val="00467595"/>
    <w:rsid w:val="00467A59"/>
    <w:rsid w:val="00467C29"/>
    <w:rsid w:val="00467CC3"/>
    <w:rsid w:val="00467EBB"/>
    <w:rsid w:val="0047084C"/>
    <w:rsid w:val="00470874"/>
    <w:rsid w:val="004709F3"/>
    <w:rsid w:val="00470AB6"/>
    <w:rsid w:val="004713C6"/>
    <w:rsid w:val="00471420"/>
    <w:rsid w:val="00471691"/>
    <w:rsid w:val="0047184B"/>
    <w:rsid w:val="0047198D"/>
    <w:rsid w:val="00471BCB"/>
    <w:rsid w:val="00471C31"/>
    <w:rsid w:val="00471D89"/>
    <w:rsid w:val="00471E46"/>
    <w:rsid w:val="00471FCA"/>
    <w:rsid w:val="0047205D"/>
    <w:rsid w:val="00472297"/>
    <w:rsid w:val="004726C2"/>
    <w:rsid w:val="004726EA"/>
    <w:rsid w:val="0047290B"/>
    <w:rsid w:val="004729C3"/>
    <w:rsid w:val="00472E6B"/>
    <w:rsid w:val="004733C8"/>
    <w:rsid w:val="00473742"/>
    <w:rsid w:val="00473760"/>
    <w:rsid w:val="00474541"/>
    <w:rsid w:val="004745ED"/>
    <w:rsid w:val="004745EE"/>
    <w:rsid w:val="0047463E"/>
    <w:rsid w:val="00474A4E"/>
    <w:rsid w:val="004751BC"/>
    <w:rsid w:val="0047551F"/>
    <w:rsid w:val="00475A15"/>
    <w:rsid w:val="00475E9B"/>
    <w:rsid w:val="00475EFA"/>
    <w:rsid w:val="00476BA9"/>
    <w:rsid w:val="00476BE3"/>
    <w:rsid w:val="00476F46"/>
    <w:rsid w:val="004773B2"/>
    <w:rsid w:val="00477437"/>
    <w:rsid w:val="0047787B"/>
    <w:rsid w:val="00477902"/>
    <w:rsid w:val="00477976"/>
    <w:rsid w:val="004779C0"/>
    <w:rsid w:val="00480237"/>
    <w:rsid w:val="0048023C"/>
    <w:rsid w:val="00480315"/>
    <w:rsid w:val="00480334"/>
    <w:rsid w:val="00480598"/>
    <w:rsid w:val="00480797"/>
    <w:rsid w:val="004808AE"/>
    <w:rsid w:val="00480954"/>
    <w:rsid w:val="00480A0A"/>
    <w:rsid w:val="00480F4B"/>
    <w:rsid w:val="00480F78"/>
    <w:rsid w:val="00481176"/>
    <w:rsid w:val="00481185"/>
    <w:rsid w:val="004811E3"/>
    <w:rsid w:val="004814C4"/>
    <w:rsid w:val="0048175A"/>
    <w:rsid w:val="004817D6"/>
    <w:rsid w:val="00481AA4"/>
    <w:rsid w:val="00481E0A"/>
    <w:rsid w:val="00482224"/>
    <w:rsid w:val="004822BD"/>
    <w:rsid w:val="004826CB"/>
    <w:rsid w:val="004826E4"/>
    <w:rsid w:val="00482B04"/>
    <w:rsid w:val="00482F4D"/>
    <w:rsid w:val="004830D9"/>
    <w:rsid w:val="0048319E"/>
    <w:rsid w:val="00483CBD"/>
    <w:rsid w:val="00483CFA"/>
    <w:rsid w:val="00483DFB"/>
    <w:rsid w:val="00484200"/>
    <w:rsid w:val="004843C1"/>
    <w:rsid w:val="00484639"/>
    <w:rsid w:val="00484705"/>
    <w:rsid w:val="0048472C"/>
    <w:rsid w:val="0048491B"/>
    <w:rsid w:val="004850AB"/>
    <w:rsid w:val="004850EF"/>
    <w:rsid w:val="004852E3"/>
    <w:rsid w:val="00485560"/>
    <w:rsid w:val="004859EB"/>
    <w:rsid w:val="00485B65"/>
    <w:rsid w:val="00485CAB"/>
    <w:rsid w:val="00485D75"/>
    <w:rsid w:val="00485F24"/>
    <w:rsid w:val="004860C1"/>
    <w:rsid w:val="00486170"/>
    <w:rsid w:val="00486471"/>
    <w:rsid w:val="00486E94"/>
    <w:rsid w:val="00486EFD"/>
    <w:rsid w:val="00486F66"/>
    <w:rsid w:val="00486F80"/>
    <w:rsid w:val="00487130"/>
    <w:rsid w:val="0048714D"/>
    <w:rsid w:val="00487550"/>
    <w:rsid w:val="0049051B"/>
    <w:rsid w:val="0049052F"/>
    <w:rsid w:val="00491C0B"/>
    <w:rsid w:val="00491EF0"/>
    <w:rsid w:val="00492009"/>
    <w:rsid w:val="00492256"/>
    <w:rsid w:val="0049227B"/>
    <w:rsid w:val="00492339"/>
    <w:rsid w:val="00492473"/>
    <w:rsid w:val="004925B8"/>
    <w:rsid w:val="004927ED"/>
    <w:rsid w:val="004929EE"/>
    <w:rsid w:val="00492CA8"/>
    <w:rsid w:val="00493225"/>
    <w:rsid w:val="00493289"/>
    <w:rsid w:val="0049394E"/>
    <w:rsid w:val="00493CDE"/>
    <w:rsid w:val="004941C6"/>
    <w:rsid w:val="00494243"/>
    <w:rsid w:val="00494501"/>
    <w:rsid w:val="00494503"/>
    <w:rsid w:val="0049475B"/>
    <w:rsid w:val="00494803"/>
    <w:rsid w:val="00494876"/>
    <w:rsid w:val="004948D5"/>
    <w:rsid w:val="00494C7E"/>
    <w:rsid w:val="0049512E"/>
    <w:rsid w:val="0049540D"/>
    <w:rsid w:val="0049555B"/>
    <w:rsid w:val="004959CA"/>
    <w:rsid w:val="00495A98"/>
    <w:rsid w:val="00495CB9"/>
    <w:rsid w:val="004960F1"/>
    <w:rsid w:val="0049631B"/>
    <w:rsid w:val="004965D5"/>
    <w:rsid w:val="00496CB8"/>
    <w:rsid w:val="00496E06"/>
    <w:rsid w:val="00497082"/>
    <w:rsid w:val="0049712B"/>
    <w:rsid w:val="004977F2"/>
    <w:rsid w:val="00497B53"/>
    <w:rsid w:val="00497D61"/>
    <w:rsid w:val="00497DA6"/>
    <w:rsid w:val="00497EB0"/>
    <w:rsid w:val="004A0023"/>
    <w:rsid w:val="004A0228"/>
    <w:rsid w:val="004A02C2"/>
    <w:rsid w:val="004A0470"/>
    <w:rsid w:val="004A0474"/>
    <w:rsid w:val="004A0681"/>
    <w:rsid w:val="004A0960"/>
    <w:rsid w:val="004A1758"/>
    <w:rsid w:val="004A17A2"/>
    <w:rsid w:val="004A18B2"/>
    <w:rsid w:val="004A1B20"/>
    <w:rsid w:val="004A1C84"/>
    <w:rsid w:val="004A23C1"/>
    <w:rsid w:val="004A253D"/>
    <w:rsid w:val="004A2572"/>
    <w:rsid w:val="004A26EF"/>
    <w:rsid w:val="004A29DC"/>
    <w:rsid w:val="004A2B48"/>
    <w:rsid w:val="004A38D0"/>
    <w:rsid w:val="004A3A6A"/>
    <w:rsid w:val="004A3EBD"/>
    <w:rsid w:val="004A3ED6"/>
    <w:rsid w:val="004A3FC0"/>
    <w:rsid w:val="004A45F5"/>
    <w:rsid w:val="004A4919"/>
    <w:rsid w:val="004A499F"/>
    <w:rsid w:val="004A49AF"/>
    <w:rsid w:val="004A49C1"/>
    <w:rsid w:val="004A5248"/>
    <w:rsid w:val="004A5584"/>
    <w:rsid w:val="004A5591"/>
    <w:rsid w:val="004A55E4"/>
    <w:rsid w:val="004A56E0"/>
    <w:rsid w:val="004A58FE"/>
    <w:rsid w:val="004A5B8E"/>
    <w:rsid w:val="004A61F2"/>
    <w:rsid w:val="004A6303"/>
    <w:rsid w:val="004A6617"/>
    <w:rsid w:val="004A7762"/>
    <w:rsid w:val="004A7883"/>
    <w:rsid w:val="004A78B1"/>
    <w:rsid w:val="004A7BD5"/>
    <w:rsid w:val="004A7C52"/>
    <w:rsid w:val="004B007A"/>
    <w:rsid w:val="004B092E"/>
    <w:rsid w:val="004B0D7D"/>
    <w:rsid w:val="004B0E5B"/>
    <w:rsid w:val="004B0E87"/>
    <w:rsid w:val="004B104F"/>
    <w:rsid w:val="004B1053"/>
    <w:rsid w:val="004B1351"/>
    <w:rsid w:val="004B174F"/>
    <w:rsid w:val="004B1EE4"/>
    <w:rsid w:val="004B1F7B"/>
    <w:rsid w:val="004B2033"/>
    <w:rsid w:val="004B20A4"/>
    <w:rsid w:val="004B2109"/>
    <w:rsid w:val="004B21E1"/>
    <w:rsid w:val="004B28F6"/>
    <w:rsid w:val="004B2AF9"/>
    <w:rsid w:val="004B2C65"/>
    <w:rsid w:val="004B2D98"/>
    <w:rsid w:val="004B2FA0"/>
    <w:rsid w:val="004B305A"/>
    <w:rsid w:val="004B31F5"/>
    <w:rsid w:val="004B37CD"/>
    <w:rsid w:val="004B38E7"/>
    <w:rsid w:val="004B3BAB"/>
    <w:rsid w:val="004B3CDE"/>
    <w:rsid w:val="004B3CF7"/>
    <w:rsid w:val="004B4169"/>
    <w:rsid w:val="004B44E2"/>
    <w:rsid w:val="004B45D9"/>
    <w:rsid w:val="004B475C"/>
    <w:rsid w:val="004B4821"/>
    <w:rsid w:val="004B4C28"/>
    <w:rsid w:val="004B5277"/>
    <w:rsid w:val="004B5435"/>
    <w:rsid w:val="004B5845"/>
    <w:rsid w:val="004B591C"/>
    <w:rsid w:val="004B5C26"/>
    <w:rsid w:val="004B5DAA"/>
    <w:rsid w:val="004B5E2B"/>
    <w:rsid w:val="004B659D"/>
    <w:rsid w:val="004B6B3B"/>
    <w:rsid w:val="004B6BA6"/>
    <w:rsid w:val="004B6C4A"/>
    <w:rsid w:val="004B6E2C"/>
    <w:rsid w:val="004B6EB6"/>
    <w:rsid w:val="004B6F87"/>
    <w:rsid w:val="004B72FE"/>
    <w:rsid w:val="004B757D"/>
    <w:rsid w:val="004B761C"/>
    <w:rsid w:val="004B771D"/>
    <w:rsid w:val="004B77CC"/>
    <w:rsid w:val="004B7DEF"/>
    <w:rsid w:val="004C00CA"/>
    <w:rsid w:val="004C022C"/>
    <w:rsid w:val="004C0865"/>
    <w:rsid w:val="004C0FC1"/>
    <w:rsid w:val="004C118B"/>
    <w:rsid w:val="004C190B"/>
    <w:rsid w:val="004C1B55"/>
    <w:rsid w:val="004C1B7A"/>
    <w:rsid w:val="004C1D54"/>
    <w:rsid w:val="004C1D81"/>
    <w:rsid w:val="004C1E41"/>
    <w:rsid w:val="004C1EEA"/>
    <w:rsid w:val="004C2033"/>
    <w:rsid w:val="004C211E"/>
    <w:rsid w:val="004C236D"/>
    <w:rsid w:val="004C2C0F"/>
    <w:rsid w:val="004C2CCA"/>
    <w:rsid w:val="004C2DD9"/>
    <w:rsid w:val="004C2F04"/>
    <w:rsid w:val="004C2FDE"/>
    <w:rsid w:val="004C338F"/>
    <w:rsid w:val="004C35DB"/>
    <w:rsid w:val="004C38D4"/>
    <w:rsid w:val="004C3B7E"/>
    <w:rsid w:val="004C3B90"/>
    <w:rsid w:val="004C3C1E"/>
    <w:rsid w:val="004C41FF"/>
    <w:rsid w:val="004C43C3"/>
    <w:rsid w:val="004C443E"/>
    <w:rsid w:val="004C4443"/>
    <w:rsid w:val="004C4973"/>
    <w:rsid w:val="004C4ECE"/>
    <w:rsid w:val="004C564D"/>
    <w:rsid w:val="004C56CC"/>
    <w:rsid w:val="004C5921"/>
    <w:rsid w:val="004C593F"/>
    <w:rsid w:val="004C5E34"/>
    <w:rsid w:val="004C5FF5"/>
    <w:rsid w:val="004C6238"/>
    <w:rsid w:val="004C625B"/>
    <w:rsid w:val="004C66A5"/>
    <w:rsid w:val="004C6B44"/>
    <w:rsid w:val="004C6B5F"/>
    <w:rsid w:val="004C6C2E"/>
    <w:rsid w:val="004C6F52"/>
    <w:rsid w:val="004C706D"/>
    <w:rsid w:val="004C72BC"/>
    <w:rsid w:val="004C72F5"/>
    <w:rsid w:val="004C731A"/>
    <w:rsid w:val="004C752F"/>
    <w:rsid w:val="004C7A26"/>
    <w:rsid w:val="004C7BC2"/>
    <w:rsid w:val="004D0031"/>
    <w:rsid w:val="004D0183"/>
    <w:rsid w:val="004D03D8"/>
    <w:rsid w:val="004D091F"/>
    <w:rsid w:val="004D0B65"/>
    <w:rsid w:val="004D0C7F"/>
    <w:rsid w:val="004D0C88"/>
    <w:rsid w:val="004D0DB4"/>
    <w:rsid w:val="004D0E50"/>
    <w:rsid w:val="004D0ED5"/>
    <w:rsid w:val="004D0F7C"/>
    <w:rsid w:val="004D178B"/>
    <w:rsid w:val="004D185D"/>
    <w:rsid w:val="004D18D4"/>
    <w:rsid w:val="004D1A60"/>
    <w:rsid w:val="004D1BF6"/>
    <w:rsid w:val="004D1D40"/>
    <w:rsid w:val="004D1F2E"/>
    <w:rsid w:val="004D2025"/>
    <w:rsid w:val="004D2187"/>
    <w:rsid w:val="004D22E9"/>
    <w:rsid w:val="004D24EE"/>
    <w:rsid w:val="004D25EC"/>
    <w:rsid w:val="004D2864"/>
    <w:rsid w:val="004D2B86"/>
    <w:rsid w:val="004D2C2F"/>
    <w:rsid w:val="004D2C78"/>
    <w:rsid w:val="004D2CDF"/>
    <w:rsid w:val="004D35DC"/>
    <w:rsid w:val="004D379F"/>
    <w:rsid w:val="004D3ABD"/>
    <w:rsid w:val="004D3D9A"/>
    <w:rsid w:val="004D42A9"/>
    <w:rsid w:val="004D453C"/>
    <w:rsid w:val="004D4930"/>
    <w:rsid w:val="004D50BA"/>
    <w:rsid w:val="004D558E"/>
    <w:rsid w:val="004D572C"/>
    <w:rsid w:val="004D588F"/>
    <w:rsid w:val="004D5CC3"/>
    <w:rsid w:val="004D5FE4"/>
    <w:rsid w:val="004D5FEA"/>
    <w:rsid w:val="004D629B"/>
    <w:rsid w:val="004D64F8"/>
    <w:rsid w:val="004D667C"/>
    <w:rsid w:val="004D6909"/>
    <w:rsid w:val="004D69A2"/>
    <w:rsid w:val="004D69FA"/>
    <w:rsid w:val="004D6D46"/>
    <w:rsid w:val="004D6E2E"/>
    <w:rsid w:val="004D6FB2"/>
    <w:rsid w:val="004D6FE3"/>
    <w:rsid w:val="004D748C"/>
    <w:rsid w:val="004D76B3"/>
    <w:rsid w:val="004D7742"/>
    <w:rsid w:val="004D77B2"/>
    <w:rsid w:val="004D7B12"/>
    <w:rsid w:val="004D7F67"/>
    <w:rsid w:val="004E00AD"/>
    <w:rsid w:val="004E0255"/>
    <w:rsid w:val="004E04C1"/>
    <w:rsid w:val="004E0767"/>
    <w:rsid w:val="004E0832"/>
    <w:rsid w:val="004E0E37"/>
    <w:rsid w:val="004E0E46"/>
    <w:rsid w:val="004E1328"/>
    <w:rsid w:val="004E134C"/>
    <w:rsid w:val="004E1892"/>
    <w:rsid w:val="004E1B3D"/>
    <w:rsid w:val="004E1CD0"/>
    <w:rsid w:val="004E1FCB"/>
    <w:rsid w:val="004E2255"/>
    <w:rsid w:val="004E2259"/>
    <w:rsid w:val="004E2441"/>
    <w:rsid w:val="004E278F"/>
    <w:rsid w:val="004E2B52"/>
    <w:rsid w:val="004E2F7D"/>
    <w:rsid w:val="004E323D"/>
    <w:rsid w:val="004E3344"/>
    <w:rsid w:val="004E3661"/>
    <w:rsid w:val="004E39FE"/>
    <w:rsid w:val="004E3B2E"/>
    <w:rsid w:val="004E3C02"/>
    <w:rsid w:val="004E3D1A"/>
    <w:rsid w:val="004E3E32"/>
    <w:rsid w:val="004E3F75"/>
    <w:rsid w:val="004E3FBD"/>
    <w:rsid w:val="004E4263"/>
    <w:rsid w:val="004E448B"/>
    <w:rsid w:val="004E44B6"/>
    <w:rsid w:val="004E450D"/>
    <w:rsid w:val="004E456F"/>
    <w:rsid w:val="004E465C"/>
    <w:rsid w:val="004E46EE"/>
    <w:rsid w:val="004E47C0"/>
    <w:rsid w:val="004E5206"/>
    <w:rsid w:val="004E5339"/>
    <w:rsid w:val="004E537F"/>
    <w:rsid w:val="004E564F"/>
    <w:rsid w:val="004E56F8"/>
    <w:rsid w:val="004E5A72"/>
    <w:rsid w:val="004E5E44"/>
    <w:rsid w:val="004E5F6B"/>
    <w:rsid w:val="004E5FAA"/>
    <w:rsid w:val="004E6088"/>
    <w:rsid w:val="004E6125"/>
    <w:rsid w:val="004E66D2"/>
    <w:rsid w:val="004E6EC4"/>
    <w:rsid w:val="004E7210"/>
    <w:rsid w:val="004E735D"/>
    <w:rsid w:val="004E75B0"/>
    <w:rsid w:val="004E7615"/>
    <w:rsid w:val="004E7A9E"/>
    <w:rsid w:val="004E7BBD"/>
    <w:rsid w:val="004F028B"/>
    <w:rsid w:val="004F0509"/>
    <w:rsid w:val="004F056A"/>
    <w:rsid w:val="004F099B"/>
    <w:rsid w:val="004F0A58"/>
    <w:rsid w:val="004F0C3B"/>
    <w:rsid w:val="004F0D73"/>
    <w:rsid w:val="004F0F6F"/>
    <w:rsid w:val="004F1096"/>
    <w:rsid w:val="004F193F"/>
    <w:rsid w:val="004F195D"/>
    <w:rsid w:val="004F1AEC"/>
    <w:rsid w:val="004F1B85"/>
    <w:rsid w:val="004F1C9E"/>
    <w:rsid w:val="004F1F35"/>
    <w:rsid w:val="004F21FE"/>
    <w:rsid w:val="004F223A"/>
    <w:rsid w:val="004F2255"/>
    <w:rsid w:val="004F25C3"/>
    <w:rsid w:val="004F2B42"/>
    <w:rsid w:val="004F2CDD"/>
    <w:rsid w:val="004F2F37"/>
    <w:rsid w:val="004F2FD4"/>
    <w:rsid w:val="004F35E5"/>
    <w:rsid w:val="004F3712"/>
    <w:rsid w:val="004F3B29"/>
    <w:rsid w:val="004F42E4"/>
    <w:rsid w:val="004F492E"/>
    <w:rsid w:val="004F4A25"/>
    <w:rsid w:val="004F4FD5"/>
    <w:rsid w:val="004F523E"/>
    <w:rsid w:val="004F52BE"/>
    <w:rsid w:val="004F56A4"/>
    <w:rsid w:val="004F5A0B"/>
    <w:rsid w:val="004F5F2F"/>
    <w:rsid w:val="004F60A2"/>
    <w:rsid w:val="004F68E3"/>
    <w:rsid w:val="004F69F1"/>
    <w:rsid w:val="004F702F"/>
    <w:rsid w:val="004F73AF"/>
    <w:rsid w:val="004F7438"/>
    <w:rsid w:val="004F7714"/>
    <w:rsid w:val="004F7827"/>
    <w:rsid w:val="004F783B"/>
    <w:rsid w:val="00500435"/>
    <w:rsid w:val="005007AF"/>
    <w:rsid w:val="00500A86"/>
    <w:rsid w:val="00500B51"/>
    <w:rsid w:val="00500F5D"/>
    <w:rsid w:val="005015CB"/>
    <w:rsid w:val="005016CE"/>
    <w:rsid w:val="005016F7"/>
    <w:rsid w:val="00501734"/>
    <w:rsid w:val="00501964"/>
    <w:rsid w:val="00501AB3"/>
    <w:rsid w:val="00501C14"/>
    <w:rsid w:val="00501E7E"/>
    <w:rsid w:val="00502281"/>
    <w:rsid w:val="005022A2"/>
    <w:rsid w:val="00502492"/>
    <w:rsid w:val="00502963"/>
    <w:rsid w:val="00502DCC"/>
    <w:rsid w:val="00503600"/>
    <w:rsid w:val="005039D0"/>
    <w:rsid w:val="00503A5C"/>
    <w:rsid w:val="00503F6C"/>
    <w:rsid w:val="0050441C"/>
    <w:rsid w:val="00504620"/>
    <w:rsid w:val="005048FC"/>
    <w:rsid w:val="00504952"/>
    <w:rsid w:val="00504AD4"/>
    <w:rsid w:val="00505000"/>
    <w:rsid w:val="0050516D"/>
    <w:rsid w:val="005051AB"/>
    <w:rsid w:val="00505346"/>
    <w:rsid w:val="005053B5"/>
    <w:rsid w:val="0050572D"/>
    <w:rsid w:val="00505764"/>
    <w:rsid w:val="0050580B"/>
    <w:rsid w:val="00505A6E"/>
    <w:rsid w:val="005060C6"/>
    <w:rsid w:val="00506158"/>
    <w:rsid w:val="0050658C"/>
    <w:rsid w:val="005065AF"/>
    <w:rsid w:val="0050742B"/>
    <w:rsid w:val="005075AA"/>
    <w:rsid w:val="0050785A"/>
    <w:rsid w:val="00507946"/>
    <w:rsid w:val="00507BD0"/>
    <w:rsid w:val="00507DA6"/>
    <w:rsid w:val="00510126"/>
    <w:rsid w:val="005102F7"/>
    <w:rsid w:val="00510AFC"/>
    <w:rsid w:val="00510B0C"/>
    <w:rsid w:val="00510DB0"/>
    <w:rsid w:val="0051104C"/>
    <w:rsid w:val="0051113B"/>
    <w:rsid w:val="005113DC"/>
    <w:rsid w:val="005114EF"/>
    <w:rsid w:val="005114FA"/>
    <w:rsid w:val="0051186F"/>
    <w:rsid w:val="00511D68"/>
    <w:rsid w:val="00511ED5"/>
    <w:rsid w:val="0051211B"/>
    <w:rsid w:val="005121DA"/>
    <w:rsid w:val="00512208"/>
    <w:rsid w:val="005123D0"/>
    <w:rsid w:val="00512704"/>
    <w:rsid w:val="005127FF"/>
    <w:rsid w:val="00512891"/>
    <w:rsid w:val="00512BC5"/>
    <w:rsid w:val="00512CCB"/>
    <w:rsid w:val="00512DF4"/>
    <w:rsid w:val="00512F88"/>
    <w:rsid w:val="005135EB"/>
    <w:rsid w:val="0051369E"/>
    <w:rsid w:val="005137B5"/>
    <w:rsid w:val="005139E5"/>
    <w:rsid w:val="00513A56"/>
    <w:rsid w:val="00514073"/>
    <w:rsid w:val="005140B0"/>
    <w:rsid w:val="005142D7"/>
    <w:rsid w:val="005147DE"/>
    <w:rsid w:val="00514908"/>
    <w:rsid w:val="00515052"/>
    <w:rsid w:val="00515554"/>
    <w:rsid w:val="00515866"/>
    <w:rsid w:val="00515AC3"/>
    <w:rsid w:val="00515F8A"/>
    <w:rsid w:val="00515FF2"/>
    <w:rsid w:val="00516163"/>
    <w:rsid w:val="0051672A"/>
    <w:rsid w:val="00516F16"/>
    <w:rsid w:val="00517181"/>
    <w:rsid w:val="00517353"/>
    <w:rsid w:val="00517908"/>
    <w:rsid w:val="005179E0"/>
    <w:rsid w:val="00517A94"/>
    <w:rsid w:val="00517B9F"/>
    <w:rsid w:val="00520135"/>
    <w:rsid w:val="005202F6"/>
    <w:rsid w:val="00520457"/>
    <w:rsid w:val="0052060A"/>
    <w:rsid w:val="0052080B"/>
    <w:rsid w:val="005208FF"/>
    <w:rsid w:val="00520C67"/>
    <w:rsid w:val="00520E2B"/>
    <w:rsid w:val="00521362"/>
    <w:rsid w:val="00521400"/>
    <w:rsid w:val="005214FE"/>
    <w:rsid w:val="00521678"/>
    <w:rsid w:val="00521843"/>
    <w:rsid w:val="005219C6"/>
    <w:rsid w:val="00521D4F"/>
    <w:rsid w:val="005225F2"/>
    <w:rsid w:val="00522747"/>
    <w:rsid w:val="005227BD"/>
    <w:rsid w:val="00522A76"/>
    <w:rsid w:val="00522F35"/>
    <w:rsid w:val="00522FC1"/>
    <w:rsid w:val="00523118"/>
    <w:rsid w:val="005234D4"/>
    <w:rsid w:val="005234D7"/>
    <w:rsid w:val="0052373D"/>
    <w:rsid w:val="0052374D"/>
    <w:rsid w:val="00523CD3"/>
    <w:rsid w:val="00523EC0"/>
    <w:rsid w:val="00524184"/>
    <w:rsid w:val="005242A8"/>
    <w:rsid w:val="005242E0"/>
    <w:rsid w:val="00524497"/>
    <w:rsid w:val="005245A2"/>
    <w:rsid w:val="005245C2"/>
    <w:rsid w:val="00524627"/>
    <w:rsid w:val="00524C0E"/>
    <w:rsid w:val="00524E8D"/>
    <w:rsid w:val="00525685"/>
    <w:rsid w:val="0052570C"/>
    <w:rsid w:val="005257D9"/>
    <w:rsid w:val="00525972"/>
    <w:rsid w:val="005259EC"/>
    <w:rsid w:val="00525AF9"/>
    <w:rsid w:val="00525EDD"/>
    <w:rsid w:val="00526204"/>
    <w:rsid w:val="005264F7"/>
    <w:rsid w:val="0052650C"/>
    <w:rsid w:val="00526915"/>
    <w:rsid w:val="00526B49"/>
    <w:rsid w:val="00526C7B"/>
    <w:rsid w:val="005270C2"/>
    <w:rsid w:val="005275EC"/>
    <w:rsid w:val="005278BD"/>
    <w:rsid w:val="00527AAA"/>
    <w:rsid w:val="00527B57"/>
    <w:rsid w:val="00527D3C"/>
    <w:rsid w:val="00527FA2"/>
    <w:rsid w:val="0052C11C"/>
    <w:rsid w:val="005303F0"/>
    <w:rsid w:val="00530464"/>
    <w:rsid w:val="005307C5"/>
    <w:rsid w:val="00530B31"/>
    <w:rsid w:val="00530D3A"/>
    <w:rsid w:val="00531834"/>
    <w:rsid w:val="00531ADF"/>
    <w:rsid w:val="00531AE1"/>
    <w:rsid w:val="00531B23"/>
    <w:rsid w:val="00531E3B"/>
    <w:rsid w:val="005326C5"/>
    <w:rsid w:val="0053298A"/>
    <w:rsid w:val="00532CB8"/>
    <w:rsid w:val="00532D47"/>
    <w:rsid w:val="00532FB2"/>
    <w:rsid w:val="00533256"/>
    <w:rsid w:val="005334C4"/>
    <w:rsid w:val="0053399A"/>
    <w:rsid w:val="00533A00"/>
    <w:rsid w:val="00533B07"/>
    <w:rsid w:val="00533BE8"/>
    <w:rsid w:val="005340AB"/>
    <w:rsid w:val="0053422F"/>
    <w:rsid w:val="005342FD"/>
    <w:rsid w:val="005344E2"/>
    <w:rsid w:val="0053454F"/>
    <w:rsid w:val="00534907"/>
    <w:rsid w:val="00534BD1"/>
    <w:rsid w:val="00534D6A"/>
    <w:rsid w:val="00534EDC"/>
    <w:rsid w:val="00535191"/>
    <w:rsid w:val="0053530B"/>
    <w:rsid w:val="005354EB"/>
    <w:rsid w:val="005357FB"/>
    <w:rsid w:val="00535B01"/>
    <w:rsid w:val="00535B09"/>
    <w:rsid w:val="00535E4F"/>
    <w:rsid w:val="00535E67"/>
    <w:rsid w:val="00535EE0"/>
    <w:rsid w:val="00535F31"/>
    <w:rsid w:val="00535F3F"/>
    <w:rsid w:val="0053621C"/>
    <w:rsid w:val="00536427"/>
    <w:rsid w:val="005366C2"/>
    <w:rsid w:val="00536734"/>
    <w:rsid w:val="005367BC"/>
    <w:rsid w:val="00536B81"/>
    <w:rsid w:val="00537030"/>
    <w:rsid w:val="0053708A"/>
    <w:rsid w:val="00537105"/>
    <w:rsid w:val="00537205"/>
    <w:rsid w:val="005372EC"/>
    <w:rsid w:val="00537470"/>
    <w:rsid w:val="005377DC"/>
    <w:rsid w:val="00537A12"/>
    <w:rsid w:val="00537BDE"/>
    <w:rsid w:val="0053FD66"/>
    <w:rsid w:val="00540111"/>
    <w:rsid w:val="0054013E"/>
    <w:rsid w:val="00540DCB"/>
    <w:rsid w:val="005412E2"/>
    <w:rsid w:val="00541318"/>
    <w:rsid w:val="005413B1"/>
    <w:rsid w:val="00541462"/>
    <w:rsid w:val="00541478"/>
    <w:rsid w:val="00541695"/>
    <w:rsid w:val="00541776"/>
    <w:rsid w:val="005417F7"/>
    <w:rsid w:val="005418BE"/>
    <w:rsid w:val="0054206B"/>
    <w:rsid w:val="005420A2"/>
    <w:rsid w:val="00542CCD"/>
    <w:rsid w:val="00542DF2"/>
    <w:rsid w:val="005430A4"/>
    <w:rsid w:val="00543222"/>
    <w:rsid w:val="00543435"/>
    <w:rsid w:val="0054392E"/>
    <w:rsid w:val="00543994"/>
    <w:rsid w:val="005439D0"/>
    <w:rsid w:val="00543A87"/>
    <w:rsid w:val="00543E2C"/>
    <w:rsid w:val="005444CF"/>
    <w:rsid w:val="005444FB"/>
    <w:rsid w:val="0054488B"/>
    <w:rsid w:val="00544915"/>
    <w:rsid w:val="005449DA"/>
    <w:rsid w:val="00544E7F"/>
    <w:rsid w:val="0054531A"/>
    <w:rsid w:val="005453A0"/>
    <w:rsid w:val="005455D1"/>
    <w:rsid w:val="00545CD2"/>
    <w:rsid w:val="00545CF5"/>
    <w:rsid w:val="00546009"/>
    <w:rsid w:val="00546027"/>
    <w:rsid w:val="0054611D"/>
    <w:rsid w:val="005462AE"/>
    <w:rsid w:val="005463B6"/>
    <w:rsid w:val="0054664D"/>
    <w:rsid w:val="005468C4"/>
    <w:rsid w:val="00546DD4"/>
    <w:rsid w:val="00546E30"/>
    <w:rsid w:val="00546FE2"/>
    <w:rsid w:val="005470FA"/>
    <w:rsid w:val="0054712F"/>
    <w:rsid w:val="0054747C"/>
    <w:rsid w:val="00547ADF"/>
    <w:rsid w:val="00547D40"/>
    <w:rsid w:val="00547DD2"/>
    <w:rsid w:val="0055006C"/>
    <w:rsid w:val="005501A9"/>
    <w:rsid w:val="0055025D"/>
    <w:rsid w:val="005507F1"/>
    <w:rsid w:val="00550994"/>
    <w:rsid w:val="005509EF"/>
    <w:rsid w:val="00550C05"/>
    <w:rsid w:val="00550CC9"/>
    <w:rsid w:val="00550D35"/>
    <w:rsid w:val="00550FA1"/>
    <w:rsid w:val="0055116B"/>
    <w:rsid w:val="00551220"/>
    <w:rsid w:val="0055126E"/>
    <w:rsid w:val="00551339"/>
    <w:rsid w:val="005513EB"/>
    <w:rsid w:val="005514B1"/>
    <w:rsid w:val="005519E9"/>
    <w:rsid w:val="00551E92"/>
    <w:rsid w:val="00552057"/>
    <w:rsid w:val="00552364"/>
    <w:rsid w:val="00552414"/>
    <w:rsid w:val="00552588"/>
    <w:rsid w:val="00553218"/>
    <w:rsid w:val="00553C24"/>
    <w:rsid w:val="00553EFD"/>
    <w:rsid w:val="00554014"/>
    <w:rsid w:val="00554443"/>
    <w:rsid w:val="0055447D"/>
    <w:rsid w:val="00554565"/>
    <w:rsid w:val="00554819"/>
    <w:rsid w:val="00554CED"/>
    <w:rsid w:val="00554E0B"/>
    <w:rsid w:val="00554E8B"/>
    <w:rsid w:val="0055512E"/>
    <w:rsid w:val="005553A0"/>
    <w:rsid w:val="005553A5"/>
    <w:rsid w:val="00555468"/>
    <w:rsid w:val="005555FB"/>
    <w:rsid w:val="00555C49"/>
    <w:rsid w:val="00555DCF"/>
    <w:rsid w:val="00555EBF"/>
    <w:rsid w:val="00555FF5"/>
    <w:rsid w:val="005561E7"/>
    <w:rsid w:val="005562F7"/>
    <w:rsid w:val="0055685D"/>
    <w:rsid w:val="00556C9E"/>
    <w:rsid w:val="00556DAF"/>
    <w:rsid w:val="00557032"/>
    <w:rsid w:val="005576A4"/>
    <w:rsid w:val="005576FE"/>
    <w:rsid w:val="00557739"/>
    <w:rsid w:val="005579F0"/>
    <w:rsid w:val="00557ADC"/>
    <w:rsid w:val="00557DC9"/>
    <w:rsid w:val="0056001B"/>
    <w:rsid w:val="00560165"/>
    <w:rsid w:val="00560315"/>
    <w:rsid w:val="005605ED"/>
    <w:rsid w:val="00560794"/>
    <w:rsid w:val="005607FB"/>
    <w:rsid w:val="00560BDF"/>
    <w:rsid w:val="0056108F"/>
    <w:rsid w:val="00561305"/>
    <w:rsid w:val="005618BF"/>
    <w:rsid w:val="005618C4"/>
    <w:rsid w:val="00561936"/>
    <w:rsid w:val="00561BD3"/>
    <w:rsid w:val="00561CC5"/>
    <w:rsid w:val="00561D1F"/>
    <w:rsid w:val="00561D9A"/>
    <w:rsid w:val="0056262A"/>
    <w:rsid w:val="00562724"/>
    <w:rsid w:val="00562B3C"/>
    <w:rsid w:val="00562BDD"/>
    <w:rsid w:val="0056304B"/>
    <w:rsid w:val="005631B5"/>
    <w:rsid w:val="005632CD"/>
    <w:rsid w:val="005635B2"/>
    <w:rsid w:val="00563D1F"/>
    <w:rsid w:val="00564099"/>
    <w:rsid w:val="00564146"/>
    <w:rsid w:val="00564373"/>
    <w:rsid w:val="00564942"/>
    <w:rsid w:val="005649B3"/>
    <w:rsid w:val="00564AF1"/>
    <w:rsid w:val="00564E77"/>
    <w:rsid w:val="005652EF"/>
    <w:rsid w:val="00565482"/>
    <w:rsid w:val="005655B3"/>
    <w:rsid w:val="005656D3"/>
    <w:rsid w:val="00565782"/>
    <w:rsid w:val="00565931"/>
    <w:rsid w:val="00565D4C"/>
    <w:rsid w:val="00565E8D"/>
    <w:rsid w:val="00566036"/>
    <w:rsid w:val="0056605A"/>
    <w:rsid w:val="005665F5"/>
    <w:rsid w:val="00566900"/>
    <w:rsid w:val="00566A40"/>
    <w:rsid w:val="00566ADB"/>
    <w:rsid w:val="005670BA"/>
    <w:rsid w:val="005671E2"/>
    <w:rsid w:val="005673BB"/>
    <w:rsid w:val="00567AA7"/>
    <w:rsid w:val="00567B36"/>
    <w:rsid w:val="005700CF"/>
    <w:rsid w:val="005701DD"/>
    <w:rsid w:val="00570B4E"/>
    <w:rsid w:val="00570B80"/>
    <w:rsid w:val="005710F6"/>
    <w:rsid w:val="0057135A"/>
    <w:rsid w:val="00571700"/>
    <w:rsid w:val="00571C74"/>
    <w:rsid w:val="00572029"/>
    <w:rsid w:val="00572A08"/>
    <w:rsid w:val="00572B11"/>
    <w:rsid w:val="00572BEF"/>
    <w:rsid w:val="00572C3A"/>
    <w:rsid w:val="00573334"/>
    <w:rsid w:val="00573640"/>
    <w:rsid w:val="00573920"/>
    <w:rsid w:val="00573B08"/>
    <w:rsid w:val="00573CB8"/>
    <w:rsid w:val="00574090"/>
    <w:rsid w:val="00574115"/>
    <w:rsid w:val="00574356"/>
    <w:rsid w:val="00574563"/>
    <w:rsid w:val="005745F2"/>
    <w:rsid w:val="00574B49"/>
    <w:rsid w:val="0057507A"/>
    <w:rsid w:val="0057562C"/>
    <w:rsid w:val="005757FC"/>
    <w:rsid w:val="00575907"/>
    <w:rsid w:val="00575D0A"/>
    <w:rsid w:val="00575D38"/>
    <w:rsid w:val="00575D91"/>
    <w:rsid w:val="00576859"/>
    <w:rsid w:val="00576909"/>
    <w:rsid w:val="00576B68"/>
    <w:rsid w:val="00576B88"/>
    <w:rsid w:val="00577149"/>
    <w:rsid w:val="00577255"/>
    <w:rsid w:val="005773C0"/>
    <w:rsid w:val="005773D8"/>
    <w:rsid w:val="005777AF"/>
    <w:rsid w:val="0057784B"/>
    <w:rsid w:val="00577B98"/>
    <w:rsid w:val="0058001A"/>
    <w:rsid w:val="005808AE"/>
    <w:rsid w:val="00580F1C"/>
    <w:rsid w:val="005815E4"/>
    <w:rsid w:val="0058167C"/>
    <w:rsid w:val="005818C8"/>
    <w:rsid w:val="0058195F"/>
    <w:rsid w:val="005823EB"/>
    <w:rsid w:val="005825EA"/>
    <w:rsid w:val="0058273D"/>
    <w:rsid w:val="0058283E"/>
    <w:rsid w:val="005828E0"/>
    <w:rsid w:val="00582F5C"/>
    <w:rsid w:val="00583106"/>
    <w:rsid w:val="0058369D"/>
    <w:rsid w:val="005837D9"/>
    <w:rsid w:val="00583C09"/>
    <w:rsid w:val="00583E1B"/>
    <w:rsid w:val="0058438C"/>
    <w:rsid w:val="005845A0"/>
    <w:rsid w:val="00584A36"/>
    <w:rsid w:val="00584A93"/>
    <w:rsid w:val="00584AB0"/>
    <w:rsid w:val="00584BF3"/>
    <w:rsid w:val="00584D98"/>
    <w:rsid w:val="00584E28"/>
    <w:rsid w:val="00584F09"/>
    <w:rsid w:val="005855A3"/>
    <w:rsid w:val="00585800"/>
    <w:rsid w:val="00585BA2"/>
    <w:rsid w:val="00585BFF"/>
    <w:rsid w:val="00585E15"/>
    <w:rsid w:val="0058608A"/>
    <w:rsid w:val="00586162"/>
    <w:rsid w:val="0058632C"/>
    <w:rsid w:val="00586A58"/>
    <w:rsid w:val="00586A8C"/>
    <w:rsid w:val="00586CBF"/>
    <w:rsid w:val="00586DAE"/>
    <w:rsid w:val="00586DDD"/>
    <w:rsid w:val="00586FF9"/>
    <w:rsid w:val="0058708D"/>
    <w:rsid w:val="005870EF"/>
    <w:rsid w:val="005872E8"/>
    <w:rsid w:val="00587357"/>
    <w:rsid w:val="0058774E"/>
    <w:rsid w:val="005879E3"/>
    <w:rsid w:val="00587BFE"/>
    <w:rsid w:val="00587C2D"/>
    <w:rsid w:val="00587EB6"/>
    <w:rsid w:val="00587EF3"/>
    <w:rsid w:val="0059002C"/>
    <w:rsid w:val="005906B7"/>
    <w:rsid w:val="0059086F"/>
    <w:rsid w:val="00590891"/>
    <w:rsid w:val="00590FE1"/>
    <w:rsid w:val="005910B2"/>
    <w:rsid w:val="005916A7"/>
    <w:rsid w:val="005919B0"/>
    <w:rsid w:val="00591D60"/>
    <w:rsid w:val="00591E05"/>
    <w:rsid w:val="00591EAE"/>
    <w:rsid w:val="005923FF"/>
    <w:rsid w:val="00592558"/>
    <w:rsid w:val="0059267F"/>
    <w:rsid w:val="00592AF9"/>
    <w:rsid w:val="00592D69"/>
    <w:rsid w:val="00592E9A"/>
    <w:rsid w:val="00592F62"/>
    <w:rsid w:val="00592F66"/>
    <w:rsid w:val="005933BF"/>
    <w:rsid w:val="0059395C"/>
    <w:rsid w:val="00593D7B"/>
    <w:rsid w:val="00593ED4"/>
    <w:rsid w:val="00593FB6"/>
    <w:rsid w:val="005945BF"/>
    <w:rsid w:val="005945E2"/>
    <w:rsid w:val="0059480F"/>
    <w:rsid w:val="005949D5"/>
    <w:rsid w:val="00594ACA"/>
    <w:rsid w:val="00594CF1"/>
    <w:rsid w:val="00594EC6"/>
    <w:rsid w:val="005950C3"/>
    <w:rsid w:val="0059574E"/>
    <w:rsid w:val="005958D5"/>
    <w:rsid w:val="00595CC0"/>
    <w:rsid w:val="00595CCC"/>
    <w:rsid w:val="00595FA1"/>
    <w:rsid w:val="00595FF6"/>
    <w:rsid w:val="005963A3"/>
    <w:rsid w:val="0059687F"/>
    <w:rsid w:val="00596E26"/>
    <w:rsid w:val="00596FC2"/>
    <w:rsid w:val="005972E2"/>
    <w:rsid w:val="005973FF"/>
    <w:rsid w:val="005974E1"/>
    <w:rsid w:val="00597641"/>
    <w:rsid w:val="00597696"/>
    <w:rsid w:val="005977D1"/>
    <w:rsid w:val="0059784C"/>
    <w:rsid w:val="005979A6"/>
    <w:rsid w:val="00597D42"/>
    <w:rsid w:val="005A0103"/>
    <w:rsid w:val="005A07B5"/>
    <w:rsid w:val="005A07FC"/>
    <w:rsid w:val="005A1043"/>
    <w:rsid w:val="005A104C"/>
    <w:rsid w:val="005A12AC"/>
    <w:rsid w:val="005A1635"/>
    <w:rsid w:val="005A1D7D"/>
    <w:rsid w:val="005A1FEA"/>
    <w:rsid w:val="005A219C"/>
    <w:rsid w:val="005A25B0"/>
    <w:rsid w:val="005A2823"/>
    <w:rsid w:val="005A28D5"/>
    <w:rsid w:val="005A29C8"/>
    <w:rsid w:val="005A2A9F"/>
    <w:rsid w:val="005A2D5C"/>
    <w:rsid w:val="005A2E4D"/>
    <w:rsid w:val="005A2EEB"/>
    <w:rsid w:val="005A3008"/>
    <w:rsid w:val="005A340C"/>
    <w:rsid w:val="005A3663"/>
    <w:rsid w:val="005A3BE1"/>
    <w:rsid w:val="005A3E16"/>
    <w:rsid w:val="005A4397"/>
    <w:rsid w:val="005A446E"/>
    <w:rsid w:val="005A46EB"/>
    <w:rsid w:val="005A47D9"/>
    <w:rsid w:val="005A495B"/>
    <w:rsid w:val="005A4BFA"/>
    <w:rsid w:val="005A4EA4"/>
    <w:rsid w:val="005A5193"/>
    <w:rsid w:val="005A5396"/>
    <w:rsid w:val="005A55C4"/>
    <w:rsid w:val="005A56CF"/>
    <w:rsid w:val="005A56FA"/>
    <w:rsid w:val="005A5A9D"/>
    <w:rsid w:val="005A5DFB"/>
    <w:rsid w:val="005A608F"/>
    <w:rsid w:val="005A626D"/>
    <w:rsid w:val="005A642E"/>
    <w:rsid w:val="005A64AB"/>
    <w:rsid w:val="005A6595"/>
    <w:rsid w:val="005A696B"/>
    <w:rsid w:val="005A6ED7"/>
    <w:rsid w:val="005A6F55"/>
    <w:rsid w:val="005A7095"/>
    <w:rsid w:val="005A70C8"/>
    <w:rsid w:val="005A70D6"/>
    <w:rsid w:val="005A7149"/>
    <w:rsid w:val="005A7424"/>
    <w:rsid w:val="005A7608"/>
    <w:rsid w:val="005A7887"/>
    <w:rsid w:val="005A78DF"/>
    <w:rsid w:val="005A7AEA"/>
    <w:rsid w:val="005A7B22"/>
    <w:rsid w:val="005A7C27"/>
    <w:rsid w:val="005B0012"/>
    <w:rsid w:val="005B02AD"/>
    <w:rsid w:val="005B0321"/>
    <w:rsid w:val="005B055A"/>
    <w:rsid w:val="005B0599"/>
    <w:rsid w:val="005B09BD"/>
    <w:rsid w:val="005B0DA8"/>
    <w:rsid w:val="005B0F2D"/>
    <w:rsid w:val="005B0F7A"/>
    <w:rsid w:val="005B14A6"/>
    <w:rsid w:val="005B170A"/>
    <w:rsid w:val="005B1CF3"/>
    <w:rsid w:val="005B1E17"/>
    <w:rsid w:val="005B1FAE"/>
    <w:rsid w:val="005B2055"/>
    <w:rsid w:val="005B20FC"/>
    <w:rsid w:val="005B210C"/>
    <w:rsid w:val="005B27BE"/>
    <w:rsid w:val="005B2CC4"/>
    <w:rsid w:val="005B3091"/>
    <w:rsid w:val="005B3642"/>
    <w:rsid w:val="005B3742"/>
    <w:rsid w:val="005B3D8A"/>
    <w:rsid w:val="005B3FE3"/>
    <w:rsid w:val="005B3FE6"/>
    <w:rsid w:val="005B430C"/>
    <w:rsid w:val="005B47D9"/>
    <w:rsid w:val="005B50F3"/>
    <w:rsid w:val="005B5160"/>
    <w:rsid w:val="005B5B76"/>
    <w:rsid w:val="005B5F2C"/>
    <w:rsid w:val="005B5F85"/>
    <w:rsid w:val="005B6073"/>
    <w:rsid w:val="005B6473"/>
    <w:rsid w:val="005B64E4"/>
    <w:rsid w:val="005B64FB"/>
    <w:rsid w:val="005B7465"/>
    <w:rsid w:val="005B7751"/>
    <w:rsid w:val="005B784F"/>
    <w:rsid w:val="005B794C"/>
    <w:rsid w:val="005B7BAD"/>
    <w:rsid w:val="005B7C77"/>
    <w:rsid w:val="005C0191"/>
    <w:rsid w:val="005C02D7"/>
    <w:rsid w:val="005C076B"/>
    <w:rsid w:val="005C0898"/>
    <w:rsid w:val="005C0E29"/>
    <w:rsid w:val="005C103F"/>
    <w:rsid w:val="005C14E2"/>
    <w:rsid w:val="005C15CF"/>
    <w:rsid w:val="005C1839"/>
    <w:rsid w:val="005C1A3D"/>
    <w:rsid w:val="005C1A54"/>
    <w:rsid w:val="005C1C76"/>
    <w:rsid w:val="005C1D73"/>
    <w:rsid w:val="005C1E3B"/>
    <w:rsid w:val="005C2166"/>
    <w:rsid w:val="005C2189"/>
    <w:rsid w:val="005C22BE"/>
    <w:rsid w:val="005C2753"/>
    <w:rsid w:val="005C2775"/>
    <w:rsid w:val="005C2A62"/>
    <w:rsid w:val="005C2C01"/>
    <w:rsid w:val="005C2D51"/>
    <w:rsid w:val="005C3322"/>
    <w:rsid w:val="005C3D45"/>
    <w:rsid w:val="005C3DC8"/>
    <w:rsid w:val="005C3F7D"/>
    <w:rsid w:val="005C4097"/>
    <w:rsid w:val="005C44C2"/>
    <w:rsid w:val="005C46EE"/>
    <w:rsid w:val="005C4781"/>
    <w:rsid w:val="005C49F1"/>
    <w:rsid w:val="005C4AB2"/>
    <w:rsid w:val="005C4DA1"/>
    <w:rsid w:val="005C4E54"/>
    <w:rsid w:val="005C52F1"/>
    <w:rsid w:val="005C5607"/>
    <w:rsid w:val="005C56F2"/>
    <w:rsid w:val="005C5834"/>
    <w:rsid w:val="005C59F7"/>
    <w:rsid w:val="005C5A6E"/>
    <w:rsid w:val="005C5DFE"/>
    <w:rsid w:val="005C5F69"/>
    <w:rsid w:val="005C5F8C"/>
    <w:rsid w:val="005C62A1"/>
    <w:rsid w:val="005C67D8"/>
    <w:rsid w:val="005C68B7"/>
    <w:rsid w:val="005C6974"/>
    <w:rsid w:val="005C6ACC"/>
    <w:rsid w:val="005C703A"/>
    <w:rsid w:val="005C70D1"/>
    <w:rsid w:val="005C76BF"/>
    <w:rsid w:val="005C76F7"/>
    <w:rsid w:val="005C77ED"/>
    <w:rsid w:val="005C7B7D"/>
    <w:rsid w:val="005C7DA0"/>
    <w:rsid w:val="005CF1A9"/>
    <w:rsid w:val="005D0063"/>
    <w:rsid w:val="005D01F3"/>
    <w:rsid w:val="005D0265"/>
    <w:rsid w:val="005D028A"/>
    <w:rsid w:val="005D051A"/>
    <w:rsid w:val="005D0624"/>
    <w:rsid w:val="005D076F"/>
    <w:rsid w:val="005D07DE"/>
    <w:rsid w:val="005D09DC"/>
    <w:rsid w:val="005D0A63"/>
    <w:rsid w:val="005D0B5B"/>
    <w:rsid w:val="005D0D8B"/>
    <w:rsid w:val="005D1398"/>
    <w:rsid w:val="005D13CF"/>
    <w:rsid w:val="005D17D3"/>
    <w:rsid w:val="005D1901"/>
    <w:rsid w:val="005D19BB"/>
    <w:rsid w:val="005D19D6"/>
    <w:rsid w:val="005D1BCE"/>
    <w:rsid w:val="005D1CA5"/>
    <w:rsid w:val="005D1CC5"/>
    <w:rsid w:val="005D1D4A"/>
    <w:rsid w:val="005D22A6"/>
    <w:rsid w:val="005D2329"/>
    <w:rsid w:val="005D2846"/>
    <w:rsid w:val="005D29FF"/>
    <w:rsid w:val="005D2A98"/>
    <w:rsid w:val="005D2B65"/>
    <w:rsid w:val="005D2E75"/>
    <w:rsid w:val="005D2FA4"/>
    <w:rsid w:val="005D3293"/>
    <w:rsid w:val="005D38A7"/>
    <w:rsid w:val="005D3992"/>
    <w:rsid w:val="005D3C53"/>
    <w:rsid w:val="005D3CA3"/>
    <w:rsid w:val="005D3DAD"/>
    <w:rsid w:val="005D4268"/>
    <w:rsid w:val="005D4521"/>
    <w:rsid w:val="005D458E"/>
    <w:rsid w:val="005D4642"/>
    <w:rsid w:val="005D464D"/>
    <w:rsid w:val="005D4B5D"/>
    <w:rsid w:val="005D4C90"/>
    <w:rsid w:val="005D5402"/>
    <w:rsid w:val="005D54F3"/>
    <w:rsid w:val="005D580D"/>
    <w:rsid w:val="005D5915"/>
    <w:rsid w:val="005D5A64"/>
    <w:rsid w:val="005D5BCB"/>
    <w:rsid w:val="005D6156"/>
    <w:rsid w:val="005D630D"/>
    <w:rsid w:val="005D669E"/>
    <w:rsid w:val="005D6B2B"/>
    <w:rsid w:val="005D6B69"/>
    <w:rsid w:val="005D6BA7"/>
    <w:rsid w:val="005D6F69"/>
    <w:rsid w:val="005D791F"/>
    <w:rsid w:val="005D7B4A"/>
    <w:rsid w:val="005D7D02"/>
    <w:rsid w:val="005E001B"/>
    <w:rsid w:val="005E0612"/>
    <w:rsid w:val="005E07DA"/>
    <w:rsid w:val="005E080D"/>
    <w:rsid w:val="005E096A"/>
    <w:rsid w:val="005E0ABB"/>
    <w:rsid w:val="005E0FE4"/>
    <w:rsid w:val="005E13BB"/>
    <w:rsid w:val="005E152F"/>
    <w:rsid w:val="005E15B7"/>
    <w:rsid w:val="005E1798"/>
    <w:rsid w:val="005E18BA"/>
    <w:rsid w:val="005E1900"/>
    <w:rsid w:val="005E19A2"/>
    <w:rsid w:val="005E1F14"/>
    <w:rsid w:val="005E2399"/>
    <w:rsid w:val="005E243F"/>
    <w:rsid w:val="005E2510"/>
    <w:rsid w:val="005E26B7"/>
    <w:rsid w:val="005E28B2"/>
    <w:rsid w:val="005E2C94"/>
    <w:rsid w:val="005E30E2"/>
    <w:rsid w:val="005E3ED1"/>
    <w:rsid w:val="005E3F60"/>
    <w:rsid w:val="005E4195"/>
    <w:rsid w:val="005E433E"/>
    <w:rsid w:val="005E4741"/>
    <w:rsid w:val="005E4766"/>
    <w:rsid w:val="005E48A5"/>
    <w:rsid w:val="005E49C4"/>
    <w:rsid w:val="005E4C93"/>
    <w:rsid w:val="005E4DD4"/>
    <w:rsid w:val="005E5255"/>
    <w:rsid w:val="005E539F"/>
    <w:rsid w:val="005E5855"/>
    <w:rsid w:val="005E5D09"/>
    <w:rsid w:val="005E635E"/>
    <w:rsid w:val="005E6C68"/>
    <w:rsid w:val="005E6D8E"/>
    <w:rsid w:val="005E6F9D"/>
    <w:rsid w:val="005E7088"/>
    <w:rsid w:val="005E71E1"/>
    <w:rsid w:val="005E7592"/>
    <w:rsid w:val="005E7938"/>
    <w:rsid w:val="005E7BA3"/>
    <w:rsid w:val="005E7D28"/>
    <w:rsid w:val="005E7F21"/>
    <w:rsid w:val="005F0073"/>
    <w:rsid w:val="005F010F"/>
    <w:rsid w:val="005F01F2"/>
    <w:rsid w:val="005F02AA"/>
    <w:rsid w:val="005F0489"/>
    <w:rsid w:val="005F0914"/>
    <w:rsid w:val="005F11E2"/>
    <w:rsid w:val="005F124A"/>
    <w:rsid w:val="005F1279"/>
    <w:rsid w:val="005F1419"/>
    <w:rsid w:val="005F2200"/>
    <w:rsid w:val="005F23E5"/>
    <w:rsid w:val="005F2A64"/>
    <w:rsid w:val="005F2BB7"/>
    <w:rsid w:val="005F2F2F"/>
    <w:rsid w:val="005F30CE"/>
    <w:rsid w:val="005F30E7"/>
    <w:rsid w:val="005F3262"/>
    <w:rsid w:val="005F3314"/>
    <w:rsid w:val="005F346F"/>
    <w:rsid w:val="005F3BA5"/>
    <w:rsid w:val="005F41F8"/>
    <w:rsid w:val="005F4307"/>
    <w:rsid w:val="005F47EF"/>
    <w:rsid w:val="005F49EF"/>
    <w:rsid w:val="005F4F8A"/>
    <w:rsid w:val="005F53F5"/>
    <w:rsid w:val="005F5609"/>
    <w:rsid w:val="005F56BE"/>
    <w:rsid w:val="005F56FF"/>
    <w:rsid w:val="005F57DC"/>
    <w:rsid w:val="005F6234"/>
    <w:rsid w:val="005F6582"/>
    <w:rsid w:val="005F6688"/>
    <w:rsid w:val="005F675B"/>
    <w:rsid w:val="005F6791"/>
    <w:rsid w:val="005F6CAA"/>
    <w:rsid w:val="005F6DDE"/>
    <w:rsid w:val="005F6E97"/>
    <w:rsid w:val="005F6F0B"/>
    <w:rsid w:val="005F7CC5"/>
    <w:rsid w:val="005F7DA9"/>
    <w:rsid w:val="005F7FE1"/>
    <w:rsid w:val="006002D3"/>
    <w:rsid w:val="006005BA"/>
    <w:rsid w:val="0060080B"/>
    <w:rsid w:val="00600C2E"/>
    <w:rsid w:val="00600C84"/>
    <w:rsid w:val="00600CD4"/>
    <w:rsid w:val="00601A60"/>
    <w:rsid w:val="00601E81"/>
    <w:rsid w:val="00602118"/>
    <w:rsid w:val="006024CB"/>
    <w:rsid w:val="00602743"/>
    <w:rsid w:val="006027EF"/>
    <w:rsid w:val="006029F5"/>
    <w:rsid w:val="006029FE"/>
    <w:rsid w:val="00603281"/>
    <w:rsid w:val="006037CD"/>
    <w:rsid w:val="006037DA"/>
    <w:rsid w:val="0060382E"/>
    <w:rsid w:val="0060404D"/>
    <w:rsid w:val="00604271"/>
    <w:rsid w:val="006046DA"/>
    <w:rsid w:val="00604B92"/>
    <w:rsid w:val="00604E9D"/>
    <w:rsid w:val="00605234"/>
    <w:rsid w:val="00605284"/>
    <w:rsid w:val="0060529F"/>
    <w:rsid w:val="00605462"/>
    <w:rsid w:val="0060609F"/>
    <w:rsid w:val="0060639A"/>
    <w:rsid w:val="006064B7"/>
    <w:rsid w:val="00606A0B"/>
    <w:rsid w:val="00606B36"/>
    <w:rsid w:val="00606B53"/>
    <w:rsid w:val="00606C1F"/>
    <w:rsid w:val="006070B5"/>
    <w:rsid w:val="00607264"/>
    <w:rsid w:val="006072B0"/>
    <w:rsid w:val="006073F0"/>
    <w:rsid w:val="00607C0B"/>
    <w:rsid w:val="00607CB1"/>
    <w:rsid w:val="00607DB2"/>
    <w:rsid w:val="00607DE2"/>
    <w:rsid w:val="00607EFC"/>
    <w:rsid w:val="0061017C"/>
    <w:rsid w:val="00610227"/>
    <w:rsid w:val="006109B3"/>
    <w:rsid w:val="00611492"/>
    <w:rsid w:val="00611A40"/>
    <w:rsid w:val="00611D86"/>
    <w:rsid w:val="00611F57"/>
    <w:rsid w:val="00611FCD"/>
    <w:rsid w:val="00612397"/>
    <w:rsid w:val="0061244D"/>
    <w:rsid w:val="006124EE"/>
    <w:rsid w:val="00612690"/>
    <w:rsid w:val="0061284A"/>
    <w:rsid w:val="006128C4"/>
    <w:rsid w:val="00612B22"/>
    <w:rsid w:val="00612D88"/>
    <w:rsid w:val="00612F44"/>
    <w:rsid w:val="0061301C"/>
    <w:rsid w:val="0061336D"/>
    <w:rsid w:val="00613669"/>
    <w:rsid w:val="006136C6"/>
    <w:rsid w:val="00613967"/>
    <w:rsid w:val="00613F16"/>
    <w:rsid w:val="006143D6"/>
    <w:rsid w:val="00614647"/>
    <w:rsid w:val="00614BCC"/>
    <w:rsid w:val="00614C25"/>
    <w:rsid w:val="00614C29"/>
    <w:rsid w:val="00614D49"/>
    <w:rsid w:val="00615005"/>
    <w:rsid w:val="006153BB"/>
    <w:rsid w:val="0061545D"/>
    <w:rsid w:val="006155CE"/>
    <w:rsid w:val="00615A69"/>
    <w:rsid w:val="00615AFA"/>
    <w:rsid w:val="00615B7A"/>
    <w:rsid w:val="00615D2B"/>
    <w:rsid w:val="00616172"/>
    <w:rsid w:val="0061617F"/>
    <w:rsid w:val="00616672"/>
    <w:rsid w:val="006168E0"/>
    <w:rsid w:val="00616CDC"/>
    <w:rsid w:val="00616E79"/>
    <w:rsid w:val="00617168"/>
    <w:rsid w:val="00617938"/>
    <w:rsid w:val="006179CE"/>
    <w:rsid w:val="00617E00"/>
    <w:rsid w:val="00620025"/>
    <w:rsid w:val="006204E5"/>
    <w:rsid w:val="00620514"/>
    <w:rsid w:val="006207AD"/>
    <w:rsid w:val="00620BAE"/>
    <w:rsid w:val="00620D4F"/>
    <w:rsid w:val="00621482"/>
    <w:rsid w:val="006217DA"/>
    <w:rsid w:val="00621855"/>
    <w:rsid w:val="00621AC8"/>
    <w:rsid w:val="00621FAB"/>
    <w:rsid w:val="00622136"/>
    <w:rsid w:val="00622382"/>
    <w:rsid w:val="006223D2"/>
    <w:rsid w:val="00622706"/>
    <w:rsid w:val="0062290D"/>
    <w:rsid w:val="00622F4A"/>
    <w:rsid w:val="006231E2"/>
    <w:rsid w:val="0062328F"/>
    <w:rsid w:val="0062361B"/>
    <w:rsid w:val="006236B9"/>
    <w:rsid w:val="00623E56"/>
    <w:rsid w:val="00624280"/>
    <w:rsid w:val="0062450C"/>
    <w:rsid w:val="00624592"/>
    <w:rsid w:val="006248CB"/>
    <w:rsid w:val="00624B26"/>
    <w:rsid w:val="0062500A"/>
    <w:rsid w:val="0062521A"/>
    <w:rsid w:val="00625791"/>
    <w:rsid w:val="0062583C"/>
    <w:rsid w:val="00625AE4"/>
    <w:rsid w:val="00625BFE"/>
    <w:rsid w:val="0062636B"/>
    <w:rsid w:val="00626C1B"/>
    <w:rsid w:val="00626EA1"/>
    <w:rsid w:val="00626F71"/>
    <w:rsid w:val="00627132"/>
    <w:rsid w:val="0062740C"/>
    <w:rsid w:val="006277D8"/>
    <w:rsid w:val="00627C66"/>
    <w:rsid w:val="00627D05"/>
    <w:rsid w:val="00627DBE"/>
    <w:rsid w:val="006300C5"/>
    <w:rsid w:val="00630AD2"/>
    <w:rsid w:val="00630B15"/>
    <w:rsid w:val="00630DEF"/>
    <w:rsid w:val="00630E94"/>
    <w:rsid w:val="00630F54"/>
    <w:rsid w:val="006310C5"/>
    <w:rsid w:val="006310FE"/>
    <w:rsid w:val="0063139F"/>
    <w:rsid w:val="00631594"/>
    <w:rsid w:val="00631631"/>
    <w:rsid w:val="00631806"/>
    <w:rsid w:val="00631AA6"/>
    <w:rsid w:val="00631BA1"/>
    <w:rsid w:val="00631EF5"/>
    <w:rsid w:val="00632331"/>
    <w:rsid w:val="006324C5"/>
    <w:rsid w:val="00632540"/>
    <w:rsid w:val="00632647"/>
    <w:rsid w:val="006328CE"/>
    <w:rsid w:val="00632C12"/>
    <w:rsid w:val="00632DA9"/>
    <w:rsid w:val="00633031"/>
    <w:rsid w:val="0063308B"/>
    <w:rsid w:val="006332B8"/>
    <w:rsid w:val="00633368"/>
    <w:rsid w:val="006335A6"/>
    <w:rsid w:val="00633CEE"/>
    <w:rsid w:val="00633DB0"/>
    <w:rsid w:val="00634066"/>
    <w:rsid w:val="006344A1"/>
    <w:rsid w:val="0063465C"/>
    <w:rsid w:val="0063485B"/>
    <w:rsid w:val="006348F1"/>
    <w:rsid w:val="006348FD"/>
    <w:rsid w:val="00634971"/>
    <w:rsid w:val="00634A18"/>
    <w:rsid w:val="00634B09"/>
    <w:rsid w:val="00634D9D"/>
    <w:rsid w:val="00634F1F"/>
    <w:rsid w:val="00635026"/>
    <w:rsid w:val="006350E0"/>
    <w:rsid w:val="0063521F"/>
    <w:rsid w:val="006355FB"/>
    <w:rsid w:val="00635780"/>
    <w:rsid w:val="00635815"/>
    <w:rsid w:val="00635D78"/>
    <w:rsid w:val="00635E37"/>
    <w:rsid w:val="006361F3"/>
    <w:rsid w:val="0063628D"/>
    <w:rsid w:val="006362E1"/>
    <w:rsid w:val="00636345"/>
    <w:rsid w:val="006363BB"/>
    <w:rsid w:val="00636596"/>
    <w:rsid w:val="006366FA"/>
    <w:rsid w:val="00636BC6"/>
    <w:rsid w:val="00637967"/>
    <w:rsid w:val="00640074"/>
    <w:rsid w:val="006400BB"/>
    <w:rsid w:val="00640126"/>
    <w:rsid w:val="0064023F"/>
    <w:rsid w:val="006404C1"/>
    <w:rsid w:val="0064056D"/>
    <w:rsid w:val="006405E6"/>
    <w:rsid w:val="00640749"/>
    <w:rsid w:val="006407E2"/>
    <w:rsid w:val="00640ADA"/>
    <w:rsid w:val="006412FB"/>
    <w:rsid w:val="006415F0"/>
    <w:rsid w:val="006417AE"/>
    <w:rsid w:val="00641E25"/>
    <w:rsid w:val="00641EBE"/>
    <w:rsid w:val="00642198"/>
    <w:rsid w:val="006422BF"/>
    <w:rsid w:val="00642398"/>
    <w:rsid w:val="006424E7"/>
    <w:rsid w:val="00642503"/>
    <w:rsid w:val="00642606"/>
    <w:rsid w:val="00642652"/>
    <w:rsid w:val="00642ACE"/>
    <w:rsid w:val="00642B59"/>
    <w:rsid w:val="00643152"/>
    <w:rsid w:val="006432DA"/>
    <w:rsid w:val="0064366E"/>
    <w:rsid w:val="00643996"/>
    <w:rsid w:val="00643F9C"/>
    <w:rsid w:val="006440A7"/>
    <w:rsid w:val="00644421"/>
    <w:rsid w:val="0064480D"/>
    <w:rsid w:val="00644A15"/>
    <w:rsid w:val="00644AFE"/>
    <w:rsid w:val="00644D5D"/>
    <w:rsid w:val="00645193"/>
    <w:rsid w:val="006452EB"/>
    <w:rsid w:val="00645B62"/>
    <w:rsid w:val="00645BE9"/>
    <w:rsid w:val="006460CB"/>
    <w:rsid w:val="00646189"/>
    <w:rsid w:val="00646298"/>
    <w:rsid w:val="00646707"/>
    <w:rsid w:val="00646C05"/>
    <w:rsid w:val="00646D55"/>
    <w:rsid w:val="0064722E"/>
    <w:rsid w:val="00647856"/>
    <w:rsid w:val="00647B2D"/>
    <w:rsid w:val="00647D79"/>
    <w:rsid w:val="00647EA0"/>
    <w:rsid w:val="00647FB8"/>
    <w:rsid w:val="0065048F"/>
    <w:rsid w:val="00650593"/>
    <w:rsid w:val="006508BE"/>
    <w:rsid w:val="006509C5"/>
    <w:rsid w:val="00650A07"/>
    <w:rsid w:val="00650D71"/>
    <w:rsid w:val="00650E90"/>
    <w:rsid w:val="00650F0D"/>
    <w:rsid w:val="0065117D"/>
    <w:rsid w:val="006511D3"/>
    <w:rsid w:val="00651B08"/>
    <w:rsid w:val="00651BE9"/>
    <w:rsid w:val="00651DC3"/>
    <w:rsid w:val="00651E64"/>
    <w:rsid w:val="00652543"/>
    <w:rsid w:val="0065258B"/>
    <w:rsid w:val="0065284A"/>
    <w:rsid w:val="00652FCE"/>
    <w:rsid w:val="006532BF"/>
    <w:rsid w:val="00653365"/>
    <w:rsid w:val="0065346B"/>
    <w:rsid w:val="00653478"/>
    <w:rsid w:val="00653AFE"/>
    <w:rsid w:val="006540E4"/>
    <w:rsid w:val="006541D3"/>
    <w:rsid w:val="00654493"/>
    <w:rsid w:val="00654499"/>
    <w:rsid w:val="00654A24"/>
    <w:rsid w:val="00654E3C"/>
    <w:rsid w:val="006550AA"/>
    <w:rsid w:val="0065510E"/>
    <w:rsid w:val="00655A36"/>
    <w:rsid w:val="00655BA8"/>
    <w:rsid w:val="00655DDD"/>
    <w:rsid w:val="00655E17"/>
    <w:rsid w:val="00655F2D"/>
    <w:rsid w:val="006562B3"/>
    <w:rsid w:val="006564D2"/>
    <w:rsid w:val="00656550"/>
    <w:rsid w:val="0065672F"/>
    <w:rsid w:val="006569A1"/>
    <w:rsid w:val="006569C2"/>
    <w:rsid w:val="00656A07"/>
    <w:rsid w:val="00656C3D"/>
    <w:rsid w:val="00656D4A"/>
    <w:rsid w:val="00656E8E"/>
    <w:rsid w:val="00657494"/>
    <w:rsid w:val="006574AA"/>
    <w:rsid w:val="00657BAF"/>
    <w:rsid w:val="00657DF8"/>
    <w:rsid w:val="00657F21"/>
    <w:rsid w:val="006600FD"/>
    <w:rsid w:val="006602E5"/>
    <w:rsid w:val="006602EB"/>
    <w:rsid w:val="0066034F"/>
    <w:rsid w:val="0066077F"/>
    <w:rsid w:val="00660871"/>
    <w:rsid w:val="006608E7"/>
    <w:rsid w:val="00660983"/>
    <w:rsid w:val="00660E18"/>
    <w:rsid w:val="00661140"/>
    <w:rsid w:val="006615F9"/>
    <w:rsid w:val="0066160C"/>
    <w:rsid w:val="00661901"/>
    <w:rsid w:val="00661B80"/>
    <w:rsid w:val="00661C3E"/>
    <w:rsid w:val="00662520"/>
    <w:rsid w:val="006625F1"/>
    <w:rsid w:val="00662747"/>
    <w:rsid w:val="006629EB"/>
    <w:rsid w:val="00662F79"/>
    <w:rsid w:val="006630FA"/>
    <w:rsid w:val="00663119"/>
    <w:rsid w:val="00663452"/>
    <w:rsid w:val="00663633"/>
    <w:rsid w:val="00663690"/>
    <w:rsid w:val="00663B04"/>
    <w:rsid w:val="00663B26"/>
    <w:rsid w:val="00663F4A"/>
    <w:rsid w:val="006640D2"/>
    <w:rsid w:val="0066444D"/>
    <w:rsid w:val="006648EA"/>
    <w:rsid w:val="00664AD7"/>
    <w:rsid w:val="00664D57"/>
    <w:rsid w:val="00664FEB"/>
    <w:rsid w:val="0066540F"/>
    <w:rsid w:val="00665AF0"/>
    <w:rsid w:val="00665B54"/>
    <w:rsid w:val="00665B70"/>
    <w:rsid w:val="00665C91"/>
    <w:rsid w:val="00665CE6"/>
    <w:rsid w:val="00665ED7"/>
    <w:rsid w:val="006661BA"/>
    <w:rsid w:val="006661C8"/>
    <w:rsid w:val="00666251"/>
    <w:rsid w:val="0066629F"/>
    <w:rsid w:val="00666555"/>
    <w:rsid w:val="0066673E"/>
    <w:rsid w:val="00666906"/>
    <w:rsid w:val="006669D2"/>
    <w:rsid w:val="00666B1A"/>
    <w:rsid w:val="00666C4F"/>
    <w:rsid w:val="00666CDB"/>
    <w:rsid w:val="00666DB9"/>
    <w:rsid w:val="00666E64"/>
    <w:rsid w:val="0066740F"/>
    <w:rsid w:val="00667411"/>
    <w:rsid w:val="00667490"/>
    <w:rsid w:val="006679A6"/>
    <w:rsid w:val="00667E4A"/>
    <w:rsid w:val="00667EA8"/>
    <w:rsid w:val="00670058"/>
    <w:rsid w:val="0067029C"/>
    <w:rsid w:val="00670353"/>
    <w:rsid w:val="00670450"/>
    <w:rsid w:val="00670E0A"/>
    <w:rsid w:val="00670E72"/>
    <w:rsid w:val="006711A8"/>
    <w:rsid w:val="006711E5"/>
    <w:rsid w:val="00671367"/>
    <w:rsid w:val="0067183F"/>
    <w:rsid w:val="0067185F"/>
    <w:rsid w:val="00671B9D"/>
    <w:rsid w:val="00671E97"/>
    <w:rsid w:val="00671EEA"/>
    <w:rsid w:val="00672613"/>
    <w:rsid w:val="0067269E"/>
    <w:rsid w:val="006727D1"/>
    <w:rsid w:val="00672BEA"/>
    <w:rsid w:val="006733DA"/>
    <w:rsid w:val="00673427"/>
    <w:rsid w:val="006736FE"/>
    <w:rsid w:val="006739FF"/>
    <w:rsid w:val="00673EEE"/>
    <w:rsid w:val="00673F7D"/>
    <w:rsid w:val="00674332"/>
    <w:rsid w:val="006747A3"/>
    <w:rsid w:val="00674B0F"/>
    <w:rsid w:val="00674B49"/>
    <w:rsid w:val="0067506C"/>
    <w:rsid w:val="0067523A"/>
    <w:rsid w:val="00675340"/>
    <w:rsid w:val="00675552"/>
    <w:rsid w:val="0067565D"/>
    <w:rsid w:val="006756AF"/>
    <w:rsid w:val="0067573E"/>
    <w:rsid w:val="006757A4"/>
    <w:rsid w:val="00675B0E"/>
    <w:rsid w:val="006761C2"/>
    <w:rsid w:val="0067629D"/>
    <w:rsid w:val="00676331"/>
    <w:rsid w:val="00676751"/>
    <w:rsid w:val="006767C6"/>
    <w:rsid w:val="00676B15"/>
    <w:rsid w:val="00676E1D"/>
    <w:rsid w:val="00676E2A"/>
    <w:rsid w:val="006771D8"/>
    <w:rsid w:val="00677270"/>
    <w:rsid w:val="0067731D"/>
    <w:rsid w:val="006776F1"/>
    <w:rsid w:val="006777AB"/>
    <w:rsid w:val="00680091"/>
    <w:rsid w:val="006802C4"/>
    <w:rsid w:val="00680360"/>
    <w:rsid w:val="006805C6"/>
    <w:rsid w:val="00680D49"/>
    <w:rsid w:val="00680FF6"/>
    <w:rsid w:val="00681057"/>
    <w:rsid w:val="006811B9"/>
    <w:rsid w:val="006812D4"/>
    <w:rsid w:val="00681620"/>
    <w:rsid w:val="00681754"/>
    <w:rsid w:val="00681794"/>
    <w:rsid w:val="0068183E"/>
    <w:rsid w:val="006818FF"/>
    <w:rsid w:val="006819CD"/>
    <w:rsid w:val="006819F1"/>
    <w:rsid w:val="00681E26"/>
    <w:rsid w:val="006820D7"/>
    <w:rsid w:val="00682167"/>
    <w:rsid w:val="0068237F"/>
    <w:rsid w:val="00682453"/>
    <w:rsid w:val="006824DA"/>
    <w:rsid w:val="0068259A"/>
    <w:rsid w:val="00682644"/>
    <w:rsid w:val="00682669"/>
    <w:rsid w:val="006826C0"/>
    <w:rsid w:val="00682738"/>
    <w:rsid w:val="00682770"/>
    <w:rsid w:val="006828A6"/>
    <w:rsid w:val="00682A39"/>
    <w:rsid w:val="00682B46"/>
    <w:rsid w:val="00682BAB"/>
    <w:rsid w:val="00682D71"/>
    <w:rsid w:val="00682E78"/>
    <w:rsid w:val="00683028"/>
    <w:rsid w:val="0068341D"/>
    <w:rsid w:val="006835DC"/>
    <w:rsid w:val="0068371F"/>
    <w:rsid w:val="006839D6"/>
    <w:rsid w:val="00683A49"/>
    <w:rsid w:val="00683A88"/>
    <w:rsid w:val="00683AB4"/>
    <w:rsid w:val="00683C65"/>
    <w:rsid w:val="00683FFF"/>
    <w:rsid w:val="00684009"/>
    <w:rsid w:val="00684336"/>
    <w:rsid w:val="006848E4"/>
    <w:rsid w:val="00684953"/>
    <w:rsid w:val="006849F1"/>
    <w:rsid w:val="00684E83"/>
    <w:rsid w:val="0068517E"/>
    <w:rsid w:val="00685A8D"/>
    <w:rsid w:val="00685F01"/>
    <w:rsid w:val="0068601E"/>
    <w:rsid w:val="00686089"/>
    <w:rsid w:val="0068613D"/>
    <w:rsid w:val="0068681F"/>
    <w:rsid w:val="00686929"/>
    <w:rsid w:val="00686BAD"/>
    <w:rsid w:val="00686E10"/>
    <w:rsid w:val="00687038"/>
    <w:rsid w:val="00687590"/>
    <w:rsid w:val="0068769E"/>
    <w:rsid w:val="00687818"/>
    <w:rsid w:val="006878B3"/>
    <w:rsid w:val="00687930"/>
    <w:rsid w:val="00687BC2"/>
    <w:rsid w:val="006901C4"/>
    <w:rsid w:val="00690490"/>
    <w:rsid w:val="0069049F"/>
    <w:rsid w:val="00690715"/>
    <w:rsid w:val="00690954"/>
    <w:rsid w:val="00690999"/>
    <w:rsid w:val="00690AA8"/>
    <w:rsid w:val="00690FDB"/>
    <w:rsid w:val="0069102C"/>
    <w:rsid w:val="00691110"/>
    <w:rsid w:val="00691780"/>
    <w:rsid w:val="006918EC"/>
    <w:rsid w:val="00691927"/>
    <w:rsid w:val="00691A76"/>
    <w:rsid w:val="00691C0A"/>
    <w:rsid w:val="00692159"/>
    <w:rsid w:val="00692240"/>
    <w:rsid w:val="006922E9"/>
    <w:rsid w:val="006922F6"/>
    <w:rsid w:val="00692499"/>
    <w:rsid w:val="0069249F"/>
    <w:rsid w:val="00692984"/>
    <w:rsid w:val="00692F4A"/>
    <w:rsid w:val="0069331A"/>
    <w:rsid w:val="0069332E"/>
    <w:rsid w:val="00693376"/>
    <w:rsid w:val="00693BD2"/>
    <w:rsid w:val="00693DE7"/>
    <w:rsid w:val="00694111"/>
    <w:rsid w:val="0069435B"/>
    <w:rsid w:val="00694442"/>
    <w:rsid w:val="00694647"/>
    <w:rsid w:val="0069468B"/>
    <w:rsid w:val="00694BE4"/>
    <w:rsid w:val="00694CAB"/>
    <w:rsid w:val="00694EA9"/>
    <w:rsid w:val="00694ED0"/>
    <w:rsid w:val="0069501B"/>
    <w:rsid w:val="00695674"/>
    <w:rsid w:val="00695695"/>
    <w:rsid w:val="0069577E"/>
    <w:rsid w:val="006958E1"/>
    <w:rsid w:val="00695E54"/>
    <w:rsid w:val="0069625C"/>
    <w:rsid w:val="00696325"/>
    <w:rsid w:val="006963B6"/>
    <w:rsid w:val="006963BF"/>
    <w:rsid w:val="00696839"/>
    <w:rsid w:val="00696FB1"/>
    <w:rsid w:val="006971A2"/>
    <w:rsid w:val="0069748D"/>
    <w:rsid w:val="0069767A"/>
    <w:rsid w:val="00697B55"/>
    <w:rsid w:val="00697B59"/>
    <w:rsid w:val="00697E4B"/>
    <w:rsid w:val="006A004D"/>
    <w:rsid w:val="006A03D3"/>
    <w:rsid w:val="006A0409"/>
    <w:rsid w:val="006A08E0"/>
    <w:rsid w:val="006A0AB7"/>
    <w:rsid w:val="006A0BE5"/>
    <w:rsid w:val="006A1010"/>
    <w:rsid w:val="006A1463"/>
    <w:rsid w:val="006A18A2"/>
    <w:rsid w:val="006A1910"/>
    <w:rsid w:val="006A1DAF"/>
    <w:rsid w:val="006A2146"/>
    <w:rsid w:val="006A26C7"/>
    <w:rsid w:val="006A2980"/>
    <w:rsid w:val="006A2A17"/>
    <w:rsid w:val="006A2C1E"/>
    <w:rsid w:val="006A305D"/>
    <w:rsid w:val="006A3293"/>
    <w:rsid w:val="006A340B"/>
    <w:rsid w:val="006A34B7"/>
    <w:rsid w:val="006A35C5"/>
    <w:rsid w:val="006A35EF"/>
    <w:rsid w:val="006A39B2"/>
    <w:rsid w:val="006A3AAE"/>
    <w:rsid w:val="006A3CBD"/>
    <w:rsid w:val="006A3DFF"/>
    <w:rsid w:val="006A427A"/>
    <w:rsid w:val="006A4356"/>
    <w:rsid w:val="006A44FF"/>
    <w:rsid w:val="006A46B2"/>
    <w:rsid w:val="006A4857"/>
    <w:rsid w:val="006A4D83"/>
    <w:rsid w:val="006A4FC6"/>
    <w:rsid w:val="006A5521"/>
    <w:rsid w:val="006A5B3C"/>
    <w:rsid w:val="006A5C0F"/>
    <w:rsid w:val="006A5D91"/>
    <w:rsid w:val="006A669B"/>
    <w:rsid w:val="006A69B3"/>
    <w:rsid w:val="006A6DD3"/>
    <w:rsid w:val="006A7008"/>
    <w:rsid w:val="006A71A7"/>
    <w:rsid w:val="006A724A"/>
    <w:rsid w:val="006A7A8D"/>
    <w:rsid w:val="006A7CB5"/>
    <w:rsid w:val="006B011B"/>
    <w:rsid w:val="006B046B"/>
    <w:rsid w:val="006B0485"/>
    <w:rsid w:val="006B04CA"/>
    <w:rsid w:val="006B06A9"/>
    <w:rsid w:val="006B0915"/>
    <w:rsid w:val="006B0D60"/>
    <w:rsid w:val="006B0DD5"/>
    <w:rsid w:val="006B0FBB"/>
    <w:rsid w:val="006B1049"/>
    <w:rsid w:val="006B11AA"/>
    <w:rsid w:val="006B11F1"/>
    <w:rsid w:val="006B14A9"/>
    <w:rsid w:val="006B16F7"/>
    <w:rsid w:val="006B1CA2"/>
    <w:rsid w:val="006B1E62"/>
    <w:rsid w:val="006B254A"/>
    <w:rsid w:val="006B261D"/>
    <w:rsid w:val="006B2806"/>
    <w:rsid w:val="006B296B"/>
    <w:rsid w:val="006B2C9F"/>
    <w:rsid w:val="006B2D16"/>
    <w:rsid w:val="006B2F8D"/>
    <w:rsid w:val="006B330E"/>
    <w:rsid w:val="006B3330"/>
    <w:rsid w:val="006B3779"/>
    <w:rsid w:val="006B3A70"/>
    <w:rsid w:val="006B3F42"/>
    <w:rsid w:val="006B4098"/>
    <w:rsid w:val="006B47A3"/>
    <w:rsid w:val="006B5117"/>
    <w:rsid w:val="006B51DC"/>
    <w:rsid w:val="006B51F6"/>
    <w:rsid w:val="006B5956"/>
    <w:rsid w:val="006B5CD9"/>
    <w:rsid w:val="006B5CF5"/>
    <w:rsid w:val="006B62C1"/>
    <w:rsid w:val="006B6330"/>
    <w:rsid w:val="006B6359"/>
    <w:rsid w:val="006B6391"/>
    <w:rsid w:val="006B6906"/>
    <w:rsid w:val="006B7833"/>
    <w:rsid w:val="006B7846"/>
    <w:rsid w:val="006B7BB6"/>
    <w:rsid w:val="006B7DDB"/>
    <w:rsid w:val="006B7FF8"/>
    <w:rsid w:val="006C0042"/>
    <w:rsid w:val="006C00CB"/>
    <w:rsid w:val="006C04FA"/>
    <w:rsid w:val="006C0588"/>
    <w:rsid w:val="006C06AF"/>
    <w:rsid w:val="006C09DD"/>
    <w:rsid w:val="006C0C74"/>
    <w:rsid w:val="006C1362"/>
    <w:rsid w:val="006C139B"/>
    <w:rsid w:val="006C1BAE"/>
    <w:rsid w:val="006C1D94"/>
    <w:rsid w:val="006C25E6"/>
    <w:rsid w:val="006C2677"/>
    <w:rsid w:val="006C2762"/>
    <w:rsid w:val="006C2F24"/>
    <w:rsid w:val="006C3021"/>
    <w:rsid w:val="006C3244"/>
    <w:rsid w:val="006C3298"/>
    <w:rsid w:val="006C3764"/>
    <w:rsid w:val="006C388E"/>
    <w:rsid w:val="006C398F"/>
    <w:rsid w:val="006C3EF3"/>
    <w:rsid w:val="006C3FE4"/>
    <w:rsid w:val="006C437A"/>
    <w:rsid w:val="006C43C7"/>
    <w:rsid w:val="006C4436"/>
    <w:rsid w:val="006C47B4"/>
    <w:rsid w:val="006C4ACE"/>
    <w:rsid w:val="006C4BFB"/>
    <w:rsid w:val="006C4C27"/>
    <w:rsid w:val="006C4E09"/>
    <w:rsid w:val="006C51DD"/>
    <w:rsid w:val="006C52C0"/>
    <w:rsid w:val="006C52DA"/>
    <w:rsid w:val="006C52E9"/>
    <w:rsid w:val="006C5476"/>
    <w:rsid w:val="006C563A"/>
    <w:rsid w:val="006C56BA"/>
    <w:rsid w:val="006C57D0"/>
    <w:rsid w:val="006C5A2D"/>
    <w:rsid w:val="006C626C"/>
    <w:rsid w:val="006C6351"/>
    <w:rsid w:val="006C651B"/>
    <w:rsid w:val="006C683A"/>
    <w:rsid w:val="006C6846"/>
    <w:rsid w:val="006C6941"/>
    <w:rsid w:val="006C6D9C"/>
    <w:rsid w:val="006C6E40"/>
    <w:rsid w:val="006C70F6"/>
    <w:rsid w:val="006C72E5"/>
    <w:rsid w:val="006C746D"/>
    <w:rsid w:val="006C7969"/>
    <w:rsid w:val="006C797D"/>
    <w:rsid w:val="006D02E7"/>
    <w:rsid w:val="006D063A"/>
    <w:rsid w:val="006D0834"/>
    <w:rsid w:val="006D08C3"/>
    <w:rsid w:val="006D0C45"/>
    <w:rsid w:val="006D0E6B"/>
    <w:rsid w:val="006D1247"/>
    <w:rsid w:val="006D1597"/>
    <w:rsid w:val="006D1877"/>
    <w:rsid w:val="006D196F"/>
    <w:rsid w:val="006D1A1D"/>
    <w:rsid w:val="006D1A92"/>
    <w:rsid w:val="006D1EDB"/>
    <w:rsid w:val="006D2144"/>
    <w:rsid w:val="006D21C0"/>
    <w:rsid w:val="006D230A"/>
    <w:rsid w:val="006D24BC"/>
    <w:rsid w:val="006D31F3"/>
    <w:rsid w:val="006D32D2"/>
    <w:rsid w:val="006D3384"/>
    <w:rsid w:val="006D33F2"/>
    <w:rsid w:val="006D34A6"/>
    <w:rsid w:val="006D3768"/>
    <w:rsid w:val="006D381C"/>
    <w:rsid w:val="006D3940"/>
    <w:rsid w:val="006D3D69"/>
    <w:rsid w:val="006D3E1F"/>
    <w:rsid w:val="006D4182"/>
    <w:rsid w:val="006D4323"/>
    <w:rsid w:val="006D4956"/>
    <w:rsid w:val="006D553D"/>
    <w:rsid w:val="006D562B"/>
    <w:rsid w:val="006D5919"/>
    <w:rsid w:val="006D5E42"/>
    <w:rsid w:val="006D6472"/>
    <w:rsid w:val="006D6704"/>
    <w:rsid w:val="006D67BC"/>
    <w:rsid w:val="006D6B88"/>
    <w:rsid w:val="006D6BCA"/>
    <w:rsid w:val="006D71D2"/>
    <w:rsid w:val="006D73B5"/>
    <w:rsid w:val="006D7873"/>
    <w:rsid w:val="006D7C90"/>
    <w:rsid w:val="006D7FDF"/>
    <w:rsid w:val="006E060B"/>
    <w:rsid w:val="006E0C28"/>
    <w:rsid w:val="006E0CB3"/>
    <w:rsid w:val="006E118B"/>
    <w:rsid w:val="006E1324"/>
    <w:rsid w:val="006E1B0A"/>
    <w:rsid w:val="006E1D23"/>
    <w:rsid w:val="006E1F82"/>
    <w:rsid w:val="006E1F91"/>
    <w:rsid w:val="006E1FD8"/>
    <w:rsid w:val="006E270B"/>
    <w:rsid w:val="006E2B20"/>
    <w:rsid w:val="006E31CF"/>
    <w:rsid w:val="006E3811"/>
    <w:rsid w:val="006E3884"/>
    <w:rsid w:val="006E3CB5"/>
    <w:rsid w:val="006E3F53"/>
    <w:rsid w:val="006E3FCC"/>
    <w:rsid w:val="006E4025"/>
    <w:rsid w:val="006E42D7"/>
    <w:rsid w:val="006E44EC"/>
    <w:rsid w:val="006E44EF"/>
    <w:rsid w:val="006E4718"/>
    <w:rsid w:val="006E47EC"/>
    <w:rsid w:val="006E4BA9"/>
    <w:rsid w:val="006E4C86"/>
    <w:rsid w:val="006E4ECD"/>
    <w:rsid w:val="006E4FF1"/>
    <w:rsid w:val="006E539F"/>
    <w:rsid w:val="006E542C"/>
    <w:rsid w:val="006E560C"/>
    <w:rsid w:val="006E56A8"/>
    <w:rsid w:val="006E5776"/>
    <w:rsid w:val="006E58B5"/>
    <w:rsid w:val="006E5DA9"/>
    <w:rsid w:val="006E5ED7"/>
    <w:rsid w:val="006E6022"/>
    <w:rsid w:val="006E6091"/>
    <w:rsid w:val="006E60D4"/>
    <w:rsid w:val="006E64F5"/>
    <w:rsid w:val="006E69D9"/>
    <w:rsid w:val="006E6B66"/>
    <w:rsid w:val="006E6DF3"/>
    <w:rsid w:val="006E6DF6"/>
    <w:rsid w:val="006E6E79"/>
    <w:rsid w:val="006E7223"/>
    <w:rsid w:val="006E72CD"/>
    <w:rsid w:val="006E72E3"/>
    <w:rsid w:val="006E74D0"/>
    <w:rsid w:val="006E75D3"/>
    <w:rsid w:val="006E7C1B"/>
    <w:rsid w:val="006F025F"/>
    <w:rsid w:val="006F07CA"/>
    <w:rsid w:val="006F07DA"/>
    <w:rsid w:val="006F0B35"/>
    <w:rsid w:val="006F0FA8"/>
    <w:rsid w:val="006F1164"/>
    <w:rsid w:val="006F1564"/>
    <w:rsid w:val="006F16BB"/>
    <w:rsid w:val="006F17A6"/>
    <w:rsid w:val="006F18F4"/>
    <w:rsid w:val="006F228C"/>
    <w:rsid w:val="006F2375"/>
    <w:rsid w:val="006F2645"/>
    <w:rsid w:val="006F294C"/>
    <w:rsid w:val="006F2A88"/>
    <w:rsid w:val="006F2EAB"/>
    <w:rsid w:val="006F306A"/>
    <w:rsid w:val="006F3279"/>
    <w:rsid w:val="006F35D0"/>
    <w:rsid w:val="006F3682"/>
    <w:rsid w:val="006F3810"/>
    <w:rsid w:val="006F3996"/>
    <w:rsid w:val="006F399A"/>
    <w:rsid w:val="006F3BE7"/>
    <w:rsid w:val="006F3F85"/>
    <w:rsid w:val="006F3FEF"/>
    <w:rsid w:val="006F429F"/>
    <w:rsid w:val="006F4ADB"/>
    <w:rsid w:val="006F4C2E"/>
    <w:rsid w:val="006F4D18"/>
    <w:rsid w:val="006F560E"/>
    <w:rsid w:val="006F5E53"/>
    <w:rsid w:val="006F621E"/>
    <w:rsid w:val="006F668C"/>
    <w:rsid w:val="006F6978"/>
    <w:rsid w:val="006F6AB8"/>
    <w:rsid w:val="006F6CF9"/>
    <w:rsid w:val="006F7249"/>
    <w:rsid w:val="006F75AB"/>
    <w:rsid w:val="006F76CF"/>
    <w:rsid w:val="006F7987"/>
    <w:rsid w:val="006F79B1"/>
    <w:rsid w:val="006F7A0B"/>
    <w:rsid w:val="006F7D65"/>
    <w:rsid w:val="0070000F"/>
    <w:rsid w:val="00700133"/>
    <w:rsid w:val="00700591"/>
    <w:rsid w:val="007006D5"/>
    <w:rsid w:val="00700830"/>
    <w:rsid w:val="0070092F"/>
    <w:rsid w:val="00700A27"/>
    <w:rsid w:val="00700CE0"/>
    <w:rsid w:val="00700D09"/>
    <w:rsid w:val="00700D74"/>
    <w:rsid w:val="00701085"/>
    <w:rsid w:val="0070108F"/>
    <w:rsid w:val="00701262"/>
    <w:rsid w:val="007015B2"/>
    <w:rsid w:val="00701C2E"/>
    <w:rsid w:val="00701CE3"/>
    <w:rsid w:val="00701F5D"/>
    <w:rsid w:val="007023BA"/>
    <w:rsid w:val="007023D0"/>
    <w:rsid w:val="007024E6"/>
    <w:rsid w:val="007024ED"/>
    <w:rsid w:val="00702508"/>
    <w:rsid w:val="0070272D"/>
    <w:rsid w:val="00702ABF"/>
    <w:rsid w:val="00702B98"/>
    <w:rsid w:val="00702DC0"/>
    <w:rsid w:val="00703138"/>
    <w:rsid w:val="0070322E"/>
    <w:rsid w:val="00703776"/>
    <w:rsid w:val="007038E1"/>
    <w:rsid w:val="00704109"/>
    <w:rsid w:val="007043E9"/>
    <w:rsid w:val="0070468F"/>
    <w:rsid w:val="0070495A"/>
    <w:rsid w:val="00704B73"/>
    <w:rsid w:val="00704CA3"/>
    <w:rsid w:val="00704CC1"/>
    <w:rsid w:val="00704DB3"/>
    <w:rsid w:val="007052F4"/>
    <w:rsid w:val="00705308"/>
    <w:rsid w:val="00705615"/>
    <w:rsid w:val="0070566C"/>
    <w:rsid w:val="00705B06"/>
    <w:rsid w:val="00705CE4"/>
    <w:rsid w:val="00705E14"/>
    <w:rsid w:val="00705FEA"/>
    <w:rsid w:val="00706096"/>
    <w:rsid w:val="007061C8"/>
    <w:rsid w:val="007061FD"/>
    <w:rsid w:val="00706879"/>
    <w:rsid w:val="00706943"/>
    <w:rsid w:val="00706B69"/>
    <w:rsid w:val="00707322"/>
    <w:rsid w:val="00707420"/>
    <w:rsid w:val="00707561"/>
    <w:rsid w:val="00707748"/>
    <w:rsid w:val="007079DA"/>
    <w:rsid w:val="00707AA9"/>
    <w:rsid w:val="00707AE0"/>
    <w:rsid w:val="00707E1A"/>
    <w:rsid w:val="0071031A"/>
    <w:rsid w:val="00710400"/>
    <w:rsid w:val="0071049D"/>
    <w:rsid w:val="0071051B"/>
    <w:rsid w:val="00710684"/>
    <w:rsid w:val="007106D8"/>
    <w:rsid w:val="0071099B"/>
    <w:rsid w:val="00710A98"/>
    <w:rsid w:val="00710D90"/>
    <w:rsid w:val="00710FE9"/>
    <w:rsid w:val="0071116E"/>
    <w:rsid w:val="00711332"/>
    <w:rsid w:val="007113C8"/>
    <w:rsid w:val="0071161B"/>
    <w:rsid w:val="0071163C"/>
    <w:rsid w:val="0071188F"/>
    <w:rsid w:val="007119C3"/>
    <w:rsid w:val="007119F9"/>
    <w:rsid w:val="00711A32"/>
    <w:rsid w:val="00711A40"/>
    <w:rsid w:val="00711AD8"/>
    <w:rsid w:val="00711C36"/>
    <w:rsid w:val="00711EB6"/>
    <w:rsid w:val="00712156"/>
    <w:rsid w:val="007122D2"/>
    <w:rsid w:val="00712A4D"/>
    <w:rsid w:val="00712CDA"/>
    <w:rsid w:val="00712DEE"/>
    <w:rsid w:val="00712EAE"/>
    <w:rsid w:val="0071342A"/>
    <w:rsid w:val="00713683"/>
    <w:rsid w:val="0071381F"/>
    <w:rsid w:val="00713940"/>
    <w:rsid w:val="00713C66"/>
    <w:rsid w:val="00713E7A"/>
    <w:rsid w:val="00713EBE"/>
    <w:rsid w:val="007146C2"/>
    <w:rsid w:val="00714998"/>
    <w:rsid w:val="00714B3A"/>
    <w:rsid w:val="00715045"/>
    <w:rsid w:val="007151E0"/>
    <w:rsid w:val="0071520B"/>
    <w:rsid w:val="007154E1"/>
    <w:rsid w:val="00715517"/>
    <w:rsid w:val="007155CD"/>
    <w:rsid w:val="007155D7"/>
    <w:rsid w:val="0071576D"/>
    <w:rsid w:val="00715924"/>
    <w:rsid w:val="00715B18"/>
    <w:rsid w:val="00715C4F"/>
    <w:rsid w:val="00716271"/>
    <w:rsid w:val="00716496"/>
    <w:rsid w:val="00716543"/>
    <w:rsid w:val="00716596"/>
    <w:rsid w:val="00716630"/>
    <w:rsid w:val="00716726"/>
    <w:rsid w:val="00716EFC"/>
    <w:rsid w:val="00716F7B"/>
    <w:rsid w:val="00716FB0"/>
    <w:rsid w:val="0071712C"/>
    <w:rsid w:val="00717206"/>
    <w:rsid w:val="0071722F"/>
    <w:rsid w:val="007172DC"/>
    <w:rsid w:val="00717627"/>
    <w:rsid w:val="007178D6"/>
    <w:rsid w:val="00717A4D"/>
    <w:rsid w:val="00717C8A"/>
    <w:rsid w:val="00717CEE"/>
    <w:rsid w:val="00720455"/>
    <w:rsid w:val="007205AE"/>
    <w:rsid w:val="00720CB1"/>
    <w:rsid w:val="00720D77"/>
    <w:rsid w:val="00720DED"/>
    <w:rsid w:val="0072157C"/>
    <w:rsid w:val="007215CC"/>
    <w:rsid w:val="007219E5"/>
    <w:rsid w:val="00721C62"/>
    <w:rsid w:val="00721C81"/>
    <w:rsid w:val="00721CEE"/>
    <w:rsid w:val="00722142"/>
    <w:rsid w:val="00722B77"/>
    <w:rsid w:val="00722D9A"/>
    <w:rsid w:val="00722DE1"/>
    <w:rsid w:val="00723032"/>
    <w:rsid w:val="00723168"/>
    <w:rsid w:val="007232A1"/>
    <w:rsid w:val="0072366A"/>
    <w:rsid w:val="0072388B"/>
    <w:rsid w:val="00723C7C"/>
    <w:rsid w:val="00724947"/>
    <w:rsid w:val="00724A0B"/>
    <w:rsid w:val="00724B8D"/>
    <w:rsid w:val="0072504C"/>
    <w:rsid w:val="007250C0"/>
    <w:rsid w:val="007252E9"/>
    <w:rsid w:val="00725349"/>
    <w:rsid w:val="00725506"/>
    <w:rsid w:val="007255D8"/>
    <w:rsid w:val="00725A9B"/>
    <w:rsid w:val="00725E87"/>
    <w:rsid w:val="007261D5"/>
    <w:rsid w:val="007265A5"/>
    <w:rsid w:val="00726A62"/>
    <w:rsid w:val="00726E3A"/>
    <w:rsid w:val="00726F10"/>
    <w:rsid w:val="00727401"/>
    <w:rsid w:val="007276A9"/>
    <w:rsid w:val="00727B08"/>
    <w:rsid w:val="00727E15"/>
    <w:rsid w:val="0072D6FA"/>
    <w:rsid w:val="00730303"/>
    <w:rsid w:val="00730E0E"/>
    <w:rsid w:val="00730F9D"/>
    <w:rsid w:val="007310F8"/>
    <w:rsid w:val="0073122C"/>
    <w:rsid w:val="00731275"/>
    <w:rsid w:val="0073138F"/>
    <w:rsid w:val="00731516"/>
    <w:rsid w:val="00731575"/>
    <w:rsid w:val="0073161D"/>
    <w:rsid w:val="00731678"/>
    <w:rsid w:val="00731731"/>
    <w:rsid w:val="007320D7"/>
    <w:rsid w:val="007323AE"/>
    <w:rsid w:val="007325E4"/>
    <w:rsid w:val="007329C1"/>
    <w:rsid w:val="00732AA9"/>
    <w:rsid w:val="00732BA0"/>
    <w:rsid w:val="00733266"/>
    <w:rsid w:val="007333E9"/>
    <w:rsid w:val="007336E0"/>
    <w:rsid w:val="0073389F"/>
    <w:rsid w:val="00733AA8"/>
    <w:rsid w:val="00733DBF"/>
    <w:rsid w:val="00734281"/>
    <w:rsid w:val="00734306"/>
    <w:rsid w:val="007348F2"/>
    <w:rsid w:val="00734A4F"/>
    <w:rsid w:val="00735257"/>
    <w:rsid w:val="00735509"/>
    <w:rsid w:val="00735683"/>
    <w:rsid w:val="00735DB6"/>
    <w:rsid w:val="00735DE1"/>
    <w:rsid w:val="00735FDE"/>
    <w:rsid w:val="007360CC"/>
    <w:rsid w:val="0073631E"/>
    <w:rsid w:val="00736671"/>
    <w:rsid w:val="00736B44"/>
    <w:rsid w:val="007370B9"/>
    <w:rsid w:val="0073733C"/>
    <w:rsid w:val="007373D1"/>
    <w:rsid w:val="00737606"/>
    <w:rsid w:val="00737C09"/>
    <w:rsid w:val="00737DDD"/>
    <w:rsid w:val="00737E4D"/>
    <w:rsid w:val="00737E5A"/>
    <w:rsid w:val="0073DBDF"/>
    <w:rsid w:val="00740186"/>
    <w:rsid w:val="007402C5"/>
    <w:rsid w:val="00740750"/>
    <w:rsid w:val="00740D18"/>
    <w:rsid w:val="00741399"/>
    <w:rsid w:val="00741515"/>
    <w:rsid w:val="00741784"/>
    <w:rsid w:val="0074185C"/>
    <w:rsid w:val="00741A2E"/>
    <w:rsid w:val="00741C14"/>
    <w:rsid w:val="00741F5F"/>
    <w:rsid w:val="00742050"/>
    <w:rsid w:val="0074207F"/>
    <w:rsid w:val="00742435"/>
    <w:rsid w:val="00742737"/>
    <w:rsid w:val="00742967"/>
    <w:rsid w:val="00742AAC"/>
    <w:rsid w:val="00742E00"/>
    <w:rsid w:val="00742FEF"/>
    <w:rsid w:val="00743039"/>
    <w:rsid w:val="00743097"/>
    <w:rsid w:val="00743116"/>
    <w:rsid w:val="007431CB"/>
    <w:rsid w:val="00743340"/>
    <w:rsid w:val="0074342A"/>
    <w:rsid w:val="007437A5"/>
    <w:rsid w:val="007437A7"/>
    <w:rsid w:val="00743983"/>
    <w:rsid w:val="00743BF1"/>
    <w:rsid w:val="00743F56"/>
    <w:rsid w:val="007440C1"/>
    <w:rsid w:val="0074439F"/>
    <w:rsid w:val="0074456D"/>
    <w:rsid w:val="007447AA"/>
    <w:rsid w:val="0074494A"/>
    <w:rsid w:val="00744A08"/>
    <w:rsid w:val="00744D22"/>
    <w:rsid w:val="00744E69"/>
    <w:rsid w:val="00744EC2"/>
    <w:rsid w:val="00744F00"/>
    <w:rsid w:val="00745122"/>
    <w:rsid w:val="00745304"/>
    <w:rsid w:val="00745A2A"/>
    <w:rsid w:val="00745DA1"/>
    <w:rsid w:val="00745E70"/>
    <w:rsid w:val="00745EF4"/>
    <w:rsid w:val="0074607E"/>
    <w:rsid w:val="007460B4"/>
    <w:rsid w:val="0074679A"/>
    <w:rsid w:val="00746927"/>
    <w:rsid w:val="00746AF2"/>
    <w:rsid w:val="00746B03"/>
    <w:rsid w:val="00746CDC"/>
    <w:rsid w:val="00746CEC"/>
    <w:rsid w:val="00746D20"/>
    <w:rsid w:val="00746EFB"/>
    <w:rsid w:val="0074739D"/>
    <w:rsid w:val="0074740C"/>
    <w:rsid w:val="00747459"/>
    <w:rsid w:val="00747628"/>
    <w:rsid w:val="00747A15"/>
    <w:rsid w:val="00747A74"/>
    <w:rsid w:val="00747AA7"/>
    <w:rsid w:val="00747C02"/>
    <w:rsid w:val="00747E5E"/>
    <w:rsid w:val="0075024E"/>
    <w:rsid w:val="00750372"/>
    <w:rsid w:val="0075064C"/>
    <w:rsid w:val="0075066A"/>
    <w:rsid w:val="00750AAF"/>
    <w:rsid w:val="00751044"/>
    <w:rsid w:val="00751176"/>
    <w:rsid w:val="007511FA"/>
    <w:rsid w:val="00751345"/>
    <w:rsid w:val="0075152D"/>
    <w:rsid w:val="0075170A"/>
    <w:rsid w:val="00751829"/>
    <w:rsid w:val="00751B26"/>
    <w:rsid w:val="00751DAF"/>
    <w:rsid w:val="00751EA9"/>
    <w:rsid w:val="00752845"/>
    <w:rsid w:val="00752A1C"/>
    <w:rsid w:val="00752BBD"/>
    <w:rsid w:val="00752C69"/>
    <w:rsid w:val="00752CBF"/>
    <w:rsid w:val="00752DF1"/>
    <w:rsid w:val="00752E3D"/>
    <w:rsid w:val="00753244"/>
    <w:rsid w:val="0075342F"/>
    <w:rsid w:val="00753AC1"/>
    <w:rsid w:val="00753D1E"/>
    <w:rsid w:val="007541E5"/>
    <w:rsid w:val="00754255"/>
    <w:rsid w:val="007547A8"/>
    <w:rsid w:val="007548E3"/>
    <w:rsid w:val="00754A30"/>
    <w:rsid w:val="00754B5F"/>
    <w:rsid w:val="007553AD"/>
    <w:rsid w:val="00755564"/>
    <w:rsid w:val="0075563E"/>
    <w:rsid w:val="00755685"/>
    <w:rsid w:val="00755B05"/>
    <w:rsid w:val="00755BB8"/>
    <w:rsid w:val="00755C21"/>
    <w:rsid w:val="00755E86"/>
    <w:rsid w:val="0075656B"/>
    <w:rsid w:val="00756671"/>
    <w:rsid w:val="00756A41"/>
    <w:rsid w:val="00756F64"/>
    <w:rsid w:val="00757069"/>
    <w:rsid w:val="00757199"/>
    <w:rsid w:val="00757A97"/>
    <w:rsid w:val="00757D55"/>
    <w:rsid w:val="00757FCA"/>
    <w:rsid w:val="00760433"/>
    <w:rsid w:val="0076063A"/>
    <w:rsid w:val="0076094B"/>
    <w:rsid w:val="00760996"/>
    <w:rsid w:val="007609D0"/>
    <w:rsid w:val="00760CB1"/>
    <w:rsid w:val="00760EC7"/>
    <w:rsid w:val="00760F68"/>
    <w:rsid w:val="007610AD"/>
    <w:rsid w:val="007613A1"/>
    <w:rsid w:val="00761412"/>
    <w:rsid w:val="00761753"/>
    <w:rsid w:val="00761890"/>
    <w:rsid w:val="00761E33"/>
    <w:rsid w:val="00761FD2"/>
    <w:rsid w:val="00762028"/>
    <w:rsid w:val="00762084"/>
    <w:rsid w:val="00762228"/>
    <w:rsid w:val="00762252"/>
    <w:rsid w:val="0076258C"/>
    <w:rsid w:val="00762629"/>
    <w:rsid w:val="00762814"/>
    <w:rsid w:val="007628A7"/>
    <w:rsid w:val="007629C9"/>
    <w:rsid w:val="00762EA1"/>
    <w:rsid w:val="00762EDD"/>
    <w:rsid w:val="0076320E"/>
    <w:rsid w:val="0076326E"/>
    <w:rsid w:val="007633EE"/>
    <w:rsid w:val="00763CD2"/>
    <w:rsid w:val="00763E4C"/>
    <w:rsid w:val="0076403B"/>
    <w:rsid w:val="0076403E"/>
    <w:rsid w:val="007645F0"/>
    <w:rsid w:val="00764602"/>
    <w:rsid w:val="007649AD"/>
    <w:rsid w:val="00764B2D"/>
    <w:rsid w:val="00764B61"/>
    <w:rsid w:val="00764BC0"/>
    <w:rsid w:val="00764BEB"/>
    <w:rsid w:val="00764C59"/>
    <w:rsid w:val="00764D09"/>
    <w:rsid w:val="00764EA9"/>
    <w:rsid w:val="007652F3"/>
    <w:rsid w:val="007654EA"/>
    <w:rsid w:val="007658D4"/>
    <w:rsid w:val="00765B82"/>
    <w:rsid w:val="0076615F"/>
    <w:rsid w:val="007668D2"/>
    <w:rsid w:val="007668F8"/>
    <w:rsid w:val="00766CD8"/>
    <w:rsid w:val="00766FE9"/>
    <w:rsid w:val="00767080"/>
    <w:rsid w:val="007672B3"/>
    <w:rsid w:val="007673BB"/>
    <w:rsid w:val="007673D4"/>
    <w:rsid w:val="007679BE"/>
    <w:rsid w:val="00770344"/>
    <w:rsid w:val="00770425"/>
    <w:rsid w:val="007705A1"/>
    <w:rsid w:val="00770722"/>
    <w:rsid w:val="0077079E"/>
    <w:rsid w:val="00770CBE"/>
    <w:rsid w:val="00770D0D"/>
    <w:rsid w:val="00770F0C"/>
    <w:rsid w:val="00771004"/>
    <w:rsid w:val="0077108B"/>
    <w:rsid w:val="007718FB"/>
    <w:rsid w:val="00771A22"/>
    <w:rsid w:val="00771B77"/>
    <w:rsid w:val="00771C87"/>
    <w:rsid w:val="00771E5D"/>
    <w:rsid w:val="00772118"/>
    <w:rsid w:val="007725F1"/>
    <w:rsid w:val="007728BB"/>
    <w:rsid w:val="0077316D"/>
    <w:rsid w:val="00773431"/>
    <w:rsid w:val="00773482"/>
    <w:rsid w:val="00773C03"/>
    <w:rsid w:val="007742D5"/>
    <w:rsid w:val="007744A2"/>
    <w:rsid w:val="007744ED"/>
    <w:rsid w:val="00774649"/>
    <w:rsid w:val="00774951"/>
    <w:rsid w:val="00774CD2"/>
    <w:rsid w:val="0077516B"/>
    <w:rsid w:val="0077520D"/>
    <w:rsid w:val="007752F7"/>
    <w:rsid w:val="00775A35"/>
    <w:rsid w:val="00775C63"/>
    <w:rsid w:val="007760C6"/>
    <w:rsid w:val="0077630E"/>
    <w:rsid w:val="007763EE"/>
    <w:rsid w:val="00776447"/>
    <w:rsid w:val="0077644A"/>
    <w:rsid w:val="00776A2D"/>
    <w:rsid w:val="00776BF7"/>
    <w:rsid w:val="00776C05"/>
    <w:rsid w:val="00776DB0"/>
    <w:rsid w:val="00776E93"/>
    <w:rsid w:val="00776ED9"/>
    <w:rsid w:val="00776FCF"/>
    <w:rsid w:val="00777014"/>
    <w:rsid w:val="007771B8"/>
    <w:rsid w:val="007774A8"/>
    <w:rsid w:val="00777B9D"/>
    <w:rsid w:val="00777EC7"/>
    <w:rsid w:val="00777F14"/>
    <w:rsid w:val="007801FD"/>
    <w:rsid w:val="007802C4"/>
    <w:rsid w:val="00780325"/>
    <w:rsid w:val="0078053E"/>
    <w:rsid w:val="0078057A"/>
    <w:rsid w:val="00780772"/>
    <w:rsid w:val="0078082A"/>
    <w:rsid w:val="00780889"/>
    <w:rsid w:val="007809ED"/>
    <w:rsid w:val="00780CEC"/>
    <w:rsid w:val="00780D0A"/>
    <w:rsid w:val="00780FCA"/>
    <w:rsid w:val="007811B2"/>
    <w:rsid w:val="00781621"/>
    <w:rsid w:val="007816C1"/>
    <w:rsid w:val="00781951"/>
    <w:rsid w:val="00781A6C"/>
    <w:rsid w:val="00781E40"/>
    <w:rsid w:val="00781F5D"/>
    <w:rsid w:val="00782329"/>
    <w:rsid w:val="007823B4"/>
    <w:rsid w:val="0078259F"/>
    <w:rsid w:val="00782638"/>
    <w:rsid w:val="00782844"/>
    <w:rsid w:val="007830F1"/>
    <w:rsid w:val="0078322D"/>
    <w:rsid w:val="00783236"/>
    <w:rsid w:val="0078364A"/>
    <w:rsid w:val="007836DA"/>
    <w:rsid w:val="0078398B"/>
    <w:rsid w:val="0078398F"/>
    <w:rsid w:val="00783BDC"/>
    <w:rsid w:val="00783C18"/>
    <w:rsid w:val="00783C34"/>
    <w:rsid w:val="00783D89"/>
    <w:rsid w:val="007841FA"/>
    <w:rsid w:val="007847FA"/>
    <w:rsid w:val="00785211"/>
    <w:rsid w:val="007854B6"/>
    <w:rsid w:val="00785654"/>
    <w:rsid w:val="00785C6A"/>
    <w:rsid w:val="00785C9C"/>
    <w:rsid w:val="00785D55"/>
    <w:rsid w:val="00785DE2"/>
    <w:rsid w:val="0078604B"/>
    <w:rsid w:val="00786118"/>
    <w:rsid w:val="007862CD"/>
    <w:rsid w:val="0078639C"/>
    <w:rsid w:val="007865C6"/>
    <w:rsid w:val="007867EB"/>
    <w:rsid w:val="0078690E"/>
    <w:rsid w:val="00786A29"/>
    <w:rsid w:val="00786B32"/>
    <w:rsid w:val="00787104"/>
    <w:rsid w:val="007874A6"/>
    <w:rsid w:val="0078782B"/>
    <w:rsid w:val="00787922"/>
    <w:rsid w:val="007879C1"/>
    <w:rsid w:val="0079011B"/>
    <w:rsid w:val="0079015F"/>
    <w:rsid w:val="00790447"/>
    <w:rsid w:val="007908F0"/>
    <w:rsid w:val="0079095E"/>
    <w:rsid w:val="00790BD6"/>
    <w:rsid w:val="00791038"/>
    <w:rsid w:val="00791050"/>
    <w:rsid w:val="007911AD"/>
    <w:rsid w:val="0079120D"/>
    <w:rsid w:val="00791216"/>
    <w:rsid w:val="007917FC"/>
    <w:rsid w:val="00791910"/>
    <w:rsid w:val="00791A07"/>
    <w:rsid w:val="0079214B"/>
    <w:rsid w:val="00792311"/>
    <w:rsid w:val="0079244F"/>
    <w:rsid w:val="007925A4"/>
    <w:rsid w:val="00792715"/>
    <w:rsid w:val="007927DF"/>
    <w:rsid w:val="00792881"/>
    <w:rsid w:val="00792AE2"/>
    <w:rsid w:val="00792BE5"/>
    <w:rsid w:val="00792D36"/>
    <w:rsid w:val="007931DF"/>
    <w:rsid w:val="007932B9"/>
    <w:rsid w:val="00793493"/>
    <w:rsid w:val="007935CE"/>
    <w:rsid w:val="007935EC"/>
    <w:rsid w:val="00793BD8"/>
    <w:rsid w:val="00794079"/>
    <w:rsid w:val="007941EF"/>
    <w:rsid w:val="0079446B"/>
    <w:rsid w:val="007946BD"/>
    <w:rsid w:val="007946E0"/>
    <w:rsid w:val="0079476C"/>
    <w:rsid w:val="00794D4D"/>
    <w:rsid w:val="00794DF6"/>
    <w:rsid w:val="0079508D"/>
    <w:rsid w:val="0079516D"/>
    <w:rsid w:val="007951DF"/>
    <w:rsid w:val="00795428"/>
    <w:rsid w:val="007954B9"/>
    <w:rsid w:val="00795607"/>
    <w:rsid w:val="007957A5"/>
    <w:rsid w:val="00795860"/>
    <w:rsid w:val="007959AB"/>
    <w:rsid w:val="007959EA"/>
    <w:rsid w:val="00795EBC"/>
    <w:rsid w:val="0079653C"/>
    <w:rsid w:val="00796765"/>
    <w:rsid w:val="007967AF"/>
    <w:rsid w:val="00796B49"/>
    <w:rsid w:val="00796B8B"/>
    <w:rsid w:val="00796C9A"/>
    <w:rsid w:val="00796DA9"/>
    <w:rsid w:val="00796E35"/>
    <w:rsid w:val="0079703D"/>
    <w:rsid w:val="007972E7"/>
    <w:rsid w:val="00797AFF"/>
    <w:rsid w:val="00797DB8"/>
    <w:rsid w:val="007A0219"/>
    <w:rsid w:val="007A02B3"/>
    <w:rsid w:val="007A02BF"/>
    <w:rsid w:val="007A03FB"/>
    <w:rsid w:val="007A0713"/>
    <w:rsid w:val="007A0A07"/>
    <w:rsid w:val="007A0A4A"/>
    <w:rsid w:val="007A0AE5"/>
    <w:rsid w:val="007A0C78"/>
    <w:rsid w:val="007A0EC1"/>
    <w:rsid w:val="007A1011"/>
    <w:rsid w:val="007A14C7"/>
    <w:rsid w:val="007A1569"/>
    <w:rsid w:val="007A156F"/>
    <w:rsid w:val="007A16CD"/>
    <w:rsid w:val="007A1F31"/>
    <w:rsid w:val="007A1F76"/>
    <w:rsid w:val="007A1F98"/>
    <w:rsid w:val="007A20AB"/>
    <w:rsid w:val="007A2B61"/>
    <w:rsid w:val="007A2C75"/>
    <w:rsid w:val="007A2EF6"/>
    <w:rsid w:val="007A2F66"/>
    <w:rsid w:val="007A32C0"/>
    <w:rsid w:val="007A34E1"/>
    <w:rsid w:val="007A3B6A"/>
    <w:rsid w:val="007A3D48"/>
    <w:rsid w:val="007A4BFE"/>
    <w:rsid w:val="007A4D79"/>
    <w:rsid w:val="007A505F"/>
    <w:rsid w:val="007A5AC2"/>
    <w:rsid w:val="007A6373"/>
    <w:rsid w:val="007A65CD"/>
    <w:rsid w:val="007A6A45"/>
    <w:rsid w:val="007A6F35"/>
    <w:rsid w:val="007A792D"/>
    <w:rsid w:val="007B0093"/>
    <w:rsid w:val="007B0157"/>
    <w:rsid w:val="007B020C"/>
    <w:rsid w:val="007B0218"/>
    <w:rsid w:val="007B074A"/>
    <w:rsid w:val="007B07A3"/>
    <w:rsid w:val="007B0DA9"/>
    <w:rsid w:val="007B1005"/>
    <w:rsid w:val="007B1158"/>
    <w:rsid w:val="007B124E"/>
    <w:rsid w:val="007B1E95"/>
    <w:rsid w:val="007B220F"/>
    <w:rsid w:val="007B24EC"/>
    <w:rsid w:val="007B251A"/>
    <w:rsid w:val="007B258E"/>
    <w:rsid w:val="007B29DA"/>
    <w:rsid w:val="007B2D75"/>
    <w:rsid w:val="007B2FEB"/>
    <w:rsid w:val="007B30A6"/>
    <w:rsid w:val="007B3104"/>
    <w:rsid w:val="007B3287"/>
    <w:rsid w:val="007B343C"/>
    <w:rsid w:val="007B38C0"/>
    <w:rsid w:val="007B3D5A"/>
    <w:rsid w:val="007B3F67"/>
    <w:rsid w:val="007B4148"/>
    <w:rsid w:val="007B43BE"/>
    <w:rsid w:val="007B4530"/>
    <w:rsid w:val="007B4577"/>
    <w:rsid w:val="007B464C"/>
    <w:rsid w:val="007B4683"/>
    <w:rsid w:val="007B4F8F"/>
    <w:rsid w:val="007B4F93"/>
    <w:rsid w:val="007B5616"/>
    <w:rsid w:val="007B5BFC"/>
    <w:rsid w:val="007B5C6A"/>
    <w:rsid w:val="007B5E0F"/>
    <w:rsid w:val="007B5F9E"/>
    <w:rsid w:val="007B5FC5"/>
    <w:rsid w:val="007B6546"/>
    <w:rsid w:val="007B6601"/>
    <w:rsid w:val="007B6683"/>
    <w:rsid w:val="007B675E"/>
    <w:rsid w:val="007B67B7"/>
    <w:rsid w:val="007B681B"/>
    <w:rsid w:val="007B6919"/>
    <w:rsid w:val="007B6EAA"/>
    <w:rsid w:val="007B750C"/>
    <w:rsid w:val="007B78A6"/>
    <w:rsid w:val="007B7CB9"/>
    <w:rsid w:val="007C0376"/>
    <w:rsid w:val="007C043F"/>
    <w:rsid w:val="007C07CF"/>
    <w:rsid w:val="007C094D"/>
    <w:rsid w:val="007C09FF"/>
    <w:rsid w:val="007C0A55"/>
    <w:rsid w:val="007C0C6D"/>
    <w:rsid w:val="007C0DCB"/>
    <w:rsid w:val="007C0DCF"/>
    <w:rsid w:val="007C12FE"/>
    <w:rsid w:val="007C183B"/>
    <w:rsid w:val="007C1BF6"/>
    <w:rsid w:val="007C1DAD"/>
    <w:rsid w:val="007C2124"/>
    <w:rsid w:val="007C2280"/>
    <w:rsid w:val="007C249B"/>
    <w:rsid w:val="007C24DF"/>
    <w:rsid w:val="007C24FE"/>
    <w:rsid w:val="007C2503"/>
    <w:rsid w:val="007C26BB"/>
    <w:rsid w:val="007C28C3"/>
    <w:rsid w:val="007C2B5E"/>
    <w:rsid w:val="007C2E36"/>
    <w:rsid w:val="007C306B"/>
    <w:rsid w:val="007C319E"/>
    <w:rsid w:val="007C32B2"/>
    <w:rsid w:val="007C3356"/>
    <w:rsid w:val="007C35A6"/>
    <w:rsid w:val="007C383D"/>
    <w:rsid w:val="007C3F80"/>
    <w:rsid w:val="007C40FB"/>
    <w:rsid w:val="007C42DD"/>
    <w:rsid w:val="007C4813"/>
    <w:rsid w:val="007C49E6"/>
    <w:rsid w:val="007C4AAF"/>
    <w:rsid w:val="007C4FA3"/>
    <w:rsid w:val="007C54A4"/>
    <w:rsid w:val="007C5679"/>
    <w:rsid w:val="007C56F9"/>
    <w:rsid w:val="007C599A"/>
    <w:rsid w:val="007C5D5F"/>
    <w:rsid w:val="007C5D67"/>
    <w:rsid w:val="007C5F00"/>
    <w:rsid w:val="007C60E7"/>
    <w:rsid w:val="007C6193"/>
    <w:rsid w:val="007C63FD"/>
    <w:rsid w:val="007C66D7"/>
    <w:rsid w:val="007C66E3"/>
    <w:rsid w:val="007C67ED"/>
    <w:rsid w:val="007C6839"/>
    <w:rsid w:val="007C6CEE"/>
    <w:rsid w:val="007C6F4C"/>
    <w:rsid w:val="007C703C"/>
    <w:rsid w:val="007C7049"/>
    <w:rsid w:val="007C715E"/>
    <w:rsid w:val="007C7179"/>
    <w:rsid w:val="007C7268"/>
    <w:rsid w:val="007C75CE"/>
    <w:rsid w:val="007C7822"/>
    <w:rsid w:val="007C7A73"/>
    <w:rsid w:val="007C7B2C"/>
    <w:rsid w:val="007C7CE4"/>
    <w:rsid w:val="007C7DEC"/>
    <w:rsid w:val="007C7E08"/>
    <w:rsid w:val="007C7E75"/>
    <w:rsid w:val="007C7FBB"/>
    <w:rsid w:val="007D00E4"/>
    <w:rsid w:val="007D0D1C"/>
    <w:rsid w:val="007D0E5F"/>
    <w:rsid w:val="007D12D2"/>
    <w:rsid w:val="007D167A"/>
    <w:rsid w:val="007D17B2"/>
    <w:rsid w:val="007D1A4B"/>
    <w:rsid w:val="007D1D69"/>
    <w:rsid w:val="007D2124"/>
    <w:rsid w:val="007D2482"/>
    <w:rsid w:val="007D28C3"/>
    <w:rsid w:val="007D2B24"/>
    <w:rsid w:val="007D2D71"/>
    <w:rsid w:val="007D302F"/>
    <w:rsid w:val="007D329A"/>
    <w:rsid w:val="007D341B"/>
    <w:rsid w:val="007D347F"/>
    <w:rsid w:val="007D36F1"/>
    <w:rsid w:val="007D38A2"/>
    <w:rsid w:val="007D3A19"/>
    <w:rsid w:val="007D3C43"/>
    <w:rsid w:val="007D3C4F"/>
    <w:rsid w:val="007D3DD4"/>
    <w:rsid w:val="007D41B1"/>
    <w:rsid w:val="007D4406"/>
    <w:rsid w:val="007D444E"/>
    <w:rsid w:val="007D459F"/>
    <w:rsid w:val="007D479D"/>
    <w:rsid w:val="007D47EB"/>
    <w:rsid w:val="007D482C"/>
    <w:rsid w:val="007D4889"/>
    <w:rsid w:val="007D48AA"/>
    <w:rsid w:val="007D4D73"/>
    <w:rsid w:val="007D4F75"/>
    <w:rsid w:val="007D517F"/>
    <w:rsid w:val="007D5383"/>
    <w:rsid w:val="007D5499"/>
    <w:rsid w:val="007D58F1"/>
    <w:rsid w:val="007D59F5"/>
    <w:rsid w:val="007D5A9F"/>
    <w:rsid w:val="007D5D5D"/>
    <w:rsid w:val="007D612B"/>
    <w:rsid w:val="007D6715"/>
    <w:rsid w:val="007D6740"/>
    <w:rsid w:val="007D677A"/>
    <w:rsid w:val="007D6BC7"/>
    <w:rsid w:val="007D733F"/>
    <w:rsid w:val="007D74D3"/>
    <w:rsid w:val="007D74D4"/>
    <w:rsid w:val="007D77F8"/>
    <w:rsid w:val="007D78BF"/>
    <w:rsid w:val="007D7B0B"/>
    <w:rsid w:val="007D7B4C"/>
    <w:rsid w:val="007D7D24"/>
    <w:rsid w:val="007E0053"/>
    <w:rsid w:val="007E0377"/>
    <w:rsid w:val="007E065D"/>
    <w:rsid w:val="007E067A"/>
    <w:rsid w:val="007E0837"/>
    <w:rsid w:val="007E086F"/>
    <w:rsid w:val="007E0BB5"/>
    <w:rsid w:val="007E0D29"/>
    <w:rsid w:val="007E12A9"/>
    <w:rsid w:val="007E1880"/>
    <w:rsid w:val="007E20D9"/>
    <w:rsid w:val="007E223B"/>
    <w:rsid w:val="007E22B7"/>
    <w:rsid w:val="007E2939"/>
    <w:rsid w:val="007E2998"/>
    <w:rsid w:val="007E2A2B"/>
    <w:rsid w:val="007E2EB4"/>
    <w:rsid w:val="007E3254"/>
    <w:rsid w:val="007E3594"/>
    <w:rsid w:val="007E3821"/>
    <w:rsid w:val="007E3875"/>
    <w:rsid w:val="007E3BA5"/>
    <w:rsid w:val="007E4022"/>
    <w:rsid w:val="007E4168"/>
    <w:rsid w:val="007E445B"/>
    <w:rsid w:val="007E4C16"/>
    <w:rsid w:val="007E4D5D"/>
    <w:rsid w:val="007E4DD1"/>
    <w:rsid w:val="007E5147"/>
    <w:rsid w:val="007E52A2"/>
    <w:rsid w:val="007E53BA"/>
    <w:rsid w:val="007E5535"/>
    <w:rsid w:val="007E5C97"/>
    <w:rsid w:val="007E6C8B"/>
    <w:rsid w:val="007E701F"/>
    <w:rsid w:val="007E741E"/>
    <w:rsid w:val="007E7463"/>
    <w:rsid w:val="007E770A"/>
    <w:rsid w:val="007F0052"/>
    <w:rsid w:val="007F0453"/>
    <w:rsid w:val="007F0C0C"/>
    <w:rsid w:val="007F1097"/>
    <w:rsid w:val="007F10C1"/>
    <w:rsid w:val="007F1869"/>
    <w:rsid w:val="007F18B7"/>
    <w:rsid w:val="007F19B7"/>
    <w:rsid w:val="007F1E37"/>
    <w:rsid w:val="007F21E3"/>
    <w:rsid w:val="007F224F"/>
    <w:rsid w:val="007F2479"/>
    <w:rsid w:val="007F29A9"/>
    <w:rsid w:val="007F2AF5"/>
    <w:rsid w:val="007F2F5B"/>
    <w:rsid w:val="007F2FB1"/>
    <w:rsid w:val="007F31F7"/>
    <w:rsid w:val="007F3293"/>
    <w:rsid w:val="007F3432"/>
    <w:rsid w:val="007F35C4"/>
    <w:rsid w:val="007F39AC"/>
    <w:rsid w:val="007F3A34"/>
    <w:rsid w:val="007F3DEF"/>
    <w:rsid w:val="007F3E2F"/>
    <w:rsid w:val="007F4067"/>
    <w:rsid w:val="007F4485"/>
    <w:rsid w:val="007F4684"/>
    <w:rsid w:val="007F4687"/>
    <w:rsid w:val="007F46D9"/>
    <w:rsid w:val="007F48DD"/>
    <w:rsid w:val="007F4E8A"/>
    <w:rsid w:val="007F5924"/>
    <w:rsid w:val="007F598F"/>
    <w:rsid w:val="007F5AE6"/>
    <w:rsid w:val="007F5D5B"/>
    <w:rsid w:val="007F644C"/>
    <w:rsid w:val="007F64D3"/>
    <w:rsid w:val="007F6B32"/>
    <w:rsid w:val="007F6F56"/>
    <w:rsid w:val="007F6FBC"/>
    <w:rsid w:val="007F71D5"/>
    <w:rsid w:val="007F721E"/>
    <w:rsid w:val="007F7364"/>
    <w:rsid w:val="007F7B77"/>
    <w:rsid w:val="007F7CC8"/>
    <w:rsid w:val="007F7D82"/>
    <w:rsid w:val="007F7EAE"/>
    <w:rsid w:val="007F7F05"/>
    <w:rsid w:val="00800029"/>
    <w:rsid w:val="008006EC"/>
    <w:rsid w:val="00800D79"/>
    <w:rsid w:val="00800EC1"/>
    <w:rsid w:val="00800FEA"/>
    <w:rsid w:val="008010CF"/>
    <w:rsid w:val="008014DB"/>
    <w:rsid w:val="00801537"/>
    <w:rsid w:val="00801999"/>
    <w:rsid w:val="00801AC2"/>
    <w:rsid w:val="00801D5A"/>
    <w:rsid w:val="00801D74"/>
    <w:rsid w:val="00801E16"/>
    <w:rsid w:val="008022B1"/>
    <w:rsid w:val="008024DA"/>
    <w:rsid w:val="0080267F"/>
    <w:rsid w:val="00802766"/>
    <w:rsid w:val="008028FF"/>
    <w:rsid w:val="00802925"/>
    <w:rsid w:val="00802991"/>
    <w:rsid w:val="00802A33"/>
    <w:rsid w:val="00802A49"/>
    <w:rsid w:val="00802B90"/>
    <w:rsid w:val="00802F3F"/>
    <w:rsid w:val="00802F86"/>
    <w:rsid w:val="0080313C"/>
    <w:rsid w:val="008034DC"/>
    <w:rsid w:val="00803563"/>
    <w:rsid w:val="008035A4"/>
    <w:rsid w:val="008037C8"/>
    <w:rsid w:val="008038EE"/>
    <w:rsid w:val="00803A51"/>
    <w:rsid w:val="00803ABC"/>
    <w:rsid w:val="00803D04"/>
    <w:rsid w:val="00803FBD"/>
    <w:rsid w:val="0080412E"/>
    <w:rsid w:val="00804346"/>
    <w:rsid w:val="00804680"/>
    <w:rsid w:val="00804AEC"/>
    <w:rsid w:val="00804CEA"/>
    <w:rsid w:val="008051AD"/>
    <w:rsid w:val="0080527B"/>
    <w:rsid w:val="00805370"/>
    <w:rsid w:val="008054CC"/>
    <w:rsid w:val="00805586"/>
    <w:rsid w:val="0080585C"/>
    <w:rsid w:val="00805957"/>
    <w:rsid w:val="008059E7"/>
    <w:rsid w:val="00806380"/>
    <w:rsid w:val="008064A5"/>
    <w:rsid w:val="008066A2"/>
    <w:rsid w:val="008068B8"/>
    <w:rsid w:val="00806A8D"/>
    <w:rsid w:val="00806B7B"/>
    <w:rsid w:val="00806C9B"/>
    <w:rsid w:val="00806D14"/>
    <w:rsid w:val="00806E66"/>
    <w:rsid w:val="0080718C"/>
    <w:rsid w:val="00807199"/>
    <w:rsid w:val="00807252"/>
    <w:rsid w:val="008075D9"/>
    <w:rsid w:val="008075F0"/>
    <w:rsid w:val="00807DE9"/>
    <w:rsid w:val="00807E0B"/>
    <w:rsid w:val="00807F77"/>
    <w:rsid w:val="008100DE"/>
    <w:rsid w:val="008108B6"/>
    <w:rsid w:val="00810C56"/>
    <w:rsid w:val="00811040"/>
    <w:rsid w:val="00811185"/>
    <w:rsid w:val="008116A0"/>
    <w:rsid w:val="00811729"/>
    <w:rsid w:val="008118EA"/>
    <w:rsid w:val="008125FC"/>
    <w:rsid w:val="00812796"/>
    <w:rsid w:val="00812A33"/>
    <w:rsid w:val="00812B8B"/>
    <w:rsid w:val="00812D57"/>
    <w:rsid w:val="00812F32"/>
    <w:rsid w:val="00813734"/>
    <w:rsid w:val="00813741"/>
    <w:rsid w:val="008138CA"/>
    <w:rsid w:val="00813EE8"/>
    <w:rsid w:val="00813F5A"/>
    <w:rsid w:val="00814056"/>
    <w:rsid w:val="00814161"/>
    <w:rsid w:val="00814394"/>
    <w:rsid w:val="008148D2"/>
    <w:rsid w:val="00814A18"/>
    <w:rsid w:val="00814FC1"/>
    <w:rsid w:val="00815324"/>
    <w:rsid w:val="0081538C"/>
    <w:rsid w:val="0081543C"/>
    <w:rsid w:val="00815678"/>
    <w:rsid w:val="0081575F"/>
    <w:rsid w:val="008158CD"/>
    <w:rsid w:val="00815A32"/>
    <w:rsid w:val="00815AF8"/>
    <w:rsid w:val="00815C22"/>
    <w:rsid w:val="00815F89"/>
    <w:rsid w:val="00816275"/>
    <w:rsid w:val="008165BF"/>
    <w:rsid w:val="00817047"/>
    <w:rsid w:val="0081718F"/>
    <w:rsid w:val="00817481"/>
    <w:rsid w:val="00817A01"/>
    <w:rsid w:val="00817A6A"/>
    <w:rsid w:val="00817AD0"/>
    <w:rsid w:val="00817F7D"/>
    <w:rsid w:val="00820324"/>
    <w:rsid w:val="008204EA"/>
    <w:rsid w:val="008207CE"/>
    <w:rsid w:val="00820806"/>
    <w:rsid w:val="008208F1"/>
    <w:rsid w:val="008213CC"/>
    <w:rsid w:val="00821610"/>
    <w:rsid w:val="00821741"/>
    <w:rsid w:val="008220C1"/>
    <w:rsid w:val="008222EB"/>
    <w:rsid w:val="0082248A"/>
    <w:rsid w:val="00822545"/>
    <w:rsid w:val="008225BC"/>
    <w:rsid w:val="00822817"/>
    <w:rsid w:val="00822A68"/>
    <w:rsid w:val="00822CB1"/>
    <w:rsid w:val="00822F56"/>
    <w:rsid w:val="00823174"/>
    <w:rsid w:val="00823287"/>
    <w:rsid w:val="00823748"/>
    <w:rsid w:val="00823854"/>
    <w:rsid w:val="00823AA0"/>
    <w:rsid w:val="00823B34"/>
    <w:rsid w:val="00823C71"/>
    <w:rsid w:val="00823F3D"/>
    <w:rsid w:val="008244F0"/>
    <w:rsid w:val="00824A5C"/>
    <w:rsid w:val="00824B0E"/>
    <w:rsid w:val="00824BEE"/>
    <w:rsid w:val="00824DA9"/>
    <w:rsid w:val="00825344"/>
    <w:rsid w:val="0082548E"/>
    <w:rsid w:val="00825B31"/>
    <w:rsid w:val="00825D1C"/>
    <w:rsid w:val="00826108"/>
    <w:rsid w:val="00826159"/>
    <w:rsid w:val="008264B1"/>
    <w:rsid w:val="008265B0"/>
    <w:rsid w:val="00826847"/>
    <w:rsid w:val="0082690A"/>
    <w:rsid w:val="00826E21"/>
    <w:rsid w:val="008273CA"/>
    <w:rsid w:val="0082772D"/>
    <w:rsid w:val="00827BCA"/>
    <w:rsid w:val="00827C37"/>
    <w:rsid w:val="00827D35"/>
    <w:rsid w:val="00827E61"/>
    <w:rsid w:val="00827F81"/>
    <w:rsid w:val="008303EC"/>
    <w:rsid w:val="00830551"/>
    <w:rsid w:val="008305A9"/>
    <w:rsid w:val="00830AB5"/>
    <w:rsid w:val="0083153C"/>
    <w:rsid w:val="008315A1"/>
    <w:rsid w:val="00831625"/>
    <w:rsid w:val="008316B8"/>
    <w:rsid w:val="00831B1F"/>
    <w:rsid w:val="00831CD9"/>
    <w:rsid w:val="00831E3B"/>
    <w:rsid w:val="00831E48"/>
    <w:rsid w:val="0083232E"/>
    <w:rsid w:val="008323A1"/>
    <w:rsid w:val="008327B3"/>
    <w:rsid w:val="0083291F"/>
    <w:rsid w:val="008329E2"/>
    <w:rsid w:val="00832C6A"/>
    <w:rsid w:val="00832EAB"/>
    <w:rsid w:val="0083305F"/>
    <w:rsid w:val="008335AD"/>
    <w:rsid w:val="00833667"/>
    <w:rsid w:val="0083398F"/>
    <w:rsid w:val="00833F93"/>
    <w:rsid w:val="008342B2"/>
    <w:rsid w:val="00834450"/>
    <w:rsid w:val="00834A3E"/>
    <w:rsid w:val="00834F05"/>
    <w:rsid w:val="008351B1"/>
    <w:rsid w:val="0083521B"/>
    <w:rsid w:val="00835918"/>
    <w:rsid w:val="00835AB9"/>
    <w:rsid w:val="00835F9D"/>
    <w:rsid w:val="008360B8"/>
    <w:rsid w:val="0083617D"/>
    <w:rsid w:val="00836706"/>
    <w:rsid w:val="00836D25"/>
    <w:rsid w:val="008370A4"/>
    <w:rsid w:val="0083718E"/>
    <w:rsid w:val="008372E4"/>
    <w:rsid w:val="008374C6"/>
    <w:rsid w:val="00837669"/>
    <w:rsid w:val="00837999"/>
    <w:rsid w:val="00837D51"/>
    <w:rsid w:val="00837D65"/>
    <w:rsid w:val="00837E38"/>
    <w:rsid w:val="00837F14"/>
    <w:rsid w:val="00840721"/>
    <w:rsid w:val="00840A78"/>
    <w:rsid w:val="0084109D"/>
    <w:rsid w:val="008416BF"/>
    <w:rsid w:val="00841961"/>
    <w:rsid w:val="00842128"/>
    <w:rsid w:val="008426A2"/>
    <w:rsid w:val="008426F1"/>
    <w:rsid w:val="00842A07"/>
    <w:rsid w:val="00842AEB"/>
    <w:rsid w:val="00842B48"/>
    <w:rsid w:val="00842CED"/>
    <w:rsid w:val="00842DCE"/>
    <w:rsid w:val="00843172"/>
    <w:rsid w:val="00843341"/>
    <w:rsid w:val="00843AEE"/>
    <w:rsid w:val="00843B00"/>
    <w:rsid w:val="00843DB3"/>
    <w:rsid w:val="00843E0A"/>
    <w:rsid w:val="00843F64"/>
    <w:rsid w:val="008440DF"/>
    <w:rsid w:val="00844229"/>
    <w:rsid w:val="008442BB"/>
    <w:rsid w:val="0084436B"/>
    <w:rsid w:val="0084445A"/>
    <w:rsid w:val="00844A66"/>
    <w:rsid w:val="00844AC6"/>
    <w:rsid w:val="00844CA2"/>
    <w:rsid w:val="008451E1"/>
    <w:rsid w:val="00845B5C"/>
    <w:rsid w:val="00845BF1"/>
    <w:rsid w:val="00845C53"/>
    <w:rsid w:val="00845D36"/>
    <w:rsid w:val="00845DE3"/>
    <w:rsid w:val="00845E97"/>
    <w:rsid w:val="00845EC7"/>
    <w:rsid w:val="00846321"/>
    <w:rsid w:val="0084655B"/>
    <w:rsid w:val="00846587"/>
    <w:rsid w:val="00846965"/>
    <w:rsid w:val="00846E5E"/>
    <w:rsid w:val="00847070"/>
    <w:rsid w:val="0084716A"/>
    <w:rsid w:val="008473B4"/>
    <w:rsid w:val="008473BC"/>
    <w:rsid w:val="008473E0"/>
    <w:rsid w:val="008474DF"/>
    <w:rsid w:val="008477AA"/>
    <w:rsid w:val="008479EF"/>
    <w:rsid w:val="00847A01"/>
    <w:rsid w:val="00847A30"/>
    <w:rsid w:val="00847BA9"/>
    <w:rsid w:val="00847C15"/>
    <w:rsid w:val="00847C62"/>
    <w:rsid w:val="00847E1F"/>
    <w:rsid w:val="008507D3"/>
    <w:rsid w:val="0085093A"/>
    <w:rsid w:val="00850A74"/>
    <w:rsid w:val="00850B27"/>
    <w:rsid w:val="008511C0"/>
    <w:rsid w:val="00851215"/>
    <w:rsid w:val="00851646"/>
    <w:rsid w:val="008517FB"/>
    <w:rsid w:val="00851ABC"/>
    <w:rsid w:val="00851AFB"/>
    <w:rsid w:val="00851CE5"/>
    <w:rsid w:val="00851F5E"/>
    <w:rsid w:val="00851FAF"/>
    <w:rsid w:val="008521FB"/>
    <w:rsid w:val="00852504"/>
    <w:rsid w:val="008528A5"/>
    <w:rsid w:val="00852A18"/>
    <w:rsid w:val="00852EBA"/>
    <w:rsid w:val="00853196"/>
    <w:rsid w:val="008531BE"/>
    <w:rsid w:val="0085323F"/>
    <w:rsid w:val="0085328D"/>
    <w:rsid w:val="0085330D"/>
    <w:rsid w:val="00853355"/>
    <w:rsid w:val="008534A1"/>
    <w:rsid w:val="00853682"/>
    <w:rsid w:val="008536CD"/>
    <w:rsid w:val="00853B61"/>
    <w:rsid w:val="00853E4C"/>
    <w:rsid w:val="00854646"/>
    <w:rsid w:val="0085499D"/>
    <w:rsid w:val="008549D6"/>
    <w:rsid w:val="00854BB3"/>
    <w:rsid w:val="00854D21"/>
    <w:rsid w:val="00855875"/>
    <w:rsid w:val="008558A6"/>
    <w:rsid w:val="00855A16"/>
    <w:rsid w:val="00855CAC"/>
    <w:rsid w:val="00855D24"/>
    <w:rsid w:val="008564CE"/>
    <w:rsid w:val="00856637"/>
    <w:rsid w:val="0085669F"/>
    <w:rsid w:val="00856797"/>
    <w:rsid w:val="0085694A"/>
    <w:rsid w:val="008569DF"/>
    <w:rsid w:val="00856A56"/>
    <w:rsid w:val="00857025"/>
    <w:rsid w:val="008574B6"/>
    <w:rsid w:val="0085750D"/>
    <w:rsid w:val="008577BF"/>
    <w:rsid w:val="0085781F"/>
    <w:rsid w:val="008578D1"/>
    <w:rsid w:val="00857BCE"/>
    <w:rsid w:val="00857CBC"/>
    <w:rsid w:val="00860AB9"/>
    <w:rsid w:val="00860B6B"/>
    <w:rsid w:val="00860CCD"/>
    <w:rsid w:val="00860D70"/>
    <w:rsid w:val="0086104A"/>
    <w:rsid w:val="008614A7"/>
    <w:rsid w:val="00861629"/>
    <w:rsid w:val="008617E0"/>
    <w:rsid w:val="00861A72"/>
    <w:rsid w:val="00861CB4"/>
    <w:rsid w:val="00861D5C"/>
    <w:rsid w:val="0086217D"/>
    <w:rsid w:val="008621D9"/>
    <w:rsid w:val="00862545"/>
    <w:rsid w:val="00862BF1"/>
    <w:rsid w:val="00862C6A"/>
    <w:rsid w:val="008630ED"/>
    <w:rsid w:val="0086342A"/>
    <w:rsid w:val="00863472"/>
    <w:rsid w:val="00863814"/>
    <w:rsid w:val="00863839"/>
    <w:rsid w:val="00863B59"/>
    <w:rsid w:val="00863C54"/>
    <w:rsid w:val="0086411E"/>
    <w:rsid w:val="008644F1"/>
    <w:rsid w:val="00864C41"/>
    <w:rsid w:val="00864F05"/>
    <w:rsid w:val="00864FAB"/>
    <w:rsid w:val="00865207"/>
    <w:rsid w:val="008652D2"/>
    <w:rsid w:val="0086549F"/>
    <w:rsid w:val="008654CC"/>
    <w:rsid w:val="0086594E"/>
    <w:rsid w:val="00865BB2"/>
    <w:rsid w:val="00865E8E"/>
    <w:rsid w:val="0086600F"/>
    <w:rsid w:val="00866261"/>
    <w:rsid w:val="00866710"/>
    <w:rsid w:val="00866EDE"/>
    <w:rsid w:val="00866F03"/>
    <w:rsid w:val="0086711A"/>
    <w:rsid w:val="00867E5B"/>
    <w:rsid w:val="00870009"/>
    <w:rsid w:val="008703CC"/>
    <w:rsid w:val="0087049C"/>
    <w:rsid w:val="008704E7"/>
    <w:rsid w:val="008706D9"/>
    <w:rsid w:val="00870940"/>
    <w:rsid w:val="00871059"/>
    <w:rsid w:val="00871433"/>
    <w:rsid w:val="00871693"/>
    <w:rsid w:val="00871D67"/>
    <w:rsid w:val="00872060"/>
    <w:rsid w:val="008720F9"/>
    <w:rsid w:val="00872240"/>
    <w:rsid w:val="00872303"/>
    <w:rsid w:val="00872589"/>
    <w:rsid w:val="0087261A"/>
    <w:rsid w:val="00872C0B"/>
    <w:rsid w:val="0087392C"/>
    <w:rsid w:val="00873A1A"/>
    <w:rsid w:val="00873AEB"/>
    <w:rsid w:val="00874331"/>
    <w:rsid w:val="008743C9"/>
    <w:rsid w:val="00874502"/>
    <w:rsid w:val="00874727"/>
    <w:rsid w:val="00874771"/>
    <w:rsid w:val="008749B5"/>
    <w:rsid w:val="00874B67"/>
    <w:rsid w:val="00874B86"/>
    <w:rsid w:val="00874BDC"/>
    <w:rsid w:val="008751B6"/>
    <w:rsid w:val="008752CB"/>
    <w:rsid w:val="008753F0"/>
    <w:rsid w:val="00875A34"/>
    <w:rsid w:val="00875A3E"/>
    <w:rsid w:val="00875A93"/>
    <w:rsid w:val="00875E51"/>
    <w:rsid w:val="00876058"/>
    <w:rsid w:val="008762BA"/>
    <w:rsid w:val="0087659A"/>
    <w:rsid w:val="008765C6"/>
    <w:rsid w:val="008767AB"/>
    <w:rsid w:val="00876840"/>
    <w:rsid w:val="0087690A"/>
    <w:rsid w:val="008769C1"/>
    <w:rsid w:val="008769DC"/>
    <w:rsid w:val="00876B35"/>
    <w:rsid w:val="00876B9A"/>
    <w:rsid w:val="00876F8B"/>
    <w:rsid w:val="008775B5"/>
    <w:rsid w:val="00877813"/>
    <w:rsid w:val="008778A4"/>
    <w:rsid w:val="00877931"/>
    <w:rsid w:val="00877E65"/>
    <w:rsid w:val="00877EC8"/>
    <w:rsid w:val="00880144"/>
    <w:rsid w:val="00880F46"/>
    <w:rsid w:val="00881502"/>
    <w:rsid w:val="00881609"/>
    <w:rsid w:val="008816AA"/>
    <w:rsid w:val="00881915"/>
    <w:rsid w:val="00881DFA"/>
    <w:rsid w:val="00881F78"/>
    <w:rsid w:val="008821E5"/>
    <w:rsid w:val="00882212"/>
    <w:rsid w:val="008825FA"/>
    <w:rsid w:val="00882633"/>
    <w:rsid w:val="00882766"/>
    <w:rsid w:val="00882C27"/>
    <w:rsid w:val="00882D76"/>
    <w:rsid w:val="00882F15"/>
    <w:rsid w:val="008830D7"/>
    <w:rsid w:val="0088341F"/>
    <w:rsid w:val="00883579"/>
    <w:rsid w:val="008838C8"/>
    <w:rsid w:val="00883BA4"/>
    <w:rsid w:val="00883BC0"/>
    <w:rsid w:val="008840F4"/>
    <w:rsid w:val="00884833"/>
    <w:rsid w:val="00884897"/>
    <w:rsid w:val="008848FB"/>
    <w:rsid w:val="00884A81"/>
    <w:rsid w:val="00884B4B"/>
    <w:rsid w:val="00884B4F"/>
    <w:rsid w:val="00884C17"/>
    <w:rsid w:val="00885063"/>
    <w:rsid w:val="008856B7"/>
    <w:rsid w:val="0088573E"/>
    <w:rsid w:val="008857DB"/>
    <w:rsid w:val="00885C02"/>
    <w:rsid w:val="00885C9C"/>
    <w:rsid w:val="00885E9E"/>
    <w:rsid w:val="00885ED1"/>
    <w:rsid w:val="00885F3E"/>
    <w:rsid w:val="00885FBB"/>
    <w:rsid w:val="0088613F"/>
    <w:rsid w:val="0088617A"/>
    <w:rsid w:val="0088688F"/>
    <w:rsid w:val="00886B54"/>
    <w:rsid w:val="00886E3E"/>
    <w:rsid w:val="00886F3C"/>
    <w:rsid w:val="00887023"/>
    <w:rsid w:val="00887445"/>
    <w:rsid w:val="008874D9"/>
    <w:rsid w:val="0088751C"/>
    <w:rsid w:val="008875E2"/>
    <w:rsid w:val="00887694"/>
    <w:rsid w:val="00887716"/>
    <w:rsid w:val="0088777C"/>
    <w:rsid w:val="0088785A"/>
    <w:rsid w:val="008879AB"/>
    <w:rsid w:val="00887A67"/>
    <w:rsid w:val="00887B78"/>
    <w:rsid w:val="00887C2A"/>
    <w:rsid w:val="00887F20"/>
    <w:rsid w:val="008905E6"/>
    <w:rsid w:val="008907CC"/>
    <w:rsid w:val="00890B16"/>
    <w:rsid w:val="00891047"/>
    <w:rsid w:val="008911C1"/>
    <w:rsid w:val="0089167F"/>
    <w:rsid w:val="0089192C"/>
    <w:rsid w:val="008921BD"/>
    <w:rsid w:val="008921D4"/>
    <w:rsid w:val="008927C7"/>
    <w:rsid w:val="008929D1"/>
    <w:rsid w:val="00892A63"/>
    <w:rsid w:val="00892D0F"/>
    <w:rsid w:val="00892D2E"/>
    <w:rsid w:val="00892D55"/>
    <w:rsid w:val="00892EFB"/>
    <w:rsid w:val="0089318A"/>
    <w:rsid w:val="008931BA"/>
    <w:rsid w:val="00893637"/>
    <w:rsid w:val="008937B5"/>
    <w:rsid w:val="00893AD2"/>
    <w:rsid w:val="00893EE1"/>
    <w:rsid w:val="00894032"/>
    <w:rsid w:val="0089410E"/>
    <w:rsid w:val="008945ED"/>
    <w:rsid w:val="00894875"/>
    <w:rsid w:val="00894BF2"/>
    <w:rsid w:val="00894D36"/>
    <w:rsid w:val="0089505C"/>
    <w:rsid w:val="008950D5"/>
    <w:rsid w:val="0089547A"/>
    <w:rsid w:val="00895CCC"/>
    <w:rsid w:val="00895DB0"/>
    <w:rsid w:val="008962DA"/>
    <w:rsid w:val="008964E4"/>
    <w:rsid w:val="0089650C"/>
    <w:rsid w:val="00896698"/>
    <w:rsid w:val="00896758"/>
    <w:rsid w:val="008967C4"/>
    <w:rsid w:val="008967F4"/>
    <w:rsid w:val="0089680E"/>
    <w:rsid w:val="00896919"/>
    <w:rsid w:val="00896A10"/>
    <w:rsid w:val="00896A58"/>
    <w:rsid w:val="00896D6F"/>
    <w:rsid w:val="0089780B"/>
    <w:rsid w:val="00897956"/>
    <w:rsid w:val="00897AD9"/>
    <w:rsid w:val="00897AF4"/>
    <w:rsid w:val="00897B93"/>
    <w:rsid w:val="00897C9F"/>
    <w:rsid w:val="008A0462"/>
    <w:rsid w:val="008A0862"/>
    <w:rsid w:val="008A08B0"/>
    <w:rsid w:val="008A10BC"/>
    <w:rsid w:val="008A13FF"/>
    <w:rsid w:val="008A19DF"/>
    <w:rsid w:val="008A1BEB"/>
    <w:rsid w:val="008A1C5C"/>
    <w:rsid w:val="008A1D92"/>
    <w:rsid w:val="008A2166"/>
    <w:rsid w:val="008A235E"/>
    <w:rsid w:val="008A25B9"/>
    <w:rsid w:val="008A2CAD"/>
    <w:rsid w:val="008A2F94"/>
    <w:rsid w:val="008A317B"/>
    <w:rsid w:val="008A3335"/>
    <w:rsid w:val="008A34E8"/>
    <w:rsid w:val="008A3660"/>
    <w:rsid w:val="008A367C"/>
    <w:rsid w:val="008A3806"/>
    <w:rsid w:val="008A3858"/>
    <w:rsid w:val="008A385F"/>
    <w:rsid w:val="008A3BCA"/>
    <w:rsid w:val="008A3DF6"/>
    <w:rsid w:val="008A3F41"/>
    <w:rsid w:val="008A41FF"/>
    <w:rsid w:val="008A4304"/>
    <w:rsid w:val="008A460E"/>
    <w:rsid w:val="008A480E"/>
    <w:rsid w:val="008A4A3D"/>
    <w:rsid w:val="008A4B62"/>
    <w:rsid w:val="008A4BE1"/>
    <w:rsid w:val="008A4E8F"/>
    <w:rsid w:val="008A521A"/>
    <w:rsid w:val="008A5483"/>
    <w:rsid w:val="008A561E"/>
    <w:rsid w:val="008A56D6"/>
    <w:rsid w:val="008A5789"/>
    <w:rsid w:val="008A57E4"/>
    <w:rsid w:val="008A5825"/>
    <w:rsid w:val="008A5C07"/>
    <w:rsid w:val="008A5D44"/>
    <w:rsid w:val="008A62A2"/>
    <w:rsid w:val="008A638A"/>
    <w:rsid w:val="008A6425"/>
    <w:rsid w:val="008A65B2"/>
    <w:rsid w:val="008A6914"/>
    <w:rsid w:val="008A761B"/>
    <w:rsid w:val="008A7745"/>
    <w:rsid w:val="008A7D05"/>
    <w:rsid w:val="008A7D08"/>
    <w:rsid w:val="008A7FC7"/>
    <w:rsid w:val="008B0098"/>
    <w:rsid w:val="008B035D"/>
    <w:rsid w:val="008B0445"/>
    <w:rsid w:val="008B04DE"/>
    <w:rsid w:val="008B083C"/>
    <w:rsid w:val="008B126E"/>
    <w:rsid w:val="008B13A3"/>
    <w:rsid w:val="008B19D7"/>
    <w:rsid w:val="008B1BFF"/>
    <w:rsid w:val="008B1C00"/>
    <w:rsid w:val="008B1CD7"/>
    <w:rsid w:val="008B1E7B"/>
    <w:rsid w:val="008B2088"/>
    <w:rsid w:val="008B2217"/>
    <w:rsid w:val="008B2236"/>
    <w:rsid w:val="008B244A"/>
    <w:rsid w:val="008B24D9"/>
    <w:rsid w:val="008B2719"/>
    <w:rsid w:val="008B2A83"/>
    <w:rsid w:val="008B37B3"/>
    <w:rsid w:val="008B3811"/>
    <w:rsid w:val="008B38D4"/>
    <w:rsid w:val="008B39BE"/>
    <w:rsid w:val="008B3C02"/>
    <w:rsid w:val="008B3D56"/>
    <w:rsid w:val="008B426E"/>
    <w:rsid w:val="008B451D"/>
    <w:rsid w:val="008B4637"/>
    <w:rsid w:val="008B4798"/>
    <w:rsid w:val="008B4B2E"/>
    <w:rsid w:val="008B4C9D"/>
    <w:rsid w:val="008B4EE5"/>
    <w:rsid w:val="008B5655"/>
    <w:rsid w:val="008B5D2F"/>
    <w:rsid w:val="008B5D92"/>
    <w:rsid w:val="008B5DCE"/>
    <w:rsid w:val="008B5F70"/>
    <w:rsid w:val="008B60DE"/>
    <w:rsid w:val="008B6346"/>
    <w:rsid w:val="008B63B8"/>
    <w:rsid w:val="008B6594"/>
    <w:rsid w:val="008B6AF8"/>
    <w:rsid w:val="008B6B3F"/>
    <w:rsid w:val="008B6D54"/>
    <w:rsid w:val="008B6E64"/>
    <w:rsid w:val="008B6F98"/>
    <w:rsid w:val="008B7160"/>
    <w:rsid w:val="008B72D1"/>
    <w:rsid w:val="008B739C"/>
    <w:rsid w:val="008B7476"/>
    <w:rsid w:val="008B766C"/>
    <w:rsid w:val="008B7711"/>
    <w:rsid w:val="008B7973"/>
    <w:rsid w:val="008B7978"/>
    <w:rsid w:val="008B7A70"/>
    <w:rsid w:val="008B7AC0"/>
    <w:rsid w:val="008B7BBE"/>
    <w:rsid w:val="008B7C73"/>
    <w:rsid w:val="008B7D2E"/>
    <w:rsid w:val="008B7D8F"/>
    <w:rsid w:val="008C0274"/>
    <w:rsid w:val="008C031C"/>
    <w:rsid w:val="008C0677"/>
    <w:rsid w:val="008C0960"/>
    <w:rsid w:val="008C0984"/>
    <w:rsid w:val="008C0CA7"/>
    <w:rsid w:val="008C0CD5"/>
    <w:rsid w:val="008C0EB1"/>
    <w:rsid w:val="008C0EB9"/>
    <w:rsid w:val="008C1428"/>
    <w:rsid w:val="008C1844"/>
    <w:rsid w:val="008C1D67"/>
    <w:rsid w:val="008C1EA4"/>
    <w:rsid w:val="008C1ED0"/>
    <w:rsid w:val="008C238F"/>
    <w:rsid w:val="008C2497"/>
    <w:rsid w:val="008C264C"/>
    <w:rsid w:val="008C2654"/>
    <w:rsid w:val="008C283E"/>
    <w:rsid w:val="008C28E2"/>
    <w:rsid w:val="008C2B08"/>
    <w:rsid w:val="008C3205"/>
    <w:rsid w:val="008C364D"/>
    <w:rsid w:val="008C3B5F"/>
    <w:rsid w:val="008C3C44"/>
    <w:rsid w:val="008C3EA3"/>
    <w:rsid w:val="008C3F2D"/>
    <w:rsid w:val="008C3F33"/>
    <w:rsid w:val="008C4020"/>
    <w:rsid w:val="008C4333"/>
    <w:rsid w:val="008C4379"/>
    <w:rsid w:val="008C43D9"/>
    <w:rsid w:val="008C478A"/>
    <w:rsid w:val="008C49CC"/>
    <w:rsid w:val="008C4A76"/>
    <w:rsid w:val="008C4B1E"/>
    <w:rsid w:val="008C4D96"/>
    <w:rsid w:val="008C51D5"/>
    <w:rsid w:val="008C5420"/>
    <w:rsid w:val="008C5643"/>
    <w:rsid w:val="008C56DB"/>
    <w:rsid w:val="008C59E0"/>
    <w:rsid w:val="008C5B3C"/>
    <w:rsid w:val="008C5D08"/>
    <w:rsid w:val="008C5FD3"/>
    <w:rsid w:val="008C608F"/>
    <w:rsid w:val="008C60CB"/>
    <w:rsid w:val="008C619E"/>
    <w:rsid w:val="008C674A"/>
    <w:rsid w:val="008C6BDA"/>
    <w:rsid w:val="008C6C1D"/>
    <w:rsid w:val="008C6CEA"/>
    <w:rsid w:val="008C7131"/>
    <w:rsid w:val="008C720E"/>
    <w:rsid w:val="008C73E4"/>
    <w:rsid w:val="008C7468"/>
    <w:rsid w:val="008C75AE"/>
    <w:rsid w:val="008C75BF"/>
    <w:rsid w:val="008C786C"/>
    <w:rsid w:val="008C7A00"/>
    <w:rsid w:val="008C7E2C"/>
    <w:rsid w:val="008D01E3"/>
    <w:rsid w:val="008D0280"/>
    <w:rsid w:val="008D03F0"/>
    <w:rsid w:val="008D046E"/>
    <w:rsid w:val="008D098E"/>
    <w:rsid w:val="008D0A28"/>
    <w:rsid w:val="008D0B05"/>
    <w:rsid w:val="008D0CC3"/>
    <w:rsid w:val="008D0D48"/>
    <w:rsid w:val="008D1095"/>
    <w:rsid w:val="008D10F4"/>
    <w:rsid w:val="008D13FE"/>
    <w:rsid w:val="008D1437"/>
    <w:rsid w:val="008D15BA"/>
    <w:rsid w:val="008D1850"/>
    <w:rsid w:val="008D1875"/>
    <w:rsid w:val="008D1A1F"/>
    <w:rsid w:val="008D1B19"/>
    <w:rsid w:val="008D1CE1"/>
    <w:rsid w:val="008D1E12"/>
    <w:rsid w:val="008D1FF4"/>
    <w:rsid w:val="008D2290"/>
    <w:rsid w:val="008D2314"/>
    <w:rsid w:val="008D2803"/>
    <w:rsid w:val="008D284E"/>
    <w:rsid w:val="008D2A29"/>
    <w:rsid w:val="008D2FB3"/>
    <w:rsid w:val="008D3233"/>
    <w:rsid w:val="008D34A0"/>
    <w:rsid w:val="008D34B1"/>
    <w:rsid w:val="008D3714"/>
    <w:rsid w:val="008D3A04"/>
    <w:rsid w:val="008D3B1A"/>
    <w:rsid w:val="008D4103"/>
    <w:rsid w:val="008D4110"/>
    <w:rsid w:val="008D45D1"/>
    <w:rsid w:val="008D45F0"/>
    <w:rsid w:val="008D4AB5"/>
    <w:rsid w:val="008D5199"/>
    <w:rsid w:val="008D5268"/>
    <w:rsid w:val="008D5576"/>
    <w:rsid w:val="008D57C1"/>
    <w:rsid w:val="008D5A08"/>
    <w:rsid w:val="008D5AF4"/>
    <w:rsid w:val="008D5C3F"/>
    <w:rsid w:val="008D5DF7"/>
    <w:rsid w:val="008D67E5"/>
    <w:rsid w:val="008D6928"/>
    <w:rsid w:val="008D6987"/>
    <w:rsid w:val="008D69F6"/>
    <w:rsid w:val="008D7210"/>
    <w:rsid w:val="008D72DC"/>
    <w:rsid w:val="008D74B1"/>
    <w:rsid w:val="008D791F"/>
    <w:rsid w:val="008E0124"/>
    <w:rsid w:val="008E0409"/>
    <w:rsid w:val="008E0646"/>
    <w:rsid w:val="008E09E2"/>
    <w:rsid w:val="008E0B14"/>
    <w:rsid w:val="008E0BD3"/>
    <w:rsid w:val="008E0DF1"/>
    <w:rsid w:val="008E0E07"/>
    <w:rsid w:val="008E0E84"/>
    <w:rsid w:val="008E0E9D"/>
    <w:rsid w:val="008E0EDD"/>
    <w:rsid w:val="008E0F8B"/>
    <w:rsid w:val="008E1168"/>
    <w:rsid w:val="008E1679"/>
    <w:rsid w:val="008E19AF"/>
    <w:rsid w:val="008E1B60"/>
    <w:rsid w:val="008E1C98"/>
    <w:rsid w:val="008E1CAF"/>
    <w:rsid w:val="008E1DB8"/>
    <w:rsid w:val="008E30AF"/>
    <w:rsid w:val="008E31FD"/>
    <w:rsid w:val="008E3536"/>
    <w:rsid w:val="008E3B03"/>
    <w:rsid w:val="008E3FC6"/>
    <w:rsid w:val="008E4148"/>
    <w:rsid w:val="008E4557"/>
    <w:rsid w:val="008E4856"/>
    <w:rsid w:val="008E4925"/>
    <w:rsid w:val="008E4DEB"/>
    <w:rsid w:val="008E500C"/>
    <w:rsid w:val="008E50C9"/>
    <w:rsid w:val="008E5267"/>
    <w:rsid w:val="008E55BB"/>
    <w:rsid w:val="008E587E"/>
    <w:rsid w:val="008E5DDA"/>
    <w:rsid w:val="008E621B"/>
    <w:rsid w:val="008E6306"/>
    <w:rsid w:val="008E6332"/>
    <w:rsid w:val="008E6D14"/>
    <w:rsid w:val="008E6EFF"/>
    <w:rsid w:val="008E7324"/>
    <w:rsid w:val="008E74A9"/>
    <w:rsid w:val="008E77BA"/>
    <w:rsid w:val="008E77F4"/>
    <w:rsid w:val="008E7866"/>
    <w:rsid w:val="008F0268"/>
    <w:rsid w:val="008F0352"/>
    <w:rsid w:val="008F04FA"/>
    <w:rsid w:val="008F08A5"/>
    <w:rsid w:val="008F09F6"/>
    <w:rsid w:val="008F0B53"/>
    <w:rsid w:val="008F0E59"/>
    <w:rsid w:val="008F1060"/>
    <w:rsid w:val="008F146D"/>
    <w:rsid w:val="008F14B3"/>
    <w:rsid w:val="008F167F"/>
    <w:rsid w:val="008F197A"/>
    <w:rsid w:val="008F1AD4"/>
    <w:rsid w:val="008F1B26"/>
    <w:rsid w:val="008F1B9A"/>
    <w:rsid w:val="008F1CA9"/>
    <w:rsid w:val="008F1FEA"/>
    <w:rsid w:val="008F2044"/>
    <w:rsid w:val="008F2111"/>
    <w:rsid w:val="008F21A2"/>
    <w:rsid w:val="008F24FE"/>
    <w:rsid w:val="008F293C"/>
    <w:rsid w:val="008F2ABD"/>
    <w:rsid w:val="008F2BFB"/>
    <w:rsid w:val="008F2EF7"/>
    <w:rsid w:val="008F310C"/>
    <w:rsid w:val="008F3117"/>
    <w:rsid w:val="008F360B"/>
    <w:rsid w:val="008F39C3"/>
    <w:rsid w:val="008F3C43"/>
    <w:rsid w:val="008F3DB3"/>
    <w:rsid w:val="008F3EA9"/>
    <w:rsid w:val="008F40F1"/>
    <w:rsid w:val="008F410D"/>
    <w:rsid w:val="008F45D0"/>
    <w:rsid w:val="008F46CE"/>
    <w:rsid w:val="008F474B"/>
    <w:rsid w:val="008F475E"/>
    <w:rsid w:val="008F47DB"/>
    <w:rsid w:val="008F4856"/>
    <w:rsid w:val="008F4B3B"/>
    <w:rsid w:val="008F4E10"/>
    <w:rsid w:val="008F51A6"/>
    <w:rsid w:val="008F5308"/>
    <w:rsid w:val="008F54C6"/>
    <w:rsid w:val="008F551E"/>
    <w:rsid w:val="008F571C"/>
    <w:rsid w:val="008F57E7"/>
    <w:rsid w:val="008F58CF"/>
    <w:rsid w:val="008F59EE"/>
    <w:rsid w:val="008F5B6A"/>
    <w:rsid w:val="008F5E6D"/>
    <w:rsid w:val="008F63A5"/>
    <w:rsid w:val="008F64CE"/>
    <w:rsid w:val="008F65C6"/>
    <w:rsid w:val="008F6711"/>
    <w:rsid w:val="008F7028"/>
    <w:rsid w:val="008F70B8"/>
    <w:rsid w:val="008F71A0"/>
    <w:rsid w:val="008F72C9"/>
    <w:rsid w:val="008F740B"/>
    <w:rsid w:val="008F7732"/>
    <w:rsid w:val="008F7BC2"/>
    <w:rsid w:val="008F7E01"/>
    <w:rsid w:val="008FBE03"/>
    <w:rsid w:val="00900077"/>
    <w:rsid w:val="009000B8"/>
    <w:rsid w:val="009000F3"/>
    <w:rsid w:val="00900202"/>
    <w:rsid w:val="00900408"/>
    <w:rsid w:val="00900840"/>
    <w:rsid w:val="00900CAF"/>
    <w:rsid w:val="00900EC4"/>
    <w:rsid w:val="00901214"/>
    <w:rsid w:val="0090157B"/>
    <w:rsid w:val="009016FD"/>
    <w:rsid w:val="00901C83"/>
    <w:rsid w:val="00901D02"/>
    <w:rsid w:val="00901D9D"/>
    <w:rsid w:val="00901DC8"/>
    <w:rsid w:val="00902086"/>
    <w:rsid w:val="0090252E"/>
    <w:rsid w:val="009027C6"/>
    <w:rsid w:val="00902C2A"/>
    <w:rsid w:val="00902E04"/>
    <w:rsid w:val="00902F4A"/>
    <w:rsid w:val="009033C9"/>
    <w:rsid w:val="0090340A"/>
    <w:rsid w:val="00903543"/>
    <w:rsid w:val="00903583"/>
    <w:rsid w:val="00903ADB"/>
    <w:rsid w:val="00903F4C"/>
    <w:rsid w:val="00903F8F"/>
    <w:rsid w:val="00904621"/>
    <w:rsid w:val="00904C1F"/>
    <w:rsid w:val="00904EBF"/>
    <w:rsid w:val="00904EE7"/>
    <w:rsid w:val="00904EED"/>
    <w:rsid w:val="00904F6E"/>
    <w:rsid w:val="009051A8"/>
    <w:rsid w:val="00905505"/>
    <w:rsid w:val="00905CEE"/>
    <w:rsid w:val="00905FE6"/>
    <w:rsid w:val="00906042"/>
    <w:rsid w:val="0090606C"/>
    <w:rsid w:val="009060E5"/>
    <w:rsid w:val="00906344"/>
    <w:rsid w:val="00906569"/>
    <w:rsid w:val="00906990"/>
    <w:rsid w:val="00906B55"/>
    <w:rsid w:val="00906B9D"/>
    <w:rsid w:val="00906D27"/>
    <w:rsid w:val="00906F0D"/>
    <w:rsid w:val="009070F5"/>
    <w:rsid w:val="009072D6"/>
    <w:rsid w:val="0090742C"/>
    <w:rsid w:val="00907459"/>
    <w:rsid w:val="009077C1"/>
    <w:rsid w:val="00907A6D"/>
    <w:rsid w:val="00907D17"/>
    <w:rsid w:val="00910606"/>
    <w:rsid w:val="009106A5"/>
    <w:rsid w:val="0091086C"/>
    <w:rsid w:val="0091117C"/>
    <w:rsid w:val="009116F6"/>
    <w:rsid w:val="009117BF"/>
    <w:rsid w:val="0091194B"/>
    <w:rsid w:val="00911B6A"/>
    <w:rsid w:val="009120A3"/>
    <w:rsid w:val="009121E2"/>
    <w:rsid w:val="009124B9"/>
    <w:rsid w:val="009125FE"/>
    <w:rsid w:val="0091277B"/>
    <w:rsid w:val="00912857"/>
    <w:rsid w:val="00912A60"/>
    <w:rsid w:val="00912FD6"/>
    <w:rsid w:val="009133B2"/>
    <w:rsid w:val="00913565"/>
    <w:rsid w:val="00913626"/>
    <w:rsid w:val="009136EF"/>
    <w:rsid w:val="00913933"/>
    <w:rsid w:val="00913CA9"/>
    <w:rsid w:val="0091410A"/>
    <w:rsid w:val="009144C1"/>
    <w:rsid w:val="00914800"/>
    <w:rsid w:val="00914901"/>
    <w:rsid w:val="009149CA"/>
    <w:rsid w:val="00914DA9"/>
    <w:rsid w:val="00914F25"/>
    <w:rsid w:val="009150CA"/>
    <w:rsid w:val="0091538D"/>
    <w:rsid w:val="0091557B"/>
    <w:rsid w:val="0091557F"/>
    <w:rsid w:val="009156DB"/>
    <w:rsid w:val="009157D4"/>
    <w:rsid w:val="0091599F"/>
    <w:rsid w:val="00915DC4"/>
    <w:rsid w:val="00915DC5"/>
    <w:rsid w:val="009161A2"/>
    <w:rsid w:val="009164A6"/>
    <w:rsid w:val="009167B1"/>
    <w:rsid w:val="009167DC"/>
    <w:rsid w:val="00916898"/>
    <w:rsid w:val="00916A0D"/>
    <w:rsid w:val="00916A40"/>
    <w:rsid w:val="00916BE5"/>
    <w:rsid w:val="00916D2B"/>
    <w:rsid w:val="00917008"/>
    <w:rsid w:val="009176C3"/>
    <w:rsid w:val="00917A0F"/>
    <w:rsid w:val="00917B18"/>
    <w:rsid w:val="00917DD8"/>
    <w:rsid w:val="00917DF6"/>
    <w:rsid w:val="00917E35"/>
    <w:rsid w:val="00917E58"/>
    <w:rsid w:val="00917EF4"/>
    <w:rsid w:val="00917F03"/>
    <w:rsid w:val="0092081F"/>
    <w:rsid w:val="00920C31"/>
    <w:rsid w:val="00920CA4"/>
    <w:rsid w:val="00920DDD"/>
    <w:rsid w:val="00920E48"/>
    <w:rsid w:val="00920F51"/>
    <w:rsid w:val="00920F9E"/>
    <w:rsid w:val="009212B2"/>
    <w:rsid w:val="00921494"/>
    <w:rsid w:val="00921A82"/>
    <w:rsid w:val="00921AB7"/>
    <w:rsid w:val="00921B30"/>
    <w:rsid w:val="00921CF9"/>
    <w:rsid w:val="009223A0"/>
    <w:rsid w:val="00922BBA"/>
    <w:rsid w:val="009236FE"/>
    <w:rsid w:val="009237DC"/>
    <w:rsid w:val="00923BCE"/>
    <w:rsid w:val="009244D0"/>
    <w:rsid w:val="0092454D"/>
    <w:rsid w:val="009245EB"/>
    <w:rsid w:val="00924798"/>
    <w:rsid w:val="00924807"/>
    <w:rsid w:val="00924832"/>
    <w:rsid w:val="00924D6E"/>
    <w:rsid w:val="00925018"/>
    <w:rsid w:val="00925022"/>
    <w:rsid w:val="00925307"/>
    <w:rsid w:val="0092568A"/>
    <w:rsid w:val="00925DE9"/>
    <w:rsid w:val="00926464"/>
    <w:rsid w:val="00926527"/>
    <w:rsid w:val="009266CE"/>
    <w:rsid w:val="00926870"/>
    <w:rsid w:val="00926B81"/>
    <w:rsid w:val="00926C69"/>
    <w:rsid w:val="00926C86"/>
    <w:rsid w:val="00926DC8"/>
    <w:rsid w:val="00926F76"/>
    <w:rsid w:val="009271B4"/>
    <w:rsid w:val="0092725C"/>
    <w:rsid w:val="009272D4"/>
    <w:rsid w:val="009276EC"/>
    <w:rsid w:val="00927722"/>
    <w:rsid w:val="00927AD7"/>
    <w:rsid w:val="00927AF3"/>
    <w:rsid w:val="00927DBB"/>
    <w:rsid w:val="00930696"/>
    <w:rsid w:val="009306D6"/>
    <w:rsid w:val="0093077E"/>
    <w:rsid w:val="009308C9"/>
    <w:rsid w:val="0093095F"/>
    <w:rsid w:val="009309A9"/>
    <w:rsid w:val="00930A14"/>
    <w:rsid w:val="00931247"/>
    <w:rsid w:val="00931545"/>
    <w:rsid w:val="009316FB"/>
    <w:rsid w:val="0093177E"/>
    <w:rsid w:val="009317DD"/>
    <w:rsid w:val="00931848"/>
    <w:rsid w:val="00931900"/>
    <w:rsid w:val="00931EF5"/>
    <w:rsid w:val="00931FE9"/>
    <w:rsid w:val="00932159"/>
    <w:rsid w:val="00932611"/>
    <w:rsid w:val="00932856"/>
    <w:rsid w:val="00932A93"/>
    <w:rsid w:val="00932D34"/>
    <w:rsid w:val="0093311F"/>
    <w:rsid w:val="00933320"/>
    <w:rsid w:val="00933ACB"/>
    <w:rsid w:val="00933BA5"/>
    <w:rsid w:val="00933BBE"/>
    <w:rsid w:val="0093418F"/>
    <w:rsid w:val="009341DD"/>
    <w:rsid w:val="0093427E"/>
    <w:rsid w:val="009343B5"/>
    <w:rsid w:val="009345A9"/>
    <w:rsid w:val="0093499F"/>
    <w:rsid w:val="00934C14"/>
    <w:rsid w:val="00934D6C"/>
    <w:rsid w:val="009351A1"/>
    <w:rsid w:val="0093531F"/>
    <w:rsid w:val="009353D5"/>
    <w:rsid w:val="009353DC"/>
    <w:rsid w:val="009354D0"/>
    <w:rsid w:val="00935646"/>
    <w:rsid w:val="00935A88"/>
    <w:rsid w:val="00935C7F"/>
    <w:rsid w:val="00935FE4"/>
    <w:rsid w:val="009361D0"/>
    <w:rsid w:val="00936273"/>
    <w:rsid w:val="009363DB"/>
    <w:rsid w:val="0093657A"/>
    <w:rsid w:val="009367F0"/>
    <w:rsid w:val="00936857"/>
    <w:rsid w:val="009368C9"/>
    <w:rsid w:val="009368D0"/>
    <w:rsid w:val="009368E9"/>
    <w:rsid w:val="0093699E"/>
    <w:rsid w:val="00936E7F"/>
    <w:rsid w:val="00936F4E"/>
    <w:rsid w:val="00937076"/>
    <w:rsid w:val="00937116"/>
    <w:rsid w:val="00937325"/>
    <w:rsid w:val="0093774E"/>
    <w:rsid w:val="00937A4B"/>
    <w:rsid w:val="00937BB5"/>
    <w:rsid w:val="00937E43"/>
    <w:rsid w:val="00937F8D"/>
    <w:rsid w:val="0093CD74"/>
    <w:rsid w:val="0094003B"/>
    <w:rsid w:val="0094012C"/>
    <w:rsid w:val="009403FA"/>
    <w:rsid w:val="009404C2"/>
    <w:rsid w:val="00940FAE"/>
    <w:rsid w:val="0094106B"/>
    <w:rsid w:val="00941530"/>
    <w:rsid w:val="0094178B"/>
    <w:rsid w:val="009418B7"/>
    <w:rsid w:val="00941A08"/>
    <w:rsid w:val="00941B67"/>
    <w:rsid w:val="00941E2C"/>
    <w:rsid w:val="009421A5"/>
    <w:rsid w:val="00942249"/>
    <w:rsid w:val="0094229E"/>
    <w:rsid w:val="009426D1"/>
    <w:rsid w:val="00942FD4"/>
    <w:rsid w:val="0094310B"/>
    <w:rsid w:val="0094311D"/>
    <w:rsid w:val="009436EB"/>
    <w:rsid w:val="00943921"/>
    <w:rsid w:val="009439F1"/>
    <w:rsid w:val="00943AFB"/>
    <w:rsid w:val="00943DA2"/>
    <w:rsid w:val="00943DB7"/>
    <w:rsid w:val="00944005"/>
    <w:rsid w:val="009440E9"/>
    <w:rsid w:val="00944189"/>
    <w:rsid w:val="009442D1"/>
    <w:rsid w:val="00944586"/>
    <w:rsid w:val="009447A3"/>
    <w:rsid w:val="00944B73"/>
    <w:rsid w:val="00944C1F"/>
    <w:rsid w:val="00944E66"/>
    <w:rsid w:val="00944EFA"/>
    <w:rsid w:val="0094509A"/>
    <w:rsid w:val="0094509B"/>
    <w:rsid w:val="00945F58"/>
    <w:rsid w:val="00946264"/>
    <w:rsid w:val="009468BC"/>
    <w:rsid w:val="009468EC"/>
    <w:rsid w:val="00946944"/>
    <w:rsid w:val="00946ABF"/>
    <w:rsid w:val="00946F43"/>
    <w:rsid w:val="009476BC"/>
    <w:rsid w:val="009476F5"/>
    <w:rsid w:val="00947756"/>
    <w:rsid w:val="009478A8"/>
    <w:rsid w:val="00947AC4"/>
    <w:rsid w:val="009504AF"/>
    <w:rsid w:val="00950D62"/>
    <w:rsid w:val="009510D3"/>
    <w:rsid w:val="0095130E"/>
    <w:rsid w:val="009513AD"/>
    <w:rsid w:val="0095199E"/>
    <w:rsid w:val="00951AA6"/>
    <w:rsid w:val="00951BC9"/>
    <w:rsid w:val="00951D0E"/>
    <w:rsid w:val="0095235A"/>
    <w:rsid w:val="00952AA5"/>
    <w:rsid w:val="00952CEF"/>
    <w:rsid w:val="00952DBA"/>
    <w:rsid w:val="00953075"/>
    <w:rsid w:val="009530B0"/>
    <w:rsid w:val="009532D4"/>
    <w:rsid w:val="0095336D"/>
    <w:rsid w:val="009534CE"/>
    <w:rsid w:val="0095368A"/>
    <w:rsid w:val="00953E25"/>
    <w:rsid w:val="00953F6C"/>
    <w:rsid w:val="009546DE"/>
    <w:rsid w:val="00955D7C"/>
    <w:rsid w:val="00955F37"/>
    <w:rsid w:val="009561A0"/>
    <w:rsid w:val="0095669A"/>
    <w:rsid w:val="009566E5"/>
    <w:rsid w:val="00956967"/>
    <w:rsid w:val="00956BB0"/>
    <w:rsid w:val="00956E47"/>
    <w:rsid w:val="00956EE9"/>
    <w:rsid w:val="00956F7A"/>
    <w:rsid w:val="00957123"/>
    <w:rsid w:val="009571AD"/>
    <w:rsid w:val="00957983"/>
    <w:rsid w:val="00957D6A"/>
    <w:rsid w:val="00957D98"/>
    <w:rsid w:val="00960285"/>
    <w:rsid w:val="009606AD"/>
    <w:rsid w:val="00960B44"/>
    <w:rsid w:val="0096120F"/>
    <w:rsid w:val="009613E6"/>
    <w:rsid w:val="009614D4"/>
    <w:rsid w:val="00961614"/>
    <w:rsid w:val="0096165A"/>
    <w:rsid w:val="009616BB"/>
    <w:rsid w:val="009617BF"/>
    <w:rsid w:val="00961A3E"/>
    <w:rsid w:val="00961B7B"/>
    <w:rsid w:val="00961B9D"/>
    <w:rsid w:val="00961C07"/>
    <w:rsid w:val="00961F41"/>
    <w:rsid w:val="00961F7A"/>
    <w:rsid w:val="00962326"/>
    <w:rsid w:val="0096239D"/>
    <w:rsid w:val="00962448"/>
    <w:rsid w:val="009624BE"/>
    <w:rsid w:val="0096272E"/>
    <w:rsid w:val="00962891"/>
    <w:rsid w:val="009628BA"/>
    <w:rsid w:val="009629B1"/>
    <w:rsid w:val="00962CB6"/>
    <w:rsid w:val="00962FDD"/>
    <w:rsid w:val="0096304C"/>
    <w:rsid w:val="00963478"/>
    <w:rsid w:val="0096370B"/>
    <w:rsid w:val="00963A8B"/>
    <w:rsid w:val="00963AEB"/>
    <w:rsid w:val="00963F0A"/>
    <w:rsid w:val="00964267"/>
    <w:rsid w:val="00964345"/>
    <w:rsid w:val="009644B9"/>
    <w:rsid w:val="009647B6"/>
    <w:rsid w:val="00964A8D"/>
    <w:rsid w:val="00964C36"/>
    <w:rsid w:val="00965002"/>
    <w:rsid w:val="00965C31"/>
    <w:rsid w:val="00965DC1"/>
    <w:rsid w:val="00966388"/>
    <w:rsid w:val="009668C7"/>
    <w:rsid w:val="00966949"/>
    <w:rsid w:val="00966BB4"/>
    <w:rsid w:val="00966D28"/>
    <w:rsid w:val="00966D2C"/>
    <w:rsid w:val="00966DEC"/>
    <w:rsid w:val="00966E5D"/>
    <w:rsid w:val="00966FF4"/>
    <w:rsid w:val="0096706B"/>
    <w:rsid w:val="009670B5"/>
    <w:rsid w:val="00967557"/>
    <w:rsid w:val="00967564"/>
    <w:rsid w:val="00967598"/>
    <w:rsid w:val="009675D3"/>
    <w:rsid w:val="00967A37"/>
    <w:rsid w:val="00967D1E"/>
    <w:rsid w:val="0097016A"/>
    <w:rsid w:val="0097026C"/>
    <w:rsid w:val="009703EC"/>
    <w:rsid w:val="0097052C"/>
    <w:rsid w:val="0097057A"/>
    <w:rsid w:val="00970818"/>
    <w:rsid w:val="00970BB4"/>
    <w:rsid w:val="00970BD7"/>
    <w:rsid w:val="00970E88"/>
    <w:rsid w:val="009711F3"/>
    <w:rsid w:val="009718B6"/>
    <w:rsid w:val="00971FA9"/>
    <w:rsid w:val="00971FC5"/>
    <w:rsid w:val="009720E1"/>
    <w:rsid w:val="0097227E"/>
    <w:rsid w:val="009722B2"/>
    <w:rsid w:val="00972318"/>
    <w:rsid w:val="009725BA"/>
    <w:rsid w:val="00972CFA"/>
    <w:rsid w:val="00972D1D"/>
    <w:rsid w:val="00973332"/>
    <w:rsid w:val="00973861"/>
    <w:rsid w:val="00973983"/>
    <w:rsid w:val="00973D92"/>
    <w:rsid w:val="00973E34"/>
    <w:rsid w:val="00973E64"/>
    <w:rsid w:val="00973EBD"/>
    <w:rsid w:val="009740DA"/>
    <w:rsid w:val="00974211"/>
    <w:rsid w:val="009746FE"/>
    <w:rsid w:val="00974D39"/>
    <w:rsid w:val="00975084"/>
    <w:rsid w:val="00975271"/>
    <w:rsid w:val="009754C1"/>
    <w:rsid w:val="00975798"/>
    <w:rsid w:val="009757CB"/>
    <w:rsid w:val="00975BD7"/>
    <w:rsid w:val="00975FB1"/>
    <w:rsid w:val="00975FF6"/>
    <w:rsid w:val="00976399"/>
    <w:rsid w:val="00976523"/>
    <w:rsid w:val="0097690C"/>
    <w:rsid w:val="0097709E"/>
    <w:rsid w:val="0097720A"/>
    <w:rsid w:val="009772E6"/>
    <w:rsid w:val="009773F3"/>
    <w:rsid w:val="00977515"/>
    <w:rsid w:val="009776CA"/>
    <w:rsid w:val="0097788B"/>
    <w:rsid w:val="009778B3"/>
    <w:rsid w:val="009779DD"/>
    <w:rsid w:val="009779E0"/>
    <w:rsid w:val="00977CF7"/>
    <w:rsid w:val="00977E1B"/>
    <w:rsid w:val="00977E99"/>
    <w:rsid w:val="00980622"/>
    <w:rsid w:val="009809ED"/>
    <w:rsid w:val="00980BB4"/>
    <w:rsid w:val="00981003"/>
    <w:rsid w:val="00981019"/>
    <w:rsid w:val="00981972"/>
    <w:rsid w:val="00981B46"/>
    <w:rsid w:val="00981D66"/>
    <w:rsid w:val="00981DC3"/>
    <w:rsid w:val="00981FDA"/>
    <w:rsid w:val="0098246F"/>
    <w:rsid w:val="009829BA"/>
    <w:rsid w:val="009829EF"/>
    <w:rsid w:val="009829F6"/>
    <w:rsid w:val="00982CE9"/>
    <w:rsid w:val="0098336B"/>
    <w:rsid w:val="00983689"/>
    <w:rsid w:val="00983BCA"/>
    <w:rsid w:val="009845DE"/>
    <w:rsid w:val="009846B8"/>
    <w:rsid w:val="00984CC0"/>
    <w:rsid w:val="00984E50"/>
    <w:rsid w:val="0098505D"/>
    <w:rsid w:val="009852F0"/>
    <w:rsid w:val="0098566B"/>
    <w:rsid w:val="00985AEB"/>
    <w:rsid w:val="00985C4E"/>
    <w:rsid w:val="00985E20"/>
    <w:rsid w:val="00985F39"/>
    <w:rsid w:val="00986681"/>
    <w:rsid w:val="009868BB"/>
    <w:rsid w:val="009869E6"/>
    <w:rsid w:val="00986A21"/>
    <w:rsid w:val="00986AB3"/>
    <w:rsid w:val="00986B1E"/>
    <w:rsid w:val="0098707D"/>
    <w:rsid w:val="009870F2"/>
    <w:rsid w:val="0098744B"/>
    <w:rsid w:val="0098775D"/>
    <w:rsid w:val="0098776B"/>
    <w:rsid w:val="009879C4"/>
    <w:rsid w:val="00987AC4"/>
    <w:rsid w:val="00987DD2"/>
    <w:rsid w:val="0099007F"/>
    <w:rsid w:val="009902D8"/>
    <w:rsid w:val="009903F4"/>
    <w:rsid w:val="00990556"/>
    <w:rsid w:val="009909BF"/>
    <w:rsid w:val="00990ABD"/>
    <w:rsid w:val="00990B20"/>
    <w:rsid w:val="00990E51"/>
    <w:rsid w:val="00990FD9"/>
    <w:rsid w:val="00991062"/>
    <w:rsid w:val="009910D3"/>
    <w:rsid w:val="00991233"/>
    <w:rsid w:val="0099178C"/>
    <w:rsid w:val="00991F1A"/>
    <w:rsid w:val="009922B2"/>
    <w:rsid w:val="0099233D"/>
    <w:rsid w:val="0099266F"/>
    <w:rsid w:val="009927ED"/>
    <w:rsid w:val="00992BC7"/>
    <w:rsid w:val="00992C71"/>
    <w:rsid w:val="009931B0"/>
    <w:rsid w:val="0099329A"/>
    <w:rsid w:val="009932E7"/>
    <w:rsid w:val="009933B5"/>
    <w:rsid w:val="009933BC"/>
    <w:rsid w:val="0099350E"/>
    <w:rsid w:val="009937FD"/>
    <w:rsid w:val="00993F16"/>
    <w:rsid w:val="009941FF"/>
    <w:rsid w:val="009944C1"/>
    <w:rsid w:val="009944EA"/>
    <w:rsid w:val="00994578"/>
    <w:rsid w:val="009949F9"/>
    <w:rsid w:val="009951D7"/>
    <w:rsid w:val="00995512"/>
    <w:rsid w:val="00995965"/>
    <w:rsid w:val="00995AD1"/>
    <w:rsid w:val="00995AFC"/>
    <w:rsid w:val="00995C42"/>
    <w:rsid w:val="00995E2B"/>
    <w:rsid w:val="00996554"/>
    <w:rsid w:val="0099745D"/>
    <w:rsid w:val="0099769C"/>
    <w:rsid w:val="00997AEF"/>
    <w:rsid w:val="009A043A"/>
    <w:rsid w:val="009A043C"/>
    <w:rsid w:val="009A0792"/>
    <w:rsid w:val="009A0CC6"/>
    <w:rsid w:val="009A0E58"/>
    <w:rsid w:val="009A17A0"/>
    <w:rsid w:val="009A1A1D"/>
    <w:rsid w:val="009A1D29"/>
    <w:rsid w:val="009A1F7E"/>
    <w:rsid w:val="009A23DB"/>
    <w:rsid w:val="009A2879"/>
    <w:rsid w:val="009A2E15"/>
    <w:rsid w:val="009A2FB9"/>
    <w:rsid w:val="009A310E"/>
    <w:rsid w:val="009A34E8"/>
    <w:rsid w:val="009A3AAF"/>
    <w:rsid w:val="009A3EB1"/>
    <w:rsid w:val="009A4488"/>
    <w:rsid w:val="009A48E8"/>
    <w:rsid w:val="009A492C"/>
    <w:rsid w:val="009A4D61"/>
    <w:rsid w:val="009A501C"/>
    <w:rsid w:val="009A56EA"/>
    <w:rsid w:val="009A5C75"/>
    <w:rsid w:val="009A5CBD"/>
    <w:rsid w:val="009A5DC4"/>
    <w:rsid w:val="009A5FCC"/>
    <w:rsid w:val="009A60EC"/>
    <w:rsid w:val="009A610C"/>
    <w:rsid w:val="009A6849"/>
    <w:rsid w:val="009A6A32"/>
    <w:rsid w:val="009A6AF1"/>
    <w:rsid w:val="009A6F1F"/>
    <w:rsid w:val="009A7048"/>
    <w:rsid w:val="009A7188"/>
    <w:rsid w:val="009A7247"/>
    <w:rsid w:val="009A756C"/>
    <w:rsid w:val="009A783D"/>
    <w:rsid w:val="009A7D71"/>
    <w:rsid w:val="009A7F44"/>
    <w:rsid w:val="009B04E9"/>
    <w:rsid w:val="009B0556"/>
    <w:rsid w:val="009B091B"/>
    <w:rsid w:val="009B0C18"/>
    <w:rsid w:val="009B0DD8"/>
    <w:rsid w:val="009B0E8F"/>
    <w:rsid w:val="009B0ECA"/>
    <w:rsid w:val="009B1359"/>
    <w:rsid w:val="009B16F3"/>
    <w:rsid w:val="009B17F8"/>
    <w:rsid w:val="009B18B6"/>
    <w:rsid w:val="009B1A0D"/>
    <w:rsid w:val="009B1CFA"/>
    <w:rsid w:val="009B1D00"/>
    <w:rsid w:val="009B1D6E"/>
    <w:rsid w:val="009B23CA"/>
    <w:rsid w:val="009B2A44"/>
    <w:rsid w:val="009B2EB2"/>
    <w:rsid w:val="009B340C"/>
    <w:rsid w:val="009B3593"/>
    <w:rsid w:val="009B37AD"/>
    <w:rsid w:val="009B3C7F"/>
    <w:rsid w:val="009B3DDA"/>
    <w:rsid w:val="009B3EF9"/>
    <w:rsid w:val="009B3F99"/>
    <w:rsid w:val="009B4399"/>
    <w:rsid w:val="009B4600"/>
    <w:rsid w:val="009B464A"/>
    <w:rsid w:val="009B48C8"/>
    <w:rsid w:val="009B4990"/>
    <w:rsid w:val="009B4B46"/>
    <w:rsid w:val="009B4C0D"/>
    <w:rsid w:val="009B4F11"/>
    <w:rsid w:val="009B50E5"/>
    <w:rsid w:val="009B515E"/>
    <w:rsid w:val="009B5651"/>
    <w:rsid w:val="009B583E"/>
    <w:rsid w:val="009B5D05"/>
    <w:rsid w:val="009B604B"/>
    <w:rsid w:val="009B60FA"/>
    <w:rsid w:val="009B65A4"/>
    <w:rsid w:val="009B663C"/>
    <w:rsid w:val="009B7257"/>
    <w:rsid w:val="009B74E0"/>
    <w:rsid w:val="009B76CF"/>
    <w:rsid w:val="009B785D"/>
    <w:rsid w:val="009B7AF9"/>
    <w:rsid w:val="009B7F6C"/>
    <w:rsid w:val="009C00AA"/>
    <w:rsid w:val="009C01BC"/>
    <w:rsid w:val="009C01DE"/>
    <w:rsid w:val="009C02C2"/>
    <w:rsid w:val="009C030C"/>
    <w:rsid w:val="009C07A5"/>
    <w:rsid w:val="009C08C3"/>
    <w:rsid w:val="009C090F"/>
    <w:rsid w:val="009C091F"/>
    <w:rsid w:val="009C0AD5"/>
    <w:rsid w:val="009C0CD5"/>
    <w:rsid w:val="009C1396"/>
    <w:rsid w:val="009C1411"/>
    <w:rsid w:val="009C1685"/>
    <w:rsid w:val="009C1A07"/>
    <w:rsid w:val="009C1BA9"/>
    <w:rsid w:val="009C1DD7"/>
    <w:rsid w:val="009C1E40"/>
    <w:rsid w:val="009C25AF"/>
    <w:rsid w:val="009C28B2"/>
    <w:rsid w:val="009C29BF"/>
    <w:rsid w:val="009C2B3E"/>
    <w:rsid w:val="009C2C88"/>
    <w:rsid w:val="009C2D59"/>
    <w:rsid w:val="009C2FA5"/>
    <w:rsid w:val="009C3298"/>
    <w:rsid w:val="009C3528"/>
    <w:rsid w:val="009C36E2"/>
    <w:rsid w:val="009C373C"/>
    <w:rsid w:val="009C397B"/>
    <w:rsid w:val="009C3C50"/>
    <w:rsid w:val="009C3D6B"/>
    <w:rsid w:val="009C3F44"/>
    <w:rsid w:val="009C4175"/>
    <w:rsid w:val="009C4200"/>
    <w:rsid w:val="009C4507"/>
    <w:rsid w:val="009C4844"/>
    <w:rsid w:val="009C4B47"/>
    <w:rsid w:val="009C4E86"/>
    <w:rsid w:val="009C50F8"/>
    <w:rsid w:val="009C513C"/>
    <w:rsid w:val="009C51B5"/>
    <w:rsid w:val="009C5310"/>
    <w:rsid w:val="009C566F"/>
    <w:rsid w:val="009C570B"/>
    <w:rsid w:val="009C5808"/>
    <w:rsid w:val="009C5931"/>
    <w:rsid w:val="009C5C18"/>
    <w:rsid w:val="009C5CAE"/>
    <w:rsid w:val="009C5EAE"/>
    <w:rsid w:val="009C659A"/>
    <w:rsid w:val="009C6654"/>
    <w:rsid w:val="009C6B7A"/>
    <w:rsid w:val="009C6D17"/>
    <w:rsid w:val="009C6E64"/>
    <w:rsid w:val="009C6F53"/>
    <w:rsid w:val="009C7003"/>
    <w:rsid w:val="009C704A"/>
    <w:rsid w:val="009C705D"/>
    <w:rsid w:val="009C7065"/>
    <w:rsid w:val="009C71E9"/>
    <w:rsid w:val="009C71EC"/>
    <w:rsid w:val="009C7440"/>
    <w:rsid w:val="009C745B"/>
    <w:rsid w:val="009C7474"/>
    <w:rsid w:val="009C7C67"/>
    <w:rsid w:val="009C7E3C"/>
    <w:rsid w:val="009D00CF"/>
    <w:rsid w:val="009D04A3"/>
    <w:rsid w:val="009D0535"/>
    <w:rsid w:val="009D0A41"/>
    <w:rsid w:val="009D0A53"/>
    <w:rsid w:val="009D0CC7"/>
    <w:rsid w:val="009D104B"/>
    <w:rsid w:val="009D147C"/>
    <w:rsid w:val="009D1993"/>
    <w:rsid w:val="009D19F3"/>
    <w:rsid w:val="009D1AA9"/>
    <w:rsid w:val="009D1C34"/>
    <w:rsid w:val="009D1C87"/>
    <w:rsid w:val="009D222D"/>
    <w:rsid w:val="009D2290"/>
    <w:rsid w:val="009D22BF"/>
    <w:rsid w:val="009D2302"/>
    <w:rsid w:val="009D2412"/>
    <w:rsid w:val="009D2719"/>
    <w:rsid w:val="009D28E9"/>
    <w:rsid w:val="009D2922"/>
    <w:rsid w:val="009D2DFC"/>
    <w:rsid w:val="009D2FB4"/>
    <w:rsid w:val="009D36F4"/>
    <w:rsid w:val="009D3770"/>
    <w:rsid w:val="009D3787"/>
    <w:rsid w:val="009D3C0F"/>
    <w:rsid w:val="009D3DC0"/>
    <w:rsid w:val="009D40A7"/>
    <w:rsid w:val="009D4232"/>
    <w:rsid w:val="009D44FE"/>
    <w:rsid w:val="009D4AEA"/>
    <w:rsid w:val="009D4B2D"/>
    <w:rsid w:val="009D4C86"/>
    <w:rsid w:val="009D4E09"/>
    <w:rsid w:val="009D5367"/>
    <w:rsid w:val="009D568A"/>
    <w:rsid w:val="009D684D"/>
    <w:rsid w:val="009D688B"/>
    <w:rsid w:val="009D6B5C"/>
    <w:rsid w:val="009D7367"/>
    <w:rsid w:val="009D772A"/>
    <w:rsid w:val="009D7850"/>
    <w:rsid w:val="009D7930"/>
    <w:rsid w:val="009D7B75"/>
    <w:rsid w:val="009E0096"/>
    <w:rsid w:val="009E00C7"/>
    <w:rsid w:val="009E08B7"/>
    <w:rsid w:val="009E0994"/>
    <w:rsid w:val="009E0AD5"/>
    <w:rsid w:val="009E0B72"/>
    <w:rsid w:val="009E0C46"/>
    <w:rsid w:val="009E0F16"/>
    <w:rsid w:val="009E0F1A"/>
    <w:rsid w:val="009E0FCE"/>
    <w:rsid w:val="009E107B"/>
    <w:rsid w:val="009E110B"/>
    <w:rsid w:val="009E1321"/>
    <w:rsid w:val="009E13C2"/>
    <w:rsid w:val="009E14C1"/>
    <w:rsid w:val="009E1560"/>
    <w:rsid w:val="009E15E7"/>
    <w:rsid w:val="009E1879"/>
    <w:rsid w:val="009E1B5E"/>
    <w:rsid w:val="009E1C75"/>
    <w:rsid w:val="009E1D7B"/>
    <w:rsid w:val="009E1F42"/>
    <w:rsid w:val="009E20F1"/>
    <w:rsid w:val="009E22B7"/>
    <w:rsid w:val="009E2307"/>
    <w:rsid w:val="009E234E"/>
    <w:rsid w:val="009E236A"/>
    <w:rsid w:val="009E255B"/>
    <w:rsid w:val="009E2A13"/>
    <w:rsid w:val="009E2E87"/>
    <w:rsid w:val="009E31F4"/>
    <w:rsid w:val="009E36CE"/>
    <w:rsid w:val="009E38AF"/>
    <w:rsid w:val="009E39F8"/>
    <w:rsid w:val="009E3A5C"/>
    <w:rsid w:val="009E3A68"/>
    <w:rsid w:val="009E3E95"/>
    <w:rsid w:val="009E3F8F"/>
    <w:rsid w:val="009E42F4"/>
    <w:rsid w:val="009E46B3"/>
    <w:rsid w:val="009E4F30"/>
    <w:rsid w:val="009E511C"/>
    <w:rsid w:val="009E5238"/>
    <w:rsid w:val="009E54AD"/>
    <w:rsid w:val="009E54DE"/>
    <w:rsid w:val="009E5761"/>
    <w:rsid w:val="009E5785"/>
    <w:rsid w:val="009E58D1"/>
    <w:rsid w:val="009E5B71"/>
    <w:rsid w:val="009E5ED5"/>
    <w:rsid w:val="009E6284"/>
    <w:rsid w:val="009E629B"/>
    <w:rsid w:val="009E62E5"/>
    <w:rsid w:val="009E6428"/>
    <w:rsid w:val="009E6459"/>
    <w:rsid w:val="009E664B"/>
    <w:rsid w:val="009E669E"/>
    <w:rsid w:val="009E67B4"/>
    <w:rsid w:val="009E6FF9"/>
    <w:rsid w:val="009E7168"/>
    <w:rsid w:val="009E7A21"/>
    <w:rsid w:val="009E7E03"/>
    <w:rsid w:val="009F04BA"/>
    <w:rsid w:val="009F05FF"/>
    <w:rsid w:val="009F0613"/>
    <w:rsid w:val="009F07A0"/>
    <w:rsid w:val="009F095D"/>
    <w:rsid w:val="009F0D31"/>
    <w:rsid w:val="009F0E84"/>
    <w:rsid w:val="009F1009"/>
    <w:rsid w:val="009F1055"/>
    <w:rsid w:val="009F1197"/>
    <w:rsid w:val="009F1238"/>
    <w:rsid w:val="009F1548"/>
    <w:rsid w:val="009F17AC"/>
    <w:rsid w:val="009F19F6"/>
    <w:rsid w:val="009F1EC9"/>
    <w:rsid w:val="009F2070"/>
    <w:rsid w:val="009F20DF"/>
    <w:rsid w:val="009F213B"/>
    <w:rsid w:val="009F2774"/>
    <w:rsid w:val="009F2890"/>
    <w:rsid w:val="009F2BAE"/>
    <w:rsid w:val="009F2C50"/>
    <w:rsid w:val="009F2F83"/>
    <w:rsid w:val="009F32A8"/>
    <w:rsid w:val="009F3369"/>
    <w:rsid w:val="009F337E"/>
    <w:rsid w:val="009F369D"/>
    <w:rsid w:val="009F3C9C"/>
    <w:rsid w:val="009F3E64"/>
    <w:rsid w:val="009F3EEB"/>
    <w:rsid w:val="009F3F80"/>
    <w:rsid w:val="009F4150"/>
    <w:rsid w:val="009F446C"/>
    <w:rsid w:val="009F44E3"/>
    <w:rsid w:val="009F47A5"/>
    <w:rsid w:val="009F47BF"/>
    <w:rsid w:val="009F4BE3"/>
    <w:rsid w:val="009F4C2B"/>
    <w:rsid w:val="009F4D83"/>
    <w:rsid w:val="009F51D2"/>
    <w:rsid w:val="009F52CE"/>
    <w:rsid w:val="009F54ED"/>
    <w:rsid w:val="009F562D"/>
    <w:rsid w:val="009F5D80"/>
    <w:rsid w:val="009F5E49"/>
    <w:rsid w:val="009F5F94"/>
    <w:rsid w:val="009F6386"/>
    <w:rsid w:val="009F65E4"/>
    <w:rsid w:val="009F6ABD"/>
    <w:rsid w:val="009F704C"/>
    <w:rsid w:val="009F7109"/>
    <w:rsid w:val="009F7112"/>
    <w:rsid w:val="009F7DB0"/>
    <w:rsid w:val="009F7FA1"/>
    <w:rsid w:val="00A001F0"/>
    <w:rsid w:val="00A0032C"/>
    <w:rsid w:val="00A0043D"/>
    <w:rsid w:val="00A008BD"/>
    <w:rsid w:val="00A00FB3"/>
    <w:rsid w:val="00A01007"/>
    <w:rsid w:val="00A01A20"/>
    <w:rsid w:val="00A01A96"/>
    <w:rsid w:val="00A01B59"/>
    <w:rsid w:val="00A021AE"/>
    <w:rsid w:val="00A02320"/>
    <w:rsid w:val="00A02483"/>
    <w:rsid w:val="00A02BA8"/>
    <w:rsid w:val="00A02F08"/>
    <w:rsid w:val="00A0315A"/>
    <w:rsid w:val="00A039BB"/>
    <w:rsid w:val="00A03B78"/>
    <w:rsid w:val="00A04307"/>
    <w:rsid w:val="00A0444E"/>
    <w:rsid w:val="00A045BE"/>
    <w:rsid w:val="00A04600"/>
    <w:rsid w:val="00A047BC"/>
    <w:rsid w:val="00A047C3"/>
    <w:rsid w:val="00A04B1F"/>
    <w:rsid w:val="00A04CD8"/>
    <w:rsid w:val="00A04E80"/>
    <w:rsid w:val="00A051B9"/>
    <w:rsid w:val="00A052A0"/>
    <w:rsid w:val="00A052AB"/>
    <w:rsid w:val="00A052C2"/>
    <w:rsid w:val="00A05718"/>
    <w:rsid w:val="00A05728"/>
    <w:rsid w:val="00A057DF"/>
    <w:rsid w:val="00A058B2"/>
    <w:rsid w:val="00A05A91"/>
    <w:rsid w:val="00A05C0D"/>
    <w:rsid w:val="00A05C3B"/>
    <w:rsid w:val="00A05E80"/>
    <w:rsid w:val="00A05FDF"/>
    <w:rsid w:val="00A060FB"/>
    <w:rsid w:val="00A06182"/>
    <w:rsid w:val="00A062D4"/>
    <w:rsid w:val="00A0645D"/>
    <w:rsid w:val="00A0654E"/>
    <w:rsid w:val="00A06BC1"/>
    <w:rsid w:val="00A06C34"/>
    <w:rsid w:val="00A073A7"/>
    <w:rsid w:val="00A07704"/>
    <w:rsid w:val="00A07926"/>
    <w:rsid w:val="00A07B12"/>
    <w:rsid w:val="00A07C31"/>
    <w:rsid w:val="00A07D60"/>
    <w:rsid w:val="00A07FAD"/>
    <w:rsid w:val="00A102A3"/>
    <w:rsid w:val="00A103C4"/>
    <w:rsid w:val="00A104D3"/>
    <w:rsid w:val="00A10506"/>
    <w:rsid w:val="00A1066C"/>
    <w:rsid w:val="00A10EA8"/>
    <w:rsid w:val="00A1100E"/>
    <w:rsid w:val="00A11107"/>
    <w:rsid w:val="00A11312"/>
    <w:rsid w:val="00A1142C"/>
    <w:rsid w:val="00A116FA"/>
    <w:rsid w:val="00A117ED"/>
    <w:rsid w:val="00A11B5D"/>
    <w:rsid w:val="00A12719"/>
    <w:rsid w:val="00A128B8"/>
    <w:rsid w:val="00A12961"/>
    <w:rsid w:val="00A12C03"/>
    <w:rsid w:val="00A13096"/>
    <w:rsid w:val="00A134B5"/>
    <w:rsid w:val="00A138CB"/>
    <w:rsid w:val="00A13A97"/>
    <w:rsid w:val="00A1426D"/>
    <w:rsid w:val="00A14682"/>
    <w:rsid w:val="00A14936"/>
    <w:rsid w:val="00A14956"/>
    <w:rsid w:val="00A14B22"/>
    <w:rsid w:val="00A14C04"/>
    <w:rsid w:val="00A14D55"/>
    <w:rsid w:val="00A14D66"/>
    <w:rsid w:val="00A14DA6"/>
    <w:rsid w:val="00A14DD5"/>
    <w:rsid w:val="00A14EC0"/>
    <w:rsid w:val="00A15441"/>
    <w:rsid w:val="00A15497"/>
    <w:rsid w:val="00A15545"/>
    <w:rsid w:val="00A157C6"/>
    <w:rsid w:val="00A158F7"/>
    <w:rsid w:val="00A15D5B"/>
    <w:rsid w:val="00A15F7F"/>
    <w:rsid w:val="00A15F9A"/>
    <w:rsid w:val="00A1627C"/>
    <w:rsid w:val="00A1688F"/>
    <w:rsid w:val="00A16A68"/>
    <w:rsid w:val="00A16D96"/>
    <w:rsid w:val="00A16E08"/>
    <w:rsid w:val="00A16E50"/>
    <w:rsid w:val="00A16FD1"/>
    <w:rsid w:val="00A16FF8"/>
    <w:rsid w:val="00A170A9"/>
    <w:rsid w:val="00A17108"/>
    <w:rsid w:val="00A173EF"/>
    <w:rsid w:val="00A1749E"/>
    <w:rsid w:val="00A17927"/>
    <w:rsid w:val="00A17ACB"/>
    <w:rsid w:val="00A17C52"/>
    <w:rsid w:val="00A201A0"/>
    <w:rsid w:val="00A20632"/>
    <w:rsid w:val="00A207CE"/>
    <w:rsid w:val="00A20F54"/>
    <w:rsid w:val="00A213C0"/>
    <w:rsid w:val="00A21A10"/>
    <w:rsid w:val="00A21B6E"/>
    <w:rsid w:val="00A21EA1"/>
    <w:rsid w:val="00A2204A"/>
    <w:rsid w:val="00A22336"/>
    <w:rsid w:val="00A227F4"/>
    <w:rsid w:val="00A2283C"/>
    <w:rsid w:val="00A229BB"/>
    <w:rsid w:val="00A22C73"/>
    <w:rsid w:val="00A23117"/>
    <w:rsid w:val="00A23391"/>
    <w:rsid w:val="00A23589"/>
    <w:rsid w:val="00A2363E"/>
    <w:rsid w:val="00A244A4"/>
    <w:rsid w:val="00A247E5"/>
    <w:rsid w:val="00A250E2"/>
    <w:rsid w:val="00A2518B"/>
    <w:rsid w:val="00A253BB"/>
    <w:rsid w:val="00A25543"/>
    <w:rsid w:val="00A258F4"/>
    <w:rsid w:val="00A25C95"/>
    <w:rsid w:val="00A25EAD"/>
    <w:rsid w:val="00A25F2E"/>
    <w:rsid w:val="00A260B5"/>
    <w:rsid w:val="00A2621B"/>
    <w:rsid w:val="00A262C4"/>
    <w:rsid w:val="00A26329"/>
    <w:rsid w:val="00A2655B"/>
    <w:rsid w:val="00A26734"/>
    <w:rsid w:val="00A26EBD"/>
    <w:rsid w:val="00A2704A"/>
    <w:rsid w:val="00A27182"/>
    <w:rsid w:val="00A27292"/>
    <w:rsid w:val="00A27CEB"/>
    <w:rsid w:val="00A27E37"/>
    <w:rsid w:val="00A3001D"/>
    <w:rsid w:val="00A301FA"/>
    <w:rsid w:val="00A3094B"/>
    <w:rsid w:val="00A30F05"/>
    <w:rsid w:val="00A31141"/>
    <w:rsid w:val="00A313BF"/>
    <w:rsid w:val="00A313E8"/>
    <w:rsid w:val="00A315CB"/>
    <w:rsid w:val="00A315D0"/>
    <w:rsid w:val="00A31746"/>
    <w:rsid w:val="00A317A4"/>
    <w:rsid w:val="00A31852"/>
    <w:rsid w:val="00A31ADC"/>
    <w:rsid w:val="00A31C72"/>
    <w:rsid w:val="00A31D53"/>
    <w:rsid w:val="00A32081"/>
    <w:rsid w:val="00A323C4"/>
    <w:rsid w:val="00A32477"/>
    <w:rsid w:val="00A32BB4"/>
    <w:rsid w:val="00A32E3C"/>
    <w:rsid w:val="00A32F0C"/>
    <w:rsid w:val="00A330B8"/>
    <w:rsid w:val="00A33536"/>
    <w:rsid w:val="00A3379A"/>
    <w:rsid w:val="00A33FA4"/>
    <w:rsid w:val="00A343C2"/>
    <w:rsid w:val="00A345FE"/>
    <w:rsid w:val="00A3481E"/>
    <w:rsid w:val="00A34B7F"/>
    <w:rsid w:val="00A34CF0"/>
    <w:rsid w:val="00A34CFB"/>
    <w:rsid w:val="00A34F5D"/>
    <w:rsid w:val="00A34FCF"/>
    <w:rsid w:val="00A35552"/>
    <w:rsid w:val="00A3559D"/>
    <w:rsid w:val="00A358A6"/>
    <w:rsid w:val="00A3593F"/>
    <w:rsid w:val="00A35C5D"/>
    <w:rsid w:val="00A35CD4"/>
    <w:rsid w:val="00A35E87"/>
    <w:rsid w:val="00A3603C"/>
    <w:rsid w:val="00A3638B"/>
    <w:rsid w:val="00A365BF"/>
    <w:rsid w:val="00A3669F"/>
    <w:rsid w:val="00A36830"/>
    <w:rsid w:val="00A3686C"/>
    <w:rsid w:val="00A36DC1"/>
    <w:rsid w:val="00A3711F"/>
    <w:rsid w:val="00A371C6"/>
    <w:rsid w:val="00A3738D"/>
    <w:rsid w:val="00A3755F"/>
    <w:rsid w:val="00A375DA"/>
    <w:rsid w:val="00A3772E"/>
    <w:rsid w:val="00A379F7"/>
    <w:rsid w:val="00A37D80"/>
    <w:rsid w:val="00A4052A"/>
    <w:rsid w:val="00A405A6"/>
    <w:rsid w:val="00A4074B"/>
    <w:rsid w:val="00A40A7F"/>
    <w:rsid w:val="00A40E76"/>
    <w:rsid w:val="00A4106D"/>
    <w:rsid w:val="00A416B2"/>
    <w:rsid w:val="00A41A67"/>
    <w:rsid w:val="00A41AD5"/>
    <w:rsid w:val="00A41C88"/>
    <w:rsid w:val="00A41D52"/>
    <w:rsid w:val="00A41F0E"/>
    <w:rsid w:val="00A42328"/>
    <w:rsid w:val="00A42B10"/>
    <w:rsid w:val="00A42D82"/>
    <w:rsid w:val="00A42F5D"/>
    <w:rsid w:val="00A430F9"/>
    <w:rsid w:val="00A432A9"/>
    <w:rsid w:val="00A4344E"/>
    <w:rsid w:val="00A43707"/>
    <w:rsid w:val="00A43EC0"/>
    <w:rsid w:val="00A4420D"/>
    <w:rsid w:val="00A442B6"/>
    <w:rsid w:val="00A442E2"/>
    <w:rsid w:val="00A4445B"/>
    <w:rsid w:val="00A4494D"/>
    <w:rsid w:val="00A44B44"/>
    <w:rsid w:val="00A44B47"/>
    <w:rsid w:val="00A44EBF"/>
    <w:rsid w:val="00A45100"/>
    <w:rsid w:val="00A451E4"/>
    <w:rsid w:val="00A45231"/>
    <w:rsid w:val="00A45537"/>
    <w:rsid w:val="00A45572"/>
    <w:rsid w:val="00A4575C"/>
    <w:rsid w:val="00A4578E"/>
    <w:rsid w:val="00A458BF"/>
    <w:rsid w:val="00A45921"/>
    <w:rsid w:val="00A46209"/>
    <w:rsid w:val="00A46253"/>
    <w:rsid w:val="00A463EF"/>
    <w:rsid w:val="00A46B69"/>
    <w:rsid w:val="00A46D1B"/>
    <w:rsid w:val="00A46E11"/>
    <w:rsid w:val="00A46E54"/>
    <w:rsid w:val="00A46F97"/>
    <w:rsid w:val="00A47087"/>
    <w:rsid w:val="00A470F7"/>
    <w:rsid w:val="00A47239"/>
    <w:rsid w:val="00A47337"/>
    <w:rsid w:val="00A475B6"/>
    <w:rsid w:val="00A476A3"/>
    <w:rsid w:val="00A479CF"/>
    <w:rsid w:val="00A50138"/>
    <w:rsid w:val="00A504F1"/>
    <w:rsid w:val="00A50C1F"/>
    <w:rsid w:val="00A5105A"/>
    <w:rsid w:val="00A5123B"/>
    <w:rsid w:val="00A5124B"/>
    <w:rsid w:val="00A515EE"/>
    <w:rsid w:val="00A516E2"/>
    <w:rsid w:val="00A51AC0"/>
    <w:rsid w:val="00A51D0C"/>
    <w:rsid w:val="00A51E99"/>
    <w:rsid w:val="00A52008"/>
    <w:rsid w:val="00A52214"/>
    <w:rsid w:val="00A5223F"/>
    <w:rsid w:val="00A525AE"/>
    <w:rsid w:val="00A525D2"/>
    <w:rsid w:val="00A52B3B"/>
    <w:rsid w:val="00A52E39"/>
    <w:rsid w:val="00A53333"/>
    <w:rsid w:val="00A53789"/>
    <w:rsid w:val="00A53A27"/>
    <w:rsid w:val="00A53A5A"/>
    <w:rsid w:val="00A53ADF"/>
    <w:rsid w:val="00A53BA6"/>
    <w:rsid w:val="00A53DC1"/>
    <w:rsid w:val="00A53FEF"/>
    <w:rsid w:val="00A54003"/>
    <w:rsid w:val="00A54393"/>
    <w:rsid w:val="00A5446E"/>
    <w:rsid w:val="00A54868"/>
    <w:rsid w:val="00A54D84"/>
    <w:rsid w:val="00A54F06"/>
    <w:rsid w:val="00A54FB9"/>
    <w:rsid w:val="00A5559B"/>
    <w:rsid w:val="00A557D6"/>
    <w:rsid w:val="00A559C1"/>
    <w:rsid w:val="00A55B23"/>
    <w:rsid w:val="00A55C16"/>
    <w:rsid w:val="00A55D94"/>
    <w:rsid w:val="00A55DF2"/>
    <w:rsid w:val="00A55FEB"/>
    <w:rsid w:val="00A56340"/>
    <w:rsid w:val="00A56502"/>
    <w:rsid w:val="00A567F5"/>
    <w:rsid w:val="00A5685B"/>
    <w:rsid w:val="00A56B47"/>
    <w:rsid w:val="00A56BD2"/>
    <w:rsid w:val="00A56F37"/>
    <w:rsid w:val="00A571BB"/>
    <w:rsid w:val="00A5766E"/>
    <w:rsid w:val="00A5788A"/>
    <w:rsid w:val="00A57AD3"/>
    <w:rsid w:val="00A57B17"/>
    <w:rsid w:val="00A57C10"/>
    <w:rsid w:val="00A57F43"/>
    <w:rsid w:val="00A601DD"/>
    <w:rsid w:val="00A60845"/>
    <w:rsid w:val="00A608A3"/>
    <w:rsid w:val="00A60949"/>
    <w:rsid w:val="00A60AF3"/>
    <w:rsid w:val="00A60B64"/>
    <w:rsid w:val="00A6115E"/>
    <w:rsid w:val="00A611AA"/>
    <w:rsid w:val="00A614F8"/>
    <w:rsid w:val="00A61505"/>
    <w:rsid w:val="00A61719"/>
    <w:rsid w:val="00A61926"/>
    <w:rsid w:val="00A61930"/>
    <w:rsid w:val="00A61DBD"/>
    <w:rsid w:val="00A62129"/>
    <w:rsid w:val="00A621BF"/>
    <w:rsid w:val="00A6269B"/>
    <w:rsid w:val="00A62C01"/>
    <w:rsid w:val="00A62E03"/>
    <w:rsid w:val="00A62F64"/>
    <w:rsid w:val="00A63230"/>
    <w:rsid w:val="00A6324A"/>
    <w:rsid w:val="00A63485"/>
    <w:rsid w:val="00A634F3"/>
    <w:rsid w:val="00A63638"/>
    <w:rsid w:val="00A639CD"/>
    <w:rsid w:val="00A63A84"/>
    <w:rsid w:val="00A63B6F"/>
    <w:rsid w:val="00A63EBF"/>
    <w:rsid w:val="00A64158"/>
    <w:rsid w:val="00A64C6A"/>
    <w:rsid w:val="00A65294"/>
    <w:rsid w:val="00A65306"/>
    <w:rsid w:val="00A6531C"/>
    <w:rsid w:val="00A65EC7"/>
    <w:rsid w:val="00A66291"/>
    <w:rsid w:val="00A663FF"/>
    <w:rsid w:val="00A66717"/>
    <w:rsid w:val="00A668C9"/>
    <w:rsid w:val="00A66B35"/>
    <w:rsid w:val="00A66ED7"/>
    <w:rsid w:val="00A66F8F"/>
    <w:rsid w:val="00A67038"/>
    <w:rsid w:val="00A6726B"/>
    <w:rsid w:val="00A67558"/>
    <w:rsid w:val="00A67BF5"/>
    <w:rsid w:val="00A67D69"/>
    <w:rsid w:val="00A70009"/>
    <w:rsid w:val="00A701E0"/>
    <w:rsid w:val="00A702BA"/>
    <w:rsid w:val="00A70513"/>
    <w:rsid w:val="00A705D2"/>
    <w:rsid w:val="00A70701"/>
    <w:rsid w:val="00A70919"/>
    <w:rsid w:val="00A70A65"/>
    <w:rsid w:val="00A70D6C"/>
    <w:rsid w:val="00A71212"/>
    <w:rsid w:val="00A712F5"/>
    <w:rsid w:val="00A7138E"/>
    <w:rsid w:val="00A713AA"/>
    <w:rsid w:val="00A713AE"/>
    <w:rsid w:val="00A714BC"/>
    <w:rsid w:val="00A71812"/>
    <w:rsid w:val="00A71B23"/>
    <w:rsid w:val="00A71EBE"/>
    <w:rsid w:val="00A72736"/>
    <w:rsid w:val="00A728CA"/>
    <w:rsid w:val="00A7299A"/>
    <w:rsid w:val="00A72C9D"/>
    <w:rsid w:val="00A72D22"/>
    <w:rsid w:val="00A72F55"/>
    <w:rsid w:val="00A73429"/>
    <w:rsid w:val="00A73E0B"/>
    <w:rsid w:val="00A74022"/>
    <w:rsid w:val="00A742AF"/>
    <w:rsid w:val="00A74787"/>
    <w:rsid w:val="00A74A56"/>
    <w:rsid w:val="00A74AAF"/>
    <w:rsid w:val="00A74E15"/>
    <w:rsid w:val="00A74E3F"/>
    <w:rsid w:val="00A74F31"/>
    <w:rsid w:val="00A75123"/>
    <w:rsid w:val="00A7522C"/>
    <w:rsid w:val="00A754C8"/>
    <w:rsid w:val="00A75607"/>
    <w:rsid w:val="00A758FB"/>
    <w:rsid w:val="00A75A17"/>
    <w:rsid w:val="00A7656F"/>
    <w:rsid w:val="00A76770"/>
    <w:rsid w:val="00A767A8"/>
    <w:rsid w:val="00A7688E"/>
    <w:rsid w:val="00A76980"/>
    <w:rsid w:val="00A769B0"/>
    <w:rsid w:val="00A76A7E"/>
    <w:rsid w:val="00A76A8F"/>
    <w:rsid w:val="00A76A9B"/>
    <w:rsid w:val="00A76F97"/>
    <w:rsid w:val="00A76FDF"/>
    <w:rsid w:val="00A7743F"/>
    <w:rsid w:val="00A77B7D"/>
    <w:rsid w:val="00A77DFE"/>
    <w:rsid w:val="00A77F63"/>
    <w:rsid w:val="00A8034D"/>
    <w:rsid w:val="00A805AB"/>
    <w:rsid w:val="00A807B3"/>
    <w:rsid w:val="00A80B0E"/>
    <w:rsid w:val="00A80D8A"/>
    <w:rsid w:val="00A80E21"/>
    <w:rsid w:val="00A81054"/>
    <w:rsid w:val="00A8118A"/>
    <w:rsid w:val="00A8129C"/>
    <w:rsid w:val="00A812D6"/>
    <w:rsid w:val="00A8145E"/>
    <w:rsid w:val="00A815AC"/>
    <w:rsid w:val="00A81754"/>
    <w:rsid w:val="00A81D3D"/>
    <w:rsid w:val="00A81ED5"/>
    <w:rsid w:val="00A81F81"/>
    <w:rsid w:val="00A822AB"/>
    <w:rsid w:val="00A824F4"/>
    <w:rsid w:val="00A829C7"/>
    <w:rsid w:val="00A82B01"/>
    <w:rsid w:val="00A82D60"/>
    <w:rsid w:val="00A830A0"/>
    <w:rsid w:val="00A83118"/>
    <w:rsid w:val="00A835D8"/>
    <w:rsid w:val="00A83750"/>
    <w:rsid w:val="00A83A0B"/>
    <w:rsid w:val="00A83ACA"/>
    <w:rsid w:val="00A84091"/>
    <w:rsid w:val="00A842BF"/>
    <w:rsid w:val="00A8459E"/>
    <w:rsid w:val="00A846F7"/>
    <w:rsid w:val="00A849FE"/>
    <w:rsid w:val="00A84F02"/>
    <w:rsid w:val="00A85049"/>
    <w:rsid w:val="00A85E4F"/>
    <w:rsid w:val="00A86064"/>
    <w:rsid w:val="00A860F8"/>
    <w:rsid w:val="00A863A0"/>
    <w:rsid w:val="00A86401"/>
    <w:rsid w:val="00A8653D"/>
    <w:rsid w:val="00A86622"/>
    <w:rsid w:val="00A867B0"/>
    <w:rsid w:val="00A86864"/>
    <w:rsid w:val="00A868C8"/>
    <w:rsid w:val="00A86915"/>
    <w:rsid w:val="00A86A79"/>
    <w:rsid w:val="00A86F69"/>
    <w:rsid w:val="00A86FDC"/>
    <w:rsid w:val="00A874FD"/>
    <w:rsid w:val="00A87518"/>
    <w:rsid w:val="00A8776E"/>
    <w:rsid w:val="00A8777D"/>
    <w:rsid w:val="00A877CE"/>
    <w:rsid w:val="00A87AE3"/>
    <w:rsid w:val="00A87B6A"/>
    <w:rsid w:val="00A901DF"/>
    <w:rsid w:val="00A904EB"/>
    <w:rsid w:val="00A907E2"/>
    <w:rsid w:val="00A909AB"/>
    <w:rsid w:val="00A91375"/>
    <w:rsid w:val="00A9141C"/>
    <w:rsid w:val="00A914F0"/>
    <w:rsid w:val="00A915DF"/>
    <w:rsid w:val="00A91930"/>
    <w:rsid w:val="00A919F2"/>
    <w:rsid w:val="00A91DBF"/>
    <w:rsid w:val="00A91F39"/>
    <w:rsid w:val="00A9240E"/>
    <w:rsid w:val="00A92618"/>
    <w:rsid w:val="00A92816"/>
    <w:rsid w:val="00A9284F"/>
    <w:rsid w:val="00A9289C"/>
    <w:rsid w:val="00A92D12"/>
    <w:rsid w:val="00A933E8"/>
    <w:rsid w:val="00A93525"/>
    <w:rsid w:val="00A936A3"/>
    <w:rsid w:val="00A93974"/>
    <w:rsid w:val="00A93AC6"/>
    <w:rsid w:val="00A94198"/>
    <w:rsid w:val="00A94545"/>
    <w:rsid w:val="00A946DD"/>
    <w:rsid w:val="00A94733"/>
    <w:rsid w:val="00A947F6"/>
    <w:rsid w:val="00A94A30"/>
    <w:rsid w:val="00A94AE6"/>
    <w:rsid w:val="00A94BB9"/>
    <w:rsid w:val="00A9516B"/>
    <w:rsid w:val="00A951E3"/>
    <w:rsid w:val="00A95366"/>
    <w:rsid w:val="00A9585E"/>
    <w:rsid w:val="00A958C7"/>
    <w:rsid w:val="00A959DE"/>
    <w:rsid w:val="00A95C01"/>
    <w:rsid w:val="00A95C3B"/>
    <w:rsid w:val="00A95D38"/>
    <w:rsid w:val="00A95DE3"/>
    <w:rsid w:val="00A96111"/>
    <w:rsid w:val="00A9653A"/>
    <w:rsid w:val="00A96677"/>
    <w:rsid w:val="00A96827"/>
    <w:rsid w:val="00A96850"/>
    <w:rsid w:val="00A96867"/>
    <w:rsid w:val="00A96BFF"/>
    <w:rsid w:val="00A96C09"/>
    <w:rsid w:val="00A96DA0"/>
    <w:rsid w:val="00A96EA5"/>
    <w:rsid w:val="00A96F76"/>
    <w:rsid w:val="00A97570"/>
    <w:rsid w:val="00A975B0"/>
    <w:rsid w:val="00A976DE"/>
    <w:rsid w:val="00A977A0"/>
    <w:rsid w:val="00A979E9"/>
    <w:rsid w:val="00A97A12"/>
    <w:rsid w:val="00A97C64"/>
    <w:rsid w:val="00A97D3B"/>
    <w:rsid w:val="00A97E45"/>
    <w:rsid w:val="00A97F37"/>
    <w:rsid w:val="00AA00E6"/>
    <w:rsid w:val="00AA0349"/>
    <w:rsid w:val="00AA0465"/>
    <w:rsid w:val="00AA0667"/>
    <w:rsid w:val="00AA07E2"/>
    <w:rsid w:val="00AA08A9"/>
    <w:rsid w:val="00AA0987"/>
    <w:rsid w:val="00AA09E5"/>
    <w:rsid w:val="00AA0B12"/>
    <w:rsid w:val="00AA10EF"/>
    <w:rsid w:val="00AA1245"/>
    <w:rsid w:val="00AA1A25"/>
    <w:rsid w:val="00AA1A54"/>
    <w:rsid w:val="00AA1AE2"/>
    <w:rsid w:val="00AA1DB1"/>
    <w:rsid w:val="00AA2087"/>
    <w:rsid w:val="00AA2247"/>
    <w:rsid w:val="00AA251C"/>
    <w:rsid w:val="00AA27E2"/>
    <w:rsid w:val="00AA2BB9"/>
    <w:rsid w:val="00AA2DDE"/>
    <w:rsid w:val="00AA2E7B"/>
    <w:rsid w:val="00AA2F05"/>
    <w:rsid w:val="00AA3024"/>
    <w:rsid w:val="00AA319E"/>
    <w:rsid w:val="00AA31AD"/>
    <w:rsid w:val="00AA31AF"/>
    <w:rsid w:val="00AA361F"/>
    <w:rsid w:val="00AA3A0D"/>
    <w:rsid w:val="00AA3C8B"/>
    <w:rsid w:val="00AA3DD9"/>
    <w:rsid w:val="00AA3EB4"/>
    <w:rsid w:val="00AA3F71"/>
    <w:rsid w:val="00AA40E1"/>
    <w:rsid w:val="00AA4123"/>
    <w:rsid w:val="00AA439E"/>
    <w:rsid w:val="00AA4580"/>
    <w:rsid w:val="00AA45CC"/>
    <w:rsid w:val="00AA4A40"/>
    <w:rsid w:val="00AA5087"/>
    <w:rsid w:val="00AA542D"/>
    <w:rsid w:val="00AA546D"/>
    <w:rsid w:val="00AA5877"/>
    <w:rsid w:val="00AA5919"/>
    <w:rsid w:val="00AA5CEB"/>
    <w:rsid w:val="00AA5D12"/>
    <w:rsid w:val="00AA5D55"/>
    <w:rsid w:val="00AA5D89"/>
    <w:rsid w:val="00AA658D"/>
    <w:rsid w:val="00AA698B"/>
    <w:rsid w:val="00AA6AC3"/>
    <w:rsid w:val="00AA6BEB"/>
    <w:rsid w:val="00AA7124"/>
    <w:rsid w:val="00AA7316"/>
    <w:rsid w:val="00AA7449"/>
    <w:rsid w:val="00AA75A7"/>
    <w:rsid w:val="00AA76A0"/>
    <w:rsid w:val="00AA76B3"/>
    <w:rsid w:val="00AA782C"/>
    <w:rsid w:val="00AA7B90"/>
    <w:rsid w:val="00AA7C70"/>
    <w:rsid w:val="00AA7CE0"/>
    <w:rsid w:val="00AA7DA3"/>
    <w:rsid w:val="00AA7EED"/>
    <w:rsid w:val="00AB04CD"/>
    <w:rsid w:val="00AB0A6A"/>
    <w:rsid w:val="00AB0A73"/>
    <w:rsid w:val="00AB0C10"/>
    <w:rsid w:val="00AB0CE0"/>
    <w:rsid w:val="00AB0E20"/>
    <w:rsid w:val="00AB1128"/>
    <w:rsid w:val="00AB1392"/>
    <w:rsid w:val="00AB17CD"/>
    <w:rsid w:val="00AB1DB8"/>
    <w:rsid w:val="00AB1DFF"/>
    <w:rsid w:val="00AB2748"/>
    <w:rsid w:val="00AB2AE2"/>
    <w:rsid w:val="00AB2C90"/>
    <w:rsid w:val="00AB2E0C"/>
    <w:rsid w:val="00AB32C2"/>
    <w:rsid w:val="00AB3A87"/>
    <w:rsid w:val="00AB4416"/>
    <w:rsid w:val="00AB4545"/>
    <w:rsid w:val="00AB4C87"/>
    <w:rsid w:val="00AB506A"/>
    <w:rsid w:val="00AB566A"/>
    <w:rsid w:val="00AB579D"/>
    <w:rsid w:val="00AB584F"/>
    <w:rsid w:val="00AB5C74"/>
    <w:rsid w:val="00AB5D82"/>
    <w:rsid w:val="00AB5D8C"/>
    <w:rsid w:val="00AB5ECD"/>
    <w:rsid w:val="00AB6000"/>
    <w:rsid w:val="00AB6617"/>
    <w:rsid w:val="00AB6A52"/>
    <w:rsid w:val="00AB6C2F"/>
    <w:rsid w:val="00AB6E37"/>
    <w:rsid w:val="00AB6E48"/>
    <w:rsid w:val="00AB6FD6"/>
    <w:rsid w:val="00AB7656"/>
    <w:rsid w:val="00AB7C99"/>
    <w:rsid w:val="00AC010B"/>
    <w:rsid w:val="00AC02AA"/>
    <w:rsid w:val="00AC0B2A"/>
    <w:rsid w:val="00AC0B3E"/>
    <w:rsid w:val="00AC0EC9"/>
    <w:rsid w:val="00AC1493"/>
    <w:rsid w:val="00AC1652"/>
    <w:rsid w:val="00AC1B6A"/>
    <w:rsid w:val="00AC20C4"/>
    <w:rsid w:val="00AC20E4"/>
    <w:rsid w:val="00AC23B9"/>
    <w:rsid w:val="00AC240D"/>
    <w:rsid w:val="00AC25AA"/>
    <w:rsid w:val="00AC2660"/>
    <w:rsid w:val="00AC28DF"/>
    <w:rsid w:val="00AC2B73"/>
    <w:rsid w:val="00AC2C10"/>
    <w:rsid w:val="00AC2DCD"/>
    <w:rsid w:val="00AC3075"/>
    <w:rsid w:val="00AC343A"/>
    <w:rsid w:val="00AC3784"/>
    <w:rsid w:val="00AC3B97"/>
    <w:rsid w:val="00AC3DD8"/>
    <w:rsid w:val="00AC43F6"/>
    <w:rsid w:val="00AC484A"/>
    <w:rsid w:val="00AC4C35"/>
    <w:rsid w:val="00AC4C70"/>
    <w:rsid w:val="00AC4EEC"/>
    <w:rsid w:val="00AC4FAB"/>
    <w:rsid w:val="00AC50E6"/>
    <w:rsid w:val="00AC51AD"/>
    <w:rsid w:val="00AC55EE"/>
    <w:rsid w:val="00AC5AFF"/>
    <w:rsid w:val="00AC603A"/>
    <w:rsid w:val="00AC62D4"/>
    <w:rsid w:val="00AC63F4"/>
    <w:rsid w:val="00AC66B5"/>
    <w:rsid w:val="00AC6CB3"/>
    <w:rsid w:val="00AC6F0A"/>
    <w:rsid w:val="00AC6FAD"/>
    <w:rsid w:val="00AC6FC2"/>
    <w:rsid w:val="00AC7861"/>
    <w:rsid w:val="00AC7876"/>
    <w:rsid w:val="00AC7DB1"/>
    <w:rsid w:val="00AC7F60"/>
    <w:rsid w:val="00AD010F"/>
    <w:rsid w:val="00AD0230"/>
    <w:rsid w:val="00AD0C86"/>
    <w:rsid w:val="00AD0F0E"/>
    <w:rsid w:val="00AD0F70"/>
    <w:rsid w:val="00AD1857"/>
    <w:rsid w:val="00AD18F7"/>
    <w:rsid w:val="00AD1B52"/>
    <w:rsid w:val="00AD1D96"/>
    <w:rsid w:val="00AD2516"/>
    <w:rsid w:val="00AD27B8"/>
    <w:rsid w:val="00AD2F4B"/>
    <w:rsid w:val="00AD3043"/>
    <w:rsid w:val="00AD320A"/>
    <w:rsid w:val="00AD3587"/>
    <w:rsid w:val="00AD3EDB"/>
    <w:rsid w:val="00AD4653"/>
    <w:rsid w:val="00AD47A2"/>
    <w:rsid w:val="00AD49ED"/>
    <w:rsid w:val="00AD4B8C"/>
    <w:rsid w:val="00AD4DFB"/>
    <w:rsid w:val="00AD4E2A"/>
    <w:rsid w:val="00AD4FF2"/>
    <w:rsid w:val="00AD5204"/>
    <w:rsid w:val="00AD52A9"/>
    <w:rsid w:val="00AD5377"/>
    <w:rsid w:val="00AD56B9"/>
    <w:rsid w:val="00AD5BD6"/>
    <w:rsid w:val="00AD5ED1"/>
    <w:rsid w:val="00AD5FAC"/>
    <w:rsid w:val="00AD610A"/>
    <w:rsid w:val="00AD621D"/>
    <w:rsid w:val="00AD62BB"/>
    <w:rsid w:val="00AD6751"/>
    <w:rsid w:val="00AD6B44"/>
    <w:rsid w:val="00AD6C37"/>
    <w:rsid w:val="00AD6CB7"/>
    <w:rsid w:val="00AD6E15"/>
    <w:rsid w:val="00AD7BE9"/>
    <w:rsid w:val="00AD7C5A"/>
    <w:rsid w:val="00AD7DEC"/>
    <w:rsid w:val="00AE0081"/>
    <w:rsid w:val="00AE00E6"/>
    <w:rsid w:val="00AE02B8"/>
    <w:rsid w:val="00AE035F"/>
    <w:rsid w:val="00AE0464"/>
    <w:rsid w:val="00AE05DA"/>
    <w:rsid w:val="00AE0847"/>
    <w:rsid w:val="00AE107F"/>
    <w:rsid w:val="00AE11B2"/>
    <w:rsid w:val="00AE122A"/>
    <w:rsid w:val="00AE1277"/>
    <w:rsid w:val="00AE1337"/>
    <w:rsid w:val="00AE1403"/>
    <w:rsid w:val="00AE15B0"/>
    <w:rsid w:val="00AE15CF"/>
    <w:rsid w:val="00AE162F"/>
    <w:rsid w:val="00AE17DA"/>
    <w:rsid w:val="00AE1804"/>
    <w:rsid w:val="00AE1A02"/>
    <w:rsid w:val="00AE1D87"/>
    <w:rsid w:val="00AE2095"/>
    <w:rsid w:val="00AE20D7"/>
    <w:rsid w:val="00AE21D9"/>
    <w:rsid w:val="00AE228B"/>
    <w:rsid w:val="00AE23D9"/>
    <w:rsid w:val="00AE249B"/>
    <w:rsid w:val="00AE25BD"/>
    <w:rsid w:val="00AE262A"/>
    <w:rsid w:val="00AE269A"/>
    <w:rsid w:val="00AE2A80"/>
    <w:rsid w:val="00AE2CD7"/>
    <w:rsid w:val="00AE3055"/>
    <w:rsid w:val="00AE310B"/>
    <w:rsid w:val="00AE31B0"/>
    <w:rsid w:val="00AE3385"/>
    <w:rsid w:val="00AE33A4"/>
    <w:rsid w:val="00AE393C"/>
    <w:rsid w:val="00AE3BD9"/>
    <w:rsid w:val="00AE4412"/>
    <w:rsid w:val="00AE4475"/>
    <w:rsid w:val="00AE4563"/>
    <w:rsid w:val="00AE4A04"/>
    <w:rsid w:val="00AE4E34"/>
    <w:rsid w:val="00AE5135"/>
    <w:rsid w:val="00AE533B"/>
    <w:rsid w:val="00AE588D"/>
    <w:rsid w:val="00AE5C79"/>
    <w:rsid w:val="00AE5E4E"/>
    <w:rsid w:val="00AE61D3"/>
    <w:rsid w:val="00AE6214"/>
    <w:rsid w:val="00AE6406"/>
    <w:rsid w:val="00AE64FE"/>
    <w:rsid w:val="00AE6776"/>
    <w:rsid w:val="00AE67E9"/>
    <w:rsid w:val="00AE67F2"/>
    <w:rsid w:val="00AE68F4"/>
    <w:rsid w:val="00AE6BCE"/>
    <w:rsid w:val="00AE6C36"/>
    <w:rsid w:val="00AE6D4B"/>
    <w:rsid w:val="00AE6D6C"/>
    <w:rsid w:val="00AE6E68"/>
    <w:rsid w:val="00AE6FF8"/>
    <w:rsid w:val="00AE7207"/>
    <w:rsid w:val="00AE739A"/>
    <w:rsid w:val="00AE7617"/>
    <w:rsid w:val="00AE793A"/>
    <w:rsid w:val="00AE7991"/>
    <w:rsid w:val="00AE7B6D"/>
    <w:rsid w:val="00AF0288"/>
    <w:rsid w:val="00AF0290"/>
    <w:rsid w:val="00AF05C8"/>
    <w:rsid w:val="00AF0886"/>
    <w:rsid w:val="00AF0AE9"/>
    <w:rsid w:val="00AF0D3C"/>
    <w:rsid w:val="00AF0EC2"/>
    <w:rsid w:val="00AF0EC4"/>
    <w:rsid w:val="00AF0FE3"/>
    <w:rsid w:val="00AF115C"/>
    <w:rsid w:val="00AF12F0"/>
    <w:rsid w:val="00AF1438"/>
    <w:rsid w:val="00AF1594"/>
    <w:rsid w:val="00AF1A27"/>
    <w:rsid w:val="00AF1E82"/>
    <w:rsid w:val="00AF1FD1"/>
    <w:rsid w:val="00AF220C"/>
    <w:rsid w:val="00AF277F"/>
    <w:rsid w:val="00AF284D"/>
    <w:rsid w:val="00AF2B99"/>
    <w:rsid w:val="00AF2CF6"/>
    <w:rsid w:val="00AF2E2F"/>
    <w:rsid w:val="00AF332B"/>
    <w:rsid w:val="00AF356A"/>
    <w:rsid w:val="00AF35FC"/>
    <w:rsid w:val="00AF397B"/>
    <w:rsid w:val="00AF3BEE"/>
    <w:rsid w:val="00AF3C32"/>
    <w:rsid w:val="00AF3DCD"/>
    <w:rsid w:val="00AF40B0"/>
    <w:rsid w:val="00AF45BF"/>
    <w:rsid w:val="00AF4655"/>
    <w:rsid w:val="00AF4875"/>
    <w:rsid w:val="00AF4E3E"/>
    <w:rsid w:val="00AF4E6D"/>
    <w:rsid w:val="00AF506B"/>
    <w:rsid w:val="00AF528A"/>
    <w:rsid w:val="00AF551A"/>
    <w:rsid w:val="00AF5724"/>
    <w:rsid w:val="00AF5AB5"/>
    <w:rsid w:val="00AF5B47"/>
    <w:rsid w:val="00AF5BBA"/>
    <w:rsid w:val="00AF5C82"/>
    <w:rsid w:val="00AF5D9D"/>
    <w:rsid w:val="00AF658E"/>
    <w:rsid w:val="00AF66EA"/>
    <w:rsid w:val="00AF67E6"/>
    <w:rsid w:val="00AF6AAD"/>
    <w:rsid w:val="00AF6CCF"/>
    <w:rsid w:val="00AF758D"/>
    <w:rsid w:val="00AF7A97"/>
    <w:rsid w:val="00AF7AB8"/>
    <w:rsid w:val="00AF7B49"/>
    <w:rsid w:val="00AF7DBC"/>
    <w:rsid w:val="00AF7E43"/>
    <w:rsid w:val="00AF7EBC"/>
    <w:rsid w:val="00AF7F48"/>
    <w:rsid w:val="00AF7FDD"/>
    <w:rsid w:val="00B00173"/>
    <w:rsid w:val="00B00408"/>
    <w:rsid w:val="00B0040F"/>
    <w:rsid w:val="00B0094F"/>
    <w:rsid w:val="00B013D4"/>
    <w:rsid w:val="00B01551"/>
    <w:rsid w:val="00B01BB9"/>
    <w:rsid w:val="00B01BE5"/>
    <w:rsid w:val="00B01D89"/>
    <w:rsid w:val="00B02532"/>
    <w:rsid w:val="00B027E2"/>
    <w:rsid w:val="00B02857"/>
    <w:rsid w:val="00B02A8D"/>
    <w:rsid w:val="00B02AA6"/>
    <w:rsid w:val="00B035F9"/>
    <w:rsid w:val="00B03615"/>
    <w:rsid w:val="00B03723"/>
    <w:rsid w:val="00B03A2A"/>
    <w:rsid w:val="00B03A9F"/>
    <w:rsid w:val="00B03C47"/>
    <w:rsid w:val="00B03D71"/>
    <w:rsid w:val="00B03E44"/>
    <w:rsid w:val="00B040ED"/>
    <w:rsid w:val="00B04396"/>
    <w:rsid w:val="00B04AA3"/>
    <w:rsid w:val="00B04CAA"/>
    <w:rsid w:val="00B04F6F"/>
    <w:rsid w:val="00B05156"/>
    <w:rsid w:val="00B055F7"/>
    <w:rsid w:val="00B05604"/>
    <w:rsid w:val="00B056A7"/>
    <w:rsid w:val="00B05978"/>
    <w:rsid w:val="00B059C9"/>
    <w:rsid w:val="00B05CAB"/>
    <w:rsid w:val="00B0644C"/>
    <w:rsid w:val="00B0647A"/>
    <w:rsid w:val="00B0658C"/>
    <w:rsid w:val="00B065CE"/>
    <w:rsid w:val="00B066B5"/>
    <w:rsid w:val="00B0671B"/>
    <w:rsid w:val="00B06813"/>
    <w:rsid w:val="00B06A46"/>
    <w:rsid w:val="00B06AFE"/>
    <w:rsid w:val="00B06BC8"/>
    <w:rsid w:val="00B06CFA"/>
    <w:rsid w:val="00B06DD8"/>
    <w:rsid w:val="00B06F97"/>
    <w:rsid w:val="00B0708C"/>
    <w:rsid w:val="00B07D61"/>
    <w:rsid w:val="00B07D68"/>
    <w:rsid w:val="00B07EEA"/>
    <w:rsid w:val="00B101D0"/>
    <w:rsid w:val="00B103DB"/>
    <w:rsid w:val="00B10513"/>
    <w:rsid w:val="00B10A7D"/>
    <w:rsid w:val="00B10D78"/>
    <w:rsid w:val="00B1147F"/>
    <w:rsid w:val="00B11A5D"/>
    <w:rsid w:val="00B11CB1"/>
    <w:rsid w:val="00B11DE0"/>
    <w:rsid w:val="00B12283"/>
    <w:rsid w:val="00B124AA"/>
    <w:rsid w:val="00B12944"/>
    <w:rsid w:val="00B12C4A"/>
    <w:rsid w:val="00B12EC4"/>
    <w:rsid w:val="00B130B8"/>
    <w:rsid w:val="00B13291"/>
    <w:rsid w:val="00B133B1"/>
    <w:rsid w:val="00B13544"/>
    <w:rsid w:val="00B13A6A"/>
    <w:rsid w:val="00B13CB4"/>
    <w:rsid w:val="00B13E2B"/>
    <w:rsid w:val="00B13ED8"/>
    <w:rsid w:val="00B14163"/>
    <w:rsid w:val="00B14300"/>
    <w:rsid w:val="00B14308"/>
    <w:rsid w:val="00B1449C"/>
    <w:rsid w:val="00B149DC"/>
    <w:rsid w:val="00B14B05"/>
    <w:rsid w:val="00B15409"/>
    <w:rsid w:val="00B1554F"/>
    <w:rsid w:val="00B156CF"/>
    <w:rsid w:val="00B158FD"/>
    <w:rsid w:val="00B15981"/>
    <w:rsid w:val="00B1627E"/>
    <w:rsid w:val="00B164F3"/>
    <w:rsid w:val="00B168E6"/>
    <w:rsid w:val="00B173F0"/>
    <w:rsid w:val="00B176E9"/>
    <w:rsid w:val="00B17787"/>
    <w:rsid w:val="00B178DB"/>
    <w:rsid w:val="00B17A81"/>
    <w:rsid w:val="00B17FE7"/>
    <w:rsid w:val="00B20121"/>
    <w:rsid w:val="00B20149"/>
    <w:rsid w:val="00B201CC"/>
    <w:rsid w:val="00B20852"/>
    <w:rsid w:val="00B208D1"/>
    <w:rsid w:val="00B20AC3"/>
    <w:rsid w:val="00B20BCF"/>
    <w:rsid w:val="00B20DD9"/>
    <w:rsid w:val="00B21143"/>
    <w:rsid w:val="00B2130A"/>
    <w:rsid w:val="00B2144E"/>
    <w:rsid w:val="00B21501"/>
    <w:rsid w:val="00B21674"/>
    <w:rsid w:val="00B21F99"/>
    <w:rsid w:val="00B225D6"/>
    <w:rsid w:val="00B229AF"/>
    <w:rsid w:val="00B22A3E"/>
    <w:rsid w:val="00B23089"/>
    <w:rsid w:val="00B2346C"/>
    <w:rsid w:val="00B23591"/>
    <w:rsid w:val="00B236A5"/>
    <w:rsid w:val="00B2391D"/>
    <w:rsid w:val="00B245C4"/>
    <w:rsid w:val="00B24794"/>
    <w:rsid w:val="00B248FC"/>
    <w:rsid w:val="00B24A25"/>
    <w:rsid w:val="00B24A7C"/>
    <w:rsid w:val="00B24B81"/>
    <w:rsid w:val="00B24DB4"/>
    <w:rsid w:val="00B2501A"/>
    <w:rsid w:val="00B256C4"/>
    <w:rsid w:val="00B258F6"/>
    <w:rsid w:val="00B25BDE"/>
    <w:rsid w:val="00B25CCC"/>
    <w:rsid w:val="00B25D26"/>
    <w:rsid w:val="00B26434"/>
    <w:rsid w:val="00B268D9"/>
    <w:rsid w:val="00B27101"/>
    <w:rsid w:val="00B27186"/>
    <w:rsid w:val="00B273A7"/>
    <w:rsid w:val="00B273BC"/>
    <w:rsid w:val="00B279CE"/>
    <w:rsid w:val="00B30697"/>
    <w:rsid w:val="00B3090D"/>
    <w:rsid w:val="00B3091F"/>
    <w:rsid w:val="00B30A74"/>
    <w:rsid w:val="00B30AC2"/>
    <w:rsid w:val="00B30C69"/>
    <w:rsid w:val="00B30DD6"/>
    <w:rsid w:val="00B30E9D"/>
    <w:rsid w:val="00B31945"/>
    <w:rsid w:val="00B31CF2"/>
    <w:rsid w:val="00B31D9C"/>
    <w:rsid w:val="00B31DDD"/>
    <w:rsid w:val="00B31F3E"/>
    <w:rsid w:val="00B31F5A"/>
    <w:rsid w:val="00B32557"/>
    <w:rsid w:val="00B32574"/>
    <w:rsid w:val="00B328C9"/>
    <w:rsid w:val="00B32A51"/>
    <w:rsid w:val="00B33024"/>
    <w:rsid w:val="00B33161"/>
    <w:rsid w:val="00B3319E"/>
    <w:rsid w:val="00B332D3"/>
    <w:rsid w:val="00B33414"/>
    <w:rsid w:val="00B334E6"/>
    <w:rsid w:val="00B3374E"/>
    <w:rsid w:val="00B338D7"/>
    <w:rsid w:val="00B3392C"/>
    <w:rsid w:val="00B33CE3"/>
    <w:rsid w:val="00B33DB3"/>
    <w:rsid w:val="00B33EB1"/>
    <w:rsid w:val="00B342D9"/>
    <w:rsid w:val="00B34362"/>
    <w:rsid w:val="00B34A02"/>
    <w:rsid w:val="00B35767"/>
    <w:rsid w:val="00B359B6"/>
    <w:rsid w:val="00B35C12"/>
    <w:rsid w:val="00B35C59"/>
    <w:rsid w:val="00B360BE"/>
    <w:rsid w:val="00B362C6"/>
    <w:rsid w:val="00B36678"/>
    <w:rsid w:val="00B367D6"/>
    <w:rsid w:val="00B3686B"/>
    <w:rsid w:val="00B36DDC"/>
    <w:rsid w:val="00B37581"/>
    <w:rsid w:val="00B37599"/>
    <w:rsid w:val="00B37F15"/>
    <w:rsid w:val="00B40288"/>
    <w:rsid w:val="00B40548"/>
    <w:rsid w:val="00B40E94"/>
    <w:rsid w:val="00B40F81"/>
    <w:rsid w:val="00B40FBF"/>
    <w:rsid w:val="00B41164"/>
    <w:rsid w:val="00B41723"/>
    <w:rsid w:val="00B41765"/>
    <w:rsid w:val="00B41815"/>
    <w:rsid w:val="00B4189E"/>
    <w:rsid w:val="00B41A57"/>
    <w:rsid w:val="00B41FE5"/>
    <w:rsid w:val="00B421C4"/>
    <w:rsid w:val="00B42982"/>
    <w:rsid w:val="00B42A1B"/>
    <w:rsid w:val="00B42AEF"/>
    <w:rsid w:val="00B43505"/>
    <w:rsid w:val="00B43690"/>
    <w:rsid w:val="00B43FE9"/>
    <w:rsid w:val="00B44320"/>
    <w:rsid w:val="00B443FE"/>
    <w:rsid w:val="00B4448A"/>
    <w:rsid w:val="00B444D3"/>
    <w:rsid w:val="00B446ED"/>
    <w:rsid w:val="00B44908"/>
    <w:rsid w:val="00B44B15"/>
    <w:rsid w:val="00B450C3"/>
    <w:rsid w:val="00B452F4"/>
    <w:rsid w:val="00B45337"/>
    <w:rsid w:val="00B4557E"/>
    <w:rsid w:val="00B455C7"/>
    <w:rsid w:val="00B456A3"/>
    <w:rsid w:val="00B45825"/>
    <w:rsid w:val="00B45B1A"/>
    <w:rsid w:val="00B45D74"/>
    <w:rsid w:val="00B45D7A"/>
    <w:rsid w:val="00B468A0"/>
    <w:rsid w:val="00B46D40"/>
    <w:rsid w:val="00B46E5A"/>
    <w:rsid w:val="00B46E8C"/>
    <w:rsid w:val="00B470C9"/>
    <w:rsid w:val="00B475B7"/>
    <w:rsid w:val="00B47A90"/>
    <w:rsid w:val="00B47F8A"/>
    <w:rsid w:val="00B5009C"/>
    <w:rsid w:val="00B5022D"/>
    <w:rsid w:val="00B506AC"/>
    <w:rsid w:val="00B50A09"/>
    <w:rsid w:val="00B50E71"/>
    <w:rsid w:val="00B510A2"/>
    <w:rsid w:val="00B51309"/>
    <w:rsid w:val="00B51627"/>
    <w:rsid w:val="00B517FE"/>
    <w:rsid w:val="00B51C22"/>
    <w:rsid w:val="00B51E8E"/>
    <w:rsid w:val="00B5270B"/>
    <w:rsid w:val="00B52790"/>
    <w:rsid w:val="00B52914"/>
    <w:rsid w:val="00B529DC"/>
    <w:rsid w:val="00B52B5E"/>
    <w:rsid w:val="00B52BA2"/>
    <w:rsid w:val="00B52C9C"/>
    <w:rsid w:val="00B52D36"/>
    <w:rsid w:val="00B52E54"/>
    <w:rsid w:val="00B53588"/>
    <w:rsid w:val="00B535BA"/>
    <w:rsid w:val="00B539FF"/>
    <w:rsid w:val="00B53C0C"/>
    <w:rsid w:val="00B53EBE"/>
    <w:rsid w:val="00B5479F"/>
    <w:rsid w:val="00B54B10"/>
    <w:rsid w:val="00B54B8F"/>
    <w:rsid w:val="00B54B95"/>
    <w:rsid w:val="00B54D45"/>
    <w:rsid w:val="00B54E4D"/>
    <w:rsid w:val="00B54FE3"/>
    <w:rsid w:val="00B5510D"/>
    <w:rsid w:val="00B55B57"/>
    <w:rsid w:val="00B55F53"/>
    <w:rsid w:val="00B55FAF"/>
    <w:rsid w:val="00B57108"/>
    <w:rsid w:val="00B571A7"/>
    <w:rsid w:val="00B575D0"/>
    <w:rsid w:val="00B57764"/>
    <w:rsid w:val="00B57B5C"/>
    <w:rsid w:val="00B57C10"/>
    <w:rsid w:val="00B57C16"/>
    <w:rsid w:val="00B57C65"/>
    <w:rsid w:val="00B57F70"/>
    <w:rsid w:val="00B6033D"/>
    <w:rsid w:val="00B60540"/>
    <w:rsid w:val="00B60547"/>
    <w:rsid w:val="00B6054C"/>
    <w:rsid w:val="00B606F3"/>
    <w:rsid w:val="00B60707"/>
    <w:rsid w:val="00B608BD"/>
    <w:rsid w:val="00B608E8"/>
    <w:rsid w:val="00B6093F"/>
    <w:rsid w:val="00B6115F"/>
    <w:rsid w:val="00B6184E"/>
    <w:rsid w:val="00B61AF1"/>
    <w:rsid w:val="00B61BDD"/>
    <w:rsid w:val="00B61C56"/>
    <w:rsid w:val="00B622AB"/>
    <w:rsid w:val="00B62402"/>
    <w:rsid w:val="00B62512"/>
    <w:rsid w:val="00B62A9E"/>
    <w:rsid w:val="00B62B88"/>
    <w:rsid w:val="00B63042"/>
    <w:rsid w:val="00B630D3"/>
    <w:rsid w:val="00B6331F"/>
    <w:rsid w:val="00B635AD"/>
    <w:rsid w:val="00B639A8"/>
    <w:rsid w:val="00B63D1B"/>
    <w:rsid w:val="00B63D39"/>
    <w:rsid w:val="00B63D48"/>
    <w:rsid w:val="00B64288"/>
    <w:rsid w:val="00B6439A"/>
    <w:rsid w:val="00B643AF"/>
    <w:rsid w:val="00B64678"/>
    <w:rsid w:val="00B646F7"/>
    <w:rsid w:val="00B64986"/>
    <w:rsid w:val="00B64D7F"/>
    <w:rsid w:val="00B65009"/>
    <w:rsid w:val="00B654A6"/>
    <w:rsid w:val="00B6609F"/>
    <w:rsid w:val="00B66B8F"/>
    <w:rsid w:val="00B66C7B"/>
    <w:rsid w:val="00B66D8B"/>
    <w:rsid w:val="00B670D3"/>
    <w:rsid w:val="00B69B2A"/>
    <w:rsid w:val="00B70362"/>
    <w:rsid w:val="00B70776"/>
    <w:rsid w:val="00B70D59"/>
    <w:rsid w:val="00B71057"/>
    <w:rsid w:val="00B711F5"/>
    <w:rsid w:val="00B7165D"/>
    <w:rsid w:val="00B71687"/>
    <w:rsid w:val="00B71B8F"/>
    <w:rsid w:val="00B71E01"/>
    <w:rsid w:val="00B72121"/>
    <w:rsid w:val="00B722A0"/>
    <w:rsid w:val="00B72371"/>
    <w:rsid w:val="00B723E7"/>
    <w:rsid w:val="00B72464"/>
    <w:rsid w:val="00B7247F"/>
    <w:rsid w:val="00B7248C"/>
    <w:rsid w:val="00B727E3"/>
    <w:rsid w:val="00B72B41"/>
    <w:rsid w:val="00B730BC"/>
    <w:rsid w:val="00B73308"/>
    <w:rsid w:val="00B7336A"/>
    <w:rsid w:val="00B73435"/>
    <w:rsid w:val="00B7393C"/>
    <w:rsid w:val="00B73BED"/>
    <w:rsid w:val="00B73F78"/>
    <w:rsid w:val="00B73FFF"/>
    <w:rsid w:val="00B744FC"/>
    <w:rsid w:val="00B748CB"/>
    <w:rsid w:val="00B74998"/>
    <w:rsid w:val="00B74AE3"/>
    <w:rsid w:val="00B74D05"/>
    <w:rsid w:val="00B74DA5"/>
    <w:rsid w:val="00B74DDB"/>
    <w:rsid w:val="00B75293"/>
    <w:rsid w:val="00B752A7"/>
    <w:rsid w:val="00B752DB"/>
    <w:rsid w:val="00B75856"/>
    <w:rsid w:val="00B75886"/>
    <w:rsid w:val="00B758D5"/>
    <w:rsid w:val="00B75E04"/>
    <w:rsid w:val="00B76118"/>
    <w:rsid w:val="00B762AF"/>
    <w:rsid w:val="00B765ED"/>
    <w:rsid w:val="00B766FF"/>
    <w:rsid w:val="00B76822"/>
    <w:rsid w:val="00B76F49"/>
    <w:rsid w:val="00B771D4"/>
    <w:rsid w:val="00B7735A"/>
    <w:rsid w:val="00B774A8"/>
    <w:rsid w:val="00B777E4"/>
    <w:rsid w:val="00B80061"/>
    <w:rsid w:val="00B801D2"/>
    <w:rsid w:val="00B802F8"/>
    <w:rsid w:val="00B80555"/>
    <w:rsid w:val="00B8056A"/>
    <w:rsid w:val="00B807AB"/>
    <w:rsid w:val="00B809E4"/>
    <w:rsid w:val="00B80CB2"/>
    <w:rsid w:val="00B80CDD"/>
    <w:rsid w:val="00B80EE0"/>
    <w:rsid w:val="00B81014"/>
    <w:rsid w:val="00B814E6"/>
    <w:rsid w:val="00B81925"/>
    <w:rsid w:val="00B81C3B"/>
    <w:rsid w:val="00B81C66"/>
    <w:rsid w:val="00B81E82"/>
    <w:rsid w:val="00B81ECF"/>
    <w:rsid w:val="00B81FA8"/>
    <w:rsid w:val="00B8280D"/>
    <w:rsid w:val="00B828EF"/>
    <w:rsid w:val="00B8290C"/>
    <w:rsid w:val="00B82916"/>
    <w:rsid w:val="00B82AD8"/>
    <w:rsid w:val="00B82C76"/>
    <w:rsid w:val="00B82FE9"/>
    <w:rsid w:val="00B83363"/>
    <w:rsid w:val="00B83459"/>
    <w:rsid w:val="00B834FD"/>
    <w:rsid w:val="00B8352D"/>
    <w:rsid w:val="00B83CAB"/>
    <w:rsid w:val="00B84069"/>
    <w:rsid w:val="00B84171"/>
    <w:rsid w:val="00B844C5"/>
    <w:rsid w:val="00B845C6"/>
    <w:rsid w:val="00B8475A"/>
    <w:rsid w:val="00B8498C"/>
    <w:rsid w:val="00B84F36"/>
    <w:rsid w:val="00B84FA2"/>
    <w:rsid w:val="00B8534B"/>
    <w:rsid w:val="00B85836"/>
    <w:rsid w:val="00B85D02"/>
    <w:rsid w:val="00B85FA3"/>
    <w:rsid w:val="00B85FAA"/>
    <w:rsid w:val="00B86113"/>
    <w:rsid w:val="00B86611"/>
    <w:rsid w:val="00B86802"/>
    <w:rsid w:val="00B8695A"/>
    <w:rsid w:val="00B86974"/>
    <w:rsid w:val="00B86B3A"/>
    <w:rsid w:val="00B86D4B"/>
    <w:rsid w:val="00B873B1"/>
    <w:rsid w:val="00B877AB"/>
    <w:rsid w:val="00B87A5D"/>
    <w:rsid w:val="00B87D07"/>
    <w:rsid w:val="00B90340"/>
    <w:rsid w:val="00B906CA"/>
    <w:rsid w:val="00B90942"/>
    <w:rsid w:val="00B90B9D"/>
    <w:rsid w:val="00B90C07"/>
    <w:rsid w:val="00B90E36"/>
    <w:rsid w:val="00B90E51"/>
    <w:rsid w:val="00B911B3"/>
    <w:rsid w:val="00B91458"/>
    <w:rsid w:val="00B916F1"/>
    <w:rsid w:val="00B917AE"/>
    <w:rsid w:val="00B917BF"/>
    <w:rsid w:val="00B9188A"/>
    <w:rsid w:val="00B918D3"/>
    <w:rsid w:val="00B91AA8"/>
    <w:rsid w:val="00B91B9B"/>
    <w:rsid w:val="00B91CA5"/>
    <w:rsid w:val="00B91CFC"/>
    <w:rsid w:val="00B91F7B"/>
    <w:rsid w:val="00B92243"/>
    <w:rsid w:val="00B92978"/>
    <w:rsid w:val="00B92E5E"/>
    <w:rsid w:val="00B93190"/>
    <w:rsid w:val="00B9340B"/>
    <w:rsid w:val="00B936BB"/>
    <w:rsid w:val="00B936BC"/>
    <w:rsid w:val="00B93B0E"/>
    <w:rsid w:val="00B94123"/>
    <w:rsid w:val="00B94342"/>
    <w:rsid w:val="00B947DF"/>
    <w:rsid w:val="00B94841"/>
    <w:rsid w:val="00B9493B"/>
    <w:rsid w:val="00B9493C"/>
    <w:rsid w:val="00B95214"/>
    <w:rsid w:val="00B95854"/>
    <w:rsid w:val="00B95924"/>
    <w:rsid w:val="00B9616A"/>
    <w:rsid w:val="00B96234"/>
    <w:rsid w:val="00B96400"/>
    <w:rsid w:val="00B96737"/>
    <w:rsid w:val="00B967FD"/>
    <w:rsid w:val="00B96F6A"/>
    <w:rsid w:val="00B973B6"/>
    <w:rsid w:val="00B97457"/>
    <w:rsid w:val="00B9749E"/>
    <w:rsid w:val="00B97D59"/>
    <w:rsid w:val="00BA01BF"/>
    <w:rsid w:val="00BA0410"/>
    <w:rsid w:val="00BA076C"/>
    <w:rsid w:val="00BA097A"/>
    <w:rsid w:val="00BA0A1B"/>
    <w:rsid w:val="00BA0B2D"/>
    <w:rsid w:val="00BA0BF6"/>
    <w:rsid w:val="00BA11D7"/>
    <w:rsid w:val="00BA1393"/>
    <w:rsid w:val="00BA139E"/>
    <w:rsid w:val="00BA1C04"/>
    <w:rsid w:val="00BA1ED6"/>
    <w:rsid w:val="00BA2415"/>
    <w:rsid w:val="00BA2555"/>
    <w:rsid w:val="00BA25A3"/>
    <w:rsid w:val="00BA282C"/>
    <w:rsid w:val="00BA2D56"/>
    <w:rsid w:val="00BA2D59"/>
    <w:rsid w:val="00BA2F49"/>
    <w:rsid w:val="00BA2F95"/>
    <w:rsid w:val="00BA36A3"/>
    <w:rsid w:val="00BA3B16"/>
    <w:rsid w:val="00BA420B"/>
    <w:rsid w:val="00BA450C"/>
    <w:rsid w:val="00BA4E9C"/>
    <w:rsid w:val="00BA52CC"/>
    <w:rsid w:val="00BA559C"/>
    <w:rsid w:val="00BA59F6"/>
    <w:rsid w:val="00BA5A9C"/>
    <w:rsid w:val="00BA5BCE"/>
    <w:rsid w:val="00BA5CAB"/>
    <w:rsid w:val="00BA5F50"/>
    <w:rsid w:val="00BA5FA9"/>
    <w:rsid w:val="00BA67FB"/>
    <w:rsid w:val="00BA6B96"/>
    <w:rsid w:val="00BA6D28"/>
    <w:rsid w:val="00BA7071"/>
    <w:rsid w:val="00BA7361"/>
    <w:rsid w:val="00BA74BF"/>
    <w:rsid w:val="00BA78CA"/>
    <w:rsid w:val="00BA78CC"/>
    <w:rsid w:val="00BA7934"/>
    <w:rsid w:val="00BA7CAF"/>
    <w:rsid w:val="00BA7E16"/>
    <w:rsid w:val="00BA7E3B"/>
    <w:rsid w:val="00BA7F83"/>
    <w:rsid w:val="00BB0121"/>
    <w:rsid w:val="00BB0217"/>
    <w:rsid w:val="00BB0490"/>
    <w:rsid w:val="00BB0578"/>
    <w:rsid w:val="00BB0720"/>
    <w:rsid w:val="00BB0794"/>
    <w:rsid w:val="00BB0D3F"/>
    <w:rsid w:val="00BB1075"/>
    <w:rsid w:val="00BB16A3"/>
    <w:rsid w:val="00BB1BA1"/>
    <w:rsid w:val="00BB1BDB"/>
    <w:rsid w:val="00BB1C7F"/>
    <w:rsid w:val="00BB1F70"/>
    <w:rsid w:val="00BB2146"/>
    <w:rsid w:val="00BB2548"/>
    <w:rsid w:val="00BB2729"/>
    <w:rsid w:val="00BB274D"/>
    <w:rsid w:val="00BB2960"/>
    <w:rsid w:val="00BB2AFC"/>
    <w:rsid w:val="00BB2E67"/>
    <w:rsid w:val="00BB2E95"/>
    <w:rsid w:val="00BB2EF1"/>
    <w:rsid w:val="00BB2EF9"/>
    <w:rsid w:val="00BB2F10"/>
    <w:rsid w:val="00BB2FBE"/>
    <w:rsid w:val="00BB37AE"/>
    <w:rsid w:val="00BB37D7"/>
    <w:rsid w:val="00BB3830"/>
    <w:rsid w:val="00BB3C73"/>
    <w:rsid w:val="00BB42D1"/>
    <w:rsid w:val="00BB443F"/>
    <w:rsid w:val="00BB49FB"/>
    <w:rsid w:val="00BB4CCC"/>
    <w:rsid w:val="00BB4D44"/>
    <w:rsid w:val="00BB4DEA"/>
    <w:rsid w:val="00BB4FAF"/>
    <w:rsid w:val="00BB5220"/>
    <w:rsid w:val="00BB524F"/>
    <w:rsid w:val="00BB53B0"/>
    <w:rsid w:val="00BB5EBE"/>
    <w:rsid w:val="00BB5FA8"/>
    <w:rsid w:val="00BB60D2"/>
    <w:rsid w:val="00BB6281"/>
    <w:rsid w:val="00BB63BA"/>
    <w:rsid w:val="00BB63CC"/>
    <w:rsid w:val="00BB646C"/>
    <w:rsid w:val="00BB67A5"/>
    <w:rsid w:val="00BB6868"/>
    <w:rsid w:val="00BB71B3"/>
    <w:rsid w:val="00BB76AE"/>
    <w:rsid w:val="00BB79A7"/>
    <w:rsid w:val="00BB7C6D"/>
    <w:rsid w:val="00BB7D0A"/>
    <w:rsid w:val="00BB7F55"/>
    <w:rsid w:val="00BC07C4"/>
    <w:rsid w:val="00BC0BBA"/>
    <w:rsid w:val="00BC0C1F"/>
    <w:rsid w:val="00BC0C32"/>
    <w:rsid w:val="00BC0E0E"/>
    <w:rsid w:val="00BC10D5"/>
    <w:rsid w:val="00BC115D"/>
    <w:rsid w:val="00BC1C2E"/>
    <w:rsid w:val="00BC1CDE"/>
    <w:rsid w:val="00BC1FBC"/>
    <w:rsid w:val="00BC1FEC"/>
    <w:rsid w:val="00BC20AC"/>
    <w:rsid w:val="00BC245C"/>
    <w:rsid w:val="00BC246D"/>
    <w:rsid w:val="00BC2531"/>
    <w:rsid w:val="00BC2ACF"/>
    <w:rsid w:val="00BC2CA4"/>
    <w:rsid w:val="00BC2D87"/>
    <w:rsid w:val="00BC3052"/>
    <w:rsid w:val="00BC3871"/>
    <w:rsid w:val="00BC3FD9"/>
    <w:rsid w:val="00BC4215"/>
    <w:rsid w:val="00BC4243"/>
    <w:rsid w:val="00BC475A"/>
    <w:rsid w:val="00BC4792"/>
    <w:rsid w:val="00BC49FC"/>
    <w:rsid w:val="00BC4B0B"/>
    <w:rsid w:val="00BC4BFC"/>
    <w:rsid w:val="00BC5796"/>
    <w:rsid w:val="00BC5DD7"/>
    <w:rsid w:val="00BC5EA0"/>
    <w:rsid w:val="00BC5F78"/>
    <w:rsid w:val="00BC5F9E"/>
    <w:rsid w:val="00BC636D"/>
    <w:rsid w:val="00BC64A4"/>
    <w:rsid w:val="00BC72EA"/>
    <w:rsid w:val="00BC753C"/>
    <w:rsid w:val="00BC76ED"/>
    <w:rsid w:val="00BC775C"/>
    <w:rsid w:val="00BC7886"/>
    <w:rsid w:val="00BC796E"/>
    <w:rsid w:val="00BC7BF0"/>
    <w:rsid w:val="00BC7C05"/>
    <w:rsid w:val="00BC7F72"/>
    <w:rsid w:val="00BD007F"/>
    <w:rsid w:val="00BD0464"/>
    <w:rsid w:val="00BD076E"/>
    <w:rsid w:val="00BD0819"/>
    <w:rsid w:val="00BD097F"/>
    <w:rsid w:val="00BD0B5D"/>
    <w:rsid w:val="00BD15BE"/>
    <w:rsid w:val="00BD165F"/>
    <w:rsid w:val="00BD1DC2"/>
    <w:rsid w:val="00BD20A2"/>
    <w:rsid w:val="00BD20AD"/>
    <w:rsid w:val="00BD2410"/>
    <w:rsid w:val="00BD2549"/>
    <w:rsid w:val="00BD25FD"/>
    <w:rsid w:val="00BD2683"/>
    <w:rsid w:val="00BD2808"/>
    <w:rsid w:val="00BD2993"/>
    <w:rsid w:val="00BD2ACC"/>
    <w:rsid w:val="00BD2ED9"/>
    <w:rsid w:val="00BD2F25"/>
    <w:rsid w:val="00BD2F9D"/>
    <w:rsid w:val="00BD3165"/>
    <w:rsid w:val="00BD34A2"/>
    <w:rsid w:val="00BD389C"/>
    <w:rsid w:val="00BD38B6"/>
    <w:rsid w:val="00BD38D9"/>
    <w:rsid w:val="00BD3D29"/>
    <w:rsid w:val="00BD4210"/>
    <w:rsid w:val="00BD4371"/>
    <w:rsid w:val="00BD4442"/>
    <w:rsid w:val="00BD4747"/>
    <w:rsid w:val="00BD492A"/>
    <w:rsid w:val="00BD49A8"/>
    <w:rsid w:val="00BD4A32"/>
    <w:rsid w:val="00BD4ADC"/>
    <w:rsid w:val="00BD4B88"/>
    <w:rsid w:val="00BD4DBD"/>
    <w:rsid w:val="00BD4E0C"/>
    <w:rsid w:val="00BD5047"/>
    <w:rsid w:val="00BD5098"/>
    <w:rsid w:val="00BD526D"/>
    <w:rsid w:val="00BD567F"/>
    <w:rsid w:val="00BD5928"/>
    <w:rsid w:val="00BD5AA4"/>
    <w:rsid w:val="00BD5C7F"/>
    <w:rsid w:val="00BD5CAA"/>
    <w:rsid w:val="00BD6282"/>
    <w:rsid w:val="00BD62B6"/>
    <w:rsid w:val="00BD6404"/>
    <w:rsid w:val="00BD68A7"/>
    <w:rsid w:val="00BD6B03"/>
    <w:rsid w:val="00BD77A1"/>
    <w:rsid w:val="00BD7985"/>
    <w:rsid w:val="00BD79D3"/>
    <w:rsid w:val="00BD7D3A"/>
    <w:rsid w:val="00BD7E76"/>
    <w:rsid w:val="00BD7EB2"/>
    <w:rsid w:val="00BD7F10"/>
    <w:rsid w:val="00BE0195"/>
    <w:rsid w:val="00BE01D1"/>
    <w:rsid w:val="00BE01DA"/>
    <w:rsid w:val="00BE01E1"/>
    <w:rsid w:val="00BE0303"/>
    <w:rsid w:val="00BE0395"/>
    <w:rsid w:val="00BE06EC"/>
    <w:rsid w:val="00BE06F8"/>
    <w:rsid w:val="00BE090E"/>
    <w:rsid w:val="00BE0BF3"/>
    <w:rsid w:val="00BE127E"/>
    <w:rsid w:val="00BE143A"/>
    <w:rsid w:val="00BE1541"/>
    <w:rsid w:val="00BE17B6"/>
    <w:rsid w:val="00BE1881"/>
    <w:rsid w:val="00BE19F1"/>
    <w:rsid w:val="00BE19FC"/>
    <w:rsid w:val="00BE1D5B"/>
    <w:rsid w:val="00BE26E1"/>
    <w:rsid w:val="00BE26EE"/>
    <w:rsid w:val="00BE294C"/>
    <w:rsid w:val="00BE2950"/>
    <w:rsid w:val="00BE2F17"/>
    <w:rsid w:val="00BE3160"/>
    <w:rsid w:val="00BE31B2"/>
    <w:rsid w:val="00BE32C6"/>
    <w:rsid w:val="00BE3338"/>
    <w:rsid w:val="00BE371C"/>
    <w:rsid w:val="00BE3A05"/>
    <w:rsid w:val="00BE3C2D"/>
    <w:rsid w:val="00BE4ADA"/>
    <w:rsid w:val="00BE4BFD"/>
    <w:rsid w:val="00BE4D8E"/>
    <w:rsid w:val="00BE52F6"/>
    <w:rsid w:val="00BE586E"/>
    <w:rsid w:val="00BE58E3"/>
    <w:rsid w:val="00BE5D1C"/>
    <w:rsid w:val="00BE5D5A"/>
    <w:rsid w:val="00BE5F76"/>
    <w:rsid w:val="00BE629C"/>
    <w:rsid w:val="00BE6AB5"/>
    <w:rsid w:val="00BE6B1D"/>
    <w:rsid w:val="00BE6E8D"/>
    <w:rsid w:val="00BE71C2"/>
    <w:rsid w:val="00BE7435"/>
    <w:rsid w:val="00BE75FB"/>
    <w:rsid w:val="00BE7660"/>
    <w:rsid w:val="00BE7917"/>
    <w:rsid w:val="00BE7A70"/>
    <w:rsid w:val="00BE7D18"/>
    <w:rsid w:val="00BE7F7E"/>
    <w:rsid w:val="00BF02BE"/>
    <w:rsid w:val="00BF0430"/>
    <w:rsid w:val="00BF0476"/>
    <w:rsid w:val="00BF06C7"/>
    <w:rsid w:val="00BF06E4"/>
    <w:rsid w:val="00BF083A"/>
    <w:rsid w:val="00BF0A0D"/>
    <w:rsid w:val="00BF1314"/>
    <w:rsid w:val="00BF1867"/>
    <w:rsid w:val="00BF1B05"/>
    <w:rsid w:val="00BF1C12"/>
    <w:rsid w:val="00BF1E6D"/>
    <w:rsid w:val="00BF2311"/>
    <w:rsid w:val="00BF28EB"/>
    <w:rsid w:val="00BF2AC7"/>
    <w:rsid w:val="00BF2C69"/>
    <w:rsid w:val="00BF2D2C"/>
    <w:rsid w:val="00BF2E04"/>
    <w:rsid w:val="00BF3041"/>
    <w:rsid w:val="00BF3F70"/>
    <w:rsid w:val="00BF42C2"/>
    <w:rsid w:val="00BF45A4"/>
    <w:rsid w:val="00BF45DF"/>
    <w:rsid w:val="00BF474E"/>
    <w:rsid w:val="00BF4E73"/>
    <w:rsid w:val="00BF4F5D"/>
    <w:rsid w:val="00BF5116"/>
    <w:rsid w:val="00BF55F1"/>
    <w:rsid w:val="00BF5648"/>
    <w:rsid w:val="00BF5A29"/>
    <w:rsid w:val="00BF5A87"/>
    <w:rsid w:val="00BF5BFB"/>
    <w:rsid w:val="00BF5C42"/>
    <w:rsid w:val="00BF5EC8"/>
    <w:rsid w:val="00BF5ED1"/>
    <w:rsid w:val="00BF5FF1"/>
    <w:rsid w:val="00BF6086"/>
    <w:rsid w:val="00BF67E0"/>
    <w:rsid w:val="00BF6C70"/>
    <w:rsid w:val="00BF6F58"/>
    <w:rsid w:val="00BF724D"/>
    <w:rsid w:val="00BF7293"/>
    <w:rsid w:val="00BF735A"/>
    <w:rsid w:val="00BF7AEA"/>
    <w:rsid w:val="00BFF808"/>
    <w:rsid w:val="00C00178"/>
    <w:rsid w:val="00C001B3"/>
    <w:rsid w:val="00C0056C"/>
    <w:rsid w:val="00C00749"/>
    <w:rsid w:val="00C00791"/>
    <w:rsid w:val="00C007FF"/>
    <w:rsid w:val="00C0093E"/>
    <w:rsid w:val="00C00971"/>
    <w:rsid w:val="00C009ED"/>
    <w:rsid w:val="00C01583"/>
    <w:rsid w:val="00C015E4"/>
    <w:rsid w:val="00C016CE"/>
    <w:rsid w:val="00C016ED"/>
    <w:rsid w:val="00C0175E"/>
    <w:rsid w:val="00C01931"/>
    <w:rsid w:val="00C019A8"/>
    <w:rsid w:val="00C02009"/>
    <w:rsid w:val="00C02469"/>
    <w:rsid w:val="00C029EE"/>
    <w:rsid w:val="00C02AEF"/>
    <w:rsid w:val="00C02D93"/>
    <w:rsid w:val="00C02F3A"/>
    <w:rsid w:val="00C02F55"/>
    <w:rsid w:val="00C034A1"/>
    <w:rsid w:val="00C036A7"/>
    <w:rsid w:val="00C03739"/>
    <w:rsid w:val="00C037C5"/>
    <w:rsid w:val="00C03FE7"/>
    <w:rsid w:val="00C041C8"/>
    <w:rsid w:val="00C04279"/>
    <w:rsid w:val="00C04296"/>
    <w:rsid w:val="00C05178"/>
    <w:rsid w:val="00C053C6"/>
    <w:rsid w:val="00C0546C"/>
    <w:rsid w:val="00C058AE"/>
    <w:rsid w:val="00C059FB"/>
    <w:rsid w:val="00C05E74"/>
    <w:rsid w:val="00C0622C"/>
    <w:rsid w:val="00C0635B"/>
    <w:rsid w:val="00C06419"/>
    <w:rsid w:val="00C06BA8"/>
    <w:rsid w:val="00C06C44"/>
    <w:rsid w:val="00C06D5B"/>
    <w:rsid w:val="00C07162"/>
    <w:rsid w:val="00C0736A"/>
    <w:rsid w:val="00C078D5"/>
    <w:rsid w:val="00C10039"/>
    <w:rsid w:val="00C101C6"/>
    <w:rsid w:val="00C102E3"/>
    <w:rsid w:val="00C103C5"/>
    <w:rsid w:val="00C10805"/>
    <w:rsid w:val="00C11163"/>
    <w:rsid w:val="00C1131A"/>
    <w:rsid w:val="00C116D5"/>
    <w:rsid w:val="00C11BF4"/>
    <w:rsid w:val="00C11BFC"/>
    <w:rsid w:val="00C1206F"/>
    <w:rsid w:val="00C12171"/>
    <w:rsid w:val="00C122B6"/>
    <w:rsid w:val="00C123A8"/>
    <w:rsid w:val="00C125EF"/>
    <w:rsid w:val="00C12661"/>
    <w:rsid w:val="00C12857"/>
    <w:rsid w:val="00C129C0"/>
    <w:rsid w:val="00C12AA8"/>
    <w:rsid w:val="00C12C4E"/>
    <w:rsid w:val="00C12CF7"/>
    <w:rsid w:val="00C12CF8"/>
    <w:rsid w:val="00C12DE9"/>
    <w:rsid w:val="00C12E8F"/>
    <w:rsid w:val="00C1307A"/>
    <w:rsid w:val="00C1336F"/>
    <w:rsid w:val="00C133BD"/>
    <w:rsid w:val="00C13441"/>
    <w:rsid w:val="00C13442"/>
    <w:rsid w:val="00C134E0"/>
    <w:rsid w:val="00C13542"/>
    <w:rsid w:val="00C135AF"/>
    <w:rsid w:val="00C1360C"/>
    <w:rsid w:val="00C1392A"/>
    <w:rsid w:val="00C1398B"/>
    <w:rsid w:val="00C13B90"/>
    <w:rsid w:val="00C13CF6"/>
    <w:rsid w:val="00C13D41"/>
    <w:rsid w:val="00C13D70"/>
    <w:rsid w:val="00C13F44"/>
    <w:rsid w:val="00C144EE"/>
    <w:rsid w:val="00C1483E"/>
    <w:rsid w:val="00C14D34"/>
    <w:rsid w:val="00C14FC9"/>
    <w:rsid w:val="00C151B2"/>
    <w:rsid w:val="00C1534E"/>
    <w:rsid w:val="00C154A4"/>
    <w:rsid w:val="00C15BD6"/>
    <w:rsid w:val="00C15E6B"/>
    <w:rsid w:val="00C15F29"/>
    <w:rsid w:val="00C15F42"/>
    <w:rsid w:val="00C160A2"/>
    <w:rsid w:val="00C16248"/>
    <w:rsid w:val="00C162DD"/>
    <w:rsid w:val="00C165F6"/>
    <w:rsid w:val="00C16613"/>
    <w:rsid w:val="00C166D6"/>
    <w:rsid w:val="00C16CC2"/>
    <w:rsid w:val="00C16E5C"/>
    <w:rsid w:val="00C16ED0"/>
    <w:rsid w:val="00C17048"/>
    <w:rsid w:val="00C17432"/>
    <w:rsid w:val="00C17589"/>
    <w:rsid w:val="00C17A93"/>
    <w:rsid w:val="00C17BE8"/>
    <w:rsid w:val="00C17CC7"/>
    <w:rsid w:val="00C203B8"/>
    <w:rsid w:val="00C20513"/>
    <w:rsid w:val="00C20765"/>
    <w:rsid w:val="00C20EDC"/>
    <w:rsid w:val="00C20F2F"/>
    <w:rsid w:val="00C2157B"/>
    <w:rsid w:val="00C219B2"/>
    <w:rsid w:val="00C219BA"/>
    <w:rsid w:val="00C21A8C"/>
    <w:rsid w:val="00C21DCA"/>
    <w:rsid w:val="00C2208A"/>
    <w:rsid w:val="00C2218C"/>
    <w:rsid w:val="00C22675"/>
    <w:rsid w:val="00C226AB"/>
    <w:rsid w:val="00C22DE5"/>
    <w:rsid w:val="00C22EF7"/>
    <w:rsid w:val="00C2309F"/>
    <w:rsid w:val="00C23E99"/>
    <w:rsid w:val="00C244EE"/>
    <w:rsid w:val="00C24583"/>
    <w:rsid w:val="00C246D2"/>
    <w:rsid w:val="00C24799"/>
    <w:rsid w:val="00C24877"/>
    <w:rsid w:val="00C2527A"/>
    <w:rsid w:val="00C2540B"/>
    <w:rsid w:val="00C2542F"/>
    <w:rsid w:val="00C2545F"/>
    <w:rsid w:val="00C255A3"/>
    <w:rsid w:val="00C259B4"/>
    <w:rsid w:val="00C25A69"/>
    <w:rsid w:val="00C25C4A"/>
    <w:rsid w:val="00C25D47"/>
    <w:rsid w:val="00C260ED"/>
    <w:rsid w:val="00C26143"/>
    <w:rsid w:val="00C262DD"/>
    <w:rsid w:val="00C26B72"/>
    <w:rsid w:val="00C26BFF"/>
    <w:rsid w:val="00C27088"/>
    <w:rsid w:val="00C27191"/>
    <w:rsid w:val="00C27220"/>
    <w:rsid w:val="00C27288"/>
    <w:rsid w:val="00C2783F"/>
    <w:rsid w:val="00C27E35"/>
    <w:rsid w:val="00C302ED"/>
    <w:rsid w:val="00C309BF"/>
    <w:rsid w:val="00C30D46"/>
    <w:rsid w:val="00C314D4"/>
    <w:rsid w:val="00C316AE"/>
    <w:rsid w:val="00C316E7"/>
    <w:rsid w:val="00C31753"/>
    <w:rsid w:val="00C31793"/>
    <w:rsid w:val="00C318FD"/>
    <w:rsid w:val="00C31D1B"/>
    <w:rsid w:val="00C31F71"/>
    <w:rsid w:val="00C3235A"/>
    <w:rsid w:val="00C3264D"/>
    <w:rsid w:val="00C3268D"/>
    <w:rsid w:val="00C326E8"/>
    <w:rsid w:val="00C32800"/>
    <w:rsid w:val="00C32E6D"/>
    <w:rsid w:val="00C33039"/>
    <w:rsid w:val="00C33059"/>
    <w:rsid w:val="00C331E6"/>
    <w:rsid w:val="00C33245"/>
    <w:rsid w:val="00C33276"/>
    <w:rsid w:val="00C333C6"/>
    <w:rsid w:val="00C33450"/>
    <w:rsid w:val="00C33854"/>
    <w:rsid w:val="00C33D21"/>
    <w:rsid w:val="00C33D80"/>
    <w:rsid w:val="00C33E80"/>
    <w:rsid w:val="00C33F61"/>
    <w:rsid w:val="00C34022"/>
    <w:rsid w:val="00C3458A"/>
    <w:rsid w:val="00C3466F"/>
    <w:rsid w:val="00C35002"/>
    <w:rsid w:val="00C351A3"/>
    <w:rsid w:val="00C3532B"/>
    <w:rsid w:val="00C3536A"/>
    <w:rsid w:val="00C356F9"/>
    <w:rsid w:val="00C357B8"/>
    <w:rsid w:val="00C35A79"/>
    <w:rsid w:val="00C35D4F"/>
    <w:rsid w:val="00C36460"/>
    <w:rsid w:val="00C365D4"/>
    <w:rsid w:val="00C369E9"/>
    <w:rsid w:val="00C36E64"/>
    <w:rsid w:val="00C375FD"/>
    <w:rsid w:val="00C376B7"/>
    <w:rsid w:val="00C376F4"/>
    <w:rsid w:val="00C37873"/>
    <w:rsid w:val="00C379A6"/>
    <w:rsid w:val="00C37A6F"/>
    <w:rsid w:val="00C400EC"/>
    <w:rsid w:val="00C4016F"/>
    <w:rsid w:val="00C401DF"/>
    <w:rsid w:val="00C402EB"/>
    <w:rsid w:val="00C403D9"/>
    <w:rsid w:val="00C4041D"/>
    <w:rsid w:val="00C4056E"/>
    <w:rsid w:val="00C40607"/>
    <w:rsid w:val="00C40622"/>
    <w:rsid w:val="00C40794"/>
    <w:rsid w:val="00C40831"/>
    <w:rsid w:val="00C4095D"/>
    <w:rsid w:val="00C409C2"/>
    <w:rsid w:val="00C41073"/>
    <w:rsid w:val="00C41105"/>
    <w:rsid w:val="00C41227"/>
    <w:rsid w:val="00C4123E"/>
    <w:rsid w:val="00C41892"/>
    <w:rsid w:val="00C41B11"/>
    <w:rsid w:val="00C41C54"/>
    <w:rsid w:val="00C4206D"/>
    <w:rsid w:val="00C422FA"/>
    <w:rsid w:val="00C42808"/>
    <w:rsid w:val="00C42A76"/>
    <w:rsid w:val="00C42C20"/>
    <w:rsid w:val="00C42C23"/>
    <w:rsid w:val="00C42C6E"/>
    <w:rsid w:val="00C42CC6"/>
    <w:rsid w:val="00C42DC0"/>
    <w:rsid w:val="00C42DE9"/>
    <w:rsid w:val="00C42EAD"/>
    <w:rsid w:val="00C43483"/>
    <w:rsid w:val="00C434AA"/>
    <w:rsid w:val="00C43B48"/>
    <w:rsid w:val="00C43B55"/>
    <w:rsid w:val="00C43DCD"/>
    <w:rsid w:val="00C43F53"/>
    <w:rsid w:val="00C45ABD"/>
    <w:rsid w:val="00C45AD8"/>
    <w:rsid w:val="00C45BBE"/>
    <w:rsid w:val="00C45C15"/>
    <w:rsid w:val="00C4621B"/>
    <w:rsid w:val="00C462B5"/>
    <w:rsid w:val="00C463A5"/>
    <w:rsid w:val="00C465F3"/>
    <w:rsid w:val="00C4667F"/>
    <w:rsid w:val="00C46760"/>
    <w:rsid w:val="00C46965"/>
    <w:rsid w:val="00C46B24"/>
    <w:rsid w:val="00C470C8"/>
    <w:rsid w:val="00C50003"/>
    <w:rsid w:val="00C5015C"/>
    <w:rsid w:val="00C50427"/>
    <w:rsid w:val="00C50667"/>
    <w:rsid w:val="00C50715"/>
    <w:rsid w:val="00C50A52"/>
    <w:rsid w:val="00C50BFD"/>
    <w:rsid w:val="00C50C1B"/>
    <w:rsid w:val="00C50CC4"/>
    <w:rsid w:val="00C50E46"/>
    <w:rsid w:val="00C50F69"/>
    <w:rsid w:val="00C511DD"/>
    <w:rsid w:val="00C51342"/>
    <w:rsid w:val="00C51827"/>
    <w:rsid w:val="00C5190F"/>
    <w:rsid w:val="00C5199D"/>
    <w:rsid w:val="00C51AC3"/>
    <w:rsid w:val="00C52278"/>
    <w:rsid w:val="00C522CA"/>
    <w:rsid w:val="00C5261D"/>
    <w:rsid w:val="00C52B95"/>
    <w:rsid w:val="00C53295"/>
    <w:rsid w:val="00C53B91"/>
    <w:rsid w:val="00C54105"/>
    <w:rsid w:val="00C546C7"/>
    <w:rsid w:val="00C546FB"/>
    <w:rsid w:val="00C54A5B"/>
    <w:rsid w:val="00C54B11"/>
    <w:rsid w:val="00C54D86"/>
    <w:rsid w:val="00C54F53"/>
    <w:rsid w:val="00C5518E"/>
    <w:rsid w:val="00C55523"/>
    <w:rsid w:val="00C55BCF"/>
    <w:rsid w:val="00C55BEE"/>
    <w:rsid w:val="00C55DD1"/>
    <w:rsid w:val="00C55DE5"/>
    <w:rsid w:val="00C56277"/>
    <w:rsid w:val="00C562C8"/>
    <w:rsid w:val="00C56330"/>
    <w:rsid w:val="00C56361"/>
    <w:rsid w:val="00C56653"/>
    <w:rsid w:val="00C566C0"/>
    <w:rsid w:val="00C56755"/>
    <w:rsid w:val="00C56756"/>
    <w:rsid w:val="00C5681E"/>
    <w:rsid w:val="00C5694E"/>
    <w:rsid w:val="00C5697A"/>
    <w:rsid w:val="00C56C93"/>
    <w:rsid w:val="00C56D80"/>
    <w:rsid w:val="00C57040"/>
    <w:rsid w:val="00C573DA"/>
    <w:rsid w:val="00C57472"/>
    <w:rsid w:val="00C5776B"/>
    <w:rsid w:val="00C60806"/>
    <w:rsid w:val="00C60E32"/>
    <w:rsid w:val="00C60FFA"/>
    <w:rsid w:val="00C612CF"/>
    <w:rsid w:val="00C615AC"/>
    <w:rsid w:val="00C619B1"/>
    <w:rsid w:val="00C61BDA"/>
    <w:rsid w:val="00C61C15"/>
    <w:rsid w:val="00C61CE6"/>
    <w:rsid w:val="00C61E05"/>
    <w:rsid w:val="00C61E67"/>
    <w:rsid w:val="00C62207"/>
    <w:rsid w:val="00C62593"/>
    <w:rsid w:val="00C62BFD"/>
    <w:rsid w:val="00C62C17"/>
    <w:rsid w:val="00C62C79"/>
    <w:rsid w:val="00C62CAA"/>
    <w:rsid w:val="00C62F44"/>
    <w:rsid w:val="00C63198"/>
    <w:rsid w:val="00C6373A"/>
    <w:rsid w:val="00C63806"/>
    <w:rsid w:val="00C6389A"/>
    <w:rsid w:val="00C63A13"/>
    <w:rsid w:val="00C63AC9"/>
    <w:rsid w:val="00C63DD0"/>
    <w:rsid w:val="00C6441D"/>
    <w:rsid w:val="00C6446F"/>
    <w:rsid w:val="00C646B2"/>
    <w:rsid w:val="00C647D7"/>
    <w:rsid w:val="00C64A13"/>
    <w:rsid w:val="00C64BB8"/>
    <w:rsid w:val="00C64C7F"/>
    <w:rsid w:val="00C64F7D"/>
    <w:rsid w:val="00C65331"/>
    <w:rsid w:val="00C6547E"/>
    <w:rsid w:val="00C65617"/>
    <w:rsid w:val="00C65702"/>
    <w:rsid w:val="00C6575A"/>
    <w:rsid w:val="00C658E3"/>
    <w:rsid w:val="00C659F2"/>
    <w:rsid w:val="00C65AFA"/>
    <w:rsid w:val="00C65D17"/>
    <w:rsid w:val="00C66095"/>
    <w:rsid w:val="00C660A2"/>
    <w:rsid w:val="00C66313"/>
    <w:rsid w:val="00C66386"/>
    <w:rsid w:val="00C66607"/>
    <w:rsid w:val="00C6668E"/>
    <w:rsid w:val="00C66CFC"/>
    <w:rsid w:val="00C66F7B"/>
    <w:rsid w:val="00C6720D"/>
    <w:rsid w:val="00C67842"/>
    <w:rsid w:val="00C678FA"/>
    <w:rsid w:val="00C679DA"/>
    <w:rsid w:val="00C67AC8"/>
    <w:rsid w:val="00C67C44"/>
    <w:rsid w:val="00C67D9F"/>
    <w:rsid w:val="00C7019A"/>
    <w:rsid w:val="00C701B8"/>
    <w:rsid w:val="00C704AA"/>
    <w:rsid w:val="00C706AF"/>
    <w:rsid w:val="00C7085F"/>
    <w:rsid w:val="00C70946"/>
    <w:rsid w:val="00C70C55"/>
    <w:rsid w:val="00C70E99"/>
    <w:rsid w:val="00C7124A"/>
    <w:rsid w:val="00C7136F"/>
    <w:rsid w:val="00C71668"/>
    <w:rsid w:val="00C71C43"/>
    <w:rsid w:val="00C71FEA"/>
    <w:rsid w:val="00C72055"/>
    <w:rsid w:val="00C72066"/>
    <w:rsid w:val="00C7213B"/>
    <w:rsid w:val="00C722B2"/>
    <w:rsid w:val="00C722E1"/>
    <w:rsid w:val="00C72319"/>
    <w:rsid w:val="00C72441"/>
    <w:rsid w:val="00C724BC"/>
    <w:rsid w:val="00C727D4"/>
    <w:rsid w:val="00C72823"/>
    <w:rsid w:val="00C72DC3"/>
    <w:rsid w:val="00C72F51"/>
    <w:rsid w:val="00C73282"/>
    <w:rsid w:val="00C7368B"/>
    <w:rsid w:val="00C737D9"/>
    <w:rsid w:val="00C73823"/>
    <w:rsid w:val="00C73DE7"/>
    <w:rsid w:val="00C74157"/>
    <w:rsid w:val="00C74442"/>
    <w:rsid w:val="00C74459"/>
    <w:rsid w:val="00C74555"/>
    <w:rsid w:val="00C74B5F"/>
    <w:rsid w:val="00C74B9E"/>
    <w:rsid w:val="00C74C41"/>
    <w:rsid w:val="00C74D14"/>
    <w:rsid w:val="00C74D28"/>
    <w:rsid w:val="00C754CC"/>
    <w:rsid w:val="00C754ED"/>
    <w:rsid w:val="00C75535"/>
    <w:rsid w:val="00C7577B"/>
    <w:rsid w:val="00C7584A"/>
    <w:rsid w:val="00C7589F"/>
    <w:rsid w:val="00C7631D"/>
    <w:rsid w:val="00C76405"/>
    <w:rsid w:val="00C76E4B"/>
    <w:rsid w:val="00C76F96"/>
    <w:rsid w:val="00C7708D"/>
    <w:rsid w:val="00C771EB"/>
    <w:rsid w:val="00C775CB"/>
    <w:rsid w:val="00C776C3"/>
    <w:rsid w:val="00C77BC3"/>
    <w:rsid w:val="00C77CF1"/>
    <w:rsid w:val="00C77E2F"/>
    <w:rsid w:val="00C77EE4"/>
    <w:rsid w:val="00C80091"/>
    <w:rsid w:val="00C804DD"/>
    <w:rsid w:val="00C8050F"/>
    <w:rsid w:val="00C809E7"/>
    <w:rsid w:val="00C80C16"/>
    <w:rsid w:val="00C80D48"/>
    <w:rsid w:val="00C80EDE"/>
    <w:rsid w:val="00C8173A"/>
    <w:rsid w:val="00C8189E"/>
    <w:rsid w:val="00C819AB"/>
    <w:rsid w:val="00C81F4A"/>
    <w:rsid w:val="00C82002"/>
    <w:rsid w:val="00C821B3"/>
    <w:rsid w:val="00C821EB"/>
    <w:rsid w:val="00C8261D"/>
    <w:rsid w:val="00C82984"/>
    <w:rsid w:val="00C82FAA"/>
    <w:rsid w:val="00C83386"/>
    <w:rsid w:val="00C83D9A"/>
    <w:rsid w:val="00C83DCF"/>
    <w:rsid w:val="00C8411C"/>
    <w:rsid w:val="00C84242"/>
    <w:rsid w:val="00C84766"/>
    <w:rsid w:val="00C84781"/>
    <w:rsid w:val="00C8482D"/>
    <w:rsid w:val="00C84B2C"/>
    <w:rsid w:val="00C85277"/>
    <w:rsid w:val="00C857F2"/>
    <w:rsid w:val="00C858B3"/>
    <w:rsid w:val="00C85965"/>
    <w:rsid w:val="00C85BD1"/>
    <w:rsid w:val="00C8608E"/>
    <w:rsid w:val="00C861F0"/>
    <w:rsid w:val="00C86268"/>
    <w:rsid w:val="00C86D64"/>
    <w:rsid w:val="00C87340"/>
    <w:rsid w:val="00C873C4"/>
    <w:rsid w:val="00C876A3"/>
    <w:rsid w:val="00C876E7"/>
    <w:rsid w:val="00C87B1B"/>
    <w:rsid w:val="00C87C14"/>
    <w:rsid w:val="00C901B9"/>
    <w:rsid w:val="00C90609"/>
    <w:rsid w:val="00C90623"/>
    <w:rsid w:val="00C907E9"/>
    <w:rsid w:val="00C90892"/>
    <w:rsid w:val="00C90AA1"/>
    <w:rsid w:val="00C90DD0"/>
    <w:rsid w:val="00C9142B"/>
    <w:rsid w:val="00C91461"/>
    <w:rsid w:val="00C9165B"/>
    <w:rsid w:val="00C917E6"/>
    <w:rsid w:val="00C91A8C"/>
    <w:rsid w:val="00C91B4A"/>
    <w:rsid w:val="00C91C3C"/>
    <w:rsid w:val="00C91C61"/>
    <w:rsid w:val="00C91F7B"/>
    <w:rsid w:val="00C92067"/>
    <w:rsid w:val="00C9212A"/>
    <w:rsid w:val="00C9216F"/>
    <w:rsid w:val="00C921EF"/>
    <w:rsid w:val="00C92257"/>
    <w:rsid w:val="00C92B4E"/>
    <w:rsid w:val="00C93283"/>
    <w:rsid w:val="00C93645"/>
    <w:rsid w:val="00C936AD"/>
    <w:rsid w:val="00C939A3"/>
    <w:rsid w:val="00C93B20"/>
    <w:rsid w:val="00C94041"/>
    <w:rsid w:val="00C941F0"/>
    <w:rsid w:val="00C942E6"/>
    <w:rsid w:val="00C94791"/>
    <w:rsid w:val="00C947B1"/>
    <w:rsid w:val="00C94C39"/>
    <w:rsid w:val="00C94D4B"/>
    <w:rsid w:val="00C94E7B"/>
    <w:rsid w:val="00C94E8D"/>
    <w:rsid w:val="00C950C4"/>
    <w:rsid w:val="00C95104"/>
    <w:rsid w:val="00C95251"/>
    <w:rsid w:val="00C9532D"/>
    <w:rsid w:val="00C95566"/>
    <w:rsid w:val="00C95A94"/>
    <w:rsid w:val="00C95BD2"/>
    <w:rsid w:val="00C95BD7"/>
    <w:rsid w:val="00C961CD"/>
    <w:rsid w:val="00C963FD"/>
    <w:rsid w:val="00C9644D"/>
    <w:rsid w:val="00C968AB"/>
    <w:rsid w:val="00C96B6E"/>
    <w:rsid w:val="00C972B3"/>
    <w:rsid w:val="00C978BF"/>
    <w:rsid w:val="00C978C7"/>
    <w:rsid w:val="00C97A12"/>
    <w:rsid w:val="00C97E1E"/>
    <w:rsid w:val="00CA0816"/>
    <w:rsid w:val="00CA09A6"/>
    <w:rsid w:val="00CA10C4"/>
    <w:rsid w:val="00CA13E2"/>
    <w:rsid w:val="00CA1440"/>
    <w:rsid w:val="00CA17BF"/>
    <w:rsid w:val="00CA198B"/>
    <w:rsid w:val="00CA1BAB"/>
    <w:rsid w:val="00CA2819"/>
    <w:rsid w:val="00CA2C7D"/>
    <w:rsid w:val="00CA31D3"/>
    <w:rsid w:val="00CA33BE"/>
    <w:rsid w:val="00CA348E"/>
    <w:rsid w:val="00CA3F08"/>
    <w:rsid w:val="00CA3F8C"/>
    <w:rsid w:val="00CA44FB"/>
    <w:rsid w:val="00CA4669"/>
    <w:rsid w:val="00CA49A1"/>
    <w:rsid w:val="00CA4E3B"/>
    <w:rsid w:val="00CA56FB"/>
    <w:rsid w:val="00CA5915"/>
    <w:rsid w:val="00CA59BB"/>
    <w:rsid w:val="00CA59DE"/>
    <w:rsid w:val="00CA5AF7"/>
    <w:rsid w:val="00CA5C45"/>
    <w:rsid w:val="00CA625C"/>
    <w:rsid w:val="00CA6748"/>
    <w:rsid w:val="00CA6A72"/>
    <w:rsid w:val="00CA6ABD"/>
    <w:rsid w:val="00CA6E6C"/>
    <w:rsid w:val="00CA6E98"/>
    <w:rsid w:val="00CA7369"/>
    <w:rsid w:val="00CA763A"/>
    <w:rsid w:val="00CA7647"/>
    <w:rsid w:val="00CA77E3"/>
    <w:rsid w:val="00CA78CB"/>
    <w:rsid w:val="00CA7A66"/>
    <w:rsid w:val="00CA7C5F"/>
    <w:rsid w:val="00CA7C9E"/>
    <w:rsid w:val="00CA7E38"/>
    <w:rsid w:val="00CA7F06"/>
    <w:rsid w:val="00CA7F9D"/>
    <w:rsid w:val="00CB00F0"/>
    <w:rsid w:val="00CB07AF"/>
    <w:rsid w:val="00CB1244"/>
    <w:rsid w:val="00CB14FD"/>
    <w:rsid w:val="00CB1796"/>
    <w:rsid w:val="00CB17A6"/>
    <w:rsid w:val="00CB1A2E"/>
    <w:rsid w:val="00CB1FA6"/>
    <w:rsid w:val="00CB2263"/>
    <w:rsid w:val="00CB2424"/>
    <w:rsid w:val="00CB2F72"/>
    <w:rsid w:val="00CB32C9"/>
    <w:rsid w:val="00CB334A"/>
    <w:rsid w:val="00CB33DB"/>
    <w:rsid w:val="00CB389A"/>
    <w:rsid w:val="00CB39AB"/>
    <w:rsid w:val="00CB3A9A"/>
    <w:rsid w:val="00CB3ABD"/>
    <w:rsid w:val="00CB44E2"/>
    <w:rsid w:val="00CB457D"/>
    <w:rsid w:val="00CB47D0"/>
    <w:rsid w:val="00CB4893"/>
    <w:rsid w:val="00CB4A2B"/>
    <w:rsid w:val="00CB4BA2"/>
    <w:rsid w:val="00CB4C2A"/>
    <w:rsid w:val="00CB4D56"/>
    <w:rsid w:val="00CB4F0A"/>
    <w:rsid w:val="00CB5124"/>
    <w:rsid w:val="00CB5142"/>
    <w:rsid w:val="00CB57D7"/>
    <w:rsid w:val="00CB58A9"/>
    <w:rsid w:val="00CB595B"/>
    <w:rsid w:val="00CB59EC"/>
    <w:rsid w:val="00CB5A0A"/>
    <w:rsid w:val="00CB5B92"/>
    <w:rsid w:val="00CB5E63"/>
    <w:rsid w:val="00CB603F"/>
    <w:rsid w:val="00CB616F"/>
    <w:rsid w:val="00CB63F1"/>
    <w:rsid w:val="00CB664B"/>
    <w:rsid w:val="00CB6968"/>
    <w:rsid w:val="00CB69C4"/>
    <w:rsid w:val="00CB6ACB"/>
    <w:rsid w:val="00CB6E7C"/>
    <w:rsid w:val="00CB70D9"/>
    <w:rsid w:val="00CB72CB"/>
    <w:rsid w:val="00CB7477"/>
    <w:rsid w:val="00CB78FF"/>
    <w:rsid w:val="00CB7994"/>
    <w:rsid w:val="00CB7C36"/>
    <w:rsid w:val="00CB7C74"/>
    <w:rsid w:val="00CB7FF1"/>
    <w:rsid w:val="00CC027B"/>
    <w:rsid w:val="00CC04A6"/>
    <w:rsid w:val="00CC0614"/>
    <w:rsid w:val="00CC076E"/>
    <w:rsid w:val="00CC08F8"/>
    <w:rsid w:val="00CC0BD8"/>
    <w:rsid w:val="00CC1485"/>
    <w:rsid w:val="00CC1718"/>
    <w:rsid w:val="00CC1746"/>
    <w:rsid w:val="00CC1839"/>
    <w:rsid w:val="00CC18E8"/>
    <w:rsid w:val="00CC1A88"/>
    <w:rsid w:val="00CC1C63"/>
    <w:rsid w:val="00CC2609"/>
    <w:rsid w:val="00CC2765"/>
    <w:rsid w:val="00CC2A0D"/>
    <w:rsid w:val="00CC2CDF"/>
    <w:rsid w:val="00CC30C3"/>
    <w:rsid w:val="00CC332E"/>
    <w:rsid w:val="00CC34D2"/>
    <w:rsid w:val="00CC35C9"/>
    <w:rsid w:val="00CC367D"/>
    <w:rsid w:val="00CC3899"/>
    <w:rsid w:val="00CC3A41"/>
    <w:rsid w:val="00CC3CAC"/>
    <w:rsid w:val="00CC3E70"/>
    <w:rsid w:val="00CC41B5"/>
    <w:rsid w:val="00CC4554"/>
    <w:rsid w:val="00CC45A3"/>
    <w:rsid w:val="00CC4D64"/>
    <w:rsid w:val="00CC4E88"/>
    <w:rsid w:val="00CC4F44"/>
    <w:rsid w:val="00CC50A9"/>
    <w:rsid w:val="00CC5294"/>
    <w:rsid w:val="00CC5525"/>
    <w:rsid w:val="00CC5703"/>
    <w:rsid w:val="00CC585E"/>
    <w:rsid w:val="00CC5B3A"/>
    <w:rsid w:val="00CC5D81"/>
    <w:rsid w:val="00CC6185"/>
    <w:rsid w:val="00CC648A"/>
    <w:rsid w:val="00CC6DA1"/>
    <w:rsid w:val="00CC6E0D"/>
    <w:rsid w:val="00CC7626"/>
    <w:rsid w:val="00CC7A19"/>
    <w:rsid w:val="00CC7D58"/>
    <w:rsid w:val="00CD00A7"/>
    <w:rsid w:val="00CD031C"/>
    <w:rsid w:val="00CD034B"/>
    <w:rsid w:val="00CD0845"/>
    <w:rsid w:val="00CD0A98"/>
    <w:rsid w:val="00CD0CF0"/>
    <w:rsid w:val="00CD0CFC"/>
    <w:rsid w:val="00CD0FB2"/>
    <w:rsid w:val="00CD0FF3"/>
    <w:rsid w:val="00CD19AB"/>
    <w:rsid w:val="00CD1C83"/>
    <w:rsid w:val="00CD1F52"/>
    <w:rsid w:val="00CD22C0"/>
    <w:rsid w:val="00CD2797"/>
    <w:rsid w:val="00CD364B"/>
    <w:rsid w:val="00CD37F8"/>
    <w:rsid w:val="00CD3BAF"/>
    <w:rsid w:val="00CD415C"/>
    <w:rsid w:val="00CD44CD"/>
    <w:rsid w:val="00CD4B0E"/>
    <w:rsid w:val="00CD513E"/>
    <w:rsid w:val="00CD5147"/>
    <w:rsid w:val="00CD515B"/>
    <w:rsid w:val="00CD51AA"/>
    <w:rsid w:val="00CD537D"/>
    <w:rsid w:val="00CD574F"/>
    <w:rsid w:val="00CD59BB"/>
    <w:rsid w:val="00CD5AC2"/>
    <w:rsid w:val="00CD5F2B"/>
    <w:rsid w:val="00CD5F4C"/>
    <w:rsid w:val="00CD60B0"/>
    <w:rsid w:val="00CD6160"/>
    <w:rsid w:val="00CD620B"/>
    <w:rsid w:val="00CD622B"/>
    <w:rsid w:val="00CD678C"/>
    <w:rsid w:val="00CD68DD"/>
    <w:rsid w:val="00CD6D7E"/>
    <w:rsid w:val="00CD6D8F"/>
    <w:rsid w:val="00CD7091"/>
    <w:rsid w:val="00CD70DB"/>
    <w:rsid w:val="00CD7852"/>
    <w:rsid w:val="00CD7CB0"/>
    <w:rsid w:val="00CE0174"/>
    <w:rsid w:val="00CE03A5"/>
    <w:rsid w:val="00CE060E"/>
    <w:rsid w:val="00CE0B6D"/>
    <w:rsid w:val="00CE0CB9"/>
    <w:rsid w:val="00CE0E6F"/>
    <w:rsid w:val="00CE1406"/>
    <w:rsid w:val="00CE15B7"/>
    <w:rsid w:val="00CE189E"/>
    <w:rsid w:val="00CE1AAF"/>
    <w:rsid w:val="00CE2057"/>
    <w:rsid w:val="00CE2077"/>
    <w:rsid w:val="00CE2132"/>
    <w:rsid w:val="00CE2E6B"/>
    <w:rsid w:val="00CE2F8A"/>
    <w:rsid w:val="00CE355D"/>
    <w:rsid w:val="00CE3768"/>
    <w:rsid w:val="00CE3C01"/>
    <w:rsid w:val="00CE41A2"/>
    <w:rsid w:val="00CE4334"/>
    <w:rsid w:val="00CE43EA"/>
    <w:rsid w:val="00CE4487"/>
    <w:rsid w:val="00CE4639"/>
    <w:rsid w:val="00CE47CA"/>
    <w:rsid w:val="00CE4A9A"/>
    <w:rsid w:val="00CE4EBA"/>
    <w:rsid w:val="00CE5113"/>
    <w:rsid w:val="00CE550F"/>
    <w:rsid w:val="00CE5515"/>
    <w:rsid w:val="00CE559A"/>
    <w:rsid w:val="00CE55AB"/>
    <w:rsid w:val="00CE55D6"/>
    <w:rsid w:val="00CE583A"/>
    <w:rsid w:val="00CE60FD"/>
    <w:rsid w:val="00CE610E"/>
    <w:rsid w:val="00CE6146"/>
    <w:rsid w:val="00CE6196"/>
    <w:rsid w:val="00CE672A"/>
    <w:rsid w:val="00CE690E"/>
    <w:rsid w:val="00CE69E6"/>
    <w:rsid w:val="00CE7033"/>
    <w:rsid w:val="00CE703B"/>
    <w:rsid w:val="00CE7252"/>
    <w:rsid w:val="00CE725A"/>
    <w:rsid w:val="00CE7395"/>
    <w:rsid w:val="00CE7559"/>
    <w:rsid w:val="00CE759A"/>
    <w:rsid w:val="00CE76A7"/>
    <w:rsid w:val="00CE7886"/>
    <w:rsid w:val="00CE7B6E"/>
    <w:rsid w:val="00CE7D8B"/>
    <w:rsid w:val="00CE7F48"/>
    <w:rsid w:val="00CE7FB0"/>
    <w:rsid w:val="00CF020D"/>
    <w:rsid w:val="00CF04EF"/>
    <w:rsid w:val="00CF071C"/>
    <w:rsid w:val="00CF0D8D"/>
    <w:rsid w:val="00CF1193"/>
    <w:rsid w:val="00CF192B"/>
    <w:rsid w:val="00CF1BCD"/>
    <w:rsid w:val="00CF20EB"/>
    <w:rsid w:val="00CF2227"/>
    <w:rsid w:val="00CF2519"/>
    <w:rsid w:val="00CF25E7"/>
    <w:rsid w:val="00CF271A"/>
    <w:rsid w:val="00CF2774"/>
    <w:rsid w:val="00CF290E"/>
    <w:rsid w:val="00CF2A3A"/>
    <w:rsid w:val="00CF3002"/>
    <w:rsid w:val="00CF3344"/>
    <w:rsid w:val="00CF3859"/>
    <w:rsid w:val="00CF38F6"/>
    <w:rsid w:val="00CF3A76"/>
    <w:rsid w:val="00CF3A93"/>
    <w:rsid w:val="00CF3AC0"/>
    <w:rsid w:val="00CF3C16"/>
    <w:rsid w:val="00CF3E7F"/>
    <w:rsid w:val="00CF3E90"/>
    <w:rsid w:val="00CF3F44"/>
    <w:rsid w:val="00CF3FD4"/>
    <w:rsid w:val="00CF4140"/>
    <w:rsid w:val="00CF46D5"/>
    <w:rsid w:val="00CF4B1C"/>
    <w:rsid w:val="00CF4B8D"/>
    <w:rsid w:val="00CF4C86"/>
    <w:rsid w:val="00CF4F02"/>
    <w:rsid w:val="00CF55C5"/>
    <w:rsid w:val="00CF586B"/>
    <w:rsid w:val="00CF5A92"/>
    <w:rsid w:val="00CF5C25"/>
    <w:rsid w:val="00CF5C74"/>
    <w:rsid w:val="00CF5FA6"/>
    <w:rsid w:val="00CF6094"/>
    <w:rsid w:val="00CF628E"/>
    <w:rsid w:val="00CF67CE"/>
    <w:rsid w:val="00CF68FB"/>
    <w:rsid w:val="00CF6D1A"/>
    <w:rsid w:val="00CF6D6F"/>
    <w:rsid w:val="00CF6DA8"/>
    <w:rsid w:val="00CF6F78"/>
    <w:rsid w:val="00CF7A57"/>
    <w:rsid w:val="00CF7E68"/>
    <w:rsid w:val="00D00492"/>
    <w:rsid w:val="00D00810"/>
    <w:rsid w:val="00D0093C"/>
    <w:rsid w:val="00D00C8B"/>
    <w:rsid w:val="00D00CBC"/>
    <w:rsid w:val="00D00E68"/>
    <w:rsid w:val="00D00F5F"/>
    <w:rsid w:val="00D0169B"/>
    <w:rsid w:val="00D01744"/>
    <w:rsid w:val="00D0188D"/>
    <w:rsid w:val="00D019A1"/>
    <w:rsid w:val="00D01B27"/>
    <w:rsid w:val="00D0216C"/>
    <w:rsid w:val="00D021F9"/>
    <w:rsid w:val="00D02280"/>
    <w:rsid w:val="00D0264D"/>
    <w:rsid w:val="00D0281D"/>
    <w:rsid w:val="00D03084"/>
    <w:rsid w:val="00D031BC"/>
    <w:rsid w:val="00D036C7"/>
    <w:rsid w:val="00D038DA"/>
    <w:rsid w:val="00D03912"/>
    <w:rsid w:val="00D039F5"/>
    <w:rsid w:val="00D03E4E"/>
    <w:rsid w:val="00D03F30"/>
    <w:rsid w:val="00D04023"/>
    <w:rsid w:val="00D0403E"/>
    <w:rsid w:val="00D04104"/>
    <w:rsid w:val="00D046F9"/>
    <w:rsid w:val="00D0495B"/>
    <w:rsid w:val="00D049FA"/>
    <w:rsid w:val="00D04A80"/>
    <w:rsid w:val="00D04AD1"/>
    <w:rsid w:val="00D04BBE"/>
    <w:rsid w:val="00D0540F"/>
    <w:rsid w:val="00D055F5"/>
    <w:rsid w:val="00D05776"/>
    <w:rsid w:val="00D057C5"/>
    <w:rsid w:val="00D05854"/>
    <w:rsid w:val="00D05B88"/>
    <w:rsid w:val="00D05C37"/>
    <w:rsid w:val="00D0642A"/>
    <w:rsid w:val="00D06476"/>
    <w:rsid w:val="00D067CA"/>
    <w:rsid w:val="00D06D9D"/>
    <w:rsid w:val="00D07174"/>
    <w:rsid w:val="00D0730C"/>
    <w:rsid w:val="00D0743D"/>
    <w:rsid w:val="00D0752F"/>
    <w:rsid w:val="00D0773C"/>
    <w:rsid w:val="00D07757"/>
    <w:rsid w:val="00D07CDF"/>
    <w:rsid w:val="00D07FE9"/>
    <w:rsid w:val="00D101D3"/>
    <w:rsid w:val="00D109D3"/>
    <w:rsid w:val="00D109EE"/>
    <w:rsid w:val="00D10C6E"/>
    <w:rsid w:val="00D10E5A"/>
    <w:rsid w:val="00D10E7C"/>
    <w:rsid w:val="00D10FC3"/>
    <w:rsid w:val="00D110EA"/>
    <w:rsid w:val="00D111B5"/>
    <w:rsid w:val="00D11307"/>
    <w:rsid w:val="00D1185C"/>
    <w:rsid w:val="00D11C02"/>
    <w:rsid w:val="00D11C36"/>
    <w:rsid w:val="00D1203E"/>
    <w:rsid w:val="00D12B01"/>
    <w:rsid w:val="00D12DDF"/>
    <w:rsid w:val="00D132D6"/>
    <w:rsid w:val="00D134A6"/>
    <w:rsid w:val="00D1360B"/>
    <w:rsid w:val="00D137E0"/>
    <w:rsid w:val="00D13842"/>
    <w:rsid w:val="00D138BA"/>
    <w:rsid w:val="00D139B8"/>
    <w:rsid w:val="00D13A09"/>
    <w:rsid w:val="00D13D31"/>
    <w:rsid w:val="00D13D65"/>
    <w:rsid w:val="00D13E5A"/>
    <w:rsid w:val="00D13FEB"/>
    <w:rsid w:val="00D14080"/>
    <w:rsid w:val="00D14224"/>
    <w:rsid w:val="00D14390"/>
    <w:rsid w:val="00D14A94"/>
    <w:rsid w:val="00D1525C"/>
    <w:rsid w:val="00D15A55"/>
    <w:rsid w:val="00D15BAA"/>
    <w:rsid w:val="00D15D1C"/>
    <w:rsid w:val="00D1617F"/>
    <w:rsid w:val="00D1621A"/>
    <w:rsid w:val="00D16315"/>
    <w:rsid w:val="00D16405"/>
    <w:rsid w:val="00D164E3"/>
    <w:rsid w:val="00D16735"/>
    <w:rsid w:val="00D16A34"/>
    <w:rsid w:val="00D16A82"/>
    <w:rsid w:val="00D16D95"/>
    <w:rsid w:val="00D16EC6"/>
    <w:rsid w:val="00D173DB"/>
    <w:rsid w:val="00D17551"/>
    <w:rsid w:val="00D175D5"/>
    <w:rsid w:val="00D1762F"/>
    <w:rsid w:val="00D17AFA"/>
    <w:rsid w:val="00D17C97"/>
    <w:rsid w:val="00D17FB5"/>
    <w:rsid w:val="00D20058"/>
    <w:rsid w:val="00D2011E"/>
    <w:rsid w:val="00D2042D"/>
    <w:rsid w:val="00D20AFB"/>
    <w:rsid w:val="00D20C70"/>
    <w:rsid w:val="00D20E97"/>
    <w:rsid w:val="00D21074"/>
    <w:rsid w:val="00D213F2"/>
    <w:rsid w:val="00D214FE"/>
    <w:rsid w:val="00D21910"/>
    <w:rsid w:val="00D21989"/>
    <w:rsid w:val="00D21B18"/>
    <w:rsid w:val="00D21B6B"/>
    <w:rsid w:val="00D21F00"/>
    <w:rsid w:val="00D220A5"/>
    <w:rsid w:val="00D221E3"/>
    <w:rsid w:val="00D222BC"/>
    <w:rsid w:val="00D2271D"/>
    <w:rsid w:val="00D227E8"/>
    <w:rsid w:val="00D22BC3"/>
    <w:rsid w:val="00D22F9C"/>
    <w:rsid w:val="00D230AB"/>
    <w:rsid w:val="00D230E5"/>
    <w:rsid w:val="00D23262"/>
    <w:rsid w:val="00D23395"/>
    <w:rsid w:val="00D23470"/>
    <w:rsid w:val="00D235EB"/>
    <w:rsid w:val="00D238B8"/>
    <w:rsid w:val="00D24518"/>
    <w:rsid w:val="00D2468B"/>
    <w:rsid w:val="00D24A78"/>
    <w:rsid w:val="00D24B1E"/>
    <w:rsid w:val="00D24DA4"/>
    <w:rsid w:val="00D25775"/>
    <w:rsid w:val="00D25C44"/>
    <w:rsid w:val="00D25CBC"/>
    <w:rsid w:val="00D261FE"/>
    <w:rsid w:val="00D26970"/>
    <w:rsid w:val="00D26B49"/>
    <w:rsid w:val="00D26B5C"/>
    <w:rsid w:val="00D26D40"/>
    <w:rsid w:val="00D26FA0"/>
    <w:rsid w:val="00D270E7"/>
    <w:rsid w:val="00D272E5"/>
    <w:rsid w:val="00D27322"/>
    <w:rsid w:val="00D273C3"/>
    <w:rsid w:val="00D27AA7"/>
    <w:rsid w:val="00D27D3B"/>
    <w:rsid w:val="00D305B4"/>
    <w:rsid w:val="00D30672"/>
    <w:rsid w:val="00D30C91"/>
    <w:rsid w:val="00D31550"/>
    <w:rsid w:val="00D31727"/>
    <w:rsid w:val="00D317AD"/>
    <w:rsid w:val="00D317E1"/>
    <w:rsid w:val="00D319FB"/>
    <w:rsid w:val="00D322FE"/>
    <w:rsid w:val="00D3251C"/>
    <w:rsid w:val="00D32562"/>
    <w:rsid w:val="00D3263A"/>
    <w:rsid w:val="00D326D9"/>
    <w:rsid w:val="00D327C7"/>
    <w:rsid w:val="00D32922"/>
    <w:rsid w:val="00D32A16"/>
    <w:rsid w:val="00D32B0A"/>
    <w:rsid w:val="00D32FB1"/>
    <w:rsid w:val="00D33126"/>
    <w:rsid w:val="00D331CD"/>
    <w:rsid w:val="00D331DE"/>
    <w:rsid w:val="00D333CF"/>
    <w:rsid w:val="00D33427"/>
    <w:rsid w:val="00D335C0"/>
    <w:rsid w:val="00D33C2D"/>
    <w:rsid w:val="00D33FF2"/>
    <w:rsid w:val="00D34263"/>
    <w:rsid w:val="00D342D2"/>
    <w:rsid w:val="00D343B4"/>
    <w:rsid w:val="00D346C3"/>
    <w:rsid w:val="00D34D3B"/>
    <w:rsid w:val="00D34DBA"/>
    <w:rsid w:val="00D34E5D"/>
    <w:rsid w:val="00D34F11"/>
    <w:rsid w:val="00D3501E"/>
    <w:rsid w:val="00D35172"/>
    <w:rsid w:val="00D3552A"/>
    <w:rsid w:val="00D35564"/>
    <w:rsid w:val="00D357C6"/>
    <w:rsid w:val="00D35A16"/>
    <w:rsid w:val="00D35EF5"/>
    <w:rsid w:val="00D36159"/>
    <w:rsid w:val="00D3662E"/>
    <w:rsid w:val="00D366F2"/>
    <w:rsid w:val="00D36CA7"/>
    <w:rsid w:val="00D36ED8"/>
    <w:rsid w:val="00D3706A"/>
    <w:rsid w:val="00D3714B"/>
    <w:rsid w:val="00D374D9"/>
    <w:rsid w:val="00D37888"/>
    <w:rsid w:val="00D4049C"/>
    <w:rsid w:val="00D404FC"/>
    <w:rsid w:val="00D40639"/>
    <w:rsid w:val="00D40800"/>
    <w:rsid w:val="00D409C0"/>
    <w:rsid w:val="00D40C54"/>
    <w:rsid w:val="00D410FC"/>
    <w:rsid w:val="00D413B8"/>
    <w:rsid w:val="00D414DD"/>
    <w:rsid w:val="00D41958"/>
    <w:rsid w:val="00D41C28"/>
    <w:rsid w:val="00D41D5C"/>
    <w:rsid w:val="00D41E65"/>
    <w:rsid w:val="00D421A7"/>
    <w:rsid w:val="00D423D3"/>
    <w:rsid w:val="00D42494"/>
    <w:rsid w:val="00D4250C"/>
    <w:rsid w:val="00D425C4"/>
    <w:rsid w:val="00D42D20"/>
    <w:rsid w:val="00D42E38"/>
    <w:rsid w:val="00D42F87"/>
    <w:rsid w:val="00D43386"/>
    <w:rsid w:val="00D43839"/>
    <w:rsid w:val="00D4396F"/>
    <w:rsid w:val="00D439AC"/>
    <w:rsid w:val="00D43B9D"/>
    <w:rsid w:val="00D44938"/>
    <w:rsid w:val="00D44E03"/>
    <w:rsid w:val="00D451A5"/>
    <w:rsid w:val="00D45A05"/>
    <w:rsid w:val="00D45B57"/>
    <w:rsid w:val="00D45C8B"/>
    <w:rsid w:val="00D463DE"/>
    <w:rsid w:val="00D46645"/>
    <w:rsid w:val="00D46A3B"/>
    <w:rsid w:val="00D46C6F"/>
    <w:rsid w:val="00D46D37"/>
    <w:rsid w:val="00D46FE4"/>
    <w:rsid w:val="00D4734F"/>
    <w:rsid w:val="00D473B0"/>
    <w:rsid w:val="00D473EC"/>
    <w:rsid w:val="00D477DB"/>
    <w:rsid w:val="00D4786A"/>
    <w:rsid w:val="00D479E1"/>
    <w:rsid w:val="00D47E36"/>
    <w:rsid w:val="00D5009A"/>
    <w:rsid w:val="00D50150"/>
    <w:rsid w:val="00D5017E"/>
    <w:rsid w:val="00D50501"/>
    <w:rsid w:val="00D50697"/>
    <w:rsid w:val="00D50712"/>
    <w:rsid w:val="00D50ADE"/>
    <w:rsid w:val="00D50C07"/>
    <w:rsid w:val="00D5120A"/>
    <w:rsid w:val="00D5132C"/>
    <w:rsid w:val="00D513BF"/>
    <w:rsid w:val="00D51513"/>
    <w:rsid w:val="00D517D4"/>
    <w:rsid w:val="00D51B2A"/>
    <w:rsid w:val="00D51BC9"/>
    <w:rsid w:val="00D51BD2"/>
    <w:rsid w:val="00D51FC6"/>
    <w:rsid w:val="00D5204C"/>
    <w:rsid w:val="00D5239D"/>
    <w:rsid w:val="00D53069"/>
    <w:rsid w:val="00D5333B"/>
    <w:rsid w:val="00D53352"/>
    <w:rsid w:val="00D5353A"/>
    <w:rsid w:val="00D537C4"/>
    <w:rsid w:val="00D537E1"/>
    <w:rsid w:val="00D53AB4"/>
    <w:rsid w:val="00D53C4B"/>
    <w:rsid w:val="00D53DC9"/>
    <w:rsid w:val="00D540D2"/>
    <w:rsid w:val="00D543CD"/>
    <w:rsid w:val="00D54508"/>
    <w:rsid w:val="00D549F9"/>
    <w:rsid w:val="00D54AA5"/>
    <w:rsid w:val="00D54D7F"/>
    <w:rsid w:val="00D55097"/>
    <w:rsid w:val="00D555DA"/>
    <w:rsid w:val="00D556D0"/>
    <w:rsid w:val="00D55CBD"/>
    <w:rsid w:val="00D560CE"/>
    <w:rsid w:val="00D5629D"/>
    <w:rsid w:val="00D56340"/>
    <w:rsid w:val="00D563BD"/>
    <w:rsid w:val="00D563FD"/>
    <w:rsid w:val="00D56ACD"/>
    <w:rsid w:val="00D56B32"/>
    <w:rsid w:val="00D56DE0"/>
    <w:rsid w:val="00D56F8A"/>
    <w:rsid w:val="00D573D2"/>
    <w:rsid w:val="00D574C6"/>
    <w:rsid w:val="00D57559"/>
    <w:rsid w:val="00D57655"/>
    <w:rsid w:val="00D57C02"/>
    <w:rsid w:val="00D57D2A"/>
    <w:rsid w:val="00D5E6FA"/>
    <w:rsid w:val="00D60198"/>
    <w:rsid w:val="00D6063A"/>
    <w:rsid w:val="00D60926"/>
    <w:rsid w:val="00D6097E"/>
    <w:rsid w:val="00D60F85"/>
    <w:rsid w:val="00D6182F"/>
    <w:rsid w:val="00D61845"/>
    <w:rsid w:val="00D61A15"/>
    <w:rsid w:val="00D61B53"/>
    <w:rsid w:val="00D621CF"/>
    <w:rsid w:val="00D628C8"/>
    <w:rsid w:val="00D62950"/>
    <w:rsid w:val="00D62A6B"/>
    <w:rsid w:val="00D62AF9"/>
    <w:rsid w:val="00D62B26"/>
    <w:rsid w:val="00D62BF5"/>
    <w:rsid w:val="00D62EED"/>
    <w:rsid w:val="00D63062"/>
    <w:rsid w:val="00D630A1"/>
    <w:rsid w:val="00D63746"/>
    <w:rsid w:val="00D63778"/>
    <w:rsid w:val="00D6390C"/>
    <w:rsid w:val="00D639E2"/>
    <w:rsid w:val="00D63C9B"/>
    <w:rsid w:val="00D640E4"/>
    <w:rsid w:val="00D643B1"/>
    <w:rsid w:val="00D646A3"/>
    <w:rsid w:val="00D64713"/>
    <w:rsid w:val="00D6485B"/>
    <w:rsid w:val="00D64FF4"/>
    <w:rsid w:val="00D6508E"/>
    <w:rsid w:val="00D6537D"/>
    <w:rsid w:val="00D6561E"/>
    <w:rsid w:val="00D657F9"/>
    <w:rsid w:val="00D65D40"/>
    <w:rsid w:val="00D65E0B"/>
    <w:rsid w:val="00D660AC"/>
    <w:rsid w:val="00D66813"/>
    <w:rsid w:val="00D6686E"/>
    <w:rsid w:val="00D66B22"/>
    <w:rsid w:val="00D66CC9"/>
    <w:rsid w:val="00D66D65"/>
    <w:rsid w:val="00D67012"/>
    <w:rsid w:val="00D67093"/>
    <w:rsid w:val="00D67375"/>
    <w:rsid w:val="00D674F4"/>
    <w:rsid w:val="00D6751C"/>
    <w:rsid w:val="00D675DD"/>
    <w:rsid w:val="00D67714"/>
    <w:rsid w:val="00D679F2"/>
    <w:rsid w:val="00D67F44"/>
    <w:rsid w:val="00D7000C"/>
    <w:rsid w:val="00D70051"/>
    <w:rsid w:val="00D70378"/>
    <w:rsid w:val="00D703E9"/>
    <w:rsid w:val="00D70572"/>
    <w:rsid w:val="00D70A6A"/>
    <w:rsid w:val="00D70B75"/>
    <w:rsid w:val="00D70BE7"/>
    <w:rsid w:val="00D711AA"/>
    <w:rsid w:val="00D7122D"/>
    <w:rsid w:val="00D71360"/>
    <w:rsid w:val="00D71D42"/>
    <w:rsid w:val="00D71DBB"/>
    <w:rsid w:val="00D71E12"/>
    <w:rsid w:val="00D71FA1"/>
    <w:rsid w:val="00D72453"/>
    <w:rsid w:val="00D72625"/>
    <w:rsid w:val="00D727E4"/>
    <w:rsid w:val="00D72DE2"/>
    <w:rsid w:val="00D72DE9"/>
    <w:rsid w:val="00D72FBC"/>
    <w:rsid w:val="00D72FCA"/>
    <w:rsid w:val="00D730F6"/>
    <w:rsid w:val="00D738F8"/>
    <w:rsid w:val="00D73E9A"/>
    <w:rsid w:val="00D73F51"/>
    <w:rsid w:val="00D73FA7"/>
    <w:rsid w:val="00D7444A"/>
    <w:rsid w:val="00D74853"/>
    <w:rsid w:val="00D74AA7"/>
    <w:rsid w:val="00D74D88"/>
    <w:rsid w:val="00D7563E"/>
    <w:rsid w:val="00D75CD4"/>
    <w:rsid w:val="00D75D42"/>
    <w:rsid w:val="00D75EBE"/>
    <w:rsid w:val="00D760B5"/>
    <w:rsid w:val="00D7626C"/>
    <w:rsid w:val="00D766A6"/>
    <w:rsid w:val="00D76721"/>
    <w:rsid w:val="00D76BE1"/>
    <w:rsid w:val="00D76C31"/>
    <w:rsid w:val="00D76C56"/>
    <w:rsid w:val="00D76CD1"/>
    <w:rsid w:val="00D76D2F"/>
    <w:rsid w:val="00D76E32"/>
    <w:rsid w:val="00D76EBC"/>
    <w:rsid w:val="00D770BD"/>
    <w:rsid w:val="00D770E3"/>
    <w:rsid w:val="00D7722B"/>
    <w:rsid w:val="00D774D2"/>
    <w:rsid w:val="00D776E3"/>
    <w:rsid w:val="00D77F32"/>
    <w:rsid w:val="00D803C4"/>
    <w:rsid w:val="00D80735"/>
    <w:rsid w:val="00D80D19"/>
    <w:rsid w:val="00D80D68"/>
    <w:rsid w:val="00D80E3B"/>
    <w:rsid w:val="00D810BF"/>
    <w:rsid w:val="00D8139A"/>
    <w:rsid w:val="00D813BC"/>
    <w:rsid w:val="00D818DF"/>
    <w:rsid w:val="00D81AA3"/>
    <w:rsid w:val="00D81EB6"/>
    <w:rsid w:val="00D81EF2"/>
    <w:rsid w:val="00D8274F"/>
    <w:rsid w:val="00D82C3F"/>
    <w:rsid w:val="00D82C9D"/>
    <w:rsid w:val="00D82E2D"/>
    <w:rsid w:val="00D83408"/>
    <w:rsid w:val="00D83504"/>
    <w:rsid w:val="00D836B0"/>
    <w:rsid w:val="00D839A9"/>
    <w:rsid w:val="00D83C4D"/>
    <w:rsid w:val="00D8424B"/>
    <w:rsid w:val="00D845C4"/>
    <w:rsid w:val="00D849F1"/>
    <w:rsid w:val="00D84A80"/>
    <w:rsid w:val="00D84C8D"/>
    <w:rsid w:val="00D84D0B"/>
    <w:rsid w:val="00D84F85"/>
    <w:rsid w:val="00D85242"/>
    <w:rsid w:val="00D85827"/>
    <w:rsid w:val="00D858AF"/>
    <w:rsid w:val="00D859CA"/>
    <w:rsid w:val="00D85E4A"/>
    <w:rsid w:val="00D85EBD"/>
    <w:rsid w:val="00D86251"/>
    <w:rsid w:val="00D86286"/>
    <w:rsid w:val="00D863C4"/>
    <w:rsid w:val="00D866BA"/>
    <w:rsid w:val="00D86B7B"/>
    <w:rsid w:val="00D86B8A"/>
    <w:rsid w:val="00D86CE0"/>
    <w:rsid w:val="00D86DAC"/>
    <w:rsid w:val="00D87015"/>
    <w:rsid w:val="00D87025"/>
    <w:rsid w:val="00D87039"/>
    <w:rsid w:val="00D8712D"/>
    <w:rsid w:val="00D87309"/>
    <w:rsid w:val="00D87526"/>
    <w:rsid w:val="00D8766B"/>
    <w:rsid w:val="00D878FE"/>
    <w:rsid w:val="00D87981"/>
    <w:rsid w:val="00D9006E"/>
    <w:rsid w:val="00D9024A"/>
    <w:rsid w:val="00D9025A"/>
    <w:rsid w:val="00D90269"/>
    <w:rsid w:val="00D903C9"/>
    <w:rsid w:val="00D90636"/>
    <w:rsid w:val="00D90894"/>
    <w:rsid w:val="00D911CC"/>
    <w:rsid w:val="00D9147D"/>
    <w:rsid w:val="00D91491"/>
    <w:rsid w:val="00D91701"/>
    <w:rsid w:val="00D91914"/>
    <w:rsid w:val="00D91A3A"/>
    <w:rsid w:val="00D91A40"/>
    <w:rsid w:val="00D91E85"/>
    <w:rsid w:val="00D91FE8"/>
    <w:rsid w:val="00D924DE"/>
    <w:rsid w:val="00D925F7"/>
    <w:rsid w:val="00D926D3"/>
    <w:rsid w:val="00D92A75"/>
    <w:rsid w:val="00D92BC0"/>
    <w:rsid w:val="00D9320E"/>
    <w:rsid w:val="00D936A3"/>
    <w:rsid w:val="00D93709"/>
    <w:rsid w:val="00D93E28"/>
    <w:rsid w:val="00D93E34"/>
    <w:rsid w:val="00D94267"/>
    <w:rsid w:val="00D942EC"/>
    <w:rsid w:val="00D94328"/>
    <w:rsid w:val="00D9480F"/>
    <w:rsid w:val="00D9495C"/>
    <w:rsid w:val="00D949E6"/>
    <w:rsid w:val="00D94A63"/>
    <w:rsid w:val="00D94C3F"/>
    <w:rsid w:val="00D94DBE"/>
    <w:rsid w:val="00D94DC3"/>
    <w:rsid w:val="00D94F68"/>
    <w:rsid w:val="00D9524B"/>
    <w:rsid w:val="00D9539A"/>
    <w:rsid w:val="00D95449"/>
    <w:rsid w:val="00D9557F"/>
    <w:rsid w:val="00D95586"/>
    <w:rsid w:val="00D9561D"/>
    <w:rsid w:val="00D9580D"/>
    <w:rsid w:val="00D95811"/>
    <w:rsid w:val="00D967AE"/>
    <w:rsid w:val="00D967B3"/>
    <w:rsid w:val="00D967BD"/>
    <w:rsid w:val="00D967DB"/>
    <w:rsid w:val="00D96CA2"/>
    <w:rsid w:val="00D96D13"/>
    <w:rsid w:val="00D96E5B"/>
    <w:rsid w:val="00D9700A"/>
    <w:rsid w:val="00D974AE"/>
    <w:rsid w:val="00D97CD8"/>
    <w:rsid w:val="00DA025D"/>
    <w:rsid w:val="00DA0A7F"/>
    <w:rsid w:val="00DA0C1C"/>
    <w:rsid w:val="00DA134E"/>
    <w:rsid w:val="00DA170A"/>
    <w:rsid w:val="00DA1C42"/>
    <w:rsid w:val="00DA1CD0"/>
    <w:rsid w:val="00DA1DF3"/>
    <w:rsid w:val="00DA1F1E"/>
    <w:rsid w:val="00DA2339"/>
    <w:rsid w:val="00DA2699"/>
    <w:rsid w:val="00DA288C"/>
    <w:rsid w:val="00DA28D5"/>
    <w:rsid w:val="00DA2903"/>
    <w:rsid w:val="00DA2D33"/>
    <w:rsid w:val="00DA2E0D"/>
    <w:rsid w:val="00DA2E23"/>
    <w:rsid w:val="00DA2E96"/>
    <w:rsid w:val="00DA30A9"/>
    <w:rsid w:val="00DA315A"/>
    <w:rsid w:val="00DA31A6"/>
    <w:rsid w:val="00DA3354"/>
    <w:rsid w:val="00DA36FE"/>
    <w:rsid w:val="00DA372D"/>
    <w:rsid w:val="00DA381B"/>
    <w:rsid w:val="00DA3D02"/>
    <w:rsid w:val="00DA4A5F"/>
    <w:rsid w:val="00DA4DE0"/>
    <w:rsid w:val="00DA4E25"/>
    <w:rsid w:val="00DA4EC7"/>
    <w:rsid w:val="00DA532C"/>
    <w:rsid w:val="00DA54D2"/>
    <w:rsid w:val="00DA57F4"/>
    <w:rsid w:val="00DA58F7"/>
    <w:rsid w:val="00DA59E8"/>
    <w:rsid w:val="00DA5A0B"/>
    <w:rsid w:val="00DA5A0F"/>
    <w:rsid w:val="00DA5C95"/>
    <w:rsid w:val="00DA5F1D"/>
    <w:rsid w:val="00DA6146"/>
    <w:rsid w:val="00DA61D7"/>
    <w:rsid w:val="00DA6A9E"/>
    <w:rsid w:val="00DA6B7E"/>
    <w:rsid w:val="00DA782D"/>
    <w:rsid w:val="00DA7B22"/>
    <w:rsid w:val="00DA7DE3"/>
    <w:rsid w:val="00DB04A5"/>
    <w:rsid w:val="00DB04E0"/>
    <w:rsid w:val="00DB078E"/>
    <w:rsid w:val="00DB0846"/>
    <w:rsid w:val="00DB0A13"/>
    <w:rsid w:val="00DB10AB"/>
    <w:rsid w:val="00DB10C1"/>
    <w:rsid w:val="00DB12BC"/>
    <w:rsid w:val="00DB166D"/>
    <w:rsid w:val="00DB1C59"/>
    <w:rsid w:val="00DB1D0E"/>
    <w:rsid w:val="00DB1E09"/>
    <w:rsid w:val="00DB201D"/>
    <w:rsid w:val="00DB207F"/>
    <w:rsid w:val="00DB215E"/>
    <w:rsid w:val="00DB217A"/>
    <w:rsid w:val="00DB22DF"/>
    <w:rsid w:val="00DB23F7"/>
    <w:rsid w:val="00DB28FA"/>
    <w:rsid w:val="00DB2A5D"/>
    <w:rsid w:val="00DB2C4F"/>
    <w:rsid w:val="00DB2D2F"/>
    <w:rsid w:val="00DB303C"/>
    <w:rsid w:val="00DB338A"/>
    <w:rsid w:val="00DB387D"/>
    <w:rsid w:val="00DB38A2"/>
    <w:rsid w:val="00DB3938"/>
    <w:rsid w:val="00DB3CAF"/>
    <w:rsid w:val="00DB42C6"/>
    <w:rsid w:val="00DB4317"/>
    <w:rsid w:val="00DB4431"/>
    <w:rsid w:val="00DB45E2"/>
    <w:rsid w:val="00DB4D54"/>
    <w:rsid w:val="00DB51C4"/>
    <w:rsid w:val="00DB51C7"/>
    <w:rsid w:val="00DB51F8"/>
    <w:rsid w:val="00DB5287"/>
    <w:rsid w:val="00DB5A98"/>
    <w:rsid w:val="00DB5B91"/>
    <w:rsid w:val="00DB5E31"/>
    <w:rsid w:val="00DB6442"/>
    <w:rsid w:val="00DB67E6"/>
    <w:rsid w:val="00DB6875"/>
    <w:rsid w:val="00DB694B"/>
    <w:rsid w:val="00DB6B1B"/>
    <w:rsid w:val="00DB7155"/>
    <w:rsid w:val="00DB735B"/>
    <w:rsid w:val="00DB7611"/>
    <w:rsid w:val="00DB7B88"/>
    <w:rsid w:val="00DB7C50"/>
    <w:rsid w:val="00DB7D40"/>
    <w:rsid w:val="00DB7D74"/>
    <w:rsid w:val="00DB7E49"/>
    <w:rsid w:val="00DC0524"/>
    <w:rsid w:val="00DC072A"/>
    <w:rsid w:val="00DC0981"/>
    <w:rsid w:val="00DC0A53"/>
    <w:rsid w:val="00DC0D29"/>
    <w:rsid w:val="00DC107A"/>
    <w:rsid w:val="00DC10FA"/>
    <w:rsid w:val="00DC1940"/>
    <w:rsid w:val="00DC1AF0"/>
    <w:rsid w:val="00DC1B17"/>
    <w:rsid w:val="00DC2078"/>
    <w:rsid w:val="00DC281C"/>
    <w:rsid w:val="00DC2A76"/>
    <w:rsid w:val="00DC2A77"/>
    <w:rsid w:val="00DC2B87"/>
    <w:rsid w:val="00DC2BEE"/>
    <w:rsid w:val="00DC2E36"/>
    <w:rsid w:val="00DC2F14"/>
    <w:rsid w:val="00DC312A"/>
    <w:rsid w:val="00DC3237"/>
    <w:rsid w:val="00DC3273"/>
    <w:rsid w:val="00DC32DC"/>
    <w:rsid w:val="00DC35D9"/>
    <w:rsid w:val="00DC376B"/>
    <w:rsid w:val="00DC37D4"/>
    <w:rsid w:val="00DC3AFA"/>
    <w:rsid w:val="00DC3D6C"/>
    <w:rsid w:val="00DC3DD9"/>
    <w:rsid w:val="00DC4440"/>
    <w:rsid w:val="00DC45E4"/>
    <w:rsid w:val="00DC4A2A"/>
    <w:rsid w:val="00DC4A3E"/>
    <w:rsid w:val="00DC4E98"/>
    <w:rsid w:val="00DC502E"/>
    <w:rsid w:val="00DC5146"/>
    <w:rsid w:val="00DC5985"/>
    <w:rsid w:val="00DC5A94"/>
    <w:rsid w:val="00DC5DE9"/>
    <w:rsid w:val="00DC5FD3"/>
    <w:rsid w:val="00DC6105"/>
    <w:rsid w:val="00DC62FD"/>
    <w:rsid w:val="00DC6A2F"/>
    <w:rsid w:val="00DC6E03"/>
    <w:rsid w:val="00DC6FA1"/>
    <w:rsid w:val="00DC7164"/>
    <w:rsid w:val="00DC722C"/>
    <w:rsid w:val="00DC7354"/>
    <w:rsid w:val="00DC7F8D"/>
    <w:rsid w:val="00DD0043"/>
    <w:rsid w:val="00DD011C"/>
    <w:rsid w:val="00DD06BF"/>
    <w:rsid w:val="00DD0AEC"/>
    <w:rsid w:val="00DD0D54"/>
    <w:rsid w:val="00DD0DAE"/>
    <w:rsid w:val="00DD0EC3"/>
    <w:rsid w:val="00DD1286"/>
    <w:rsid w:val="00DD1331"/>
    <w:rsid w:val="00DD152B"/>
    <w:rsid w:val="00DD156C"/>
    <w:rsid w:val="00DD15B7"/>
    <w:rsid w:val="00DD1E5B"/>
    <w:rsid w:val="00DD2101"/>
    <w:rsid w:val="00DD25F3"/>
    <w:rsid w:val="00DD2744"/>
    <w:rsid w:val="00DD324A"/>
    <w:rsid w:val="00DD33A3"/>
    <w:rsid w:val="00DD37F2"/>
    <w:rsid w:val="00DD3960"/>
    <w:rsid w:val="00DD39B4"/>
    <w:rsid w:val="00DD39E4"/>
    <w:rsid w:val="00DD3FB8"/>
    <w:rsid w:val="00DD3FDF"/>
    <w:rsid w:val="00DD41C7"/>
    <w:rsid w:val="00DD4528"/>
    <w:rsid w:val="00DD474E"/>
    <w:rsid w:val="00DD47ED"/>
    <w:rsid w:val="00DD493F"/>
    <w:rsid w:val="00DD49A6"/>
    <w:rsid w:val="00DD4F0A"/>
    <w:rsid w:val="00DD50F5"/>
    <w:rsid w:val="00DD5295"/>
    <w:rsid w:val="00DD5410"/>
    <w:rsid w:val="00DD551A"/>
    <w:rsid w:val="00DD5631"/>
    <w:rsid w:val="00DD573B"/>
    <w:rsid w:val="00DD590A"/>
    <w:rsid w:val="00DD591F"/>
    <w:rsid w:val="00DD5E39"/>
    <w:rsid w:val="00DD6278"/>
    <w:rsid w:val="00DD658A"/>
    <w:rsid w:val="00DD65D8"/>
    <w:rsid w:val="00DD67B3"/>
    <w:rsid w:val="00DD6CB8"/>
    <w:rsid w:val="00DD6CF5"/>
    <w:rsid w:val="00DD73F5"/>
    <w:rsid w:val="00DD78FD"/>
    <w:rsid w:val="00DD7994"/>
    <w:rsid w:val="00DD7B02"/>
    <w:rsid w:val="00DD7B4E"/>
    <w:rsid w:val="00DD7C87"/>
    <w:rsid w:val="00DE056C"/>
    <w:rsid w:val="00DE06AC"/>
    <w:rsid w:val="00DE0BDF"/>
    <w:rsid w:val="00DE0C9E"/>
    <w:rsid w:val="00DE0E4F"/>
    <w:rsid w:val="00DE0ED9"/>
    <w:rsid w:val="00DE11AE"/>
    <w:rsid w:val="00DE13E8"/>
    <w:rsid w:val="00DE164A"/>
    <w:rsid w:val="00DE1795"/>
    <w:rsid w:val="00DE1B5B"/>
    <w:rsid w:val="00DE1EFC"/>
    <w:rsid w:val="00DE20ED"/>
    <w:rsid w:val="00DE260A"/>
    <w:rsid w:val="00DE291D"/>
    <w:rsid w:val="00DE2D39"/>
    <w:rsid w:val="00DE30FA"/>
    <w:rsid w:val="00DE322D"/>
    <w:rsid w:val="00DE346A"/>
    <w:rsid w:val="00DE39FB"/>
    <w:rsid w:val="00DE3BC7"/>
    <w:rsid w:val="00DE3F52"/>
    <w:rsid w:val="00DE4290"/>
    <w:rsid w:val="00DE45FD"/>
    <w:rsid w:val="00DE4793"/>
    <w:rsid w:val="00DE4FE7"/>
    <w:rsid w:val="00DE5182"/>
    <w:rsid w:val="00DE5B3B"/>
    <w:rsid w:val="00DE5C6B"/>
    <w:rsid w:val="00DE5C95"/>
    <w:rsid w:val="00DE5D45"/>
    <w:rsid w:val="00DE5E77"/>
    <w:rsid w:val="00DE5F37"/>
    <w:rsid w:val="00DE6219"/>
    <w:rsid w:val="00DE6468"/>
    <w:rsid w:val="00DE68F9"/>
    <w:rsid w:val="00DE6A07"/>
    <w:rsid w:val="00DE6A16"/>
    <w:rsid w:val="00DE6CB1"/>
    <w:rsid w:val="00DE6E84"/>
    <w:rsid w:val="00DE6E93"/>
    <w:rsid w:val="00DE70F0"/>
    <w:rsid w:val="00DE7180"/>
    <w:rsid w:val="00DE73CF"/>
    <w:rsid w:val="00DE74FE"/>
    <w:rsid w:val="00DE763B"/>
    <w:rsid w:val="00DE7854"/>
    <w:rsid w:val="00DF051D"/>
    <w:rsid w:val="00DF0581"/>
    <w:rsid w:val="00DF0AFD"/>
    <w:rsid w:val="00DF0E6C"/>
    <w:rsid w:val="00DF0F6B"/>
    <w:rsid w:val="00DF1013"/>
    <w:rsid w:val="00DF1454"/>
    <w:rsid w:val="00DF1549"/>
    <w:rsid w:val="00DF1578"/>
    <w:rsid w:val="00DF17B1"/>
    <w:rsid w:val="00DF1928"/>
    <w:rsid w:val="00DF1D55"/>
    <w:rsid w:val="00DF1E35"/>
    <w:rsid w:val="00DF2A89"/>
    <w:rsid w:val="00DF3175"/>
    <w:rsid w:val="00DF35FC"/>
    <w:rsid w:val="00DF3675"/>
    <w:rsid w:val="00DF380A"/>
    <w:rsid w:val="00DF398D"/>
    <w:rsid w:val="00DF3AEC"/>
    <w:rsid w:val="00DF3F5C"/>
    <w:rsid w:val="00DF3F82"/>
    <w:rsid w:val="00DF401A"/>
    <w:rsid w:val="00DF40BA"/>
    <w:rsid w:val="00DF4617"/>
    <w:rsid w:val="00DF484A"/>
    <w:rsid w:val="00DF48E2"/>
    <w:rsid w:val="00DF49D7"/>
    <w:rsid w:val="00DF4CCE"/>
    <w:rsid w:val="00DF4D41"/>
    <w:rsid w:val="00DF4D98"/>
    <w:rsid w:val="00DF4E69"/>
    <w:rsid w:val="00DF504A"/>
    <w:rsid w:val="00DF508A"/>
    <w:rsid w:val="00DF50B0"/>
    <w:rsid w:val="00DF5425"/>
    <w:rsid w:val="00DF55CE"/>
    <w:rsid w:val="00DF588A"/>
    <w:rsid w:val="00DF59DA"/>
    <w:rsid w:val="00DF5D9F"/>
    <w:rsid w:val="00DF5FAE"/>
    <w:rsid w:val="00DF61CE"/>
    <w:rsid w:val="00DF6346"/>
    <w:rsid w:val="00DF649B"/>
    <w:rsid w:val="00DF71B7"/>
    <w:rsid w:val="00DF7335"/>
    <w:rsid w:val="00DF733E"/>
    <w:rsid w:val="00DF7726"/>
    <w:rsid w:val="00DF772C"/>
    <w:rsid w:val="00DF7900"/>
    <w:rsid w:val="00DF7A7C"/>
    <w:rsid w:val="00DF7B41"/>
    <w:rsid w:val="00DF7D67"/>
    <w:rsid w:val="00E00019"/>
    <w:rsid w:val="00E00106"/>
    <w:rsid w:val="00E005AB"/>
    <w:rsid w:val="00E00607"/>
    <w:rsid w:val="00E00667"/>
    <w:rsid w:val="00E008E1"/>
    <w:rsid w:val="00E008FB"/>
    <w:rsid w:val="00E00BB4"/>
    <w:rsid w:val="00E00D29"/>
    <w:rsid w:val="00E01009"/>
    <w:rsid w:val="00E010D2"/>
    <w:rsid w:val="00E019A4"/>
    <w:rsid w:val="00E01C8D"/>
    <w:rsid w:val="00E02787"/>
    <w:rsid w:val="00E02A43"/>
    <w:rsid w:val="00E02E26"/>
    <w:rsid w:val="00E03021"/>
    <w:rsid w:val="00E0352B"/>
    <w:rsid w:val="00E035C6"/>
    <w:rsid w:val="00E03BDB"/>
    <w:rsid w:val="00E03EA8"/>
    <w:rsid w:val="00E04143"/>
    <w:rsid w:val="00E04149"/>
    <w:rsid w:val="00E0436A"/>
    <w:rsid w:val="00E04385"/>
    <w:rsid w:val="00E04698"/>
    <w:rsid w:val="00E048A6"/>
    <w:rsid w:val="00E04A81"/>
    <w:rsid w:val="00E05446"/>
    <w:rsid w:val="00E05537"/>
    <w:rsid w:val="00E056AE"/>
    <w:rsid w:val="00E0571F"/>
    <w:rsid w:val="00E05A80"/>
    <w:rsid w:val="00E05CD8"/>
    <w:rsid w:val="00E05CDD"/>
    <w:rsid w:val="00E0638D"/>
    <w:rsid w:val="00E06451"/>
    <w:rsid w:val="00E0661E"/>
    <w:rsid w:val="00E06835"/>
    <w:rsid w:val="00E06896"/>
    <w:rsid w:val="00E068FB"/>
    <w:rsid w:val="00E07327"/>
    <w:rsid w:val="00E07475"/>
    <w:rsid w:val="00E077FD"/>
    <w:rsid w:val="00E07906"/>
    <w:rsid w:val="00E079AB"/>
    <w:rsid w:val="00E079B6"/>
    <w:rsid w:val="00E07C55"/>
    <w:rsid w:val="00E07C8C"/>
    <w:rsid w:val="00E07D3B"/>
    <w:rsid w:val="00E07EA6"/>
    <w:rsid w:val="00E1002D"/>
    <w:rsid w:val="00E1078B"/>
    <w:rsid w:val="00E108C0"/>
    <w:rsid w:val="00E10A80"/>
    <w:rsid w:val="00E10D7F"/>
    <w:rsid w:val="00E11083"/>
    <w:rsid w:val="00E11961"/>
    <w:rsid w:val="00E11A44"/>
    <w:rsid w:val="00E11C3A"/>
    <w:rsid w:val="00E11CDF"/>
    <w:rsid w:val="00E11FF7"/>
    <w:rsid w:val="00E120A3"/>
    <w:rsid w:val="00E122C9"/>
    <w:rsid w:val="00E1251D"/>
    <w:rsid w:val="00E12A60"/>
    <w:rsid w:val="00E12D97"/>
    <w:rsid w:val="00E12DE2"/>
    <w:rsid w:val="00E12F96"/>
    <w:rsid w:val="00E1308A"/>
    <w:rsid w:val="00E1312D"/>
    <w:rsid w:val="00E133B0"/>
    <w:rsid w:val="00E13420"/>
    <w:rsid w:val="00E1361D"/>
    <w:rsid w:val="00E137E1"/>
    <w:rsid w:val="00E1395B"/>
    <w:rsid w:val="00E13C3A"/>
    <w:rsid w:val="00E13CB1"/>
    <w:rsid w:val="00E13CD8"/>
    <w:rsid w:val="00E145A6"/>
    <w:rsid w:val="00E148C9"/>
    <w:rsid w:val="00E1491A"/>
    <w:rsid w:val="00E149C1"/>
    <w:rsid w:val="00E14C2A"/>
    <w:rsid w:val="00E14D44"/>
    <w:rsid w:val="00E15029"/>
    <w:rsid w:val="00E15156"/>
    <w:rsid w:val="00E154C5"/>
    <w:rsid w:val="00E1583E"/>
    <w:rsid w:val="00E158F8"/>
    <w:rsid w:val="00E15C09"/>
    <w:rsid w:val="00E1625A"/>
    <w:rsid w:val="00E16396"/>
    <w:rsid w:val="00E16633"/>
    <w:rsid w:val="00E16E3D"/>
    <w:rsid w:val="00E16FAF"/>
    <w:rsid w:val="00E17056"/>
    <w:rsid w:val="00E17357"/>
    <w:rsid w:val="00E174BC"/>
    <w:rsid w:val="00E17760"/>
    <w:rsid w:val="00E17820"/>
    <w:rsid w:val="00E179D9"/>
    <w:rsid w:val="00E17A62"/>
    <w:rsid w:val="00E17A74"/>
    <w:rsid w:val="00E17C95"/>
    <w:rsid w:val="00E17E38"/>
    <w:rsid w:val="00E17E40"/>
    <w:rsid w:val="00E201BF"/>
    <w:rsid w:val="00E20567"/>
    <w:rsid w:val="00E209FA"/>
    <w:rsid w:val="00E20CCA"/>
    <w:rsid w:val="00E20E8A"/>
    <w:rsid w:val="00E21180"/>
    <w:rsid w:val="00E21211"/>
    <w:rsid w:val="00E2139A"/>
    <w:rsid w:val="00E21955"/>
    <w:rsid w:val="00E21A7B"/>
    <w:rsid w:val="00E21B2E"/>
    <w:rsid w:val="00E21B5E"/>
    <w:rsid w:val="00E21C59"/>
    <w:rsid w:val="00E21CF4"/>
    <w:rsid w:val="00E21E7F"/>
    <w:rsid w:val="00E22118"/>
    <w:rsid w:val="00E22123"/>
    <w:rsid w:val="00E223A5"/>
    <w:rsid w:val="00E22450"/>
    <w:rsid w:val="00E2255E"/>
    <w:rsid w:val="00E2287B"/>
    <w:rsid w:val="00E22A94"/>
    <w:rsid w:val="00E23152"/>
    <w:rsid w:val="00E2317A"/>
    <w:rsid w:val="00E2345A"/>
    <w:rsid w:val="00E2347B"/>
    <w:rsid w:val="00E234E8"/>
    <w:rsid w:val="00E236CE"/>
    <w:rsid w:val="00E237E9"/>
    <w:rsid w:val="00E24072"/>
    <w:rsid w:val="00E24179"/>
    <w:rsid w:val="00E24362"/>
    <w:rsid w:val="00E243A6"/>
    <w:rsid w:val="00E24597"/>
    <w:rsid w:val="00E246CD"/>
    <w:rsid w:val="00E25208"/>
    <w:rsid w:val="00E252B3"/>
    <w:rsid w:val="00E25347"/>
    <w:rsid w:val="00E25544"/>
    <w:rsid w:val="00E2584E"/>
    <w:rsid w:val="00E25D8D"/>
    <w:rsid w:val="00E25EC4"/>
    <w:rsid w:val="00E263D0"/>
    <w:rsid w:val="00E26722"/>
    <w:rsid w:val="00E26A41"/>
    <w:rsid w:val="00E27269"/>
    <w:rsid w:val="00E2730A"/>
    <w:rsid w:val="00E27338"/>
    <w:rsid w:val="00E27572"/>
    <w:rsid w:val="00E279D0"/>
    <w:rsid w:val="00E27B8A"/>
    <w:rsid w:val="00E27E74"/>
    <w:rsid w:val="00E27F02"/>
    <w:rsid w:val="00E27F75"/>
    <w:rsid w:val="00E30288"/>
    <w:rsid w:val="00E308F9"/>
    <w:rsid w:val="00E30B70"/>
    <w:rsid w:val="00E31401"/>
    <w:rsid w:val="00E319B3"/>
    <w:rsid w:val="00E31E88"/>
    <w:rsid w:val="00E32429"/>
    <w:rsid w:val="00E324F7"/>
    <w:rsid w:val="00E32760"/>
    <w:rsid w:val="00E327BB"/>
    <w:rsid w:val="00E328AC"/>
    <w:rsid w:val="00E3299B"/>
    <w:rsid w:val="00E32AF6"/>
    <w:rsid w:val="00E32EA7"/>
    <w:rsid w:val="00E32F46"/>
    <w:rsid w:val="00E33498"/>
    <w:rsid w:val="00E33E7C"/>
    <w:rsid w:val="00E33F37"/>
    <w:rsid w:val="00E3432A"/>
    <w:rsid w:val="00E346C1"/>
    <w:rsid w:val="00E34798"/>
    <w:rsid w:val="00E34823"/>
    <w:rsid w:val="00E34CE2"/>
    <w:rsid w:val="00E34D90"/>
    <w:rsid w:val="00E350B9"/>
    <w:rsid w:val="00E35A6B"/>
    <w:rsid w:val="00E35F02"/>
    <w:rsid w:val="00E36209"/>
    <w:rsid w:val="00E3620A"/>
    <w:rsid w:val="00E36505"/>
    <w:rsid w:val="00E36763"/>
    <w:rsid w:val="00E369E8"/>
    <w:rsid w:val="00E36B94"/>
    <w:rsid w:val="00E36CBB"/>
    <w:rsid w:val="00E37124"/>
    <w:rsid w:val="00E372EF"/>
    <w:rsid w:val="00E37466"/>
    <w:rsid w:val="00E37518"/>
    <w:rsid w:val="00E37627"/>
    <w:rsid w:val="00E3778D"/>
    <w:rsid w:val="00E37854"/>
    <w:rsid w:val="00E37A2F"/>
    <w:rsid w:val="00E37EF0"/>
    <w:rsid w:val="00E37FC4"/>
    <w:rsid w:val="00E38202"/>
    <w:rsid w:val="00E40108"/>
    <w:rsid w:val="00E405D4"/>
    <w:rsid w:val="00E40969"/>
    <w:rsid w:val="00E40BD1"/>
    <w:rsid w:val="00E41330"/>
    <w:rsid w:val="00E4145F"/>
    <w:rsid w:val="00E4194B"/>
    <w:rsid w:val="00E41DE6"/>
    <w:rsid w:val="00E4203A"/>
    <w:rsid w:val="00E423A4"/>
    <w:rsid w:val="00E42668"/>
    <w:rsid w:val="00E426C3"/>
    <w:rsid w:val="00E4273B"/>
    <w:rsid w:val="00E42989"/>
    <w:rsid w:val="00E42A6B"/>
    <w:rsid w:val="00E42AAC"/>
    <w:rsid w:val="00E42DEA"/>
    <w:rsid w:val="00E42F1B"/>
    <w:rsid w:val="00E43189"/>
    <w:rsid w:val="00E431FF"/>
    <w:rsid w:val="00E43815"/>
    <w:rsid w:val="00E43C03"/>
    <w:rsid w:val="00E43E86"/>
    <w:rsid w:val="00E447FF"/>
    <w:rsid w:val="00E44D04"/>
    <w:rsid w:val="00E44E05"/>
    <w:rsid w:val="00E44E98"/>
    <w:rsid w:val="00E45027"/>
    <w:rsid w:val="00E45120"/>
    <w:rsid w:val="00E4538E"/>
    <w:rsid w:val="00E4545A"/>
    <w:rsid w:val="00E45810"/>
    <w:rsid w:val="00E458C2"/>
    <w:rsid w:val="00E459C6"/>
    <w:rsid w:val="00E45D9F"/>
    <w:rsid w:val="00E45E59"/>
    <w:rsid w:val="00E45FEB"/>
    <w:rsid w:val="00E46008"/>
    <w:rsid w:val="00E46083"/>
    <w:rsid w:val="00E461A0"/>
    <w:rsid w:val="00E4651D"/>
    <w:rsid w:val="00E465B1"/>
    <w:rsid w:val="00E46635"/>
    <w:rsid w:val="00E46832"/>
    <w:rsid w:val="00E46AC6"/>
    <w:rsid w:val="00E46C49"/>
    <w:rsid w:val="00E46C74"/>
    <w:rsid w:val="00E46F87"/>
    <w:rsid w:val="00E46F94"/>
    <w:rsid w:val="00E47198"/>
    <w:rsid w:val="00E471C8"/>
    <w:rsid w:val="00E4725D"/>
    <w:rsid w:val="00E4759D"/>
    <w:rsid w:val="00E47E08"/>
    <w:rsid w:val="00E47E99"/>
    <w:rsid w:val="00E47ED8"/>
    <w:rsid w:val="00E47FDB"/>
    <w:rsid w:val="00E50128"/>
    <w:rsid w:val="00E502DE"/>
    <w:rsid w:val="00E50BBF"/>
    <w:rsid w:val="00E513F1"/>
    <w:rsid w:val="00E51488"/>
    <w:rsid w:val="00E51633"/>
    <w:rsid w:val="00E51808"/>
    <w:rsid w:val="00E51AC1"/>
    <w:rsid w:val="00E51C0C"/>
    <w:rsid w:val="00E51C55"/>
    <w:rsid w:val="00E51D36"/>
    <w:rsid w:val="00E51F0B"/>
    <w:rsid w:val="00E52168"/>
    <w:rsid w:val="00E521C9"/>
    <w:rsid w:val="00E5251B"/>
    <w:rsid w:val="00E528C3"/>
    <w:rsid w:val="00E52FC9"/>
    <w:rsid w:val="00E531C1"/>
    <w:rsid w:val="00E53231"/>
    <w:rsid w:val="00E5362C"/>
    <w:rsid w:val="00E53679"/>
    <w:rsid w:val="00E53D8A"/>
    <w:rsid w:val="00E53FB8"/>
    <w:rsid w:val="00E540EE"/>
    <w:rsid w:val="00E542B5"/>
    <w:rsid w:val="00E54471"/>
    <w:rsid w:val="00E5453C"/>
    <w:rsid w:val="00E54701"/>
    <w:rsid w:val="00E5486B"/>
    <w:rsid w:val="00E54B0F"/>
    <w:rsid w:val="00E54C55"/>
    <w:rsid w:val="00E54F23"/>
    <w:rsid w:val="00E552DD"/>
    <w:rsid w:val="00E5544B"/>
    <w:rsid w:val="00E554BB"/>
    <w:rsid w:val="00E55A6C"/>
    <w:rsid w:val="00E55C5F"/>
    <w:rsid w:val="00E55DA6"/>
    <w:rsid w:val="00E55E90"/>
    <w:rsid w:val="00E55FD8"/>
    <w:rsid w:val="00E56014"/>
    <w:rsid w:val="00E563B9"/>
    <w:rsid w:val="00E56490"/>
    <w:rsid w:val="00E56794"/>
    <w:rsid w:val="00E5691F"/>
    <w:rsid w:val="00E56C84"/>
    <w:rsid w:val="00E56CAA"/>
    <w:rsid w:val="00E56FE3"/>
    <w:rsid w:val="00E571A1"/>
    <w:rsid w:val="00E57351"/>
    <w:rsid w:val="00E576A2"/>
    <w:rsid w:val="00E579CD"/>
    <w:rsid w:val="00E57B76"/>
    <w:rsid w:val="00E57CC2"/>
    <w:rsid w:val="00E6004E"/>
    <w:rsid w:val="00E601B3"/>
    <w:rsid w:val="00E6068D"/>
    <w:rsid w:val="00E607A0"/>
    <w:rsid w:val="00E608B3"/>
    <w:rsid w:val="00E60B6C"/>
    <w:rsid w:val="00E60CE7"/>
    <w:rsid w:val="00E60E79"/>
    <w:rsid w:val="00E6127A"/>
    <w:rsid w:val="00E6129A"/>
    <w:rsid w:val="00E619E9"/>
    <w:rsid w:val="00E61A77"/>
    <w:rsid w:val="00E61B30"/>
    <w:rsid w:val="00E61DA8"/>
    <w:rsid w:val="00E61F63"/>
    <w:rsid w:val="00E62185"/>
    <w:rsid w:val="00E624BE"/>
    <w:rsid w:val="00E627BA"/>
    <w:rsid w:val="00E62A4D"/>
    <w:rsid w:val="00E63015"/>
    <w:rsid w:val="00E633D0"/>
    <w:rsid w:val="00E63569"/>
    <w:rsid w:val="00E63641"/>
    <w:rsid w:val="00E63748"/>
    <w:rsid w:val="00E63E97"/>
    <w:rsid w:val="00E63F0F"/>
    <w:rsid w:val="00E64351"/>
    <w:rsid w:val="00E6448C"/>
    <w:rsid w:val="00E6505F"/>
    <w:rsid w:val="00E6557A"/>
    <w:rsid w:val="00E6599B"/>
    <w:rsid w:val="00E65D5D"/>
    <w:rsid w:val="00E6612A"/>
    <w:rsid w:val="00E665F7"/>
    <w:rsid w:val="00E66715"/>
    <w:rsid w:val="00E66762"/>
    <w:rsid w:val="00E66C6D"/>
    <w:rsid w:val="00E66E2B"/>
    <w:rsid w:val="00E66E67"/>
    <w:rsid w:val="00E66E6F"/>
    <w:rsid w:val="00E670D7"/>
    <w:rsid w:val="00E67299"/>
    <w:rsid w:val="00E6737E"/>
    <w:rsid w:val="00E67662"/>
    <w:rsid w:val="00E6766E"/>
    <w:rsid w:val="00E67F0C"/>
    <w:rsid w:val="00E70048"/>
    <w:rsid w:val="00E70141"/>
    <w:rsid w:val="00E70557"/>
    <w:rsid w:val="00E707EB"/>
    <w:rsid w:val="00E70D76"/>
    <w:rsid w:val="00E71068"/>
    <w:rsid w:val="00E710D9"/>
    <w:rsid w:val="00E71224"/>
    <w:rsid w:val="00E71554"/>
    <w:rsid w:val="00E71A84"/>
    <w:rsid w:val="00E71A99"/>
    <w:rsid w:val="00E71A9F"/>
    <w:rsid w:val="00E71D5B"/>
    <w:rsid w:val="00E71DFF"/>
    <w:rsid w:val="00E72099"/>
    <w:rsid w:val="00E721EB"/>
    <w:rsid w:val="00E72290"/>
    <w:rsid w:val="00E722D3"/>
    <w:rsid w:val="00E72623"/>
    <w:rsid w:val="00E726E0"/>
    <w:rsid w:val="00E7279C"/>
    <w:rsid w:val="00E727C9"/>
    <w:rsid w:val="00E72893"/>
    <w:rsid w:val="00E728FC"/>
    <w:rsid w:val="00E730DF"/>
    <w:rsid w:val="00E73264"/>
    <w:rsid w:val="00E7355E"/>
    <w:rsid w:val="00E736AC"/>
    <w:rsid w:val="00E736C6"/>
    <w:rsid w:val="00E74373"/>
    <w:rsid w:val="00E7437D"/>
    <w:rsid w:val="00E74760"/>
    <w:rsid w:val="00E74868"/>
    <w:rsid w:val="00E7489C"/>
    <w:rsid w:val="00E74913"/>
    <w:rsid w:val="00E74E9D"/>
    <w:rsid w:val="00E75276"/>
    <w:rsid w:val="00E75289"/>
    <w:rsid w:val="00E755CA"/>
    <w:rsid w:val="00E75674"/>
    <w:rsid w:val="00E75851"/>
    <w:rsid w:val="00E75B75"/>
    <w:rsid w:val="00E75CF3"/>
    <w:rsid w:val="00E75D97"/>
    <w:rsid w:val="00E75FA9"/>
    <w:rsid w:val="00E76132"/>
    <w:rsid w:val="00E7625B"/>
    <w:rsid w:val="00E7629C"/>
    <w:rsid w:val="00E763F9"/>
    <w:rsid w:val="00E76490"/>
    <w:rsid w:val="00E7653C"/>
    <w:rsid w:val="00E76646"/>
    <w:rsid w:val="00E766A4"/>
    <w:rsid w:val="00E76B21"/>
    <w:rsid w:val="00E76FE0"/>
    <w:rsid w:val="00E770E3"/>
    <w:rsid w:val="00E777B0"/>
    <w:rsid w:val="00E77A0F"/>
    <w:rsid w:val="00E77ACF"/>
    <w:rsid w:val="00E77AD1"/>
    <w:rsid w:val="00E77AE4"/>
    <w:rsid w:val="00E77B02"/>
    <w:rsid w:val="00E77BB8"/>
    <w:rsid w:val="00E77DCA"/>
    <w:rsid w:val="00E77DFD"/>
    <w:rsid w:val="00E77E92"/>
    <w:rsid w:val="00E802A1"/>
    <w:rsid w:val="00E804B7"/>
    <w:rsid w:val="00E8064E"/>
    <w:rsid w:val="00E806F5"/>
    <w:rsid w:val="00E8072D"/>
    <w:rsid w:val="00E80A90"/>
    <w:rsid w:val="00E80CFE"/>
    <w:rsid w:val="00E80E3F"/>
    <w:rsid w:val="00E80E5D"/>
    <w:rsid w:val="00E8109A"/>
    <w:rsid w:val="00E8121D"/>
    <w:rsid w:val="00E815DB"/>
    <w:rsid w:val="00E81783"/>
    <w:rsid w:val="00E817AE"/>
    <w:rsid w:val="00E8194F"/>
    <w:rsid w:val="00E81BF1"/>
    <w:rsid w:val="00E82276"/>
    <w:rsid w:val="00E82281"/>
    <w:rsid w:val="00E82398"/>
    <w:rsid w:val="00E8266B"/>
    <w:rsid w:val="00E8298A"/>
    <w:rsid w:val="00E82A53"/>
    <w:rsid w:val="00E82D39"/>
    <w:rsid w:val="00E82E33"/>
    <w:rsid w:val="00E82F99"/>
    <w:rsid w:val="00E8302E"/>
    <w:rsid w:val="00E8322D"/>
    <w:rsid w:val="00E8346F"/>
    <w:rsid w:val="00E8353B"/>
    <w:rsid w:val="00E83607"/>
    <w:rsid w:val="00E837F7"/>
    <w:rsid w:val="00E838C3"/>
    <w:rsid w:val="00E83973"/>
    <w:rsid w:val="00E83DA1"/>
    <w:rsid w:val="00E83EE9"/>
    <w:rsid w:val="00E84549"/>
    <w:rsid w:val="00E847DE"/>
    <w:rsid w:val="00E848D9"/>
    <w:rsid w:val="00E84D12"/>
    <w:rsid w:val="00E84DC0"/>
    <w:rsid w:val="00E850CE"/>
    <w:rsid w:val="00E8543A"/>
    <w:rsid w:val="00E85675"/>
    <w:rsid w:val="00E8569F"/>
    <w:rsid w:val="00E85F68"/>
    <w:rsid w:val="00E861D1"/>
    <w:rsid w:val="00E86401"/>
    <w:rsid w:val="00E8652B"/>
    <w:rsid w:val="00E8655B"/>
    <w:rsid w:val="00E866F4"/>
    <w:rsid w:val="00E8692D"/>
    <w:rsid w:val="00E86A5E"/>
    <w:rsid w:val="00E86A70"/>
    <w:rsid w:val="00E86ED4"/>
    <w:rsid w:val="00E86F2D"/>
    <w:rsid w:val="00E87841"/>
    <w:rsid w:val="00E87A22"/>
    <w:rsid w:val="00E9040C"/>
    <w:rsid w:val="00E90440"/>
    <w:rsid w:val="00E909C6"/>
    <w:rsid w:val="00E90C8B"/>
    <w:rsid w:val="00E91073"/>
    <w:rsid w:val="00E91495"/>
    <w:rsid w:val="00E91A23"/>
    <w:rsid w:val="00E91FF5"/>
    <w:rsid w:val="00E9232D"/>
    <w:rsid w:val="00E923D1"/>
    <w:rsid w:val="00E926AC"/>
    <w:rsid w:val="00E928D6"/>
    <w:rsid w:val="00E9291B"/>
    <w:rsid w:val="00E929CF"/>
    <w:rsid w:val="00E92D25"/>
    <w:rsid w:val="00E93828"/>
    <w:rsid w:val="00E938AE"/>
    <w:rsid w:val="00E93A7E"/>
    <w:rsid w:val="00E93E66"/>
    <w:rsid w:val="00E94047"/>
    <w:rsid w:val="00E94745"/>
    <w:rsid w:val="00E94805"/>
    <w:rsid w:val="00E948F2"/>
    <w:rsid w:val="00E94937"/>
    <w:rsid w:val="00E94A1E"/>
    <w:rsid w:val="00E94AE5"/>
    <w:rsid w:val="00E94B85"/>
    <w:rsid w:val="00E94C81"/>
    <w:rsid w:val="00E95097"/>
    <w:rsid w:val="00E9539B"/>
    <w:rsid w:val="00E953C1"/>
    <w:rsid w:val="00E95467"/>
    <w:rsid w:val="00E954DA"/>
    <w:rsid w:val="00E954DF"/>
    <w:rsid w:val="00E95548"/>
    <w:rsid w:val="00E957E1"/>
    <w:rsid w:val="00E95834"/>
    <w:rsid w:val="00E95994"/>
    <w:rsid w:val="00E959F6"/>
    <w:rsid w:val="00E95B48"/>
    <w:rsid w:val="00E95B89"/>
    <w:rsid w:val="00E966E7"/>
    <w:rsid w:val="00E9685E"/>
    <w:rsid w:val="00E96882"/>
    <w:rsid w:val="00E969DE"/>
    <w:rsid w:val="00E96F2A"/>
    <w:rsid w:val="00E9711B"/>
    <w:rsid w:val="00E973E3"/>
    <w:rsid w:val="00E9742D"/>
    <w:rsid w:val="00E97818"/>
    <w:rsid w:val="00E978E9"/>
    <w:rsid w:val="00E97C01"/>
    <w:rsid w:val="00E97E70"/>
    <w:rsid w:val="00E97E92"/>
    <w:rsid w:val="00E97FD1"/>
    <w:rsid w:val="00EA0184"/>
    <w:rsid w:val="00EA022B"/>
    <w:rsid w:val="00EA031F"/>
    <w:rsid w:val="00EA03D3"/>
    <w:rsid w:val="00EA0401"/>
    <w:rsid w:val="00EA04E4"/>
    <w:rsid w:val="00EA0669"/>
    <w:rsid w:val="00EA0935"/>
    <w:rsid w:val="00EA0B8A"/>
    <w:rsid w:val="00EA0BE4"/>
    <w:rsid w:val="00EA1319"/>
    <w:rsid w:val="00EA1835"/>
    <w:rsid w:val="00EA1B60"/>
    <w:rsid w:val="00EA1BC0"/>
    <w:rsid w:val="00EA1C28"/>
    <w:rsid w:val="00EA1EE0"/>
    <w:rsid w:val="00EA25F8"/>
    <w:rsid w:val="00EA2734"/>
    <w:rsid w:val="00EA2955"/>
    <w:rsid w:val="00EA2A2F"/>
    <w:rsid w:val="00EA2D54"/>
    <w:rsid w:val="00EA2D6B"/>
    <w:rsid w:val="00EA2E44"/>
    <w:rsid w:val="00EA2F80"/>
    <w:rsid w:val="00EA30D6"/>
    <w:rsid w:val="00EA3135"/>
    <w:rsid w:val="00EA3183"/>
    <w:rsid w:val="00EA319F"/>
    <w:rsid w:val="00EA31D4"/>
    <w:rsid w:val="00EA33FA"/>
    <w:rsid w:val="00EA347B"/>
    <w:rsid w:val="00EA4194"/>
    <w:rsid w:val="00EA4575"/>
    <w:rsid w:val="00EA4898"/>
    <w:rsid w:val="00EA4A13"/>
    <w:rsid w:val="00EA4A1E"/>
    <w:rsid w:val="00EA4C5B"/>
    <w:rsid w:val="00EA4E00"/>
    <w:rsid w:val="00EA4EAF"/>
    <w:rsid w:val="00EA503F"/>
    <w:rsid w:val="00EA52D8"/>
    <w:rsid w:val="00EA538F"/>
    <w:rsid w:val="00EA54F4"/>
    <w:rsid w:val="00EA590F"/>
    <w:rsid w:val="00EA59BD"/>
    <w:rsid w:val="00EA5B15"/>
    <w:rsid w:val="00EA5BC9"/>
    <w:rsid w:val="00EA5BCC"/>
    <w:rsid w:val="00EA5DA4"/>
    <w:rsid w:val="00EA5ED5"/>
    <w:rsid w:val="00EA649F"/>
    <w:rsid w:val="00EA677B"/>
    <w:rsid w:val="00EA693D"/>
    <w:rsid w:val="00EA6B0B"/>
    <w:rsid w:val="00EA6F34"/>
    <w:rsid w:val="00EA7131"/>
    <w:rsid w:val="00EA729D"/>
    <w:rsid w:val="00EA74F8"/>
    <w:rsid w:val="00EA7841"/>
    <w:rsid w:val="00EA7C8B"/>
    <w:rsid w:val="00EA7E1F"/>
    <w:rsid w:val="00EB001F"/>
    <w:rsid w:val="00EB015A"/>
    <w:rsid w:val="00EB0AAE"/>
    <w:rsid w:val="00EB0C3B"/>
    <w:rsid w:val="00EB0C9B"/>
    <w:rsid w:val="00EB0DA0"/>
    <w:rsid w:val="00EB0F1C"/>
    <w:rsid w:val="00EB0F60"/>
    <w:rsid w:val="00EB10E6"/>
    <w:rsid w:val="00EB11D4"/>
    <w:rsid w:val="00EB147D"/>
    <w:rsid w:val="00EB1840"/>
    <w:rsid w:val="00EB1A04"/>
    <w:rsid w:val="00EB2351"/>
    <w:rsid w:val="00EB23E6"/>
    <w:rsid w:val="00EB2553"/>
    <w:rsid w:val="00EB27F8"/>
    <w:rsid w:val="00EB2EDB"/>
    <w:rsid w:val="00EB2EEE"/>
    <w:rsid w:val="00EB3396"/>
    <w:rsid w:val="00EB33B6"/>
    <w:rsid w:val="00EB3A12"/>
    <w:rsid w:val="00EB3D2A"/>
    <w:rsid w:val="00EB40BE"/>
    <w:rsid w:val="00EB413F"/>
    <w:rsid w:val="00EB46A0"/>
    <w:rsid w:val="00EB47B9"/>
    <w:rsid w:val="00EB486F"/>
    <w:rsid w:val="00EB4955"/>
    <w:rsid w:val="00EB4B76"/>
    <w:rsid w:val="00EB50E3"/>
    <w:rsid w:val="00EB5312"/>
    <w:rsid w:val="00EB5422"/>
    <w:rsid w:val="00EB57BA"/>
    <w:rsid w:val="00EB580C"/>
    <w:rsid w:val="00EB5C6A"/>
    <w:rsid w:val="00EB5EAD"/>
    <w:rsid w:val="00EB60DD"/>
    <w:rsid w:val="00EB62EB"/>
    <w:rsid w:val="00EB654C"/>
    <w:rsid w:val="00EB6598"/>
    <w:rsid w:val="00EB7243"/>
    <w:rsid w:val="00EB74C6"/>
    <w:rsid w:val="00EB7A14"/>
    <w:rsid w:val="00EB7AD0"/>
    <w:rsid w:val="00EB7B5B"/>
    <w:rsid w:val="00EB7CCD"/>
    <w:rsid w:val="00EB7D85"/>
    <w:rsid w:val="00EB7DC3"/>
    <w:rsid w:val="00EB7ED2"/>
    <w:rsid w:val="00EC0293"/>
    <w:rsid w:val="00EC02F7"/>
    <w:rsid w:val="00EC0CC0"/>
    <w:rsid w:val="00EC0EEA"/>
    <w:rsid w:val="00EC10BA"/>
    <w:rsid w:val="00EC123E"/>
    <w:rsid w:val="00EC1621"/>
    <w:rsid w:val="00EC184F"/>
    <w:rsid w:val="00EC1F54"/>
    <w:rsid w:val="00EC1FC4"/>
    <w:rsid w:val="00EC2008"/>
    <w:rsid w:val="00EC246E"/>
    <w:rsid w:val="00EC253D"/>
    <w:rsid w:val="00EC27F6"/>
    <w:rsid w:val="00EC2A2E"/>
    <w:rsid w:val="00EC2D0F"/>
    <w:rsid w:val="00EC2E0A"/>
    <w:rsid w:val="00EC317D"/>
    <w:rsid w:val="00EC31B5"/>
    <w:rsid w:val="00EC3399"/>
    <w:rsid w:val="00EC364F"/>
    <w:rsid w:val="00EC391A"/>
    <w:rsid w:val="00EC3D46"/>
    <w:rsid w:val="00EC3F04"/>
    <w:rsid w:val="00EC4253"/>
    <w:rsid w:val="00EC4442"/>
    <w:rsid w:val="00EC4587"/>
    <w:rsid w:val="00EC4782"/>
    <w:rsid w:val="00EC49BC"/>
    <w:rsid w:val="00EC49C4"/>
    <w:rsid w:val="00EC4C18"/>
    <w:rsid w:val="00EC4C1C"/>
    <w:rsid w:val="00EC4DD3"/>
    <w:rsid w:val="00EC50A1"/>
    <w:rsid w:val="00EC532A"/>
    <w:rsid w:val="00EC55DD"/>
    <w:rsid w:val="00EC5933"/>
    <w:rsid w:val="00EC61BB"/>
    <w:rsid w:val="00EC6239"/>
    <w:rsid w:val="00EC648A"/>
    <w:rsid w:val="00EC64BF"/>
    <w:rsid w:val="00EC6525"/>
    <w:rsid w:val="00EC68AC"/>
    <w:rsid w:val="00EC69BB"/>
    <w:rsid w:val="00EC6C9F"/>
    <w:rsid w:val="00EC6F3A"/>
    <w:rsid w:val="00EC73B5"/>
    <w:rsid w:val="00EC7509"/>
    <w:rsid w:val="00EC78F3"/>
    <w:rsid w:val="00EC7CF0"/>
    <w:rsid w:val="00ED000E"/>
    <w:rsid w:val="00ED0212"/>
    <w:rsid w:val="00ED0642"/>
    <w:rsid w:val="00ED08EA"/>
    <w:rsid w:val="00ED0E2C"/>
    <w:rsid w:val="00ED1142"/>
    <w:rsid w:val="00ED18AC"/>
    <w:rsid w:val="00ED1E0F"/>
    <w:rsid w:val="00ED1E3F"/>
    <w:rsid w:val="00ED1EE5"/>
    <w:rsid w:val="00ED1F0B"/>
    <w:rsid w:val="00ED23D0"/>
    <w:rsid w:val="00ED28A2"/>
    <w:rsid w:val="00ED2ADD"/>
    <w:rsid w:val="00ED2B59"/>
    <w:rsid w:val="00ED2BCA"/>
    <w:rsid w:val="00ED2C55"/>
    <w:rsid w:val="00ED2FB4"/>
    <w:rsid w:val="00ED399A"/>
    <w:rsid w:val="00ED39EE"/>
    <w:rsid w:val="00ED3BDE"/>
    <w:rsid w:val="00ED3D38"/>
    <w:rsid w:val="00ED3DE7"/>
    <w:rsid w:val="00ED3E62"/>
    <w:rsid w:val="00ED3FC5"/>
    <w:rsid w:val="00ED4127"/>
    <w:rsid w:val="00ED4945"/>
    <w:rsid w:val="00ED4A0D"/>
    <w:rsid w:val="00ED4C5E"/>
    <w:rsid w:val="00ED5637"/>
    <w:rsid w:val="00ED5F0F"/>
    <w:rsid w:val="00ED60A2"/>
    <w:rsid w:val="00ED62D1"/>
    <w:rsid w:val="00ED68B1"/>
    <w:rsid w:val="00ED6D10"/>
    <w:rsid w:val="00ED6E02"/>
    <w:rsid w:val="00ED72E1"/>
    <w:rsid w:val="00ED7450"/>
    <w:rsid w:val="00ED7D05"/>
    <w:rsid w:val="00EDFBF7"/>
    <w:rsid w:val="00EE0098"/>
    <w:rsid w:val="00EE08F4"/>
    <w:rsid w:val="00EE0CB0"/>
    <w:rsid w:val="00EE0DA8"/>
    <w:rsid w:val="00EE0E69"/>
    <w:rsid w:val="00EE1075"/>
    <w:rsid w:val="00EE1086"/>
    <w:rsid w:val="00EE14B0"/>
    <w:rsid w:val="00EE14C5"/>
    <w:rsid w:val="00EE1594"/>
    <w:rsid w:val="00EE16B6"/>
    <w:rsid w:val="00EE17E3"/>
    <w:rsid w:val="00EE1956"/>
    <w:rsid w:val="00EE1994"/>
    <w:rsid w:val="00EE1A3A"/>
    <w:rsid w:val="00EE1CA3"/>
    <w:rsid w:val="00EE1E7E"/>
    <w:rsid w:val="00EE1F33"/>
    <w:rsid w:val="00EE1FB6"/>
    <w:rsid w:val="00EE2057"/>
    <w:rsid w:val="00EE215C"/>
    <w:rsid w:val="00EE2483"/>
    <w:rsid w:val="00EE256A"/>
    <w:rsid w:val="00EE2761"/>
    <w:rsid w:val="00EE2BC9"/>
    <w:rsid w:val="00EE2CB4"/>
    <w:rsid w:val="00EE2EAC"/>
    <w:rsid w:val="00EE3624"/>
    <w:rsid w:val="00EE3AA5"/>
    <w:rsid w:val="00EE3B92"/>
    <w:rsid w:val="00EE3B99"/>
    <w:rsid w:val="00EE3BBC"/>
    <w:rsid w:val="00EE3CE9"/>
    <w:rsid w:val="00EE3E8D"/>
    <w:rsid w:val="00EE42BE"/>
    <w:rsid w:val="00EE42C7"/>
    <w:rsid w:val="00EE4736"/>
    <w:rsid w:val="00EE4B06"/>
    <w:rsid w:val="00EE4C49"/>
    <w:rsid w:val="00EE4D6F"/>
    <w:rsid w:val="00EE4DC1"/>
    <w:rsid w:val="00EE4DD4"/>
    <w:rsid w:val="00EE5432"/>
    <w:rsid w:val="00EE5A0E"/>
    <w:rsid w:val="00EE5AF6"/>
    <w:rsid w:val="00EE5DC5"/>
    <w:rsid w:val="00EE5F27"/>
    <w:rsid w:val="00EE65DE"/>
    <w:rsid w:val="00EE67DA"/>
    <w:rsid w:val="00EE6B02"/>
    <w:rsid w:val="00EE6D44"/>
    <w:rsid w:val="00EE71EC"/>
    <w:rsid w:val="00EE7A18"/>
    <w:rsid w:val="00EE7ABA"/>
    <w:rsid w:val="00EE7B92"/>
    <w:rsid w:val="00EE7EA3"/>
    <w:rsid w:val="00EF0468"/>
    <w:rsid w:val="00EF05BC"/>
    <w:rsid w:val="00EF069B"/>
    <w:rsid w:val="00EF0755"/>
    <w:rsid w:val="00EF0FBE"/>
    <w:rsid w:val="00EF1223"/>
    <w:rsid w:val="00EF12D4"/>
    <w:rsid w:val="00EF162E"/>
    <w:rsid w:val="00EF1940"/>
    <w:rsid w:val="00EF1F39"/>
    <w:rsid w:val="00EF25ED"/>
    <w:rsid w:val="00EF2A02"/>
    <w:rsid w:val="00EF2A18"/>
    <w:rsid w:val="00EF2A3D"/>
    <w:rsid w:val="00EF2CF3"/>
    <w:rsid w:val="00EF2DF1"/>
    <w:rsid w:val="00EF2E8C"/>
    <w:rsid w:val="00EF2F4D"/>
    <w:rsid w:val="00EF2FA1"/>
    <w:rsid w:val="00EF3254"/>
    <w:rsid w:val="00EF33CF"/>
    <w:rsid w:val="00EF363C"/>
    <w:rsid w:val="00EF3EF2"/>
    <w:rsid w:val="00EF3FCE"/>
    <w:rsid w:val="00EF41FF"/>
    <w:rsid w:val="00EF43DC"/>
    <w:rsid w:val="00EF43F5"/>
    <w:rsid w:val="00EF44A0"/>
    <w:rsid w:val="00EF466C"/>
    <w:rsid w:val="00EF4896"/>
    <w:rsid w:val="00EF49C7"/>
    <w:rsid w:val="00EF532D"/>
    <w:rsid w:val="00EF5472"/>
    <w:rsid w:val="00EF5A49"/>
    <w:rsid w:val="00EF5AB8"/>
    <w:rsid w:val="00EF5CD4"/>
    <w:rsid w:val="00EF605C"/>
    <w:rsid w:val="00EF635E"/>
    <w:rsid w:val="00EF63DF"/>
    <w:rsid w:val="00EF6559"/>
    <w:rsid w:val="00EF676D"/>
    <w:rsid w:val="00EF6972"/>
    <w:rsid w:val="00EF6D7E"/>
    <w:rsid w:val="00EF7401"/>
    <w:rsid w:val="00EF7474"/>
    <w:rsid w:val="00EF7645"/>
    <w:rsid w:val="00EF78DD"/>
    <w:rsid w:val="00EF7930"/>
    <w:rsid w:val="00EF79FB"/>
    <w:rsid w:val="00EF7A11"/>
    <w:rsid w:val="00EF7D3A"/>
    <w:rsid w:val="00EF7E40"/>
    <w:rsid w:val="00EF7FBE"/>
    <w:rsid w:val="00EFC8BB"/>
    <w:rsid w:val="00F0001B"/>
    <w:rsid w:val="00F00AA0"/>
    <w:rsid w:val="00F00CF7"/>
    <w:rsid w:val="00F012CC"/>
    <w:rsid w:val="00F01722"/>
    <w:rsid w:val="00F0174D"/>
    <w:rsid w:val="00F01B95"/>
    <w:rsid w:val="00F01EE6"/>
    <w:rsid w:val="00F02658"/>
    <w:rsid w:val="00F029B9"/>
    <w:rsid w:val="00F02D3B"/>
    <w:rsid w:val="00F02FA8"/>
    <w:rsid w:val="00F030E1"/>
    <w:rsid w:val="00F033BD"/>
    <w:rsid w:val="00F0343D"/>
    <w:rsid w:val="00F03484"/>
    <w:rsid w:val="00F035E2"/>
    <w:rsid w:val="00F03879"/>
    <w:rsid w:val="00F03A0D"/>
    <w:rsid w:val="00F03FFD"/>
    <w:rsid w:val="00F040FF"/>
    <w:rsid w:val="00F04280"/>
    <w:rsid w:val="00F044A2"/>
    <w:rsid w:val="00F048DE"/>
    <w:rsid w:val="00F04C04"/>
    <w:rsid w:val="00F05105"/>
    <w:rsid w:val="00F065C3"/>
    <w:rsid w:val="00F065EF"/>
    <w:rsid w:val="00F0667E"/>
    <w:rsid w:val="00F0670B"/>
    <w:rsid w:val="00F067F1"/>
    <w:rsid w:val="00F068CC"/>
    <w:rsid w:val="00F06927"/>
    <w:rsid w:val="00F06D9E"/>
    <w:rsid w:val="00F06F02"/>
    <w:rsid w:val="00F06F39"/>
    <w:rsid w:val="00F06FD4"/>
    <w:rsid w:val="00F07101"/>
    <w:rsid w:val="00F07374"/>
    <w:rsid w:val="00F0793E"/>
    <w:rsid w:val="00F079C6"/>
    <w:rsid w:val="00F07A70"/>
    <w:rsid w:val="00F07B63"/>
    <w:rsid w:val="00F07D62"/>
    <w:rsid w:val="00F10093"/>
    <w:rsid w:val="00F100FA"/>
    <w:rsid w:val="00F10142"/>
    <w:rsid w:val="00F10642"/>
    <w:rsid w:val="00F10796"/>
    <w:rsid w:val="00F1083B"/>
    <w:rsid w:val="00F10845"/>
    <w:rsid w:val="00F109A0"/>
    <w:rsid w:val="00F10B36"/>
    <w:rsid w:val="00F10CFD"/>
    <w:rsid w:val="00F10F9E"/>
    <w:rsid w:val="00F110E6"/>
    <w:rsid w:val="00F1147D"/>
    <w:rsid w:val="00F1158D"/>
    <w:rsid w:val="00F11BA9"/>
    <w:rsid w:val="00F11D20"/>
    <w:rsid w:val="00F12360"/>
    <w:rsid w:val="00F123F7"/>
    <w:rsid w:val="00F12526"/>
    <w:rsid w:val="00F12697"/>
    <w:rsid w:val="00F1275E"/>
    <w:rsid w:val="00F128C3"/>
    <w:rsid w:val="00F129AC"/>
    <w:rsid w:val="00F13516"/>
    <w:rsid w:val="00F13A6F"/>
    <w:rsid w:val="00F13BAB"/>
    <w:rsid w:val="00F13CC1"/>
    <w:rsid w:val="00F13F91"/>
    <w:rsid w:val="00F14502"/>
    <w:rsid w:val="00F1477A"/>
    <w:rsid w:val="00F148FB"/>
    <w:rsid w:val="00F1499F"/>
    <w:rsid w:val="00F14CF1"/>
    <w:rsid w:val="00F1512E"/>
    <w:rsid w:val="00F15138"/>
    <w:rsid w:val="00F1524B"/>
    <w:rsid w:val="00F159B7"/>
    <w:rsid w:val="00F15B5B"/>
    <w:rsid w:val="00F15E0C"/>
    <w:rsid w:val="00F16192"/>
    <w:rsid w:val="00F16218"/>
    <w:rsid w:val="00F1653C"/>
    <w:rsid w:val="00F1670B"/>
    <w:rsid w:val="00F16749"/>
    <w:rsid w:val="00F16AEB"/>
    <w:rsid w:val="00F16FEC"/>
    <w:rsid w:val="00F17053"/>
    <w:rsid w:val="00F1713A"/>
    <w:rsid w:val="00F17206"/>
    <w:rsid w:val="00F1777B"/>
    <w:rsid w:val="00F17B91"/>
    <w:rsid w:val="00F17CE7"/>
    <w:rsid w:val="00F17D1A"/>
    <w:rsid w:val="00F17F09"/>
    <w:rsid w:val="00F20110"/>
    <w:rsid w:val="00F2065E"/>
    <w:rsid w:val="00F21121"/>
    <w:rsid w:val="00F21123"/>
    <w:rsid w:val="00F211D3"/>
    <w:rsid w:val="00F21600"/>
    <w:rsid w:val="00F21A72"/>
    <w:rsid w:val="00F21CD5"/>
    <w:rsid w:val="00F22177"/>
    <w:rsid w:val="00F2231C"/>
    <w:rsid w:val="00F22357"/>
    <w:rsid w:val="00F229DB"/>
    <w:rsid w:val="00F22AE6"/>
    <w:rsid w:val="00F23079"/>
    <w:rsid w:val="00F235A1"/>
    <w:rsid w:val="00F2378E"/>
    <w:rsid w:val="00F23AA5"/>
    <w:rsid w:val="00F23BC2"/>
    <w:rsid w:val="00F23DAE"/>
    <w:rsid w:val="00F2409C"/>
    <w:rsid w:val="00F2426A"/>
    <w:rsid w:val="00F242AD"/>
    <w:rsid w:val="00F242CA"/>
    <w:rsid w:val="00F24701"/>
    <w:rsid w:val="00F25523"/>
    <w:rsid w:val="00F25A64"/>
    <w:rsid w:val="00F25FB8"/>
    <w:rsid w:val="00F26057"/>
    <w:rsid w:val="00F2609D"/>
    <w:rsid w:val="00F26596"/>
    <w:rsid w:val="00F26910"/>
    <w:rsid w:val="00F269AA"/>
    <w:rsid w:val="00F27043"/>
    <w:rsid w:val="00F271D4"/>
    <w:rsid w:val="00F279F2"/>
    <w:rsid w:val="00F27B20"/>
    <w:rsid w:val="00F27B53"/>
    <w:rsid w:val="00F27CC1"/>
    <w:rsid w:val="00F27DBB"/>
    <w:rsid w:val="00F27F15"/>
    <w:rsid w:val="00F3019C"/>
    <w:rsid w:val="00F3043C"/>
    <w:rsid w:val="00F30545"/>
    <w:rsid w:val="00F305BB"/>
    <w:rsid w:val="00F30648"/>
    <w:rsid w:val="00F30790"/>
    <w:rsid w:val="00F30870"/>
    <w:rsid w:val="00F30A6C"/>
    <w:rsid w:val="00F30D15"/>
    <w:rsid w:val="00F30DE0"/>
    <w:rsid w:val="00F30E28"/>
    <w:rsid w:val="00F30F40"/>
    <w:rsid w:val="00F30F79"/>
    <w:rsid w:val="00F31156"/>
    <w:rsid w:val="00F31281"/>
    <w:rsid w:val="00F313F8"/>
    <w:rsid w:val="00F3163C"/>
    <w:rsid w:val="00F31825"/>
    <w:rsid w:val="00F318B9"/>
    <w:rsid w:val="00F31B64"/>
    <w:rsid w:val="00F31BED"/>
    <w:rsid w:val="00F31CE3"/>
    <w:rsid w:val="00F323EB"/>
    <w:rsid w:val="00F32540"/>
    <w:rsid w:val="00F3287F"/>
    <w:rsid w:val="00F32D96"/>
    <w:rsid w:val="00F32D9F"/>
    <w:rsid w:val="00F33096"/>
    <w:rsid w:val="00F330E3"/>
    <w:rsid w:val="00F33295"/>
    <w:rsid w:val="00F3343E"/>
    <w:rsid w:val="00F335ED"/>
    <w:rsid w:val="00F33BE3"/>
    <w:rsid w:val="00F33C9C"/>
    <w:rsid w:val="00F33E5C"/>
    <w:rsid w:val="00F343A7"/>
    <w:rsid w:val="00F34470"/>
    <w:rsid w:val="00F3451E"/>
    <w:rsid w:val="00F34735"/>
    <w:rsid w:val="00F347B3"/>
    <w:rsid w:val="00F34AF4"/>
    <w:rsid w:val="00F34BE7"/>
    <w:rsid w:val="00F35078"/>
    <w:rsid w:val="00F353D5"/>
    <w:rsid w:val="00F3554B"/>
    <w:rsid w:val="00F35692"/>
    <w:rsid w:val="00F359E3"/>
    <w:rsid w:val="00F35B12"/>
    <w:rsid w:val="00F35C7E"/>
    <w:rsid w:val="00F35D3A"/>
    <w:rsid w:val="00F36010"/>
    <w:rsid w:val="00F360EE"/>
    <w:rsid w:val="00F36200"/>
    <w:rsid w:val="00F36640"/>
    <w:rsid w:val="00F368E5"/>
    <w:rsid w:val="00F3693E"/>
    <w:rsid w:val="00F37952"/>
    <w:rsid w:val="00F379C8"/>
    <w:rsid w:val="00F37E80"/>
    <w:rsid w:val="00F40085"/>
    <w:rsid w:val="00F4024E"/>
    <w:rsid w:val="00F40739"/>
    <w:rsid w:val="00F40C4C"/>
    <w:rsid w:val="00F40C5E"/>
    <w:rsid w:val="00F40D5D"/>
    <w:rsid w:val="00F4114C"/>
    <w:rsid w:val="00F416C3"/>
    <w:rsid w:val="00F41715"/>
    <w:rsid w:val="00F41A2D"/>
    <w:rsid w:val="00F420F4"/>
    <w:rsid w:val="00F421F8"/>
    <w:rsid w:val="00F42366"/>
    <w:rsid w:val="00F4274C"/>
    <w:rsid w:val="00F42CB4"/>
    <w:rsid w:val="00F42E91"/>
    <w:rsid w:val="00F43207"/>
    <w:rsid w:val="00F43501"/>
    <w:rsid w:val="00F43502"/>
    <w:rsid w:val="00F435A3"/>
    <w:rsid w:val="00F4367F"/>
    <w:rsid w:val="00F436A6"/>
    <w:rsid w:val="00F4391D"/>
    <w:rsid w:val="00F43958"/>
    <w:rsid w:val="00F43FC7"/>
    <w:rsid w:val="00F440A3"/>
    <w:rsid w:val="00F44113"/>
    <w:rsid w:val="00F4427E"/>
    <w:rsid w:val="00F44576"/>
    <w:rsid w:val="00F44913"/>
    <w:rsid w:val="00F44992"/>
    <w:rsid w:val="00F44A3F"/>
    <w:rsid w:val="00F44A52"/>
    <w:rsid w:val="00F4504E"/>
    <w:rsid w:val="00F45CCB"/>
    <w:rsid w:val="00F45FBA"/>
    <w:rsid w:val="00F463B8"/>
    <w:rsid w:val="00F4643B"/>
    <w:rsid w:val="00F46522"/>
    <w:rsid w:val="00F46693"/>
    <w:rsid w:val="00F46A33"/>
    <w:rsid w:val="00F46B7C"/>
    <w:rsid w:val="00F473BC"/>
    <w:rsid w:val="00F476FC"/>
    <w:rsid w:val="00F47B6C"/>
    <w:rsid w:val="00F47C75"/>
    <w:rsid w:val="00F47D9F"/>
    <w:rsid w:val="00F47E08"/>
    <w:rsid w:val="00F47FB2"/>
    <w:rsid w:val="00F47FC6"/>
    <w:rsid w:val="00F501D1"/>
    <w:rsid w:val="00F505A6"/>
    <w:rsid w:val="00F507AF"/>
    <w:rsid w:val="00F50F29"/>
    <w:rsid w:val="00F510E3"/>
    <w:rsid w:val="00F5149B"/>
    <w:rsid w:val="00F516D8"/>
    <w:rsid w:val="00F517F3"/>
    <w:rsid w:val="00F51B95"/>
    <w:rsid w:val="00F51DCE"/>
    <w:rsid w:val="00F51DCF"/>
    <w:rsid w:val="00F51ECE"/>
    <w:rsid w:val="00F52517"/>
    <w:rsid w:val="00F52733"/>
    <w:rsid w:val="00F5276E"/>
    <w:rsid w:val="00F52806"/>
    <w:rsid w:val="00F52BE8"/>
    <w:rsid w:val="00F52CF2"/>
    <w:rsid w:val="00F52D6B"/>
    <w:rsid w:val="00F52E5C"/>
    <w:rsid w:val="00F52F62"/>
    <w:rsid w:val="00F5327B"/>
    <w:rsid w:val="00F53313"/>
    <w:rsid w:val="00F534AC"/>
    <w:rsid w:val="00F53541"/>
    <w:rsid w:val="00F53744"/>
    <w:rsid w:val="00F53AD9"/>
    <w:rsid w:val="00F53D9A"/>
    <w:rsid w:val="00F53EF9"/>
    <w:rsid w:val="00F53FD1"/>
    <w:rsid w:val="00F54ADF"/>
    <w:rsid w:val="00F54B75"/>
    <w:rsid w:val="00F54B9D"/>
    <w:rsid w:val="00F54D78"/>
    <w:rsid w:val="00F55345"/>
    <w:rsid w:val="00F553EE"/>
    <w:rsid w:val="00F555DE"/>
    <w:rsid w:val="00F559A1"/>
    <w:rsid w:val="00F55C1C"/>
    <w:rsid w:val="00F560E1"/>
    <w:rsid w:val="00F5619A"/>
    <w:rsid w:val="00F566F0"/>
    <w:rsid w:val="00F56ADA"/>
    <w:rsid w:val="00F56CAA"/>
    <w:rsid w:val="00F5733E"/>
    <w:rsid w:val="00F5740A"/>
    <w:rsid w:val="00F57836"/>
    <w:rsid w:val="00F57900"/>
    <w:rsid w:val="00F57A0F"/>
    <w:rsid w:val="00F57C48"/>
    <w:rsid w:val="00F57DEA"/>
    <w:rsid w:val="00F57EB9"/>
    <w:rsid w:val="00F601F9"/>
    <w:rsid w:val="00F6038B"/>
    <w:rsid w:val="00F603B8"/>
    <w:rsid w:val="00F60544"/>
    <w:rsid w:val="00F6067A"/>
    <w:rsid w:val="00F607B0"/>
    <w:rsid w:val="00F607E3"/>
    <w:rsid w:val="00F609C4"/>
    <w:rsid w:val="00F610BC"/>
    <w:rsid w:val="00F611CD"/>
    <w:rsid w:val="00F6122B"/>
    <w:rsid w:val="00F6124F"/>
    <w:rsid w:val="00F617C8"/>
    <w:rsid w:val="00F61ABC"/>
    <w:rsid w:val="00F6207F"/>
    <w:rsid w:val="00F620E1"/>
    <w:rsid w:val="00F623E8"/>
    <w:rsid w:val="00F62608"/>
    <w:rsid w:val="00F62733"/>
    <w:rsid w:val="00F6279C"/>
    <w:rsid w:val="00F62910"/>
    <w:rsid w:val="00F62B75"/>
    <w:rsid w:val="00F62E3D"/>
    <w:rsid w:val="00F62FE5"/>
    <w:rsid w:val="00F63051"/>
    <w:rsid w:val="00F63514"/>
    <w:rsid w:val="00F63819"/>
    <w:rsid w:val="00F63862"/>
    <w:rsid w:val="00F63983"/>
    <w:rsid w:val="00F63CF1"/>
    <w:rsid w:val="00F643E7"/>
    <w:rsid w:val="00F645BB"/>
    <w:rsid w:val="00F645DF"/>
    <w:rsid w:val="00F64AE3"/>
    <w:rsid w:val="00F64FB1"/>
    <w:rsid w:val="00F652B7"/>
    <w:rsid w:val="00F652F0"/>
    <w:rsid w:val="00F65417"/>
    <w:rsid w:val="00F658BB"/>
    <w:rsid w:val="00F6593F"/>
    <w:rsid w:val="00F662E0"/>
    <w:rsid w:val="00F66359"/>
    <w:rsid w:val="00F665EC"/>
    <w:rsid w:val="00F666AE"/>
    <w:rsid w:val="00F66CE8"/>
    <w:rsid w:val="00F66EDE"/>
    <w:rsid w:val="00F66FD4"/>
    <w:rsid w:val="00F6712C"/>
    <w:rsid w:val="00F67460"/>
    <w:rsid w:val="00F6788C"/>
    <w:rsid w:val="00F67DB7"/>
    <w:rsid w:val="00F67FDB"/>
    <w:rsid w:val="00F700E9"/>
    <w:rsid w:val="00F701A2"/>
    <w:rsid w:val="00F7065A"/>
    <w:rsid w:val="00F70809"/>
    <w:rsid w:val="00F70A05"/>
    <w:rsid w:val="00F70A53"/>
    <w:rsid w:val="00F70A7D"/>
    <w:rsid w:val="00F70AD0"/>
    <w:rsid w:val="00F70D40"/>
    <w:rsid w:val="00F71013"/>
    <w:rsid w:val="00F71044"/>
    <w:rsid w:val="00F71380"/>
    <w:rsid w:val="00F71455"/>
    <w:rsid w:val="00F717AE"/>
    <w:rsid w:val="00F71C0D"/>
    <w:rsid w:val="00F71C8D"/>
    <w:rsid w:val="00F71F37"/>
    <w:rsid w:val="00F71F43"/>
    <w:rsid w:val="00F7229C"/>
    <w:rsid w:val="00F7233C"/>
    <w:rsid w:val="00F72436"/>
    <w:rsid w:val="00F7243E"/>
    <w:rsid w:val="00F72447"/>
    <w:rsid w:val="00F72734"/>
    <w:rsid w:val="00F728D9"/>
    <w:rsid w:val="00F72E1D"/>
    <w:rsid w:val="00F72F52"/>
    <w:rsid w:val="00F73644"/>
    <w:rsid w:val="00F73645"/>
    <w:rsid w:val="00F737A6"/>
    <w:rsid w:val="00F7387D"/>
    <w:rsid w:val="00F73AF5"/>
    <w:rsid w:val="00F73B77"/>
    <w:rsid w:val="00F73C03"/>
    <w:rsid w:val="00F73E04"/>
    <w:rsid w:val="00F73E38"/>
    <w:rsid w:val="00F740F1"/>
    <w:rsid w:val="00F7434D"/>
    <w:rsid w:val="00F7435F"/>
    <w:rsid w:val="00F7488C"/>
    <w:rsid w:val="00F74E7C"/>
    <w:rsid w:val="00F74F1E"/>
    <w:rsid w:val="00F750FA"/>
    <w:rsid w:val="00F752C2"/>
    <w:rsid w:val="00F7558F"/>
    <w:rsid w:val="00F758C8"/>
    <w:rsid w:val="00F75A35"/>
    <w:rsid w:val="00F75B72"/>
    <w:rsid w:val="00F75BEE"/>
    <w:rsid w:val="00F75C9E"/>
    <w:rsid w:val="00F75F5E"/>
    <w:rsid w:val="00F763E9"/>
    <w:rsid w:val="00F76776"/>
    <w:rsid w:val="00F76BC1"/>
    <w:rsid w:val="00F76FB1"/>
    <w:rsid w:val="00F773AD"/>
    <w:rsid w:val="00F77535"/>
    <w:rsid w:val="00F77586"/>
    <w:rsid w:val="00F778AE"/>
    <w:rsid w:val="00F77C2A"/>
    <w:rsid w:val="00F77C4B"/>
    <w:rsid w:val="00F80019"/>
    <w:rsid w:val="00F801AA"/>
    <w:rsid w:val="00F8077D"/>
    <w:rsid w:val="00F8087A"/>
    <w:rsid w:val="00F80884"/>
    <w:rsid w:val="00F80F15"/>
    <w:rsid w:val="00F80F30"/>
    <w:rsid w:val="00F81025"/>
    <w:rsid w:val="00F811DE"/>
    <w:rsid w:val="00F813E0"/>
    <w:rsid w:val="00F81697"/>
    <w:rsid w:val="00F817AE"/>
    <w:rsid w:val="00F818A9"/>
    <w:rsid w:val="00F81BD8"/>
    <w:rsid w:val="00F81F1D"/>
    <w:rsid w:val="00F81F63"/>
    <w:rsid w:val="00F820FD"/>
    <w:rsid w:val="00F8236D"/>
    <w:rsid w:val="00F825B7"/>
    <w:rsid w:val="00F829B1"/>
    <w:rsid w:val="00F82A11"/>
    <w:rsid w:val="00F82B5C"/>
    <w:rsid w:val="00F82BB5"/>
    <w:rsid w:val="00F82DB8"/>
    <w:rsid w:val="00F83666"/>
    <w:rsid w:val="00F8367C"/>
    <w:rsid w:val="00F8375C"/>
    <w:rsid w:val="00F83BE3"/>
    <w:rsid w:val="00F83EE0"/>
    <w:rsid w:val="00F83EF0"/>
    <w:rsid w:val="00F8420A"/>
    <w:rsid w:val="00F84430"/>
    <w:rsid w:val="00F844FC"/>
    <w:rsid w:val="00F84561"/>
    <w:rsid w:val="00F84641"/>
    <w:rsid w:val="00F847E9"/>
    <w:rsid w:val="00F849D1"/>
    <w:rsid w:val="00F84A79"/>
    <w:rsid w:val="00F84B5C"/>
    <w:rsid w:val="00F84B5F"/>
    <w:rsid w:val="00F84E21"/>
    <w:rsid w:val="00F84E4B"/>
    <w:rsid w:val="00F85043"/>
    <w:rsid w:val="00F8509D"/>
    <w:rsid w:val="00F850F4"/>
    <w:rsid w:val="00F851B0"/>
    <w:rsid w:val="00F851B8"/>
    <w:rsid w:val="00F85355"/>
    <w:rsid w:val="00F85660"/>
    <w:rsid w:val="00F85702"/>
    <w:rsid w:val="00F8570C"/>
    <w:rsid w:val="00F85A72"/>
    <w:rsid w:val="00F85B20"/>
    <w:rsid w:val="00F86310"/>
    <w:rsid w:val="00F8665A"/>
    <w:rsid w:val="00F86873"/>
    <w:rsid w:val="00F86A30"/>
    <w:rsid w:val="00F876B3"/>
    <w:rsid w:val="00F876BD"/>
    <w:rsid w:val="00F878D0"/>
    <w:rsid w:val="00F87B1F"/>
    <w:rsid w:val="00F87BF0"/>
    <w:rsid w:val="00F87ED1"/>
    <w:rsid w:val="00F90053"/>
    <w:rsid w:val="00F90700"/>
    <w:rsid w:val="00F9090D"/>
    <w:rsid w:val="00F90CA2"/>
    <w:rsid w:val="00F91295"/>
    <w:rsid w:val="00F916A7"/>
    <w:rsid w:val="00F91A04"/>
    <w:rsid w:val="00F91C0D"/>
    <w:rsid w:val="00F91C98"/>
    <w:rsid w:val="00F91F11"/>
    <w:rsid w:val="00F92366"/>
    <w:rsid w:val="00F92394"/>
    <w:rsid w:val="00F924BF"/>
    <w:rsid w:val="00F92662"/>
    <w:rsid w:val="00F9275E"/>
    <w:rsid w:val="00F928AC"/>
    <w:rsid w:val="00F92921"/>
    <w:rsid w:val="00F9296D"/>
    <w:rsid w:val="00F92BF5"/>
    <w:rsid w:val="00F92DEB"/>
    <w:rsid w:val="00F931B1"/>
    <w:rsid w:val="00F93737"/>
    <w:rsid w:val="00F93889"/>
    <w:rsid w:val="00F93A0D"/>
    <w:rsid w:val="00F93D21"/>
    <w:rsid w:val="00F93DD8"/>
    <w:rsid w:val="00F93FD2"/>
    <w:rsid w:val="00F941A7"/>
    <w:rsid w:val="00F94897"/>
    <w:rsid w:val="00F94AE5"/>
    <w:rsid w:val="00F94B46"/>
    <w:rsid w:val="00F94C00"/>
    <w:rsid w:val="00F94D79"/>
    <w:rsid w:val="00F94E30"/>
    <w:rsid w:val="00F94F25"/>
    <w:rsid w:val="00F95035"/>
    <w:rsid w:val="00F950D9"/>
    <w:rsid w:val="00F951F7"/>
    <w:rsid w:val="00F952C3"/>
    <w:rsid w:val="00F9535C"/>
    <w:rsid w:val="00F954B4"/>
    <w:rsid w:val="00F954B9"/>
    <w:rsid w:val="00F95AE2"/>
    <w:rsid w:val="00F95E78"/>
    <w:rsid w:val="00F95F48"/>
    <w:rsid w:val="00F96385"/>
    <w:rsid w:val="00F96F5F"/>
    <w:rsid w:val="00F971CA"/>
    <w:rsid w:val="00F973AF"/>
    <w:rsid w:val="00F975EA"/>
    <w:rsid w:val="00F9767B"/>
    <w:rsid w:val="00F978F6"/>
    <w:rsid w:val="00F97BA1"/>
    <w:rsid w:val="00FA0159"/>
    <w:rsid w:val="00FA029F"/>
    <w:rsid w:val="00FA03D3"/>
    <w:rsid w:val="00FA06BF"/>
    <w:rsid w:val="00FA0A60"/>
    <w:rsid w:val="00FA0AD5"/>
    <w:rsid w:val="00FA0FBF"/>
    <w:rsid w:val="00FA119D"/>
    <w:rsid w:val="00FA12C0"/>
    <w:rsid w:val="00FA135F"/>
    <w:rsid w:val="00FA1495"/>
    <w:rsid w:val="00FA1628"/>
    <w:rsid w:val="00FA1BD5"/>
    <w:rsid w:val="00FA1F25"/>
    <w:rsid w:val="00FA20AE"/>
    <w:rsid w:val="00FA2731"/>
    <w:rsid w:val="00FA29EC"/>
    <w:rsid w:val="00FA2B94"/>
    <w:rsid w:val="00FA2EC4"/>
    <w:rsid w:val="00FA313D"/>
    <w:rsid w:val="00FA325B"/>
    <w:rsid w:val="00FA32B7"/>
    <w:rsid w:val="00FA39B4"/>
    <w:rsid w:val="00FA3E19"/>
    <w:rsid w:val="00FA3F87"/>
    <w:rsid w:val="00FA4581"/>
    <w:rsid w:val="00FA4599"/>
    <w:rsid w:val="00FA46C5"/>
    <w:rsid w:val="00FA46DB"/>
    <w:rsid w:val="00FA4B00"/>
    <w:rsid w:val="00FA52BE"/>
    <w:rsid w:val="00FA54CD"/>
    <w:rsid w:val="00FA5994"/>
    <w:rsid w:val="00FA603A"/>
    <w:rsid w:val="00FA62AD"/>
    <w:rsid w:val="00FA6419"/>
    <w:rsid w:val="00FA6587"/>
    <w:rsid w:val="00FA69E1"/>
    <w:rsid w:val="00FA70EC"/>
    <w:rsid w:val="00FA714E"/>
    <w:rsid w:val="00FA7177"/>
    <w:rsid w:val="00FA71E2"/>
    <w:rsid w:val="00FA72F8"/>
    <w:rsid w:val="00FA7812"/>
    <w:rsid w:val="00FA7872"/>
    <w:rsid w:val="00FA7930"/>
    <w:rsid w:val="00FA7C7B"/>
    <w:rsid w:val="00FA7FE2"/>
    <w:rsid w:val="00FB0024"/>
    <w:rsid w:val="00FB0094"/>
    <w:rsid w:val="00FB0216"/>
    <w:rsid w:val="00FB044E"/>
    <w:rsid w:val="00FB06C9"/>
    <w:rsid w:val="00FB0802"/>
    <w:rsid w:val="00FB108A"/>
    <w:rsid w:val="00FB130D"/>
    <w:rsid w:val="00FB13E3"/>
    <w:rsid w:val="00FB161F"/>
    <w:rsid w:val="00FB166A"/>
    <w:rsid w:val="00FB1B59"/>
    <w:rsid w:val="00FB1B81"/>
    <w:rsid w:val="00FB1CBD"/>
    <w:rsid w:val="00FB1D70"/>
    <w:rsid w:val="00FB2540"/>
    <w:rsid w:val="00FB275C"/>
    <w:rsid w:val="00FB2F3E"/>
    <w:rsid w:val="00FB3145"/>
    <w:rsid w:val="00FB33A1"/>
    <w:rsid w:val="00FB35BD"/>
    <w:rsid w:val="00FB3719"/>
    <w:rsid w:val="00FB37E8"/>
    <w:rsid w:val="00FB3A64"/>
    <w:rsid w:val="00FB3AB9"/>
    <w:rsid w:val="00FB3C52"/>
    <w:rsid w:val="00FB3CA4"/>
    <w:rsid w:val="00FB3CDD"/>
    <w:rsid w:val="00FB412A"/>
    <w:rsid w:val="00FB422A"/>
    <w:rsid w:val="00FB42F6"/>
    <w:rsid w:val="00FB45E6"/>
    <w:rsid w:val="00FB49F1"/>
    <w:rsid w:val="00FB4A91"/>
    <w:rsid w:val="00FB4B30"/>
    <w:rsid w:val="00FB4B6E"/>
    <w:rsid w:val="00FB4BE8"/>
    <w:rsid w:val="00FB4DB7"/>
    <w:rsid w:val="00FB50DD"/>
    <w:rsid w:val="00FB50E8"/>
    <w:rsid w:val="00FB5415"/>
    <w:rsid w:val="00FB5730"/>
    <w:rsid w:val="00FB5B51"/>
    <w:rsid w:val="00FB5BA8"/>
    <w:rsid w:val="00FB5C78"/>
    <w:rsid w:val="00FB5CC6"/>
    <w:rsid w:val="00FB62FB"/>
    <w:rsid w:val="00FB670A"/>
    <w:rsid w:val="00FB673B"/>
    <w:rsid w:val="00FB6782"/>
    <w:rsid w:val="00FB6985"/>
    <w:rsid w:val="00FB6A56"/>
    <w:rsid w:val="00FB6AAC"/>
    <w:rsid w:val="00FB6DFB"/>
    <w:rsid w:val="00FB6E6D"/>
    <w:rsid w:val="00FB76E6"/>
    <w:rsid w:val="00FB78C6"/>
    <w:rsid w:val="00FB7AE3"/>
    <w:rsid w:val="00FB7B92"/>
    <w:rsid w:val="00FB7C8A"/>
    <w:rsid w:val="00FB7D3F"/>
    <w:rsid w:val="00FB7D55"/>
    <w:rsid w:val="00FB7E07"/>
    <w:rsid w:val="00FC001E"/>
    <w:rsid w:val="00FC00AF"/>
    <w:rsid w:val="00FC042D"/>
    <w:rsid w:val="00FC0627"/>
    <w:rsid w:val="00FC0C8C"/>
    <w:rsid w:val="00FC12D1"/>
    <w:rsid w:val="00FC15CA"/>
    <w:rsid w:val="00FC166E"/>
    <w:rsid w:val="00FC193C"/>
    <w:rsid w:val="00FC1C4A"/>
    <w:rsid w:val="00FC2058"/>
    <w:rsid w:val="00FC20A4"/>
    <w:rsid w:val="00FC2598"/>
    <w:rsid w:val="00FC2B21"/>
    <w:rsid w:val="00FC305F"/>
    <w:rsid w:val="00FC3643"/>
    <w:rsid w:val="00FC366F"/>
    <w:rsid w:val="00FC388A"/>
    <w:rsid w:val="00FC38E8"/>
    <w:rsid w:val="00FC3C01"/>
    <w:rsid w:val="00FC3CE5"/>
    <w:rsid w:val="00FC427C"/>
    <w:rsid w:val="00FC459A"/>
    <w:rsid w:val="00FC45C6"/>
    <w:rsid w:val="00FC4942"/>
    <w:rsid w:val="00FC4A23"/>
    <w:rsid w:val="00FC4B8D"/>
    <w:rsid w:val="00FC4D26"/>
    <w:rsid w:val="00FC4D7E"/>
    <w:rsid w:val="00FC4D7F"/>
    <w:rsid w:val="00FC4D99"/>
    <w:rsid w:val="00FC505A"/>
    <w:rsid w:val="00FC528D"/>
    <w:rsid w:val="00FC591B"/>
    <w:rsid w:val="00FC5C16"/>
    <w:rsid w:val="00FC5D19"/>
    <w:rsid w:val="00FC5DB3"/>
    <w:rsid w:val="00FC6C69"/>
    <w:rsid w:val="00FC6E61"/>
    <w:rsid w:val="00FC71E2"/>
    <w:rsid w:val="00FC73BB"/>
    <w:rsid w:val="00FC749E"/>
    <w:rsid w:val="00FC78FC"/>
    <w:rsid w:val="00FC7979"/>
    <w:rsid w:val="00FC7B03"/>
    <w:rsid w:val="00FD0711"/>
    <w:rsid w:val="00FD075F"/>
    <w:rsid w:val="00FD08F3"/>
    <w:rsid w:val="00FD0986"/>
    <w:rsid w:val="00FD0AB8"/>
    <w:rsid w:val="00FD0D5F"/>
    <w:rsid w:val="00FD0E40"/>
    <w:rsid w:val="00FD10C5"/>
    <w:rsid w:val="00FD146C"/>
    <w:rsid w:val="00FD1968"/>
    <w:rsid w:val="00FD1B11"/>
    <w:rsid w:val="00FD1BC8"/>
    <w:rsid w:val="00FD1C72"/>
    <w:rsid w:val="00FD2170"/>
    <w:rsid w:val="00FD24A3"/>
    <w:rsid w:val="00FD2772"/>
    <w:rsid w:val="00FD286A"/>
    <w:rsid w:val="00FD2C0C"/>
    <w:rsid w:val="00FD2D26"/>
    <w:rsid w:val="00FD306B"/>
    <w:rsid w:val="00FD30D7"/>
    <w:rsid w:val="00FD320A"/>
    <w:rsid w:val="00FD32F7"/>
    <w:rsid w:val="00FD3479"/>
    <w:rsid w:val="00FD3919"/>
    <w:rsid w:val="00FD3A13"/>
    <w:rsid w:val="00FD3E31"/>
    <w:rsid w:val="00FD4201"/>
    <w:rsid w:val="00FD4254"/>
    <w:rsid w:val="00FD4631"/>
    <w:rsid w:val="00FD471C"/>
    <w:rsid w:val="00FD48EC"/>
    <w:rsid w:val="00FD4C88"/>
    <w:rsid w:val="00FD4D9E"/>
    <w:rsid w:val="00FD4E1E"/>
    <w:rsid w:val="00FD5200"/>
    <w:rsid w:val="00FD5329"/>
    <w:rsid w:val="00FD5577"/>
    <w:rsid w:val="00FD5A08"/>
    <w:rsid w:val="00FD5BEE"/>
    <w:rsid w:val="00FD5C45"/>
    <w:rsid w:val="00FD6235"/>
    <w:rsid w:val="00FD65DF"/>
    <w:rsid w:val="00FD6628"/>
    <w:rsid w:val="00FD678F"/>
    <w:rsid w:val="00FD6A15"/>
    <w:rsid w:val="00FD6DE0"/>
    <w:rsid w:val="00FD6E93"/>
    <w:rsid w:val="00FD7235"/>
    <w:rsid w:val="00FD7347"/>
    <w:rsid w:val="00FD7475"/>
    <w:rsid w:val="00FD7629"/>
    <w:rsid w:val="00FD76E7"/>
    <w:rsid w:val="00FD7AB9"/>
    <w:rsid w:val="00FD7C2E"/>
    <w:rsid w:val="00FD7C63"/>
    <w:rsid w:val="00FD7FDA"/>
    <w:rsid w:val="00FE0089"/>
    <w:rsid w:val="00FE043E"/>
    <w:rsid w:val="00FE04D0"/>
    <w:rsid w:val="00FE0555"/>
    <w:rsid w:val="00FE0560"/>
    <w:rsid w:val="00FE07F5"/>
    <w:rsid w:val="00FE0A06"/>
    <w:rsid w:val="00FE0BC8"/>
    <w:rsid w:val="00FE1185"/>
    <w:rsid w:val="00FE19BE"/>
    <w:rsid w:val="00FE1D8D"/>
    <w:rsid w:val="00FE1E43"/>
    <w:rsid w:val="00FE1E73"/>
    <w:rsid w:val="00FE1F90"/>
    <w:rsid w:val="00FE2011"/>
    <w:rsid w:val="00FE21D1"/>
    <w:rsid w:val="00FE22AD"/>
    <w:rsid w:val="00FE2491"/>
    <w:rsid w:val="00FE2647"/>
    <w:rsid w:val="00FE2AF9"/>
    <w:rsid w:val="00FE2BEE"/>
    <w:rsid w:val="00FE35E2"/>
    <w:rsid w:val="00FE3759"/>
    <w:rsid w:val="00FE3832"/>
    <w:rsid w:val="00FE388A"/>
    <w:rsid w:val="00FE38C3"/>
    <w:rsid w:val="00FE3979"/>
    <w:rsid w:val="00FE3FDF"/>
    <w:rsid w:val="00FE4369"/>
    <w:rsid w:val="00FE4937"/>
    <w:rsid w:val="00FE50C8"/>
    <w:rsid w:val="00FE5227"/>
    <w:rsid w:val="00FE58D3"/>
    <w:rsid w:val="00FE596D"/>
    <w:rsid w:val="00FE59B4"/>
    <w:rsid w:val="00FE5B8F"/>
    <w:rsid w:val="00FE5BFB"/>
    <w:rsid w:val="00FE5C55"/>
    <w:rsid w:val="00FE5EA3"/>
    <w:rsid w:val="00FE5F3D"/>
    <w:rsid w:val="00FE5F58"/>
    <w:rsid w:val="00FE6166"/>
    <w:rsid w:val="00FE620D"/>
    <w:rsid w:val="00FE6948"/>
    <w:rsid w:val="00FE6C23"/>
    <w:rsid w:val="00FE72E3"/>
    <w:rsid w:val="00FE736A"/>
    <w:rsid w:val="00FE75E5"/>
    <w:rsid w:val="00FE7AE5"/>
    <w:rsid w:val="00FE7DE2"/>
    <w:rsid w:val="00FE7DF9"/>
    <w:rsid w:val="00FE7E6C"/>
    <w:rsid w:val="00FF0071"/>
    <w:rsid w:val="00FF008C"/>
    <w:rsid w:val="00FF0502"/>
    <w:rsid w:val="00FF075A"/>
    <w:rsid w:val="00FF0BA0"/>
    <w:rsid w:val="00FF0C1C"/>
    <w:rsid w:val="00FF0C6C"/>
    <w:rsid w:val="00FF0D5D"/>
    <w:rsid w:val="00FF0DB6"/>
    <w:rsid w:val="00FF0F15"/>
    <w:rsid w:val="00FF0F4B"/>
    <w:rsid w:val="00FF136E"/>
    <w:rsid w:val="00FF17B3"/>
    <w:rsid w:val="00FF17EF"/>
    <w:rsid w:val="00FF1B44"/>
    <w:rsid w:val="00FF203D"/>
    <w:rsid w:val="00FF292C"/>
    <w:rsid w:val="00FF2B04"/>
    <w:rsid w:val="00FF2D48"/>
    <w:rsid w:val="00FF2D4C"/>
    <w:rsid w:val="00FF3308"/>
    <w:rsid w:val="00FF3A13"/>
    <w:rsid w:val="00FF42F2"/>
    <w:rsid w:val="00FF4461"/>
    <w:rsid w:val="00FF4722"/>
    <w:rsid w:val="00FF49C4"/>
    <w:rsid w:val="00FF4A17"/>
    <w:rsid w:val="00FF4A7F"/>
    <w:rsid w:val="00FF4D44"/>
    <w:rsid w:val="00FF4DFB"/>
    <w:rsid w:val="00FF5601"/>
    <w:rsid w:val="00FF5641"/>
    <w:rsid w:val="00FF572C"/>
    <w:rsid w:val="00FF57C8"/>
    <w:rsid w:val="00FF5F59"/>
    <w:rsid w:val="00FF62A1"/>
    <w:rsid w:val="00FF64BD"/>
    <w:rsid w:val="00FF6627"/>
    <w:rsid w:val="00FF66D6"/>
    <w:rsid w:val="00FF694F"/>
    <w:rsid w:val="00FF69D6"/>
    <w:rsid w:val="00FF6A17"/>
    <w:rsid w:val="00FF6B8E"/>
    <w:rsid w:val="00FF7042"/>
    <w:rsid w:val="00FF71B3"/>
    <w:rsid w:val="00FF727E"/>
    <w:rsid w:val="00FF74B6"/>
    <w:rsid w:val="00FF770D"/>
    <w:rsid w:val="00FF78AE"/>
    <w:rsid w:val="00FF78E2"/>
    <w:rsid w:val="00FF79E3"/>
    <w:rsid w:val="00FF7F0B"/>
    <w:rsid w:val="01097E5F"/>
    <w:rsid w:val="010A68E6"/>
    <w:rsid w:val="0112390A"/>
    <w:rsid w:val="0116B746"/>
    <w:rsid w:val="01177A30"/>
    <w:rsid w:val="011C486D"/>
    <w:rsid w:val="011E2190"/>
    <w:rsid w:val="011EDAB2"/>
    <w:rsid w:val="0121F665"/>
    <w:rsid w:val="01258A30"/>
    <w:rsid w:val="012FC914"/>
    <w:rsid w:val="01348327"/>
    <w:rsid w:val="013AC12F"/>
    <w:rsid w:val="013F6289"/>
    <w:rsid w:val="0144661B"/>
    <w:rsid w:val="0145AE61"/>
    <w:rsid w:val="0148B0F2"/>
    <w:rsid w:val="0148D35F"/>
    <w:rsid w:val="01494E6E"/>
    <w:rsid w:val="0149DFC5"/>
    <w:rsid w:val="014A8DAB"/>
    <w:rsid w:val="0150AF25"/>
    <w:rsid w:val="0151B6D7"/>
    <w:rsid w:val="0151D34F"/>
    <w:rsid w:val="015455E4"/>
    <w:rsid w:val="0155E4D3"/>
    <w:rsid w:val="015731BA"/>
    <w:rsid w:val="0157F386"/>
    <w:rsid w:val="015839A1"/>
    <w:rsid w:val="015F278C"/>
    <w:rsid w:val="015F88E7"/>
    <w:rsid w:val="016251A6"/>
    <w:rsid w:val="01669655"/>
    <w:rsid w:val="016C1384"/>
    <w:rsid w:val="01722D3D"/>
    <w:rsid w:val="01738348"/>
    <w:rsid w:val="0182A62F"/>
    <w:rsid w:val="01856054"/>
    <w:rsid w:val="01872AA5"/>
    <w:rsid w:val="018DDC6C"/>
    <w:rsid w:val="018E28BE"/>
    <w:rsid w:val="018F87AB"/>
    <w:rsid w:val="0192975C"/>
    <w:rsid w:val="01971CC5"/>
    <w:rsid w:val="01A2760C"/>
    <w:rsid w:val="01A34820"/>
    <w:rsid w:val="01A4AAD7"/>
    <w:rsid w:val="01A63CC6"/>
    <w:rsid w:val="01AB384D"/>
    <w:rsid w:val="01B11546"/>
    <w:rsid w:val="01B23860"/>
    <w:rsid w:val="01B3414C"/>
    <w:rsid w:val="01B589A1"/>
    <w:rsid w:val="01BA0538"/>
    <w:rsid w:val="01BDFC34"/>
    <w:rsid w:val="01C549DF"/>
    <w:rsid w:val="01DA59AB"/>
    <w:rsid w:val="01E290A0"/>
    <w:rsid w:val="01E376E5"/>
    <w:rsid w:val="01EC575C"/>
    <w:rsid w:val="01EDE5D6"/>
    <w:rsid w:val="01F086D7"/>
    <w:rsid w:val="01F97C5B"/>
    <w:rsid w:val="01FB0DEA"/>
    <w:rsid w:val="01FD918F"/>
    <w:rsid w:val="020D8412"/>
    <w:rsid w:val="0214B675"/>
    <w:rsid w:val="02199201"/>
    <w:rsid w:val="021C4AB2"/>
    <w:rsid w:val="0220AAFA"/>
    <w:rsid w:val="0228FAA5"/>
    <w:rsid w:val="022ADBD1"/>
    <w:rsid w:val="022D9B33"/>
    <w:rsid w:val="02308CD4"/>
    <w:rsid w:val="024AE920"/>
    <w:rsid w:val="024E452E"/>
    <w:rsid w:val="0253C921"/>
    <w:rsid w:val="0260FD4C"/>
    <w:rsid w:val="026AB70B"/>
    <w:rsid w:val="026FD243"/>
    <w:rsid w:val="0277A944"/>
    <w:rsid w:val="0278EA9B"/>
    <w:rsid w:val="027CCA9A"/>
    <w:rsid w:val="029047AE"/>
    <w:rsid w:val="0292D058"/>
    <w:rsid w:val="029301A2"/>
    <w:rsid w:val="029BF4B3"/>
    <w:rsid w:val="02A17B8E"/>
    <w:rsid w:val="02AA36C7"/>
    <w:rsid w:val="02AB56DF"/>
    <w:rsid w:val="02B367AB"/>
    <w:rsid w:val="02BC407B"/>
    <w:rsid w:val="02C441CF"/>
    <w:rsid w:val="02CE1C13"/>
    <w:rsid w:val="02D1F6FE"/>
    <w:rsid w:val="02E3ABF3"/>
    <w:rsid w:val="02EA29EF"/>
    <w:rsid w:val="02F20ACD"/>
    <w:rsid w:val="02F9BC39"/>
    <w:rsid w:val="02FDDA5D"/>
    <w:rsid w:val="0301DAE9"/>
    <w:rsid w:val="0314C243"/>
    <w:rsid w:val="0318E129"/>
    <w:rsid w:val="03193D8A"/>
    <w:rsid w:val="031976C4"/>
    <w:rsid w:val="031AB78B"/>
    <w:rsid w:val="0322BCAB"/>
    <w:rsid w:val="03261590"/>
    <w:rsid w:val="03280134"/>
    <w:rsid w:val="032E8D9C"/>
    <w:rsid w:val="033016E1"/>
    <w:rsid w:val="033B2538"/>
    <w:rsid w:val="033B53DE"/>
    <w:rsid w:val="0341EB5B"/>
    <w:rsid w:val="03525429"/>
    <w:rsid w:val="0366CC5D"/>
    <w:rsid w:val="0367A533"/>
    <w:rsid w:val="036A95EF"/>
    <w:rsid w:val="036C2396"/>
    <w:rsid w:val="03729188"/>
    <w:rsid w:val="0379C7FB"/>
    <w:rsid w:val="037F4746"/>
    <w:rsid w:val="038219C1"/>
    <w:rsid w:val="03866CE1"/>
    <w:rsid w:val="0388FA39"/>
    <w:rsid w:val="03941D1C"/>
    <w:rsid w:val="039D8DB9"/>
    <w:rsid w:val="03A361C8"/>
    <w:rsid w:val="03AAC576"/>
    <w:rsid w:val="03AE3927"/>
    <w:rsid w:val="03AF1569"/>
    <w:rsid w:val="03B4FB9C"/>
    <w:rsid w:val="03B8D9CA"/>
    <w:rsid w:val="03BC55DA"/>
    <w:rsid w:val="03BE3101"/>
    <w:rsid w:val="03BEF0B6"/>
    <w:rsid w:val="03C82170"/>
    <w:rsid w:val="03D41F84"/>
    <w:rsid w:val="03D56E01"/>
    <w:rsid w:val="03D99A3E"/>
    <w:rsid w:val="03E77CE7"/>
    <w:rsid w:val="03E9681D"/>
    <w:rsid w:val="03EE77EB"/>
    <w:rsid w:val="03F20D51"/>
    <w:rsid w:val="03F2BDC0"/>
    <w:rsid w:val="03FAA41E"/>
    <w:rsid w:val="04151C74"/>
    <w:rsid w:val="042528FF"/>
    <w:rsid w:val="042536C0"/>
    <w:rsid w:val="042BB8E2"/>
    <w:rsid w:val="042D745E"/>
    <w:rsid w:val="043D344F"/>
    <w:rsid w:val="043D624C"/>
    <w:rsid w:val="043F9996"/>
    <w:rsid w:val="04411F21"/>
    <w:rsid w:val="04512DFD"/>
    <w:rsid w:val="0451A431"/>
    <w:rsid w:val="0454B54D"/>
    <w:rsid w:val="045C56C9"/>
    <w:rsid w:val="0470317D"/>
    <w:rsid w:val="0475151C"/>
    <w:rsid w:val="04795AE4"/>
    <w:rsid w:val="047A2514"/>
    <w:rsid w:val="047BC10D"/>
    <w:rsid w:val="047D0962"/>
    <w:rsid w:val="048300B7"/>
    <w:rsid w:val="04840CDD"/>
    <w:rsid w:val="04915D33"/>
    <w:rsid w:val="04AE9E81"/>
    <w:rsid w:val="04B04C42"/>
    <w:rsid w:val="04B3E01A"/>
    <w:rsid w:val="04B5988A"/>
    <w:rsid w:val="04B85906"/>
    <w:rsid w:val="04C10952"/>
    <w:rsid w:val="04D21AAC"/>
    <w:rsid w:val="04D4B2FC"/>
    <w:rsid w:val="04DDAFDF"/>
    <w:rsid w:val="04F2C660"/>
    <w:rsid w:val="04F3287E"/>
    <w:rsid w:val="04F432FB"/>
    <w:rsid w:val="04F54ED4"/>
    <w:rsid w:val="04F55CF6"/>
    <w:rsid w:val="04FA8417"/>
    <w:rsid w:val="04FC36F2"/>
    <w:rsid w:val="04FD1153"/>
    <w:rsid w:val="05037859"/>
    <w:rsid w:val="05055258"/>
    <w:rsid w:val="05064260"/>
    <w:rsid w:val="05128071"/>
    <w:rsid w:val="05183B68"/>
    <w:rsid w:val="05197673"/>
    <w:rsid w:val="0519926E"/>
    <w:rsid w:val="05337082"/>
    <w:rsid w:val="05371140"/>
    <w:rsid w:val="053D1D08"/>
    <w:rsid w:val="054E39BC"/>
    <w:rsid w:val="05504854"/>
    <w:rsid w:val="0550BF4A"/>
    <w:rsid w:val="0553F32B"/>
    <w:rsid w:val="056DA141"/>
    <w:rsid w:val="056E6B3B"/>
    <w:rsid w:val="0570E2C4"/>
    <w:rsid w:val="057EA4EE"/>
    <w:rsid w:val="05810070"/>
    <w:rsid w:val="058229C1"/>
    <w:rsid w:val="0582C570"/>
    <w:rsid w:val="0590F1FC"/>
    <w:rsid w:val="0592F1C8"/>
    <w:rsid w:val="0594491D"/>
    <w:rsid w:val="059D2140"/>
    <w:rsid w:val="05B6B2B1"/>
    <w:rsid w:val="05BCFEF2"/>
    <w:rsid w:val="05CCC11E"/>
    <w:rsid w:val="05D30D3A"/>
    <w:rsid w:val="05E22448"/>
    <w:rsid w:val="05EE0F2B"/>
    <w:rsid w:val="05EF969C"/>
    <w:rsid w:val="05F1EB1F"/>
    <w:rsid w:val="05F47292"/>
    <w:rsid w:val="05F53BC8"/>
    <w:rsid w:val="05F97DC5"/>
    <w:rsid w:val="05FBB3E6"/>
    <w:rsid w:val="05FCF98A"/>
    <w:rsid w:val="0604354B"/>
    <w:rsid w:val="060AC778"/>
    <w:rsid w:val="061912F7"/>
    <w:rsid w:val="061BB64D"/>
    <w:rsid w:val="061BB80F"/>
    <w:rsid w:val="062BC561"/>
    <w:rsid w:val="0636D556"/>
    <w:rsid w:val="0636FE99"/>
    <w:rsid w:val="0643237A"/>
    <w:rsid w:val="064935AF"/>
    <w:rsid w:val="064F0B31"/>
    <w:rsid w:val="0659348B"/>
    <w:rsid w:val="06597BD5"/>
    <w:rsid w:val="065B3FCE"/>
    <w:rsid w:val="06665978"/>
    <w:rsid w:val="066E0808"/>
    <w:rsid w:val="06762FFE"/>
    <w:rsid w:val="067B4CC5"/>
    <w:rsid w:val="067CFF2E"/>
    <w:rsid w:val="06803C18"/>
    <w:rsid w:val="068A3021"/>
    <w:rsid w:val="068AA3E6"/>
    <w:rsid w:val="06A46D58"/>
    <w:rsid w:val="06AA6257"/>
    <w:rsid w:val="06AB3BD2"/>
    <w:rsid w:val="06B38FE4"/>
    <w:rsid w:val="06B5C1AA"/>
    <w:rsid w:val="06B90A70"/>
    <w:rsid w:val="06BAEE80"/>
    <w:rsid w:val="06BAFC69"/>
    <w:rsid w:val="06BE30D0"/>
    <w:rsid w:val="06BF5D83"/>
    <w:rsid w:val="06C722C8"/>
    <w:rsid w:val="06CF22D6"/>
    <w:rsid w:val="06D1A915"/>
    <w:rsid w:val="06DB9720"/>
    <w:rsid w:val="06DC66AC"/>
    <w:rsid w:val="06DE544E"/>
    <w:rsid w:val="06E303C6"/>
    <w:rsid w:val="06EC96AB"/>
    <w:rsid w:val="06F224A2"/>
    <w:rsid w:val="06F45015"/>
    <w:rsid w:val="06F580F0"/>
    <w:rsid w:val="06F8AEAC"/>
    <w:rsid w:val="06FB320B"/>
    <w:rsid w:val="06FF8AB2"/>
    <w:rsid w:val="070C6ABB"/>
    <w:rsid w:val="070E8C73"/>
    <w:rsid w:val="07184DA4"/>
    <w:rsid w:val="071F35A2"/>
    <w:rsid w:val="07256626"/>
    <w:rsid w:val="0728C04C"/>
    <w:rsid w:val="072BA1FC"/>
    <w:rsid w:val="072BFEC9"/>
    <w:rsid w:val="072C0BA3"/>
    <w:rsid w:val="072FC9E3"/>
    <w:rsid w:val="073803A7"/>
    <w:rsid w:val="07388263"/>
    <w:rsid w:val="07390DF0"/>
    <w:rsid w:val="073CE832"/>
    <w:rsid w:val="0747E056"/>
    <w:rsid w:val="074B49B3"/>
    <w:rsid w:val="074E6F70"/>
    <w:rsid w:val="076165E1"/>
    <w:rsid w:val="0767CA36"/>
    <w:rsid w:val="076C9299"/>
    <w:rsid w:val="077287DC"/>
    <w:rsid w:val="078049A7"/>
    <w:rsid w:val="07860659"/>
    <w:rsid w:val="0790E983"/>
    <w:rsid w:val="07960555"/>
    <w:rsid w:val="079B8EC2"/>
    <w:rsid w:val="07ACAB8E"/>
    <w:rsid w:val="07B1F9E1"/>
    <w:rsid w:val="07BDC6A9"/>
    <w:rsid w:val="07BEE0A0"/>
    <w:rsid w:val="07C23C9E"/>
    <w:rsid w:val="07C3E3CC"/>
    <w:rsid w:val="07C92D85"/>
    <w:rsid w:val="07D27D69"/>
    <w:rsid w:val="07D8D26E"/>
    <w:rsid w:val="07E239E8"/>
    <w:rsid w:val="07E50C51"/>
    <w:rsid w:val="07E6B5BA"/>
    <w:rsid w:val="07E866F2"/>
    <w:rsid w:val="07EFF384"/>
    <w:rsid w:val="07F72C2C"/>
    <w:rsid w:val="07FDFDB1"/>
    <w:rsid w:val="08018535"/>
    <w:rsid w:val="0801AF8A"/>
    <w:rsid w:val="0809377F"/>
    <w:rsid w:val="081A418C"/>
    <w:rsid w:val="08207435"/>
    <w:rsid w:val="082D8AA3"/>
    <w:rsid w:val="083C6309"/>
    <w:rsid w:val="08476747"/>
    <w:rsid w:val="08509863"/>
    <w:rsid w:val="08536D01"/>
    <w:rsid w:val="085E262E"/>
    <w:rsid w:val="085E32C9"/>
    <w:rsid w:val="085F70D1"/>
    <w:rsid w:val="0862A9B9"/>
    <w:rsid w:val="08674F9D"/>
    <w:rsid w:val="086951D0"/>
    <w:rsid w:val="086E0064"/>
    <w:rsid w:val="08897739"/>
    <w:rsid w:val="088ACA5C"/>
    <w:rsid w:val="089ADAE6"/>
    <w:rsid w:val="08A2695F"/>
    <w:rsid w:val="08AE2233"/>
    <w:rsid w:val="08BD1F62"/>
    <w:rsid w:val="08C53A02"/>
    <w:rsid w:val="08C975FA"/>
    <w:rsid w:val="08CB7DD1"/>
    <w:rsid w:val="08D44CD0"/>
    <w:rsid w:val="08DA4A22"/>
    <w:rsid w:val="08DC9F68"/>
    <w:rsid w:val="08DCA1D4"/>
    <w:rsid w:val="08DD1736"/>
    <w:rsid w:val="08E1D32A"/>
    <w:rsid w:val="08E50509"/>
    <w:rsid w:val="08E75DAE"/>
    <w:rsid w:val="08EE5373"/>
    <w:rsid w:val="08EE7896"/>
    <w:rsid w:val="08F57198"/>
    <w:rsid w:val="08F5DBFB"/>
    <w:rsid w:val="08F833D1"/>
    <w:rsid w:val="0904E710"/>
    <w:rsid w:val="0906B5B1"/>
    <w:rsid w:val="0910A313"/>
    <w:rsid w:val="0924097B"/>
    <w:rsid w:val="092B0CBD"/>
    <w:rsid w:val="092DAA6D"/>
    <w:rsid w:val="0933066E"/>
    <w:rsid w:val="09375AAB"/>
    <w:rsid w:val="0944E59D"/>
    <w:rsid w:val="094742A8"/>
    <w:rsid w:val="09496852"/>
    <w:rsid w:val="095B0054"/>
    <w:rsid w:val="095B610C"/>
    <w:rsid w:val="0967A61F"/>
    <w:rsid w:val="096E7618"/>
    <w:rsid w:val="0973D932"/>
    <w:rsid w:val="0976C245"/>
    <w:rsid w:val="097ABE03"/>
    <w:rsid w:val="097B13DE"/>
    <w:rsid w:val="097C577B"/>
    <w:rsid w:val="0981E781"/>
    <w:rsid w:val="0985F994"/>
    <w:rsid w:val="098CD436"/>
    <w:rsid w:val="098FB23E"/>
    <w:rsid w:val="09940F48"/>
    <w:rsid w:val="09996568"/>
    <w:rsid w:val="099F6B29"/>
    <w:rsid w:val="09A293B9"/>
    <w:rsid w:val="09AFC38D"/>
    <w:rsid w:val="09B04D1E"/>
    <w:rsid w:val="09B19111"/>
    <w:rsid w:val="09B57E38"/>
    <w:rsid w:val="09B6ED52"/>
    <w:rsid w:val="09B7619C"/>
    <w:rsid w:val="09BD41D9"/>
    <w:rsid w:val="09C59B6A"/>
    <w:rsid w:val="09CF95AE"/>
    <w:rsid w:val="09D57AC8"/>
    <w:rsid w:val="09DE1A81"/>
    <w:rsid w:val="09DF6398"/>
    <w:rsid w:val="09E90D4D"/>
    <w:rsid w:val="09F1FEC2"/>
    <w:rsid w:val="09F8B3DB"/>
    <w:rsid w:val="09FBC815"/>
    <w:rsid w:val="09FF6E25"/>
    <w:rsid w:val="0A00B109"/>
    <w:rsid w:val="0A021B30"/>
    <w:rsid w:val="0A037789"/>
    <w:rsid w:val="0A0BF07D"/>
    <w:rsid w:val="0A0EA3DD"/>
    <w:rsid w:val="0A127335"/>
    <w:rsid w:val="0A186FAB"/>
    <w:rsid w:val="0A1B2605"/>
    <w:rsid w:val="0A1B3DC1"/>
    <w:rsid w:val="0A1C1BC2"/>
    <w:rsid w:val="0A202331"/>
    <w:rsid w:val="0A21AADF"/>
    <w:rsid w:val="0A22867B"/>
    <w:rsid w:val="0A23CFA7"/>
    <w:rsid w:val="0A287713"/>
    <w:rsid w:val="0A2A66F7"/>
    <w:rsid w:val="0A2F53FC"/>
    <w:rsid w:val="0A311003"/>
    <w:rsid w:val="0A3860C1"/>
    <w:rsid w:val="0A3FDCD9"/>
    <w:rsid w:val="0A49ADBF"/>
    <w:rsid w:val="0A49B697"/>
    <w:rsid w:val="0A4AF4B3"/>
    <w:rsid w:val="0A51CEDD"/>
    <w:rsid w:val="0A5648F4"/>
    <w:rsid w:val="0A5BC76A"/>
    <w:rsid w:val="0A662048"/>
    <w:rsid w:val="0A69CD68"/>
    <w:rsid w:val="0A70DB0D"/>
    <w:rsid w:val="0A7230B8"/>
    <w:rsid w:val="0A767EFF"/>
    <w:rsid w:val="0A7C3E06"/>
    <w:rsid w:val="0A87F34B"/>
    <w:rsid w:val="0A885B9D"/>
    <w:rsid w:val="0A9B3C9F"/>
    <w:rsid w:val="0A9C912B"/>
    <w:rsid w:val="0ABDDC0B"/>
    <w:rsid w:val="0ACBAB46"/>
    <w:rsid w:val="0ACE5FB8"/>
    <w:rsid w:val="0AD52955"/>
    <w:rsid w:val="0ADEF8F3"/>
    <w:rsid w:val="0AE8F4F2"/>
    <w:rsid w:val="0AF11E1C"/>
    <w:rsid w:val="0AF12746"/>
    <w:rsid w:val="0B00123D"/>
    <w:rsid w:val="0B02286E"/>
    <w:rsid w:val="0B0454A3"/>
    <w:rsid w:val="0B06ED39"/>
    <w:rsid w:val="0B0DEF84"/>
    <w:rsid w:val="0B10AA0E"/>
    <w:rsid w:val="0B158CF0"/>
    <w:rsid w:val="0B1B989B"/>
    <w:rsid w:val="0B1E567C"/>
    <w:rsid w:val="0B1FA616"/>
    <w:rsid w:val="0B200458"/>
    <w:rsid w:val="0B209597"/>
    <w:rsid w:val="0B248A03"/>
    <w:rsid w:val="0B2735DC"/>
    <w:rsid w:val="0B2AF10D"/>
    <w:rsid w:val="0B2B63F7"/>
    <w:rsid w:val="0B2D85FA"/>
    <w:rsid w:val="0B31EC38"/>
    <w:rsid w:val="0B32E283"/>
    <w:rsid w:val="0B3D7879"/>
    <w:rsid w:val="0B40E5D3"/>
    <w:rsid w:val="0B4A34D7"/>
    <w:rsid w:val="0B4A67F9"/>
    <w:rsid w:val="0B5CD12D"/>
    <w:rsid w:val="0B5D1902"/>
    <w:rsid w:val="0B6CEB3D"/>
    <w:rsid w:val="0B6E5B32"/>
    <w:rsid w:val="0B746F48"/>
    <w:rsid w:val="0B74BA05"/>
    <w:rsid w:val="0B7C6CEA"/>
    <w:rsid w:val="0B7D68B2"/>
    <w:rsid w:val="0B8B7DF5"/>
    <w:rsid w:val="0B8E0939"/>
    <w:rsid w:val="0B8ED2EC"/>
    <w:rsid w:val="0B9679D8"/>
    <w:rsid w:val="0B9C9627"/>
    <w:rsid w:val="0BA540FF"/>
    <w:rsid w:val="0BBDE070"/>
    <w:rsid w:val="0BBF8956"/>
    <w:rsid w:val="0BC25E77"/>
    <w:rsid w:val="0BC32E80"/>
    <w:rsid w:val="0BCC4347"/>
    <w:rsid w:val="0BD34746"/>
    <w:rsid w:val="0BD3DC6F"/>
    <w:rsid w:val="0BD6E7D3"/>
    <w:rsid w:val="0BE18A22"/>
    <w:rsid w:val="0BEAF873"/>
    <w:rsid w:val="0BFDB6D2"/>
    <w:rsid w:val="0C00129C"/>
    <w:rsid w:val="0C015D5C"/>
    <w:rsid w:val="0C0AF8BD"/>
    <w:rsid w:val="0C0D23CC"/>
    <w:rsid w:val="0C116898"/>
    <w:rsid w:val="0C2319CA"/>
    <w:rsid w:val="0C2779AE"/>
    <w:rsid w:val="0C287169"/>
    <w:rsid w:val="0C2B942D"/>
    <w:rsid w:val="0C2DA307"/>
    <w:rsid w:val="0C38D7CA"/>
    <w:rsid w:val="0C3A1F4C"/>
    <w:rsid w:val="0C427948"/>
    <w:rsid w:val="0C472E40"/>
    <w:rsid w:val="0C491945"/>
    <w:rsid w:val="0C4E68C5"/>
    <w:rsid w:val="0C5477A0"/>
    <w:rsid w:val="0C5CBD3B"/>
    <w:rsid w:val="0C5E713A"/>
    <w:rsid w:val="0C6AD053"/>
    <w:rsid w:val="0C6B9A58"/>
    <w:rsid w:val="0C6D606F"/>
    <w:rsid w:val="0C70CCBA"/>
    <w:rsid w:val="0C726B65"/>
    <w:rsid w:val="0C7D8869"/>
    <w:rsid w:val="0C80A02E"/>
    <w:rsid w:val="0C83F593"/>
    <w:rsid w:val="0C846B40"/>
    <w:rsid w:val="0C847942"/>
    <w:rsid w:val="0C8F8DBF"/>
    <w:rsid w:val="0C9738CD"/>
    <w:rsid w:val="0C97A922"/>
    <w:rsid w:val="0C9F860A"/>
    <w:rsid w:val="0CAE0110"/>
    <w:rsid w:val="0CB0B7A4"/>
    <w:rsid w:val="0CB60BE0"/>
    <w:rsid w:val="0CB90B54"/>
    <w:rsid w:val="0CB92B39"/>
    <w:rsid w:val="0CB9BD4D"/>
    <w:rsid w:val="0CBB1F2B"/>
    <w:rsid w:val="0CCF241D"/>
    <w:rsid w:val="0CD14426"/>
    <w:rsid w:val="0CDAA4B1"/>
    <w:rsid w:val="0CDB035B"/>
    <w:rsid w:val="0CDCE3F5"/>
    <w:rsid w:val="0CE42D15"/>
    <w:rsid w:val="0CF116DB"/>
    <w:rsid w:val="0CF2CC3E"/>
    <w:rsid w:val="0CF61F37"/>
    <w:rsid w:val="0D049DA2"/>
    <w:rsid w:val="0D04BB6E"/>
    <w:rsid w:val="0D04E1C3"/>
    <w:rsid w:val="0D066C84"/>
    <w:rsid w:val="0D0FD822"/>
    <w:rsid w:val="0D116865"/>
    <w:rsid w:val="0D1B4983"/>
    <w:rsid w:val="0D1D77EF"/>
    <w:rsid w:val="0D2A40D3"/>
    <w:rsid w:val="0D2C219C"/>
    <w:rsid w:val="0D2CB3CF"/>
    <w:rsid w:val="0D338C76"/>
    <w:rsid w:val="0D338D4A"/>
    <w:rsid w:val="0D376003"/>
    <w:rsid w:val="0D3A28C4"/>
    <w:rsid w:val="0D4329A4"/>
    <w:rsid w:val="0D4A40A9"/>
    <w:rsid w:val="0D4BD73D"/>
    <w:rsid w:val="0D55672F"/>
    <w:rsid w:val="0D569BBE"/>
    <w:rsid w:val="0D5806C6"/>
    <w:rsid w:val="0D58750A"/>
    <w:rsid w:val="0D685A79"/>
    <w:rsid w:val="0D6A3396"/>
    <w:rsid w:val="0D73E287"/>
    <w:rsid w:val="0D7547F6"/>
    <w:rsid w:val="0D7CBE8D"/>
    <w:rsid w:val="0D9256D1"/>
    <w:rsid w:val="0D98F7DE"/>
    <w:rsid w:val="0D994D52"/>
    <w:rsid w:val="0DB96573"/>
    <w:rsid w:val="0DCA44F8"/>
    <w:rsid w:val="0DD149E1"/>
    <w:rsid w:val="0DD2F873"/>
    <w:rsid w:val="0DD5F0D8"/>
    <w:rsid w:val="0DD89BC7"/>
    <w:rsid w:val="0DDC625B"/>
    <w:rsid w:val="0DDC821C"/>
    <w:rsid w:val="0DDCBB84"/>
    <w:rsid w:val="0DE0FA01"/>
    <w:rsid w:val="0DE3A2CC"/>
    <w:rsid w:val="0DF394C4"/>
    <w:rsid w:val="0DF55E29"/>
    <w:rsid w:val="0DF59C87"/>
    <w:rsid w:val="0DF79B12"/>
    <w:rsid w:val="0DFAD1F7"/>
    <w:rsid w:val="0DFBD0E4"/>
    <w:rsid w:val="0E000F8B"/>
    <w:rsid w:val="0E055F94"/>
    <w:rsid w:val="0E0880F6"/>
    <w:rsid w:val="0E147D09"/>
    <w:rsid w:val="0E15EA1F"/>
    <w:rsid w:val="0E164C9A"/>
    <w:rsid w:val="0E1746E1"/>
    <w:rsid w:val="0E1B8016"/>
    <w:rsid w:val="0E1F8868"/>
    <w:rsid w:val="0E257850"/>
    <w:rsid w:val="0E28A166"/>
    <w:rsid w:val="0E28BEDE"/>
    <w:rsid w:val="0E2AD90D"/>
    <w:rsid w:val="0E2E3F70"/>
    <w:rsid w:val="0E32D492"/>
    <w:rsid w:val="0E3495B7"/>
    <w:rsid w:val="0E367282"/>
    <w:rsid w:val="0E3A8801"/>
    <w:rsid w:val="0E3E327D"/>
    <w:rsid w:val="0E5049DD"/>
    <w:rsid w:val="0E50CAF1"/>
    <w:rsid w:val="0E524B3E"/>
    <w:rsid w:val="0E536F98"/>
    <w:rsid w:val="0E70F6C6"/>
    <w:rsid w:val="0E7484B6"/>
    <w:rsid w:val="0E81EDD2"/>
    <w:rsid w:val="0E88F0A4"/>
    <w:rsid w:val="0E9DF38C"/>
    <w:rsid w:val="0EA35613"/>
    <w:rsid w:val="0EA9A5C9"/>
    <w:rsid w:val="0EAC7A87"/>
    <w:rsid w:val="0EAD9A03"/>
    <w:rsid w:val="0EB1D073"/>
    <w:rsid w:val="0EB2E9AB"/>
    <w:rsid w:val="0EBDCFBF"/>
    <w:rsid w:val="0EBFDC30"/>
    <w:rsid w:val="0EC15F57"/>
    <w:rsid w:val="0ECA2329"/>
    <w:rsid w:val="0ECAB2E8"/>
    <w:rsid w:val="0ECD8049"/>
    <w:rsid w:val="0ED41955"/>
    <w:rsid w:val="0ED72ED1"/>
    <w:rsid w:val="0ED98D83"/>
    <w:rsid w:val="0EDDA9AD"/>
    <w:rsid w:val="0EE3737C"/>
    <w:rsid w:val="0EE965C7"/>
    <w:rsid w:val="0EEB3E0A"/>
    <w:rsid w:val="0EFC3E55"/>
    <w:rsid w:val="0F07BB25"/>
    <w:rsid w:val="0F0B321F"/>
    <w:rsid w:val="0F100A55"/>
    <w:rsid w:val="0F153E0E"/>
    <w:rsid w:val="0F1ABB21"/>
    <w:rsid w:val="0F1D6714"/>
    <w:rsid w:val="0F24283E"/>
    <w:rsid w:val="0F2B087C"/>
    <w:rsid w:val="0F2BDF1F"/>
    <w:rsid w:val="0F2C9D67"/>
    <w:rsid w:val="0F32577C"/>
    <w:rsid w:val="0F341F48"/>
    <w:rsid w:val="0F3D9162"/>
    <w:rsid w:val="0F467FC6"/>
    <w:rsid w:val="0F51D2A1"/>
    <w:rsid w:val="0F528A17"/>
    <w:rsid w:val="0F5B53D5"/>
    <w:rsid w:val="0F6912DF"/>
    <w:rsid w:val="0F6E5164"/>
    <w:rsid w:val="0F7286B4"/>
    <w:rsid w:val="0F73CA11"/>
    <w:rsid w:val="0F77CF82"/>
    <w:rsid w:val="0F80CF84"/>
    <w:rsid w:val="0F86E4A1"/>
    <w:rsid w:val="0F8A55E2"/>
    <w:rsid w:val="0F8A83AB"/>
    <w:rsid w:val="0F9292BC"/>
    <w:rsid w:val="0F9A9229"/>
    <w:rsid w:val="0F9E2D9E"/>
    <w:rsid w:val="0FA5D2DA"/>
    <w:rsid w:val="0FAFD8B0"/>
    <w:rsid w:val="0FB5A6C7"/>
    <w:rsid w:val="0FB9EE88"/>
    <w:rsid w:val="0FC0B3F3"/>
    <w:rsid w:val="0FC23DD5"/>
    <w:rsid w:val="0FC2B6EC"/>
    <w:rsid w:val="0FC48F3F"/>
    <w:rsid w:val="0FC668EF"/>
    <w:rsid w:val="0FC7893C"/>
    <w:rsid w:val="0FC9F8BF"/>
    <w:rsid w:val="0FD0A564"/>
    <w:rsid w:val="0FD60594"/>
    <w:rsid w:val="0FDDD83F"/>
    <w:rsid w:val="0FDF0A84"/>
    <w:rsid w:val="0FE7D4ED"/>
    <w:rsid w:val="0FF6B020"/>
    <w:rsid w:val="0FF75848"/>
    <w:rsid w:val="1018BA89"/>
    <w:rsid w:val="101C77EE"/>
    <w:rsid w:val="101CEEA7"/>
    <w:rsid w:val="1022BB81"/>
    <w:rsid w:val="1023C2C8"/>
    <w:rsid w:val="102582B4"/>
    <w:rsid w:val="102D27B5"/>
    <w:rsid w:val="102F763E"/>
    <w:rsid w:val="1035087A"/>
    <w:rsid w:val="103B163F"/>
    <w:rsid w:val="1040C40A"/>
    <w:rsid w:val="10449B07"/>
    <w:rsid w:val="104A93C0"/>
    <w:rsid w:val="104F6C86"/>
    <w:rsid w:val="1051ED5F"/>
    <w:rsid w:val="1054A5B9"/>
    <w:rsid w:val="1057CEF9"/>
    <w:rsid w:val="1059C1A5"/>
    <w:rsid w:val="1070F080"/>
    <w:rsid w:val="10712873"/>
    <w:rsid w:val="107B9E7D"/>
    <w:rsid w:val="10806DC8"/>
    <w:rsid w:val="1084374F"/>
    <w:rsid w:val="108B8305"/>
    <w:rsid w:val="10979CB4"/>
    <w:rsid w:val="109B0BE3"/>
    <w:rsid w:val="109F278D"/>
    <w:rsid w:val="10A54100"/>
    <w:rsid w:val="10A82D38"/>
    <w:rsid w:val="10BF7354"/>
    <w:rsid w:val="10C2E074"/>
    <w:rsid w:val="10C34FE0"/>
    <w:rsid w:val="10C56C1A"/>
    <w:rsid w:val="10C841E3"/>
    <w:rsid w:val="10CEE8C7"/>
    <w:rsid w:val="10D4AEB3"/>
    <w:rsid w:val="10E53ECF"/>
    <w:rsid w:val="10EA6CE0"/>
    <w:rsid w:val="10EFEDDD"/>
    <w:rsid w:val="10F08D99"/>
    <w:rsid w:val="10F1D77F"/>
    <w:rsid w:val="1101FDF9"/>
    <w:rsid w:val="11046DEF"/>
    <w:rsid w:val="1105D493"/>
    <w:rsid w:val="1107FEC7"/>
    <w:rsid w:val="1108B9C6"/>
    <w:rsid w:val="110A73E5"/>
    <w:rsid w:val="11203296"/>
    <w:rsid w:val="1124C2CB"/>
    <w:rsid w:val="11262D61"/>
    <w:rsid w:val="11310D06"/>
    <w:rsid w:val="113228AC"/>
    <w:rsid w:val="113233F4"/>
    <w:rsid w:val="11348442"/>
    <w:rsid w:val="113A2D67"/>
    <w:rsid w:val="113C5618"/>
    <w:rsid w:val="113F6E75"/>
    <w:rsid w:val="11408440"/>
    <w:rsid w:val="11637D08"/>
    <w:rsid w:val="1165CC42"/>
    <w:rsid w:val="11746F79"/>
    <w:rsid w:val="1174E76C"/>
    <w:rsid w:val="1175C08D"/>
    <w:rsid w:val="1177B42A"/>
    <w:rsid w:val="117EB797"/>
    <w:rsid w:val="1182FDF6"/>
    <w:rsid w:val="118928DA"/>
    <w:rsid w:val="118CC5B9"/>
    <w:rsid w:val="1193D359"/>
    <w:rsid w:val="1194ED2F"/>
    <w:rsid w:val="119ACA61"/>
    <w:rsid w:val="11A1B6D4"/>
    <w:rsid w:val="11A3B015"/>
    <w:rsid w:val="11A62753"/>
    <w:rsid w:val="11B11C60"/>
    <w:rsid w:val="11B6625C"/>
    <w:rsid w:val="11B6AA01"/>
    <w:rsid w:val="11B951A2"/>
    <w:rsid w:val="11BBA054"/>
    <w:rsid w:val="11C64DA7"/>
    <w:rsid w:val="11C6AB65"/>
    <w:rsid w:val="11D52130"/>
    <w:rsid w:val="11D72865"/>
    <w:rsid w:val="11DB2063"/>
    <w:rsid w:val="11DBDE66"/>
    <w:rsid w:val="11DDF7C4"/>
    <w:rsid w:val="11E04227"/>
    <w:rsid w:val="11E53AC5"/>
    <w:rsid w:val="11E83845"/>
    <w:rsid w:val="11EAC29F"/>
    <w:rsid w:val="11EBAC17"/>
    <w:rsid w:val="11EE2384"/>
    <w:rsid w:val="11EEA039"/>
    <w:rsid w:val="1203B761"/>
    <w:rsid w:val="1208EB4A"/>
    <w:rsid w:val="120DCA6A"/>
    <w:rsid w:val="12196959"/>
    <w:rsid w:val="121A0AF8"/>
    <w:rsid w:val="121F2335"/>
    <w:rsid w:val="12213A86"/>
    <w:rsid w:val="1223BB96"/>
    <w:rsid w:val="1228175E"/>
    <w:rsid w:val="122AFB02"/>
    <w:rsid w:val="122BB855"/>
    <w:rsid w:val="1233C5E6"/>
    <w:rsid w:val="1239B392"/>
    <w:rsid w:val="123AD012"/>
    <w:rsid w:val="123B113F"/>
    <w:rsid w:val="123F1CE5"/>
    <w:rsid w:val="1240AECF"/>
    <w:rsid w:val="124195D6"/>
    <w:rsid w:val="1241B66E"/>
    <w:rsid w:val="12496E17"/>
    <w:rsid w:val="124E7468"/>
    <w:rsid w:val="124F3194"/>
    <w:rsid w:val="125EC032"/>
    <w:rsid w:val="12604F46"/>
    <w:rsid w:val="1261E05D"/>
    <w:rsid w:val="1268A21C"/>
    <w:rsid w:val="12706970"/>
    <w:rsid w:val="1272D4B3"/>
    <w:rsid w:val="1287DB25"/>
    <w:rsid w:val="1289E3DF"/>
    <w:rsid w:val="128FEB7F"/>
    <w:rsid w:val="1297DD48"/>
    <w:rsid w:val="129B2E39"/>
    <w:rsid w:val="129CB4DA"/>
    <w:rsid w:val="12A08BEB"/>
    <w:rsid w:val="12A41D57"/>
    <w:rsid w:val="12C45990"/>
    <w:rsid w:val="12C45BD9"/>
    <w:rsid w:val="12CB81D5"/>
    <w:rsid w:val="12CF7E43"/>
    <w:rsid w:val="12D00C03"/>
    <w:rsid w:val="12D0AC61"/>
    <w:rsid w:val="12D3D027"/>
    <w:rsid w:val="12D6A3B3"/>
    <w:rsid w:val="12E6D795"/>
    <w:rsid w:val="12EC1A93"/>
    <w:rsid w:val="12EEF9D1"/>
    <w:rsid w:val="12F3516F"/>
    <w:rsid w:val="12F72EB4"/>
    <w:rsid w:val="12F80D36"/>
    <w:rsid w:val="13097EC3"/>
    <w:rsid w:val="130C4E7C"/>
    <w:rsid w:val="130E7CF4"/>
    <w:rsid w:val="130F4F6F"/>
    <w:rsid w:val="131F48BA"/>
    <w:rsid w:val="13214271"/>
    <w:rsid w:val="132AF4AA"/>
    <w:rsid w:val="132E11E4"/>
    <w:rsid w:val="132E7432"/>
    <w:rsid w:val="13330C61"/>
    <w:rsid w:val="1333CC1A"/>
    <w:rsid w:val="133A5245"/>
    <w:rsid w:val="133AF1BE"/>
    <w:rsid w:val="133ED93A"/>
    <w:rsid w:val="1345C609"/>
    <w:rsid w:val="135E90C5"/>
    <w:rsid w:val="13662142"/>
    <w:rsid w:val="136ABC55"/>
    <w:rsid w:val="136B4E04"/>
    <w:rsid w:val="13707864"/>
    <w:rsid w:val="1370C034"/>
    <w:rsid w:val="137D43A3"/>
    <w:rsid w:val="137FBDC7"/>
    <w:rsid w:val="13802695"/>
    <w:rsid w:val="1389CC22"/>
    <w:rsid w:val="1389EEEE"/>
    <w:rsid w:val="1390EFCF"/>
    <w:rsid w:val="1397030D"/>
    <w:rsid w:val="1397DF46"/>
    <w:rsid w:val="1399BE37"/>
    <w:rsid w:val="13AA414A"/>
    <w:rsid w:val="13AC9954"/>
    <w:rsid w:val="13AE24AD"/>
    <w:rsid w:val="13B15C64"/>
    <w:rsid w:val="13BB9AB7"/>
    <w:rsid w:val="13BBA7FA"/>
    <w:rsid w:val="13BFE62B"/>
    <w:rsid w:val="13C12C67"/>
    <w:rsid w:val="13C94E44"/>
    <w:rsid w:val="13CA7B95"/>
    <w:rsid w:val="13E5C346"/>
    <w:rsid w:val="13F09302"/>
    <w:rsid w:val="13F0FD6E"/>
    <w:rsid w:val="13F3E125"/>
    <w:rsid w:val="13F78933"/>
    <w:rsid w:val="13F7DA29"/>
    <w:rsid w:val="13FADA39"/>
    <w:rsid w:val="13FFECFA"/>
    <w:rsid w:val="140A88BB"/>
    <w:rsid w:val="141B7551"/>
    <w:rsid w:val="1428143B"/>
    <w:rsid w:val="14327836"/>
    <w:rsid w:val="1434D361"/>
    <w:rsid w:val="14423B36"/>
    <w:rsid w:val="14425079"/>
    <w:rsid w:val="14481F0C"/>
    <w:rsid w:val="1450A42F"/>
    <w:rsid w:val="1451056C"/>
    <w:rsid w:val="145A54E8"/>
    <w:rsid w:val="146DCE40"/>
    <w:rsid w:val="147A0278"/>
    <w:rsid w:val="148A698F"/>
    <w:rsid w:val="148D5150"/>
    <w:rsid w:val="149A9018"/>
    <w:rsid w:val="149B3783"/>
    <w:rsid w:val="149C5422"/>
    <w:rsid w:val="149FBFCB"/>
    <w:rsid w:val="14A5C2D5"/>
    <w:rsid w:val="14A7DEBE"/>
    <w:rsid w:val="14AD1FA9"/>
    <w:rsid w:val="14B89B88"/>
    <w:rsid w:val="14C08682"/>
    <w:rsid w:val="14C617E3"/>
    <w:rsid w:val="14CA1A2D"/>
    <w:rsid w:val="14CC1BCB"/>
    <w:rsid w:val="14CCD86E"/>
    <w:rsid w:val="14D0B8B5"/>
    <w:rsid w:val="14D46862"/>
    <w:rsid w:val="14D72E5F"/>
    <w:rsid w:val="14D78993"/>
    <w:rsid w:val="14DE6618"/>
    <w:rsid w:val="14DF0FBF"/>
    <w:rsid w:val="14E2B66B"/>
    <w:rsid w:val="14E754F5"/>
    <w:rsid w:val="14EC1930"/>
    <w:rsid w:val="14EEA1CF"/>
    <w:rsid w:val="14EEFCF2"/>
    <w:rsid w:val="14FF3792"/>
    <w:rsid w:val="15062212"/>
    <w:rsid w:val="1506D412"/>
    <w:rsid w:val="150BA0B0"/>
    <w:rsid w:val="150BE5A1"/>
    <w:rsid w:val="150FEA9D"/>
    <w:rsid w:val="1510E8F6"/>
    <w:rsid w:val="1516E18C"/>
    <w:rsid w:val="151B5EBA"/>
    <w:rsid w:val="152FFAFD"/>
    <w:rsid w:val="15362D21"/>
    <w:rsid w:val="15373D67"/>
    <w:rsid w:val="15386D76"/>
    <w:rsid w:val="15408324"/>
    <w:rsid w:val="1546324C"/>
    <w:rsid w:val="154A1E14"/>
    <w:rsid w:val="155407CA"/>
    <w:rsid w:val="15565D34"/>
    <w:rsid w:val="1557AEFE"/>
    <w:rsid w:val="155A0D6C"/>
    <w:rsid w:val="155F5961"/>
    <w:rsid w:val="1564A069"/>
    <w:rsid w:val="156DB4B7"/>
    <w:rsid w:val="157AE2D0"/>
    <w:rsid w:val="157B7EF4"/>
    <w:rsid w:val="157E9688"/>
    <w:rsid w:val="157F825B"/>
    <w:rsid w:val="1587766E"/>
    <w:rsid w:val="158FAD0E"/>
    <w:rsid w:val="15945E4D"/>
    <w:rsid w:val="15954116"/>
    <w:rsid w:val="1595BDD0"/>
    <w:rsid w:val="15987CB3"/>
    <w:rsid w:val="1598FA81"/>
    <w:rsid w:val="15B29716"/>
    <w:rsid w:val="15BFCF9B"/>
    <w:rsid w:val="15C0BF9D"/>
    <w:rsid w:val="15CD6328"/>
    <w:rsid w:val="15D3B38B"/>
    <w:rsid w:val="15DD0EB3"/>
    <w:rsid w:val="15EB4F74"/>
    <w:rsid w:val="15FD2C23"/>
    <w:rsid w:val="15FE47D3"/>
    <w:rsid w:val="1606AE00"/>
    <w:rsid w:val="160B16E2"/>
    <w:rsid w:val="160F7244"/>
    <w:rsid w:val="16163537"/>
    <w:rsid w:val="161B0090"/>
    <w:rsid w:val="1621ABEC"/>
    <w:rsid w:val="16228409"/>
    <w:rsid w:val="1623C236"/>
    <w:rsid w:val="162485EC"/>
    <w:rsid w:val="1632349E"/>
    <w:rsid w:val="16375B22"/>
    <w:rsid w:val="16382483"/>
    <w:rsid w:val="164C86AA"/>
    <w:rsid w:val="16519031"/>
    <w:rsid w:val="16554778"/>
    <w:rsid w:val="16577D17"/>
    <w:rsid w:val="1662F81F"/>
    <w:rsid w:val="16668B1A"/>
    <w:rsid w:val="166EFAEF"/>
    <w:rsid w:val="167D00DF"/>
    <w:rsid w:val="167D5606"/>
    <w:rsid w:val="167ED4B0"/>
    <w:rsid w:val="16834F86"/>
    <w:rsid w:val="16923DF0"/>
    <w:rsid w:val="16965B5D"/>
    <w:rsid w:val="1699B433"/>
    <w:rsid w:val="169C8A3C"/>
    <w:rsid w:val="169CE852"/>
    <w:rsid w:val="169D08AF"/>
    <w:rsid w:val="169EFC1B"/>
    <w:rsid w:val="16A03F5D"/>
    <w:rsid w:val="16B5DBDC"/>
    <w:rsid w:val="16B72FB2"/>
    <w:rsid w:val="16BB4CDE"/>
    <w:rsid w:val="16BBF1F3"/>
    <w:rsid w:val="16BC6CA3"/>
    <w:rsid w:val="16C164DD"/>
    <w:rsid w:val="16C605C0"/>
    <w:rsid w:val="16D53B08"/>
    <w:rsid w:val="16DD7E60"/>
    <w:rsid w:val="16E7DB60"/>
    <w:rsid w:val="16EC3100"/>
    <w:rsid w:val="16F4076B"/>
    <w:rsid w:val="16F4EF2A"/>
    <w:rsid w:val="16F61AC1"/>
    <w:rsid w:val="16F71B21"/>
    <w:rsid w:val="170BE90D"/>
    <w:rsid w:val="170D89F4"/>
    <w:rsid w:val="1710AB9F"/>
    <w:rsid w:val="1710CC66"/>
    <w:rsid w:val="17198D03"/>
    <w:rsid w:val="171A3685"/>
    <w:rsid w:val="1720D19F"/>
    <w:rsid w:val="1727D6F5"/>
    <w:rsid w:val="172F8A26"/>
    <w:rsid w:val="17362C08"/>
    <w:rsid w:val="1742578C"/>
    <w:rsid w:val="17484503"/>
    <w:rsid w:val="17532FB1"/>
    <w:rsid w:val="175605E1"/>
    <w:rsid w:val="17563456"/>
    <w:rsid w:val="175ADC5C"/>
    <w:rsid w:val="1774C679"/>
    <w:rsid w:val="17752245"/>
    <w:rsid w:val="17757569"/>
    <w:rsid w:val="177A04F0"/>
    <w:rsid w:val="177F0528"/>
    <w:rsid w:val="1783DDC1"/>
    <w:rsid w:val="17887C9B"/>
    <w:rsid w:val="178A79D8"/>
    <w:rsid w:val="178AD4E4"/>
    <w:rsid w:val="178FC756"/>
    <w:rsid w:val="17917AC0"/>
    <w:rsid w:val="1791E5B8"/>
    <w:rsid w:val="179AC6FD"/>
    <w:rsid w:val="179B6944"/>
    <w:rsid w:val="179DE8DD"/>
    <w:rsid w:val="17A32147"/>
    <w:rsid w:val="17A49AF7"/>
    <w:rsid w:val="17AE9418"/>
    <w:rsid w:val="17B52FD7"/>
    <w:rsid w:val="17B98714"/>
    <w:rsid w:val="17BD07FB"/>
    <w:rsid w:val="17BD589C"/>
    <w:rsid w:val="17C36937"/>
    <w:rsid w:val="17CB1807"/>
    <w:rsid w:val="17D30736"/>
    <w:rsid w:val="17DB0849"/>
    <w:rsid w:val="17E2E4F9"/>
    <w:rsid w:val="17E9971A"/>
    <w:rsid w:val="17F08265"/>
    <w:rsid w:val="17F34377"/>
    <w:rsid w:val="17F67F53"/>
    <w:rsid w:val="17F9CF31"/>
    <w:rsid w:val="17FC3135"/>
    <w:rsid w:val="17FC3434"/>
    <w:rsid w:val="17FD51CE"/>
    <w:rsid w:val="1805E100"/>
    <w:rsid w:val="1811549A"/>
    <w:rsid w:val="18199CB1"/>
    <w:rsid w:val="181D95FA"/>
    <w:rsid w:val="181EBB3E"/>
    <w:rsid w:val="181F4CE7"/>
    <w:rsid w:val="18231C62"/>
    <w:rsid w:val="1824DF61"/>
    <w:rsid w:val="182A6846"/>
    <w:rsid w:val="182C709B"/>
    <w:rsid w:val="182CB50E"/>
    <w:rsid w:val="182F5811"/>
    <w:rsid w:val="182FF887"/>
    <w:rsid w:val="1835B09D"/>
    <w:rsid w:val="183F8A04"/>
    <w:rsid w:val="184106B3"/>
    <w:rsid w:val="1857890B"/>
    <w:rsid w:val="1858A588"/>
    <w:rsid w:val="1863F433"/>
    <w:rsid w:val="186425EC"/>
    <w:rsid w:val="18686D94"/>
    <w:rsid w:val="186B2445"/>
    <w:rsid w:val="186DE18D"/>
    <w:rsid w:val="1874078A"/>
    <w:rsid w:val="18740CD3"/>
    <w:rsid w:val="187510BB"/>
    <w:rsid w:val="187613C4"/>
    <w:rsid w:val="18771E35"/>
    <w:rsid w:val="1877EF18"/>
    <w:rsid w:val="1878D8C6"/>
    <w:rsid w:val="187A0265"/>
    <w:rsid w:val="187DC196"/>
    <w:rsid w:val="187EBDBF"/>
    <w:rsid w:val="188285D2"/>
    <w:rsid w:val="18880A9B"/>
    <w:rsid w:val="188A41F5"/>
    <w:rsid w:val="188B6B7B"/>
    <w:rsid w:val="18900678"/>
    <w:rsid w:val="18921A54"/>
    <w:rsid w:val="1893B0C1"/>
    <w:rsid w:val="1897617F"/>
    <w:rsid w:val="189958D7"/>
    <w:rsid w:val="189BF50E"/>
    <w:rsid w:val="18A200BD"/>
    <w:rsid w:val="18A65496"/>
    <w:rsid w:val="18B4AAB2"/>
    <w:rsid w:val="18BA3688"/>
    <w:rsid w:val="18D20EC8"/>
    <w:rsid w:val="18DD161B"/>
    <w:rsid w:val="18DF7746"/>
    <w:rsid w:val="18E0EE1A"/>
    <w:rsid w:val="18E23908"/>
    <w:rsid w:val="18EFFE4A"/>
    <w:rsid w:val="18F252EA"/>
    <w:rsid w:val="18F80D18"/>
    <w:rsid w:val="18F9CEE0"/>
    <w:rsid w:val="19043032"/>
    <w:rsid w:val="19161753"/>
    <w:rsid w:val="191BA122"/>
    <w:rsid w:val="1921AEF2"/>
    <w:rsid w:val="192B625B"/>
    <w:rsid w:val="192B77EE"/>
    <w:rsid w:val="192E0AC8"/>
    <w:rsid w:val="192E6E54"/>
    <w:rsid w:val="19330492"/>
    <w:rsid w:val="19331832"/>
    <w:rsid w:val="1937D14E"/>
    <w:rsid w:val="193CE6AF"/>
    <w:rsid w:val="193F0782"/>
    <w:rsid w:val="19469A5A"/>
    <w:rsid w:val="1947F5ED"/>
    <w:rsid w:val="194DC7C4"/>
    <w:rsid w:val="195276A3"/>
    <w:rsid w:val="1963D8A0"/>
    <w:rsid w:val="19665274"/>
    <w:rsid w:val="196F9A86"/>
    <w:rsid w:val="19775794"/>
    <w:rsid w:val="198FCE7F"/>
    <w:rsid w:val="19992BD4"/>
    <w:rsid w:val="199D8FD1"/>
    <w:rsid w:val="19AE766E"/>
    <w:rsid w:val="19B77692"/>
    <w:rsid w:val="19B7B644"/>
    <w:rsid w:val="19D1929C"/>
    <w:rsid w:val="19D4F503"/>
    <w:rsid w:val="19DD6F83"/>
    <w:rsid w:val="19DD90FA"/>
    <w:rsid w:val="19DFC3D5"/>
    <w:rsid w:val="19E21604"/>
    <w:rsid w:val="19E53C35"/>
    <w:rsid w:val="19EA8A33"/>
    <w:rsid w:val="19EE196A"/>
    <w:rsid w:val="19EEC8D0"/>
    <w:rsid w:val="19FBBCCB"/>
    <w:rsid w:val="19FEF2E5"/>
    <w:rsid w:val="1A05967F"/>
    <w:rsid w:val="1A0B8A63"/>
    <w:rsid w:val="1A15A7FD"/>
    <w:rsid w:val="1A184003"/>
    <w:rsid w:val="1A245523"/>
    <w:rsid w:val="1A262601"/>
    <w:rsid w:val="1A37FBB1"/>
    <w:rsid w:val="1A41F679"/>
    <w:rsid w:val="1A42A52E"/>
    <w:rsid w:val="1A43FF7E"/>
    <w:rsid w:val="1A46A29D"/>
    <w:rsid w:val="1A4AFE8F"/>
    <w:rsid w:val="1A4B1561"/>
    <w:rsid w:val="1A5670C1"/>
    <w:rsid w:val="1A5B02B3"/>
    <w:rsid w:val="1A5B1F7A"/>
    <w:rsid w:val="1A614A74"/>
    <w:rsid w:val="1A614B10"/>
    <w:rsid w:val="1A741787"/>
    <w:rsid w:val="1A80D982"/>
    <w:rsid w:val="1A832332"/>
    <w:rsid w:val="1A839A0A"/>
    <w:rsid w:val="1A856232"/>
    <w:rsid w:val="1A8A0A0F"/>
    <w:rsid w:val="1A8E1015"/>
    <w:rsid w:val="1A8EADCB"/>
    <w:rsid w:val="1A94614B"/>
    <w:rsid w:val="1A954884"/>
    <w:rsid w:val="1AA0479E"/>
    <w:rsid w:val="1AA25F10"/>
    <w:rsid w:val="1AA6B4B1"/>
    <w:rsid w:val="1AA8A6D2"/>
    <w:rsid w:val="1AB20C62"/>
    <w:rsid w:val="1AB54CB9"/>
    <w:rsid w:val="1AB6B91B"/>
    <w:rsid w:val="1AB903C5"/>
    <w:rsid w:val="1ABE7E74"/>
    <w:rsid w:val="1AD3D43A"/>
    <w:rsid w:val="1AD9D445"/>
    <w:rsid w:val="1ADA5231"/>
    <w:rsid w:val="1ADEB35A"/>
    <w:rsid w:val="1AE0ACEC"/>
    <w:rsid w:val="1AE49222"/>
    <w:rsid w:val="1AE4A967"/>
    <w:rsid w:val="1AE5AED8"/>
    <w:rsid w:val="1AEAC085"/>
    <w:rsid w:val="1AEBBF6D"/>
    <w:rsid w:val="1AED148C"/>
    <w:rsid w:val="1AEF36FF"/>
    <w:rsid w:val="1AEFE887"/>
    <w:rsid w:val="1AF83CB6"/>
    <w:rsid w:val="1AF997D1"/>
    <w:rsid w:val="1AFD64CC"/>
    <w:rsid w:val="1AFE2B1E"/>
    <w:rsid w:val="1B040952"/>
    <w:rsid w:val="1B0B5420"/>
    <w:rsid w:val="1B0DD153"/>
    <w:rsid w:val="1B19C71A"/>
    <w:rsid w:val="1B1A7768"/>
    <w:rsid w:val="1B21B586"/>
    <w:rsid w:val="1B264D3C"/>
    <w:rsid w:val="1B3B9323"/>
    <w:rsid w:val="1B4104D7"/>
    <w:rsid w:val="1B45E81B"/>
    <w:rsid w:val="1B4AE08C"/>
    <w:rsid w:val="1B503CCB"/>
    <w:rsid w:val="1B51551F"/>
    <w:rsid w:val="1B562B8F"/>
    <w:rsid w:val="1B62C783"/>
    <w:rsid w:val="1B62FA3A"/>
    <w:rsid w:val="1B631821"/>
    <w:rsid w:val="1B66604B"/>
    <w:rsid w:val="1B6B416F"/>
    <w:rsid w:val="1B6FF39E"/>
    <w:rsid w:val="1B7449BC"/>
    <w:rsid w:val="1B79B934"/>
    <w:rsid w:val="1B7CF94C"/>
    <w:rsid w:val="1B7D9508"/>
    <w:rsid w:val="1B7F6FF2"/>
    <w:rsid w:val="1B837279"/>
    <w:rsid w:val="1B87EFD3"/>
    <w:rsid w:val="1B8879B6"/>
    <w:rsid w:val="1B9C4F10"/>
    <w:rsid w:val="1BA753ED"/>
    <w:rsid w:val="1BABDB7F"/>
    <w:rsid w:val="1BB47FFB"/>
    <w:rsid w:val="1BB811BB"/>
    <w:rsid w:val="1BB88337"/>
    <w:rsid w:val="1BB9074A"/>
    <w:rsid w:val="1BC15276"/>
    <w:rsid w:val="1BC26C2E"/>
    <w:rsid w:val="1BC34C93"/>
    <w:rsid w:val="1BCFF25D"/>
    <w:rsid w:val="1BD1B8B1"/>
    <w:rsid w:val="1BD27271"/>
    <w:rsid w:val="1BD37D1F"/>
    <w:rsid w:val="1BDE5274"/>
    <w:rsid w:val="1BE0C6E5"/>
    <w:rsid w:val="1BE29CE9"/>
    <w:rsid w:val="1BECC6F5"/>
    <w:rsid w:val="1BF761C3"/>
    <w:rsid w:val="1BFFC224"/>
    <w:rsid w:val="1BFFF52A"/>
    <w:rsid w:val="1C045BBB"/>
    <w:rsid w:val="1C0590A1"/>
    <w:rsid w:val="1C12C117"/>
    <w:rsid w:val="1C282EDB"/>
    <w:rsid w:val="1C348067"/>
    <w:rsid w:val="1C3ABFBC"/>
    <w:rsid w:val="1C3F7CFF"/>
    <w:rsid w:val="1C49F3D7"/>
    <w:rsid w:val="1C5A8A7F"/>
    <w:rsid w:val="1C62CDD6"/>
    <w:rsid w:val="1C66CAF9"/>
    <w:rsid w:val="1C693846"/>
    <w:rsid w:val="1C71E8E0"/>
    <w:rsid w:val="1C720955"/>
    <w:rsid w:val="1C7288F0"/>
    <w:rsid w:val="1C72ACC9"/>
    <w:rsid w:val="1C7A0459"/>
    <w:rsid w:val="1C7DEB09"/>
    <w:rsid w:val="1C80C755"/>
    <w:rsid w:val="1C848994"/>
    <w:rsid w:val="1C9D17D8"/>
    <w:rsid w:val="1C9F377D"/>
    <w:rsid w:val="1CA3D45D"/>
    <w:rsid w:val="1CAD18CE"/>
    <w:rsid w:val="1CB13912"/>
    <w:rsid w:val="1CB3A703"/>
    <w:rsid w:val="1CB4B41A"/>
    <w:rsid w:val="1CB5977B"/>
    <w:rsid w:val="1CC1DBB9"/>
    <w:rsid w:val="1CC5076E"/>
    <w:rsid w:val="1CC569A9"/>
    <w:rsid w:val="1CD04AA7"/>
    <w:rsid w:val="1CD4A379"/>
    <w:rsid w:val="1CD5B29B"/>
    <w:rsid w:val="1CDEFEAC"/>
    <w:rsid w:val="1CE4CE03"/>
    <w:rsid w:val="1CEAE308"/>
    <w:rsid w:val="1CF1FBF0"/>
    <w:rsid w:val="1CF2C055"/>
    <w:rsid w:val="1CF70F42"/>
    <w:rsid w:val="1CFC3941"/>
    <w:rsid w:val="1D03B4A4"/>
    <w:rsid w:val="1D098DC7"/>
    <w:rsid w:val="1D0B8C54"/>
    <w:rsid w:val="1D0BC6C7"/>
    <w:rsid w:val="1D0DF91D"/>
    <w:rsid w:val="1D1016FD"/>
    <w:rsid w:val="1D1296A9"/>
    <w:rsid w:val="1D140C6E"/>
    <w:rsid w:val="1D1588A4"/>
    <w:rsid w:val="1D1FEAF9"/>
    <w:rsid w:val="1D230A02"/>
    <w:rsid w:val="1D30EB37"/>
    <w:rsid w:val="1D32E23F"/>
    <w:rsid w:val="1D36D263"/>
    <w:rsid w:val="1D389A43"/>
    <w:rsid w:val="1D4232C4"/>
    <w:rsid w:val="1D4AD8B1"/>
    <w:rsid w:val="1D4EF4E7"/>
    <w:rsid w:val="1D53DB7A"/>
    <w:rsid w:val="1D53E21C"/>
    <w:rsid w:val="1D5B34B7"/>
    <w:rsid w:val="1D5C2B9D"/>
    <w:rsid w:val="1D617A2B"/>
    <w:rsid w:val="1D649FF9"/>
    <w:rsid w:val="1D668A6C"/>
    <w:rsid w:val="1D68037E"/>
    <w:rsid w:val="1D703A04"/>
    <w:rsid w:val="1D746173"/>
    <w:rsid w:val="1D7AE66C"/>
    <w:rsid w:val="1D7FCC91"/>
    <w:rsid w:val="1D814243"/>
    <w:rsid w:val="1D89BC9B"/>
    <w:rsid w:val="1D915674"/>
    <w:rsid w:val="1D9295CC"/>
    <w:rsid w:val="1DA15ED4"/>
    <w:rsid w:val="1DA248C0"/>
    <w:rsid w:val="1DA702CA"/>
    <w:rsid w:val="1DA92F3A"/>
    <w:rsid w:val="1DA963D2"/>
    <w:rsid w:val="1DADA813"/>
    <w:rsid w:val="1DB09FA7"/>
    <w:rsid w:val="1DB8503B"/>
    <w:rsid w:val="1DC143AF"/>
    <w:rsid w:val="1DC43C19"/>
    <w:rsid w:val="1DCCF46F"/>
    <w:rsid w:val="1DCE018A"/>
    <w:rsid w:val="1DD2D24E"/>
    <w:rsid w:val="1DD83581"/>
    <w:rsid w:val="1DDA11C3"/>
    <w:rsid w:val="1DDA5A37"/>
    <w:rsid w:val="1DDF6362"/>
    <w:rsid w:val="1DE678A1"/>
    <w:rsid w:val="1DFDDC3F"/>
    <w:rsid w:val="1E07B117"/>
    <w:rsid w:val="1E082BF9"/>
    <w:rsid w:val="1E0A38B6"/>
    <w:rsid w:val="1E0F1873"/>
    <w:rsid w:val="1E11BB5D"/>
    <w:rsid w:val="1E11F673"/>
    <w:rsid w:val="1E15A60F"/>
    <w:rsid w:val="1E1631F2"/>
    <w:rsid w:val="1E24576E"/>
    <w:rsid w:val="1E251221"/>
    <w:rsid w:val="1E294D53"/>
    <w:rsid w:val="1E3D917B"/>
    <w:rsid w:val="1E400E6E"/>
    <w:rsid w:val="1E435845"/>
    <w:rsid w:val="1E4C937F"/>
    <w:rsid w:val="1E574952"/>
    <w:rsid w:val="1E58F57A"/>
    <w:rsid w:val="1E5ABFAE"/>
    <w:rsid w:val="1E5CDB1F"/>
    <w:rsid w:val="1E68945D"/>
    <w:rsid w:val="1E6E0D50"/>
    <w:rsid w:val="1E71277D"/>
    <w:rsid w:val="1E7279AB"/>
    <w:rsid w:val="1E75D769"/>
    <w:rsid w:val="1E76265B"/>
    <w:rsid w:val="1E7A7B04"/>
    <w:rsid w:val="1E816A42"/>
    <w:rsid w:val="1E8D5316"/>
    <w:rsid w:val="1E923C4D"/>
    <w:rsid w:val="1E99A826"/>
    <w:rsid w:val="1EB01B24"/>
    <w:rsid w:val="1EB59FC6"/>
    <w:rsid w:val="1EB74B6B"/>
    <w:rsid w:val="1EB7FD68"/>
    <w:rsid w:val="1EBEAEA8"/>
    <w:rsid w:val="1EC8FA97"/>
    <w:rsid w:val="1ED0F032"/>
    <w:rsid w:val="1EDF08C6"/>
    <w:rsid w:val="1EE221EA"/>
    <w:rsid w:val="1EE558BA"/>
    <w:rsid w:val="1EE7A1E9"/>
    <w:rsid w:val="1EE970BE"/>
    <w:rsid w:val="1EE9C674"/>
    <w:rsid w:val="1EF06F41"/>
    <w:rsid w:val="1EFE7167"/>
    <w:rsid w:val="1F01D98A"/>
    <w:rsid w:val="1F043571"/>
    <w:rsid w:val="1F05C8DC"/>
    <w:rsid w:val="1F089ABC"/>
    <w:rsid w:val="1F0C41EF"/>
    <w:rsid w:val="1F0EA795"/>
    <w:rsid w:val="1F115B64"/>
    <w:rsid w:val="1F1212AC"/>
    <w:rsid w:val="1F135BA4"/>
    <w:rsid w:val="1F18EA0D"/>
    <w:rsid w:val="1F1FB039"/>
    <w:rsid w:val="1F344B8B"/>
    <w:rsid w:val="1F40F28B"/>
    <w:rsid w:val="1F438B1B"/>
    <w:rsid w:val="1F53A0DC"/>
    <w:rsid w:val="1F56E6F3"/>
    <w:rsid w:val="1F581142"/>
    <w:rsid w:val="1F5CE0DA"/>
    <w:rsid w:val="1F6196E5"/>
    <w:rsid w:val="1F628A6C"/>
    <w:rsid w:val="1F62D653"/>
    <w:rsid w:val="1F771CE3"/>
    <w:rsid w:val="1F77DF1F"/>
    <w:rsid w:val="1F78BBAD"/>
    <w:rsid w:val="1F7AE0E6"/>
    <w:rsid w:val="1F7D5AFB"/>
    <w:rsid w:val="1F7E7523"/>
    <w:rsid w:val="1F838B42"/>
    <w:rsid w:val="1F83CF40"/>
    <w:rsid w:val="1FAC9C96"/>
    <w:rsid w:val="1FBA01F1"/>
    <w:rsid w:val="1FBD82E2"/>
    <w:rsid w:val="1FBD8C9B"/>
    <w:rsid w:val="1FBE287D"/>
    <w:rsid w:val="1FC12FEA"/>
    <w:rsid w:val="1FCB79E0"/>
    <w:rsid w:val="1FCB8C20"/>
    <w:rsid w:val="1FCC9052"/>
    <w:rsid w:val="1FD9F453"/>
    <w:rsid w:val="1FDD5993"/>
    <w:rsid w:val="1FE4B990"/>
    <w:rsid w:val="1FF3D028"/>
    <w:rsid w:val="1FF3D7FB"/>
    <w:rsid w:val="1FF87C38"/>
    <w:rsid w:val="1FFBB836"/>
    <w:rsid w:val="1FFDCCAB"/>
    <w:rsid w:val="200261FD"/>
    <w:rsid w:val="2007EB69"/>
    <w:rsid w:val="200CB794"/>
    <w:rsid w:val="201005E0"/>
    <w:rsid w:val="201E6540"/>
    <w:rsid w:val="202B87BB"/>
    <w:rsid w:val="202CE502"/>
    <w:rsid w:val="2031E78D"/>
    <w:rsid w:val="2032D4D3"/>
    <w:rsid w:val="20364569"/>
    <w:rsid w:val="203D9887"/>
    <w:rsid w:val="203DF703"/>
    <w:rsid w:val="203FD58E"/>
    <w:rsid w:val="2045728F"/>
    <w:rsid w:val="204665D1"/>
    <w:rsid w:val="20477A30"/>
    <w:rsid w:val="205EA64C"/>
    <w:rsid w:val="205EB4B4"/>
    <w:rsid w:val="20619DDE"/>
    <w:rsid w:val="2067974B"/>
    <w:rsid w:val="2071B220"/>
    <w:rsid w:val="2072E36E"/>
    <w:rsid w:val="2075100A"/>
    <w:rsid w:val="207900ED"/>
    <w:rsid w:val="2087BFAA"/>
    <w:rsid w:val="2091791D"/>
    <w:rsid w:val="20931113"/>
    <w:rsid w:val="209776B9"/>
    <w:rsid w:val="209AEED0"/>
    <w:rsid w:val="209CD346"/>
    <w:rsid w:val="20A2F5F9"/>
    <w:rsid w:val="20A68ACD"/>
    <w:rsid w:val="20AF11C7"/>
    <w:rsid w:val="20B2D9DE"/>
    <w:rsid w:val="20C34154"/>
    <w:rsid w:val="20C6B4A7"/>
    <w:rsid w:val="20CF92AC"/>
    <w:rsid w:val="20D08CC0"/>
    <w:rsid w:val="20D86138"/>
    <w:rsid w:val="20E76B88"/>
    <w:rsid w:val="20E8B6E9"/>
    <w:rsid w:val="20ECDA28"/>
    <w:rsid w:val="20F62ABB"/>
    <w:rsid w:val="20FC9245"/>
    <w:rsid w:val="210834BC"/>
    <w:rsid w:val="210C24CE"/>
    <w:rsid w:val="210EA4E5"/>
    <w:rsid w:val="2111E5EA"/>
    <w:rsid w:val="21123B8C"/>
    <w:rsid w:val="21167BE3"/>
    <w:rsid w:val="2118841A"/>
    <w:rsid w:val="211C12C4"/>
    <w:rsid w:val="211D8481"/>
    <w:rsid w:val="211EB756"/>
    <w:rsid w:val="211EC9FA"/>
    <w:rsid w:val="211EF0DE"/>
    <w:rsid w:val="211F1B78"/>
    <w:rsid w:val="2120C3F9"/>
    <w:rsid w:val="21269646"/>
    <w:rsid w:val="21278C66"/>
    <w:rsid w:val="212BDEF8"/>
    <w:rsid w:val="2130AF14"/>
    <w:rsid w:val="2134B12B"/>
    <w:rsid w:val="21367B8A"/>
    <w:rsid w:val="213719D2"/>
    <w:rsid w:val="213BD9CB"/>
    <w:rsid w:val="213C3BD0"/>
    <w:rsid w:val="2140379C"/>
    <w:rsid w:val="2152B7E7"/>
    <w:rsid w:val="2156A7E9"/>
    <w:rsid w:val="2159CA94"/>
    <w:rsid w:val="215FECDB"/>
    <w:rsid w:val="2162B0E2"/>
    <w:rsid w:val="216584DF"/>
    <w:rsid w:val="216AD5DB"/>
    <w:rsid w:val="2175F7B1"/>
    <w:rsid w:val="21784DC5"/>
    <w:rsid w:val="217D7F69"/>
    <w:rsid w:val="2181D0A8"/>
    <w:rsid w:val="2189F146"/>
    <w:rsid w:val="21976336"/>
    <w:rsid w:val="219BFC91"/>
    <w:rsid w:val="219F1A9D"/>
    <w:rsid w:val="21A23C30"/>
    <w:rsid w:val="21A3A65F"/>
    <w:rsid w:val="21A84873"/>
    <w:rsid w:val="21AD3915"/>
    <w:rsid w:val="21B4210D"/>
    <w:rsid w:val="21B62A7A"/>
    <w:rsid w:val="21BC857E"/>
    <w:rsid w:val="21BF0B70"/>
    <w:rsid w:val="21C46F93"/>
    <w:rsid w:val="21C5B4D1"/>
    <w:rsid w:val="21CD477E"/>
    <w:rsid w:val="21CF1A66"/>
    <w:rsid w:val="21D0E270"/>
    <w:rsid w:val="21D47A7D"/>
    <w:rsid w:val="21DBD08B"/>
    <w:rsid w:val="21DE714E"/>
    <w:rsid w:val="21E55B75"/>
    <w:rsid w:val="21E6EE4D"/>
    <w:rsid w:val="21F111BA"/>
    <w:rsid w:val="21F2EAF9"/>
    <w:rsid w:val="2205628A"/>
    <w:rsid w:val="22056AEF"/>
    <w:rsid w:val="2208DB7A"/>
    <w:rsid w:val="2216FE5C"/>
    <w:rsid w:val="221C1A04"/>
    <w:rsid w:val="2228DB86"/>
    <w:rsid w:val="222B75A9"/>
    <w:rsid w:val="2230B695"/>
    <w:rsid w:val="22318FCC"/>
    <w:rsid w:val="223290EC"/>
    <w:rsid w:val="2234BC85"/>
    <w:rsid w:val="22395257"/>
    <w:rsid w:val="223F5DF5"/>
    <w:rsid w:val="224B2BAF"/>
    <w:rsid w:val="22543D1F"/>
    <w:rsid w:val="225B1175"/>
    <w:rsid w:val="22618BBD"/>
    <w:rsid w:val="2261A2CE"/>
    <w:rsid w:val="226BF4BF"/>
    <w:rsid w:val="226D0D2B"/>
    <w:rsid w:val="226DD2C9"/>
    <w:rsid w:val="2274A36D"/>
    <w:rsid w:val="2276FC9A"/>
    <w:rsid w:val="22772A22"/>
    <w:rsid w:val="227917A7"/>
    <w:rsid w:val="2282FAD0"/>
    <w:rsid w:val="228E2E9C"/>
    <w:rsid w:val="229468E2"/>
    <w:rsid w:val="229CF2B5"/>
    <w:rsid w:val="22A1FE41"/>
    <w:rsid w:val="22A99929"/>
    <w:rsid w:val="22B1C830"/>
    <w:rsid w:val="22B5E30A"/>
    <w:rsid w:val="22B823C7"/>
    <w:rsid w:val="22BA94AB"/>
    <w:rsid w:val="22C8B128"/>
    <w:rsid w:val="22CDED70"/>
    <w:rsid w:val="22D4D6D2"/>
    <w:rsid w:val="22D4DD04"/>
    <w:rsid w:val="22D5FCA5"/>
    <w:rsid w:val="22DB7EE0"/>
    <w:rsid w:val="22DC9F02"/>
    <w:rsid w:val="22F1BC39"/>
    <w:rsid w:val="22F99D53"/>
    <w:rsid w:val="22FF95AC"/>
    <w:rsid w:val="2302E568"/>
    <w:rsid w:val="230536A1"/>
    <w:rsid w:val="230A5FA8"/>
    <w:rsid w:val="230DBDF9"/>
    <w:rsid w:val="2317D3F6"/>
    <w:rsid w:val="2318801E"/>
    <w:rsid w:val="231962F8"/>
    <w:rsid w:val="231C25E7"/>
    <w:rsid w:val="231CD16D"/>
    <w:rsid w:val="231D1CFE"/>
    <w:rsid w:val="23230A8C"/>
    <w:rsid w:val="2327E9E3"/>
    <w:rsid w:val="23298336"/>
    <w:rsid w:val="232A654B"/>
    <w:rsid w:val="2339C3C2"/>
    <w:rsid w:val="233F26C7"/>
    <w:rsid w:val="235180D9"/>
    <w:rsid w:val="235675BF"/>
    <w:rsid w:val="2360F627"/>
    <w:rsid w:val="23618790"/>
    <w:rsid w:val="23660436"/>
    <w:rsid w:val="23698522"/>
    <w:rsid w:val="237008C6"/>
    <w:rsid w:val="23799E40"/>
    <w:rsid w:val="237FA4D3"/>
    <w:rsid w:val="2385F419"/>
    <w:rsid w:val="2388292B"/>
    <w:rsid w:val="238E4FD7"/>
    <w:rsid w:val="23A2A333"/>
    <w:rsid w:val="23AC804B"/>
    <w:rsid w:val="23B3660C"/>
    <w:rsid w:val="23BFC716"/>
    <w:rsid w:val="23C077FA"/>
    <w:rsid w:val="23C13351"/>
    <w:rsid w:val="23CA707A"/>
    <w:rsid w:val="23D53FBD"/>
    <w:rsid w:val="23D6D9AD"/>
    <w:rsid w:val="23D9F274"/>
    <w:rsid w:val="23E342BB"/>
    <w:rsid w:val="23E72F4A"/>
    <w:rsid w:val="23E8DB31"/>
    <w:rsid w:val="23F11B3F"/>
    <w:rsid w:val="23F4229F"/>
    <w:rsid w:val="24006D4C"/>
    <w:rsid w:val="240616BE"/>
    <w:rsid w:val="24092064"/>
    <w:rsid w:val="240E4B62"/>
    <w:rsid w:val="2414B660"/>
    <w:rsid w:val="241DF24C"/>
    <w:rsid w:val="242393BE"/>
    <w:rsid w:val="2425ABB2"/>
    <w:rsid w:val="24264A3C"/>
    <w:rsid w:val="24275B31"/>
    <w:rsid w:val="24280D8D"/>
    <w:rsid w:val="24318E87"/>
    <w:rsid w:val="2432664A"/>
    <w:rsid w:val="24381921"/>
    <w:rsid w:val="24388F66"/>
    <w:rsid w:val="24459FEF"/>
    <w:rsid w:val="244660D6"/>
    <w:rsid w:val="24535D97"/>
    <w:rsid w:val="24562A9F"/>
    <w:rsid w:val="245F2AA9"/>
    <w:rsid w:val="2463F9A1"/>
    <w:rsid w:val="24742D27"/>
    <w:rsid w:val="247AAB1B"/>
    <w:rsid w:val="247F7EBA"/>
    <w:rsid w:val="2482BA9D"/>
    <w:rsid w:val="2486E9E7"/>
    <w:rsid w:val="248BD2C0"/>
    <w:rsid w:val="249C9B88"/>
    <w:rsid w:val="249CC432"/>
    <w:rsid w:val="249CEB2A"/>
    <w:rsid w:val="249F0B96"/>
    <w:rsid w:val="24A9F670"/>
    <w:rsid w:val="24AFD0B6"/>
    <w:rsid w:val="24B3191E"/>
    <w:rsid w:val="24B84201"/>
    <w:rsid w:val="24B8A076"/>
    <w:rsid w:val="24B96A47"/>
    <w:rsid w:val="24C6A51E"/>
    <w:rsid w:val="24E06FE4"/>
    <w:rsid w:val="24E0AF07"/>
    <w:rsid w:val="24E73D32"/>
    <w:rsid w:val="24E9A0ED"/>
    <w:rsid w:val="24ED0655"/>
    <w:rsid w:val="24F41D7C"/>
    <w:rsid w:val="2501CCD0"/>
    <w:rsid w:val="2506F399"/>
    <w:rsid w:val="250BD0A7"/>
    <w:rsid w:val="25189621"/>
    <w:rsid w:val="251F0296"/>
    <w:rsid w:val="252D942B"/>
    <w:rsid w:val="2530723D"/>
    <w:rsid w:val="2531C0BB"/>
    <w:rsid w:val="253413B0"/>
    <w:rsid w:val="253D30CF"/>
    <w:rsid w:val="25434CA9"/>
    <w:rsid w:val="25436A19"/>
    <w:rsid w:val="2547CD20"/>
    <w:rsid w:val="254E9F1E"/>
    <w:rsid w:val="254F7A37"/>
    <w:rsid w:val="255EAFB0"/>
    <w:rsid w:val="256310FD"/>
    <w:rsid w:val="2563D072"/>
    <w:rsid w:val="25697E7D"/>
    <w:rsid w:val="257716C7"/>
    <w:rsid w:val="257C7861"/>
    <w:rsid w:val="258525CA"/>
    <w:rsid w:val="258F1841"/>
    <w:rsid w:val="2596B3A8"/>
    <w:rsid w:val="25990BD5"/>
    <w:rsid w:val="259FCC29"/>
    <w:rsid w:val="25A51E75"/>
    <w:rsid w:val="25A5531C"/>
    <w:rsid w:val="25A951AB"/>
    <w:rsid w:val="25ABB30A"/>
    <w:rsid w:val="25B2C29E"/>
    <w:rsid w:val="25B9969A"/>
    <w:rsid w:val="25C38BF2"/>
    <w:rsid w:val="25CC1D0E"/>
    <w:rsid w:val="25CD4C8E"/>
    <w:rsid w:val="25D8CD60"/>
    <w:rsid w:val="25DBB413"/>
    <w:rsid w:val="25DF6565"/>
    <w:rsid w:val="25E1218A"/>
    <w:rsid w:val="25E585C5"/>
    <w:rsid w:val="25E73289"/>
    <w:rsid w:val="25E87583"/>
    <w:rsid w:val="25E98B55"/>
    <w:rsid w:val="25ECFEDB"/>
    <w:rsid w:val="25EF6AC2"/>
    <w:rsid w:val="25EF741A"/>
    <w:rsid w:val="25F3B0F7"/>
    <w:rsid w:val="25F3FB0C"/>
    <w:rsid w:val="25F6335D"/>
    <w:rsid w:val="25FBC3C2"/>
    <w:rsid w:val="26083B13"/>
    <w:rsid w:val="260D343D"/>
    <w:rsid w:val="260D42D5"/>
    <w:rsid w:val="260F40F2"/>
    <w:rsid w:val="260FF975"/>
    <w:rsid w:val="261C8E5A"/>
    <w:rsid w:val="261FD672"/>
    <w:rsid w:val="26243D28"/>
    <w:rsid w:val="26259EA0"/>
    <w:rsid w:val="262EB9DC"/>
    <w:rsid w:val="2630F1AB"/>
    <w:rsid w:val="26379242"/>
    <w:rsid w:val="263795EF"/>
    <w:rsid w:val="263AC56A"/>
    <w:rsid w:val="263D83A4"/>
    <w:rsid w:val="263FB3C5"/>
    <w:rsid w:val="263FF363"/>
    <w:rsid w:val="2646C0A2"/>
    <w:rsid w:val="265E581D"/>
    <w:rsid w:val="265F9B38"/>
    <w:rsid w:val="2660828D"/>
    <w:rsid w:val="26633255"/>
    <w:rsid w:val="2663D7E1"/>
    <w:rsid w:val="266A9403"/>
    <w:rsid w:val="266C5B0F"/>
    <w:rsid w:val="266CE663"/>
    <w:rsid w:val="266F02F9"/>
    <w:rsid w:val="2675B83D"/>
    <w:rsid w:val="267BD04E"/>
    <w:rsid w:val="2683DA5B"/>
    <w:rsid w:val="26851FFC"/>
    <w:rsid w:val="2698547D"/>
    <w:rsid w:val="26A46C7E"/>
    <w:rsid w:val="26AB4455"/>
    <w:rsid w:val="26ABCF52"/>
    <w:rsid w:val="26ABD541"/>
    <w:rsid w:val="26AD193E"/>
    <w:rsid w:val="26B13F6E"/>
    <w:rsid w:val="26B4AA97"/>
    <w:rsid w:val="26BEBE68"/>
    <w:rsid w:val="26C6E6E4"/>
    <w:rsid w:val="26C76033"/>
    <w:rsid w:val="26CD8631"/>
    <w:rsid w:val="26D37977"/>
    <w:rsid w:val="26D3DD34"/>
    <w:rsid w:val="26D6BA22"/>
    <w:rsid w:val="26DE03B5"/>
    <w:rsid w:val="26EC27B6"/>
    <w:rsid w:val="26F767D8"/>
    <w:rsid w:val="26F9CF69"/>
    <w:rsid w:val="2704E8AF"/>
    <w:rsid w:val="270D2E4B"/>
    <w:rsid w:val="271B001C"/>
    <w:rsid w:val="271B1F9D"/>
    <w:rsid w:val="2720FA06"/>
    <w:rsid w:val="272115E7"/>
    <w:rsid w:val="272831B5"/>
    <w:rsid w:val="27337FD7"/>
    <w:rsid w:val="273AFE9D"/>
    <w:rsid w:val="274A2020"/>
    <w:rsid w:val="274ACD48"/>
    <w:rsid w:val="274BD370"/>
    <w:rsid w:val="2752A368"/>
    <w:rsid w:val="2754DDE2"/>
    <w:rsid w:val="2755C354"/>
    <w:rsid w:val="275BC931"/>
    <w:rsid w:val="2764F2DA"/>
    <w:rsid w:val="27686357"/>
    <w:rsid w:val="2771808E"/>
    <w:rsid w:val="2771A4D3"/>
    <w:rsid w:val="27731E5A"/>
    <w:rsid w:val="2774EB35"/>
    <w:rsid w:val="2778EB24"/>
    <w:rsid w:val="277F37AF"/>
    <w:rsid w:val="278B4EEF"/>
    <w:rsid w:val="278D0B11"/>
    <w:rsid w:val="27900898"/>
    <w:rsid w:val="279F1545"/>
    <w:rsid w:val="279F6948"/>
    <w:rsid w:val="279F98FD"/>
    <w:rsid w:val="27A18C70"/>
    <w:rsid w:val="27A19971"/>
    <w:rsid w:val="27A43226"/>
    <w:rsid w:val="27A8E737"/>
    <w:rsid w:val="27AE77AB"/>
    <w:rsid w:val="27B4ED5C"/>
    <w:rsid w:val="27B5602F"/>
    <w:rsid w:val="27C2785D"/>
    <w:rsid w:val="27C4F6FD"/>
    <w:rsid w:val="27CD0F40"/>
    <w:rsid w:val="27D3437A"/>
    <w:rsid w:val="27D9A58B"/>
    <w:rsid w:val="27E9FCEE"/>
    <w:rsid w:val="27EA821E"/>
    <w:rsid w:val="27F0D06D"/>
    <w:rsid w:val="27F9DBE5"/>
    <w:rsid w:val="28016276"/>
    <w:rsid w:val="28066B0C"/>
    <w:rsid w:val="280B018F"/>
    <w:rsid w:val="2814E723"/>
    <w:rsid w:val="28188395"/>
    <w:rsid w:val="28188D78"/>
    <w:rsid w:val="281CE606"/>
    <w:rsid w:val="282D95AF"/>
    <w:rsid w:val="28304CFC"/>
    <w:rsid w:val="28329C78"/>
    <w:rsid w:val="2832B659"/>
    <w:rsid w:val="28394707"/>
    <w:rsid w:val="283D461C"/>
    <w:rsid w:val="28446CE3"/>
    <w:rsid w:val="284A38A6"/>
    <w:rsid w:val="284CF536"/>
    <w:rsid w:val="2850F803"/>
    <w:rsid w:val="285D2ED2"/>
    <w:rsid w:val="285F8748"/>
    <w:rsid w:val="28680305"/>
    <w:rsid w:val="286D5D7C"/>
    <w:rsid w:val="286D6CBF"/>
    <w:rsid w:val="286DFB52"/>
    <w:rsid w:val="2877CB69"/>
    <w:rsid w:val="28796B20"/>
    <w:rsid w:val="287A9BF3"/>
    <w:rsid w:val="287B3141"/>
    <w:rsid w:val="287B5C18"/>
    <w:rsid w:val="28847EBA"/>
    <w:rsid w:val="28849A3D"/>
    <w:rsid w:val="2886828D"/>
    <w:rsid w:val="289C07D7"/>
    <w:rsid w:val="28A6AEB6"/>
    <w:rsid w:val="28AD9578"/>
    <w:rsid w:val="28AFEEBB"/>
    <w:rsid w:val="28B1FF4D"/>
    <w:rsid w:val="28B57516"/>
    <w:rsid w:val="28BC6DAD"/>
    <w:rsid w:val="28C79663"/>
    <w:rsid w:val="28D0693C"/>
    <w:rsid w:val="28D95C7A"/>
    <w:rsid w:val="28D99769"/>
    <w:rsid w:val="28DB8BFF"/>
    <w:rsid w:val="28DBCD62"/>
    <w:rsid w:val="28DCD472"/>
    <w:rsid w:val="28DE09B0"/>
    <w:rsid w:val="28E94D22"/>
    <w:rsid w:val="28EED70D"/>
    <w:rsid w:val="28EF4AF0"/>
    <w:rsid w:val="28EFDBA8"/>
    <w:rsid w:val="28F18071"/>
    <w:rsid w:val="28F1C065"/>
    <w:rsid w:val="28F6862F"/>
    <w:rsid w:val="28F7DA58"/>
    <w:rsid w:val="28FFE56C"/>
    <w:rsid w:val="29026985"/>
    <w:rsid w:val="29040AC9"/>
    <w:rsid w:val="29058A8D"/>
    <w:rsid w:val="29074AF0"/>
    <w:rsid w:val="290756AF"/>
    <w:rsid w:val="290BDE0E"/>
    <w:rsid w:val="290BEEF2"/>
    <w:rsid w:val="2911640B"/>
    <w:rsid w:val="29126E34"/>
    <w:rsid w:val="2926B9A2"/>
    <w:rsid w:val="2927B1A9"/>
    <w:rsid w:val="292CDE3D"/>
    <w:rsid w:val="2934FD72"/>
    <w:rsid w:val="293D991C"/>
    <w:rsid w:val="2944C652"/>
    <w:rsid w:val="2944DA62"/>
    <w:rsid w:val="294DFBA5"/>
    <w:rsid w:val="294F7063"/>
    <w:rsid w:val="29515427"/>
    <w:rsid w:val="29716880"/>
    <w:rsid w:val="29782A80"/>
    <w:rsid w:val="297B7372"/>
    <w:rsid w:val="297E8039"/>
    <w:rsid w:val="29808855"/>
    <w:rsid w:val="298758E0"/>
    <w:rsid w:val="298AAFEC"/>
    <w:rsid w:val="2990A4D0"/>
    <w:rsid w:val="2991C0C2"/>
    <w:rsid w:val="29942362"/>
    <w:rsid w:val="299491F9"/>
    <w:rsid w:val="299C26D6"/>
    <w:rsid w:val="29A5B0C5"/>
    <w:rsid w:val="29A9D80C"/>
    <w:rsid w:val="29AB0408"/>
    <w:rsid w:val="29ADB24E"/>
    <w:rsid w:val="29BE40A5"/>
    <w:rsid w:val="29C7C166"/>
    <w:rsid w:val="29D3DC32"/>
    <w:rsid w:val="29D420DD"/>
    <w:rsid w:val="29DFA4D4"/>
    <w:rsid w:val="29EED435"/>
    <w:rsid w:val="29EEE324"/>
    <w:rsid w:val="29F24993"/>
    <w:rsid w:val="29F51AB7"/>
    <w:rsid w:val="29F9EC35"/>
    <w:rsid w:val="29FB4AD2"/>
    <w:rsid w:val="2A01D672"/>
    <w:rsid w:val="2A05DBD4"/>
    <w:rsid w:val="2A08C0D4"/>
    <w:rsid w:val="2A0B0336"/>
    <w:rsid w:val="2A0B35B4"/>
    <w:rsid w:val="2A25D857"/>
    <w:rsid w:val="2A28A464"/>
    <w:rsid w:val="2A33F6F4"/>
    <w:rsid w:val="2A3C26D5"/>
    <w:rsid w:val="2A3F1D1F"/>
    <w:rsid w:val="2A423725"/>
    <w:rsid w:val="2A43AC2D"/>
    <w:rsid w:val="2A4A57EA"/>
    <w:rsid w:val="2A4CAE9E"/>
    <w:rsid w:val="2A4D5D86"/>
    <w:rsid w:val="2A5564CE"/>
    <w:rsid w:val="2A55BFA6"/>
    <w:rsid w:val="2A5A6167"/>
    <w:rsid w:val="2A6083A5"/>
    <w:rsid w:val="2A6111A1"/>
    <w:rsid w:val="2A6263B6"/>
    <w:rsid w:val="2A6A14B1"/>
    <w:rsid w:val="2A70A1AA"/>
    <w:rsid w:val="2A77DAF0"/>
    <w:rsid w:val="2A7B0CC2"/>
    <w:rsid w:val="2A816B28"/>
    <w:rsid w:val="2A8B17FE"/>
    <w:rsid w:val="2A8EB25B"/>
    <w:rsid w:val="2A931E18"/>
    <w:rsid w:val="2A958E8B"/>
    <w:rsid w:val="2A95EA5E"/>
    <w:rsid w:val="2AA98399"/>
    <w:rsid w:val="2AAAC7DD"/>
    <w:rsid w:val="2AACDD46"/>
    <w:rsid w:val="2AAD11CC"/>
    <w:rsid w:val="2AAE696A"/>
    <w:rsid w:val="2AB3B5B8"/>
    <w:rsid w:val="2AC27158"/>
    <w:rsid w:val="2AC98CCF"/>
    <w:rsid w:val="2ACABC87"/>
    <w:rsid w:val="2AD5F326"/>
    <w:rsid w:val="2AD7F45E"/>
    <w:rsid w:val="2AD81A8D"/>
    <w:rsid w:val="2AD9697D"/>
    <w:rsid w:val="2ADAFA44"/>
    <w:rsid w:val="2AE87D73"/>
    <w:rsid w:val="2AF61962"/>
    <w:rsid w:val="2AF9542E"/>
    <w:rsid w:val="2B011720"/>
    <w:rsid w:val="2B0468BD"/>
    <w:rsid w:val="2B064A01"/>
    <w:rsid w:val="2B22B3E8"/>
    <w:rsid w:val="2B253ABC"/>
    <w:rsid w:val="2B2E9E75"/>
    <w:rsid w:val="2B356A7B"/>
    <w:rsid w:val="2B36E4B8"/>
    <w:rsid w:val="2B42121E"/>
    <w:rsid w:val="2B485E11"/>
    <w:rsid w:val="2B539030"/>
    <w:rsid w:val="2B59316F"/>
    <w:rsid w:val="2B5A5A39"/>
    <w:rsid w:val="2B5F48C6"/>
    <w:rsid w:val="2B60BC75"/>
    <w:rsid w:val="2B6119CB"/>
    <w:rsid w:val="2B62D17C"/>
    <w:rsid w:val="2B669B58"/>
    <w:rsid w:val="2B6C2B42"/>
    <w:rsid w:val="2B6EA48A"/>
    <w:rsid w:val="2B6ED3D8"/>
    <w:rsid w:val="2B75B527"/>
    <w:rsid w:val="2B760BE7"/>
    <w:rsid w:val="2B776E62"/>
    <w:rsid w:val="2B7BDB5B"/>
    <w:rsid w:val="2B7D882D"/>
    <w:rsid w:val="2B846823"/>
    <w:rsid w:val="2B8F730D"/>
    <w:rsid w:val="2B8FFD98"/>
    <w:rsid w:val="2B902EC5"/>
    <w:rsid w:val="2B924D36"/>
    <w:rsid w:val="2B97F038"/>
    <w:rsid w:val="2B988ACB"/>
    <w:rsid w:val="2BA4CC55"/>
    <w:rsid w:val="2BB11A1B"/>
    <w:rsid w:val="2BB49E46"/>
    <w:rsid w:val="2BCBE823"/>
    <w:rsid w:val="2BCCE5E1"/>
    <w:rsid w:val="2BCEBF68"/>
    <w:rsid w:val="2BD3AB0F"/>
    <w:rsid w:val="2BD49E83"/>
    <w:rsid w:val="2BD93AF6"/>
    <w:rsid w:val="2BE5687C"/>
    <w:rsid w:val="2BE8966F"/>
    <w:rsid w:val="2BEACBA4"/>
    <w:rsid w:val="2BEB4BF7"/>
    <w:rsid w:val="2BEBD7B6"/>
    <w:rsid w:val="2BF0419B"/>
    <w:rsid w:val="2BF2093E"/>
    <w:rsid w:val="2BF306E4"/>
    <w:rsid w:val="2C072B84"/>
    <w:rsid w:val="2C095F78"/>
    <w:rsid w:val="2C0E3446"/>
    <w:rsid w:val="2C22F383"/>
    <w:rsid w:val="2C2E897D"/>
    <w:rsid w:val="2C3C522F"/>
    <w:rsid w:val="2C3E81D4"/>
    <w:rsid w:val="2C43BC03"/>
    <w:rsid w:val="2C47E76C"/>
    <w:rsid w:val="2C4A51C1"/>
    <w:rsid w:val="2C522F40"/>
    <w:rsid w:val="2C5824C6"/>
    <w:rsid w:val="2C5A024C"/>
    <w:rsid w:val="2C61A2C3"/>
    <w:rsid w:val="2C7539DE"/>
    <w:rsid w:val="2C760595"/>
    <w:rsid w:val="2C7FBE58"/>
    <w:rsid w:val="2C842ADB"/>
    <w:rsid w:val="2C8E91F3"/>
    <w:rsid w:val="2C979AD4"/>
    <w:rsid w:val="2C9928DB"/>
    <w:rsid w:val="2CA18159"/>
    <w:rsid w:val="2CA3E112"/>
    <w:rsid w:val="2CAA422B"/>
    <w:rsid w:val="2CAC8EC1"/>
    <w:rsid w:val="2CAEF43C"/>
    <w:rsid w:val="2CB2787B"/>
    <w:rsid w:val="2CBAFF76"/>
    <w:rsid w:val="2CBBBB58"/>
    <w:rsid w:val="2CBE60B8"/>
    <w:rsid w:val="2CBF4347"/>
    <w:rsid w:val="2CC1E720"/>
    <w:rsid w:val="2CC1F4B8"/>
    <w:rsid w:val="2CC352ED"/>
    <w:rsid w:val="2CC3B34D"/>
    <w:rsid w:val="2CE5098C"/>
    <w:rsid w:val="2CE61CC9"/>
    <w:rsid w:val="2CEA7DBC"/>
    <w:rsid w:val="2CEAE8BD"/>
    <w:rsid w:val="2CEC6352"/>
    <w:rsid w:val="2CF1E30B"/>
    <w:rsid w:val="2CF4C89C"/>
    <w:rsid w:val="2CF7AC06"/>
    <w:rsid w:val="2CFA4732"/>
    <w:rsid w:val="2D00A3E1"/>
    <w:rsid w:val="2D0300B8"/>
    <w:rsid w:val="2D0888E4"/>
    <w:rsid w:val="2D0B5A9D"/>
    <w:rsid w:val="2D0CE1C0"/>
    <w:rsid w:val="2D1339AB"/>
    <w:rsid w:val="2D13701F"/>
    <w:rsid w:val="2D2A7825"/>
    <w:rsid w:val="2D32F4E9"/>
    <w:rsid w:val="2D368915"/>
    <w:rsid w:val="2D3BBACC"/>
    <w:rsid w:val="2D3C3CC9"/>
    <w:rsid w:val="2D44DEAB"/>
    <w:rsid w:val="2D4799FD"/>
    <w:rsid w:val="2D492BFC"/>
    <w:rsid w:val="2D4E0E0C"/>
    <w:rsid w:val="2D58278C"/>
    <w:rsid w:val="2D5B3DD6"/>
    <w:rsid w:val="2D6AA421"/>
    <w:rsid w:val="2D6B6DB3"/>
    <w:rsid w:val="2D6CFEF2"/>
    <w:rsid w:val="2D752228"/>
    <w:rsid w:val="2D7F2FD8"/>
    <w:rsid w:val="2D82E356"/>
    <w:rsid w:val="2D8782C4"/>
    <w:rsid w:val="2D886E5D"/>
    <w:rsid w:val="2D8B81D9"/>
    <w:rsid w:val="2D8E7202"/>
    <w:rsid w:val="2D9262FE"/>
    <w:rsid w:val="2DA0FC77"/>
    <w:rsid w:val="2DA417F5"/>
    <w:rsid w:val="2DA5C2C1"/>
    <w:rsid w:val="2DAA3852"/>
    <w:rsid w:val="2DAF7D8A"/>
    <w:rsid w:val="2DB3DF1F"/>
    <w:rsid w:val="2DB65BE3"/>
    <w:rsid w:val="2DBB8FE0"/>
    <w:rsid w:val="2DBFB0C4"/>
    <w:rsid w:val="2DC62815"/>
    <w:rsid w:val="2DCABC43"/>
    <w:rsid w:val="2DCBF2CF"/>
    <w:rsid w:val="2DD3009B"/>
    <w:rsid w:val="2DDAA3DA"/>
    <w:rsid w:val="2DE1B9D1"/>
    <w:rsid w:val="2DE42B6E"/>
    <w:rsid w:val="2DE86E61"/>
    <w:rsid w:val="2DEAE80E"/>
    <w:rsid w:val="2DEC2F41"/>
    <w:rsid w:val="2DECC5BA"/>
    <w:rsid w:val="2DF453AF"/>
    <w:rsid w:val="2DFF1932"/>
    <w:rsid w:val="2E09F5C9"/>
    <w:rsid w:val="2E17B46D"/>
    <w:rsid w:val="2E197B5E"/>
    <w:rsid w:val="2E1D507A"/>
    <w:rsid w:val="2E1EDAF9"/>
    <w:rsid w:val="2E20D0BE"/>
    <w:rsid w:val="2E21C6BD"/>
    <w:rsid w:val="2E228C8D"/>
    <w:rsid w:val="2E243D67"/>
    <w:rsid w:val="2E269DDF"/>
    <w:rsid w:val="2E29147D"/>
    <w:rsid w:val="2E30D2EE"/>
    <w:rsid w:val="2E31CB7A"/>
    <w:rsid w:val="2E33793E"/>
    <w:rsid w:val="2E3F27C5"/>
    <w:rsid w:val="2E419CD3"/>
    <w:rsid w:val="2E49FCE0"/>
    <w:rsid w:val="2E4B4DF5"/>
    <w:rsid w:val="2E5C2B2C"/>
    <w:rsid w:val="2E5E0DC0"/>
    <w:rsid w:val="2E65DB19"/>
    <w:rsid w:val="2E6639A1"/>
    <w:rsid w:val="2E7552B3"/>
    <w:rsid w:val="2E7FB168"/>
    <w:rsid w:val="2E823B6B"/>
    <w:rsid w:val="2E845981"/>
    <w:rsid w:val="2E84D437"/>
    <w:rsid w:val="2E91645D"/>
    <w:rsid w:val="2E9791F0"/>
    <w:rsid w:val="2E98DE3A"/>
    <w:rsid w:val="2E9AEDF5"/>
    <w:rsid w:val="2EA6754D"/>
    <w:rsid w:val="2EAE77AC"/>
    <w:rsid w:val="2EB011D6"/>
    <w:rsid w:val="2EB359C3"/>
    <w:rsid w:val="2EB5F57C"/>
    <w:rsid w:val="2ECA5EF0"/>
    <w:rsid w:val="2ECE487E"/>
    <w:rsid w:val="2ED512A9"/>
    <w:rsid w:val="2EDA34A4"/>
    <w:rsid w:val="2EECD079"/>
    <w:rsid w:val="2EED364B"/>
    <w:rsid w:val="2EFBF951"/>
    <w:rsid w:val="2EFF260C"/>
    <w:rsid w:val="2F01A565"/>
    <w:rsid w:val="2F07816C"/>
    <w:rsid w:val="2F08F56B"/>
    <w:rsid w:val="2F0BA82F"/>
    <w:rsid w:val="2F0FF5CC"/>
    <w:rsid w:val="2F10506D"/>
    <w:rsid w:val="2F1529DA"/>
    <w:rsid w:val="2F167902"/>
    <w:rsid w:val="2F1A0137"/>
    <w:rsid w:val="2F221107"/>
    <w:rsid w:val="2F27560E"/>
    <w:rsid w:val="2F2774C9"/>
    <w:rsid w:val="2F2CF872"/>
    <w:rsid w:val="2F32688D"/>
    <w:rsid w:val="2F3AF4EF"/>
    <w:rsid w:val="2F3FC6DD"/>
    <w:rsid w:val="2F4A1A49"/>
    <w:rsid w:val="2F4B35C2"/>
    <w:rsid w:val="2F513FE3"/>
    <w:rsid w:val="2F580E6B"/>
    <w:rsid w:val="2F5EA059"/>
    <w:rsid w:val="2F62225D"/>
    <w:rsid w:val="2F65E823"/>
    <w:rsid w:val="2F66A925"/>
    <w:rsid w:val="2F671CAC"/>
    <w:rsid w:val="2F717C72"/>
    <w:rsid w:val="2F7264DF"/>
    <w:rsid w:val="2F7304E8"/>
    <w:rsid w:val="2F74C524"/>
    <w:rsid w:val="2F8322FB"/>
    <w:rsid w:val="2F864FEB"/>
    <w:rsid w:val="2F8651C1"/>
    <w:rsid w:val="2F88D6E0"/>
    <w:rsid w:val="2F8C3553"/>
    <w:rsid w:val="2F933451"/>
    <w:rsid w:val="2F9BF0F2"/>
    <w:rsid w:val="2F9E05FE"/>
    <w:rsid w:val="2FA211EC"/>
    <w:rsid w:val="2FA99022"/>
    <w:rsid w:val="2FAD2602"/>
    <w:rsid w:val="2FAF4AB3"/>
    <w:rsid w:val="2FB1AA4C"/>
    <w:rsid w:val="2FB1E461"/>
    <w:rsid w:val="2FBD2714"/>
    <w:rsid w:val="2FCD7E49"/>
    <w:rsid w:val="2FCDB89A"/>
    <w:rsid w:val="2FD4AF81"/>
    <w:rsid w:val="2FD980B1"/>
    <w:rsid w:val="2FEE5A22"/>
    <w:rsid w:val="2FFF8C2F"/>
    <w:rsid w:val="3001A34B"/>
    <w:rsid w:val="30119C86"/>
    <w:rsid w:val="3013F809"/>
    <w:rsid w:val="302BE909"/>
    <w:rsid w:val="302FF009"/>
    <w:rsid w:val="3030BA23"/>
    <w:rsid w:val="30339971"/>
    <w:rsid w:val="30376FCD"/>
    <w:rsid w:val="3038749A"/>
    <w:rsid w:val="303B11B4"/>
    <w:rsid w:val="303D2A83"/>
    <w:rsid w:val="304659FA"/>
    <w:rsid w:val="304A4D80"/>
    <w:rsid w:val="304DED6E"/>
    <w:rsid w:val="304E3ED2"/>
    <w:rsid w:val="3059ED32"/>
    <w:rsid w:val="3062A4D5"/>
    <w:rsid w:val="3067EFF2"/>
    <w:rsid w:val="306F5CF4"/>
    <w:rsid w:val="307048D9"/>
    <w:rsid w:val="3070E43A"/>
    <w:rsid w:val="307135AD"/>
    <w:rsid w:val="30724DA4"/>
    <w:rsid w:val="30735B8E"/>
    <w:rsid w:val="30744589"/>
    <w:rsid w:val="3077DE37"/>
    <w:rsid w:val="3078035D"/>
    <w:rsid w:val="30783A46"/>
    <w:rsid w:val="30796E83"/>
    <w:rsid w:val="307E6979"/>
    <w:rsid w:val="30818792"/>
    <w:rsid w:val="308E5C43"/>
    <w:rsid w:val="30912625"/>
    <w:rsid w:val="309FC5F8"/>
    <w:rsid w:val="30AA30CA"/>
    <w:rsid w:val="30AA3E3E"/>
    <w:rsid w:val="30AA9608"/>
    <w:rsid w:val="30AC14A4"/>
    <w:rsid w:val="30AF2296"/>
    <w:rsid w:val="30B3E3D6"/>
    <w:rsid w:val="30B81E3D"/>
    <w:rsid w:val="30BA07CF"/>
    <w:rsid w:val="30BA58A0"/>
    <w:rsid w:val="30C7DA7A"/>
    <w:rsid w:val="30D9F017"/>
    <w:rsid w:val="30DCB9DB"/>
    <w:rsid w:val="30E4BC17"/>
    <w:rsid w:val="30EC520E"/>
    <w:rsid w:val="30F05DEA"/>
    <w:rsid w:val="30F082C8"/>
    <w:rsid w:val="30F08A40"/>
    <w:rsid w:val="30F38DEE"/>
    <w:rsid w:val="30F7B775"/>
    <w:rsid w:val="30F860C4"/>
    <w:rsid w:val="30FCA8D7"/>
    <w:rsid w:val="310BABC4"/>
    <w:rsid w:val="310DCBAC"/>
    <w:rsid w:val="310E92BE"/>
    <w:rsid w:val="3116C61B"/>
    <w:rsid w:val="311B9613"/>
    <w:rsid w:val="311E2122"/>
    <w:rsid w:val="31208395"/>
    <w:rsid w:val="3121FFAE"/>
    <w:rsid w:val="312A976C"/>
    <w:rsid w:val="312B2812"/>
    <w:rsid w:val="31310D64"/>
    <w:rsid w:val="3138EC46"/>
    <w:rsid w:val="3144FE93"/>
    <w:rsid w:val="31479BAC"/>
    <w:rsid w:val="314F79E0"/>
    <w:rsid w:val="31512DF2"/>
    <w:rsid w:val="31523C49"/>
    <w:rsid w:val="315CF4D9"/>
    <w:rsid w:val="315DE117"/>
    <w:rsid w:val="315FA3DD"/>
    <w:rsid w:val="3167D9EE"/>
    <w:rsid w:val="31724B28"/>
    <w:rsid w:val="317F945C"/>
    <w:rsid w:val="31835B5C"/>
    <w:rsid w:val="318B0110"/>
    <w:rsid w:val="3197C1A1"/>
    <w:rsid w:val="319A5A5F"/>
    <w:rsid w:val="319AA7B3"/>
    <w:rsid w:val="319E02AE"/>
    <w:rsid w:val="319FFE22"/>
    <w:rsid w:val="31A0898E"/>
    <w:rsid w:val="31A2A0A4"/>
    <w:rsid w:val="31A456C5"/>
    <w:rsid w:val="31A82B4D"/>
    <w:rsid w:val="31AAB21D"/>
    <w:rsid w:val="31B6B047"/>
    <w:rsid w:val="31B92FB9"/>
    <w:rsid w:val="31B9322E"/>
    <w:rsid w:val="31CA8FEE"/>
    <w:rsid w:val="31CED280"/>
    <w:rsid w:val="31D68A32"/>
    <w:rsid w:val="31D846B0"/>
    <w:rsid w:val="31E3B671"/>
    <w:rsid w:val="31E7C1DA"/>
    <w:rsid w:val="31ED06BF"/>
    <w:rsid w:val="31F53AFA"/>
    <w:rsid w:val="31FA62F6"/>
    <w:rsid w:val="31FADA74"/>
    <w:rsid w:val="31FC630F"/>
    <w:rsid w:val="321971DC"/>
    <w:rsid w:val="32274F0E"/>
    <w:rsid w:val="322E3470"/>
    <w:rsid w:val="3232B70E"/>
    <w:rsid w:val="323B008E"/>
    <w:rsid w:val="323EB795"/>
    <w:rsid w:val="324032E9"/>
    <w:rsid w:val="3248A319"/>
    <w:rsid w:val="326329C6"/>
    <w:rsid w:val="32682DD6"/>
    <w:rsid w:val="3269D856"/>
    <w:rsid w:val="326B435D"/>
    <w:rsid w:val="327F15FA"/>
    <w:rsid w:val="327F276E"/>
    <w:rsid w:val="3281B0EC"/>
    <w:rsid w:val="328923D3"/>
    <w:rsid w:val="32894050"/>
    <w:rsid w:val="328A049C"/>
    <w:rsid w:val="328B1517"/>
    <w:rsid w:val="3294DF5A"/>
    <w:rsid w:val="3295B953"/>
    <w:rsid w:val="3298BDA3"/>
    <w:rsid w:val="329C67B0"/>
    <w:rsid w:val="329E800E"/>
    <w:rsid w:val="329F07D4"/>
    <w:rsid w:val="32A0E583"/>
    <w:rsid w:val="32A1EE21"/>
    <w:rsid w:val="32A5BDBD"/>
    <w:rsid w:val="32B2E775"/>
    <w:rsid w:val="32B92310"/>
    <w:rsid w:val="32BA97BC"/>
    <w:rsid w:val="32C05885"/>
    <w:rsid w:val="32D288FF"/>
    <w:rsid w:val="32D4F8B7"/>
    <w:rsid w:val="32DC9747"/>
    <w:rsid w:val="32DCC708"/>
    <w:rsid w:val="32E0F1AF"/>
    <w:rsid w:val="32E30257"/>
    <w:rsid w:val="32E39430"/>
    <w:rsid w:val="32E4124C"/>
    <w:rsid w:val="32E4E621"/>
    <w:rsid w:val="32E4EE25"/>
    <w:rsid w:val="32F1B00E"/>
    <w:rsid w:val="32F2B850"/>
    <w:rsid w:val="32F2CAF0"/>
    <w:rsid w:val="32F8291A"/>
    <w:rsid w:val="32F87F13"/>
    <w:rsid w:val="32F9AED6"/>
    <w:rsid w:val="3300523D"/>
    <w:rsid w:val="3302CD24"/>
    <w:rsid w:val="33086A5F"/>
    <w:rsid w:val="3309B44E"/>
    <w:rsid w:val="3309D062"/>
    <w:rsid w:val="3309E8BC"/>
    <w:rsid w:val="330CC913"/>
    <w:rsid w:val="3314AC98"/>
    <w:rsid w:val="331C5BC7"/>
    <w:rsid w:val="33260860"/>
    <w:rsid w:val="3329C080"/>
    <w:rsid w:val="332F209C"/>
    <w:rsid w:val="333AA651"/>
    <w:rsid w:val="333B7695"/>
    <w:rsid w:val="333EA5AB"/>
    <w:rsid w:val="3345440D"/>
    <w:rsid w:val="334C9A63"/>
    <w:rsid w:val="336086AA"/>
    <w:rsid w:val="33632285"/>
    <w:rsid w:val="336BC532"/>
    <w:rsid w:val="336CF28D"/>
    <w:rsid w:val="336D1015"/>
    <w:rsid w:val="336EB1E4"/>
    <w:rsid w:val="3372E709"/>
    <w:rsid w:val="337440A9"/>
    <w:rsid w:val="3379592C"/>
    <w:rsid w:val="337B884B"/>
    <w:rsid w:val="337D27A2"/>
    <w:rsid w:val="3380ED96"/>
    <w:rsid w:val="3382383B"/>
    <w:rsid w:val="3384B233"/>
    <w:rsid w:val="338A764A"/>
    <w:rsid w:val="338BAF15"/>
    <w:rsid w:val="33955364"/>
    <w:rsid w:val="33A41CAE"/>
    <w:rsid w:val="33B07B90"/>
    <w:rsid w:val="33B22BB4"/>
    <w:rsid w:val="33B32846"/>
    <w:rsid w:val="33B4E3A2"/>
    <w:rsid w:val="33BEA764"/>
    <w:rsid w:val="33D207F6"/>
    <w:rsid w:val="33D4C021"/>
    <w:rsid w:val="33D765E2"/>
    <w:rsid w:val="33E02DEE"/>
    <w:rsid w:val="33E03376"/>
    <w:rsid w:val="33E4C548"/>
    <w:rsid w:val="33E95012"/>
    <w:rsid w:val="33EA001A"/>
    <w:rsid w:val="33ECAF25"/>
    <w:rsid w:val="33F2D0E7"/>
    <w:rsid w:val="33F6CF82"/>
    <w:rsid w:val="33FDA781"/>
    <w:rsid w:val="340A8475"/>
    <w:rsid w:val="340EA499"/>
    <w:rsid w:val="34151B5F"/>
    <w:rsid w:val="34186DD8"/>
    <w:rsid w:val="341B9597"/>
    <w:rsid w:val="342048B8"/>
    <w:rsid w:val="342653C7"/>
    <w:rsid w:val="34283578"/>
    <w:rsid w:val="34301DA9"/>
    <w:rsid w:val="3430F31F"/>
    <w:rsid w:val="3435A582"/>
    <w:rsid w:val="343A51FA"/>
    <w:rsid w:val="343FC2FA"/>
    <w:rsid w:val="34428507"/>
    <w:rsid w:val="344AC282"/>
    <w:rsid w:val="3464DEA5"/>
    <w:rsid w:val="346BC1A5"/>
    <w:rsid w:val="34769191"/>
    <w:rsid w:val="34780F46"/>
    <w:rsid w:val="34829030"/>
    <w:rsid w:val="348F72BD"/>
    <w:rsid w:val="349295E7"/>
    <w:rsid w:val="3496337C"/>
    <w:rsid w:val="349B511B"/>
    <w:rsid w:val="349D1323"/>
    <w:rsid w:val="34A4DD19"/>
    <w:rsid w:val="34A8EEA6"/>
    <w:rsid w:val="34B1F8C8"/>
    <w:rsid w:val="34B510F0"/>
    <w:rsid w:val="34B60D0F"/>
    <w:rsid w:val="34BB660C"/>
    <w:rsid w:val="34BD7D83"/>
    <w:rsid w:val="34C2DA64"/>
    <w:rsid w:val="34C338BA"/>
    <w:rsid w:val="34C6E0B7"/>
    <w:rsid w:val="34C88ECE"/>
    <w:rsid w:val="34D0D6A8"/>
    <w:rsid w:val="34D3D82B"/>
    <w:rsid w:val="34E45F6E"/>
    <w:rsid w:val="34E56220"/>
    <w:rsid w:val="34E82547"/>
    <w:rsid w:val="34F21C87"/>
    <w:rsid w:val="34FAA41D"/>
    <w:rsid w:val="34FE2F6D"/>
    <w:rsid w:val="34FF1DCD"/>
    <w:rsid w:val="35004AD5"/>
    <w:rsid w:val="3504EA5F"/>
    <w:rsid w:val="350DC7D4"/>
    <w:rsid w:val="35107611"/>
    <w:rsid w:val="3519A1D3"/>
    <w:rsid w:val="351F25FA"/>
    <w:rsid w:val="3523E136"/>
    <w:rsid w:val="352ACC39"/>
    <w:rsid w:val="352F8465"/>
    <w:rsid w:val="3544EDC0"/>
    <w:rsid w:val="354A20E2"/>
    <w:rsid w:val="354EF8A7"/>
    <w:rsid w:val="355205F7"/>
    <w:rsid w:val="3559A941"/>
    <w:rsid w:val="3561CD19"/>
    <w:rsid w:val="3561E1D5"/>
    <w:rsid w:val="35679549"/>
    <w:rsid w:val="356ABD0E"/>
    <w:rsid w:val="356E19DE"/>
    <w:rsid w:val="356EB475"/>
    <w:rsid w:val="35742B86"/>
    <w:rsid w:val="3575AF43"/>
    <w:rsid w:val="3576B815"/>
    <w:rsid w:val="3576CE4D"/>
    <w:rsid w:val="35802ED2"/>
    <w:rsid w:val="3587A0D5"/>
    <w:rsid w:val="358CDA85"/>
    <w:rsid w:val="35957418"/>
    <w:rsid w:val="359AE04C"/>
    <w:rsid w:val="35A23610"/>
    <w:rsid w:val="35A32667"/>
    <w:rsid w:val="35A39B06"/>
    <w:rsid w:val="35A7E1F8"/>
    <w:rsid w:val="35AAE761"/>
    <w:rsid w:val="35AD6153"/>
    <w:rsid w:val="35BCEBFD"/>
    <w:rsid w:val="35C1FB45"/>
    <w:rsid w:val="35CD99A9"/>
    <w:rsid w:val="35D08BDB"/>
    <w:rsid w:val="35E38F59"/>
    <w:rsid w:val="35EC4209"/>
    <w:rsid w:val="35EDFCD8"/>
    <w:rsid w:val="35F09C10"/>
    <w:rsid w:val="35FED8A0"/>
    <w:rsid w:val="360D15CC"/>
    <w:rsid w:val="36102733"/>
    <w:rsid w:val="36163D39"/>
    <w:rsid w:val="3619FB3B"/>
    <w:rsid w:val="361C18BE"/>
    <w:rsid w:val="361E50A3"/>
    <w:rsid w:val="362C6E77"/>
    <w:rsid w:val="3631DE34"/>
    <w:rsid w:val="363614FC"/>
    <w:rsid w:val="3636C244"/>
    <w:rsid w:val="363EDBB1"/>
    <w:rsid w:val="363F1523"/>
    <w:rsid w:val="36428809"/>
    <w:rsid w:val="36465F16"/>
    <w:rsid w:val="364C2B8F"/>
    <w:rsid w:val="365119F9"/>
    <w:rsid w:val="36549A72"/>
    <w:rsid w:val="36576B1B"/>
    <w:rsid w:val="365D58C1"/>
    <w:rsid w:val="36648C61"/>
    <w:rsid w:val="3668B73A"/>
    <w:rsid w:val="3669E85B"/>
    <w:rsid w:val="367E675C"/>
    <w:rsid w:val="3686A4AC"/>
    <w:rsid w:val="3691B3F8"/>
    <w:rsid w:val="3693383B"/>
    <w:rsid w:val="369361D7"/>
    <w:rsid w:val="36941421"/>
    <w:rsid w:val="3695C0E8"/>
    <w:rsid w:val="369AEB34"/>
    <w:rsid w:val="369EE6F8"/>
    <w:rsid w:val="36A2E469"/>
    <w:rsid w:val="36A6892D"/>
    <w:rsid w:val="36A9DBD6"/>
    <w:rsid w:val="36AC319E"/>
    <w:rsid w:val="36ACFE37"/>
    <w:rsid w:val="36C309A8"/>
    <w:rsid w:val="36C3BDD8"/>
    <w:rsid w:val="36D78F8B"/>
    <w:rsid w:val="36E0364F"/>
    <w:rsid w:val="36E74F2F"/>
    <w:rsid w:val="36ECB8AA"/>
    <w:rsid w:val="36F2149B"/>
    <w:rsid w:val="36F38DF3"/>
    <w:rsid w:val="36F534DC"/>
    <w:rsid w:val="36F5A4A3"/>
    <w:rsid w:val="36F5B6A8"/>
    <w:rsid w:val="36FB6C37"/>
    <w:rsid w:val="370042C2"/>
    <w:rsid w:val="37012D97"/>
    <w:rsid w:val="3704B7F9"/>
    <w:rsid w:val="37057D1F"/>
    <w:rsid w:val="370C32B7"/>
    <w:rsid w:val="370EB8BD"/>
    <w:rsid w:val="37101A56"/>
    <w:rsid w:val="3716A9A8"/>
    <w:rsid w:val="3719101E"/>
    <w:rsid w:val="371B2F21"/>
    <w:rsid w:val="37229B1F"/>
    <w:rsid w:val="372EBADD"/>
    <w:rsid w:val="372EE86A"/>
    <w:rsid w:val="3733FE86"/>
    <w:rsid w:val="3735400C"/>
    <w:rsid w:val="373BAE20"/>
    <w:rsid w:val="37402284"/>
    <w:rsid w:val="374090B9"/>
    <w:rsid w:val="3740F050"/>
    <w:rsid w:val="3742A073"/>
    <w:rsid w:val="3747E09F"/>
    <w:rsid w:val="374A322A"/>
    <w:rsid w:val="3757D895"/>
    <w:rsid w:val="3758746A"/>
    <w:rsid w:val="3759C534"/>
    <w:rsid w:val="375BE3A7"/>
    <w:rsid w:val="375C4842"/>
    <w:rsid w:val="375D06B8"/>
    <w:rsid w:val="37659E53"/>
    <w:rsid w:val="3768F9A1"/>
    <w:rsid w:val="3772DD3A"/>
    <w:rsid w:val="377A4B5B"/>
    <w:rsid w:val="37805911"/>
    <w:rsid w:val="3792EAE2"/>
    <w:rsid w:val="3796359D"/>
    <w:rsid w:val="3797A981"/>
    <w:rsid w:val="379AB194"/>
    <w:rsid w:val="37A6F90B"/>
    <w:rsid w:val="37AB9495"/>
    <w:rsid w:val="37ACB0BB"/>
    <w:rsid w:val="37B3A142"/>
    <w:rsid w:val="37BA0C64"/>
    <w:rsid w:val="37BAA835"/>
    <w:rsid w:val="37C02A46"/>
    <w:rsid w:val="37C23A5A"/>
    <w:rsid w:val="37CB351A"/>
    <w:rsid w:val="37CB8EE1"/>
    <w:rsid w:val="37D1C7F3"/>
    <w:rsid w:val="37D5E538"/>
    <w:rsid w:val="37DB2DDF"/>
    <w:rsid w:val="37E15042"/>
    <w:rsid w:val="37E80132"/>
    <w:rsid w:val="37E89FFE"/>
    <w:rsid w:val="37EDFD3E"/>
    <w:rsid w:val="37EEDD87"/>
    <w:rsid w:val="37F9CB57"/>
    <w:rsid w:val="37FC496C"/>
    <w:rsid w:val="37FD1353"/>
    <w:rsid w:val="3801E89D"/>
    <w:rsid w:val="3804AD88"/>
    <w:rsid w:val="38083AB2"/>
    <w:rsid w:val="3812F09E"/>
    <w:rsid w:val="3814976A"/>
    <w:rsid w:val="381560B0"/>
    <w:rsid w:val="3817E009"/>
    <w:rsid w:val="381AAB53"/>
    <w:rsid w:val="381D2B6C"/>
    <w:rsid w:val="3827B1FB"/>
    <w:rsid w:val="382DC996"/>
    <w:rsid w:val="38368D1C"/>
    <w:rsid w:val="38426B28"/>
    <w:rsid w:val="38429609"/>
    <w:rsid w:val="38495941"/>
    <w:rsid w:val="384A33C5"/>
    <w:rsid w:val="384E334B"/>
    <w:rsid w:val="3852F597"/>
    <w:rsid w:val="385FDD95"/>
    <w:rsid w:val="38651068"/>
    <w:rsid w:val="386531E8"/>
    <w:rsid w:val="387A96A3"/>
    <w:rsid w:val="387C93DD"/>
    <w:rsid w:val="387DFAA1"/>
    <w:rsid w:val="3880F287"/>
    <w:rsid w:val="38815D9A"/>
    <w:rsid w:val="38862F8A"/>
    <w:rsid w:val="38866D1F"/>
    <w:rsid w:val="388A68D0"/>
    <w:rsid w:val="388BB3C2"/>
    <w:rsid w:val="388FD26E"/>
    <w:rsid w:val="389371AD"/>
    <w:rsid w:val="38984932"/>
    <w:rsid w:val="389FB038"/>
    <w:rsid w:val="38A084DC"/>
    <w:rsid w:val="38B057D7"/>
    <w:rsid w:val="38B072B7"/>
    <w:rsid w:val="38B26AE1"/>
    <w:rsid w:val="38C25122"/>
    <w:rsid w:val="38C5DA99"/>
    <w:rsid w:val="38CA3EA3"/>
    <w:rsid w:val="38CF91DD"/>
    <w:rsid w:val="38DAC544"/>
    <w:rsid w:val="38DFAA5C"/>
    <w:rsid w:val="38E0E372"/>
    <w:rsid w:val="38E1CDA6"/>
    <w:rsid w:val="38E39D53"/>
    <w:rsid w:val="38E78D3F"/>
    <w:rsid w:val="38F0BD8E"/>
    <w:rsid w:val="38F471BD"/>
    <w:rsid w:val="38F4C466"/>
    <w:rsid w:val="390579CF"/>
    <w:rsid w:val="3906E31A"/>
    <w:rsid w:val="390B721C"/>
    <w:rsid w:val="3910E37B"/>
    <w:rsid w:val="3919B8B6"/>
    <w:rsid w:val="39217CE5"/>
    <w:rsid w:val="39219423"/>
    <w:rsid w:val="3921A257"/>
    <w:rsid w:val="393769BD"/>
    <w:rsid w:val="3939C19C"/>
    <w:rsid w:val="3939C29E"/>
    <w:rsid w:val="394BBB66"/>
    <w:rsid w:val="39640217"/>
    <w:rsid w:val="3965DE0D"/>
    <w:rsid w:val="39660CEE"/>
    <w:rsid w:val="396E77F2"/>
    <w:rsid w:val="3978CC65"/>
    <w:rsid w:val="3986FE17"/>
    <w:rsid w:val="3987ACB6"/>
    <w:rsid w:val="399232A8"/>
    <w:rsid w:val="3996C7CF"/>
    <w:rsid w:val="39990775"/>
    <w:rsid w:val="399CDEB3"/>
    <w:rsid w:val="399FDF09"/>
    <w:rsid w:val="39A1779F"/>
    <w:rsid w:val="39A39F28"/>
    <w:rsid w:val="39A6F8DD"/>
    <w:rsid w:val="39A7C7A1"/>
    <w:rsid w:val="39AF7FCB"/>
    <w:rsid w:val="39C38746"/>
    <w:rsid w:val="39CA5634"/>
    <w:rsid w:val="39DAE11F"/>
    <w:rsid w:val="39DB6EFD"/>
    <w:rsid w:val="39E1B244"/>
    <w:rsid w:val="39E6FBF8"/>
    <w:rsid w:val="39E97904"/>
    <w:rsid w:val="39ED38EF"/>
    <w:rsid w:val="39F5C0FB"/>
    <w:rsid w:val="39F6853E"/>
    <w:rsid w:val="39FA1E90"/>
    <w:rsid w:val="39FCE01C"/>
    <w:rsid w:val="3A050536"/>
    <w:rsid w:val="3A05EC59"/>
    <w:rsid w:val="3A0DBC88"/>
    <w:rsid w:val="3A0E0AAA"/>
    <w:rsid w:val="3A0F5D70"/>
    <w:rsid w:val="3A0FA37A"/>
    <w:rsid w:val="3A1D8D45"/>
    <w:rsid w:val="3A1F14B6"/>
    <w:rsid w:val="3A2A65E6"/>
    <w:rsid w:val="3A37A719"/>
    <w:rsid w:val="3A3F9CB0"/>
    <w:rsid w:val="3A41C449"/>
    <w:rsid w:val="3A449B3A"/>
    <w:rsid w:val="3A49AB94"/>
    <w:rsid w:val="3A599D37"/>
    <w:rsid w:val="3A5C968F"/>
    <w:rsid w:val="3A5FAE81"/>
    <w:rsid w:val="3A651087"/>
    <w:rsid w:val="3A696374"/>
    <w:rsid w:val="3A773C43"/>
    <w:rsid w:val="3A7962DC"/>
    <w:rsid w:val="3A7A4135"/>
    <w:rsid w:val="3A866D9D"/>
    <w:rsid w:val="3A96CF03"/>
    <w:rsid w:val="3AAF9578"/>
    <w:rsid w:val="3AB307B9"/>
    <w:rsid w:val="3AB4D2B5"/>
    <w:rsid w:val="3AB631D9"/>
    <w:rsid w:val="3ABE0CF2"/>
    <w:rsid w:val="3AC53BC7"/>
    <w:rsid w:val="3AC6D829"/>
    <w:rsid w:val="3ACC3377"/>
    <w:rsid w:val="3ACDDAF3"/>
    <w:rsid w:val="3AD32854"/>
    <w:rsid w:val="3AD60D20"/>
    <w:rsid w:val="3ADDC7EE"/>
    <w:rsid w:val="3AEE1D86"/>
    <w:rsid w:val="3AF46B8B"/>
    <w:rsid w:val="3AF68649"/>
    <w:rsid w:val="3AF8F8A6"/>
    <w:rsid w:val="3AFEB76E"/>
    <w:rsid w:val="3B056858"/>
    <w:rsid w:val="3B133509"/>
    <w:rsid w:val="3B1959B7"/>
    <w:rsid w:val="3B1D7A6E"/>
    <w:rsid w:val="3B1FDDF1"/>
    <w:rsid w:val="3B241101"/>
    <w:rsid w:val="3B2FDBE1"/>
    <w:rsid w:val="3B3322DA"/>
    <w:rsid w:val="3B403695"/>
    <w:rsid w:val="3B41F1F9"/>
    <w:rsid w:val="3B475D0F"/>
    <w:rsid w:val="3B4DA77B"/>
    <w:rsid w:val="3B566BD7"/>
    <w:rsid w:val="3B57F4B6"/>
    <w:rsid w:val="3B60C6A3"/>
    <w:rsid w:val="3B66A4FB"/>
    <w:rsid w:val="3B7012D3"/>
    <w:rsid w:val="3B70C476"/>
    <w:rsid w:val="3B71DF6D"/>
    <w:rsid w:val="3B750734"/>
    <w:rsid w:val="3B7FF406"/>
    <w:rsid w:val="3B8043B4"/>
    <w:rsid w:val="3B84D93D"/>
    <w:rsid w:val="3B88C5F5"/>
    <w:rsid w:val="3B8CB03C"/>
    <w:rsid w:val="3B8E3C71"/>
    <w:rsid w:val="3B900BF2"/>
    <w:rsid w:val="3BA3178E"/>
    <w:rsid w:val="3BB53821"/>
    <w:rsid w:val="3BB8A2A4"/>
    <w:rsid w:val="3BB9E954"/>
    <w:rsid w:val="3BC5F39B"/>
    <w:rsid w:val="3BD12485"/>
    <w:rsid w:val="3BD19150"/>
    <w:rsid w:val="3BD3F019"/>
    <w:rsid w:val="3BD431BA"/>
    <w:rsid w:val="3BD5750C"/>
    <w:rsid w:val="3BDF6E5B"/>
    <w:rsid w:val="3BE0FCC5"/>
    <w:rsid w:val="3BE1BE2B"/>
    <w:rsid w:val="3BEA374F"/>
    <w:rsid w:val="3BEA4816"/>
    <w:rsid w:val="3BFB87DC"/>
    <w:rsid w:val="3C030D73"/>
    <w:rsid w:val="3C034328"/>
    <w:rsid w:val="3C0A6203"/>
    <w:rsid w:val="3C14B8FE"/>
    <w:rsid w:val="3C162478"/>
    <w:rsid w:val="3C169226"/>
    <w:rsid w:val="3C16B1A4"/>
    <w:rsid w:val="3C182A97"/>
    <w:rsid w:val="3C194530"/>
    <w:rsid w:val="3C1A7CEE"/>
    <w:rsid w:val="3C21F7A5"/>
    <w:rsid w:val="3C243B9C"/>
    <w:rsid w:val="3C252D27"/>
    <w:rsid w:val="3C261B47"/>
    <w:rsid w:val="3C2AB506"/>
    <w:rsid w:val="3C2C82D7"/>
    <w:rsid w:val="3C2DA268"/>
    <w:rsid w:val="3C37F09A"/>
    <w:rsid w:val="3C3D17CE"/>
    <w:rsid w:val="3C50D3B8"/>
    <w:rsid w:val="3C527E31"/>
    <w:rsid w:val="3C545A22"/>
    <w:rsid w:val="3C5495B3"/>
    <w:rsid w:val="3C593971"/>
    <w:rsid w:val="3C5EBB74"/>
    <w:rsid w:val="3C5F216A"/>
    <w:rsid w:val="3C78B7DE"/>
    <w:rsid w:val="3C7C44F9"/>
    <w:rsid w:val="3C93E0CC"/>
    <w:rsid w:val="3C95B323"/>
    <w:rsid w:val="3C96EA31"/>
    <w:rsid w:val="3C9EDD7A"/>
    <w:rsid w:val="3C9F043C"/>
    <w:rsid w:val="3CAA98FD"/>
    <w:rsid w:val="3CACAF5A"/>
    <w:rsid w:val="3CB3D7F2"/>
    <w:rsid w:val="3CBFE4B3"/>
    <w:rsid w:val="3CCA052B"/>
    <w:rsid w:val="3CCA4157"/>
    <w:rsid w:val="3CCAB381"/>
    <w:rsid w:val="3CCB22C5"/>
    <w:rsid w:val="3CCEA555"/>
    <w:rsid w:val="3CCEAB42"/>
    <w:rsid w:val="3CD6EC2F"/>
    <w:rsid w:val="3CDB00E2"/>
    <w:rsid w:val="3CDF5DE4"/>
    <w:rsid w:val="3CE400B1"/>
    <w:rsid w:val="3CE83052"/>
    <w:rsid w:val="3CE977DC"/>
    <w:rsid w:val="3CF743F2"/>
    <w:rsid w:val="3CFA94A9"/>
    <w:rsid w:val="3D0478D4"/>
    <w:rsid w:val="3D07340B"/>
    <w:rsid w:val="3D0AB6CA"/>
    <w:rsid w:val="3D1196DF"/>
    <w:rsid w:val="3D1986DA"/>
    <w:rsid w:val="3D1BB438"/>
    <w:rsid w:val="3D1BC80F"/>
    <w:rsid w:val="3D208DE7"/>
    <w:rsid w:val="3D23902E"/>
    <w:rsid w:val="3D290045"/>
    <w:rsid w:val="3D2F56DA"/>
    <w:rsid w:val="3D2FB275"/>
    <w:rsid w:val="3D302012"/>
    <w:rsid w:val="3D327BED"/>
    <w:rsid w:val="3D341405"/>
    <w:rsid w:val="3D34AAF5"/>
    <w:rsid w:val="3D3A4A01"/>
    <w:rsid w:val="3D4EFFC1"/>
    <w:rsid w:val="3D505776"/>
    <w:rsid w:val="3D543CDB"/>
    <w:rsid w:val="3D5C2068"/>
    <w:rsid w:val="3D6BE5CA"/>
    <w:rsid w:val="3D759414"/>
    <w:rsid w:val="3D760C6F"/>
    <w:rsid w:val="3D79C254"/>
    <w:rsid w:val="3D8593C6"/>
    <w:rsid w:val="3D86B6AF"/>
    <w:rsid w:val="3DA14D56"/>
    <w:rsid w:val="3DA1DADD"/>
    <w:rsid w:val="3DAB25FA"/>
    <w:rsid w:val="3DC45F91"/>
    <w:rsid w:val="3DD0E37A"/>
    <w:rsid w:val="3DD4D63A"/>
    <w:rsid w:val="3DD66FD7"/>
    <w:rsid w:val="3DD835BB"/>
    <w:rsid w:val="3DDD0FCB"/>
    <w:rsid w:val="3DE3DE1F"/>
    <w:rsid w:val="3DE6C09F"/>
    <w:rsid w:val="3DE7B121"/>
    <w:rsid w:val="3DECFBB8"/>
    <w:rsid w:val="3DFF5002"/>
    <w:rsid w:val="3E0D5C13"/>
    <w:rsid w:val="3E0F9309"/>
    <w:rsid w:val="3E116F0A"/>
    <w:rsid w:val="3E12812E"/>
    <w:rsid w:val="3E1827B1"/>
    <w:rsid w:val="3E1D1639"/>
    <w:rsid w:val="3E1D94BF"/>
    <w:rsid w:val="3E1D9829"/>
    <w:rsid w:val="3E1F8F7B"/>
    <w:rsid w:val="3E2E417F"/>
    <w:rsid w:val="3E362999"/>
    <w:rsid w:val="3E3A37EA"/>
    <w:rsid w:val="3E3D9959"/>
    <w:rsid w:val="3E3EAEDE"/>
    <w:rsid w:val="3E437624"/>
    <w:rsid w:val="3E46CFB1"/>
    <w:rsid w:val="3E4BA14B"/>
    <w:rsid w:val="3E54BF44"/>
    <w:rsid w:val="3E683EC2"/>
    <w:rsid w:val="3E6B54BA"/>
    <w:rsid w:val="3E704195"/>
    <w:rsid w:val="3E7398BF"/>
    <w:rsid w:val="3E79DDF3"/>
    <w:rsid w:val="3E7F36ED"/>
    <w:rsid w:val="3E7F7A6F"/>
    <w:rsid w:val="3E8B462F"/>
    <w:rsid w:val="3E92A38A"/>
    <w:rsid w:val="3E961E38"/>
    <w:rsid w:val="3E9A4BFB"/>
    <w:rsid w:val="3EAD24D9"/>
    <w:rsid w:val="3EB191D6"/>
    <w:rsid w:val="3EB5E889"/>
    <w:rsid w:val="3EB9B4ED"/>
    <w:rsid w:val="3EBE1D03"/>
    <w:rsid w:val="3EC31488"/>
    <w:rsid w:val="3ECD4FEC"/>
    <w:rsid w:val="3ED82385"/>
    <w:rsid w:val="3EDE6C85"/>
    <w:rsid w:val="3EE2C967"/>
    <w:rsid w:val="3EE32EA2"/>
    <w:rsid w:val="3EE51089"/>
    <w:rsid w:val="3EE639EB"/>
    <w:rsid w:val="3EE97781"/>
    <w:rsid w:val="3EEA0904"/>
    <w:rsid w:val="3EEA3CCB"/>
    <w:rsid w:val="3F0E947C"/>
    <w:rsid w:val="3F10AA3B"/>
    <w:rsid w:val="3F146BDC"/>
    <w:rsid w:val="3F15FF95"/>
    <w:rsid w:val="3F208FC3"/>
    <w:rsid w:val="3F213816"/>
    <w:rsid w:val="3F219434"/>
    <w:rsid w:val="3F22E7F2"/>
    <w:rsid w:val="3F2ED8AA"/>
    <w:rsid w:val="3F3071C6"/>
    <w:rsid w:val="3F37F4C3"/>
    <w:rsid w:val="3F42C364"/>
    <w:rsid w:val="3F449D8F"/>
    <w:rsid w:val="3F49F909"/>
    <w:rsid w:val="3F4B91E1"/>
    <w:rsid w:val="3F53FA69"/>
    <w:rsid w:val="3F55CE8A"/>
    <w:rsid w:val="3F6CB24D"/>
    <w:rsid w:val="3F6FFC5B"/>
    <w:rsid w:val="3F725546"/>
    <w:rsid w:val="3F7286E3"/>
    <w:rsid w:val="3F786C55"/>
    <w:rsid w:val="3F79227B"/>
    <w:rsid w:val="3F7FCA52"/>
    <w:rsid w:val="3F8117DC"/>
    <w:rsid w:val="3F83DE65"/>
    <w:rsid w:val="3F843892"/>
    <w:rsid w:val="3F85CA27"/>
    <w:rsid w:val="3F88F940"/>
    <w:rsid w:val="3F9E8993"/>
    <w:rsid w:val="3FA077AE"/>
    <w:rsid w:val="3FAC4D8F"/>
    <w:rsid w:val="3FC0B306"/>
    <w:rsid w:val="3FC3FE02"/>
    <w:rsid w:val="3FC4077F"/>
    <w:rsid w:val="3FC55471"/>
    <w:rsid w:val="3FCDADA5"/>
    <w:rsid w:val="3FCFCE1C"/>
    <w:rsid w:val="3FD02F40"/>
    <w:rsid w:val="3FD485BB"/>
    <w:rsid w:val="3FDE4869"/>
    <w:rsid w:val="3FE5193D"/>
    <w:rsid w:val="3FE6F1F5"/>
    <w:rsid w:val="3FEEB6E4"/>
    <w:rsid w:val="3FEF630E"/>
    <w:rsid w:val="3FF4CD74"/>
    <w:rsid w:val="3FFDE527"/>
    <w:rsid w:val="40072D0E"/>
    <w:rsid w:val="4008EC1B"/>
    <w:rsid w:val="400D2A51"/>
    <w:rsid w:val="401D9097"/>
    <w:rsid w:val="4020CB42"/>
    <w:rsid w:val="402512A9"/>
    <w:rsid w:val="40286C6C"/>
    <w:rsid w:val="402A31F5"/>
    <w:rsid w:val="402A61AB"/>
    <w:rsid w:val="402BCBDD"/>
    <w:rsid w:val="40307AE2"/>
    <w:rsid w:val="4030E324"/>
    <w:rsid w:val="40348AFC"/>
    <w:rsid w:val="4038B826"/>
    <w:rsid w:val="403B77DF"/>
    <w:rsid w:val="40401C20"/>
    <w:rsid w:val="404254F8"/>
    <w:rsid w:val="4047415F"/>
    <w:rsid w:val="40497206"/>
    <w:rsid w:val="404A68FE"/>
    <w:rsid w:val="404E7019"/>
    <w:rsid w:val="406428C4"/>
    <w:rsid w:val="40749C17"/>
    <w:rsid w:val="407A4E7A"/>
    <w:rsid w:val="407AE779"/>
    <w:rsid w:val="4084B42D"/>
    <w:rsid w:val="408DC4AD"/>
    <w:rsid w:val="4096EF7A"/>
    <w:rsid w:val="40A0F217"/>
    <w:rsid w:val="40A30F35"/>
    <w:rsid w:val="40A33311"/>
    <w:rsid w:val="40A4F907"/>
    <w:rsid w:val="40AEF649"/>
    <w:rsid w:val="40BCE0BF"/>
    <w:rsid w:val="40BDB21D"/>
    <w:rsid w:val="40BEF406"/>
    <w:rsid w:val="40C32C7A"/>
    <w:rsid w:val="40C82CB8"/>
    <w:rsid w:val="40CC5F73"/>
    <w:rsid w:val="40CE2647"/>
    <w:rsid w:val="40CF0FC1"/>
    <w:rsid w:val="40D5669F"/>
    <w:rsid w:val="40D5C6D0"/>
    <w:rsid w:val="40D84191"/>
    <w:rsid w:val="40DB1F99"/>
    <w:rsid w:val="40DBDE4F"/>
    <w:rsid w:val="40DFB03F"/>
    <w:rsid w:val="40E59D2D"/>
    <w:rsid w:val="40E7B27A"/>
    <w:rsid w:val="40EDD679"/>
    <w:rsid w:val="40F0E78F"/>
    <w:rsid w:val="40F51686"/>
    <w:rsid w:val="40F892FE"/>
    <w:rsid w:val="40FA6EB3"/>
    <w:rsid w:val="41012122"/>
    <w:rsid w:val="41055862"/>
    <w:rsid w:val="4106698A"/>
    <w:rsid w:val="4109FE2F"/>
    <w:rsid w:val="410EE996"/>
    <w:rsid w:val="4110CCB5"/>
    <w:rsid w:val="41175BF8"/>
    <w:rsid w:val="41183D2B"/>
    <w:rsid w:val="411CA09D"/>
    <w:rsid w:val="411D6AE9"/>
    <w:rsid w:val="41265953"/>
    <w:rsid w:val="413B5EB6"/>
    <w:rsid w:val="41411DAD"/>
    <w:rsid w:val="414285C9"/>
    <w:rsid w:val="41453E4E"/>
    <w:rsid w:val="414A48DE"/>
    <w:rsid w:val="414FC873"/>
    <w:rsid w:val="41571F0A"/>
    <w:rsid w:val="41668E33"/>
    <w:rsid w:val="41669676"/>
    <w:rsid w:val="416B7DBB"/>
    <w:rsid w:val="416EEC8C"/>
    <w:rsid w:val="416F723D"/>
    <w:rsid w:val="41781492"/>
    <w:rsid w:val="417A09FB"/>
    <w:rsid w:val="417FC8EE"/>
    <w:rsid w:val="4182C5B6"/>
    <w:rsid w:val="4183C041"/>
    <w:rsid w:val="418F242E"/>
    <w:rsid w:val="419166CE"/>
    <w:rsid w:val="41958ADB"/>
    <w:rsid w:val="4197BBEA"/>
    <w:rsid w:val="41982BDF"/>
    <w:rsid w:val="4199B7AA"/>
    <w:rsid w:val="419AFFBB"/>
    <w:rsid w:val="41A35A68"/>
    <w:rsid w:val="41A6AFAB"/>
    <w:rsid w:val="41A77570"/>
    <w:rsid w:val="41B235B1"/>
    <w:rsid w:val="41B5A9A5"/>
    <w:rsid w:val="41B81C3F"/>
    <w:rsid w:val="41BCE8FF"/>
    <w:rsid w:val="41BD9FE5"/>
    <w:rsid w:val="41BDB60E"/>
    <w:rsid w:val="41BE8186"/>
    <w:rsid w:val="41BF1990"/>
    <w:rsid w:val="41D6B224"/>
    <w:rsid w:val="41D91936"/>
    <w:rsid w:val="41E0101C"/>
    <w:rsid w:val="41E23E92"/>
    <w:rsid w:val="41E859DA"/>
    <w:rsid w:val="41ECF582"/>
    <w:rsid w:val="41F18D7F"/>
    <w:rsid w:val="41F3912D"/>
    <w:rsid w:val="41F61037"/>
    <w:rsid w:val="41F776FE"/>
    <w:rsid w:val="41F83681"/>
    <w:rsid w:val="41FAC490"/>
    <w:rsid w:val="41FD8002"/>
    <w:rsid w:val="4200DABA"/>
    <w:rsid w:val="42010195"/>
    <w:rsid w:val="420B03FB"/>
    <w:rsid w:val="420C2541"/>
    <w:rsid w:val="4212BC9B"/>
    <w:rsid w:val="42217AE8"/>
    <w:rsid w:val="42221B68"/>
    <w:rsid w:val="422BE201"/>
    <w:rsid w:val="42321F29"/>
    <w:rsid w:val="423921CD"/>
    <w:rsid w:val="425FEB06"/>
    <w:rsid w:val="42610926"/>
    <w:rsid w:val="428933A2"/>
    <w:rsid w:val="428FC60B"/>
    <w:rsid w:val="42923C43"/>
    <w:rsid w:val="4294E1E4"/>
    <w:rsid w:val="429A285D"/>
    <w:rsid w:val="42A8E5E2"/>
    <w:rsid w:val="42B07C95"/>
    <w:rsid w:val="42B8AB53"/>
    <w:rsid w:val="42C3C8DC"/>
    <w:rsid w:val="42C9ADD5"/>
    <w:rsid w:val="42CCED77"/>
    <w:rsid w:val="42DB98AE"/>
    <w:rsid w:val="42DD5780"/>
    <w:rsid w:val="42E160D7"/>
    <w:rsid w:val="42E1663E"/>
    <w:rsid w:val="42E8EE04"/>
    <w:rsid w:val="42EC5B10"/>
    <w:rsid w:val="42EFAA9C"/>
    <w:rsid w:val="42F31F30"/>
    <w:rsid w:val="42F52B46"/>
    <w:rsid w:val="42F6A01D"/>
    <w:rsid w:val="42FFD95B"/>
    <w:rsid w:val="4306D96D"/>
    <w:rsid w:val="430B46B9"/>
    <w:rsid w:val="430E9E6B"/>
    <w:rsid w:val="4312DD5E"/>
    <w:rsid w:val="4315A484"/>
    <w:rsid w:val="4316B54D"/>
    <w:rsid w:val="431ECAFF"/>
    <w:rsid w:val="4321AF06"/>
    <w:rsid w:val="43229266"/>
    <w:rsid w:val="4323A846"/>
    <w:rsid w:val="4323ED19"/>
    <w:rsid w:val="43254F3F"/>
    <w:rsid w:val="432F10E2"/>
    <w:rsid w:val="432FCC2C"/>
    <w:rsid w:val="433123F0"/>
    <w:rsid w:val="4332DB12"/>
    <w:rsid w:val="43350671"/>
    <w:rsid w:val="43370268"/>
    <w:rsid w:val="433F469B"/>
    <w:rsid w:val="4345883B"/>
    <w:rsid w:val="4346BF1E"/>
    <w:rsid w:val="435078A8"/>
    <w:rsid w:val="43591F72"/>
    <w:rsid w:val="43597A56"/>
    <w:rsid w:val="4360FA05"/>
    <w:rsid w:val="4361798F"/>
    <w:rsid w:val="4362182B"/>
    <w:rsid w:val="4364333A"/>
    <w:rsid w:val="43686D58"/>
    <w:rsid w:val="436C60CC"/>
    <w:rsid w:val="436D0798"/>
    <w:rsid w:val="4370FF2E"/>
    <w:rsid w:val="43755EA0"/>
    <w:rsid w:val="4377E0CC"/>
    <w:rsid w:val="437A70E3"/>
    <w:rsid w:val="437CBCD0"/>
    <w:rsid w:val="437FBC87"/>
    <w:rsid w:val="438460D7"/>
    <w:rsid w:val="438E3F3A"/>
    <w:rsid w:val="4398D562"/>
    <w:rsid w:val="439EEB96"/>
    <w:rsid w:val="43A11589"/>
    <w:rsid w:val="43A62501"/>
    <w:rsid w:val="43A8A2B9"/>
    <w:rsid w:val="43AA5648"/>
    <w:rsid w:val="43AD9D59"/>
    <w:rsid w:val="43B59905"/>
    <w:rsid w:val="43BA7BC5"/>
    <w:rsid w:val="43BB259E"/>
    <w:rsid w:val="43C6E737"/>
    <w:rsid w:val="43C8C055"/>
    <w:rsid w:val="43CD275C"/>
    <w:rsid w:val="43CFC066"/>
    <w:rsid w:val="43D1D53E"/>
    <w:rsid w:val="43DB99A6"/>
    <w:rsid w:val="43EAA925"/>
    <w:rsid w:val="43EC1D36"/>
    <w:rsid w:val="43EF5F45"/>
    <w:rsid w:val="43F4905A"/>
    <w:rsid w:val="43FA0FBD"/>
    <w:rsid w:val="43FB869F"/>
    <w:rsid w:val="44077154"/>
    <w:rsid w:val="440908A2"/>
    <w:rsid w:val="440984E3"/>
    <w:rsid w:val="4409C24C"/>
    <w:rsid w:val="440B2DDF"/>
    <w:rsid w:val="441CB971"/>
    <w:rsid w:val="4424166F"/>
    <w:rsid w:val="442FAE43"/>
    <w:rsid w:val="44399653"/>
    <w:rsid w:val="443AF6C9"/>
    <w:rsid w:val="443DB80A"/>
    <w:rsid w:val="443DCA0C"/>
    <w:rsid w:val="44467070"/>
    <w:rsid w:val="445581A3"/>
    <w:rsid w:val="4457875A"/>
    <w:rsid w:val="445CF362"/>
    <w:rsid w:val="445EA0E8"/>
    <w:rsid w:val="446208D5"/>
    <w:rsid w:val="4464E3BB"/>
    <w:rsid w:val="446B602D"/>
    <w:rsid w:val="4475267A"/>
    <w:rsid w:val="447A3CE6"/>
    <w:rsid w:val="447E9D80"/>
    <w:rsid w:val="4480432D"/>
    <w:rsid w:val="4481EEEA"/>
    <w:rsid w:val="44838082"/>
    <w:rsid w:val="4485C63E"/>
    <w:rsid w:val="448745A9"/>
    <w:rsid w:val="448C8A12"/>
    <w:rsid w:val="4490ED78"/>
    <w:rsid w:val="44943F76"/>
    <w:rsid w:val="449CC007"/>
    <w:rsid w:val="449D1A9A"/>
    <w:rsid w:val="44A29A4C"/>
    <w:rsid w:val="44A6E118"/>
    <w:rsid w:val="44AD571D"/>
    <w:rsid w:val="44AFDF33"/>
    <w:rsid w:val="44B8E890"/>
    <w:rsid w:val="44BFBF57"/>
    <w:rsid w:val="44C6D7FC"/>
    <w:rsid w:val="44CC31E8"/>
    <w:rsid w:val="44CD2246"/>
    <w:rsid w:val="44D3DE1D"/>
    <w:rsid w:val="44D48682"/>
    <w:rsid w:val="44D55EDE"/>
    <w:rsid w:val="44E8EDA1"/>
    <w:rsid w:val="44ECAEAA"/>
    <w:rsid w:val="44EF98BE"/>
    <w:rsid w:val="44F171A4"/>
    <w:rsid w:val="44F36DAF"/>
    <w:rsid w:val="44FA32AF"/>
    <w:rsid w:val="44FC93B9"/>
    <w:rsid w:val="44FCB9B9"/>
    <w:rsid w:val="4505AAB7"/>
    <w:rsid w:val="4505BE29"/>
    <w:rsid w:val="450E005B"/>
    <w:rsid w:val="450EC588"/>
    <w:rsid w:val="4514230F"/>
    <w:rsid w:val="4514EE65"/>
    <w:rsid w:val="4518E20C"/>
    <w:rsid w:val="4519942E"/>
    <w:rsid w:val="452364F6"/>
    <w:rsid w:val="45269084"/>
    <w:rsid w:val="453503C8"/>
    <w:rsid w:val="453AE856"/>
    <w:rsid w:val="453D93A6"/>
    <w:rsid w:val="454925DC"/>
    <w:rsid w:val="4549E3C2"/>
    <w:rsid w:val="454A10FC"/>
    <w:rsid w:val="454AD69F"/>
    <w:rsid w:val="454AE555"/>
    <w:rsid w:val="454DD867"/>
    <w:rsid w:val="454DF49C"/>
    <w:rsid w:val="45505CCE"/>
    <w:rsid w:val="455F813D"/>
    <w:rsid w:val="456F3D40"/>
    <w:rsid w:val="4570550A"/>
    <w:rsid w:val="45715A07"/>
    <w:rsid w:val="4574A748"/>
    <w:rsid w:val="457B5773"/>
    <w:rsid w:val="457E275A"/>
    <w:rsid w:val="457FC23A"/>
    <w:rsid w:val="45844C03"/>
    <w:rsid w:val="458FF77A"/>
    <w:rsid w:val="459C14E9"/>
    <w:rsid w:val="45AA991F"/>
    <w:rsid w:val="45AC1C94"/>
    <w:rsid w:val="45B3D3E5"/>
    <w:rsid w:val="45C4E3D8"/>
    <w:rsid w:val="45CCBEAB"/>
    <w:rsid w:val="45D3CE59"/>
    <w:rsid w:val="45E7CC87"/>
    <w:rsid w:val="45F1B44F"/>
    <w:rsid w:val="45F83E4A"/>
    <w:rsid w:val="45FE8292"/>
    <w:rsid w:val="460071F3"/>
    <w:rsid w:val="46050C52"/>
    <w:rsid w:val="4607ECF1"/>
    <w:rsid w:val="4638CAAD"/>
    <w:rsid w:val="463B61DE"/>
    <w:rsid w:val="464BF1EC"/>
    <w:rsid w:val="46521D3F"/>
    <w:rsid w:val="46543ADD"/>
    <w:rsid w:val="4658EFEC"/>
    <w:rsid w:val="4659048F"/>
    <w:rsid w:val="4659771B"/>
    <w:rsid w:val="465ACE67"/>
    <w:rsid w:val="465AF663"/>
    <w:rsid w:val="4662A1FF"/>
    <w:rsid w:val="46644D2C"/>
    <w:rsid w:val="466E9D32"/>
    <w:rsid w:val="46770B57"/>
    <w:rsid w:val="467A714E"/>
    <w:rsid w:val="467F1E81"/>
    <w:rsid w:val="467F4FB7"/>
    <w:rsid w:val="4681A980"/>
    <w:rsid w:val="468B5601"/>
    <w:rsid w:val="468C07F4"/>
    <w:rsid w:val="469375A6"/>
    <w:rsid w:val="469DD830"/>
    <w:rsid w:val="469EABDD"/>
    <w:rsid w:val="46A122A5"/>
    <w:rsid w:val="46A848A7"/>
    <w:rsid w:val="46A86B4C"/>
    <w:rsid w:val="46AEDE80"/>
    <w:rsid w:val="46B277F4"/>
    <w:rsid w:val="46B37447"/>
    <w:rsid w:val="46B3D5BC"/>
    <w:rsid w:val="46BE1DFF"/>
    <w:rsid w:val="46C2F135"/>
    <w:rsid w:val="46C6721B"/>
    <w:rsid w:val="46D57B70"/>
    <w:rsid w:val="46DA7023"/>
    <w:rsid w:val="46E07354"/>
    <w:rsid w:val="46E7901C"/>
    <w:rsid w:val="46EBC7D9"/>
    <w:rsid w:val="46F06655"/>
    <w:rsid w:val="46F852F1"/>
    <w:rsid w:val="46F908C0"/>
    <w:rsid w:val="46FE506E"/>
    <w:rsid w:val="46FE8247"/>
    <w:rsid w:val="47027904"/>
    <w:rsid w:val="470545A9"/>
    <w:rsid w:val="47074B99"/>
    <w:rsid w:val="4708F289"/>
    <w:rsid w:val="4708FD93"/>
    <w:rsid w:val="470C81AC"/>
    <w:rsid w:val="4710F274"/>
    <w:rsid w:val="47204B25"/>
    <w:rsid w:val="472C2745"/>
    <w:rsid w:val="4735A80C"/>
    <w:rsid w:val="47362F63"/>
    <w:rsid w:val="473D4684"/>
    <w:rsid w:val="47534EEA"/>
    <w:rsid w:val="47545A52"/>
    <w:rsid w:val="47560676"/>
    <w:rsid w:val="4756A4D3"/>
    <w:rsid w:val="4758B6EA"/>
    <w:rsid w:val="4759502B"/>
    <w:rsid w:val="475FA6EA"/>
    <w:rsid w:val="47712DBB"/>
    <w:rsid w:val="47723817"/>
    <w:rsid w:val="477A7B35"/>
    <w:rsid w:val="477B7285"/>
    <w:rsid w:val="477BDFF6"/>
    <w:rsid w:val="4780FE6E"/>
    <w:rsid w:val="47883594"/>
    <w:rsid w:val="47890950"/>
    <w:rsid w:val="478A600C"/>
    <w:rsid w:val="4795AB0B"/>
    <w:rsid w:val="479B417F"/>
    <w:rsid w:val="479CFC76"/>
    <w:rsid w:val="47A34481"/>
    <w:rsid w:val="47A41C4C"/>
    <w:rsid w:val="47A4A454"/>
    <w:rsid w:val="47AA4DA4"/>
    <w:rsid w:val="47B4AD34"/>
    <w:rsid w:val="47B894F8"/>
    <w:rsid w:val="47B8B1CB"/>
    <w:rsid w:val="47BFCED6"/>
    <w:rsid w:val="47C55893"/>
    <w:rsid w:val="47C57433"/>
    <w:rsid w:val="47CD3656"/>
    <w:rsid w:val="47CE25DB"/>
    <w:rsid w:val="47D155C3"/>
    <w:rsid w:val="47D77FC6"/>
    <w:rsid w:val="47E17A5F"/>
    <w:rsid w:val="47E540EC"/>
    <w:rsid w:val="47E7ABF4"/>
    <w:rsid w:val="480920DB"/>
    <w:rsid w:val="480BC6BC"/>
    <w:rsid w:val="480C15EA"/>
    <w:rsid w:val="4816916E"/>
    <w:rsid w:val="4818D3A3"/>
    <w:rsid w:val="481ED858"/>
    <w:rsid w:val="48267BD4"/>
    <w:rsid w:val="482ED621"/>
    <w:rsid w:val="48314E0F"/>
    <w:rsid w:val="4835C9E3"/>
    <w:rsid w:val="48374D4D"/>
    <w:rsid w:val="483F879B"/>
    <w:rsid w:val="48444167"/>
    <w:rsid w:val="484BBDAD"/>
    <w:rsid w:val="48528F4B"/>
    <w:rsid w:val="4859E8D6"/>
    <w:rsid w:val="485BEA8C"/>
    <w:rsid w:val="485D9839"/>
    <w:rsid w:val="485ED6C4"/>
    <w:rsid w:val="4862722B"/>
    <w:rsid w:val="4869DC35"/>
    <w:rsid w:val="486B07A5"/>
    <w:rsid w:val="486C01F9"/>
    <w:rsid w:val="4873AA73"/>
    <w:rsid w:val="48769592"/>
    <w:rsid w:val="4877940F"/>
    <w:rsid w:val="48808270"/>
    <w:rsid w:val="4882FBB5"/>
    <w:rsid w:val="4884A627"/>
    <w:rsid w:val="488AE688"/>
    <w:rsid w:val="488C49EB"/>
    <w:rsid w:val="488F8FF9"/>
    <w:rsid w:val="48935F3C"/>
    <w:rsid w:val="4893E59C"/>
    <w:rsid w:val="48A7E932"/>
    <w:rsid w:val="48B1F270"/>
    <w:rsid w:val="48B4975E"/>
    <w:rsid w:val="48C29CC0"/>
    <w:rsid w:val="48C863BC"/>
    <w:rsid w:val="48C9AF97"/>
    <w:rsid w:val="48CEDB46"/>
    <w:rsid w:val="48D25CBE"/>
    <w:rsid w:val="48DC73F3"/>
    <w:rsid w:val="48E120B9"/>
    <w:rsid w:val="48E3A2C8"/>
    <w:rsid w:val="48EC5A35"/>
    <w:rsid w:val="48ECB53E"/>
    <w:rsid w:val="48F4C875"/>
    <w:rsid w:val="48FBB0F8"/>
    <w:rsid w:val="48FBFC01"/>
    <w:rsid w:val="4901121F"/>
    <w:rsid w:val="49012F41"/>
    <w:rsid w:val="49151CA6"/>
    <w:rsid w:val="49303DCE"/>
    <w:rsid w:val="4931017E"/>
    <w:rsid w:val="4934B95C"/>
    <w:rsid w:val="493E5753"/>
    <w:rsid w:val="494EFCDF"/>
    <w:rsid w:val="4951E172"/>
    <w:rsid w:val="4954ABD7"/>
    <w:rsid w:val="4962E3A6"/>
    <w:rsid w:val="496B1A43"/>
    <w:rsid w:val="496DEC3A"/>
    <w:rsid w:val="496E192D"/>
    <w:rsid w:val="4973F412"/>
    <w:rsid w:val="497D66A8"/>
    <w:rsid w:val="498356C6"/>
    <w:rsid w:val="4987D010"/>
    <w:rsid w:val="4988E5DA"/>
    <w:rsid w:val="498F1CBC"/>
    <w:rsid w:val="49916835"/>
    <w:rsid w:val="499B2CBC"/>
    <w:rsid w:val="49A8191C"/>
    <w:rsid w:val="49AB5EFB"/>
    <w:rsid w:val="49AC7E66"/>
    <w:rsid w:val="49B216DB"/>
    <w:rsid w:val="49B6399B"/>
    <w:rsid w:val="49B958AC"/>
    <w:rsid w:val="49B97AEF"/>
    <w:rsid w:val="49C0F668"/>
    <w:rsid w:val="49C35F81"/>
    <w:rsid w:val="49C3DF98"/>
    <w:rsid w:val="49C78A43"/>
    <w:rsid w:val="49CDE655"/>
    <w:rsid w:val="49D047B4"/>
    <w:rsid w:val="49D3658B"/>
    <w:rsid w:val="49D45B82"/>
    <w:rsid w:val="49D7D13A"/>
    <w:rsid w:val="49DE8479"/>
    <w:rsid w:val="49E02D88"/>
    <w:rsid w:val="49E0D748"/>
    <w:rsid w:val="49E23B0B"/>
    <w:rsid w:val="49F63B22"/>
    <w:rsid w:val="4A0644B2"/>
    <w:rsid w:val="4A103912"/>
    <w:rsid w:val="4A224827"/>
    <w:rsid w:val="4A25ACFA"/>
    <w:rsid w:val="4A272BA9"/>
    <w:rsid w:val="4A2A9D31"/>
    <w:rsid w:val="4A352C94"/>
    <w:rsid w:val="4A36BE71"/>
    <w:rsid w:val="4A3B19D9"/>
    <w:rsid w:val="4A3C297C"/>
    <w:rsid w:val="4A43B576"/>
    <w:rsid w:val="4A494C2E"/>
    <w:rsid w:val="4A4CAEFB"/>
    <w:rsid w:val="4A598C18"/>
    <w:rsid w:val="4A647D2E"/>
    <w:rsid w:val="4A67F5A2"/>
    <w:rsid w:val="4A6BE431"/>
    <w:rsid w:val="4A6CB283"/>
    <w:rsid w:val="4A6E7ABA"/>
    <w:rsid w:val="4A7504DA"/>
    <w:rsid w:val="4A77F3E1"/>
    <w:rsid w:val="4A7A000F"/>
    <w:rsid w:val="4A7CA308"/>
    <w:rsid w:val="4A8577CA"/>
    <w:rsid w:val="4A8A009D"/>
    <w:rsid w:val="4A8DBFAC"/>
    <w:rsid w:val="4A909922"/>
    <w:rsid w:val="4A90D41B"/>
    <w:rsid w:val="4AA43139"/>
    <w:rsid w:val="4AA5D614"/>
    <w:rsid w:val="4AA8B5FF"/>
    <w:rsid w:val="4AA9929A"/>
    <w:rsid w:val="4AAA0AF6"/>
    <w:rsid w:val="4AACF873"/>
    <w:rsid w:val="4AB75656"/>
    <w:rsid w:val="4AC8C876"/>
    <w:rsid w:val="4AD67B9B"/>
    <w:rsid w:val="4ADA5A54"/>
    <w:rsid w:val="4AE5FA55"/>
    <w:rsid w:val="4AEFEDEA"/>
    <w:rsid w:val="4AF936FC"/>
    <w:rsid w:val="4AFB752A"/>
    <w:rsid w:val="4B0ADC97"/>
    <w:rsid w:val="4B0E867F"/>
    <w:rsid w:val="4B10B144"/>
    <w:rsid w:val="4B1438A5"/>
    <w:rsid w:val="4B30532B"/>
    <w:rsid w:val="4B350985"/>
    <w:rsid w:val="4B376B93"/>
    <w:rsid w:val="4B37CB71"/>
    <w:rsid w:val="4B476400"/>
    <w:rsid w:val="4B495BF0"/>
    <w:rsid w:val="4B50C751"/>
    <w:rsid w:val="4B529B44"/>
    <w:rsid w:val="4B5E284A"/>
    <w:rsid w:val="4B5FCE82"/>
    <w:rsid w:val="4B636017"/>
    <w:rsid w:val="4B65F046"/>
    <w:rsid w:val="4B68F870"/>
    <w:rsid w:val="4B69BEF7"/>
    <w:rsid w:val="4B73D7E4"/>
    <w:rsid w:val="4B7E00D4"/>
    <w:rsid w:val="4B828472"/>
    <w:rsid w:val="4B87BC8F"/>
    <w:rsid w:val="4B8ACA0E"/>
    <w:rsid w:val="4B8ED022"/>
    <w:rsid w:val="4B98F2BC"/>
    <w:rsid w:val="4B99B7C1"/>
    <w:rsid w:val="4BA1E83D"/>
    <w:rsid w:val="4BA2D904"/>
    <w:rsid w:val="4BA35E16"/>
    <w:rsid w:val="4BAA98C8"/>
    <w:rsid w:val="4BB0037A"/>
    <w:rsid w:val="4BB2616D"/>
    <w:rsid w:val="4BB74072"/>
    <w:rsid w:val="4BB7E084"/>
    <w:rsid w:val="4BC48FA1"/>
    <w:rsid w:val="4BC53802"/>
    <w:rsid w:val="4BC671C0"/>
    <w:rsid w:val="4BCF29C9"/>
    <w:rsid w:val="4BD193CD"/>
    <w:rsid w:val="4BD1B115"/>
    <w:rsid w:val="4BD469B2"/>
    <w:rsid w:val="4BE039F5"/>
    <w:rsid w:val="4BE073EE"/>
    <w:rsid w:val="4BE07941"/>
    <w:rsid w:val="4BE70EC7"/>
    <w:rsid w:val="4BF20EA4"/>
    <w:rsid w:val="4BF70752"/>
    <w:rsid w:val="4BFED856"/>
    <w:rsid w:val="4BFFEDC6"/>
    <w:rsid w:val="4C078A34"/>
    <w:rsid w:val="4C1CC96E"/>
    <w:rsid w:val="4C1EB849"/>
    <w:rsid w:val="4C1FA1C7"/>
    <w:rsid w:val="4C25A688"/>
    <w:rsid w:val="4C2CAC99"/>
    <w:rsid w:val="4C2EBD34"/>
    <w:rsid w:val="4C2F9613"/>
    <w:rsid w:val="4C30651A"/>
    <w:rsid w:val="4C3C3DB3"/>
    <w:rsid w:val="4C4028B7"/>
    <w:rsid w:val="4C4BB4FD"/>
    <w:rsid w:val="4C4FEACE"/>
    <w:rsid w:val="4C53ED58"/>
    <w:rsid w:val="4C546A3F"/>
    <w:rsid w:val="4C561BDC"/>
    <w:rsid w:val="4C56CFAC"/>
    <w:rsid w:val="4C631048"/>
    <w:rsid w:val="4C651C55"/>
    <w:rsid w:val="4C6A84A3"/>
    <w:rsid w:val="4C6D0C7C"/>
    <w:rsid w:val="4C6F6947"/>
    <w:rsid w:val="4C7028F7"/>
    <w:rsid w:val="4C70BC34"/>
    <w:rsid w:val="4C75462A"/>
    <w:rsid w:val="4C762F15"/>
    <w:rsid w:val="4C8862C8"/>
    <w:rsid w:val="4C8A6242"/>
    <w:rsid w:val="4C8A776E"/>
    <w:rsid w:val="4C8EAF00"/>
    <w:rsid w:val="4C98FC23"/>
    <w:rsid w:val="4CA2FC36"/>
    <w:rsid w:val="4CA6CC95"/>
    <w:rsid w:val="4CACE0BF"/>
    <w:rsid w:val="4CB49802"/>
    <w:rsid w:val="4CB6E4B3"/>
    <w:rsid w:val="4CC01CC1"/>
    <w:rsid w:val="4CC49281"/>
    <w:rsid w:val="4CCE1D27"/>
    <w:rsid w:val="4CD04768"/>
    <w:rsid w:val="4CD6A4D3"/>
    <w:rsid w:val="4CDAAE40"/>
    <w:rsid w:val="4CDACE93"/>
    <w:rsid w:val="4CDE268F"/>
    <w:rsid w:val="4CE79960"/>
    <w:rsid w:val="4CE79C19"/>
    <w:rsid w:val="4CE9E33A"/>
    <w:rsid w:val="4CEA4B7C"/>
    <w:rsid w:val="4CECCCAC"/>
    <w:rsid w:val="4CF2D3A8"/>
    <w:rsid w:val="4CF56FD7"/>
    <w:rsid w:val="4D0092C0"/>
    <w:rsid w:val="4D03A66A"/>
    <w:rsid w:val="4D176399"/>
    <w:rsid w:val="4D19839E"/>
    <w:rsid w:val="4D232C77"/>
    <w:rsid w:val="4D2BB454"/>
    <w:rsid w:val="4D32B730"/>
    <w:rsid w:val="4D3703C2"/>
    <w:rsid w:val="4D42B380"/>
    <w:rsid w:val="4D42BB35"/>
    <w:rsid w:val="4D437916"/>
    <w:rsid w:val="4D47F432"/>
    <w:rsid w:val="4D49AC4A"/>
    <w:rsid w:val="4D4D4903"/>
    <w:rsid w:val="4D5B5F89"/>
    <w:rsid w:val="4D5F788F"/>
    <w:rsid w:val="4D67AD86"/>
    <w:rsid w:val="4D6E34D3"/>
    <w:rsid w:val="4D6F8B71"/>
    <w:rsid w:val="4D72FBCE"/>
    <w:rsid w:val="4D781F0E"/>
    <w:rsid w:val="4D7E24A1"/>
    <w:rsid w:val="4D8A6CEB"/>
    <w:rsid w:val="4D8A9F4C"/>
    <w:rsid w:val="4D8BF95F"/>
    <w:rsid w:val="4D9AE9AA"/>
    <w:rsid w:val="4DA66E55"/>
    <w:rsid w:val="4DB01873"/>
    <w:rsid w:val="4DB04E0F"/>
    <w:rsid w:val="4DB2C1A9"/>
    <w:rsid w:val="4DB7D2FD"/>
    <w:rsid w:val="4DBFA224"/>
    <w:rsid w:val="4DC61AAD"/>
    <w:rsid w:val="4DC774DD"/>
    <w:rsid w:val="4DD426E8"/>
    <w:rsid w:val="4DD45AE1"/>
    <w:rsid w:val="4DD518DE"/>
    <w:rsid w:val="4DDD0515"/>
    <w:rsid w:val="4DDECD7A"/>
    <w:rsid w:val="4DE42DDB"/>
    <w:rsid w:val="4DEB2F7C"/>
    <w:rsid w:val="4DEE29B5"/>
    <w:rsid w:val="4DF2822A"/>
    <w:rsid w:val="4DF79AFC"/>
    <w:rsid w:val="4DFDC4AF"/>
    <w:rsid w:val="4E0D0165"/>
    <w:rsid w:val="4E10BF9D"/>
    <w:rsid w:val="4E13FDD6"/>
    <w:rsid w:val="4E167856"/>
    <w:rsid w:val="4E18472F"/>
    <w:rsid w:val="4E23AEA9"/>
    <w:rsid w:val="4E277A37"/>
    <w:rsid w:val="4E28B785"/>
    <w:rsid w:val="4E2BE9CD"/>
    <w:rsid w:val="4E308A39"/>
    <w:rsid w:val="4E318C52"/>
    <w:rsid w:val="4E39E78F"/>
    <w:rsid w:val="4E3E4D93"/>
    <w:rsid w:val="4E42235B"/>
    <w:rsid w:val="4E452C82"/>
    <w:rsid w:val="4E52C30B"/>
    <w:rsid w:val="4E5492AB"/>
    <w:rsid w:val="4E68A5A6"/>
    <w:rsid w:val="4E6F04FA"/>
    <w:rsid w:val="4E6FB9DB"/>
    <w:rsid w:val="4E70F824"/>
    <w:rsid w:val="4E76AE0E"/>
    <w:rsid w:val="4E7EDD57"/>
    <w:rsid w:val="4E7F84D0"/>
    <w:rsid w:val="4E9C8B30"/>
    <w:rsid w:val="4E9E8E51"/>
    <w:rsid w:val="4EA2A057"/>
    <w:rsid w:val="4EA77AD4"/>
    <w:rsid w:val="4EA8C45C"/>
    <w:rsid w:val="4EAAFE46"/>
    <w:rsid w:val="4EAF533A"/>
    <w:rsid w:val="4EB001FD"/>
    <w:rsid w:val="4EB42E0F"/>
    <w:rsid w:val="4EB7E035"/>
    <w:rsid w:val="4EBCCD0D"/>
    <w:rsid w:val="4EBF9D2A"/>
    <w:rsid w:val="4ED01ADB"/>
    <w:rsid w:val="4ED13A06"/>
    <w:rsid w:val="4EE151D5"/>
    <w:rsid w:val="4EE1B154"/>
    <w:rsid w:val="4EEF3A8A"/>
    <w:rsid w:val="4F0228FF"/>
    <w:rsid w:val="4F0359F1"/>
    <w:rsid w:val="4F0BFEA6"/>
    <w:rsid w:val="4F0FD75B"/>
    <w:rsid w:val="4F116327"/>
    <w:rsid w:val="4F11B68E"/>
    <w:rsid w:val="4F14A828"/>
    <w:rsid w:val="4F155A95"/>
    <w:rsid w:val="4F1F6DB9"/>
    <w:rsid w:val="4F24375D"/>
    <w:rsid w:val="4F26A98B"/>
    <w:rsid w:val="4F27B995"/>
    <w:rsid w:val="4F28068B"/>
    <w:rsid w:val="4F2A9C9D"/>
    <w:rsid w:val="4F2C8196"/>
    <w:rsid w:val="4F325B44"/>
    <w:rsid w:val="4F38D9AB"/>
    <w:rsid w:val="4F3ABDF0"/>
    <w:rsid w:val="4F4C9B85"/>
    <w:rsid w:val="4F5804E8"/>
    <w:rsid w:val="4F5CD7EA"/>
    <w:rsid w:val="4F5E6D21"/>
    <w:rsid w:val="4F650B4A"/>
    <w:rsid w:val="4F65C95E"/>
    <w:rsid w:val="4F662873"/>
    <w:rsid w:val="4F6DDCA9"/>
    <w:rsid w:val="4F6DE936"/>
    <w:rsid w:val="4F6ED36D"/>
    <w:rsid w:val="4F7126B5"/>
    <w:rsid w:val="4F7624F4"/>
    <w:rsid w:val="4F7A22E1"/>
    <w:rsid w:val="4F7C56B5"/>
    <w:rsid w:val="4F80F192"/>
    <w:rsid w:val="4F84E657"/>
    <w:rsid w:val="4F9A7CA5"/>
    <w:rsid w:val="4F9F68AD"/>
    <w:rsid w:val="4FAB1823"/>
    <w:rsid w:val="4FADD176"/>
    <w:rsid w:val="4FB3B8ED"/>
    <w:rsid w:val="4FB9E73A"/>
    <w:rsid w:val="4FBD9A52"/>
    <w:rsid w:val="4FBDCC13"/>
    <w:rsid w:val="4FC5897D"/>
    <w:rsid w:val="4FC64CD8"/>
    <w:rsid w:val="4FCB8FE4"/>
    <w:rsid w:val="4FD854E3"/>
    <w:rsid w:val="4FD9D708"/>
    <w:rsid w:val="4FDBC4B7"/>
    <w:rsid w:val="4FE8D2E4"/>
    <w:rsid w:val="4FEDA287"/>
    <w:rsid w:val="4FF1434C"/>
    <w:rsid w:val="4FF3E5D8"/>
    <w:rsid w:val="4FFAB351"/>
    <w:rsid w:val="5006B833"/>
    <w:rsid w:val="500D0C05"/>
    <w:rsid w:val="501423AF"/>
    <w:rsid w:val="501B559B"/>
    <w:rsid w:val="502092C1"/>
    <w:rsid w:val="502171A1"/>
    <w:rsid w:val="5022B0AB"/>
    <w:rsid w:val="5025B99A"/>
    <w:rsid w:val="502AC44E"/>
    <w:rsid w:val="502C9759"/>
    <w:rsid w:val="503A956C"/>
    <w:rsid w:val="504C0494"/>
    <w:rsid w:val="504C08D7"/>
    <w:rsid w:val="504DD414"/>
    <w:rsid w:val="5051A02F"/>
    <w:rsid w:val="5051D5F5"/>
    <w:rsid w:val="50589D6E"/>
    <w:rsid w:val="505ACD39"/>
    <w:rsid w:val="505ADE40"/>
    <w:rsid w:val="505E1DAB"/>
    <w:rsid w:val="5060E7CB"/>
    <w:rsid w:val="5060E996"/>
    <w:rsid w:val="506C4415"/>
    <w:rsid w:val="506DAA6C"/>
    <w:rsid w:val="506E6A9D"/>
    <w:rsid w:val="507CF210"/>
    <w:rsid w:val="507F131E"/>
    <w:rsid w:val="50868C03"/>
    <w:rsid w:val="508D0490"/>
    <w:rsid w:val="508E013F"/>
    <w:rsid w:val="50A31804"/>
    <w:rsid w:val="50A6992A"/>
    <w:rsid w:val="50B26FA2"/>
    <w:rsid w:val="50B81101"/>
    <w:rsid w:val="50C130A3"/>
    <w:rsid w:val="50CDA487"/>
    <w:rsid w:val="50D650E0"/>
    <w:rsid w:val="50E3CC74"/>
    <w:rsid w:val="50E5C251"/>
    <w:rsid w:val="50E8B455"/>
    <w:rsid w:val="50F2CA04"/>
    <w:rsid w:val="50F7668B"/>
    <w:rsid w:val="50FFB2E5"/>
    <w:rsid w:val="510554BA"/>
    <w:rsid w:val="5111071E"/>
    <w:rsid w:val="51151BFD"/>
    <w:rsid w:val="51182775"/>
    <w:rsid w:val="5119E100"/>
    <w:rsid w:val="512C11DA"/>
    <w:rsid w:val="512D4413"/>
    <w:rsid w:val="512EE0E7"/>
    <w:rsid w:val="51310AF3"/>
    <w:rsid w:val="5140EB7F"/>
    <w:rsid w:val="51411318"/>
    <w:rsid w:val="5151DBC1"/>
    <w:rsid w:val="51643018"/>
    <w:rsid w:val="51660C9F"/>
    <w:rsid w:val="51670EFA"/>
    <w:rsid w:val="516A6CE1"/>
    <w:rsid w:val="516F822D"/>
    <w:rsid w:val="517B22E1"/>
    <w:rsid w:val="517C1C77"/>
    <w:rsid w:val="517C9E2E"/>
    <w:rsid w:val="5182A311"/>
    <w:rsid w:val="518ABF97"/>
    <w:rsid w:val="518ACDE9"/>
    <w:rsid w:val="518BFAF3"/>
    <w:rsid w:val="518D04EF"/>
    <w:rsid w:val="518D2ACA"/>
    <w:rsid w:val="519255CD"/>
    <w:rsid w:val="5199FE5E"/>
    <w:rsid w:val="519FAEF0"/>
    <w:rsid w:val="51A02175"/>
    <w:rsid w:val="51A04693"/>
    <w:rsid w:val="51A5E683"/>
    <w:rsid w:val="51A68E43"/>
    <w:rsid w:val="51A72AB9"/>
    <w:rsid w:val="51AB1777"/>
    <w:rsid w:val="51AF614B"/>
    <w:rsid w:val="51AFF425"/>
    <w:rsid w:val="51BE08B0"/>
    <w:rsid w:val="51BF3582"/>
    <w:rsid w:val="51C847A3"/>
    <w:rsid w:val="51CA38D6"/>
    <w:rsid w:val="51CBEC3B"/>
    <w:rsid w:val="51D15159"/>
    <w:rsid w:val="51E22FEC"/>
    <w:rsid w:val="51E4AFE5"/>
    <w:rsid w:val="51E59EF0"/>
    <w:rsid w:val="51E69F72"/>
    <w:rsid w:val="51ED57F5"/>
    <w:rsid w:val="51F64A4B"/>
    <w:rsid w:val="51F79856"/>
    <w:rsid w:val="51FD17CD"/>
    <w:rsid w:val="52006FA0"/>
    <w:rsid w:val="52026600"/>
    <w:rsid w:val="5204D7BE"/>
    <w:rsid w:val="52057C40"/>
    <w:rsid w:val="52080293"/>
    <w:rsid w:val="521400AB"/>
    <w:rsid w:val="5214A59C"/>
    <w:rsid w:val="5221EBC5"/>
    <w:rsid w:val="52247E0C"/>
    <w:rsid w:val="522579DB"/>
    <w:rsid w:val="522FFA0E"/>
    <w:rsid w:val="52332F7E"/>
    <w:rsid w:val="5252467E"/>
    <w:rsid w:val="5253CD35"/>
    <w:rsid w:val="525B0635"/>
    <w:rsid w:val="52641C91"/>
    <w:rsid w:val="52698499"/>
    <w:rsid w:val="526AFBB9"/>
    <w:rsid w:val="52729A46"/>
    <w:rsid w:val="527351A6"/>
    <w:rsid w:val="5274D48B"/>
    <w:rsid w:val="5289622B"/>
    <w:rsid w:val="528C48EB"/>
    <w:rsid w:val="529191E6"/>
    <w:rsid w:val="52925C74"/>
    <w:rsid w:val="5293A7BE"/>
    <w:rsid w:val="52A0BB55"/>
    <w:rsid w:val="52AB7BB2"/>
    <w:rsid w:val="52ACFBD7"/>
    <w:rsid w:val="52AE9E06"/>
    <w:rsid w:val="52B385F6"/>
    <w:rsid w:val="52BC2B6C"/>
    <w:rsid w:val="52BF3A82"/>
    <w:rsid w:val="52C57A70"/>
    <w:rsid w:val="52C7FE5C"/>
    <w:rsid w:val="52CA5D6A"/>
    <w:rsid w:val="52CB8978"/>
    <w:rsid w:val="52CC6C21"/>
    <w:rsid w:val="52CDB714"/>
    <w:rsid w:val="52CE01F1"/>
    <w:rsid w:val="52D7096F"/>
    <w:rsid w:val="52DCAE8E"/>
    <w:rsid w:val="52DD0222"/>
    <w:rsid w:val="52DE9FEF"/>
    <w:rsid w:val="52DEDA7D"/>
    <w:rsid w:val="52DF18C6"/>
    <w:rsid w:val="52E26CB9"/>
    <w:rsid w:val="52ECAC2A"/>
    <w:rsid w:val="52ED32FE"/>
    <w:rsid w:val="52F6D7EF"/>
    <w:rsid w:val="52FD5389"/>
    <w:rsid w:val="530B52EB"/>
    <w:rsid w:val="530BE510"/>
    <w:rsid w:val="53172063"/>
    <w:rsid w:val="5326A062"/>
    <w:rsid w:val="5327AF87"/>
    <w:rsid w:val="5334520D"/>
    <w:rsid w:val="5334C210"/>
    <w:rsid w:val="533677A4"/>
    <w:rsid w:val="5337C8EC"/>
    <w:rsid w:val="5339B091"/>
    <w:rsid w:val="533F5BF4"/>
    <w:rsid w:val="53427112"/>
    <w:rsid w:val="534696C1"/>
    <w:rsid w:val="5347BFE5"/>
    <w:rsid w:val="5352094E"/>
    <w:rsid w:val="535445B4"/>
    <w:rsid w:val="535867C5"/>
    <w:rsid w:val="5359423F"/>
    <w:rsid w:val="5359BDEB"/>
    <w:rsid w:val="535CD82E"/>
    <w:rsid w:val="535CFC95"/>
    <w:rsid w:val="53861C41"/>
    <w:rsid w:val="53894D38"/>
    <w:rsid w:val="538C389B"/>
    <w:rsid w:val="538F603F"/>
    <w:rsid w:val="53956B08"/>
    <w:rsid w:val="5396957E"/>
    <w:rsid w:val="5398DDF7"/>
    <w:rsid w:val="53A4B087"/>
    <w:rsid w:val="53B190DD"/>
    <w:rsid w:val="53BC2AA5"/>
    <w:rsid w:val="53C5E7C5"/>
    <w:rsid w:val="53D5AE05"/>
    <w:rsid w:val="53E32A25"/>
    <w:rsid w:val="53E3B032"/>
    <w:rsid w:val="53EB5CF9"/>
    <w:rsid w:val="53F5CCF9"/>
    <w:rsid w:val="53F915DA"/>
    <w:rsid w:val="53FF1F73"/>
    <w:rsid w:val="5402612F"/>
    <w:rsid w:val="54089BED"/>
    <w:rsid w:val="5408C624"/>
    <w:rsid w:val="540EBF87"/>
    <w:rsid w:val="541039EA"/>
    <w:rsid w:val="5411B93E"/>
    <w:rsid w:val="54160F34"/>
    <w:rsid w:val="541C89E0"/>
    <w:rsid w:val="541E0554"/>
    <w:rsid w:val="5420F03E"/>
    <w:rsid w:val="542184FD"/>
    <w:rsid w:val="54260E43"/>
    <w:rsid w:val="542AA389"/>
    <w:rsid w:val="542E4595"/>
    <w:rsid w:val="54300519"/>
    <w:rsid w:val="5430D1AB"/>
    <w:rsid w:val="5437DFC9"/>
    <w:rsid w:val="54464CB9"/>
    <w:rsid w:val="54524633"/>
    <w:rsid w:val="545960C9"/>
    <w:rsid w:val="546582A7"/>
    <w:rsid w:val="546A2F45"/>
    <w:rsid w:val="546BDDF1"/>
    <w:rsid w:val="546D9913"/>
    <w:rsid w:val="547139A2"/>
    <w:rsid w:val="54715393"/>
    <w:rsid w:val="54775243"/>
    <w:rsid w:val="54777FBF"/>
    <w:rsid w:val="54785CCB"/>
    <w:rsid w:val="547A55E5"/>
    <w:rsid w:val="547A943A"/>
    <w:rsid w:val="547ECEAC"/>
    <w:rsid w:val="548A2D66"/>
    <w:rsid w:val="548A5ED3"/>
    <w:rsid w:val="549134FD"/>
    <w:rsid w:val="54954F4C"/>
    <w:rsid w:val="549F8F2E"/>
    <w:rsid w:val="54A42DB9"/>
    <w:rsid w:val="54A7234C"/>
    <w:rsid w:val="54AF3899"/>
    <w:rsid w:val="54B286BC"/>
    <w:rsid w:val="54B4FFDA"/>
    <w:rsid w:val="54B76CF8"/>
    <w:rsid w:val="54C7D0BE"/>
    <w:rsid w:val="54CD1F42"/>
    <w:rsid w:val="54CDEDB2"/>
    <w:rsid w:val="54D997DD"/>
    <w:rsid w:val="54DFFEE4"/>
    <w:rsid w:val="54E69DF5"/>
    <w:rsid w:val="54EA8F3B"/>
    <w:rsid w:val="54FC75D4"/>
    <w:rsid w:val="54FCD747"/>
    <w:rsid w:val="550273A4"/>
    <w:rsid w:val="550A685C"/>
    <w:rsid w:val="550EB0A6"/>
    <w:rsid w:val="55115A26"/>
    <w:rsid w:val="5513558E"/>
    <w:rsid w:val="55164C9B"/>
    <w:rsid w:val="551F6C53"/>
    <w:rsid w:val="55265366"/>
    <w:rsid w:val="5529A2CE"/>
    <w:rsid w:val="552DC979"/>
    <w:rsid w:val="5531A2E0"/>
    <w:rsid w:val="55330E5F"/>
    <w:rsid w:val="5535C319"/>
    <w:rsid w:val="5538667F"/>
    <w:rsid w:val="5541618A"/>
    <w:rsid w:val="5542F6FD"/>
    <w:rsid w:val="554E0DAC"/>
    <w:rsid w:val="5550BF3D"/>
    <w:rsid w:val="55510540"/>
    <w:rsid w:val="5551148E"/>
    <w:rsid w:val="555484F0"/>
    <w:rsid w:val="5555E5D0"/>
    <w:rsid w:val="555CC6C6"/>
    <w:rsid w:val="556585C0"/>
    <w:rsid w:val="5569269B"/>
    <w:rsid w:val="5569F154"/>
    <w:rsid w:val="5570ED2B"/>
    <w:rsid w:val="5571B84C"/>
    <w:rsid w:val="557500F0"/>
    <w:rsid w:val="55782BFA"/>
    <w:rsid w:val="55788686"/>
    <w:rsid w:val="557B1AA0"/>
    <w:rsid w:val="557E67F7"/>
    <w:rsid w:val="55895225"/>
    <w:rsid w:val="55915A10"/>
    <w:rsid w:val="559366D2"/>
    <w:rsid w:val="5599372B"/>
    <w:rsid w:val="559BD84F"/>
    <w:rsid w:val="55A32DF3"/>
    <w:rsid w:val="55A40D96"/>
    <w:rsid w:val="55A9CA5A"/>
    <w:rsid w:val="55AAB843"/>
    <w:rsid w:val="55AB7622"/>
    <w:rsid w:val="55B1BD3C"/>
    <w:rsid w:val="55B71AD9"/>
    <w:rsid w:val="55B76549"/>
    <w:rsid w:val="55BD0CB9"/>
    <w:rsid w:val="55BFE34F"/>
    <w:rsid w:val="55C40165"/>
    <w:rsid w:val="55CE6105"/>
    <w:rsid w:val="55DA6CCA"/>
    <w:rsid w:val="55E5BED6"/>
    <w:rsid w:val="55EB4D11"/>
    <w:rsid w:val="55EE3A6D"/>
    <w:rsid w:val="55F08A52"/>
    <w:rsid w:val="55F28FD8"/>
    <w:rsid w:val="55F8AF2D"/>
    <w:rsid w:val="56026A6F"/>
    <w:rsid w:val="56063E1B"/>
    <w:rsid w:val="560AF643"/>
    <w:rsid w:val="560C1E56"/>
    <w:rsid w:val="560E8BC7"/>
    <w:rsid w:val="5615AB5F"/>
    <w:rsid w:val="561765CD"/>
    <w:rsid w:val="561EEDC5"/>
    <w:rsid w:val="5625AC0C"/>
    <w:rsid w:val="563335F4"/>
    <w:rsid w:val="563755CD"/>
    <w:rsid w:val="563E74C8"/>
    <w:rsid w:val="563ECDF1"/>
    <w:rsid w:val="56401F7D"/>
    <w:rsid w:val="56405152"/>
    <w:rsid w:val="5642F3AD"/>
    <w:rsid w:val="564E2769"/>
    <w:rsid w:val="56526D84"/>
    <w:rsid w:val="56535D29"/>
    <w:rsid w:val="56621BE6"/>
    <w:rsid w:val="5667D55B"/>
    <w:rsid w:val="566964B7"/>
    <w:rsid w:val="5671593E"/>
    <w:rsid w:val="567392E4"/>
    <w:rsid w:val="56798B20"/>
    <w:rsid w:val="5683D061"/>
    <w:rsid w:val="56840A6A"/>
    <w:rsid w:val="5689F167"/>
    <w:rsid w:val="568F077C"/>
    <w:rsid w:val="5696B239"/>
    <w:rsid w:val="569D38EF"/>
    <w:rsid w:val="56A56AFB"/>
    <w:rsid w:val="56A63090"/>
    <w:rsid w:val="56AFB60D"/>
    <w:rsid w:val="56B1970B"/>
    <w:rsid w:val="56B2B051"/>
    <w:rsid w:val="56B86DFB"/>
    <w:rsid w:val="56C2EDFC"/>
    <w:rsid w:val="56C3D5ED"/>
    <w:rsid w:val="56C4C00C"/>
    <w:rsid w:val="56D48869"/>
    <w:rsid w:val="56E15176"/>
    <w:rsid w:val="56E27A06"/>
    <w:rsid w:val="56E560D9"/>
    <w:rsid w:val="56F15DF6"/>
    <w:rsid w:val="56F66347"/>
    <w:rsid w:val="56F87C0B"/>
    <w:rsid w:val="56FBCEE3"/>
    <w:rsid w:val="56FD71FB"/>
    <w:rsid w:val="56FF88AD"/>
    <w:rsid w:val="5702B2E3"/>
    <w:rsid w:val="5704DFA9"/>
    <w:rsid w:val="57089C89"/>
    <w:rsid w:val="570E06FE"/>
    <w:rsid w:val="5710A70B"/>
    <w:rsid w:val="57167305"/>
    <w:rsid w:val="57192B99"/>
    <w:rsid w:val="571A5862"/>
    <w:rsid w:val="571BA338"/>
    <w:rsid w:val="571F125F"/>
    <w:rsid w:val="5723F8F0"/>
    <w:rsid w:val="57262F0F"/>
    <w:rsid w:val="57271619"/>
    <w:rsid w:val="57303196"/>
    <w:rsid w:val="5734A3DD"/>
    <w:rsid w:val="5738DF73"/>
    <w:rsid w:val="5748D5EB"/>
    <w:rsid w:val="574A3E11"/>
    <w:rsid w:val="574FA274"/>
    <w:rsid w:val="57506A8B"/>
    <w:rsid w:val="575211F2"/>
    <w:rsid w:val="5759FC49"/>
    <w:rsid w:val="575AF912"/>
    <w:rsid w:val="575F82D3"/>
    <w:rsid w:val="57632C63"/>
    <w:rsid w:val="576B3A47"/>
    <w:rsid w:val="576F8515"/>
    <w:rsid w:val="576FBF46"/>
    <w:rsid w:val="57805F6A"/>
    <w:rsid w:val="578A10AE"/>
    <w:rsid w:val="578C1F18"/>
    <w:rsid w:val="579DAD97"/>
    <w:rsid w:val="579EAF21"/>
    <w:rsid w:val="579F3638"/>
    <w:rsid w:val="57A5A314"/>
    <w:rsid w:val="57AA057D"/>
    <w:rsid w:val="57B87E5A"/>
    <w:rsid w:val="57B90811"/>
    <w:rsid w:val="57BAD524"/>
    <w:rsid w:val="57BD0027"/>
    <w:rsid w:val="57C80332"/>
    <w:rsid w:val="57CA2CC6"/>
    <w:rsid w:val="57D46565"/>
    <w:rsid w:val="57D6052D"/>
    <w:rsid w:val="57D7F90B"/>
    <w:rsid w:val="57D991FD"/>
    <w:rsid w:val="57DA8E1C"/>
    <w:rsid w:val="57EC5E18"/>
    <w:rsid w:val="57F6F9D0"/>
    <w:rsid w:val="57FB0B8C"/>
    <w:rsid w:val="58033F08"/>
    <w:rsid w:val="58059A64"/>
    <w:rsid w:val="5808AF3E"/>
    <w:rsid w:val="580CEFB3"/>
    <w:rsid w:val="580D5583"/>
    <w:rsid w:val="580E530D"/>
    <w:rsid w:val="5810CC0C"/>
    <w:rsid w:val="581D2762"/>
    <w:rsid w:val="581F6309"/>
    <w:rsid w:val="5826620F"/>
    <w:rsid w:val="58267117"/>
    <w:rsid w:val="58269E83"/>
    <w:rsid w:val="582DCB80"/>
    <w:rsid w:val="58449EC4"/>
    <w:rsid w:val="585A29B4"/>
    <w:rsid w:val="585B628F"/>
    <w:rsid w:val="586A0C04"/>
    <w:rsid w:val="586AF194"/>
    <w:rsid w:val="586B9DAC"/>
    <w:rsid w:val="5871786B"/>
    <w:rsid w:val="58745491"/>
    <w:rsid w:val="587A6A07"/>
    <w:rsid w:val="587AB301"/>
    <w:rsid w:val="5889535F"/>
    <w:rsid w:val="588C482C"/>
    <w:rsid w:val="588F75C9"/>
    <w:rsid w:val="5891FB79"/>
    <w:rsid w:val="58934EC0"/>
    <w:rsid w:val="58948834"/>
    <w:rsid w:val="589A20B4"/>
    <w:rsid w:val="589BD4D7"/>
    <w:rsid w:val="589CB7F9"/>
    <w:rsid w:val="589EAE4B"/>
    <w:rsid w:val="58A7C16A"/>
    <w:rsid w:val="58A8D0E1"/>
    <w:rsid w:val="58B532D6"/>
    <w:rsid w:val="58B53565"/>
    <w:rsid w:val="58B5DD96"/>
    <w:rsid w:val="58BFFA24"/>
    <w:rsid w:val="58C0152D"/>
    <w:rsid w:val="58C721D4"/>
    <w:rsid w:val="58C80418"/>
    <w:rsid w:val="58C99912"/>
    <w:rsid w:val="58D45EC5"/>
    <w:rsid w:val="58D730DD"/>
    <w:rsid w:val="58D7940B"/>
    <w:rsid w:val="58DA9531"/>
    <w:rsid w:val="58E06BDF"/>
    <w:rsid w:val="58E22419"/>
    <w:rsid w:val="58E44F41"/>
    <w:rsid w:val="58E95881"/>
    <w:rsid w:val="58EE0DE5"/>
    <w:rsid w:val="58F0D697"/>
    <w:rsid w:val="58F78A53"/>
    <w:rsid w:val="58F81DF1"/>
    <w:rsid w:val="58FAE8EF"/>
    <w:rsid w:val="58FDC046"/>
    <w:rsid w:val="590244C5"/>
    <w:rsid w:val="590442CE"/>
    <w:rsid w:val="5908A377"/>
    <w:rsid w:val="5908B0F2"/>
    <w:rsid w:val="5908C691"/>
    <w:rsid w:val="590C4F77"/>
    <w:rsid w:val="590FC205"/>
    <w:rsid w:val="590FEB02"/>
    <w:rsid w:val="5913F727"/>
    <w:rsid w:val="591AA179"/>
    <w:rsid w:val="591EECDE"/>
    <w:rsid w:val="5930CF51"/>
    <w:rsid w:val="5933D826"/>
    <w:rsid w:val="5934EE5D"/>
    <w:rsid w:val="593A2DB5"/>
    <w:rsid w:val="593E8176"/>
    <w:rsid w:val="594079B4"/>
    <w:rsid w:val="5945A056"/>
    <w:rsid w:val="5953B936"/>
    <w:rsid w:val="5957C93D"/>
    <w:rsid w:val="595AE958"/>
    <w:rsid w:val="595B6A65"/>
    <w:rsid w:val="5961FE16"/>
    <w:rsid w:val="596F1D1B"/>
    <w:rsid w:val="5978F3BC"/>
    <w:rsid w:val="5982E344"/>
    <w:rsid w:val="59943E2F"/>
    <w:rsid w:val="59957CE9"/>
    <w:rsid w:val="59A54BA8"/>
    <w:rsid w:val="59AA1636"/>
    <w:rsid w:val="59AA7D6D"/>
    <w:rsid w:val="59BA02B1"/>
    <w:rsid w:val="59BB021C"/>
    <w:rsid w:val="59BBEB68"/>
    <w:rsid w:val="59C2B3D3"/>
    <w:rsid w:val="59C50B83"/>
    <w:rsid w:val="59D06026"/>
    <w:rsid w:val="59D72C9A"/>
    <w:rsid w:val="59D747EB"/>
    <w:rsid w:val="59DFC49A"/>
    <w:rsid w:val="59E1A577"/>
    <w:rsid w:val="59E552FE"/>
    <w:rsid w:val="59EA2084"/>
    <w:rsid w:val="59ED5EA6"/>
    <w:rsid w:val="59F1C8BB"/>
    <w:rsid w:val="59F26437"/>
    <w:rsid w:val="59F51B90"/>
    <w:rsid w:val="59F8CE19"/>
    <w:rsid w:val="59F97D0A"/>
    <w:rsid w:val="59FEE284"/>
    <w:rsid w:val="5A0AD334"/>
    <w:rsid w:val="5A0E4213"/>
    <w:rsid w:val="5A128F09"/>
    <w:rsid w:val="5A3573C4"/>
    <w:rsid w:val="5A3BE20D"/>
    <w:rsid w:val="5A459A13"/>
    <w:rsid w:val="5A5485E0"/>
    <w:rsid w:val="5A54B51B"/>
    <w:rsid w:val="5A6B03E7"/>
    <w:rsid w:val="5A6D489E"/>
    <w:rsid w:val="5A7FDE13"/>
    <w:rsid w:val="5A948D67"/>
    <w:rsid w:val="5A9833CE"/>
    <w:rsid w:val="5A98500B"/>
    <w:rsid w:val="5AA37E5F"/>
    <w:rsid w:val="5AAC645F"/>
    <w:rsid w:val="5ABD94ED"/>
    <w:rsid w:val="5ABEBE34"/>
    <w:rsid w:val="5AC212E4"/>
    <w:rsid w:val="5ACA10EC"/>
    <w:rsid w:val="5AD292C2"/>
    <w:rsid w:val="5AE66FF7"/>
    <w:rsid w:val="5AEDD0EF"/>
    <w:rsid w:val="5AF0258F"/>
    <w:rsid w:val="5AF342A7"/>
    <w:rsid w:val="5B0312D0"/>
    <w:rsid w:val="5B064294"/>
    <w:rsid w:val="5B09DCEE"/>
    <w:rsid w:val="5B0CB380"/>
    <w:rsid w:val="5B0EF1A1"/>
    <w:rsid w:val="5B1BAE90"/>
    <w:rsid w:val="5B24B9D2"/>
    <w:rsid w:val="5B2804AB"/>
    <w:rsid w:val="5B30248F"/>
    <w:rsid w:val="5B3C241C"/>
    <w:rsid w:val="5B46B444"/>
    <w:rsid w:val="5B4FE3F7"/>
    <w:rsid w:val="5B5034F4"/>
    <w:rsid w:val="5B545396"/>
    <w:rsid w:val="5B584DE8"/>
    <w:rsid w:val="5B633010"/>
    <w:rsid w:val="5B67B9C7"/>
    <w:rsid w:val="5B79FB03"/>
    <w:rsid w:val="5B7CF666"/>
    <w:rsid w:val="5B7ED74A"/>
    <w:rsid w:val="5B8763BD"/>
    <w:rsid w:val="5B87C817"/>
    <w:rsid w:val="5B8F446B"/>
    <w:rsid w:val="5B9040D5"/>
    <w:rsid w:val="5B9A60C9"/>
    <w:rsid w:val="5BA5D918"/>
    <w:rsid w:val="5BADE0E3"/>
    <w:rsid w:val="5BAE6C9F"/>
    <w:rsid w:val="5BB7F00D"/>
    <w:rsid w:val="5BBBC94A"/>
    <w:rsid w:val="5BCBD6B3"/>
    <w:rsid w:val="5BCE7EF9"/>
    <w:rsid w:val="5BDBC7A6"/>
    <w:rsid w:val="5BEC95C6"/>
    <w:rsid w:val="5BF2398F"/>
    <w:rsid w:val="5BF571B0"/>
    <w:rsid w:val="5BF933E5"/>
    <w:rsid w:val="5C05A5C8"/>
    <w:rsid w:val="5C0C96EC"/>
    <w:rsid w:val="5C11F0AF"/>
    <w:rsid w:val="5C13C443"/>
    <w:rsid w:val="5C14E2F1"/>
    <w:rsid w:val="5C1C2734"/>
    <w:rsid w:val="5C1FCB76"/>
    <w:rsid w:val="5C203CD1"/>
    <w:rsid w:val="5C3384A9"/>
    <w:rsid w:val="5C373B86"/>
    <w:rsid w:val="5C3AC8B8"/>
    <w:rsid w:val="5C3D720F"/>
    <w:rsid w:val="5C4D2C57"/>
    <w:rsid w:val="5C53A4D1"/>
    <w:rsid w:val="5C5489A5"/>
    <w:rsid w:val="5C5FADA5"/>
    <w:rsid w:val="5C6AD51C"/>
    <w:rsid w:val="5C6DB30C"/>
    <w:rsid w:val="5C72E314"/>
    <w:rsid w:val="5C74CE15"/>
    <w:rsid w:val="5C7E3D7C"/>
    <w:rsid w:val="5C7E6D08"/>
    <w:rsid w:val="5C823F59"/>
    <w:rsid w:val="5C838734"/>
    <w:rsid w:val="5C852419"/>
    <w:rsid w:val="5C8C62FC"/>
    <w:rsid w:val="5C927C0F"/>
    <w:rsid w:val="5CA1BC15"/>
    <w:rsid w:val="5CA2116B"/>
    <w:rsid w:val="5CA856B8"/>
    <w:rsid w:val="5CAD3E5E"/>
    <w:rsid w:val="5CAE50B3"/>
    <w:rsid w:val="5CAEA8C8"/>
    <w:rsid w:val="5CB92BE0"/>
    <w:rsid w:val="5CB96F99"/>
    <w:rsid w:val="5CC8202F"/>
    <w:rsid w:val="5CCB5D78"/>
    <w:rsid w:val="5CD163A5"/>
    <w:rsid w:val="5CD19BDE"/>
    <w:rsid w:val="5CD7BD4C"/>
    <w:rsid w:val="5CDA3369"/>
    <w:rsid w:val="5CE26544"/>
    <w:rsid w:val="5CF19723"/>
    <w:rsid w:val="5CFEED16"/>
    <w:rsid w:val="5D0271F6"/>
    <w:rsid w:val="5D02B81F"/>
    <w:rsid w:val="5D09B878"/>
    <w:rsid w:val="5D0C8166"/>
    <w:rsid w:val="5D11A5E4"/>
    <w:rsid w:val="5D13E81F"/>
    <w:rsid w:val="5D15DD79"/>
    <w:rsid w:val="5D198D90"/>
    <w:rsid w:val="5D1AA7AB"/>
    <w:rsid w:val="5D253B20"/>
    <w:rsid w:val="5D306CD4"/>
    <w:rsid w:val="5D3B2BD9"/>
    <w:rsid w:val="5D3FFD36"/>
    <w:rsid w:val="5D42D8AA"/>
    <w:rsid w:val="5D4B0D5F"/>
    <w:rsid w:val="5D593C71"/>
    <w:rsid w:val="5D5AA292"/>
    <w:rsid w:val="5D5FF7D2"/>
    <w:rsid w:val="5D607302"/>
    <w:rsid w:val="5D679040"/>
    <w:rsid w:val="5D67A259"/>
    <w:rsid w:val="5D6AE580"/>
    <w:rsid w:val="5D6B0E24"/>
    <w:rsid w:val="5D6BF9FE"/>
    <w:rsid w:val="5D6F1E80"/>
    <w:rsid w:val="5D794500"/>
    <w:rsid w:val="5D7BA343"/>
    <w:rsid w:val="5D7F19B3"/>
    <w:rsid w:val="5D8572F7"/>
    <w:rsid w:val="5D8610DC"/>
    <w:rsid w:val="5D8A04E0"/>
    <w:rsid w:val="5D916E29"/>
    <w:rsid w:val="5DB8B3ED"/>
    <w:rsid w:val="5DC2582A"/>
    <w:rsid w:val="5DCAB841"/>
    <w:rsid w:val="5DCD2B3C"/>
    <w:rsid w:val="5DCEA30E"/>
    <w:rsid w:val="5DDA9765"/>
    <w:rsid w:val="5DDEF2DC"/>
    <w:rsid w:val="5DE11E7A"/>
    <w:rsid w:val="5DE83049"/>
    <w:rsid w:val="5DF09200"/>
    <w:rsid w:val="5DFC00E0"/>
    <w:rsid w:val="5E010851"/>
    <w:rsid w:val="5E023FDC"/>
    <w:rsid w:val="5E062F22"/>
    <w:rsid w:val="5E063FAF"/>
    <w:rsid w:val="5E089E0D"/>
    <w:rsid w:val="5E0B9227"/>
    <w:rsid w:val="5E11F299"/>
    <w:rsid w:val="5E12AD9F"/>
    <w:rsid w:val="5E1493AB"/>
    <w:rsid w:val="5E1C4876"/>
    <w:rsid w:val="5E1CBE12"/>
    <w:rsid w:val="5E1D5CCC"/>
    <w:rsid w:val="5E1D6938"/>
    <w:rsid w:val="5E1F440A"/>
    <w:rsid w:val="5E2743D8"/>
    <w:rsid w:val="5E2F59CE"/>
    <w:rsid w:val="5E379F35"/>
    <w:rsid w:val="5E42DEEE"/>
    <w:rsid w:val="5E457CF5"/>
    <w:rsid w:val="5E4E0E28"/>
    <w:rsid w:val="5E548D0D"/>
    <w:rsid w:val="5E589BBE"/>
    <w:rsid w:val="5E5DA760"/>
    <w:rsid w:val="5E61DAB6"/>
    <w:rsid w:val="5E6484BC"/>
    <w:rsid w:val="5E654440"/>
    <w:rsid w:val="5E7113E1"/>
    <w:rsid w:val="5E719748"/>
    <w:rsid w:val="5E721E47"/>
    <w:rsid w:val="5E79DB71"/>
    <w:rsid w:val="5E7A90A2"/>
    <w:rsid w:val="5E841222"/>
    <w:rsid w:val="5E88674A"/>
    <w:rsid w:val="5E961084"/>
    <w:rsid w:val="5EA62E2C"/>
    <w:rsid w:val="5EAE25BC"/>
    <w:rsid w:val="5EB37442"/>
    <w:rsid w:val="5EB5122E"/>
    <w:rsid w:val="5EBCF7D5"/>
    <w:rsid w:val="5EC2DCF0"/>
    <w:rsid w:val="5EC3E5CB"/>
    <w:rsid w:val="5EC454C7"/>
    <w:rsid w:val="5EC69FA3"/>
    <w:rsid w:val="5ED58258"/>
    <w:rsid w:val="5EDA0047"/>
    <w:rsid w:val="5EDAC743"/>
    <w:rsid w:val="5EDD4A96"/>
    <w:rsid w:val="5EE83BF1"/>
    <w:rsid w:val="5EEBCFAA"/>
    <w:rsid w:val="5EF4EA84"/>
    <w:rsid w:val="5EF5FADE"/>
    <w:rsid w:val="5F07455A"/>
    <w:rsid w:val="5F07C313"/>
    <w:rsid w:val="5F0DB126"/>
    <w:rsid w:val="5F11FD16"/>
    <w:rsid w:val="5F13C3DA"/>
    <w:rsid w:val="5F192D80"/>
    <w:rsid w:val="5F1AEA14"/>
    <w:rsid w:val="5F25AF9D"/>
    <w:rsid w:val="5F2DE568"/>
    <w:rsid w:val="5F346DF9"/>
    <w:rsid w:val="5F3AAE9C"/>
    <w:rsid w:val="5F3C8362"/>
    <w:rsid w:val="5F4422FB"/>
    <w:rsid w:val="5F478E5F"/>
    <w:rsid w:val="5F4AA085"/>
    <w:rsid w:val="5F5380A8"/>
    <w:rsid w:val="5F6983F1"/>
    <w:rsid w:val="5F704293"/>
    <w:rsid w:val="5F706A17"/>
    <w:rsid w:val="5F7175F6"/>
    <w:rsid w:val="5F730127"/>
    <w:rsid w:val="5F77F319"/>
    <w:rsid w:val="5F795281"/>
    <w:rsid w:val="5F7D3E8A"/>
    <w:rsid w:val="5F7DC715"/>
    <w:rsid w:val="5F7FAD5C"/>
    <w:rsid w:val="5F7FCC2D"/>
    <w:rsid w:val="5F8AE97C"/>
    <w:rsid w:val="5F97909D"/>
    <w:rsid w:val="5F979160"/>
    <w:rsid w:val="5F9E8061"/>
    <w:rsid w:val="5FAA4F04"/>
    <w:rsid w:val="5FAD02F2"/>
    <w:rsid w:val="5FB51FFA"/>
    <w:rsid w:val="5FB9FCF4"/>
    <w:rsid w:val="5FBA73CB"/>
    <w:rsid w:val="5FC55870"/>
    <w:rsid w:val="5FC89722"/>
    <w:rsid w:val="5FCA23C0"/>
    <w:rsid w:val="5FD704B0"/>
    <w:rsid w:val="5FD80741"/>
    <w:rsid w:val="5FD992F1"/>
    <w:rsid w:val="5FD9BC14"/>
    <w:rsid w:val="5FE594C7"/>
    <w:rsid w:val="5FE7CFA7"/>
    <w:rsid w:val="5FF08F94"/>
    <w:rsid w:val="5FF22013"/>
    <w:rsid w:val="5FF8FD4E"/>
    <w:rsid w:val="6000F9B2"/>
    <w:rsid w:val="6004E830"/>
    <w:rsid w:val="60128CFF"/>
    <w:rsid w:val="60155DD1"/>
    <w:rsid w:val="60163743"/>
    <w:rsid w:val="6016DC80"/>
    <w:rsid w:val="601CC028"/>
    <w:rsid w:val="601DA029"/>
    <w:rsid w:val="6025CCC2"/>
    <w:rsid w:val="602CB12B"/>
    <w:rsid w:val="6032FE60"/>
    <w:rsid w:val="60359A79"/>
    <w:rsid w:val="6037FAE7"/>
    <w:rsid w:val="603998DA"/>
    <w:rsid w:val="603A218A"/>
    <w:rsid w:val="603AC3FC"/>
    <w:rsid w:val="603C1B39"/>
    <w:rsid w:val="604B1DED"/>
    <w:rsid w:val="60510A32"/>
    <w:rsid w:val="6066C84A"/>
    <w:rsid w:val="606C6A4F"/>
    <w:rsid w:val="606D9E52"/>
    <w:rsid w:val="606EA307"/>
    <w:rsid w:val="606EC396"/>
    <w:rsid w:val="60764D8E"/>
    <w:rsid w:val="6076D3DE"/>
    <w:rsid w:val="607D9181"/>
    <w:rsid w:val="607E3900"/>
    <w:rsid w:val="608E3709"/>
    <w:rsid w:val="609211E8"/>
    <w:rsid w:val="609E41B4"/>
    <w:rsid w:val="60A2B184"/>
    <w:rsid w:val="60A8B9CF"/>
    <w:rsid w:val="60ADB724"/>
    <w:rsid w:val="60B35477"/>
    <w:rsid w:val="60B49DA1"/>
    <w:rsid w:val="60B6A9F7"/>
    <w:rsid w:val="60B8DA24"/>
    <w:rsid w:val="60C5DB10"/>
    <w:rsid w:val="60D4C531"/>
    <w:rsid w:val="60D7308D"/>
    <w:rsid w:val="60D90C7B"/>
    <w:rsid w:val="60D93B04"/>
    <w:rsid w:val="60D99D3D"/>
    <w:rsid w:val="60DE4A39"/>
    <w:rsid w:val="60EAC1AF"/>
    <w:rsid w:val="60F0F955"/>
    <w:rsid w:val="60F522A2"/>
    <w:rsid w:val="60F6D2E0"/>
    <w:rsid w:val="60FD0CB4"/>
    <w:rsid w:val="61059CB7"/>
    <w:rsid w:val="61060B7C"/>
    <w:rsid w:val="610A7319"/>
    <w:rsid w:val="610AD8D3"/>
    <w:rsid w:val="610B3915"/>
    <w:rsid w:val="610F0B21"/>
    <w:rsid w:val="6111A156"/>
    <w:rsid w:val="61129C95"/>
    <w:rsid w:val="611ECB3D"/>
    <w:rsid w:val="611FD55E"/>
    <w:rsid w:val="61238925"/>
    <w:rsid w:val="61240C3B"/>
    <w:rsid w:val="6124E666"/>
    <w:rsid w:val="6127D62B"/>
    <w:rsid w:val="6130ACFE"/>
    <w:rsid w:val="61361A2E"/>
    <w:rsid w:val="613EC67B"/>
    <w:rsid w:val="613F4737"/>
    <w:rsid w:val="61406188"/>
    <w:rsid w:val="6146F05E"/>
    <w:rsid w:val="61550573"/>
    <w:rsid w:val="6168229F"/>
    <w:rsid w:val="616FCC18"/>
    <w:rsid w:val="617629D8"/>
    <w:rsid w:val="6177CD90"/>
    <w:rsid w:val="617E0C1D"/>
    <w:rsid w:val="617FBDCE"/>
    <w:rsid w:val="61833269"/>
    <w:rsid w:val="61910941"/>
    <w:rsid w:val="6191EF65"/>
    <w:rsid w:val="61934B6B"/>
    <w:rsid w:val="6197A95A"/>
    <w:rsid w:val="6199775D"/>
    <w:rsid w:val="61A97EE6"/>
    <w:rsid w:val="61AB9BA8"/>
    <w:rsid w:val="61ADAF3A"/>
    <w:rsid w:val="61ADBEA1"/>
    <w:rsid w:val="61B2E23A"/>
    <w:rsid w:val="61B5B1A0"/>
    <w:rsid w:val="61BDE73E"/>
    <w:rsid w:val="61C0187E"/>
    <w:rsid w:val="61C74B5C"/>
    <w:rsid w:val="61C94D1E"/>
    <w:rsid w:val="61D0865C"/>
    <w:rsid w:val="61E38471"/>
    <w:rsid w:val="61E40711"/>
    <w:rsid w:val="61ECAD79"/>
    <w:rsid w:val="61FA6B6A"/>
    <w:rsid w:val="62086945"/>
    <w:rsid w:val="6223F728"/>
    <w:rsid w:val="62277BC0"/>
    <w:rsid w:val="622A3636"/>
    <w:rsid w:val="622DA755"/>
    <w:rsid w:val="6232E83C"/>
    <w:rsid w:val="623544B1"/>
    <w:rsid w:val="623C859B"/>
    <w:rsid w:val="623DA660"/>
    <w:rsid w:val="6243575B"/>
    <w:rsid w:val="62438004"/>
    <w:rsid w:val="624DF2EF"/>
    <w:rsid w:val="62528AD6"/>
    <w:rsid w:val="62536AE6"/>
    <w:rsid w:val="625B3296"/>
    <w:rsid w:val="625C1EC6"/>
    <w:rsid w:val="626A5059"/>
    <w:rsid w:val="626ADEBC"/>
    <w:rsid w:val="626B8A5D"/>
    <w:rsid w:val="626EF9D9"/>
    <w:rsid w:val="6270BE7C"/>
    <w:rsid w:val="6270C282"/>
    <w:rsid w:val="62756C7E"/>
    <w:rsid w:val="627688EF"/>
    <w:rsid w:val="6277C1F3"/>
    <w:rsid w:val="627C4687"/>
    <w:rsid w:val="627E4A1E"/>
    <w:rsid w:val="627F0006"/>
    <w:rsid w:val="6284431D"/>
    <w:rsid w:val="629A577A"/>
    <w:rsid w:val="629EB262"/>
    <w:rsid w:val="62AB78D2"/>
    <w:rsid w:val="62AE077A"/>
    <w:rsid w:val="62AF5297"/>
    <w:rsid w:val="62B329F3"/>
    <w:rsid w:val="62B500BE"/>
    <w:rsid w:val="62B908D0"/>
    <w:rsid w:val="62BC5D35"/>
    <w:rsid w:val="62BD4996"/>
    <w:rsid w:val="62BF78FB"/>
    <w:rsid w:val="62BFFBDD"/>
    <w:rsid w:val="62C558B2"/>
    <w:rsid w:val="62CCF97C"/>
    <w:rsid w:val="62D6D1FA"/>
    <w:rsid w:val="62DB6F35"/>
    <w:rsid w:val="62DDAF45"/>
    <w:rsid w:val="62DDF3D0"/>
    <w:rsid w:val="62DE12AA"/>
    <w:rsid w:val="62DE1CCE"/>
    <w:rsid w:val="62E19820"/>
    <w:rsid w:val="62E27925"/>
    <w:rsid w:val="62E61623"/>
    <w:rsid w:val="62EBEEB2"/>
    <w:rsid w:val="62EE4254"/>
    <w:rsid w:val="62F06B9B"/>
    <w:rsid w:val="62F9254A"/>
    <w:rsid w:val="62F95B3B"/>
    <w:rsid w:val="62FD36DA"/>
    <w:rsid w:val="63022767"/>
    <w:rsid w:val="6308A9EB"/>
    <w:rsid w:val="630A3C73"/>
    <w:rsid w:val="630BCB4E"/>
    <w:rsid w:val="630C129F"/>
    <w:rsid w:val="6310DB66"/>
    <w:rsid w:val="63119FA9"/>
    <w:rsid w:val="6311F99A"/>
    <w:rsid w:val="631356A9"/>
    <w:rsid w:val="63162DC9"/>
    <w:rsid w:val="631D2FE4"/>
    <w:rsid w:val="631FCDEE"/>
    <w:rsid w:val="63231EBB"/>
    <w:rsid w:val="6325BC11"/>
    <w:rsid w:val="63269BC2"/>
    <w:rsid w:val="632EC71A"/>
    <w:rsid w:val="632F3B11"/>
    <w:rsid w:val="6330315C"/>
    <w:rsid w:val="633294FA"/>
    <w:rsid w:val="63396408"/>
    <w:rsid w:val="633B1E9B"/>
    <w:rsid w:val="6341CF56"/>
    <w:rsid w:val="6342D55A"/>
    <w:rsid w:val="63431168"/>
    <w:rsid w:val="63446CE0"/>
    <w:rsid w:val="63523B75"/>
    <w:rsid w:val="63561EC5"/>
    <w:rsid w:val="635A5843"/>
    <w:rsid w:val="635EBF35"/>
    <w:rsid w:val="635FEB39"/>
    <w:rsid w:val="636B661F"/>
    <w:rsid w:val="636D9EB2"/>
    <w:rsid w:val="637FCE25"/>
    <w:rsid w:val="6384238C"/>
    <w:rsid w:val="6393BA12"/>
    <w:rsid w:val="6394FD0F"/>
    <w:rsid w:val="63966E7C"/>
    <w:rsid w:val="63981B53"/>
    <w:rsid w:val="63A21B74"/>
    <w:rsid w:val="63A29A51"/>
    <w:rsid w:val="63A4344A"/>
    <w:rsid w:val="63A4F064"/>
    <w:rsid w:val="63A53351"/>
    <w:rsid w:val="63A540B6"/>
    <w:rsid w:val="63A940FA"/>
    <w:rsid w:val="63AA5C76"/>
    <w:rsid w:val="63BA566E"/>
    <w:rsid w:val="63BAC78D"/>
    <w:rsid w:val="63BE5C35"/>
    <w:rsid w:val="63C06FA0"/>
    <w:rsid w:val="63C8E41B"/>
    <w:rsid w:val="63C91B32"/>
    <w:rsid w:val="63CAEC32"/>
    <w:rsid w:val="63CBDC54"/>
    <w:rsid w:val="63CBEC2A"/>
    <w:rsid w:val="63CCE6CD"/>
    <w:rsid w:val="63CF6D85"/>
    <w:rsid w:val="63CFDDFC"/>
    <w:rsid w:val="63D3135E"/>
    <w:rsid w:val="63D4FC3A"/>
    <w:rsid w:val="63D72916"/>
    <w:rsid w:val="63E444BD"/>
    <w:rsid w:val="63F2F305"/>
    <w:rsid w:val="63F3432C"/>
    <w:rsid w:val="63FBAF27"/>
    <w:rsid w:val="63FD989D"/>
    <w:rsid w:val="64000D5F"/>
    <w:rsid w:val="6405D559"/>
    <w:rsid w:val="6405E1BC"/>
    <w:rsid w:val="640B6F3D"/>
    <w:rsid w:val="640E3421"/>
    <w:rsid w:val="640F701F"/>
    <w:rsid w:val="6412060D"/>
    <w:rsid w:val="6413E7DA"/>
    <w:rsid w:val="64168B5F"/>
    <w:rsid w:val="641F9C2D"/>
    <w:rsid w:val="6422A9BD"/>
    <w:rsid w:val="6423238B"/>
    <w:rsid w:val="642C2BEC"/>
    <w:rsid w:val="642E3023"/>
    <w:rsid w:val="64342B4E"/>
    <w:rsid w:val="64358ECD"/>
    <w:rsid w:val="64383423"/>
    <w:rsid w:val="643879C6"/>
    <w:rsid w:val="643BA113"/>
    <w:rsid w:val="6442B300"/>
    <w:rsid w:val="6446C04F"/>
    <w:rsid w:val="644AED51"/>
    <w:rsid w:val="6452D07A"/>
    <w:rsid w:val="6458A736"/>
    <w:rsid w:val="645A7129"/>
    <w:rsid w:val="645DD7B3"/>
    <w:rsid w:val="64641B1D"/>
    <w:rsid w:val="64652363"/>
    <w:rsid w:val="646D1BEB"/>
    <w:rsid w:val="64714D08"/>
    <w:rsid w:val="6479F8CB"/>
    <w:rsid w:val="647B5B8D"/>
    <w:rsid w:val="649A960D"/>
    <w:rsid w:val="64A076EB"/>
    <w:rsid w:val="64A32626"/>
    <w:rsid w:val="64A38EA9"/>
    <w:rsid w:val="64A68A33"/>
    <w:rsid w:val="64A7E300"/>
    <w:rsid w:val="64A92531"/>
    <w:rsid w:val="64B43AFC"/>
    <w:rsid w:val="64B79C55"/>
    <w:rsid w:val="64BEA223"/>
    <w:rsid w:val="64C16A64"/>
    <w:rsid w:val="64C2CB99"/>
    <w:rsid w:val="64CA7B64"/>
    <w:rsid w:val="64D33710"/>
    <w:rsid w:val="64D5E445"/>
    <w:rsid w:val="64DB231D"/>
    <w:rsid w:val="64DB2682"/>
    <w:rsid w:val="64DEF091"/>
    <w:rsid w:val="64E1B5FD"/>
    <w:rsid w:val="64E97886"/>
    <w:rsid w:val="64F5A6FF"/>
    <w:rsid w:val="64FB10B9"/>
    <w:rsid w:val="65013D9C"/>
    <w:rsid w:val="651AE3E6"/>
    <w:rsid w:val="651B29D0"/>
    <w:rsid w:val="65241529"/>
    <w:rsid w:val="6525FA15"/>
    <w:rsid w:val="652C2EDB"/>
    <w:rsid w:val="652EC9C8"/>
    <w:rsid w:val="6536378B"/>
    <w:rsid w:val="653AAB99"/>
    <w:rsid w:val="65403055"/>
    <w:rsid w:val="65435A32"/>
    <w:rsid w:val="65504E4A"/>
    <w:rsid w:val="655079AE"/>
    <w:rsid w:val="65569C80"/>
    <w:rsid w:val="6556D743"/>
    <w:rsid w:val="65595A7E"/>
    <w:rsid w:val="655EE3C3"/>
    <w:rsid w:val="65653591"/>
    <w:rsid w:val="6565E075"/>
    <w:rsid w:val="656974F5"/>
    <w:rsid w:val="656D154F"/>
    <w:rsid w:val="656D7DF4"/>
    <w:rsid w:val="656EE3BF"/>
    <w:rsid w:val="657036F2"/>
    <w:rsid w:val="65710EC8"/>
    <w:rsid w:val="6576BB8D"/>
    <w:rsid w:val="65778F66"/>
    <w:rsid w:val="657B41A5"/>
    <w:rsid w:val="657D1155"/>
    <w:rsid w:val="65865C0E"/>
    <w:rsid w:val="6586A931"/>
    <w:rsid w:val="658E1F5B"/>
    <w:rsid w:val="658EBFCF"/>
    <w:rsid w:val="65A9481A"/>
    <w:rsid w:val="65BACCA3"/>
    <w:rsid w:val="65C154C5"/>
    <w:rsid w:val="65C8D51B"/>
    <w:rsid w:val="65D0256F"/>
    <w:rsid w:val="65D0C4C0"/>
    <w:rsid w:val="65D0EA52"/>
    <w:rsid w:val="65D29E1A"/>
    <w:rsid w:val="65E5DAD5"/>
    <w:rsid w:val="65E8F89F"/>
    <w:rsid w:val="65F0BA82"/>
    <w:rsid w:val="65F8068B"/>
    <w:rsid w:val="65FBDA1B"/>
    <w:rsid w:val="6605A785"/>
    <w:rsid w:val="660B2AD2"/>
    <w:rsid w:val="661DA541"/>
    <w:rsid w:val="661F74FE"/>
    <w:rsid w:val="66236ED8"/>
    <w:rsid w:val="6624CDFB"/>
    <w:rsid w:val="662A140B"/>
    <w:rsid w:val="662F7C32"/>
    <w:rsid w:val="66320320"/>
    <w:rsid w:val="6634D8D9"/>
    <w:rsid w:val="6636B417"/>
    <w:rsid w:val="663831E0"/>
    <w:rsid w:val="6638FCE2"/>
    <w:rsid w:val="663D4CBF"/>
    <w:rsid w:val="6640C130"/>
    <w:rsid w:val="6643B361"/>
    <w:rsid w:val="664A0DFD"/>
    <w:rsid w:val="664D18D4"/>
    <w:rsid w:val="6651C63E"/>
    <w:rsid w:val="6657D6A0"/>
    <w:rsid w:val="66622A8D"/>
    <w:rsid w:val="666497D4"/>
    <w:rsid w:val="666DBADF"/>
    <w:rsid w:val="66703620"/>
    <w:rsid w:val="6670A391"/>
    <w:rsid w:val="667A6981"/>
    <w:rsid w:val="667B07B0"/>
    <w:rsid w:val="667BD9B7"/>
    <w:rsid w:val="667C0FAD"/>
    <w:rsid w:val="668473AB"/>
    <w:rsid w:val="6691007E"/>
    <w:rsid w:val="669E5CC1"/>
    <w:rsid w:val="66A6F30C"/>
    <w:rsid w:val="66B98645"/>
    <w:rsid w:val="66D07292"/>
    <w:rsid w:val="66DB5513"/>
    <w:rsid w:val="66DC3CB0"/>
    <w:rsid w:val="66E232E1"/>
    <w:rsid w:val="66E48B0E"/>
    <w:rsid w:val="66E8E3D9"/>
    <w:rsid w:val="66EB4F11"/>
    <w:rsid w:val="66EBB2EC"/>
    <w:rsid w:val="66EC7849"/>
    <w:rsid w:val="66EE62D6"/>
    <w:rsid w:val="66FEED6F"/>
    <w:rsid w:val="67049340"/>
    <w:rsid w:val="670A21CC"/>
    <w:rsid w:val="670EBDE7"/>
    <w:rsid w:val="670EEDC2"/>
    <w:rsid w:val="670FA50A"/>
    <w:rsid w:val="67168F68"/>
    <w:rsid w:val="6717587A"/>
    <w:rsid w:val="6717BDD7"/>
    <w:rsid w:val="67180529"/>
    <w:rsid w:val="671A71AD"/>
    <w:rsid w:val="6722532D"/>
    <w:rsid w:val="6729220D"/>
    <w:rsid w:val="672C247A"/>
    <w:rsid w:val="67392AE5"/>
    <w:rsid w:val="673A0E84"/>
    <w:rsid w:val="673FD317"/>
    <w:rsid w:val="6743E151"/>
    <w:rsid w:val="674BE340"/>
    <w:rsid w:val="67507EE3"/>
    <w:rsid w:val="67537FAB"/>
    <w:rsid w:val="675641C8"/>
    <w:rsid w:val="67593F8D"/>
    <w:rsid w:val="675BD853"/>
    <w:rsid w:val="675DFEA7"/>
    <w:rsid w:val="676142BD"/>
    <w:rsid w:val="676450F8"/>
    <w:rsid w:val="67648433"/>
    <w:rsid w:val="676B65D1"/>
    <w:rsid w:val="676C22F0"/>
    <w:rsid w:val="6771B68E"/>
    <w:rsid w:val="67816E3D"/>
    <w:rsid w:val="67833873"/>
    <w:rsid w:val="678435B7"/>
    <w:rsid w:val="678A133A"/>
    <w:rsid w:val="678E976B"/>
    <w:rsid w:val="679678A0"/>
    <w:rsid w:val="6799FAEC"/>
    <w:rsid w:val="679A8195"/>
    <w:rsid w:val="67A1817B"/>
    <w:rsid w:val="67A98D96"/>
    <w:rsid w:val="67ADD3F8"/>
    <w:rsid w:val="67B3B307"/>
    <w:rsid w:val="67B76FA0"/>
    <w:rsid w:val="67BCFE26"/>
    <w:rsid w:val="67C5D051"/>
    <w:rsid w:val="67CD959B"/>
    <w:rsid w:val="67D3E65C"/>
    <w:rsid w:val="67D49CEE"/>
    <w:rsid w:val="67DD46E7"/>
    <w:rsid w:val="67DF516D"/>
    <w:rsid w:val="67E4846D"/>
    <w:rsid w:val="67E78FAA"/>
    <w:rsid w:val="67E9EA39"/>
    <w:rsid w:val="67EF1283"/>
    <w:rsid w:val="67F19081"/>
    <w:rsid w:val="67F1DAC9"/>
    <w:rsid w:val="67F2831B"/>
    <w:rsid w:val="67F6BD3E"/>
    <w:rsid w:val="67FB1544"/>
    <w:rsid w:val="6806CF27"/>
    <w:rsid w:val="6809A606"/>
    <w:rsid w:val="681E061D"/>
    <w:rsid w:val="682B9DC6"/>
    <w:rsid w:val="6837148A"/>
    <w:rsid w:val="683B819D"/>
    <w:rsid w:val="6841D7F7"/>
    <w:rsid w:val="68461E1A"/>
    <w:rsid w:val="684C8897"/>
    <w:rsid w:val="684D8DD0"/>
    <w:rsid w:val="68530978"/>
    <w:rsid w:val="685CCC16"/>
    <w:rsid w:val="6862F9EB"/>
    <w:rsid w:val="6863F046"/>
    <w:rsid w:val="6865E786"/>
    <w:rsid w:val="6867A39F"/>
    <w:rsid w:val="686ACDC0"/>
    <w:rsid w:val="6871D99C"/>
    <w:rsid w:val="6877A75D"/>
    <w:rsid w:val="687C18D0"/>
    <w:rsid w:val="688D51DA"/>
    <w:rsid w:val="68909AAE"/>
    <w:rsid w:val="6895EE7C"/>
    <w:rsid w:val="68979A35"/>
    <w:rsid w:val="689DC61E"/>
    <w:rsid w:val="68A9B080"/>
    <w:rsid w:val="68AE9CDB"/>
    <w:rsid w:val="68B540B5"/>
    <w:rsid w:val="68BA1E58"/>
    <w:rsid w:val="68BC6303"/>
    <w:rsid w:val="68C076EC"/>
    <w:rsid w:val="68CAFB65"/>
    <w:rsid w:val="68CE09C8"/>
    <w:rsid w:val="68D85753"/>
    <w:rsid w:val="68E6D839"/>
    <w:rsid w:val="68EB8888"/>
    <w:rsid w:val="68FDDE39"/>
    <w:rsid w:val="690C44D1"/>
    <w:rsid w:val="690CEC8A"/>
    <w:rsid w:val="6910BFC1"/>
    <w:rsid w:val="69150E5B"/>
    <w:rsid w:val="69157600"/>
    <w:rsid w:val="691BDD53"/>
    <w:rsid w:val="691FE22E"/>
    <w:rsid w:val="69228A2E"/>
    <w:rsid w:val="69260D6E"/>
    <w:rsid w:val="692B4957"/>
    <w:rsid w:val="693A9D29"/>
    <w:rsid w:val="693AF910"/>
    <w:rsid w:val="693BF14D"/>
    <w:rsid w:val="693F76C3"/>
    <w:rsid w:val="6944F7A8"/>
    <w:rsid w:val="6945868A"/>
    <w:rsid w:val="694A0E6C"/>
    <w:rsid w:val="694CF6FA"/>
    <w:rsid w:val="69624CE5"/>
    <w:rsid w:val="696C3FB5"/>
    <w:rsid w:val="696DB856"/>
    <w:rsid w:val="6970C119"/>
    <w:rsid w:val="697B5423"/>
    <w:rsid w:val="6997C561"/>
    <w:rsid w:val="699EB781"/>
    <w:rsid w:val="69A00A93"/>
    <w:rsid w:val="69A287D6"/>
    <w:rsid w:val="69A7230D"/>
    <w:rsid w:val="69A97E7A"/>
    <w:rsid w:val="69B0608A"/>
    <w:rsid w:val="69B68A56"/>
    <w:rsid w:val="69B6F013"/>
    <w:rsid w:val="69BB736F"/>
    <w:rsid w:val="69BCD75A"/>
    <w:rsid w:val="69BF9281"/>
    <w:rsid w:val="69CB922A"/>
    <w:rsid w:val="69CED4CE"/>
    <w:rsid w:val="69CEDBA3"/>
    <w:rsid w:val="69D40F0C"/>
    <w:rsid w:val="69E12F3E"/>
    <w:rsid w:val="69E3EC27"/>
    <w:rsid w:val="69E5C8D1"/>
    <w:rsid w:val="6A01781F"/>
    <w:rsid w:val="6A046E04"/>
    <w:rsid w:val="6A0843EB"/>
    <w:rsid w:val="6A09F722"/>
    <w:rsid w:val="6A0F86CB"/>
    <w:rsid w:val="6A1501FC"/>
    <w:rsid w:val="6A15FDA0"/>
    <w:rsid w:val="6A16C477"/>
    <w:rsid w:val="6A1BD58A"/>
    <w:rsid w:val="6A1FC95A"/>
    <w:rsid w:val="6A2AA4E9"/>
    <w:rsid w:val="6A3B4C82"/>
    <w:rsid w:val="6A3D9934"/>
    <w:rsid w:val="6A3DDE8F"/>
    <w:rsid w:val="6A403DBC"/>
    <w:rsid w:val="6A409121"/>
    <w:rsid w:val="6A40D422"/>
    <w:rsid w:val="6A4356BD"/>
    <w:rsid w:val="6A4F8B19"/>
    <w:rsid w:val="6A557C00"/>
    <w:rsid w:val="6A575790"/>
    <w:rsid w:val="6A580578"/>
    <w:rsid w:val="6A613317"/>
    <w:rsid w:val="6A7CF4D8"/>
    <w:rsid w:val="6A7F89AC"/>
    <w:rsid w:val="6A7F92E7"/>
    <w:rsid w:val="6A812164"/>
    <w:rsid w:val="6A8343C9"/>
    <w:rsid w:val="6A84731F"/>
    <w:rsid w:val="6A879ECD"/>
    <w:rsid w:val="6A8C355E"/>
    <w:rsid w:val="6A922D4F"/>
    <w:rsid w:val="6AA40456"/>
    <w:rsid w:val="6AABEB7F"/>
    <w:rsid w:val="6AB6A7A4"/>
    <w:rsid w:val="6ABAC1BC"/>
    <w:rsid w:val="6ABE9FDA"/>
    <w:rsid w:val="6AC2AB78"/>
    <w:rsid w:val="6AC681A1"/>
    <w:rsid w:val="6AD1775C"/>
    <w:rsid w:val="6AD3FC55"/>
    <w:rsid w:val="6ADC0229"/>
    <w:rsid w:val="6AE6DF98"/>
    <w:rsid w:val="6AE8A8DC"/>
    <w:rsid w:val="6AEB366A"/>
    <w:rsid w:val="6AED7428"/>
    <w:rsid w:val="6AEFFE25"/>
    <w:rsid w:val="6AF5D3DB"/>
    <w:rsid w:val="6AFD8D73"/>
    <w:rsid w:val="6B1CB9A9"/>
    <w:rsid w:val="6B1D66F3"/>
    <w:rsid w:val="6B209BEC"/>
    <w:rsid w:val="6B20C1CB"/>
    <w:rsid w:val="6B264E49"/>
    <w:rsid w:val="6B27861C"/>
    <w:rsid w:val="6B2CE354"/>
    <w:rsid w:val="6B3756F3"/>
    <w:rsid w:val="6B496072"/>
    <w:rsid w:val="6B4970A7"/>
    <w:rsid w:val="6B4C967F"/>
    <w:rsid w:val="6B568BCD"/>
    <w:rsid w:val="6B61AAF4"/>
    <w:rsid w:val="6B63DB9B"/>
    <w:rsid w:val="6B6D84AA"/>
    <w:rsid w:val="6B7335A6"/>
    <w:rsid w:val="6B773CBB"/>
    <w:rsid w:val="6B80C8DE"/>
    <w:rsid w:val="6B8771FB"/>
    <w:rsid w:val="6B87DB37"/>
    <w:rsid w:val="6B8B44B1"/>
    <w:rsid w:val="6B8FBED2"/>
    <w:rsid w:val="6BA4F3ED"/>
    <w:rsid w:val="6BA9766D"/>
    <w:rsid w:val="6BB04ACD"/>
    <w:rsid w:val="6BB0A2FB"/>
    <w:rsid w:val="6BB31C34"/>
    <w:rsid w:val="6BBEB055"/>
    <w:rsid w:val="6BC516B5"/>
    <w:rsid w:val="6BE20E68"/>
    <w:rsid w:val="6BF41BA3"/>
    <w:rsid w:val="6BF4FD1B"/>
    <w:rsid w:val="6BF898BB"/>
    <w:rsid w:val="6BF9D255"/>
    <w:rsid w:val="6C00513C"/>
    <w:rsid w:val="6C0E6D99"/>
    <w:rsid w:val="6C154828"/>
    <w:rsid w:val="6C19993D"/>
    <w:rsid w:val="6C1B1B6A"/>
    <w:rsid w:val="6C1BB174"/>
    <w:rsid w:val="6C25CEFA"/>
    <w:rsid w:val="6C2878B8"/>
    <w:rsid w:val="6C2AED3A"/>
    <w:rsid w:val="6C2CF1C0"/>
    <w:rsid w:val="6C2E8E2B"/>
    <w:rsid w:val="6C2E9E9E"/>
    <w:rsid w:val="6C32447B"/>
    <w:rsid w:val="6C3C11F3"/>
    <w:rsid w:val="6C3C6B06"/>
    <w:rsid w:val="6C439841"/>
    <w:rsid w:val="6C45DCDB"/>
    <w:rsid w:val="6C52F5D6"/>
    <w:rsid w:val="6C6AF48B"/>
    <w:rsid w:val="6C80EA2B"/>
    <w:rsid w:val="6C80F282"/>
    <w:rsid w:val="6C87E8AD"/>
    <w:rsid w:val="6C8CFF51"/>
    <w:rsid w:val="6C8E7E7E"/>
    <w:rsid w:val="6C91DA6D"/>
    <w:rsid w:val="6C968B95"/>
    <w:rsid w:val="6C981D2E"/>
    <w:rsid w:val="6CA12B23"/>
    <w:rsid w:val="6CA2744B"/>
    <w:rsid w:val="6CA52373"/>
    <w:rsid w:val="6CA62DE1"/>
    <w:rsid w:val="6CBA4D62"/>
    <w:rsid w:val="6CC26863"/>
    <w:rsid w:val="6CC29808"/>
    <w:rsid w:val="6CCB227C"/>
    <w:rsid w:val="6CCD8F5E"/>
    <w:rsid w:val="6CD3EA24"/>
    <w:rsid w:val="6CD7D179"/>
    <w:rsid w:val="6CDA1238"/>
    <w:rsid w:val="6CDBB17E"/>
    <w:rsid w:val="6CE5E997"/>
    <w:rsid w:val="6CE7E3A9"/>
    <w:rsid w:val="6CEAB104"/>
    <w:rsid w:val="6CF01B7A"/>
    <w:rsid w:val="6CF98FDD"/>
    <w:rsid w:val="6CF9C693"/>
    <w:rsid w:val="6D005546"/>
    <w:rsid w:val="6D0337BD"/>
    <w:rsid w:val="6D035F7B"/>
    <w:rsid w:val="6D0D165A"/>
    <w:rsid w:val="6D0FAAA5"/>
    <w:rsid w:val="6D0FC0F4"/>
    <w:rsid w:val="6D173D7B"/>
    <w:rsid w:val="6D1AC33B"/>
    <w:rsid w:val="6D1D693D"/>
    <w:rsid w:val="6D1EB383"/>
    <w:rsid w:val="6D1FFFFB"/>
    <w:rsid w:val="6D206004"/>
    <w:rsid w:val="6D29FA6B"/>
    <w:rsid w:val="6D2D9846"/>
    <w:rsid w:val="6D303FB4"/>
    <w:rsid w:val="6D389D78"/>
    <w:rsid w:val="6D3F8EAE"/>
    <w:rsid w:val="6D409258"/>
    <w:rsid w:val="6D466B8D"/>
    <w:rsid w:val="6D4F26AB"/>
    <w:rsid w:val="6D523B54"/>
    <w:rsid w:val="6D57267B"/>
    <w:rsid w:val="6D584F63"/>
    <w:rsid w:val="6D5C7976"/>
    <w:rsid w:val="6D7CC645"/>
    <w:rsid w:val="6D80A2B2"/>
    <w:rsid w:val="6D84CE0F"/>
    <w:rsid w:val="6D8CD8F3"/>
    <w:rsid w:val="6D8F1A07"/>
    <w:rsid w:val="6D959303"/>
    <w:rsid w:val="6D989259"/>
    <w:rsid w:val="6DA22C95"/>
    <w:rsid w:val="6DA314B2"/>
    <w:rsid w:val="6DA48D3B"/>
    <w:rsid w:val="6DA887ED"/>
    <w:rsid w:val="6DAADB25"/>
    <w:rsid w:val="6DAC9D35"/>
    <w:rsid w:val="6DADF4F9"/>
    <w:rsid w:val="6DBA2D4F"/>
    <w:rsid w:val="6DBC899E"/>
    <w:rsid w:val="6DBCA2C1"/>
    <w:rsid w:val="6DBFF29E"/>
    <w:rsid w:val="6DC0BA96"/>
    <w:rsid w:val="6DC483B8"/>
    <w:rsid w:val="6DCA73E6"/>
    <w:rsid w:val="6DCF1520"/>
    <w:rsid w:val="6DD1B3DF"/>
    <w:rsid w:val="6DD77400"/>
    <w:rsid w:val="6DD9970F"/>
    <w:rsid w:val="6DD99F0F"/>
    <w:rsid w:val="6DDACC50"/>
    <w:rsid w:val="6DE71758"/>
    <w:rsid w:val="6DEDAB04"/>
    <w:rsid w:val="6DEEEC96"/>
    <w:rsid w:val="6DFA3A64"/>
    <w:rsid w:val="6DFD561C"/>
    <w:rsid w:val="6E0DBFC0"/>
    <w:rsid w:val="6E15777B"/>
    <w:rsid w:val="6E1E9482"/>
    <w:rsid w:val="6E1F592D"/>
    <w:rsid w:val="6E20557C"/>
    <w:rsid w:val="6E232755"/>
    <w:rsid w:val="6E3ACB2E"/>
    <w:rsid w:val="6E4D0A5C"/>
    <w:rsid w:val="6E50585C"/>
    <w:rsid w:val="6E5516A0"/>
    <w:rsid w:val="6E570B3C"/>
    <w:rsid w:val="6E5B26F9"/>
    <w:rsid w:val="6E62A815"/>
    <w:rsid w:val="6E698D2A"/>
    <w:rsid w:val="6E7BF7BC"/>
    <w:rsid w:val="6E7F1262"/>
    <w:rsid w:val="6E8056FC"/>
    <w:rsid w:val="6E823055"/>
    <w:rsid w:val="6E85E6D6"/>
    <w:rsid w:val="6E912625"/>
    <w:rsid w:val="6E9DC08B"/>
    <w:rsid w:val="6EA125F4"/>
    <w:rsid w:val="6EAAF84F"/>
    <w:rsid w:val="6EB0CAB6"/>
    <w:rsid w:val="6EB0CDD8"/>
    <w:rsid w:val="6EBA1259"/>
    <w:rsid w:val="6EBE54C3"/>
    <w:rsid w:val="6EC2F890"/>
    <w:rsid w:val="6EC4E944"/>
    <w:rsid w:val="6ED15063"/>
    <w:rsid w:val="6ED3469F"/>
    <w:rsid w:val="6ED711DF"/>
    <w:rsid w:val="6EE4C560"/>
    <w:rsid w:val="6EF11A81"/>
    <w:rsid w:val="6EF14214"/>
    <w:rsid w:val="6EF700C9"/>
    <w:rsid w:val="6F12A6CB"/>
    <w:rsid w:val="6F14463F"/>
    <w:rsid w:val="6F151E85"/>
    <w:rsid w:val="6F16C698"/>
    <w:rsid w:val="6F189EE1"/>
    <w:rsid w:val="6F1A54AC"/>
    <w:rsid w:val="6F1CE476"/>
    <w:rsid w:val="6F1EEB57"/>
    <w:rsid w:val="6F2903DB"/>
    <w:rsid w:val="6F295FDC"/>
    <w:rsid w:val="6F2B1922"/>
    <w:rsid w:val="6F2B4EC0"/>
    <w:rsid w:val="6F2E5B8E"/>
    <w:rsid w:val="6F35EA98"/>
    <w:rsid w:val="6F36200E"/>
    <w:rsid w:val="6F3830DA"/>
    <w:rsid w:val="6F3A4785"/>
    <w:rsid w:val="6F3AD56F"/>
    <w:rsid w:val="6F3E2830"/>
    <w:rsid w:val="6F428839"/>
    <w:rsid w:val="6F50B5CE"/>
    <w:rsid w:val="6F52BC24"/>
    <w:rsid w:val="6F5363BC"/>
    <w:rsid w:val="6F5549F4"/>
    <w:rsid w:val="6F5D5188"/>
    <w:rsid w:val="6F5D7867"/>
    <w:rsid w:val="6F637282"/>
    <w:rsid w:val="6F655754"/>
    <w:rsid w:val="6F65F3B0"/>
    <w:rsid w:val="6F66CB0D"/>
    <w:rsid w:val="6F68735E"/>
    <w:rsid w:val="6F6C6B7E"/>
    <w:rsid w:val="6F6E67B4"/>
    <w:rsid w:val="6F6F2B5F"/>
    <w:rsid w:val="6F7634A1"/>
    <w:rsid w:val="6F7CA5C2"/>
    <w:rsid w:val="6F821966"/>
    <w:rsid w:val="6F855BE0"/>
    <w:rsid w:val="6F889275"/>
    <w:rsid w:val="6F8A3E3B"/>
    <w:rsid w:val="6F908012"/>
    <w:rsid w:val="6F9C5C75"/>
    <w:rsid w:val="6FAAA2B4"/>
    <w:rsid w:val="6FAAF115"/>
    <w:rsid w:val="6FABDEBE"/>
    <w:rsid w:val="6FBF3620"/>
    <w:rsid w:val="6FC4512F"/>
    <w:rsid w:val="6FC60DC1"/>
    <w:rsid w:val="6FC8156B"/>
    <w:rsid w:val="6FCC4CA5"/>
    <w:rsid w:val="6FCC6869"/>
    <w:rsid w:val="6FD35D3B"/>
    <w:rsid w:val="6FD6BAE1"/>
    <w:rsid w:val="6FD938EA"/>
    <w:rsid w:val="6FDEDAB2"/>
    <w:rsid w:val="6FE11D42"/>
    <w:rsid w:val="6FE1D6C3"/>
    <w:rsid w:val="6FF95D6E"/>
    <w:rsid w:val="6FFC0EA2"/>
    <w:rsid w:val="70043B2D"/>
    <w:rsid w:val="700C71C2"/>
    <w:rsid w:val="701C6F54"/>
    <w:rsid w:val="701D648B"/>
    <w:rsid w:val="701F966C"/>
    <w:rsid w:val="702622BD"/>
    <w:rsid w:val="70274E4D"/>
    <w:rsid w:val="702E0DCA"/>
    <w:rsid w:val="7030AD9F"/>
    <w:rsid w:val="70331BC6"/>
    <w:rsid w:val="70497D5C"/>
    <w:rsid w:val="7050DA12"/>
    <w:rsid w:val="70525008"/>
    <w:rsid w:val="7052DB89"/>
    <w:rsid w:val="70641523"/>
    <w:rsid w:val="70646DC3"/>
    <w:rsid w:val="7067F310"/>
    <w:rsid w:val="707E399F"/>
    <w:rsid w:val="7080B9F5"/>
    <w:rsid w:val="7087AC4E"/>
    <w:rsid w:val="70885C14"/>
    <w:rsid w:val="708997CA"/>
    <w:rsid w:val="7089DB2E"/>
    <w:rsid w:val="708B14F9"/>
    <w:rsid w:val="70938ED1"/>
    <w:rsid w:val="70A0840A"/>
    <w:rsid w:val="70A1B658"/>
    <w:rsid w:val="70A343D7"/>
    <w:rsid w:val="70AC5915"/>
    <w:rsid w:val="70AD8EC4"/>
    <w:rsid w:val="70B7B290"/>
    <w:rsid w:val="70BB4115"/>
    <w:rsid w:val="70BD2616"/>
    <w:rsid w:val="70E8B45B"/>
    <w:rsid w:val="70E95F36"/>
    <w:rsid w:val="70EBAF8F"/>
    <w:rsid w:val="70EC14CC"/>
    <w:rsid w:val="70F34DCD"/>
    <w:rsid w:val="70F7A3A6"/>
    <w:rsid w:val="70F8DA47"/>
    <w:rsid w:val="70FFF1F6"/>
    <w:rsid w:val="710BE74B"/>
    <w:rsid w:val="7110C0B0"/>
    <w:rsid w:val="711ACD5A"/>
    <w:rsid w:val="711B5C3C"/>
    <w:rsid w:val="711C44E4"/>
    <w:rsid w:val="711F1BED"/>
    <w:rsid w:val="712498C3"/>
    <w:rsid w:val="7127F31F"/>
    <w:rsid w:val="712F7C7E"/>
    <w:rsid w:val="71314F7A"/>
    <w:rsid w:val="713B0212"/>
    <w:rsid w:val="713D671D"/>
    <w:rsid w:val="714014AC"/>
    <w:rsid w:val="714AB512"/>
    <w:rsid w:val="714C5EFE"/>
    <w:rsid w:val="715030BF"/>
    <w:rsid w:val="7150E6AF"/>
    <w:rsid w:val="7151CA83"/>
    <w:rsid w:val="71540C77"/>
    <w:rsid w:val="71550A07"/>
    <w:rsid w:val="71571B16"/>
    <w:rsid w:val="71589285"/>
    <w:rsid w:val="7159E9C6"/>
    <w:rsid w:val="715F43D4"/>
    <w:rsid w:val="7165189F"/>
    <w:rsid w:val="71663B8D"/>
    <w:rsid w:val="7167E53A"/>
    <w:rsid w:val="716F12D2"/>
    <w:rsid w:val="71751923"/>
    <w:rsid w:val="71802E87"/>
    <w:rsid w:val="71961B6E"/>
    <w:rsid w:val="71988130"/>
    <w:rsid w:val="719CEAB0"/>
    <w:rsid w:val="71A18028"/>
    <w:rsid w:val="71A8EC14"/>
    <w:rsid w:val="71AE0301"/>
    <w:rsid w:val="71B01983"/>
    <w:rsid w:val="71C5F365"/>
    <w:rsid w:val="71C780B5"/>
    <w:rsid w:val="71CEC3A4"/>
    <w:rsid w:val="71D9398D"/>
    <w:rsid w:val="71DA82CD"/>
    <w:rsid w:val="71DF9B8C"/>
    <w:rsid w:val="71ED3FCA"/>
    <w:rsid w:val="71F887A9"/>
    <w:rsid w:val="71FAF7C4"/>
    <w:rsid w:val="71FCBAEE"/>
    <w:rsid w:val="7205AE2E"/>
    <w:rsid w:val="7207F23D"/>
    <w:rsid w:val="720885E4"/>
    <w:rsid w:val="720910EF"/>
    <w:rsid w:val="720EF18D"/>
    <w:rsid w:val="721E999D"/>
    <w:rsid w:val="721EBE18"/>
    <w:rsid w:val="72232F01"/>
    <w:rsid w:val="722408AB"/>
    <w:rsid w:val="72266E34"/>
    <w:rsid w:val="72289C2B"/>
    <w:rsid w:val="72383213"/>
    <w:rsid w:val="7238DC88"/>
    <w:rsid w:val="7239D974"/>
    <w:rsid w:val="72507058"/>
    <w:rsid w:val="7255623C"/>
    <w:rsid w:val="725B9390"/>
    <w:rsid w:val="725DE003"/>
    <w:rsid w:val="7261009E"/>
    <w:rsid w:val="7265DE42"/>
    <w:rsid w:val="726A78A3"/>
    <w:rsid w:val="726DC26D"/>
    <w:rsid w:val="72721C10"/>
    <w:rsid w:val="7274BBED"/>
    <w:rsid w:val="7277DF7D"/>
    <w:rsid w:val="727B499A"/>
    <w:rsid w:val="728187CA"/>
    <w:rsid w:val="7283163D"/>
    <w:rsid w:val="7285B528"/>
    <w:rsid w:val="728B460D"/>
    <w:rsid w:val="729E48B3"/>
    <w:rsid w:val="72A38CFA"/>
    <w:rsid w:val="72A74331"/>
    <w:rsid w:val="72AB23D3"/>
    <w:rsid w:val="72AD919B"/>
    <w:rsid w:val="72B05A0A"/>
    <w:rsid w:val="72B69C8B"/>
    <w:rsid w:val="72BAF2F3"/>
    <w:rsid w:val="72BF1E0F"/>
    <w:rsid w:val="72CCF964"/>
    <w:rsid w:val="72D8B833"/>
    <w:rsid w:val="72DD6E4B"/>
    <w:rsid w:val="72E99037"/>
    <w:rsid w:val="72EE1FA6"/>
    <w:rsid w:val="72F0664C"/>
    <w:rsid w:val="72F123B1"/>
    <w:rsid w:val="72F6B901"/>
    <w:rsid w:val="7305FA2C"/>
    <w:rsid w:val="7307D067"/>
    <w:rsid w:val="7310C71F"/>
    <w:rsid w:val="7311C4A7"/>
    <w:rsid w:val="73142D23"/>
    <w:rsid w:val="73152A1C"/>
    <w:rsid w:val="731AC1A5"/>
    <w:rsid w:val="731E3B23"/>
    <w:rsid w:val="73208517"/>
    <w:rsid w:val="73269B92"/>
    <w:rsid w:val="7334DD1B"/>
    <w:rsid w:val="73352F27"/>
    <w:rsid w:val="733842E0"/>
    <w:rsid w:val="733EF04A"/>
    <w:rsid w:val="734248A6"/>
    <w:rsid w:val="734B9500"/>
    <w:rsid w:val="7357CAB4"/>
    <w:rsid w:val="735DF078"/>
    <w:rsid w:val="736178C1"/>
    <w:rsid w:val="73692C44"/>
    <w:rsid w:val="736D56A2"/>
    <w:rsid w:val="7370B07C"/>
    <w:rsid w:val="7371C582"/>
    <w:rsid w:val="7373FDD9"/>
    <w:rsid w:val="7379EE7F"/>
    <w:rsid w:val="7388773D"/>
    <w:rsid w:val="738F7979"/>
    <w:rsid w:val="73913955"/>
    <w:rsid w:val="7391AB0C"/>
    <w:rsid w:val="7399C6E3"/>
    <w:rsid w:val="739B132C"/>
    <w:rsid w:val="73A0046B"/>
    <w:rsid w:val="73A55D3F"/>
    <w:rsid w:val="73B0D03E"/>
    <w:rsid w:val="73B348CC"/>
    <w:rsid w:val="73BA1CB3"/>
    <w:rsid w:val="73BA4907"/>
    <w:rsid w:val="73C037B4"/>
    <w:rsid w:val="73C0F7DF"/>
    <w:rsid w:val="73C66795"/>
    <w:rsid w:val="73D1DAB4"/>
    <w:rsid w:val="73E1E83E"/>
    <w:rsid w:val="73ECC5AA"/>
    <w:rsid w:val="73EF4A79"/>
    <w:rsid w:val="73F6EA46"/>
    <w:rsid w:val="73F9F4A2"/>
    <w:rsid w:val="73FAB446"/>
    <w:rsid w:val="74086DC4"/>
    <w:rsid w:val="740CD0D2"/>
    <w:rsid w:val="7412CED7"/>
    <w:rsid w:val="74194907"/>
    <w:rsid w:val="741C3C38"/>
    <w:rsid w:val="741F55F3"/>
    <w:rsid w:val="74233AE7"/>
    <w:rsid w:val="742A7B2E"/>
    <w:rsid w:val="742E158E"/>
    <w:rsid w:val="7432086D"/>
    <w:rsid w:val="74383DE1"/>
    <w:rsid w:val="7438CB13"/>
    <w:rsid w:val="743B7BFA"/>
    <w:rsid w:val="743F5E42"/>
    <w:rsid w:val="744CEB7D"/>
    <w:rsid w:val="7450DA2D"/>
    <w:rsid w:val="745196F2"/>
    <w:rsid w:val="746239D7"/>
    <w:rsid w:val="746A537C"/>
    <w:rsid w:val="746B5076"/>
    <w:rsid w:val="746C4998"/>
    <w:rsid w:val="746E2145"/>
    <w:rsid w:val="746F93E4"/>
    <w:rsid w:val="7470E49A"/>
    <w:rsid w:val="7473B3B3"/>
    <w:rsid w:val="74802094"/>
    <w:rsid w:val="74806CDF"/>
    <w:rsid w:val="74921B0B"/>
    <w:rsid w:val="74947219"/>
    <w:rsid w:val="7495CE2D"/>
    <w:rsid w:val="749C779B"/>
    <w:rsid w:val="749F49B7"/>
    <w:rsid w:val="74A2F2BD"/>
    <w:rsid w:val="74AEFECB"/>
    <w:rsid w:val="74B11638"/>
    <w:rsid w:val="74B1A999"/>
    <w:rsid w:val="74B69102"/>
    <w:rsid w:val="74B96214"/>
    <w:rsid w:val="74BDCF47"/>
    <w:rsid w:val="74BF41FD"/>
    <w:rsid w:val="74C3AC42"/>
    <w:rsid w:val="74C9AF73"/>
    <w:rsid w:val="74D2B06F"/>
    <w:rsid w:val="74D3B6BE"/>
    <w:rsid w:val="74D7E9D7"/>
    <w:rsid w:val="74DB09D1"/>
    <w:rsid w:val="74DD4317"/>
    <w:rsid w:val="74E72AB4"/>
    <w:rsid w:val="74EEDB32"/>
    <w:rsid w:val="74EF0C36"/>
    <w:rsid w:val="74F3EFDF"/>
    <w:rsid w:val="74F8269D"/>
    <w:rsid w:val="74F88BEA"/>
    <w:rsid w:val="74FBD512"/>
    <w:rsid w:val="74FCAB8D"/>
    <w:rsid w:val="750108F2"/>
    <w:rsid w:val="750973D1"/>
    <w:rsid w:val="7509C224"/>
    <w:rsid w:val="750C7883"/>
    <w:rsid w:val="751E1C39"/>
    <w:rsid w:val="751FD268"/>
    <w:rsid w:val="752AFAB5"/>
    <w:rsid w:val="752F95F0"/>
    <w:rsid w:val="7538951D"/>
    <w:rsid w:val="7539E0FF"/>
    <w:rsid w:val="753C95D8"/>
    <w:rsid w:val="754AD32E"/>
    <w:rsid w:val="75550C1D"/>
    <w:rsid w:val="7556744A"/>
    <w:rsid w:val="7557B5DF"/>
    <w:rsid w:val="7563EF9B"/>
    <w:rsid w:val="7565D4B4"/>
    <w:rsid w:val="75879325"/>
    <w:rsid w:val="758CC9B3"/>
    <w:rsid w:val="758DD8FE"/>
    <w:rsid w:val="7593396C"/>
    <w:rsid w:val="759355C1"/>
    <w:rsid w:val="75943C04"/>
    <w:rsid w:val="7594EF28"/>
    <w:rsid w:val="75A0DDE9"/>
    <w:rsid w:val="75A3CC23"/>
    <w:rsid w:val="75A99CEA"/>
    <w:rsid w:val="75B1A685"/>
    <w:rsid w:val="75CA1FB6"/>
    <w:rsid w:val="75CC96CF"/>
    <w:rsid w:val="75D3114A"/>
    <w:rsid w:val="75E6615B"/>
    <w:rsid w:val="75EADCAC"/>
    <w:rsid w:val="75EF5DEB"/>
    <w:rsid w:val="75EF7602"/>
    <w:rsid w:val="75F4E230"/>
    <w:rsid w:val="75FBE07E"/>
    <w:rsid w:val="760F18ED"/>
    <w:rsid w:val="761EE4D2"/>
    <w:rsid w:val="762AFCA6"/>
    <w:rsid w:val="7634E8C1"/>
    <w:rsid w:val="76381DB6"/>
    <w:rsid w:val="763D4A7A"/>
    <w:rsid w:val="763ED9B1"/>
    <w:rsid w:val="76414821"/>
    <w:rsid w:val="7642410F"/>
    <w:rsid w:val="764DE9EB"/>
    <w:rsid w:val="76569A4A"/>
    <w:rsid w:val="765A9994"/>
    <w:rsid w:val="76607F32"/>
    <w:rsid w:val="766703FB"/>
    <w:rsid w:val="7673D85A"/>
    <w:rsid w:val="76769232"/>
    <w:rsid w:val="76790D16"/>
    <w:rsid w:val="76861A1E"/>
    <w:rsid w:val="768AD081"/>
    <w:rsid w:val="7693D589"/>
    <w:rsid w:val="7697ECA6"/>
    <w:rsid w:val="769C7FBA"/>
    <w:rsid w:val="76A2EA8E"/>
    <w:rsid w:val="76A4976D"/>
    <w:rsid w:val="76B7EF2E"/>
    <w:rsid w:val="76BBEDCE"/>
    <w:rsid w:val="76BBF35D"/>
    <w:rsid w:val="76C7BE5E"/>
    <w:rsid w:val="76C7C283"/>
    <w:rsid w:val="76CBB554"/>
    <w:rsid w:val="76CBD0C9"/>
    <w:rsid w:val="76CDB7E6"/>
    <w:rsid w:val="76D04DFB"/>
    <w:rsid w:val="76D9649A"/>
    <w:rsid w:val="76DF50C3"/>
    <w:rsid w:val="76E5E8A2"/>
    <w:rsid w:val="76F0B3B9"/>
    <w:rsid w:val="76F222C8"/>
    <w:rsid w:val="76F6C3C1"/>
    <w:rsid w:val="76FB08DC"/>
    <w:rsid w:val="76FF54E4"/>
    <w:rsid w:val="7703B4D5"/>
    <w:rsid w:val="7703E998"/>
    <w:rsid w:val="770BA9DD"/>
    <w:rsid w:val="770DD305"/>
    <w:rsid w:val="770F4861"/>
    <w:rsid w:val="7714D4A4"/>
    <w:rsid w:val="7714F2FF"/>
    <w:rsid w:val="77158C5B"/>
    <w:rsid w:val="77223FD5"/>
    <w:rsid w:val="77273E0E"/>
    <w:rsid w:val="772B0E5C"/>
    <w:rsid w:val="772FD28D"/>
    <w:rsid w:val="7738EE51"/>
    <w:rsid w:val="773C5A4E"/>
    <w:rsid w:val="775B172B"/>
    <w:rsid w:val="7761D4E4"/>
    <w:rsid w:val="77629EDE"/>
    <w:rsid w:val="7765B694"/>
    <w:rsid w:val="7769C3F5"/>
    <w:rsid w:val="777136B1"/>
    <w:rsid w:val="77797634"/>
    <w:rsid w:val="777DA748"/>
    <w:rsid w:val="7785EB98"/>
    <w:rsid w:val="778BDE33"/>
    <w:rsid w:val="778D7410"/>
    <w:rsid w:val="7790E412"/>
    <w:rsid w:val="7792624D"/>
    <w:rsid w:val="7796EA1B"/>
    <w:rsid w:val="7797587F"/>
    <w:rsid w:val="779EA107"/>
    <w:rsid w:val="77A0C59E"/>
    <w:rsid w:val="77A69D9B"/>
    <w:rsid w:val="77A840D7"/>
    <w:rsid w:val="77B24851"/>
    <w:rsid w:val="77B415BB"/>
    <w:rsid w:val="77B4257E"/>
    <w:rsid w:val="77B61252"/>
    <w:rsid w:val="77BA1729"/>
    <w:rsid w:val="77BC3B1E"/>
    <w:rsid w:val="77BCD099"/>
    <w:rsid w:val="77C33484"/>
    <w:rsid w:val="77C5874F"/>
    <w:rsid w:val="77C59D8D"/>
    <w:rsid w:val="77D39EB8"/>
    <w:rsid w:val="77D90AF1"/>
    <w:rsid w:val="77E10D5D"/>
    <w:rsid w:val="77E92992"/>
    <w:rsid w:val="77EAE87B"/>
    <w:rsid w:val="77F1F7F3"/>
    <w:rsid w:val="77F76510"/>
    <w:rsid w:val="77F8A7BF"/>
    <w:rsid w:val="77FD9345"/>
    <w:rsid w:val="77FF5C94"/>
    <w:rsid w:val="780BCDDE"/>
    <w:rsid w:val="780F9937"/>
    <w:rsid w:val="781227F3"/>
    <w:rsid w:val="78128F3B"/>
    <w:rsid w:val="78133957"/>
    <w:rsid w:val="78143B88"/>
    <w:rsid w:val="7814DBA9"/>
    <w:rsid w:val="781523FC"/>
    <w:rsid w:val="781B448A"/>
    <w:rsid w:val="781BF8DF"/>
    <w:rsid w:val="7823E153"/>
    <w:rsid w:val="783C7B62"/>
    <w:rsid w:val="7840F736"/>
    <w:rsid w:val="78453A89"/>
    <w:rsid w:val="784DBAD5"/>
    <w:rsid w:val="784EAE47"/>
    <w:rsid w:val="78510635"/>
    <w:rsid w:val="78600102"/>
    <w:rsid w:val="7862B5B6"/>
    <w:rsid w:val="7867B517"/>
    <w:rsid w:val="7877AA2E"/>
    <w:rsid w:val="7882121C"/>
    <w:rsid w:val="788915CF"/>
    <w:rsid w:val="788A2FFE"/>
    <w:rsid w:val="788C639E"/>
    <w:rsid w:val="788DB660"/>
    <w:rsid w:val="78A2C1DC"/>
    <w:rsid w:val="78A36546"/>
    <w:rsid w:val="78A4E2F7"/>
    <w:rsid w:val="78AAFF0B"/>
    <w:rsid w:val="78B9D259"/>
    <w:rsid w:val="78BF3107"/>
    <w:rsid w:val="78C19CAE"/>
    <w:rsid w:val="78C5A74A"/>
    <w:rsid w:val="78C84399"/>
    <w:rsid w:val="78CEF08D"/>
    <w:rsid w:val="78D4BB48"/>
    <w:rsid w:val="78E75A49"/>
    <w:rsid w:val="78E8CAAA"/>
    <w:rsid w:val="78EC5C8D"/>
    <w:rsid w:val="78EF3F85"/>
    <w:rsid w:val="78F377F8"/>
    <w:rsid w:val="78F50649"/>
    <w:rsid w:val="79033480"/>
    <w:rsid w:val="7906DCFD"/>
    <w:rsid w:val="7916BB95"/>
    <w:rsid w:val="791E1533"/>
    <w:rsid w:val="79268EB6"/>
    <w:rsid w:val="7932E545"/>
    <w:rsid w:val="79378B90"/>
    <w:rsid w:val="793F3037"/>
    <w:rsid w:val="7944DB57"/>
    <w:rsid w:val="7949261E"/>
    <w:rsid w:val="794E857A"/>
    <w:rsid w:val="79591C33"/>
    <w:rsid w:val="795D2FFF"/>
    <w:rsid w:val="79617AB6"/>
    <w:rsid w:val="7962EA3E"/>
    <w:rsid w:val="7966C336"/>
    <w:rsid w:val="796BEA4F"/>
    <w:rsid w:val="796C3CC8"/>
    <w:rsid w:val="79727F03"/>
    <w:rsid w:val="79765BF7"/>
    <w:rsid w:val="7979B543"/>
    <w:rsid w:val="798F7FCD"/>
    <w:rsid w:val="79902124"/>
    <w:rsid w:val="7995A535"/>
    <w:rsid w:val="79978F5B"/>
    <w:rsid w:val="79A57449"/>
    <w:rsid w:val="79A81FB9"/>
    <w:rsid w:val="79A84C07"/>
    <w:rsid w:val="79B1B93D"/>
    <w:rsid w:val="79B68115"/>
    <w:rsid w:val="79B6F9EA"/>
    <w:rsid w:val="79B86D1C"/>
    <w:rsid w:val="79BD3F93"/>
    <w:rsid w:val="79C42AEE"/>
    <w:rsid w:val="79CD0F14"/>
    <w:rsid w:val="79D10CEF"/>
    <w:rsid w:val="79D4D0DE"/>
    <w:rsid w:val="79D6F277"/>
    <w:rsid w:val="79DA1C53"/>
    <w:rsid w:val="79DD2470"/>
    <w:rsid w:val="79E0F54E"/>
    <w:rsid w:val="79E56413"/>
    <w:rsid w:val="79E5EA9C"/>
    <w:rsid w:val="79E8ED4D"/>
    <w:rsid w:val="79EB52B2"/>
    <w:rsid w:val="79EBB66F"/>
    <w:rsid w:val="79F0F3C9"/>
    <w:rsid w:val="7A0493D7"/>
    <w:rsid w:val="7A0682F7"/>
    <w:rsid w:val="7A0A35B6"/>
    <w:rsid w:val="7A171C76"/>
    <w:rsid w:val="7A1AB9C8"/>
    <w:rsid w:val="7A27B755"/>
    <w:rsid w:val="7A27E375"/>
    <w:rsid w:val="7A29FBAA"/>
    <w:rsid w:val="7A330139"/>
    <w:rsid w:val="7A353940"/>
    <w:rsid w:val="7A383105"/>
    <w:rsid w:val="7A3D71BA"/>
    <w:rsid w:val="7A3E5792"/>
    <w:rsid w:val="7A412B86"/>
    <w:rsid w:val="7A44BA76"/>
    <w:rsid w:val="7A45AB54"/>
    <w:rsid w:val="7A483202"/>
    <w:rsid w:val="7A488784"/>
    <w:rsid w:val="7A4B5E20"/>
    <w:rsid w:val="7A532CD9"/>
    <w:rsid w:val="7A54305F"/>
    <w:rsid w:val="7A547E4D"/>
    <w:rsid w:val="7A59960A"/>
    <w:rsid w:val="7A618075"/>
    <w:rsid w:val="7A63202C"/>
    <w:rsid w:val="7A659DBE"/>
    <w:rsid w:val="7A67FFE6"/>
    <w:rsid w:val="7A6E2B4F"/>
    <w:rsid w:val="7A741F5A"/>
    <w:rsid w:val="7A7C9E37"/>
    <w:rsid w:val="7A7D8DE0"/>
    <w:rsid w:val="7A827959"/>
    <w:rsid w:val="7A83BEEA"/>
    <w:rsid w:val="7A88AFA1"/>
    <w:rsid w:val="7A94A32A"/>
    <w:rsid w:val="7A9541A1"/>
    <w:rsid w:val="7A96B3A5"/>
    <w:rsid w:val="7A99CF64"/>
    <w:rsid w:val="7AA32C2C"/>
    <w:rsid w:val="7AAB66C8"/>
    <w:rsid w:val="7AB0F6B1"/>
    <w:rsid w:val="7ABAA9E7"/>
    <w:rsid w:val="7AC84D2D"/>
    <w:rsid w:val="7ACF73D3"/>
    <w:rsid w:val="7AD245BD"/>
    <w:rsid w:val="7AD4BD1B"/>
    <w:rsid w:val="7AE7D59C"/>
    <w:rsid w:val="7AE8BF16"/>
    <w:rsid w:val="7AF0CAFB"/>
    <w:rsid w:val="7AF3FE38"/>
    <w:rsid w:val="7AFF3E4B"/>
    <w:rsid w:val="7B02EDEF"/>
    <w:rsid w:val="7B069154"/>
    <w:rsid w:val="7B0832B1"/>
    <w:rsid w:val="7B0D4B9C"/>
    <w:rsid w:val="7B0FE2FE"/>
    <w:rsid w:val="7B10566F"/>
    <w:rsid w:val="7B115744"/>
    <w:rsid w:val="7B13A361"/>
    <w:rsid w:val="7B1480B8"/>
    <w:rsid w:val="7B1655B3"/>
    <w:rsid w:val="7B16B672"/>
    <w:rsid w:val="7B1703D2"/>
    <w:rsid w:val="7B17A81B"/>
    <w:rsid w:val="7B2729C3"/>
    <w:rsid w:val="7B2F76A4"/>
    <w:rsid w:val="7B455DF0"/>
    <w:rsid w:val="7B4804EF"/>
    <w:rsid w:val="7B480DA9"/>
    <w:rsid w:val="7B4C3D71"/>
    <w:rsid w:val="7B4C9614"/>
    <w:rsid w:val="7B4D6047"/>
    <w:rsid w:val="7B4FD89D"/>
    <w:rsid w:val="7B5993C7"/>
    <w:rsid w:val="7B61622F"/>
    <w:rsid w:val="7B69BD80"/>
    <w:rsid w:val="7B6BC3DB"/>
    <w:rsid w:val="7B72B380"/>
    <w:rsid w:val="7B7E73E9"/>
    <w:rsid w:val="7B7EDD6D"/>
    <w:rsid w:val="7B80B7F5"/>
    <w:rsid w:val="7B8941D9"/>
    <w:rsid w:val="7B8B0658"/>
    <w:rsid w:val="7B8B0711"/>
    <w:rsid w:val="7B917666"/>
    <w:rsid w:val="7B91E6B6"/>
    <w:rsid w:val="7B94E94B"/>
    <w:rsid w:val="7B990BC0"/>
    <w:rsid w:val="7B9CCCF4"/>
    <w:rsid w:val="7BA83E34"/>
    <w:rsid w:val="7BAA1572"/>
    <w:rsid w:val="7BC3496E"/>
    <w:rsid w:val="7BC99ADB"/>
    <w:rsid w:val="7BD1339D"/>
    <w:rsid w:val="7BD9D5C4"/>
    <w:rsid w:val="7BDC8FDD"/>
    <w:rsid w:val="7BE2C6F0"/>
    <w:rsid w:val="7BE600FE"/>
    <w:rsid w:val="7BEB60A9"/>
    <w:rsid w:val="7BF9CAA3"/>
    <w:rsid w:val="7BFEE5BD"/>
    <w:rsid w:val="7C063DBD"/>
    <w:rsid w:val="7C0E3EB4"/>
    <w:rsid w:val="7C1C1905"/>
    <w:rsid w:val="7C20E05B"/>
    <w:rsid w:val="7C237357"/>
    <w:rsid w:val="7C24FA96"/>
    <w:rsid w:val="7C255829"/>
    <w:rsid w:val="7C2B972A"/>
    <w:rsid w:val="7C34D198"/>
    <w:rsid w:val="7C374F59"/>
    <w:rsid w:val="7C38847B"/>
    <w:rsid w:val="7C3B05D9"/>
    <w:rsid w:val="7C40BDB0"/>
    <w:rsid w:val="7C4EB002"/>
    <w:rsid w:val="7C503BB1"/>
    <w:rsid w:val="7C560699"/>
    <w:rsid w:val="7C5AB04A"/>
    <w:rsid w:val="7C5F9310"/>
    <w:rsid w:val="7C64766A"/>
    <w:rsid w:val="7C697F8B"/>
    <w:rsid w:val="7C6B8575"/>
    <w:rsid w:val="7C6E5D57"/>
    <w:rsid w:val="7C731D7B"/>
    <w:rsid w:val="7C7A2343"/>
    <w:rsid w:val="7C8C12DF"/>
    <w:rsid w:val="7C95587A"/>
    <w:rsid w:val="7C9ABE61"/>
    <w:rsid w:val="7C9E75F7"/>
    <w:rsid w:val="7CA7281A"/>
    <w:rsid w:val="7CAC8BFE"/>
    <w:rsid w:val="7CB4D98C"/>
    <w:rsid w:val="7CCB7268"/>
    <w:rsid w:val="7CCD0095"/>
    <w:rsid w:val="7CCE637C"/>
    <w:rsid w:val="7CD28BAE"/>
    <w:rsid w:val="7CD5E719"/>
    <w:rsid w:val="7CD5FDAF"/>
    <w:rsid w:val="7CDB515C"/>
    <w:rsid w:val="7CDCD7C6"/>
    <w:rsid w:val="7CE3C8A6"/>
    <w:rsid w:val="7CE75432"/>
    <w:rsid w:val="7CE7B320"/>
    <w:rsid w:val="7CEC09B1"/>
    <w:rsid w:val="7CED7693"/>
    <w:rsid w:val="7CFD9E8A"/>
    <w:rsid w:val="7D029CBE"/>
    <w:rsid w:val="7D060C89"/>
    <w:rsid w:val="7D06D666"/>
    <w:rsid w:val="7D0F92AB"/>
    <w:rsid w:val="7D118CBB"/>
    <w:rsid w:val="7D1499E2"/>
    <w:rsid w:val="7D22DD21"/>
    <w:rsid w:val="7D28BECB"/>
    <w:rsid w:val="7D2C554C"/>
    <w:rsid w:val="7D2FE9B7"/>
    <w:rsid w:val="7D33CD8D"/>
    <w:rsid w:val="7D340BE3"/>
    <w:rsid w:val="7D39B454"/>
    <w:rsid w:val="7D3DE86F"/>
    <w:rsid w:val="7D4D46E5"/>
    <w:rsid w:val="7D4DBC98"/>
    <w:rsid w:val="7D561AB7"/>
    <w:rsid w:val="7D57E990"/>
    <w:rsid w:val="7D607869"/>
    <w:rsid w:val="7D8479D4"/>
    <w:rsid w:val="7D894DAC"/>
    <w:rsid w:val="7D8DDA92"/>
    <w:rsid w:val="7D928520"/>
    <w:rsid w:val="7D982D9F"/>
    <w:rsid w:val="7D98E1BD"/>
    <w:rsid w:val="7D9B3E52"/>
    <w:rsid w:val="7D9DA6F5"/>
    <w:rsid w:val="7D9F4FD8"/>
    <w:rsid w:val="7DA86E0A"/>
    <w:rsid w:val="7DABC0EF"/>
    <w:rsid w:val="7DBB4BA5"/>
    <w:rsid w:val="7DBD1E11"/>
    <w:rsid w:val="7DC933CA"/>
    <w:rsid w:val="7DC9F696"/>
    <w:rsid w:val="7DD1C323"/>
    <w:rsid w:val="7DD29193"/>
    <w:rsid w:val="7DD394BB"/>
    <w:rsid w:val="7DD520ED"/>
    <w:rsid w:val="7DD72BC2"/>
    <w:rsid w:val="7DDBAC6D"/>
    <w:rsid w:val="7DE63CAA"/>
    <w:rsid w:val="7DED62DE"/>
    <w:rsid w:val="7DF320FF"/>
    <w:rsid w:val="7DFF136F"/>
    <w:rsid w:val="7E06C28E"/>
    <w:rsid w:val="7E0B66C3"/>
    <w:rsid w:val="7E0B8CDA"/>
    <w:rsid w:val="7E1141A3"/>
    <w:rsid w:val="7E1181C0"/>
    <w:rsid w:val="7E1B6042"/>
    <w:rsid w:val="7E216D92"/>
    <w:rsid w:val="7E263E58"/>
    <w:rsid w:val="7E27296E"/>
    <w:rsid w:val="7E29040D"/>
    <w:rsid w:val="7E2DDC71"/>
    <w:rsid w:val="7E2F2858"/>
    <w:rsid w:val="7E3688AD"/>
    <w:rsid w:val="7E392516"/>
    <w:rsid w:val="7E3F9968"/>
    <w:rsid w:val="7E3FD373"/>
    <w:rsid w:val="7E42FE61"/>
    <w:rsid w:val="7E434B20"/>
    <w:rsid w:val="7E43CC18"/>
    <w:rsid w:val="7E5720B7"/>
    <w:rsid w:val="7E5E8045"/>
    <w:rsid w:val="7E65466C"/>
    <w:rsid w:val="7E6B1884"/>
    <w:rsid w:val="7E6F0393"/>
    <w:rsid w:val="7E733037"/>
    <w:rsid w:val="7E75FF1F"/>
    <w:rsid w:val="7E771DEB"/>
    <w:rsid w:val="7E7C1160"/>
    <w:rsid w:val="7E817873"/>
    <w:rsid w:val="7E8DEB26"/>
    <w:rsid w:val="7E8E9809"/>
    <w:rsid w:val="7E936D76"/>
    <w:rsid w:val="7E985FCC"/>
    <w:rsid w:val="7E9E437C"/>
    <w:rsid w:val="7E9F05D4"/>
    <w:rsid w:val="7EA7B16F"/>
    <w:rsid w:val="7EAFFF4D"/>
    <w:rsid w:val="7EB073E4"/>
    <w:rsid w:val="7EC56DBE"/>
    <w:rsid w:val="7EC85B90"/>
    <w:rsid w:val="7ECBCBF4"/>
    <w:rsid w:val="7ECD1DDB"/>
    <w:rsid w:val="7ECD74C3"/>
    <w:rsid w:val="7ECD93BC"/>
    <w:rsid w:val="7ED06A37"/>
    <w:rsid w:val="7EDA633C"/>
    <w:rsid w:val="7EE46C00"/>
    <w:rsid w:val="7EED814D"/>
    <w:rsid w:val="7EF690EB"/>
    <w:rsid w:val="7F03682C"/>
    <w:rsid w:val="7F03DC88"/>
    <w:rsid w:val="7F1655F4"/>
    <w:rsid w:val="7F1A15BF"/>
    <w:rsid w:val="7F289E6B"/>
    <w:rsid w:val="7F34FAB6"/>
    <w:rsid w:val="7F3EDD79"/>
    <w:rsid w:val="7F440E6A"/>
    <w:rsid w:val="7F47712C"/>
    <w:rsid w:val="7F486BDB"/>
    <w:rsid w:val="7F495692"/>
    <w:rsid w:val="7F4E2C74"/>
    <w:rsid w:val="7F60121D"/>
    <w:rsid w:val="7F62B2A4"/>
    <w:rsid w:val="7F7D7D33"/>
    <w:rsid w:val="7F828C2E"/>
    <w:rsid w:val="7F89972B"/>
    <w:rsid w:val="7F8D9CE0"/>
    <w:rsid w:val="7F92018A"/>
    <w:rsid w:val="7F9360A2"/>
    <w:rsid w:val="7F97A597"/>
    <w:rsid w:val="7F9CD944"/>
    <w:rsid w:val="7FA18CB0"/>
    <w:rsid w:val="7FA2F443"/>
    <w:rsid w:val="7FA6FE2C"/>
    <w:rsid w:val="7FAE8FAB"/>
    <w:rsid w:val="7FB27E68"/>
    <w:rsid w:val="7FBBA7F1"/>
    <w:rsid w:val="7FCB879A"/>
    <w:rsid w:val="7FD6F72D"/>
    <w:rsid w:val="7FDF3D79"/>
    <w:rsid w:val="7FE271F1"/>
    <w:rsid w:val="7FE74D30"/>
    <w:rsid w:val="7FF23BB7"/>
    <w:rsid w:val="7FF55D1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54C8D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0" w:qFormat="1"/>
    <w:lsdException w:name="heading 2" w:semiHidden="1" w:uiPriority="90" w:unhideWhenUsed="1" w:qFormat="1"/>
    <w:lsdException w:name="heading 3" w:semiHidden="1" w:uiPriority="90" w:unhideWhenUsed="1" w:qFormat="1"/>
    <w:lsdException w:name="heading 4" w:semiHidden="1" w:uiPriority="9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7F1"/>
    <w:pPr>
      <w:jc w:val="both"/>
    </w:pPr>
    <w:rPr>
      <w:rFonts w:ascii="Times New Roman" w:hAnsi="Times New Roman"/>
    </w:rPr>
  </w:style>
  <w:style w:type="paragraph" w:styleId="Heading1">
    <w:name w:val="heading 1"/>
    <w:basedOn w:val="Normal"/>
    <w:next w:val="Normal"/>
    <w:link w:val="Heading1Char"/>
    <w:uiPriority w:val="90"/>
    <w:qFormat/>
    <w:rsid w:val="00E6448C"/>
    <w:pPr>
      <w:keepNext/>
      <w:numPr>
        <w:numId w:val="11"/>
      </w:numPr>
      <w:spacing w:before="240" w:after="240" w:line="240" w:lineRule="auto"/>
      <w:outlineLvl w:val="0"/>
    </w:pPr>
    <w:rPr>
      <w:rFonts w:ascii="Calibri" w:eastAsia="Calibri" w:hAnsi="Calibri" w:cs="Calibri"/>
      <w:b/>
      <w:smallCaps/>
      <w:sz w:val="24"/>
    </w:rPr>
  </w:style>
  <w:style w:type="paragraph" w:styleId="Heading2">
    <w:name w:val="heading 2"/>
    <w:basedOn w:val="Normal"/>
    <w:next w:val="Normal"/>
    <w:link w:val="Heading2Char"/>
    <w:uiPriority w:val="90"/>
    <w:qFormat/>
    <w:rsid w:val="00E6448C"/>
    <w:pPr>
      <w:keepNext/>
      <w:numPr>
        <w:ilvl w:val="1"/>
        <w:numId w:val="11"/>
      </w:numPr>
      <w:spacing w:after="240" w:line="240" w:lineRule="auto"/>
      <w:outlineLvl w:val="1"/>
    </w:pPr>
    <w:rPr>
      <w:rFonts w:ascii="Calibri Light" w:eastAsia="Calibri Light" w:hAnsi="Calibri Light" w:cs="Calibri Light"/>
      <w:b/>
      <w:sz w:val="24"/>
    </w:rPr>
  </w:style>
  <w:style w:type="paragraph" w:styleId="Heading3">
    <w:name w:val="heading 3"/>
    <w:basedOn w:val="Normal"/>
    <w:next w:val="Normal"/>
    <w:link w:val="Heading3Char"/>
    <w:uiPriority w:val="90"/>
    <w:qFormat/>
    <w:rsid w:val="00E6448C"/>
    <w:pPr>
      <w:keepNext/>
      <w:numPr>
        <w:ilvl w:val="2"/>
        <w:numId w:val="11"/>
      </w:numPr>
      <w:tabs>
        <w:tab w:val="clear" w:pos="1922"/>
        <w:tab w:val="num" w:pos="360"/>
      </w:tabs>
      <w:spacing w:after="240" w:line="240" w:lineRule="auto"/>
      <w:ind w:left="0" w:firstLine="0"/>
      <w:outlineLvl w:val="2"/>
    </w:pPr>
    <w:rPr>
      <w:rFonts w:ascii="Calibri Light" w:eastAsia="Calibri Light" w:hAnsi="Calibri Light" w:cs="Calibri Light"/>
      <w:i/>
      <w:sz w:val="24"/>
    </w:rPr>
  </w:style>
  <w:style w:type="paragraph" w:styleId="Heading4">
    <w:name w:val="heading 4"/>
    <w:basedOn w:val="Normal"/>
    <w:next w:val="Normal"/>
    <w:link w:val="Heading4Char"/>
    <w:uiPriority w:val="90"/>
    <w:qFormat/>
    <w:rsid w:val="00E6448C"/>
    <w:pPr>
      <w:keepNext/>
      <w:numPr>
        <w:ilvl w:val="3"/>
        <w:numId w:val="11"/>
      </w:numPr>
      <w:tabs>
        <w:tab w:val="clear" w:pos="2880"/>
        <w:tab w:val="num" w:pos="360"/>
      </w:tabs>
      <w:spacing w:after="240" w:line="240" w:lineRule="auto"/>
      <w:ind w:left="0" w:firstLine="0"/>
      <w:outlineLvl w:val="3"/>
    </w:pPr>
    <w:rPr>
      <w:rFonts w:ascii="Calibri Light" w:eastAsia="Calibri Light" w:hAnsi="Calibri Light" w:cs="Calibri Light"/>
      <w:sz w:val="24"/>
    </w:rPr>
  </w:style>
  <w:style w:type="paragraph" w:styleId="Heading5">
    <w:name w:val="heading 5"/>
    <w:basedOn w:val="Normal"/>
    <w:next w:val="Normal"/>
    <w:link w:val="Heading5Char"/>
    <w:semiHidden/>
    <w:rsid w:val="00E6448C"/>
    <w:pPr>
      <w:keepNext/>
      <w:numPr>
        <w:ilvl w:val="4"/>
        <w:numId w:val="11"/>
      </w:numPr>
      <w:tabs>
        <w:tab w:val="clear" w:pos="2880"/>
        <w:tab w:val="num" w:pos="360"/>
      </w:tabs>
      <w:spacing w:after="240" w:line="240" w:lineRule="auto"/>
      <w:ind w:left="0" w:firstLine="0"/>
      <w:outlineLvl w:val="4"/>
    </w:pPr>
    <w:rPr>
      <w:rFonts w:ascii="Calibri Light" w:eastAsia="Calibri Light" w:hAnsi="Calibri Light" w:cs="Calibri Light"/>
      <w:sz w:val="24"/>
    </w:rPr>
  </w:style>
  <w:style w:type="paragraph" w:styleId="Heading6">
    <w:name w:val="heading 6"/>
    <w:basedOn w:val="Normal"/>
    <w:next w:val="Normal"/>
    <w:link w:val="Heading6Char"/>
    <w:semiHidden/>
    <w:rsid w:val="00E6448C"/>
    <w:pPr>
      <w:keepNext/>
      <w:numPr>
        <w:ilvl w:val="5"/>
        <w:numId w:val="11"/>
      </w:numPr>
      <w:tabs>
        <w:tab w:val="clear" w:pos="2880"/>
        <w:tab w:val="num" w:pos="360"/>
      </w:tabs>
      <w:spacing w:after="240" w:line="240" w:lineRule="auto"/>
      <w:ind w:left="0" w:firstLine="0"/>
      <w:outlineLvl w:val="5"/>
    </w:pPr>
    <w:rPr>
      <w:rFonts w:ascii="Calibri Light" w:eastAsia="Calibri Light" w:hAnsi="Calibri Light" w:cs="Calibri Light"/>
      <w:sz w:val="24"/>
    </w:rPr>
  </w:style>
  <w:style w:type="paragraph" w:styleId="Heading7">
    <w:name w:val="heading 7"/>
    <w:basedOn w:val="Normal"/>
    <w:next w:val="Normal"/>
    <w:link w:val="Heading7Char"/>
    <w:semiHidden/>
    <w:rsid w:val="00E6448C"/>
    <w:pPr>
      <w:keepNext/>
      <w:numPr>
        <w:ilvl w:val="6"/>
        <w:numId w:val="11"/>
      </w:numPr>
      <w:tabs>
        <w:tab w:val="clear" w:pos="2880"/>
        <w:tab w:val="num" w:pos="360"/>
      </w:tabs>
      <w:spacing w:after="240" w:line="240" w:lineRule="auto"/>
      <w:ind w:left="0" w:firstLine="0"/>
      <w:outlineLvl w:val="6"/>
    </w:pPr>
    <w:rPr>
      <w:rFonts w:ascii="Calibri Light" w:eastAsia="Calibri Light" w:hAnsi="Calibri Light" w:cs="Calibri Light"/>
      <w:sz w:val="24"/>
    </w:rPr>
  </w:style>
  <w:style w:type="paragraph" w:styleId="Heading8">
    <w:name w:val="heading 8"/>
    <w:basedOn w:val="Normal"/>
    <w:next w:val="Normal"/>
    <w:link w:val="Heading8Char"/>
    <w:semiHidden/>
    <w:rsid w:val="00E6448C"/>
    <w:pPr>
      <w:keepNext/>
      <w:numPr>
        <w:ilvl w:val="7"/>
        <w:numId w:val="11"/>
      </w:numPr>
      <w:tabs>
        <w:tab w:val="clear" w:pos="2880"/>
        <w:tab w:val="num" w:pos="360"/>
      </w:tabs>
      <w:spacing w:after="240" w:line="240" w:lineRule="auto"/>
      <w:ind w:left="0" w:firstLine="0"/>
      <w:outlineLvl w:val="7"/>
    </w:pPr>
    <w:rPr>
      <w:rFonts w:ascii="Calibri Light" w:eastAsia="Calibri Light" w:hAnsi="Calibri Light" w:cs="Calibri Light"/>
      <w:sz w:val="24"/>
    </w:rPr>
  </w:style>
  <w:style w:type="paragraph" w:styleId="Heading9">
    <w:name w:val="heading 9"/>
    <w:basedOn w:val="Normal"/>
    <w:next w:val="Normal"/>
    <w:link w:val="Heading9Char"/>
    <w:semiHidden/>
    <w:rsid w:val="00E6448C"/>
    <w:pPr>
      <w:keepNext/>
      <w:numPr>
        <w:ilvl w:val="8"/>
        <w:numId w:val="11"/>
      </w:numPr>
      <w:tabs>
        <w:tab w:val="clear" w:pos="2880"/>
        <w:tab w:val="num" w:pos="360"/>
      </w:tabs>
      <w:spacing w:after="240" w:line="240" w:lineRule="auto"/>
      <w:ind w:left="0" w:firstLine="0"/>
      <w:outlineLvl w:val="8"/>
    </w:pPr>
    <w:rPr>
      <w:rFonts w:ascii="Calibri Light" w:eastAsia="Calibri Light" w:hAnsi="Calibri Light" w:cs="Calibri Light"/>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ject">
    <w:name w:val="Subject"/>
    <w:basedOn w:val="Normal"/>
    <w:next w:val="Normal"/>
    <w:uiPriority w:val="99"/>
    <w:rsid w:val="00E6448C"/>
    <w:pPr>
      <w:spacing w:after="480" w:line="240" w:lineRule="auto"/>
      <w:ind w:left="1531" w:hanging="1531"/>
    </w:pPr>
    <w:rPr>
      <w:rFonts w:ascii="Calibri Light" w:eastAsia="Calibri Light" w:hAnsi="Calibri Light" w:cs="Calibri Light"/>
      <w:b/>
      <w:sz w:val="24"/>
    </w:rPr>
  </w:style>
  <w:style w:type="paragraph" w:customStyle="1" w:styleId="NoteHead">
    <w:name w:val="NoteHead"/>
    <w:basedOn w:val="Normal"/>
    <w:next w:val="Subject"/>
    <w:uiPriority w:val="99"/>
    <w:rsid w:val="00E6448C"/>
    <w:pPr>
      <w:spacing w:before="720" w:after="720" w:line="240" w:lineRule="auto"/>
      <w:jc w:val="center"/>
    </w:pPr>
    <w:rPr>
      <w:rFonts w:ascii="Calibri Light" w:eastAsia="Calibri Light" w:hAnsi="Calibri Light" w:cs="Calibri Light"/>
      <w:b/>
      <w:smallCaps/>
      <w:sz w:val="24"/>
    </w:rPr>
  </w:style>
  <w:style w:type="character" w:customStyle="1" w:styleId="Heading1Char">
    <w:name w:val="Heading 1 Char"/>
    <w:basedOn w:val="DefaultParagraphFont"/>
    <w:link w:val="Heading1"/>
    <w:uiPriority w:val="90"/>
    <w:rsid w:val="00E6448C"/>
    <w:rPr>
      <w:rFonts w:ascii="Calibri" w:eastAsia="Calibri" w:hAnsi="Calibri" w:cs="Calibri"/>
      <w:b/>
      <w:smallCaps/>
      <w:sz w:val="24"/>
    </w:rPr>
  </w:style>
  <w:style w:type="character" w:customStyle="1" w:styleId="Heading2Char">
    <w:name w:val="Heading 2 Char"/>
    <w:basedOn w:val="DefaultParagraphFont"/>
    <w:link w:val="Heading2"/>
    <w:uiPriority w:val="90"/>
    <w:rsid w:val="00E6448C"/>
    <w:rPr>
      <w:rFonts w:ascii="Calibri Light" w:eastAsia="Calibri Light" w:hAnsi="Calibri Light" w:cs="Calibri Light"/>
      <w:b/>
      <w:sz w:val="24"/>
    </w:rPr>
  </w:style>
  <w:style w:type="character" w:customStyle="1" w:styleId="Heading3Char">
    <w:name w:val="Heading 3 Char"/>
    <w:basedOn w:val="DefaultParagraphFont"/>
    <w:link w:val="Heading3"/>
    <w:uiPriority w:val="90"/>
    <w:rsid w:val="00E6448C"/>
    <w:rPr>
      <w:rFonts w:ascii="Calibri Light" w:eastAsia="Calibri Light" w:hAnsi="Calibri Light" w:cs="Calibri Light"/>
      <w:i/>
      <w:sz w:val="24"/>
    </w:rPr>
  </w:style>
  <w:style w:type="character" w:customStyle="1" w:styleId="Heading4Char">
    <w:name w:val="Heading 4 Char"/>
    <w:basedOn w:val="DefaultParagraphFont"/>
    <w:link w:val="Heading4"/>
    <w:uiPriority w:val="90"/>
    <w:rsid w:val="00E6448C"/>
    <w:rPr>
      <w:rFonts w:ascii="Calibri Light" w:eastAsia="Calibri Light" w:hAnsi="Calibri Light" w:cs="Calibri Light"/>
      <w:sz w:val="24"/>
    </w:rPr>
  </w:style>
  <w:style w:type="character" w:customStyle="1" w:styleId="Heading5Char">
    <w:name w:val="Heading 5 Char"/>
    <w:basedOn w:val="DefaultParagraphFont"/>
    <w:link w:val="Heading5"/>
    <w:semiHidden/>
    <w:rsid w:val="00E6448C"/>
    <w:rPr>
      <w:rFonts w:ascii="Calibri Light" w:eastAsia="Calibri Light" w:hAnsi="Calibri Light" w:cs="Calibri Light"/>
      <w:sz w:val="24"/>
    </w:rPr>
  </w:style>
  <w:style w:type="character" w:customStyle="1" w:styleId="Heading6Char">
    <w:name w:val="Heading 6 Char"/>
    <w:basedOn w:val="DefaultParagraphFont"/>
    <w:link w:val="Heading6"/>
    <w:semiHidden/>
    <w:rsid w:val="00E6448C"/>
    <w:rPr>
      <w:rFonts w:ascii="Calibri Light" w:eastAsia="Calibri Light" w:hAnsi="Calibri Light" w:cs="Calibri Light"/>
      <w:sz w:val="24"/>
    </w:rPr>
  </w:style>
  <w:style w:type="character" w:customStyle="1" w:styleId="Heading7Char">
    <w:name w:val="Heading 7 Char"/>
    <w:basedOn w:val="DefaultParagraphFont"/>
    <w:link w:val="Heading7"/>
    <w:semiHidden/>
    <w:rsid w:val="00E6448C"/>
    <w:rPr>
      <w:rFonts w:ascii="Calibri Light" w:eastAsia="Calibri Light" w:hAnsi="Calibri Light" w:cs="Calibri Light"/>
      <w:sz w:val="24"/>
    </w:rPr>
  </w:style>
  <w:style w:type="character" w:customStyle="1" w:styleId="Heading8Char">
    <w:name w:val="Heading 8 Char"/>
    <w:basedOn w:val="DefaultParagraphFont"/>
    <w:link w:val="Heading8"/>
    <w:semiHidden/>
    <w:rsid w:val="00E6448C"/>
    <w:rPr>
      <w:rFonts w:ascii="Calibri Light" w:eastAsia="Calibri Light" w:hAnsi="Calibri Light" w:cs="Calibri Light"/>
      <w:sz w:val="24"/>
    </w:rPr>
  </w:style>
  <w:style w:type="character" w:customStyle="1" w:styleId="Heading9Char">
    <w:name w:val="Heading 9 Char"/>
    <w:basedOn w:val="DefaultParagraphFont"/>
    <w:link w:val="Heading9"/>
    <w:semiHidden/>
    <w:rsid w:val="00E6448C"/>
    <w:rPr>
      <w:rFonts w:ascii="Calibri Light" w:eastAsia="Calibri Light" w:hAnsi="Calibri Light" w:cs="Calibri Light"/>
      <w:sz w:val="24"/>
    </w:rPr>
  </w:style>
  <w:style w:type="paragraph" w:styleId="FootnoteText">
    <w:name w:val="footnote text"/>
    <w:basedOn w:val="Normal"/>
    <w:link w:val="FootnoteTextChar"/>
    <w:autoRedefine/>
    <w:uiPriority w:val="99"/>
    <w:qFormat/>
    <w:rsid w:val="00C64A13"/>
    <w:pPr>
      <w:spacing w:after="0" w:line="240" w:lineRule="auto"/>
    </w:pPr>
    <w:rPr>
      <w:rFonts w:eastAsia="Calibri Light" w:cs="Times New Roman"/>
      <w:sz w:val="20"/>
    </w:rPr>
  </w:style>
  <w:style w:type="character" w:customStyle="1" w:styleId="FootnoteTextChar">
    <w:name w:val="Footnote Text Char"/>
    <w:basedOn w:val="DefaultParagraphFont"/>
    <w:link w:val="FootnoteText"/>
    <w:uiPriority w:val="99"/>
    <w:rsid w:val="00C64A13"/>
    <w:rPr>
      <w:rFonts w:ascii="Times New Roman" w:eastAsia="Calibri Light" w:hAnsi="Times New Roman" w:cs="Times New Roman"/>
      <w:sz w:val="20"/>
    </w:rPr>
  </w:style>
  <w:style w:type="character" w:styleId="FootnoteReference">
    <w:name w:val="footnote reference"/>
    <w:basedOn w:val="DefaultParagraphFont"/>
    <w:link w:val="16Point"/>
    <w:uiPriority w:val="99"/>
    <w:qFormat/>
    <w:rsid w:val="005C5F69"/>
    <w:rPr>
      <w:rFonts w:ascii="Times New Roman" w:hAnsi="Times New Roman"/>
      <w:sz w:val="20"/>
      <w:vertAlign w:val="superscript"/>
    </w:rPr>
  </w:style>
  <w:style w:type="paragraph" w:customStyle="1" w:styleId="16Point">
    <w:name w:val="16 Point"/>
    <w:basedOn w:val="Normal"/>
    <w:link w:val="FootnoteReference"/>
    <w:autoRedefine/>
    <w:uiPriority w:val="99"/>
    <w:qFormat/>
    <w:rsid w:val="005C5F69"/>
    <w:pPr>
      <w:spacing w:line="240" w:lineRule="exact"/>
    </w:pPr>
    <w:rPr>
      <w:sz w:val="20"/>
      <w:vertAlign w:val="superscript"/>
    </w:rPr>
  </w:style>
  <w:style w:type="character" w:styleId="Hyperlink">
    <w:name w:val="Hyperlink"/>
    <w:basedOn w:val="DefaultParagraphFont"/>
    <w:uiPriority w:val="99"/>
    <w:rsid w:val="00E6448C"/>
    <w:rPr>
      <w:color w:val="0563C1" w:themeColor="hyperlink"/>
      <w:u w:val="single"/>
    </w:rPr>
  </w:style>
  <w:style w:type="character" w:styleId="FollowedHyperlink">
    <w:name w:val="FollowedHyperlink"/>
    <w:basedOn w:val="DefaultParagraphFont"/>
    <w:uiPriority w:val="99"/>
    <w:semiHidden/>
    <w:unhideWhenUsed/>
    <w:rsid w:val="00E6448C"/>
    <w:rPr>
      <w:color w:val="954F72" w:themeColor="followedHyperlink"/>
      <w:u w:val="single"/>
    </w:rPr>
  </w:style>
  <w:style w:type="paragraph" w:styleId="ListParagraph">
    <w:name w:val="List Paragraph"/>
    <w:basedOn w:val="Normal"/>
    <w:link w:val="ListParagraphChar"/>
    <w:uiPriority w:val="34"/>
    <w:qFormat/>
    <w:rsid w:val="00B82AD8"/>
    <w:pPr>
      <w:spacing w:after="240" w:line="240" w:lineRule="auto"/>
      <w:ind w:left="720"/>
      <w:contextualSpacing/>
    </w:pPr>
    <w:rPr>
      <w:rFonts w:eastAsia="Calibri Light" w:cs="Calibri Light"/>
    </w:rPr>
  </w:style>
  <w:style w:type="table" w:styleId="TableGrid">
    <w:name w:val="Table Grid"/>
    <w:basedOn w:val="TableNormal"/>
    <w:uiPriority w:val="39"/>
    <w:rsid w:val="00441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next w:val="Normal"/>
    <w:link w:val="BodyTextChar"/>
    <w:autoRedefine/>
    <w:semiHidden/>
    <w:unhideWhenUsed/>
    <w:qFormat/>
    <w:rsid w:val="00E624BE"/>
    <w:pPr>
      <w:spacing w:before="240" w:after="120" w:line="276" w:lineRule="auto"/>
    </w:pPr>
    <w:rPr>
      <w:rFonts w:eastAsia="Calibri Light" w:cs="Yu Mincho"/>
    </w:rPr>
  </w:style>
  <w:style w:type="character" w:customStyle="1" w:styleId="BodyTextChar">
    <w:name w:val="Body Text Char"/>
    <w:basedOn w:val="DefaultParagraphFont"/>
    <w:link w:val="BodyText"/>
    <w:semiHidden/>
    <w:rsid w:val="00E624BE"/>
    <w:rPr>
      <w:rFonts w:ascii="Times New Roman" w:eastAsia="Calibri Light" w:hAnsi="Times New Roman" w:cs="Yu Mincho"/>
    </w:rPr>
  </w:style>
  <w:style w:type="paragraph" w:customStyle="1" w:styleId="paragraph">
    <w:name w:val="paragraph"/>
    <w:basedOn w:val="Normal"/>
    <w:rsid w:val="00BA2F49"/>
    <w:pPr>
      <w:spacing w:before="100" w:beforeAutospacing="1" w:after="100" w:afterAutospacing="1" w:line="240" w:lineRule="auto"/>
    </w:pPr>
    <w:rPr>
      <w:rFonts w:ascii="Calibri Light" w:eastAsia="Calibri Light" w:hAnsi="Calibri Light" w:cs="Calibri Light"/>
      <w:sz w:val="24"/>
    </w:rPr>
  </w:style>
  <w:style w:type="character" w:customStyle="1" w:styleId="normaltextrun">
    <w:name w:val="normaltextrun"/>
    <w:basedOn w:val="DefaultParagraphFont"/>
    <w:rsid w:val="00BA2F49"/>
  </w:style>
  <w:style w:type="character" w:customStyle="1" w:styleId="eop">
    <w:name w:val="eop"/>
    <w:basedOn w:val="DefaultParagraphFont"/>
    <w:rsid w:val="00BA2F49"/>
  </w:style>
  <w:style w:type="paragraph" w:styleId="NormalWeb">
    <w:name w:val="Normal (Web)"/>
    <w:basedOn w:val="Normal"/>
    <w:uiPriority w:val="99"/>
    <w:unhideWhenUsed/>
    <w:rsid w:val="00105BCE"/>
    <w:pPr>
      <w:spacing w:before="100" w:beforeAutospacing="1" w:after="100" w:afterAutospacing="1" w:line="240" w:lineRule="auto"/>
    </w:pPr>
    <w:rPr>
      <w:rFonts w:ascii="Calibri Light" w:eastAsia="Calibri Light" w:hAnsi="Calibri Light" w:cs="Calibri Light"/>
      <w:sz w:val="24"/>
    </w:rPr>
  </w:style>
  <w:style w:type="paragraph" w:styleId="Header">
    <w:name w:val="header"/>
    <w:basedOn w:val="Normal"/>
    <w:link w:val="HeaderChar"/>
    <w:uiPriority w:val="99"/>
    <w:unhideWhenUsed/>
    <w:rsid w:val="00AF1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438"/>
  </w:style>
  <w:style w:type="paragraph" w:styleId="Footer">
    <w:name w:val="footer"/>
    <w:basedOn w:val="Normal"/>
    <w:link w:val="FooterChar"/>
    <w:uiPriority w:val="99"/>
    <w:unhideWhenUsed/>
    <w:rsid w:val="00AF1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438"/>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sz w:val="20"/>
    </w:rPr>
  </w:style>
  <w:style w:type="character" w:styleId="CommentReference">
    <w:name w:val="annotation reference"/>
    <w:basedOn w:val="DefaultParagraphFont"/>
    <w:uiPriority w:val="99"/>
    <w:semiHidden/>
    <w:unhideWhenUsed/>
    <w:rPr>
      <w:sz w:val="16"/>
    </w:rPr>
  </w:style>
  <w:style w:type="paragraph" w:styleId="Revision">
    <w:name w:val="Revision"/>
    <w:hidden/>
    <w:uiPriority w:val="99"/>
    <w:semiHidden/>
    <w:rsid w:val="007A65CD"/>
    <w:pPr>
      <w:spacing w:after="0" w:line="240" w:lineRule="auto"/>
    </w:pPr>
  </w:style>
  <w:style w:type="paragraph" w:styleId="CommentSubject">
    <w:name w:val="annotation subject"/>
    <w:basedOn w:val="CommentText"/>
    <w:next w:val="CommentText"/>
    <w:link w:val="CommentSubjectChar"/>
    <w:uiPriority w:val="99"/>
    <w:semiHidden/>
    <w:unhideWhenUsed/>
    <w:rsid w:val="008A5483"/>
    <w:rPr>
      <w:b/>
    </w:rPr>
  </w:style>
  <w:style w:type="character" w:customStyle="1" w:styleId="CommentSubjectChar">
    <w:name w:val="Comment Subject Char"/>
    <w:basedOn w:val="CommentTextChar"/>
    <w:link w:val="CommentSubject"/>
    <w:uiPriority w:val="99"/>
    <w:semiHidden/>
    <w:rsid w:val="008A5483"/>
    <w:rPr>
      <w:b/>
      <w:sz w:val="20"/>
    </w:rPr>
  </w:style>
  <w:style w:type="character" w:customStyle="1" w:styleId="UnresolvedMention">
    <w:name w:val="Unresolved Mention"/>
    <w:basedOn w:val="DefaultParagraphFont"/>
    <w:uiPriority w:val="99"/>
    <w:unhideWhenUsed/>
    <w:rsid w:val="00802766"/>
    <w:rPr>
      <w:color w:val="605E5C"/>
      <w:shd w:val="clear" w:color="auto" w:fill="E1DFDD"/>
    </w:rPr>
  </w:style>
  <w:style w:type="character" w:customStyle="1" w:styleId="Mention">
    <w:name w:val="Mention"/>
    <w:basedOn w:val="DefaultParagraphFont"/>
    <w:uiPriority w:val="99"/>
    <w:unhideWhenUsed/>
    <w:rPr>
      <w:color w:val="2B579A"/>
      <w:shd w:val="clear" w:color="auto" w:fill="E6E6E6"/>
    </w:rPr>
  </w:style>
  <w:style w:type="character" w:styleId="Emphasis">
    <w:name w:val="Emphasis"/>
    <w:basedOn w:val="DefaultParagraphFont"/>
    <w:uiPriority w:val="20"/>
    <w:qFormat/>
    <w:rsid w:val="00785D55"/>
    <w:rPr>
      <w:i/>
    </w:rPr>
  </w:style>
  <w:style w:type="character" w:customStyle="1" w:styleId="ui-provider">
    <w:name w:val="ui-provider"/>
    <w:basedOn w:val="DefaultParagraphFont"/>
    <w:rsid w:val="001A7F21"/>
  </w:style>
  <w:style w:type="character" w:customStyle="1" w:styleId="EndnoteTextChar">
    <w:name w:val="Endnote Text Char"/>
    <w:basedOn w:val="DefaultParagraphFont"/>
    <w:link w:val="EndnoteText"/>
    <w:rPr>
      <w:sz w:val="20"/>
    </w:rPr>
  </w:style>
  <w:style w:type="paragraph" w:styleId="EndnoteText">
    <w:name w:val="endnote text"/>
    <w:basedOn w:val="Normal"/>
    <w:link w:val="EndnoteTextChar"/>
    <w:unhideWhenUsed/>
    <w:pPr>
      <w:spacing w:after="0" w:line="240" w:lineRule="auto"/>
    </w:pPr>
    <w:rPr>
      <w:sz w:val="20"/>
    </w:rPr>
  </w:style>
  <w:style w:type="character" w:customStyle="1" w:styleId="EndnoteTextChar1">
    <w:name w:val="Endnote Text Char1"/>
    <w:basedOn w:val="DefaultParagraphFont"/>
    <w:uiPriority w:val="99"/>
    <w:semiHidden/>
    <w:rsid w:val="008E6306"/>
    <w:rPr>
      <w:sz w:val="20"/>
    </w:rPr>
  </w:style>
  <w:style w:type="character" w:customStyle="1" w:styleId="ListParagraphChar">
    <w:name w:val="List Paragraph Char"/>
    <w:link w:val="ListParagraph"/>
    <w:uiPriority w:val="34"/>
    <w:qFormat/>
    <w:locked/>
    <w:rsid w:val="008F54C6"/>
    <w:rPr>
      <w:rFonts w:ascii="Times New Roman" w:eastAsia="Calibri Light" w:hAnsi="Times New Roman" w:cs="Calibri Light"/>
    </w:rPr>
  </w:style>
  <w:style w:type="character" w:styleId="EndnoteReference">
    <w:name w:val="endnote reference"/>
    <w:basedOn w:val="DefaultParagraphFont"/>
    <w:semiHidden/>
    <w:rsid w:val="008F54C6"/>
    <w:rPr>
      <w:vertAlign w:val="superscript"/>
    </w:rPr>
  </w:style>
  <w:style w:type="paragraph" w:customStyle="1" w:styleId="EASME-SMEFOOTNOTE">
    <w:name w:val="EASME-SME FOOTNOTE"/>
    <w:basedOn w:val="Normal"/>
    <w:uiPriority w:val="99"/>
    <w:rsid w:val="00C56277"/>
    <w:pPr>
      <w:spacing w:before="60" w:line="240" w:lineRule="exact"/>
    </w:pPr>
    <w:rPr>
      <w:rFonts w:eastAsia="Times New Roman" w:cs="Times New Roman"/>
      <w:sz w:val="24"/>
      <w:vertAlign w:val="superscript"/>
    </w:rPr>
  </w:style>
  <w:style w:type="character" w:styleId="Strong">
    <w:name w:val="Strong"/>
    <w:basedOn w:val="DefaultParagraphFont"/>
    <w:uiPriority w:val="22"/>
    <w:qFormat/>
    <w:rsid w:val="00A3711F"/>
    <w:rPr>
      <w:b/>
    </w:rPr>
  </w:style>
  <w:style w:type="paragraph" w:customStyle="1" w:styleId="References">
    <w:name w:val="References"/>
    <w:basedOn w:val="Normal"/>
    <w:next w:val="Normal"/>
    <w:rsid w:val="00376955"/>
    <w:pPr>
      <w:spacing w:after="120" w:line="240" w:lineRule="auto"/>
      <w:ind w:left="5102" w:right="-567"/>
      <w:jc w:val="left"/>
    </w:pPr>
    <w:rPr>
      <w:rFonts w:eastAsia="Times New Roman" w:cs="Times New Roman"/>
      <w:sz w:val="20"/>
    </w:rPr>
  </w:style>
  <w:style w:type="paragraph" w:styleId="Date">
    <w:name w:val="Date"/>
    <w:basedOn w:val="Normal"/>
    <w:next w:val="References"/>
    <w:link w:val="DateChar"/>
    <w:rsid w:val="00376955"/>
    <w:pPr>
      <w:spacing w:after="0" w:line="240" w:lineRule="auto"/>
      <w:ind w:left="5102" w:right="-567"/>
      <w:jc w:val="left"/>
    </w:pPr>
    <w:rPr>
      <w:rFonts w:eastAsia="Times New Roman" w:cs="Times New Roman"/>
      <w:sz w:val="24"/>
    </w:rPr>
  </w:style>
  <w:style w:type="character" w:customStyle="1" w:styleId="DateChar">
    <w:name w:val="Date Char"/>
    <w:basedOn w:val="DefaultParagraphFont"/>
    <w:link w:val="Date"/>
    <w:rsid w:val="00376955"/>
    <w:rPr>
      <w:rFonts w:ascii="Times New Roman" w:eastAsia="Times New Roman" w:hAnsi="Times New Roman" w:cs="Times New Roman"/>
      <w:sz w:val="24"/>
    </w:rPr>
  </w:style>
  <w:style w:type="paragraph" w:customStyle="1" w:styleId="ZDGName">
    <w:name w:val="Z_DGName"/>
    <w:basedOn w:val="Normal"/>
    <w:uiPriority w:val="99"/>
    <w:semiHidden/>
    <w:rsid w:val="00376955"/>
    <w:pPr>
      <w:widowControl w:val="0"/>
      <w:spacing w:after="0" w:line="240" w:lineRule="auto"/>
      <w:ind w:right="85"/>
      <w:jc w:val="left"/>
    </w:pPr>
    <w:rPr>
      <w:rFonts w:eastAsia="Times New Roman" w:cs="Times New Roman"/>
      <w:sz w:val="16"/>
    </w:rPr>
  </w:style>
  <w:style w:type="paragraph" w:customStyle="1" w:styleId="ZCom">
    <w:name w:val="Z_Com"/>
    <w:basedOn w:val="Normal"/>
    <w:next w:val="Normal"/>
    <w:uiPriority w:val="99"/>
    <w:semiHidden/>
    <w:rsid w:val="00376955"/>
    <w:pPr>
      <w:widowControl w:val="0"/>
      <w:spacing w:before="90" w:after="0" w:line="240" w:lineRule="auto"/>
      <w:ind w:right="85"/>
    </w:pPr>
    <w:rPr>
      <w:rFonts w:eastAsia="Times New Roman" w:cs="Times New Roman"/>
      <w:sz w:val="24"/>
    </w:rPr>
  </w:style>
  <w:style w:type="paragraph" w:customStyle="1" w:styleId="ZFlag">
    <w:name w:val="Z_Flag"/>
    <w:basedOn w:val="Normal"/>
    <w:next w:val="Normal"/>
    <w:uiPriority w:val="99"/>
    <w:semiHidden/>
    <w:rsid w:val="00376955"/>
    <w:pPr>
      <w:widowControl w:val="0"/>
      <w:spacing w:after="0" w:line="240" w:lineRule="auto"/>
      <w:ind w:right="85"/>
    </w:pPr>
    <w:rPr>
      <w:rFonts w:eastAsia="Times New Roman" w:cs="Times New Roman"/>
      <w:sz w:val="24"/>
    </w:rPr>
  </w:style>
  <w:style w:type="table" w:customStyle="1" w:styleId="TableLetterhead">
    <w:name w:val="Table Letterhead"/>
    <w:basedOn w:val="TableNormal"/>
    <w:uiPriority w:val="99"/>
    <w:rsid w:val="00376955"/>
    <w:pPr>
      <w:spacing w:after="0" w:line="240" w:lineRule="auto"/>
    </w:pPr>
    <w:rPr>
      <w:rFonts w:ascii="Times New Roman" w:eastAsia="Times New Roman" w:hAnsi="Times New Roman" w:cs="Times New Roman"/>
      <w:sz w:val="24"/>
    </w:rPr>
    <w:tblPr>
      <w:tblCellMar>
        <w:left w:w="0" w:type="dxa"/>
        <w:bottom w:w="340" w:type="dxa"/>
        <w:right w:w="0" w:type="dxa"/>
      </w:tblCellMar>
    </w:tblPr>
  </w:style>
  <w:style w:type="character" w:customStyle="1" w:styleId="Marker">
    <w:name w:val="Marker"/>
    <w:basedOn w:val="DefaultParagraphFont"/>
    <w:rsid w:val="00230B3F"/>
    <w:rPr>
      <w:color w:val="0000FF"/>
      <w:shd w:val="clear" w:color="auto" w:fill="auto"/>
    </w:rPr>
  </w:style>
  <w:style w:type="paragraph" w:customStyle="1" w:styleId="Pagedecouverture">
    <w:name w:val="Page de couverture"/>
    <w:basedOn w:val="Normal"/>
    <w:next w:val="Normal"/>
    <w:rsid w:val="004B1351"/>
    <w:pPr>
      <w:spacing w:after="0" w:line="240" w:lineRule="auto"/>
    </w:pPr>
    <w:rPr>
      <w:rFonts w:cs="Times New Roman"/>
      <w:sz w:val="24"/>
    </w:rPr>
  </w:style>
  <w:style w:type="paragraph" w:customStyle="1" w:styleId="FooterCoverPage">
    <w:name w:val="Footer Cover Page"/>
    <w:basedOn w:val="Normal"/>
    <w:link w:val="FooterCoverPageChar"/>
    <w:rsid w:val="004B1351"/>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basedOn w:val="DefaultParagraphFont"/>
    <w:link w:val="FooterCoverPage"/>
    <w:rsid w:val="004B1351"/>
    <w:rPr>
      <w:rFonts w:ascii="Times New Roman" w:hAnsi="Times New Roman"/>
      <w:sz w:val="24"/>
    </w:rPr>
  </w:style>
  <w:style w:type="paragraph" w:customStyle="1" w:styleId="FooterSensitivity">
    <w:name w:val="Footer Sensitivity"/>
    <w:basedOn w:val="Normal"/>
    <w:link w:val="FooterSensitivityChar"/>
    <w:rsid w:val="004B1351"/>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sid w:val="004B1351"/>
    <w:rPr>
      <w:rFonts w:ascii="Times New Roman" w:hAnsi="Times New Roman"/>
      <w:b/>
      <w:sz w:val="32"/>
    </w:rPr>
  </w:style>
  <w:style w:type="paragraph" w:customStyle="1" w:styleId="HeaderCoverPage">
    <w:name w:val="Header Cover Page"/>
    <w:basedOn w:val="Normal"/>
    <w:link w:val="HeaderCoverPageChar"/>
    <w:rsid w:val="004B1351"/>
    <w:pPr>
      <w:tabs>
        <w:tab w:val="center" w:pos="4535"/>
        <w:tab w:val="right" w:pos="9071"/>
      </w:tabs>
      <w:spacing w:after="120" w:line="240" w:lineRule="auto"/>
    </w:pPr>
    <w:rPr>
      <w:sz w:val="24"/>
    </w:rPr>
  </w:style>
  <w:style w:type="character" w:customStyle="1" w:styleId="HeaderCoverPageChar">
    <w:name w:val="Header Cover Page Char"/>
    <w:basedOn w:val="DefaultParagraphFont"/>
    <w:link w:val="HeaderCoverPage"/>
    <w:rsid w:val="004B1351"/>
    <w:rPr>
      <w:rFonts w:ascii="Times New Roman" w:hAnsi="Times New Roman"/>
      <w:sz w:val="24"/>
    </w:rPr>
  </w:style>
  <w:style w:type="paragraph" w:customStyle="1" w:styleId="HeaderSensitivity">
    <w:name w:val="Header Sensitivity"/>
    <w:basedOn w:val="Normal"/>
    <w:link w:val="HeaderSensitivityChar"/>
    <w:rsid w:val="004B1351"/>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4B1351"/>
    <w:rPr>
      <w:rFonts w:ascii="Times New Roman" w:hAnsi="Times New Roman"/>
      <w:b/>
      <w:sz w:val="32"/>
    </w:rPr>
  </w:style>
  <w:style w:type="paragraph" w:customStyle="1" w:styleId="HeaderSensitivityRight">
    <w:name w:val="Header Sensitivity Right"/>
    <w:basedOn w:val="Normal"/>
    <w:link w:val="HeaderSensitivityRightChar"/>
    <w:rsid w:val="004B1351"/>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4B1351"/>
    <w:rPr>
      <w:rFonts w:ascii="Times New Roman" w:hAnsi="Times New Roman"/>
      <w:sz w:val="28"/>
    </w:rPr>
  </w:style>
  <w:style w:type="character" w:customStyle="1" w:styleId="s2">
    <w:name w:val="s2"/>
    <w:basedOn w:val="DefaultParagraphFont"/>
    <w:rsid w:val="002E17E0"/>
  </w:style>
  <w:style w:type="character" w:customStyle="1" w:styleId="cf01">
    <w:name w:val="cf01"/>
    <w:basedOn w:val="DefaultParagraphFont"/>
    <w:rsid w:val="006024CB"/>
    <w:rPr>
      <w:rFonts w:ascii="Segoe UI" w:hAnsi="Segoe UI" w:cs="Segoe UI" w:hint="default"/>
      <w:color w:val="333333"/>
      <w:sz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7167">
      <w:bodyDiv w:val="1"/>
      <w:marLeft w:val="0"/>
      <w:marRight w:val="0"/>
      <w:marTop w:val="0"/>
      <w:marBottom w:val="0"/>
      <w:divBdr>
        <w:top w:val="none" w:sz="0" w:space="0" w:color="auto"/>
        <w:left w:val="none" w:sz="0" w:space="0" w:color="auto"/>
        <w:bottom w:val="none" w:sz="0" w:space="0" w:color="auto"/>
        <w:right w:val="none" w:sz="0" w:space="0" w:color="auto"/>
      </w:divBdr>
    </w:div>
    <w:div w:id="70585749">
      <w:bodyDiv w:val="1"/>
      <w:marLeft w:val="0"/>
      <w:marRight w:val="0"/>
      <w:marTop w:val="0"/>
      <w:marBottom w:val="0"/>
      <w:divBdr>
        <w:top w:val="none" w:sz="0" w:space="0" w:color="auto"/>
        <w:left w:val="none" w:sz="0" w:space="0" w:color="auto"/>
        <w:bottom w:val="none" w:sz="0" w:space="0" w:color="auto"/>
        <w:right w:val="none" w:sz="0" w:space="0" w:color="auto"/>
      </w:divBdr>
    </w:div>
    <w:div w:id="90245924">
      <w:bodyDiv w:val="1"/>
      <w:marLeft w:val="0"/>
      <w:marRight w:val="0"/>
      <w:marTop w:val="0"/>
      <w:marBottom w:val="0"/>
      <w:divBdr>
        <w:top w:val="none" w:sz="0" w:space="0" w:color="auto"/>
        <w:left w:val="none" w:sz="0" w:space="0" w:color="auto"/>
        <w:bottom w:val="none" w:sz="0" w:space="0" w:color="auto"/>
        <w:right w:val="none" w:sz="0" w:space="0" w:color="auto"/>
      </w:divBdr>
    </w:div>
    <w:div w:id="90325722">
      <w:bodyDiv w:val="1"/>
      <w:marLeft w:val="0"/>
      <w:marRight w:val="0"/>
      <w:marTop w:val="0"/>
      <w:marBottom w:val="0"/>
      <w:divBdr>
        <w:top w:val="none" w:sz="0" w:space="0" w:color="auto"/>
        <w:left w:val="none" w:sz="0" w:space="0" w:color="auto"/>
        <w:bottom w:val="none" w:sz="0" w:space="0" w:color="auto"/>
        <w:right w:val="none" w:sz="0" w:space="0" w:color="auto"/>
      </w:divBdr>
    </w:div>
    <w:div w:id="97335370">
      <w:bodyDiv w:val="1"/>
      <w:marLeft w:val="0"/>
      <w:marRight w:val="0"/>
      <w:marTop w:val="0"/>
      <w:marBottom w:val="0"/>
      <w:divBdr>
        <w:top w:val="none" w:sz="0" w:space="0" w:color="auto"/>
        <w:left w:val="none" w:sz="0" w:space="0" w:color="auto"/>
        <w:bottom w:val="none" w:sz="0" w:space="0" w:color="auto"/>
        <w:right w:val="none" w:sz="0" w:space="0" w:color="auto"/>
      </w:divBdr>
    </w:div>
    <w:div w:id="183402287">
      <w:bodyDiv w:val="1"/>
      <w:marLeft w:val="0"/>
      <w:marRight w:val="0"/>
      <w:marTop w:val="0"/>
      <w:marBottom w:val="0"/>
      <w:divBdr>
        <w:top w:val="none" w:sz="0" w:space="0" w:color="auto"/>
        <w:left w:val="none" w:sz="0" w:space="0" w:color="auto"/>
        <w:bottom w:val="none" w:sz="0" w:space="0" w:color="auto"/>
        <w:right w:val="none" w:sz="0" w:space="0" w:color="auto"/>
      </w:divBdr>
    </w:div>
    <w:div w:id="278412108">
      <w:bodyDiv w:val="1"/>
      <w:marLeft w:val="0"/>
      <w:marRight w:val="0"/>
      <w:marTop w:val="0"/>
      <w:marBottom w:val="0"/>
      <w:divBdr>
        <w:top w:val="none" w:sz="0" w:space="0" w:color="auto"/>
        <w:left w:val="none" w:sz="0" w:space="0" w:color="auto"/>
        <w:bottom w:val="none" w:sz="0" w:space="0" w:color="auto"/>
        <w:right w:val="none" w:sz="0" w:space="0" w:color="auto"/>
      </w:divBdr>
    </w:div>
    <w:div w:id="347487676">
      <w:bodyDiv w:val="1"/>
      <w:marLeft w:val="0"/>
      <w:marRight w:val="0"/>
      <w:marTop w:val="0"/>
      <w:marBottom w:val="0"/>
      <w:divBdr>
        <w:top w:val="none" w:sz="0" w:space="0" w:color="auto"/>
        <w:left w:val="none" w:sz="0" w:space="0" w:color="auto"/>
        <w:bottom w:val="none" w:sz="0" w:space="0" w:color="auto"/>
        <w:right w:val="none" w:sz="0" w:space="0" w:color="auto"/>
      </w:divBdr>
    </w:div>
    <w:div w:id="499469555">
      <w:bodyDiv w:val="1"/>
      <w:marLeft w:val="0"/>
      <w:marRight w:val="0"/>
      <w:marTop w:val="0"/>
      <w:marBottom w:val="0"/>
      <w:divBdr>
        <w:top w:val="none" w:sz="0" w:space="0" w:color="auto"/>
        <w:left w:val="none" w:sz="0" w:space="0" w:color="auto"/>
        <w:bottom w:val="none" w:sz="0" w:space="0" w:color="auto"/>
        <w:right w:val="none" w:sz="0" w:space="0" w:color="auto"/>
      </w:divBdr>
    </w:div>
    <w:div w:id="578977223">
      <w:bodyDiv w:val="1"/>
      <w:marLeft w:val="0"/>
      <w:marRight w:val="0"/>
      <w:marTop w:val="0"/>
      <w:marBottom w:val="0"/>
      <w:divBdr>
        <w:top w:val="none" w:sz="0" w:space="0" w:color="auto"/>
        <w:left w:val="none" w:sz="0" w:space="0" w:color="auto"/>
        <w:bottom w:val="none" w:sz="0" w:space="0" w:color="auto"/>
        <w:right w:val="none" w:sz="0" w:space="0" w:color="auto"/>
      </w:divBdr>
      <w:divsChild>
        <w:div w:id="1520241442">
          <w:marLeft w:val="0"/>
          <w:marRight w:val="0"/>
          <w:marTop w:val="0"/>
          <w:marBottom w:val="0"/>
          <w:divBdr>
            <w:top w:val="none" w:sz="0" w:space="0" w:color="auto"/>
            <w:left w:val="none" w:sz="0" w:space="0" w:color="auto"/>
            <w:bottom w:val="none" w:sz="0" w:space="0" w:color="auto"/>
            <w:right w:val="none" w:sz="0" w:space="0" w:color="auto"/>
          </w:divBdr>
        </w:div>
      </w:divsChild>
    </w:div>
    <w:div w:id="788620085">
      <w:bodyDiv w:val="1"/>
      <w:marLeft w:val="0"/>
      <w:marRight w:val="0"/>
      <w:marTop w:val="0"/>
      <w:marBottom w:val="0"/>
      <w:divBdr>
        <w:top w:val="none" w:sz="0" w:space="0" w:color="auto"/>
        <w:left w:val="none" w:sz="0" w:space="0" w:color="auto"/>
        <w:bottom w:val="none" w:sz="0" w:space="0" w:color="auto"/>
        <w:right w:val="none" w:sz="0" w:space="0" w:color="auto"/>
      </w:divBdr>
    </w:div>
    <w:div w:id="1025133906">
      <w:bodyDiv w:val="1"/>
      <w:marLeft w:val="0"/>
      <w:marRight w:val="0"/>
      <w:marTop w:val="0"/>
      <w:marBottom w:val="0"/>
      <w:divBdr>
        <w:top w:val="none" w:sz="0" w:space="0" w:color="auto"/>
        <w:left w:val="none" w:sz="0" w:space="0" w:color="auto"/>
        <w:bottom w:val="none" w:sz="0" w:space="0" w:color="auto"/>
        <w:right w:val="none" w:sz="0" w:space="0" w:color="auto"/>
      </w:divBdr>
    </w:div>
    <w:div w:id="1051349672">
      <w:bodyDiv w:val="1"/>
      <w:marLeft w:val="0"/>
      <w:marRight w:val="0"/>
      <w:marTop w:val="0"/>
      <w:marBottom w:val="0"/>
      <w:divBdr>
        <w:top w:val="none" w:sz="0" w:space="0" w:color="auto"/>
        <w:left w:val="none" w:sz="0" w:space="0" w:color="auto"/>
        <w:bottom w:val="none" w:sz="0" w:space="0" w:color="auto"/>
        <w:right w:val="none" w:sz="0" w:space="0" w:color="auto"/>
      </w:divBdr>
    </w:div>
    <w:div w:id="1087386486">
      <w:bodyDiv w:val="1"/>
      <w:marLeft w:val="0"/>
      <w:marRight w:val="0"/>
      <w:marTop w:val="0"/>
      <w:marBottom w:val="0"/>
      <w:divBdr>
        <w:top w:val="none" w:sz="0" w:space="0" w:color="auto"/>
        <w:left w:val="none" w:sz="0" w:space="0" w:color="auto"/>
        <w:bottom w:val="none" w:sz="0" w:space="0" w:color="auto"/>
        <w:right w:val="none" w:sz="0" w:space="0" w:color="auto"/>
      </w:divBdr>
    </w:div>
    <w:div w:id="1090271258">
      <w:bodyDiv w:val="1"/>
      <w:marLeft w:val="0"/>
      <w:marRight w:val="0"/>
      <w:marTop w:val="0"/>
      <w:marBottom w:val="0"/>
      <w:divBdr>
        <w:top w:val="none" w:sz="0" w:space="0" w:color="auto"/>
        <w:left w:val="none" w:sz="0" w:space="0" w:color="auto"/>
        <w:bottom w:val="none" w:sz="0" w:space="0" w:color="auto"/>
        <w:right w:val="none" w:sz="0" w:space="0" w:color="auto"/>
      </w:divBdr>
    </w:div>
    <w:div w:id="1494222787">
      <w:bodyDiv w:val="1"/>
      <w:marLeft w:val="0"/>
      <w:marRight w:val="0"/>
      <w:marTop w:val="0"/>
      <w:marBottom w:val="0"/>
      <w:divBdr>
        <w:top w:val="none" w:sz="0" w:space="0" w:color="auto"/>
        <w:left w:val="none" w:sz="0" w:space="0" w:color="auto"/>
        <w:bottom w:val="none" w:sz="0" w:space="0" w:color="auto"/>
        <w:right w:val="none" w:sz="0" w:space="0" w:color="auto"/>
      </w:divBdr>
    </w:div>
    <w:div w:id="1516575705">
      <w:bodyDiv w:val="1"/>
      <w:marLeft w:val="0"/>
      <w:marRight w:val="0"/>
      <w:marTop w:val="0"/>
      <w:marBottom w:val="0"/>
      <w:divBdr>
        <w:top w:val="none" w:sz="0" w:space="0" w:color="auto"/>
        <w:left w:val="none" w:sz="0" w:space="0" w:color="auto"/>
        <w:bottom w:val="none" w:sz="0" w:space="0" w:color="auto"/>
        <w:right w:val="none" w:sz="0" w:space="0" w:color="auto"/>
      </w:divBdr>
    </w:div>
    <w:div w:id="1573277885">
      <w:bodyDiv w:val="1"/>
      <w:marLeft w:val="0"/>
      <w:marRight w:val="0"/>
      <w:marTop w:val="0"/>
      <w:marBottom w:val="0"/>
      <w:divBdr>
        <w:top w:val="none" w:sz="0" w:space="0" w:color="auto"/>
        <w:left w:val="none" w:sz="0" w:space="0" w:color="auto"/>
        <w:bottom w:val="none" w:sz="0" w:space="0" w:color="auto"/>
        <w:right w:val="none" w:sz="0" w:space="0" w:color="auto"/>
      </w:divBdr>
    </w:div>
    <w:div w:id="1650404457">
      <w:bodyDiv w:val="1"/>
      <w:marLeft w:val="0"/>
      <w:marRight w:val="0"/>
      <w:marTop w:val="0"/>
      <w:marBottom w:val="0"/>
      <w:divBdr>
        <w:top w:val="none" w:sz="0" w:space="0" w:color="auto"/>
        <w:left w:val="none" w:sz="0" w:space="0" w:color="auto"/>
        <w:bottom w:val="none" w:sz="0" w:space="0" w:color="auto"/>
        <w:right w:val="none" w:sz="0" w:space="0" w:color="auto"/>
      </w:divBdr>
    </w:div>
    <w:div w:id="1792093939">
      <w:bodyDiv w:val="1"/>
      <w:marLeft w:val="0"/>
      <w:marRight w:val="0"/>
      <w:marTop w:val="0"/>
      <w:marBottom w:val="0"/>
      <w:divBdr>
        <w:top w:val="none" w:sz="0" w:space="0" w:color="auto"/>
        <w:left w:val="none" w:sz="0" w:space="0" w:color="auto"/>
        <w:bottom w:val="none" w:sz="0" w:space="0" w:color="auto"/>
        <w:right w:val="none" w:sz="0" w:space="0" w:color="auto"/>
      </w:divBdr>
    </w:div>
    <w:div w:id="1866670379">
      <w:bodyDiv w:val="1"/>
      <w:marLeft w:val="0"/>
      <w:marRight w:val="0"/>
      <w:marTop w:val="0"/>
      <w:marBottom w:val="0"/>
      <w:divBdr>
        <w:top w:val="none" w:sz="0" w:space="0" w:color="auto"/>
        <w:left w:val="none" w:sz="0" w:space="0" w:color="auto"/>
        <w:bottom w:val="none" w:sz="0" w:space="0" w:color="auto"/>
        <w:right w:val="none" w:sz="0" w:space="0" w:color="auto"/>
      </w:divBdr>
    </w:div>
    <w:div w:id="1873498939">
      <w:bodyDiv w:val="1"/>
      <w:marLeft w:val="0"/>
      <w:marRight w:val="0"/>
      <w:marTop w:val="0"/>
      <w:marBottom w:val="0"/>
      <w:divBdr>
        <w:top w:val="none" w:sz="0" w:space="0" w:color="auto"/>
        <w:left w:val="none" w:sz="0" w:space="0" w:color="auto"/>
        <w:bottom w:val="none" w:sz="0" w:space="0" w:color="auto"/>
        <w:right w:val="none" w:sz="0" w:space="0" w:color="auto"/>
      </w:divBdr>
    </w:div>
    <w:div w:id="1933010897">
      <w:bodyDiv w:val="1"/>
      <w:marLeft w:val="0"/>
      <w:marRight w:val="0"/>
      <w:marTop w:val="0"/>
      <w:marBottom w:val="0"/>
      <w:divBdr>
        <w:top w:val="none" w:sz="0" w:space="0" w:color="auto"/>
        <w:left w:val="none" w:sz="0" w:space="0" w:color="auto"/>
        <w:bottom w:val="none" w:sz="0" w:space="0" w:color="auto"/>
        <w:right w:val="none" w:sz="0" w:space="0" w:color="auto"/>
      </w:divBdr>
    </w:div>
    <w:div w:id="1970817576">
      <w:bodyDiv w:val="1"/>
      <w:marLeft w:val="0"/>
      <w:marRight w:val="0"/>
      <w:marTop w:val="0"/>
      <w:marBottom w:val="0"/>
      <w:divBdr>
        <w:top w:val="none" w:sz="0" w:space="0" w:color="auto"/>
        <w:left w:val="none" w:sz="0" w:space="0" w:color="auto"/>
        <w:bottom w:val="none" w:sz="0" w:space="0" w:color="auto"/>
        <w:right w:val="none" w:sz="0" w:space="0" w:color="auto"/>
      </w:divBdr>
      <w:divsChild>
        <w:div w:id="283074248">
          <w:marLeft w:val="0"/>
          <w:marRight w:val="0"/>
          <w:marTop w:val="0"/>
          <w:marBottom w:val="0"/>
          <w:divBdr>
            <w:top w:val="none" w:sz="0" w:space="0" w:color="auto"/>
            <w:left w:val="none" w:sz="0" w:space="0" w:color="auto"/>
            <w:bottom w:val="none" w:sz="0" w:space="0" w:color="auto"/>
            <w:right w:val="none" w:sz="0" w:space="0" w:color="auto"/>
          </w:divBdr>
        </w:div>
        <w:div w:id="542788535">
          <w:marLeft w:val="0"/>
          <w:marRight w:val="0"/>
          <w:marTop w:val="0"/>
          <w:marBottom w:val="0"/>
          <w:divBdr>
            <w:top w:val="none" w:sz="0" w:space="0" w:color="auto"/>
            <w:left w:val="none" w:sz="0" w:space="0" w:color="auto"/>
            <w:bottom w:val="none" w:sz="0" w:space="0" w:color="auto"/>
            <w:right w:val="none" w:sz="0" w:space="0" w:color="auto"/>
          </w:divBdr>
        </w:div>
        <w:div w:id="843934907">
          <w:marLeft w:val="0"/>
          <w:marRight w:val="0"/>
          <w:marTop w:val="0"/>
          <w:marBottom w:val="0"/>
          <w:divBdr>
            <w:top w:val="none" w:sz="0" w:space="0" w:color="auto"/>
            <w:left w:val="none" w:sz="0" w:space="0" w:color="auto"/>
            <w:bottom w:val="none" w:sz="0" w:space="0" w:color="auto"/>
            <w:right w:val="none" w:sz="0" w:space="0" w:color="auto"/>
          </w:divBdr>
        </w:div>
        <w:div w:id="1172645778">
          <w:marLeft w:val="0"/>
          <w:marRight w:val="0"/>
          <w:marTop w:val="0"/>
          <w:marBottom w:val="0"/>
          <w:divBdr>
            <w:top w:val="none" w:sz="0" w:space="0" w:color="auto"/>
            <w:left w:val="none" w:sz="0" w:space="0" w:color="auto"/>
            <w:bottom w:val="none" w:sz="0" w:space="0" w:color="auto"/>
            <w:right w:val="none" w:sz="0" w:space="0" w:color="auto"/>
          </w:divBdr>
        </w:div>
      </w:divsChild>
    </w:div>
    <w:div w:id="2009554724">
      <w:bodyDiv w:val="1"/>
      <w:marLeft w:val="0"/>
      <w:marRight w:val="0"/>
      <w:marTop w:val="0"/>
      <w:marBottom w:val="0"/>
      <w:divBdr>
        <w:top w:val="none" w:sz="0" w:space="0" w:color="auto"/>
        <w:left w:val="none" w:sz="0" w:space="0" w:color="auto"/>
        <w:bottom w:val="none" w:sz="0" w:space="0" w:color="auto"/>
        <w:right w:val="none" w:sz="0" w:space="0" w:color="auto"/>
      </w:divBdr>
    </w:div>
    <w:div w:id="206394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3" Type="http://schemas.openxmlformats.org/officeDocument/2006/relationships/hyperlink" Target="https://www.fsb.org/2023/09/enhancing-the-resilience-of-non-bank-financial-intermediation-progress-report-3/" TargetMode="External"/><Relationship Id="rId18" Type="http://schemas.openxmlformats.org/officeDocument/2006/relationships/hyperlink" Target="https://www.ecb.europa.eu/pub/financial-stability/fsr/focus/2022/html/ecb.fsrbox202211_06~1caf5f3bca.en.html" TargetMode="External"/><Relationship Id="rId26" Type="http://schemas.openxmlformats.org/officeDocument/2006/relationships/hyperlink" Target="https://finance.ec.europa.eu/regulation-and-supervision/consultations/finance-2022-money-market-funds_en" TargetMode="External"/><Relationship Id="rId39" Type="http://schemas.openxmlformats.org/officeDocument/2006/relationships/hyperlink" Target="https://www.ecb.europa.eu/pub/financial-stability/macroprudential-bulletin/html/ecb.mpbu201903_01~c307e09dd7.en.html" TargetMode="External"/><Relationship Id="rId21" Type="http://schemas.openxmlformats.org/officeDocument/2006/relationships/hyperlink" Target="https://www.banque-france.fr/index.php/en/publications-and-statistics/publications/non-bank-financial-intermediation-vulnerabilities-and-challenges" TargetMode="External"/><Relationship Id="rId34" Type="http://schemas.openxmlformats.org/officeDocument/2006/relationships/hyperlink" Target="https://www.ecb.europa.eu/pub/financial-stability/macroprudential-bulletin/html/ecb.mpbu202010_1~01c4f1a5f4.en.html" TargetMode="External"/><Relationship Id="rId42" Type="http://schemas.openxmlformats.org/officeDocument/2006/relationships/hyperlink" Target="https://www.ecb.europa.eu/pub/pdf/scpwps/ecb.wp2644~7d82c23abf.en.pdf?a6ea999a5302230189454d2464059287" TargetMode="External"/><Relationship Id="rId47" Type="http://schemas.openxmlformats.org/officeDocument/2006/relationships/hyperlink" Target="https://www.esrb.europa.eu/pub/pdf/reports/esrb.report190923_vulnerabilities_eea_countries~a4864b42bf.en.pdf" TargetMode="External"/><Relationship Id="rId50" Type="http://schemas.openxmlformats.org/officeDocument/2006/relationships/hyperlink" Target="https://www.esrb.europa.eu/pub/pdf/other/esrb.reviewmacropruframeworkcfa.220331~5d81cb2173.en.pdf?7263115b46a985b4481328afd3f2326d" TargetMode="External"/><Relationship Id="rId55" Type="http://schemas.openxmlformats.org/officeDocument/2006/relationships/hyperlink" Target="https://www.bankofengland.co.uk/speech/2023/september/andrew-hauser-speech-at-market-news-international-connect-event" TargetMode="External"/><Relationship Id="rId63" Type="http://schemas.openxmlformats.org/officeDocument/2006/relationships/hyperlink" Target="https://www.esma.europa.eu/press-news/esma-news/esma-publishes-ex-post-analysis-derivatives-risks-in-archegos" TargetMode="External"/><Relationship Id="rId7" Type="http://schemas.openxmlformats.org/officeDocument/2006/relationships/hyperlink" Target="https://ec.europa.eu/economy_finance/publications/pages/publication14527_en.pdf" TargetMode="External"/><Relationship Id="rId2" Type="http://schemas.openxmlformats.org/officeDocument/2006/relationships/hyperlink" Target="https://finance.ec.europa.eu/system/files/2022-06/2021-banking-macroprudential-framework-summary-of-responses_en.pdf" TargetMode="External"/><Relationship Id="rId16" Type="http://schemas.openxmlformats.org/officeDocument/2006/relationships/hyperlink" Target="https://www.esrb.europa.eu/pub/pdf/reports/nbfi_monitor/esrb.nbfi202306~58b19c8627.en.pdf" TargetMode="External"/><Relationship Id="rId20" Type="http://schemas.openxmlformats.org/officeDocument/2006/relationships/hyperlink" Target="https://www.banque-france.fr/index.php/en/publications-and-statistics/publications/non-bank-financial-intermediation-vulnerabilities-and-challenges" TargetMode="External"/><Relationship Id="rId29" Type="http://schemas.openxmlformats.org/officeDocument/2006/relationships/hyperlink" Target="https://www.eiopa.europa.eu/publications/opinion-2020-review-solvency-ii_en" TargetMode="External"/><Relationship Id="rId41" Type="http://schemas.openxmlformats.org/officeDocument/2006/relationships/hyperlink" Target="https://www.ecb.europa.eu/pub/financial-stability/fsr/special/html/ecb.fsrart202111_01~111d31fca7.en.html" TargetMode="External"/><Relationship Id="rId54" Type="http://schemas.openxmlformats.org/officeDocument/2006/relationships/hyperlink" Target="https://www.bankofengland.co.uk/-/media/boe/files/working-paper/2023/an-anatomy-of-the-2022-gilt-market-crisisC=WSEDSE" TargetMode="External"/><Relationship Id="rId62" Type="http://schemas.openxmlformats.org/officeDocument/2006/relationships/hyperlink" Target="https://www.fsb.org/wp-content/uploads/P101122.pdf" TargetMode="External"/><Relationship Id="rId1" Type="http://schemas.openxmlformats.org/officeDocument/2006/relationships/hyperlink" Target="https://finance.ec.europa.eu/system/files/2021-11/2021-banking-macroprudential-framework-consultation-document_en.pdf" TargetMode="External"/><Relationship Id="rId6" Type="http://schemas.openxmlformats.org/officeDocument/2006/relationships/hyperlink" Target="https://ec.europa.eu/economy_finance/publications/pages/publication14527_en.pdf" TargetMode="External"/><Relationship Id="rId11" Type="http://schemas.openxmlformats.org/officeDocument/2006/relationships/hyperlink" Target="https://www.fsb.org/2022/12/global-monitoring-report-on-non-bank-financial-intermediation-2022/=WSEDSE" TargetMode="External"/><Relationship Id="rId24" Type="http://schemas.openxmlformats.org/officeDocument/2006/relationships/hyperlink" Target="https://finance.ec.europa.eu/publications/capital-markets-union-commission-adopts-package-ensure-better-data-access-and-revamped-investment_en" TargetMode="External"/><Relationship Id="rId32" Type="http://schemas.openxmlformats.org/officeDocument/2006/relationships/hyperlink" Target="https://finance.ec.europa.eu/publications/capital-markets-union-clearing-insolvency-and-listing-package_en" TargetMode="External"/><Relationship Id="rId37" Type="http://schemas.openxmlformats.org/officeDocument/2006/relationships/hyperlink" Target="https://www.ecb.europa.eu/pub/pdf/scpops/ecb.op329~60b6f9aa26.en.pdf" TargetMode="External"/><Relationship Id="rId40" Type="http://schemas.openxmlformats.org/officeDocument/2006/relationships/hyperlink" Target="https://www.bis.org/bcbs/publ/d542.htm" TargetMode="External"/><Relationship Id="rId45" Type="http://schemas.openxmlformats.org/officeDocument/2006/relationships/hyperlink" Target="https://www.eba.europa.eu/sites/default/documents/files/document_library/Publications/Reports/2020/961796/EBA%20report%20on%20calibration%20of%20OSII%20buffer%20rates.pdf" TargetMode="External"/><Relationship Id="rId53" Type="http://schemas.openxmlformats.org/officeDocument/2006/relationships/hyperlink" Target="https://www.fsb.org/2020/11/holistic-review-of-the-march-market-turmoil/" TargetMode="External"/><Relationship Id="rId58" Type="http://schemas.openxmlformats.org/officeDocument/2006/relationships/hyperlink" Target="https://finance.ec.europa.eu/system/files/2023-07/230720-report-money-market-funds_en.pdf" TargetMode="External"/><Relationship Id="rId66" Type="http://schemas.openxmlformats.org/officeDocument/2006/relationships/hyperlink" Target="https://www.esrb.europa.eu/pub/pdf/reports/nbfi_monitor/esrb.NBFI_Monitor.20220715~a623f2329b.en.pdf" TargetMode="External"/><Relationship Id="rId5" Type="http://schemas.openxmlformats.org/officeDocument/2006/relationships/hyperlink" Target="https://ec.europa.eu/economy_finance/publications/pages/publication14527_en.pdf" TargetMode="External"/><Relationship Id="rId15" Type="http://schemas.openxmlformats.org/officeDocument/2006/relationships/hyperlink" Target="https://www.fsb.org/2022/12/global-monitoring-report-on-non-bank-financial-intermediation-2022/=WSEDSE" TargetMode="External"/><Relationship Id="rId23" Type="http://schemas.openxmlformats.org/officeDocument/2006/relationships/hyperlink" Target="https://finance.ec.europa.eu/publications/capital-markets-union-commission-adopts-package-ensure-better-data-access-and-revamped-investment_en" TargetMode="External"/><Relationship Id="rId28" Type="http://schemas.openxmlformats.org/officeDocument/2006/relationships/hyperlink" Target="https://ec.europa.eu/commission/presscorner/detail/pl/ip_21_4783" TargetMode="External"/><Relationship Id="rId36" Type="http://schemas.openxmlformats.org/officeDocument/2006/relationships/hyperlink" Target="https://www.ecb.europa.eu/pub/pdf/scpops/ecb.op329~60b6f9aa26.en.pdf" TargetMode="External"/><Relationship Id="rId49" Type="http://schemas.openxmlformats.org/officeDocument/2006/relationships/hyperlink" Target="https://www.esrb.europa.eu/pub/pdf/other/esrb.reviewmacropruframeworkcfa.220331~5d81cb2173.en.pdf?7263115b46a985b4481328afd3f2326d" TargetMode="External"/><Relationship Id="rId57" Type="http://schemas.openxmlformats.org/officeDocument/2006/relationships/hyperlink" Target="https://www.bankofengland.co.uk/speech/2023/september/andrew-hauser-speech-at-market-news-international-connect-event" TargetMode="External"/><Relationship Id="rId61" Type="http://schemas.openxmlformats.org/officeDocument/2006/relationships/hyperlink" Target="https://www.fsb.org/wp-content/uploads/P101122.pdf" TargetMode="External"/><Relationship Id="rId10" Type="http://schemas.openxmlformats.org/officeDocument/2006/relationships/hyperlink" Target="https://www.esrb.europa.eu/pub/pdf/reports/nbfi_monitor/esrb.nbfi202306~58b19c8627.en.pdf" TargetMode="External"/><Relationship Id="rId19" Type="http://schemas.openxmlformats.org/officeDocument/2006/relationships/hyperlink" Target="https://www.ecb.europa.eu/pub/financial-stability/fsr/html/ecb.fsr202311~bfe9d7c565.en.html" TargetMode="External"/><Relationship Id="rId31" Type="http://schemas.openxmlformats.org/officeDocument/2006/relationships/hyperlink" Target="https://www.esrb.europa.eu/pub/pdf/other/esrb.letter221116_on_solvencyii_review_ep~8def68c373.en.pdf?10eb1d148e7ac6732fb2a98139fe3118" TargetMode="External"/><Relationship Id="rId44" Type="http://schemas.openxmlformats.org/officeDocument/2006/relationships/hyperlink" Target="https://www.ecb.europa.eu/pub/pdf/scpwps/ecb.wp2644~7d82c23abf.en.pdf?a6ea999a5302230189454d2464059287" TargetMode="External"/><Relationship Id="rId52" Type="http://schemas.openxmlformats.org/officeDocument/2006/relationships/hyperlink" Target="https://www.bankingsupervision.europa.eu/press/pr/date/2024/html/ssm.pr240103~a26e1930b0.en.html" TargetMode="External"/><Relationship Id="rId60" Type="http://schemas.openxmlformats.org/officeDocument/2006/relationships/hyperlink" Target="https://www.esrb.europa.eu/pub/pdf/occasional/esrb.op.21~38d05c779d.en.pdf" TargetMode="External"/><Relationship Id="rId65" Type="http://schemas.openxmlformats.org/officeDocument/2006/relationships/hyperlink" Target="https://finance.ec.europa.eu/publications/strategy-supervisory-data-eu-financial-services_en" TargetMode="External"/><Relationship Id="rId4" Type="http://schemas.openxmlformats.org/officeDocument/2006/relationships/hyperlink" Target="https://ec.europa.eu/economy_finance/publications/pages/publication14527_en.pdf" TargetMode="External"/><Relationship Id="rId9" Type="http://schemas.openxmlformats.org/officeDocument/2006/relationships/hyperlink" Target="https://www.fsb.org/work-of-the-fsb/financial-innovation-and-structural-change/non-bank-financial-intermediation/" TargetMode="External"/><Relationship Id="rId14" Type="http://schemas.openxmlformats.org/officeDocument/2006/relationships/hyperlink" Target="https://www.fsb.org/2023/09/enhancing-the-resilience-of-non-bank-financial-intermediation-progress-report-3/" TargetMode="External"/><Relationship Id="rId22" Type="http://schemas.openxmlformats.org/officeDocument/2006/relationships/hyperlink" Target="https://www.centralbank.ie/docs/default-source/publications/discussion-papers/discussion-paper-11/dp-11-an-approach-to-macroprudential-policy-for-investment-funds.pdf?sfvrsn=23059f1d_3" TargetMode="External"/><Relationship Id="rId27" Type="http://schemas.openxmlformats.org/officeDocument/2006/relationships/hyperlink" Target="https://finance.ec.europa.eu/system/files/2023-07/230720-report-money-market-funds_en.pdf" TargetMode="External"/><Relationship Id="rId30" Type="http://schemas.openxmlformats.org/officeDocument/2006/relationships/hyperlink" Target="https://www.esrb.europa.eu/pub/pdf/other/esrb.letter220202_on_solvencyii~10566b70b1.en.pdf?460bb936fb9bf165e33120bf98d65ba1" TargetMode="External"/><Relationship Id="rId35" Type="http://schemas.openxmlformats.org/officeDocument/2006/relationships/hyperlink" Target="https://www.esrb.europa.eu/pub/pdf/reports/esrb.ATFreport211217_capitalbuffers~a1d4725ab0.en.pdf" TargetMode="External"/><Relationship Id="rId43" Type="http://schemas.openxmlformats.org/officeDocument/2006/relationships/hyperlink" Target="https://www.ecb.europa.eu/pub/pdf/scpwps/ecb.wp2644~7d82c23abf.en.pdf?a6ea999a5302230189454d2464059287" TargetMode="External"/><Relationship Id="rId48" Type="http://schemas.openxmlformats.org/officeDocument/2006/relationships/hyperlink" Target="https://www.esrb.europa.eu/pub/pdf/reports/esrb.report220211_vulnerabilities_eea_countries~27e571112b.en.pdf?cb8132dc3e0f0f53a4fce3292a690bd6" TargetMode="External"/><Relationship Id="rId56" Type="http://schemas.openxmlformats.org/officeDocument/2006/relationships/hyperlink" Target="https://www.bankofengland.co.uk/speech/2023/september/andrew-hauser-speech-at-market-news-international-connect-event" TargetMode="External"/><Relationship Id="rId64" Type="http://schemas.openxmlformats.org/officeDocument/2006/relationships/hyperlink" Target="https://www.fsb.org/2023/09/the-financial-stability-implications-of-leverage-in-non-bank-financial-intermediation/" TargetMode="External"/><Relationship Id="rId8" Type="http://schemas.openxmlformats.org/officeDocument/2006/relationships/hyperlink" Target="https://www.esrb.europa.eu/pub/pdf/reports/nbfi_monitor/esrb.nbfi202306~58b19c8627.en.pdf" TargetMode="External"/><Relationship Id="rId51" Type="http://schemas.openxmlformats.org/officeDocument/2006/relationships/hyperlink" Target="https://www.esrb.europa.eu/news/pr/date/2022/html/esrb.pr.220127~f1548f677e.en.html" TargetMode="External"/><Relationship Id="rId3" Type="http://schemas.openxmlformats.org/officeDocument/2006/relationships/hyperlink" Target="https://www.imf.org/external/np/pp/eng/2011/031411.pdf" TargetMode="External"/><Relationship Id="rId12" Type="http://schemas.openxmlformats.org/officeDocument/2006/relationships/hyperlink" Target="https://www.fsb.org/2022/12/global-monitoring-report-on-non-bank-financial-intermediation-2022/=WSEDSE" TargetMode="External"/><Relationship Id="rId17" Type="http://schemas.openxmlformats.org/officeDocument/2006/relationships/hyperlink" Target="https://www.ecb.europa.eu/pub/financial-stability/fsr/focus/2022/html/ecb.fsrbox202211_06~1caf5f3bca.en.html" TargetMode="External"/><Relationship Id="rId25" Type="http://schemas.openxmlformats.org/officeDocument/2006/relationships/hyperlink" Target="https://eur-lex.europa.eu/legal-content/PL/TXT/?uri=CELEX%3A02017R1131-20190101&amp;qid=1690881926273" TargetMode="External"/><Relationship Id="rId33" Type="http://schemas.openxmlformats.org/officeDocument/2006/relationships/hyperlink" Target="https://finance.ec.europa.eu/publications/capital-markets-union-clearing-insolvency-and-listing-package_en" TargetMode="External"/><Relationship Id="rId38" Type="http://schemas.openxmlformats.org/officeDocument/2006/relationships/hyperlink" Target="https://www.ecb.europa.eu/pub/financial-stability/macroprudential-bulletin/html/ecb.mpbu201903_01~c307e09dd7.en.html" TargetMode="External"/><Relationship Id="rId46" Type="http://schemas.openxmlformats.org/officeDocument/2006/relationships/hyperlink" Target="https://www.esrb.europa.eu/pub/pdf/reports/161128_vulnerabilities_eu_residential_real_estate_sector.en.pdf" TargetMode="External"/><Relationship Id="rId59" Type="http://schemas.openxmlformats.org/officeDocument/2006/relationships/hyperlink" Target="https://www.esrb.europa.eu/pub/pdf/occasional/esrb.op.21~38d05c779d.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0D94BF79903409A44EFD8C6ED4DE5" ma:contentTypeVersion="15" ma:contentTypeDescription="Create a new document." ma:contentTypeScope="" ma:versionID="4a76546f9012c7876847027e4927cd6c">
  <xsd:schema xmlns:xsd="http://www.w3.org/2001/XMLSchema" xmlns:xs="http://www.w3.org/2001/XMLSchema" xmlns:p="http://schemas.microsoft.com/office/2006/metadata/properties" xmlns:ns2="fb6c068c-bc2d-4620-b517-6a4d82a7e161" xmlns:ns3="604b4288-15a6-4b36-801c-a9875e40b072" targetNamespace="http://schemas.microsoft.com/office/2006/metadata/properties" ma:root="true" ma:fieldsID="5b0c22d888ac26bb2091344b5c5be8c6" ns2:_="" ns3:_="">
    <xsd:import namespace="fb6c068c-bc2d-4620-b517-6a4d82a7e161"/>
    <xsd:import namespace="604b4288-15a6-4b36-801c-a9875e40b072"/>
    <xsd:element name="properties">
      <xsd:complexType>
        <xsd:sequence>
          <xsd:element name="documentManagement">
            <xsd:complexType>
              <xsd:all>
                <xsd:element ref="ns2:MediaServiceMetadata" minOccurs="0"/>
                <xsd:element ref="ns2:MediaServiceFastMetadata" minOccurs="0"/>
                <xsd:element ref="ns2:Category" minOccurs="0"/>
                <xsd:element ref="ns2:MediaServiceAutoKeyPoints" minOccurs="0"/>
                <xsd:element ref="ns2:MediaServiceKeyPoints" minOccurs="0"/>
                <xsd:element ref="ns2:DocStatu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c068c-bc2d-4620-b517-6a4d82a7e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ternalName="Category">
      <xsd:simpleType>
        <xsd:restriction base="dms:Choice">
          <xsd:enumeration value="Meeting minutes"/>
          <xsd:enumeration value="Template"/>
          <xsd:enumeration value="Note takers"/>
          <xsd:enumeration value="Other"/>
          <xsd:enumeration value="ESRB"/>
          <xsd:enumeration value="Training"/>
          <xsd:enumeration value="Mission"/>
          <xsd:enumeration value="National measures"/>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DocStatus" ma:index="13" nillable="true" ma:displayName="Doc Status" ma:default="Draft" ma:format="Dropdown" ma:internalName="DocStatus">
      <xsd:simpleType>
        <xsd:restriction base="dms:Choice">
          <xsd:enumeration value="Draft"/>
          <xsd:enumeration value="Final"/>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4b4288-15a6-4b36-801c-a9875e40b0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2707a19-a31c-4344-937b-e77748b7d6ba}" ma:internalName="TaxCatchAll" ma:showField="CatchAllData" ma:web="604b4288-15a6-4b36-801c-a9875e40b0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fb6c068c-bc2d-4620-b517-6a4d82a7e161" xsi:nil="true"/>
    <DocStatus xmlns="fb6c068c-bc2d-4620-b517-6a4d82a7e161">Draft</DocStatus>
    <TaxCatchAll xmlns="604b4288-15a6-4b36-801c-a9875e40b072" xsi:nil="true"/>
    <lcf76f155ced4ddcb4097134ff3c332f xmlns="fb6c068c-bc2d-4620-b517-6a4d82a7e16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E1DC0-1D66-414E-9A2A-5BB2347FD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c068c-bc2d-4620-b517-6a4d82a7e161"/>
    <ds:schemaRef ds:uri="604b4288-15a6-4b36-801c-a9875e40b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720174-0835-430E-808C-CF178561FB7C}">
  <ds:schemaRefs>
    <ds:schemaRef ds:uri="http://schemas.microsoft.com/sharepoint/v3/contenttype/forms"/>
  </ds:schemaRefs>
</ds:datastoreItem>
</file>

<file path=customXml/itemProps3.xml><?xml version="1.0" encoding="utf-8"?>
<ds:datastoreItem xmlns:ds="http://schemas.openxmlformats.org/officeDocument/2006/customXml" ds:itemID="{73FFA7C2-4FC2-42EC-BD69-C568C667F885}">
  <ds:schemaRefs>
    <ds:schemaRef ds:uri="http://schemas.microsoft.com/office/2006/metadata/properties"/>
    <ds:schemaRef ds:uri="http://schemas.microsoft.com/office/infopath/2007/PartnerControls"/>
    <ds:schemaRef ds:uri="fb6c068c-bc2d-4620-b517-6a4d82a7e161"/>
    <ds:schemaRef ds:uri="604b4288-15a6-4b36-801c-a9875e40b072"/>
  </ds:schemaRefs>
</ds:datastoreItem>
</file>

<file path=customXml/itemProps4.xml><?xml version="1.0" encoding="utf-8"?>
<ds:datastoreItem xmlns:ds="http://schemas.openxmlformats.org/officeDocument/2006/customXml" ds:itemID="{6ABDEB57-5008-4630-9081-6330A6EAE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8015</Words>
  <Characters>45690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53598</CharactersWithSpaces>
  <SharedDoc>false</SharedDoc>
  <HLinks>
    <vt:vector size="282" baseType="variant">
      <vt:variant>
        <vt:i4>1769478</vt:i4>
      </vt:variant>
      <vt:variant>
        <vt:i4>138</vt:i4>
      </vt:variant>
      <vt:variant>
        <vt:i4>0</vt:i4>
      </vt:variant>
      <vt:variant>
        <vt:i4>5</vt:i4>
      </vt:variant>
      <vt:variant>
        <vt:lpwstr>https://www.esrb.europa.eu/pub/pdf/reports/nbfi_monitor/esrb.NBFI_Monitor.20220715~a623f2329b.en.pdf</vt:lpwstr>
      </vt:variant>
      <vt:variant>
        <vt:lpwstr/>
      </vt:variant>
      <vt:variant>
        <vt:i4>2687063</vt:i4>
      </vt:variant>
      <vt:variant>
        <vt:i4>135</vt:i4>
      </vt:variant>
      <vt:variant>
        <vt:i4>0</vt:i4>
      </vt:variant>
      <vt:variant>
        <vt:i4>5</vt:i4>
      </vt:variant>
      <vt:variant>
        <vt:lpwstr>https://finance.ec.europa.eu/publications/strategy-supervisory-data-eu-financial-services_en</vt:lpwstr>
      </vt:variant>
      <vt:variant>
        <vt:lpwstr/>
      </vt:variant>
      <vt:variant>
        <vt:i4>6357040</vt:i4>
      </vt:variant>
      <vt:variant>
        <vt:i4>132</vt:i4>
      </vt:variant>
      <vt:variant>
        <vt:i4>0</vt:i4>
      </vt:variant>
      <vt:variant>
        <vt:i4>5</vt:i4>
      </vt:variant>
      <vt:variant>
        <vt:lpwstr>https://www.fsb.org/2023/09/the-financial-stability-implications-of-leverage-in-non-bank-financial-intermediation/</vt:lpwstr>
      </vt:variant>
      <vt:variant>
        <vt:lpwstr/>
      </vt:variant>
      <vt:variant>
        <vt:i4>720983</vt:i4>
      </vt:variant>
      <vt:variant>
        <vt:i4>129</vt:i4>
      </vt:variant>
      <vt:variant>
        <vt:i4>0</vt:i4>
      </vt:variant>
      <vt:variant>
        <vt:i4>5</vt:i4>
      </vt:variant>
      <vt:variant>
        <vt:lpwstr>https://www.esma.europa.eu/press-news/esma-news/esma-publishes-ex-post-analysis-derivatives-risks-in-archegos</vt:lpwstr>
      </vt:variant>
      <vt:variant>
        <vt:lpwstr/>
      </vt:variant>
      <vt:variant>
        <vt:i4>7995488</vt:i4>
      </vt:variant>
      <vt:variant>
        <vt:i4>126</vt:i4>
      </vt:variant>
      <vt:variant>
        <vt:i4>0</vt:i4>
      </vt:variant>
      <vt:variant>
        <vt:i4>5</vt:i4>
      </vt:variant>
      <vt:variant>
        <vt:lpwstr>https://www.fsb.org/wp-content/uploads/P101122.pdf</vt:lpwstr>
      </vt:variant>
      <vt:variant>
        <vt:lpwstr/>
      </vt:variant>
      <vt:variant>
        <vt:i4>6553634</vt:i4>
      </vt:variant>
      <vt:variant>
        <vt:i4>123</vt:i4>
      </vt:variant>
      <vt:variant>
        <vt:i4>0</vt:i4>
      </vt:variant>
      <vt:variant>
        <vt:i4>5</vt:i4>
      </vt:variant>
      <vt:variant>
        <vt:lpwstr>https://www.esrb.europa.eu/pub/pdf/occasional/esrb.op.21~38d05c779d.en.pdf</vt:lpwstr>
      </vt:variant>
      <vt:variant>
        <vt:lpwstr/>
      </vt:variant>
      <vt:variant>
        <vt:i4>1703972</vt:i4>
      </vt:variant>
      <vt:variant>
        <vt:i4>120</vt:i4>
      </vt:variant>
      <vt:variant>
        <vt:i4>0</vt:i4>
      </vt:variant>
      <vt:variant>
        <vt:i4>5</vt:i4>
      </vt:variant>
      <vt:variant>
        <vt:lpwstr>https://finance.ec.europa.eu/system/files/2023-07/230720-report-money-market-funds_en.pdf</vt:lpwstr>
      </vt:variant>
      <vt:variant>
        <vt:lpwstr/>
      </vt:variant>
      <vt:variant>
        <vt:i4>6815787</vt:i4>
      </vt:variant>
      <vt:variant>
        <vt:i4>117</vt:i4>
      </vt:variant>
      <vt:variant>
        <vt:i4>0</vt:i4>
      </vt:variant>
      <vt:variant>
        <vt:i4>5</vt:i4>
      </vt:variant>
      <vt:variant>
        <vt:lpwstr>https://www.bankofengland.co.uk/-/media/boe/files/working-paper/2023/an-anatomy-of-the-2022-gilt-market-crisisC=WSEDSE</vt:lpwstr>
      </vt:variant>
      <vt:variant>
        <vt:lpwstr/>
      </vt:variant>
      <vt:variant>
        <vt:i4>131145</vt:i4>
      </vt:variant>
      <vt:variant>
        <vt:i4>114</vt:i4>
      </vt:variant>
      <vt:variant>
        <vt:i4>0</vt:i4>
      </vt:variant>
      <vt:variant>
        <vt:i4>5</vt:i4>
      </vt:variant>
      <vt:variant>
        <vt:lpwstr>https://www.fsb.org/2020/11/holistic-review-of-the-march-market-turmoil/</vt:lpwstr>
      </vt:variant>
      <vt:variant>
        <vt:lpwstr/>
      </vt:variant>
      <vt:variant>
        <vt:i4>1703937</vt:i4>
      </vt:variant>
      <vt:variant>
        <vt:i4>111</vt:i4>
      </vt:variant>
      <vt:variant>
        <vt:i4>0</vt:i4>
      </vt:variant>
      <vt:variant>
        <vt:i4>5</vt:i4>
      </vt:variant>
      <vt:variant>
        <vt:lpwstr>https://www.bankingsupervision.europa.eu/press/pr/date/2024/html/ssm.pr240103~a26e1930b0.en.html</vt:lpwstr>
      </vt:variant>
      <vt:variant>
        <vt:lpwstr/>
      </vt:variant>
      <vt:variant>
        <vt:i4>6422585</vt:i4>
      </vt:variant>
      <vt:variant>
        <vt:i4>108</vt:i4>
      </vt:variant>
      <vt:variant>
        <vt:i4>0</vt:i4>
      </vt:variant>
      <vt:variant>
        <vt:i4>5</vt:i4>
      </vt:variant>
      <vt:variant>
        <vt:lpwstr>https://www.esrb.europa.eu/news/pr/date/2022/html/esrb.pr.220127~f1548f677e.en.html</vt:lpwstr>
      </vt:variant>
      <vt:variant>
        <vt:lpwstr/>
      </vt:variant>
      <vt:variant>
        <vt:i4>7078012</vt:i4>
      </vt:variant>
      <vt:variant>
        <vt:i4>105</vt:i4>
      </vt:variant>
      <vt:variant>
        <vt:i4>0</vt:i4>
      </vt:variant>
      <vt:variant>
        <vt:i4>5</vt:i4>
      </vt:variant>
      <vt:variant>
        <vt:lpwstr>https://www.esrb.europa.eu/pub/pdf/other/esrb.reviewmacropruframeworkcfa.220331~5d81cb2173.en.pdf?7263115b46a985b4481328afd3f2326d</vt:lpwstr>
      </vt:variant>
      <vt:variant>
        <vt:lpwstr/>
      </vt:variant>
      <vt:variant>
        <vt:i4>5439549</vt:i4>
      </vt:variant>
      <vt:variant>
        <vt:i4>102</vt:i4>
      </vt:variant>
      <vt:variant>
        <vt:i4>0</vt:i4>
      </vt:variant>
      <vt:variant>
        <vt:i4>5</vt:i4>
      </vt:variant>
      <vt:variant>
        <vt:lpwstr>https://www.esrb.europa.eu/pub/pdf/reports/esrb.report220211_vulnerabilities_eea_countries~27e571112b.en.pdf?cb8132dc3e0f0f53a4fce3292a690bd6</vt:lpwstr>
      </vt:variant>
      <vt:variant>
        <vt:lpwstr/>
      </vt:variant>
      <vt:variant>
        <vt:i4>196709</vt:i4>
      </vt:variant>
      <vt:variant>
        <vt:i4>99</vt:i4>
      </vt:variant>
      <vt:variant>
        <vt:i4>0</vt:i4>
      </vt:variant>
      <vt:variant>
        <vt:i4>5</vt:i4>
      </vt:variant>
      <vt:variant>
        <vt:lpwstr>https://www.esrb.europa.eu/pub/pdf/reports/esrb.report190923_vulnerabilities_eea_countries~a4864b42bf.en.pdf</vt:lpwstr>
      </vt:variant>
      <vt:variant>
        <vt:lpwstr/>
      </vt:variant>
      <vt:variant>
        <vt:i4>5177429</vt:i4>
      </vt:variant>
      <vt:variant>
        <vt:i4>96</vt:i4>
      </vt:variant>
      <vt:variant>
        <vt:i4>0</vt:i4>
      </vt:variant>
      <vt:variant>
        <vt:i4>5</vt:i4>
      </vt:variant>
      <vt:variant>
        <vt:lpwstr>https://www.esrb.europa.eu/pub/pdf/reports/161128_vulnerabilities_eu_residential_real_estate_sector.en.pdf</vt:lpwstr>
      </vt:variant>
      <vt:variant>
        <vt:lpwstr/>
      </vt:variant>
      <vt:variant>
        <vt:i4>4587646</vt:i4>
      </vt:variant>
      <vt:variant>
        <vt:i4>93</vt:i4>
      </vt:variant>
      <vt:variant>
        <vt:i4>0</vt:i4>
      </vt:variant>
      <vt:variant>
        <vt:i4>5</vt:i4>
      </vt:variant>
      <vt:variant>
        <vt:lpwstr>https://www.eba.europa.eu/sites/default/documents/files/document_library/Publications/Reports/2020/961796/EBA report on calibration of OSII buffer rates.pdf</vt:lpwstr>
      </vt:variant>
      <vt:variant>
        <vt:lpwstr/>
      </vt:variant>
      <vt:variant>
        <vt:i4>7143545</vt:i4>
      </vt:variant>
      <vt:variant>
        <vt:i4>90</vt:i4>
      </vt:variant>
      <vt:variant>
        <vt:i4>0</vt:i4>
      </vt:variant>
      <vt:variant>
        <vt:i4>5</vt:i4>
      </vt:variant>
      <vt:variant>
        <vt:lpwstr>https://www.ecb.europa.eu/pub/pdf/scpwps/ecb.wp2644~7d82c23abf.en.pdf?a6ea999a5302230189454d2464059287</vt:lpwstr>
      </vt:variant>
      <vt:variant>
        <vt:lpwstr/>
      </vt:variant>
      <vt:variant>
        <vt:i4>4063254</vt:i4>
      </vt:variant>
      <vt:variant>
        <vt:i4>87</vt:i4>
      </vt:variant>
      <vt:variant>
        <vt:i4>0</vt:i4>
      </vt:variant>
      <vt:variant>
        <vt:i4>5</vt:i4>
      </vt:variant>
      <vt:variant>
        <vt:lpwstr>https://www.ecb.europa.eu/pub/financial-stability/fsr/special/html/ecb.fsrart202111_01~111d31fca7.en.html</vt:lpwstr>
      </vt:variant>
      <vt:variant>
        <vt:lpwstr/>
      </vt:variant>
      <vt:variant>
        <vt:i4>8192101</vt:i4>
      </vt:variant>
      <vt:variant>
        <vt:i4>84</vt:i4>
      </vt:variant>
      <vt:variant>
        <vt:i4>0</vt:i4>
      </vt:variant>
      <vt:variant>
        <vt:i4>5</vt:i4>
      </vt:variant>
      <vt:variant>
        <vt:lpwstr>https://www.bis.org/bcbs/publ/d542.htm</vt:lpwstr>
      </vt:variant>
      <vt:variant>
        <vt:lpwstr/>
      </vt:variant>
      <vt:variant>
        <vt:i4>131123</vt:i4>
      </vt:variant>
      <vt:variant>
        <vt:i4>81</vt:i4>
      </vt:variant>
      <vt:variant>
        <vt:i4>0</vt:i4>
      </vt:variant>
      <vt:variant>
        <vt:i4>5</vt:i4>
      </vt:variant>
      <vt:variant>
        <vt:lpwstr>https://www.ecb.europa.eu/pub/financial-stability/macroprudential-bulletin/html/ecb.mpbu201903_01~c307e09dd7.en.html</vt:lpwstr>
      </vt:variant>
      <vt:variant>
        <vt:lpwstr/>
      </vt:variant>
      <vt:variant>
        <vt:i4>983061</vt:i4>
      </vt:variant>
      <vt:variant>
        <vt:i4>78</vt:i4>
      </vt:variant>
      <vt:variant>
        <vt:i4>0</vt:i4>
      </vt:variant>
      <vt:variant>
        <vt:i4>5</vt:i4>
      </vt:variant>
      <vt:variant>
        <vt:lpwstr>https://www.ecb.europa.eu/pub/pdf/scpops/ecb.op329~60b6f9aa26.en.pdf</vt:lpwstr>
      </vt:variant>
      <vt:variant>
        <vt:lpwstr/>
      </vt:variant>
      <vt:variant>
        <vt:i4>7995401</vt:i4>
      </vt:variant>
      <vt:variant>
        <vt:i4>75</vt:i4>
      </vt:variant>
      <vt:variant>
        <vt:i4>0</vt:i4>
      </vt:variant>
      <vt:variant>
        <vt:i4>5</vt:i4>
      </vt:variant>
      <vt:variant>
        <vt:lpwstr>https://www.esrb.europa.eu/pub/pdf/reports/esrb.ATFreport211217_capitalbuffers~a1d4725ab0.en.pdf</vt:lpwstr>
      </vt:variant>
      <vt:variant>
        <vt:lpwstr/>
      </vt:variant>
      <vt:variant>
        <vt:i4>3407962</vt:i4>
      </vt:variant>
      <vt:variant>
        <vt:i4>72</vt:i4>
      </vt:variant>
      <vt:variant>
        <vt:i4>0</vt:i4>
      </vt:variant>
      <vt:variant>
        <vt:i4>5</vt:i4>
      </vt:variant>
      <vt:variant>
        <vt:lpwstr>https://www.ecb.europa.eu/pub/financial-stability/macroprudential-bulletin/html/ecb.mpbu202010_1~01c4f1a5f4.en.html</vt:lpwstr>
      </vt:variant>
      <vt:variant>
        <vt:lpwstr/>
      </vt:variant>
      <vt:variant>
        <vt:i4>1900650</vt:i4>
      </vt:variant>
      <vt:variant>
        <vt:i4>69</vt:i4>
      </vt:variant>
      <vt:variant>
        <vt:i4>0</vt:i4>
      </vt:variant>
      <vt:variant>
        <vt:i4>5</vt:i4>
      </vt:variant>
      <vt:variant>
        <vt:lpwstr>https://finance.ec.europa.eu/publications/capital-markets-union-clearing-insolvency-and-listing-package_en</vt:lpwstr>
      </vt:variant>
      <vt:variant>
        <vt:lpwstr/>
      </vt:variant>
      <vt:variant>
        <vt:i4>5898335</vt:i4>
      </vt:variant>
      <vt:variant>
        <vt:i4>66</vt:i4>
      </vt:variant>
      <vt:variant>
        <vt:i4>0</vt:i4>
      </vt:variant>
      <vt:variant>
        <vt:i4>5</vt:i4>
      </vt:variant>
      <vt:variant>
        <vt:lpwstr>https://www.esrb.europa.eu/pub/pdf/other/esrb.letter221116_on_solvencyii_review_ep~8def68c373.en.pdf?10eb1d148e7ac6732fb2a98139fe3118</vt:lpwstr>
      </vt:variant>
      <vt:variant>
        <vt:lpwstr/>
      </vt:variant>
      <vt:variant>
        <vt:i4>5177364</vt:i4>
      </vt:variant>
      <vt:variant>
        <vt:i4>63</vt:i4>
      </vt:variant>
      <vt:variant>
        <vt:i4>0</vt:i4>
      </vt:variant>
      <vt:variant>
        <vt:i4>5</vt:i4>
      </vt:variant>
      <vt:variant>
        <vt:lpwstr>https://www.esrb.europa.eu/pub/pdf/other/esrb.letter220202_on_solvencyii~10566b70b1.en.pdf?460bb936fb9bf165e33120bf98d65ba1</vt:lpwstr>
      </vt:variant>
      <vt:variant>
        <vt:lpwstr/>
      </vt:variant>
      <vt:variant>
        <vt:i4>3342349</vt:i4>
      </vt:variant>
      <vt:variant>
        <vt:i4>60</vt:i4>
      </vt:variant>
      <vt:variant>
        <vt:i4>0</vt:i4>
      </vt:variant>
      <vt:variant>
        <vt:i4>5</vt:i4>
      </vt:variant>
      <vt:variant>
        <vt:lpwstr>https://www.eiopa.europa.eu/publications/opinion-2020-review-solvency-ii_en</vt:lpwstr>
      </vt:variant>
      <vt:variant>
        <vt:lpwstr/>
      </vt:variant>
      <vt:variant>
        <vt:i4>8061034</vt:i4>
      </vt:variant>
      <vt:variant>
        <vt:i4>57</vt:i4>
      </vt:variant>
      <vt:variant>
        <vt:i4>0</vt:i4>
      </vt:variant>
      <vt:variant>
        <vt:i4>5</vt:i4>
      </vt:variant>
      <vt:variant>
        <vt:lpwstr>https://ec.europa.eu/commission/presscorner/detail/en/ip_21_4783</vt:lpwstr>
      </vt:variant>
      <vt:variant>
        <vt:lpwstr/>
      </vt:variant>
      <vt:variant>
        <vt:i4>1703972</vt:i4>
      </vt:variant>
      <vt:variant>
        <vt:i4>54</vt:i4>
      </vt:variant>
      <vt:variant>
        <vt:i4>0</vt:i4>
      </vt:variant>
      <vt:variant>
        <vt:i4>5</vt:i4>
      </vt:variant>
      <vt:variant>
        <vt:lpwstr>https://finance.ec.europa.eu/system/files/2023-07/230720-report-money-market-funds_en.pdf</vt:lpwstr>
      </vt:variant>
      <vt:variant>
        <vt:lpwstr/>
      </vt:variant>
      <vt:variant>
        <vt:i4>2228312</vt:i4>
      </vt:variant>
      <vt:variant>
        <vt:i4>51</vt:i4>
      </vt:variant>
      <vt:variant>
        <vt:i4>0</vt:i4>
      </vt:variant>
      <vt:variant>
        <vt:i4>5</vt:i4>
      </vt:variant>
      <vt:variant>
        <vt:lpwstr>https://finance.ec.europa.eu/regulation-and-supervision/consultations/finance-2022-money-market-funds_en</vt:lpwstr>
      </vt:variant>
      <vt:variant>
        <vt:lpwstr/>
      </vt:variant>
      <vt:variant>
        <vt:i4>1835076</vt:i4>
      </vt:variant>
      <vt:variant>
        <vt:i4>48</vt:i4>
      </vt:variant>
      <vt:variant>
        <vt:i4>0</vt:i4>
      </vt:variant>
      <vt:variant>
        <vt:i4>5</vt:i4>
      </vt:variant>
      <vt:variant>
        <vt:lpwstr>https://eur-lex.europa.eu/legal-content/EN/TXT/?uri=CELEX%3A02017R1131-20190101&amp;qid=1690881926273</vt:lpwstr>
      </vt:variant>
      <vt:variant>
        <vt:lpwstr/>
      </vt:variant>
      <vt:variant>
        <vt:i4>1179696</vt:i4>
      </vt:variant>
      <vt:variant>
        <vt:i4>45</vt:i4>
      </vt:variant>
      <vt:variant>
        <vt:i4>0</vt:i4>
      </vt:variant>
      <vt:variant>
        <vt:i4>5</vt:i4>
      </vt:variant>
      <vt:variant>
        <vt:lpwstr>https://finance.ec.europa.eu/publications/capital-markets-union-commission-adopts-package-ensure-better-data-access-and-revamped-investment_en</vt:lpwstr>
      </vt:variant>
      <vt:variant>
        <vt:lpwstr/>
      </vt:variant>
      <vt:variant>
        <vt:i4>4653176</vt:i4>
      </vt:variant>
      <vt:variant>
        <vt:i4>42</vt:i4>
      </vt:variant>
      <vt:variant>
        <vt:i4>0</vt:i4>
      </vt:variant>
      <vt:variant>
        <vt:i4>5</vt:i4>
      </vt:variant>
      <vt:variant>
        <vt:lpwstr>https://www.centralbank.ie/docs/default-source/publications/discussion-papers/discussion-paper-11/dp-11-an-approach-to-macroprudential-policy-for-investment-funds.pdf?sfvrsn=23059f1d_3</vt:lpwstr>
      </vt:variant>
      <vt:variant>
        <vt:lpwstr/>
      </vt:variant>
      <vt:variant>
        <vt:i4>7995488</vt:i4>
      </vt:variant>
      <vt:variant>
        <vt:i4>39</vt:i4>
      </vt:variant>
      <vt:variant>
        <vt:i4>0</vt:i4>
      </vt:variant>
      <vt:variant>
        <vt:i4>5</vt:i4>
      </vt:variant>
      <vt:variant>
        <vt:lpwstr>https://www.banque-france.fr/index.php/en/publications-and-statistics/publications/non-bank-financial-intermediation-vulnerabilities-and-challenges</vt:lpwstr>
      </vt:variant>
      <vt:variant>
        <vt:lpwstr/>
      </vt:variant>
      <vt:variant>
        <vt:i4>2228334</vt:i4>
      </vt:variant>
      <vt:variant>
        <vt:i4>36</vt:i4>
      </vt:variant>
      <vt:variant>
        <vt:i4>0</vt:i4>
      </vt:variant>
      <vt:variant>
        <vt:i4>5</vt:i4>
      </vt:variant>
      <vt:variant>
        <vt:lpwstr>https://www.ecb.europa.eu/pub/financial-stability/fsr/html/ecb.fsr202311~bfe9d7c565.en.html</vt:lpwstr>
      </vt:variant>
      <vt:variant>
        <vt:lpwstr>toc36</vt:lpwstr>
      </vt:variant>
      <vt:variant>
        <vt:i4>4391008</vt:i4>
      </vt:variant>
      <vt:variant>
        <vt:i4>33</vt:i4>
      </vt:variant>
      <vt:variant>
        <vt:i4>0</vt:i4>
      </vt:variant>
      <vt:variant>
        <vt:i4>5</vt:i4>
      </vt:variant>
      <vt:variant>
        <vt:lpwstr>https://www.ecb.europa.eu/pub/financial-stability/fsr/focus/2022/html/ecb.fsrbox202211_06~1caf5f3bca.en.html</vt:lpwstr>
      </vt:variant>
      <vt:variant>
        <vt:lpwstr/>
      </vt:variant>
      <vt:variant>
        <vt:i4>6291541</vt:i4>
      </vt:variant>
      <vt:variant>
        <vt:i4>30</vt:i4>
      </vt:variant>
      <vt:variant>
        <vt:i4>0</vt:i4>
      </vt:variant>
      <vt:variant>
        <vt:i4>5</vt:i4>
      </vt:variant>
      <vt:variant>
        <vt:lpwstr>https://www.esrb.europa.eu/pub/pdf/reports/nbfi_monitor/esrb.nbfi202306~58b19c8627.en.pdf</vt:lpwstr>
      </vt:variant>
      <vt:variant>
        <vt:lpwstr/>
      </vt:variant>
      <vt:variant>
        <vt:i4>8323181</vt:i4>
      </vt:variant>
      <vt:variant>
        <vt:i4>27</vt:i4>
      </vt:variant>
      <vt:variant>
        <vt:i4>0</vt:i4>
      </vt:variant>
      <vt:variant>
        <vt:i4>5</vt:i4>
      </vt:variant>
      <vt:variant>
        <vt:lpwstr>https://www.fsb.org/2022/12/global-monitoring-report-on-non-bank-financial-intermediation-2022/=WSEDSE</vt:lpwstr>
      </vt:variant>
      <vt:variant>
        <vt:lpwstr/>
      </vt:variant>
      <vt:variant>
        <vt:i4>1900570</vt:i4>
      </vt:variant>
      <vt:variant>
        <vt:i4>24</vt:i4>
      </vt:variant>
      <vt:variant>
        <vt:i4>0</vt:i4>
      </vt:variant>
      <vt:variant>
        <vt:i4>5</vt:i4>
      </vt:variant>
      <vt:variant>
        <vt:lpwstr>https://www.fsb.org/2023/09/enhancing-the-resilience-of-non-bank-financial-intermediation-progress-report-3/</vt:lpwstr>
      </vt:variant>
      <vt:variant>
        <vt:lpwstr/>
      </vt:variant>
      <vt:variant>
        <vt:i4>8323181</vt:i4>
      </vt:variant>
      <vt:variant>
        <vt:i4>21</vt:i4>
      </vt:variant>
      <vt:variant>
        <vt:i4>0</vt:i4>
      </vt:variant>
      <vt:variant>
        <vt:i4>5</vt:i4>
      </vt:variant>
      <vt:variant>
        <vt:lpwstr>https://www.fsb.org/2022/12/global-monitoring-report-on-non-bank-financial-intermediation-2022/=WSEDSE</vt:lpwstr>
      </vt:variant>
      <vt:variant>
        <vt:lpwstr/>
      </vt:variant>
      <vt:variant>
        <vt:i4>6291541</vt:i4>
      </vt:variant>
      <vt:variant>
        <vt:i4>18</vt:i4>
      </vt:variant>
      <vt:variant>
        <vt:i4>0</vt:i4>
      </vt:variant>
      <vt:variant>
        <vt:i4>5</vt:i4>
      </vt:variant>
      <vt:variant>
        <vt:lpwstr>https://www.esrb.europa.eu/pub/pdf/reports/nbfi_monitor/esrb.nbfi202306~58b19c8627.en.pdf</vt:lpwstr>
      </vt:variant>
      <vt:variant>
        <vt:lpwstr/>
      </vt:variant>
      <vt:variant>
        <vt:i4>524290</vt:i4>
      </vt:variant>
      <vt:variant>
        <vt:i4>15</vt:i4>
      </vt:variant>
      <vt:variant>
        <vt:i4>0</vt:i4>
      </vt:variant>
      <vt:variant>
        <vt:i4>5</vt:i4>
      </vt:variant>
      <vt:variant>
        <vt:lpwstr>https://www.fsb.org/work-of-the-fsb/financial-innovation-and-structural-change/non-bank-financial-intermediation/</vt:lpwstr>
      </vt:variant>
      <vt:variant>
        <vt:lpwstr/>
      </vt:variant>
      <vt:variant>
        <vt:i4>6291541</vt:i4>
      </vt:variant>
      <vt:variant>
        <vt:i4>12</vt:i4>
      </vt:variant>
      <vt:variant>
        <vt:i4>0</vt:i4>
      </vt:variant>
      <vt:variant>
        <vt:i4>5</vt:i4>
      </vt:variant>
      <vt:variant>
        <vt:lpwstr>https://www.esrb.europa.eu/pub/pdf/reports/nbfi_monitor/esrb.nbfi202306~58b19c8627.en.pdf</vt:lpwstr>
      </vt:variant>
      <vt:variant>
        <vt:lpwstr/>
      </vt:variant>
      <vt:variant>
        <vt:i4>3473517</vt:i4>
      </vt:variant>
      <vt:variant>
        <vt:i4>9</vt:i4>
      </vt:variant>
      <vt:variant>
        <vt:i4>0</vt:i4>
      </vt:variant>
      <vt:variant>
        <vt:i4>5</vt:i4>
      </vt:variant>
      <vt:variant>
        <vt:lpwstr>https://ec.europa.eu/economy_finance/publications/pages/publication14527_en.pdf</vt:lpwstr>
      </vt:variant>
      <vt:variant>
        <vt:lpwstr/>
      </vt:variant>
      <vt:variant>
        <vt:i4>3473517</vt:i4>
      </vt:variant>
      <vt:variant>
        <vt:i4>6</vt:i4>
      </vt:variant>
      <vt:variant>
        <vt:i4>0</vt:i4>
      </vt:variant>
      <vt:variant>
        <vt:i4>5</vt:i4>
      </vt:variant>
      <vt:variant>
        <vt:lpwstr>https://ec.europa.eu/economy_finance/publications/pages/publication14527_en.pdf</vt:lpwstr>
      </vt:variant>
      <vt:variant>
        <vt:lpwstr/>
      </vt:variant>
      <vt:variant>
        <vt:i4>8060995</vt:i4>
      </vt:variant>
      <vt:variant>
        <vt:i4>3</vt:i4>
      </vt:variant>
      <vt:variant>
        <vt:i4>0</vt:i4>
      </vt:variant>
      <vt:variant>
        <vt:i4>5</vt:i4>
      </vt:variant>
      <vt:variant>
        <vt:lpwstr>https://finance.ec.europa.eu/system/files/2022-06/2021-banking-macroprudential-framework-summary-of-responses_en.pdf</vt:lpwstr>
      </vt:variant>
      <vt:variant>
        <vt:lpwstr/>
      </vt:variant>
      <vt:variant>
        <vt:i4>1704055</vt:i4>
      </vt:variant>
      <vt:variant>
        <vt:i4>0</vt:i4>
      </vt:variant>
      <vt:variant>
        <vt:i4>0</vt:i4>
      </vt:variant>
      <vt:variant>
        <vt:i4>5</vt:i4>
      </vt:variant>
      <vt:variant>
        <vt:lpwstr>https://finance.ec.europa.eu/system/files/2021-11/2021-banking-macroprudential-framework-consultation-document_en.pdf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2024-01-09T10:47:00Z</dcterms:created>
  <dcterms:modified xsi:type="dcterms:W3CDTF">2024-02-08T08:55:00Z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9.0, Build 20230317</vt:lpwstr>
  </property>
  <property fmtid="{D5CDD505-2E9C-101B-9397-08002B2CF9AE}" pid="4" name="MSIP_Label_6bd9ddd1-4d20-43f6-abfa-fc3c07406f94_Enabled">
    <vt:lpwstr>true</vt:lpwstr>
  </property>
  <property fmtid="{D5CDD505-2E9C-101B-9397-08002B2CF9AE}" pid="5" name="MSIP_Label_6bd9ddd1-4d20-43f6-abfa-fc3c07406f94_SetDate">
    <vt:lpwstr>2023-12-22T17:21:02Z</vt:lpwstr>
  </property>
  <property fmtid="{D5CDD505-2E9C-101B-9397-08002B2CF9AE}" pid="6" name="MSIP_Label_6bd9ddd1-4d20-43f6-abfa-fc3c07406f94_Method">
    <vt:lpwstr>Privileged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984412ab-216b-4326-8f32-a41e75b86bed</vt:lpwstr>
  </property>
  <property fmtid="{D5CDD505-2E9C-101B-9397-08002B2CF9AE}" pid="10" name="MSIP_Label_6bd9ddd1-4d20-43f6-abfa-fc3c07406f94_ContentBits">
    <vt:lpwstr>0</vt:lpwstr>
  </property>
  <property fmtid="{D5CDD505-2E9C-101B-9397-08002B2CF9AE}" pid="11" name="ContentTypeId">
    <vt:lpwstr>0x010100D920D94BF79903409A44EFD8C6ED4DE5</vt:lpwstr>
  </property>
  <property fmtid="{D5CDD505-2E9C-101B-9397-08002B2CF9AE}" pid="12" name="Order">
    <vt:r8>5800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y fmtid="{D5CDD505-2E9C-101B-9397-08002B2CF9AE}" pid="20" name="Level of sensitivity">
    <vt:lpwstr>Standard treatment</vt:lpwstr>
  </property>
  <property fmtid="{D5CDD505-2E9C-101B-9397-08002B2CF9AE}" pid="21" name="Part">
    <vt:lpwstr>1</vt:lpwstr>
  </property>
  <property fmtid="{D5CDD505-2E9C-101B-9397-08002B2CF9AE}" pid="22" name="Total parts">
    <vt:lpwstr>1</vt:lpwstr>
  </property>
  <property fmtid="{D5CDD505-2E9C-101B-9397-08002B2CF9AE}" pid="23" name="CPTemplateID">
    <vt:lpwstr>CP-006</vt:lpwstr>
  </property>
  <property fmtid="{D5CDD505-2E9C-101B-9397-08002B2CF9AE}" pid="24" name="Created using">
    <vt:lpwstr>LW 9.0, Build 20230317</vt:lpwstr>
  </property>
</Properties>
</file>