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E205D1" w14:textId="7CEB2263" w:rsidR="003314E2" w:rsidRPr="00A53033" w:rsidRDefault="005C2ED4" w:rsidP="005C2ED4">
      <w:pPr>
        <w:pStyle w:val="Pagedecouverture"/>
        <w:rPr>
          <w:noProof/>
          <w:lang w:val="ro-RO"/>
        </w:rPr>
      </w:pPr>
      <w:bookmarkStart w:id="0" w:name="LW_BM_COVERPAGE"/>
      <w:r>
        <w:rPr>
          <w:noProof/>
          <w:lang w:val="ro-RO"/>
        </w:rPr>
        <w:pict w14:anchorId="1104D4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2402681B-2D5E-4091-9DE0-E38B3FE21899" style="width:455.25pt;height:336.75pt">
            <v:imagedata r:id="rId11" o:title=""/>
          </v:shape>
        </w:pict>
      </w:r>
    </w:p>
    <w:bookmarkEnd w:id="0"/>
    <w:p w14:paraId="6AD70386" w14:textId="77777777" w:rsidR="000041A0" w:rsidRPr="00A53033" w:rsidRDefault="000041A0" w:rsidP="000041A0">
      <w:pPr>
        <w:rPr>
          <w:noProof/>
          <w:lang w:val="ro-RO"/>
        </w:rPr>
        <w:sectPr w:rsidR="000041A0" w:rsidRPr="00A53033" w:rsidSect="005C2ED4">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262BFB63" w14:textId="3AF092B7" w:rsidR="004656D0" w:rsidRPr="00A53033" w:rsidRDefault="00B917AE" w:rsidP="004709F3">
      <w:pPr>
        <w:spacing w:after="120" w:line="240" w:lineRule="auto"/>
        <w:rPr>
          <w:rFonts w:cs="Times New Roman"/>
          <w:noProof/>
          <w:color w:val="000000" w:themeColor="text1"/>
          <w:shd w:val="clear" w:color="auto" w:fill="FFFFFF"/>
          <w:lang w:val="ro-RO"/>
        </w:rPr>
      </w:pPr>
      <w:bookmarkStart w:id="1" w:name="_GoBack"/>
      <w:bookmarkEnd w:id="1"/>
      <w:r w:rsidRPr="00A53033">
        <w:rPr>
          <w:noProof/>
          <w:shd w:val="clear" w:color="auto" w:fill="FFFFFF"/>
          <w:lang w:val="ro-RO"/>
        </w:rPr>
        <w:lastRenderedPageBreak/>
        <w:t>În conformitate cu articolul </w:t>
      </w:r>
      <w:r w:rsidRPr="007240C7">
        <w:rPr>
          <w:noProof/>
          <w:shd w:val="clear" w:color="auto" w:fill="FFFFFF"/>
          <w:lang w:val="ro-RO"/>
        </w:rPr>
        <w:t>513</w:t>
      </w:r>
      <w:r w:rsidRPr="00A53033">
        <w:rPr>
          <w:noProof/>
          <w:shd w:val="clear" w:color="auto" w:fill="FFFFFF"/>
          <w:lang w:val="ro-RO"/>
        </w:rPr>
        <w:t xml:space="preserve"> din Regulamentul (UE) nr. </w:t>
      </w:r>
      <w:r w:rsidRPr="007240C7">
        <w:rPr>
          <w:noProof/>
          <w:shd w:val="clear" w:color="auto" w:fill="FFFFFF"/>
          <w:lang w:val="ro-RO"/>
        </w:rPr>
        <w:t>575</w:t>
      </w:r>
      <w:r w:rsidRPr="00A53033">
        <w:rPr>
          <w:noProof/>
          <w:shd w:val="clear" w:color="auto" w:fill="FFFFFF"/>
          <w:lang w:val="ro-RO"/>
        </w:rPr>
        <w:t>/</w:t>
      </w:r>
      <w:r w:rsidRPr="007240C7">
        <w:rPr>
          <w:noProof/>
          <w:shd w:val="clear" w:color="auto" w:fill="FFFFFF"/>
          <w:lang w:val="ro-RO"/>
        </w:rPr>
        <w:t>2013</w:t>
      </w:r>
      <w:r w:rsidRPr="00A53033">
        <w:rPr>
          <w:noProof/>
          <w:shd w:val="clear" w:color="auto" w:fill="FFFFFF"/>
          <w:lang w:val="ro-RO"/>
        </w:rPr>
        <w:t xml:space="preserve"> </w:t>
      </w:r>
      <w:r w:rsidRPr="00A53033">
        <w:rPr>
          <w:noProof/>
          <w:color w:val="000000" w:themeColor="text1"/>
          <w:shd w:val="clear" w:color="auto" w:fill="FFFFFF"/>
          <w:lang w:val="ro-RO"/>
        </w:rPr>
        <w:t>(</w:t>
      </w:r>
      <w:r w:rsidRPr="00A53033">
        <w:rPr>
          <w:noProof/>
          <w:lang w:val="ro-RO"/>
        </w:rPr>
        <w:t xml:space="preserve">Regulamentul privind cerințele de capital, CRR) </w:t>
      </w:r>
      <w:r w:rsidRPr="00A53033">
        <w:rPr>
          <w:noProof/>
          <w:color w:val="000000" w:themeColor="text1"/>
          <w:shd w:val="clear" w:color="auto" w:fill="FFFFFF"/>
          <w:lang w:val="ro-RO"/>
        </w:rPr>
        <w:t xml:space="preserve">și după consultarea Comitetului european pentru risc sistemic și a Autorității Bancare Europene, prezentul raport </w:t>
      </w:r>
      <w:r w:rsidRPr="00A53033">
        <w:rPr>
          <w:b/>
          <w:noProof/>
          <w:color w:val="000000" w:themeColor="text1"/>
          <w:shd w:val="clear" w:color="auto" w:fill="FFFFFF"/>
          <w:lang w:val="ro-RO"/>
        </w:rPr>
        <w:t>evaluează cadrul macroprudențial al UE</w:t>
      </w:r>
      <w:r w:rsidRPr="00A53033">
        <w:rPr>
          <w:noProof/>
          <w:color w:val="000000" w:themeColor="text1"/>
          <w:shd w:val="clear" w:color="auto" w:fill="FFFFFF"/>
          <w:lang w:val="ro-RO"/>
        </w:rPr>
        <w:t xml:space="preserve"> prevăzut în CRR și </w:t>
      </w:r>
      <w:r w:rsidRPr="00A53033">
        <w:rPr>
          <w:noProof/>
          <w:shd w:val="clear" w:color="auto" w:fill="FFFFFF"/>
          <w:lang w:val="ro-RO"/>
        </w:rPr>
        <w:t>în Directiva</w:t>
      </w:r>
      <w:r w:rsidR="0015614C">
        <w:rPr>
          <w:noProof/>
          <w:shd w:val="clear" w:color="auto" w:fill="FFFFFF"/>
          <w:lang w:val="ro-RO"/>
        </w:rPr>
        <w:t> </w:t>
      </w:r>
      <w:r w:rsidRPr="007240C7">
        <w:rPr>
          <w:noProof/>
          <w:shd w:val="clear" w:color="auto" w:fill="FFFFFF"/>
          <w:lang w:val="ro-RO"/>
        </w:rPr>
        <w:t>2013</w:t>
      </w:r>
      <w:r w:rsidRPr="00A53033">
        <w:rPr>
          <w:noProof/>
          <w:shd w:val="clear" w:color="auto" w:fill="FFFFFF"/>
          <w:lang w:val="ro-RO"/>
        </w:rPr>
        <w:t>/</w:t>
      </w:r>
      <w:r w:rsidRPr="007240C7">
        <w:rPr>
          <w:noProof/>
          <w:shd w:val="clear" w:color="auto" w:fill="FFFFFF"/>
          <w:lang w:val="ro-RO"/>
        </w:rPr>
        <w:t>36</w:t>
      </w:r>
      <w:r w:rsidRPr="00A53033">
        <w:rPr>
          <w:noProof/>
          <w:shd w:val="clear" w:color="auto" w:fill="FFFFFF"/>
          <w:lang w:val="ro-RO"/>
        </w:rPr>
        <w:t>/UE</w:t>
      </w:r>
      <w:r w:rsidRPr="00A53033">
        <w:rPr>
          <w:noProof/>
          <w:color w:val="000000" w:themeColor="text1"/>
          <w:shd w:val="clear" w:color="auto" w:fill="FFFFFF"/>
          <w:lang w:val="ro-RO"/>
        </w:rPr>
        <w:t xml:space="preserve"> (CRD). Inițial, documentul de analiză trebuia să fie elaborat până în iunie </w:t>
      </w:r>
      <w:r w:rsidRPr="007240C7">
        <w:rPr>
          <w:noProof/>
          <w:color w:val="000000" w:themeColor="text1"/>
          <w:shd w:val="clear" w:color="auto" w:fill="FFFFFF"/>
          <w:lang w:val="ro-RO"/>
        </w:rPr>
        <w:t>2022</w:t>
      </w:r>
      <w:r w:rsidRPr="00A53033">
        <w:rPr>
          <w:noProof/>
          <w:color w:val="000000" w:themeColor="text1"/>
          <w:shd w:val="clear" w:color="auto" w:fill="FFFFFF"/>
          <w:lang w:val="ro-RO"/>
        </w:rPr>
        <w:t xml:space="preserve"> și, dacă era cazul, trebuia să fie urmat de o propunere legislativă adresată Parlamentului European și Consiliului până în decembrie </w:t>
      </w:r>
      <w:r w:rsidRPr="007240C7">
        <w:rPr>
          <w:noProof/>
          <w:color w:val="000000" w:themeColor="text1"/>
          <w:shd w:val="clear" w:color="auto" w:fill="FFFFFF"/>
          <w:lang w:val="ro-RO"/>
        </w:rPr>
        <w:t>2022</w:t>
      </w:r>
      <w:r w:rsidRPr="00A53033">
        <w:rPr>
          <w:rStyle w:val="FootnoteReference"/>
          <w:rFonts w:cs="Times New Roman"/>
          <w:noProof/>
          <w:color w:val="000000" w:themeColor="text1"/>
          <w:shd w:val="clear" w:color="auto" w:fill="FFFFFF"/>
          <w:lang w:val="ro-RO"/>
        </w:rPr>
        <w:footnoteReference w:id="2"/>
      </w:r>
      <w:r w:rsidRPr="00A53033">
        <w:rPr>
          <w:noProof/>
          <w:lang w:val="ro-RO"/>
        </w:rPr>
        <w:t>.</w:t>
      </w:r>
      <w:r w:rsidRPr="00A53033">
        <w:rPr>
          <w:noProof/>
          <w:color w:val="000000" w:themeColor="text1"/>
          <w:shd w:val="clear" w:color="auto" w:fill="FFFFFF"/>
          <w:lang w:val="ro-RO"/>
        </w:rPr>
        <w:t xml:space="preserve"> Comisia a decis să amâne documentul de analiză pentru a evalua mai bine efectele contextului macroeconomic pandemic (și post-pandemic), ale sporirii intermedierii financiare nebancare și ale crizei bancare din SUA din martie </w:t>
      </w:r>
      <w:r w:rsidRPr="007240C7">
        <w:rPr>
          <w:noProof/>
          <w:color w:val="000000" w:themeColor="text1"/>
          <w:shd w:val="clear" w:color="auto" w:fill="FFFFFF"/>
          <w:lang w:val="ro-RO"/>
        </w:rPr>
        <w:t>2023</w:t>
      </w:r>
      <w:r w:rsidRPr="00A53033">
        <w:rPr>
          <w:noProof/>
          <w:color w:val="000000" w:themeColor="text1"/>
          <w:shd w:val="clear" w:color="auto" w:fill="FFFFFF"/>
          <w:lang w:val="ro-RO"/>
        </w:rPr>
        <w:t xml:space="preserve">. </w:t>
      </w:r>
    </w:p>
    <w:p w14:paraId="4AE8E428" w14:textId="4A4D6A33" w:rsidR="006F76CF" w:rsidRPr="00A53033" w:rsidRDefault="006F76CF" w:rsidP="004709F3">
      <w:pPr>
        <w:spacing w:after="120" w:line="240" w:lineRule="auto"/>
        <w:rPr>
          <w:rFonts w:cs="Times New Roman"/>
          <w:noProof/>
          <w:lang w:val="ro-RO"/>
        </w:rPr>
      </w:pPr>
      <w:r w:rsidRPr="00A53033">
        <w:rPr>
          <w:noProof/>
          <w:color w:val="000000" w:themeColor="text1"/>
          <w:lang w:val="ro-RO"/>
        </w:rPr>
        <w:t xml:space="preserve">Raportul se bazează pe numeroase studii realizate de UE și de organismele internaționale, precum și pe un amplu proces de consultare publică desfășurat de către Comisie, inclusiv pe o cerere de aviz specific adresată Autorității Bancare Europene, Băncii Centrale Europene și Comitetului european pentru risc sistemic, care au fost finalizate în anul </w:t>
      </w:r>
      <w:r w:rsidRPr="007240C7">
        <w:rPr>
          <w:noProof/>
          <w:color w:val="000000" w:themeColor="text1"/>
          <w:lang w:val="ro-RO"/>
        </w:rPr>
        <w:t>2021</w:t>
      </w:r>
      <w:r w:rsidRPr="00A53033">
        <w:rPr>
          <w:rFonts w:cs="Times New Roman"/>
          <w:noProof/>
          <w:vertAlign w:val="superscript"/>
          <w:lang w:val="ro-RO"/>
        </w:rPr>
        <w:footnoteReference w:id="3"/>
      </w:r>
      <w:r w:rsidRPr="00A53033">
        <w:rPr>
          <w:noProof/>
          <w:color w:val="000000" w:themeColor="text1"/>
          <w:lang w:val="ro-RO"/>
        </w:rPr>
        <w:t xml:space="preserve">. În plus, au avut loc numeroase discuții bilaterale între serviciile Comisiei și părțile interesate, inclusiv în cadrul Grupului de experți al Comisiei privind serviciile bancare, plățile și asigurările. </w:t>
      </w:r>
    </w:p>
    <w:p w14:paraId="18C82D87" w14:textId="3C461B4C" w:rsidR="00525EDD" w:rsidRPr="00A53033" w:rsidRDefault="00EA6F34" w:rsidP="004709F3">
      <w:pPr>
        <w:spacing w:after="120" w:line="240" w:lineRule="auto"/>
        <w:rPr>
          <w:rFonts w:cs="Times New Roman"/>
          <w:noProof/>
          <w:lang w:val="ro-RO"/>
        </w:rPr>
      </w:pPr>
      <w:r w:rsidRPr="00A53033">
        <w:rPr>
          <w:noProof/>
          <w:color w:val="372F32"/>
          <w:shd w:val="clear" w:color="auto" w:fill="FFFFFF"/>
          <w:lang w:val="ro-RO"/>
        </w:rPr>
        <w:t xml:space="preserve">Criza financiară globală din perioada </w:t>
      </w:r>
      <w:r w:rsidRPr="007240C7">
        <w:rPr>
          <w:noProof/>
          <w:color w:val="372F32"/>
          <w:shd w:val="clear" w:color="auto" w:fill="FFFFFF"/>
          <w:lang w:val="ro-RO"/>
        </w:rPr>
        <w:t>2008</w:t>
      </w:r>
      <w:r w:rsidRPr="00A53033">
        <w:rPr>
          <w:noProof/>
          <w:color w:val="372F32"/>
          <w:shd w:val="clear" w:color="auto" w:fill="FFFFFF"/>
          <w:lang w:val="ro-RO"/>
        </w:rPr>
        <w:t>-</w:t>
      </w:r>
      <w:r w:rsidRPr="007240C7">
        <w:rPr>
          <w:noProof/>
          <w:color w:val="372F32"/>
          <w:shd w:val="clear" w:color="auto" w:fill="FFFFFF"/>
          <w:lang w:val="ro-RO"/>
        </w:rPr>
        <w:t>2009</w:t>
      </w:r>
      <w:r w:rsidRPr="00A53033">
        <w:rPr>
          <w:noProof/>
          <w:color w:val="372F32"/>
          <w:shd w:val="clear" w:color="auto" w:fill="FFFFFF"/>
          <w:lang w:val="ro-RO"/>
        </w:rPr>
        <w:t xml:space="preserve"> a scos la iveală vulnerabilitățile din sectorul bancar din întreaga lume, dat fiind că multe instituții financiare erau supraîndatorate, aveau expuneri mari față de active riscante și surse insuficiente de finanțare stabilă. </w:t>
      </w:r>
      <w:r w:rsidRPr="00A53033">
        <w:rPr>
          <w:noProof/>
          <w:lang w:val="ro-RO"/>
        </w:rPr>
        <w:t>În perioada premergătoare crizei, a fost dificil să se evalueze expunerile și potențialele efecte de propagare, parțial din cauza transparenței limitate a amplificării efectului de levier și a creșterii gradului de interconectare a instituțiilor financiare. Riscul de credit, riscul de finanțare și riscul de lichiditate a pieței au fost în mare măsură subestimate, iar cadrul de reglementare dispunea de mecanisme limitate pentru a aborda chestiunea stimulentelor instituțiilor financiare de importanță sistemică. Prin urmare,</w:t>
      </w:r>
      <w:r w:rsidRPr="00A53033">
        <w:rPr>
          <w:rStyle w:val="BodyTextChar"/>
          <w:noProof/>
          <w:lang w:val="ro-RO"/>
        </w:rPr>
        <w:t xml:space="preserve"> cadrele de supraveghere și de reglementare care se axau în principal pe asigurarea stabilității instituțiilor financiare în mod independent s-au dovedit a fi inadecvate pentru atenuarea provocărilor la adresa stabilității financiare generate de șocurile sistemice. </w:t>
      </w:r>
      <w:r w:rsidRPr="00A53033">
        <w:rPr>
          <w:noProof/>
          <w:lang w:val="ro-RO"/>
        </w:rPr>
        <w:t>Vulnerabilitățile se pot acumula la nivelul sistem financiar, chiar dacă instituțiile financiare sunt reziliente la nivel individual</w:t>
      </w:r>
      <w:r w:rsidRPr="00A53033">
        <w:rPr>
          <w:rStyle w:val="FootnoteReference"/>
          <w:rFonts w:cs="Times New Roman"/>
          <w:noProof/>
          <w:lang w:val="ro-RO"/>
        </w:rPr>
        <w:footnoteReference w:id="4"/>
      </w:r>
      <w:r w:rsidRPr="00A53033">
        <w:rPr>
          <w:noProof/>
          <w:lang w:val="ro-RO"/>
        </w:rPr>
        <w:t>. În consecință, a devenit necesară elaborarea unor instrumente de politică suplimentare, inclusiv la nivel macroprudențial, pentru a limita creșterea excesivă a creditării și pentru a consolida reziliența generală a sectorului financiar astfel încât să poată face față șocurilor sistemice.</w:t>
      </w:r>
    </w:p>
    <w:p w14:paraId="2B86EDE5" w14:textId="79A6321F" w:rsidR="003972BB" w:rsidRPr="00A53033" w:rsidRDefault="00743097" w:rsidP="004709F3">
      <w:pPr>
        <w:spacing w:after="120" w:line="240" w:lineRule="auto"/>
        <w:rPr>
          <w:noProof/>
          <w:lang w:val="ro-RO"/>
        </w:rPr>
      </w:pPr>
      <w:r w:rsidRPr="00A53033">
        <w:rPr>
          <w:noProof/>
          <w:lang w:val="ro-RO"/>
        </w:rPr>
        <w:t xml:space="preserve">Scopul politicilor macroprudențiale este de a menține stabilitatea financiară prin creșterea rezilienței sistemului financiar și limitarea acumulării de vulnerabilități, atenuând astfel riscurile sistemice (structurale și ciclice) și asigurând capacitatea serviciilor financiare de a sprijini economia. Riscul sistemic se poate materializa sub diverse forme. De exemplu, aceasta poate fi generat de grupuri bancare mari și complexe, de creșterea excesivă a creditelor, din efectul de levier care amplifică ciclul de creditare pe piețele imobiliare, precum și de vulnerabilitățile structurale ale sectorului bancar (de exemplu, existența unui sector bancar foarte concentrat sau mare în raport cu PIB-ul). Prin atenuarea riscurilor sistemice, politicile macroprudențiale urmăresc, în ultimă instanță, să reducă frecvența și gravitatea crizelor financiare. Prin completarea supravegherii microprudențiale, politicile macroprudențiale echilibrează ciclul financiar, limitează efectele de contagiune și creează stimulente adecvate pentru participanții pe piață. Astfel, sectorul bancar este suficient de rezilient și nu reduce oferta de creditare pentru gospodării și întreprinderi în caz de criză, ceea ce ar amplifica șocurile negative asupra economiei și poate adânci sau prelungi o încetinire a creșterii economice. </w:t>
      </w:r>
    </w:p>
    <w:p w14:paraId="7280B668" w14:textId="66826BBE" w:rsidR="003972BB" w:rsidRPr="00A53033" w:rsidRDefault="00E24179" w:rsidP="004709F3">
      <w:pPr>
        <w:spacing w:after="120" w:line="240" w:lineRule="auto"/>
        <w:rPr>
          <w:noProof/>
          <w:lang w:val="ro-RO"/>
        </w:rPr>
      </w:pPr>
      <w:r w:rsidRPr="00A53033">
        <w:rPr>
          <w:noProof/>
          <w:lang w:val="ro-RO"/>
        </w:rPr>
        <w:t>Setul de instrumente macroprudențiale include cerințe sau proceduri concepute să reducă la minimum impactul negativ al evenimentelor sistemice</w:t>
      </w:r>
      <w:r w:rsidRPr="00A53033">
        <w:rPr>
          <w:noProof/>
          <w:vertAlign w:val="superscript"/>
          <w:lang w:val="ro-RO"/>
        </w:rPr>
        <w:footnoteReference w:id="5"/>
      </w:r>
      <w:r w:rsidRPr="00A53033">
        <w:rPr>
          <w:noProof/>
          <w:lang w:val="ro-RO"/>
        </w:rPr>
        <w:t xml:space="preserve"> și să protejeze sistemul financiar în ansamblu</w:t>
      </w:r>
      <w:r w:rsidRPr="00A53033">
        <w:rPr>
          <w:noProof/>
          <w:vertAlign w:val="superscript"/>
          <w:lang w:val="ro-RO"/>
        </w:rPr>
        <w:footnoteReference w:id="6"/>
      </w:r>
      <w:r w:rsidRPr="00A53033">
        <w:rPr>
          <w:noProof/>
          <w:lang w:val="ro-RO"/>
        </w:rPr>
        <w:t>. Instrumentele</w:t>
      </w:r>
      <w:r w:rsidRPr="00A53033">
        <w:rPr>
          <w:i/>
          <w:noProof/>
          <w:lang w:val="ro-RO"/>
        </w:rPr>
        <w:t xml:space="preserve"> </w:t>
      </w:r>
      <w:r w:rsidRPr="00A53033">
        <w:rPr>
          <w:noProof/>
          <w:lang w:val="ro-RO"/>
        </w:rPr>
        <w:t>microprudențiale pot atenua doar indirect riscul sistemic prin abordarea riscurilor la nivel de entitate sau de tranzacție</w:t>
      </w:r>
      <w:r w:rsidRPr="00A53033">
        <w:rPr>
          <w:noProof/>
          <w:vertAlign w:val="superscript"/>
          <w:lang w:val="ro-RO"/>
        </w:rPr>
        <w:footnoteReference w:id="7"/>
      </w:r>
      <w:r w:rsidRPr="00A53033">
        <w:rPr>
          <w:noProof/>
          <w:lang w:val="ro-RO"/>
        </w:rPr>
        <w:t xml:space="preserve">. </w:t>
      </w:r>
      <w:r w:rsidRPr="00A53033">
        <w:rPr>
          <w:b/>
          <w:noProof/>
          <w:lang w:val="ro-RO"/>
        </w:rPr>
        <w:t>Instrumentele macroprudențiale</w:t>
      </w:r>
      <w:r w:rsidRPr="00A53033">
        <w:rPr>
          <w:noProof/>
          <w:lang w:val="ro-RO"/>
        </w:rPr>
        <w:t xml:space="preserve"> iau, de regulă, forma unor </w:t>
      </w:r>
      <w:r w:rsidRPr="00A53033">
        <w:rPr>
          <w:b/>
          <w:noProof/>
          <w:lang w:val="ro-RO"/>
        </w:rPr>
        <w:t xml:space="preserve">măsuri preventive </w:t>
      </w:r>
      <w:r w:rsidRPr="00A53033">
        <w:rPr>
          <w:noProof/>
          <w:lang w:val="ro-RO"/>
        </w:rPr>
        <w:t xml:space="preserve">(și anume măsuri </w:t>
      </w:r>
      <w:r w:rsidRPr="00A53033">
        <w:rPr>
          <w:i/>
          <w:noProof/>
          <w:lang w:val="ro-RO"/>
        </w:rPr>
        <w:t>ex ante</w:t>
      </w:r>
      <w:r w:rsidRPr="00A53033">
        <w:rPr>
          <w:noProof/>
          <w:lang w:val="ro-RO"/>
        </w:rPr>
        <w:t xml:space="preserve"> activate înainte de materializarea riscului sistemic, cum ar fi limitele structurale ale efectului de levier sau amortizoarele de capital pentru riscul sistemic) și</w:t>
      </w:r>
      <w:r w:rsidRPr="00A53033">
        <w:rPr>
          <w:b/>
          <w:noProof/>
          <w:lang w:val="ro-RO"/>
        </w:rPr>
        <w:t xml:space="preserve"> </w:t>
      </w:r>
      <w:r w:rsidRPr="00A53033">
        <w:rPr>
          <w:b/>
          <w:i/>
          <w:noProof/>
          <w:lang w:val="ro-RO"/>
        </w:rPr>
        <w:t>măsuri</w:t>
      </w:r>
      <w:r w:rsidRPr="00A53033">
        <w:rPr>
          <w:b/>
          <w:noProof/>
          <w:lang w:val="ro-RO"/>
        </w:rPr>
        <w:t xml:space="preserve"> ex post </w:t>
      </w:r>
      <w:r w:rsidRPr="00A53033">
        <w:rPr>
          <w:noProof/>
          <w:lang w:val="ro-RO"/>
        </w:rPr>
        <w:t>(și anume măsuri activate după materializarea unui risc sistemic, cum ar fi suspendarea drepturilor investitorilor de a răscumpăra unități ale fondurilor de investiții).</w:t>
      </w:r>
    </w:p>
    <w:p w14:paraId="6E8D28D0" w14:textId="39D24E24" w:rsidR="005958D5" w:rsidRPr="00A53033" w:rsidRDefault="005958D5" w:rsidP="000F0EC8">
      <w:pPr>
        <w:pStyle w:val="ListParagraph"/>
        <w:numPr>
          <w:ilvl w:val="0"/>
          <w:numId w:val="26"/>
        </w:numPr>
        <w:spacing w:after="120"/>
        <w:rPr>
          <w:b/>
          <w:noProof/>
          <w:lang w:val="ro-RO"/>
        </w:rPr>
      </w:pPr>
      <w:r w:rsidRPr="00A53033">
        <w:rPr>
          <w:b/>
          <w:noProof/>
          <w:lang w:val="ro-RO"/>
        </w:rPr>
        <w:t>Un cadru macroprudențial revizuit pentru bănci</w:t>
      </w:r>
    </w:p>
    <w:p w14:paraId="4DC6E0F7" w14:textId="69C36949" w:rsidR="00985F39" w:rsidRPr="00A53033" w:rsidRDefault="004F42E4" w:rsidP="004709F3">
      <w:pPr>
        <w:spacing w:after="120" w:line="240" w:lineRule="auto"/>
        <w:rPr>
          <w:rFonts w:cs="Times New Roman"/>
          <w:noProof/>
          <w:lang w:val="ro-RO"/>
        </w:rPr>
      </w:pPr>
      <w:r w:rsidRPr="00A53033">
        <w:rPr>
          <w:noProof/>
          <w:lang w:val="ro-RO"/>
        </w:rPr>
        <w:t xml:space="preserve">Acțiunile întreprinse la nivel internațional și la nivelul UE în urma crizei financiare globale, în vederea consolidării cadrului microprudențial pentru bănci și a dezvoltării unui cadru de politică macroprudențială, au condus la o agendă cuprinzătoare de reforme. Comitetul de la Basel pentru supraveghere bancară (BCBS) a elaborat cadrul Basel III, care a îmbunătățit calitatea capitalului, a introdus noi amortizoare de capital și rezerve de lichiditate și limite pentru indicatorul efectului de levier pentru bănci, a îmbunătățit gestionarea riscurilor, guvernanța și transparența și a creat un cadru de politică macroprudențială. </w:t>
      </w:r>
    </w:p>
    <w:p w14:paraId="5A5D6C1D" w14:textId="2E493DB9" w:rsidR="0010741F" w:rsidRPr="00A53033" w:rsidRDefault="007B4577" w:rsidP="004709F3">
      <w:pPr>
        <w:spacing w:after="120" w:line="240" w:lineRule="auto"/>
        <w:rPr>
          <w:rFonts w:cs="Times New Roman"/>
          <w:noProof/>
          <w:lang w:val="ro-RO"/>
        </w:rPr>
      </w:pPr>
      <w:r w:rsidRPr="00A53033">
        <w:rPr>
          <w:noProof/>
          <w:lang w:val="ro-RO"/>
        </w:rPr>
        <w:t xml:space="preserve">La nivelul UE, Raportul </w:t>
      </w:r>
      <w:r w:rsidRPr="00A53033">
        <w:rPr>
          <w:rStyle w:val="BodyTextChar"/>
          <w:noProof/>
          <w:lang w:val="ro-RO"/>
        </w:rPr>
        <w:t>de Larosière</w:t>
      </w:r>
      <w:r w:rsidRPr="00A53033">
        <w:rPr>
          <w:rStyle w:val="FootnoteReference"/>
          <w:rFonts w:eastAsiaTheme="minorEastAsia" w:cs="Times New Roman"/>
          <w:noProof/>
          <w:lang w:val="ro-RO"/>
        </w:rPr>
        <w:footnoteReference w:id="8"/>
      </w:r>
      <w:r w:rsidRPr="00A53033">
        <w:rPr>
          <w:rStyle w:val="BodyTextChar"/>
          <w:noProof/>
          <w:lang w:val="ro-RO"/>
        </w:rPr>
        <w:t xml:space="preserve"> a recomandat ca, în ceea ce privește cadrele de supraveghere și de reglementare, acestea să nu se mai concentreze numai pe supravegherea instituțiilor financiare individuale</w:t>
      </w:r>
      <w:r w:rsidRPr="00A53033">
        <w:rPr>
          <w:rStyle w:val="FootnoteReference"/>
          <w:rFonts w:eastAsiaTheme="minorEastAsia" w:cs="Times New Roman"/>
          <w:noProof/>
          <w:lang w:val="ro-RO"/>
        </w:rPr>
        <w:footnoteReference w:id="9"/>
      </w:r>
      <w:r w:rsidRPr="00A53033">
        <w:rPr>
          <w:rStyle w:val="BodyTextChar"/>
          <w:noProof/>
          <w:lang w:val="ro-RO"/>
        </w:rPr>
        <w:t>, ci și pe stabilitatea întregului sistem financiar. Raportul a menționat că „</w:t>
      </w:r>
      <w:r w:rsidRPr="00A53033">
        <w:rPr>
          <w:noProof/>
          <w:lang w:val="ro-RO"/>
        </w:rPr>
        <w:t>Obiectivul supravegherii macroprudențiale este de a reduce dificultățile sistemului financiar pentru a proteja economia în ansamblu de pierderi semnificative în producția reală [...]. Analiza macroprudențială [...] trebuie să acorde o atenție deosebită șocurilor comune sau corelate și șocurilor asupra acelor părți ale sistemului financiar care declanșează efecte de contagiune de tip domino sau feedback. Supravegherea macroprudențială nu poate fi pertinentă dacă nu are niciun efect asupra supravegherii la nivel microprudențial; iar supravegherea microprudențială nu poate să asigure în mod eficient stabilitatea financiară fără a lua în considerare în mod adecvat evoluțiile la nivel macroprudențial.”</w:t>
      </w:r>
    </w:p>
    <w:p w14:paraId="5F33957E" w14:textId="1E2F3CBA" w:rsidR="00283466" w:rsidRPr="00A53033" w:rsidRDefault="00147C12" w:rsidP="004709F3">
      <w:pPr>
        <w:spacing w:after="120" w:line="240" w:lineRule="auto"/>
        <w:rPr>
          <w:rFonts w:cs="Times New Roman"/>
          <w:noProof/>
          <w:lang w:val="ro-RO"/>
        </w:rPr>
      </w:pPr>
      <w:r w:rsidRPr="00A53033">
        <w:rPr>
          <w:rStyle w:val="BodyTextChar"/>
          <w:noProof/>
          <w:lang w:val="ro-RO"/>
        </w:rPr>
        <w:t>UE a luat măsuri semnificative pentru a-și consolida cadrul macroprudențial prin punerea în aplicare a reformelor recomandate în Raportul de Larosière și a standardelor elaborate la nivel internațional. De exemplu, aceasta a adoptat măsuri de reducere a efectelor prociclice ale măsurilor Basel II și a înființat CERS și autoritățile europene de supraveghere (AES) pentru a asigura monitorizarea adecvată a riscurilor la adresa stabilității financiare în întregul sistem financiar, alături de alte riscuri.</w:t>
      </w:r>
    </w:p>
    <w:p w14:paraId="6D94E5D6" w14:textId="33E596DE" w:rsidR="00656D4A" w:rsidRPr="00A53033" w:rsidRDefault="008213CC" w:rsidP="004709F3">
      <w:pPr>
        <w:spacing w:after="120" w:line="240" w:lineRule="auto"/>
        <w:rPr>
          <w:rFonts w:cs="Times New Roman"/>
          <w:noProof/>
          <w:lang w:val="ro-RO"/>
        </w:rPr>
      </w:pPr>
      <w:r w:rsidRPr="00A53033">
        <w:rPr>
          <w:rStyle w:val="BodyTextChar"/>
          <w:b/>
          <w:noProof/>
          <w:lang w:val="ro-RO"/>
        </w:rPr>
        <w:t xml:space="preserve">În </w:t>
      </w:r>
      <w:r w:rsidRPr="007240C7">
        <w:rPr>
          <w:rStyle w:val="BodyTextChar"/>
          <w:b/>
          <w:noProof/>
          <w:lang w:val="ro-RO"/>
        </w:rPr>
        <w:t>2014</w:t>
      </w:r>
      <w:r w:rsidRPr="00A53033">
        <w:rPr>
          <w:rStyle w:val="BodyTextChar"/>
          <w:b/>
          <w:noProof/>
          <w:lang w:val="ro-RO"/>
        </w:rPr>
        <w:t>, un</w:t>
      </w:r>
      <w:r w:rsidRPr="00A53033">
        <w:rPr>
          <w:b/>
          <w:noProof/>
          <w:lang w:val="ro-RO"/>
        </w:rPr>
        <w:t xml:space="preserve"> </w:t>
      </w:r>
      <w:r w:rsidRPr="00A53033">
        <w:rPr>
          <w:rStyle w:val="BodyTextChar"/>
          <w:b/>
          <w:noProof/>
          <w:lang w:val="ro-RO"/>
        </w:rPr>
        <w:t xml:space="preserve">set de instrumente macroprudențiale, </w:t>
      </w:r>
      <w:r w:rsidRPr="00A53033">
        <w:rPr>
          <w:b/>
          <w:noProof/>
          <w:lang w:val="ro-RO"/>
        </w:rPr>
        <w:t>care se bazează pe standardele internaționale elaborate de BCBS,</w:t>
      </w:r>
      <w:r w:rsidRPr="00A53033">
        <w:rPr>
          <w:rStyle w:val="BodyTextChar"/>
          <w:b/>
          <w:noProof/>
          <w:lang w:val="ro-RO"/>
        </w:rPr>
        <w:t xml:space="preserve"> a devenit aplicabil</w:t>
      </w:r>
      <w:r w:rsidRPr="00A53033">
        <w:rPr>
          <w:noProof/>
          <w:lang w:val="ro-RO"/>
        </w:rPr>
        <w:t xml:space="preserve"> </w:t>
      </w:r>
      <w:r w:rsidRPr="00A53033">
        <w:rPr>
          <w:b/>
          <w:noProof/>
          <w:lang w:val="ro-RO"/>
        </w:rPr>
        <w:t>instituțiilor de credit</w:t>
      </w:r>
      <w:r w:rsidRPr="00A53033">
        <w:rPr>
          <w:noProof/>
          <w:lang w:val="ro-RO"/>
        </w:rPr>
        <w:t xml:space="preserve"> (denumite în continuare „bănci”). Acest set de instrumente, prevăzut în Directiva și în Regulamentul privind cerințele de capital (CRD/CRR), a fost revizuit doar marginal în </w:t>
      </w:r>
      <w:r w:rsidRPr="007240C7">
        <w:rPr>
          <w:noProof/>
          <w:lang w:val="ro-RO"/>
        </w:rPr>
        <w:t>2019</w:t>
      </w:r>
      <w:r w:rsidRPr="00A53033">
        <w:rPr>
          <w:rStyle w:val="FootnoteReference"/>
          <w:rFonts w:cs="Times New Roman"/>
          <w:noProof/>
          <w:lang w:val="ro-RO"/>
        </w:rPr>
        <w:footnoteReference w:id="10"/>
      </w:r>
      <w:r w:rsidRPr="00A53033">
        <w:rPr>
          <w:noProof/>
          <w:lang w:val="ro-RO"/>
        </w:rPr>
        <w:t>. Pentru a proteja stabilitatea financiară, CRD și CRR recunosc că politica macroprudențială este o completare necesară a supravegherii microprudențiale. Întrucât riscurile sistemice pot fi diferite de la un stat membru la altul, autoritățile naționale ar trebui să poată ține seama de nevoile specifice ale sectoarelor lor bancare. Deși au fost introduse norme microprudențiale uniforme („cadrul unic de reglementare”) pentru bănci, autorităților naționale li s-a acordat un rol principal și un anumit grad de flexibilitate în desfășurarea politicilor macroprudențiale, ceea ce reflectă diversitatea surselor și natura complexă a riscului sistemic.</w:t>
      </w:r>
    </w:p>
    <w:p w14:paraId="0B3C1719" w14:textId="46E9E2DC" w:rsidR="003274FD" w:rsidRPr="00A53033" w:rsidRDefault="00B51627" w:rsidP="004709F3">
      <w:pPr>
        <w:spacing w:after="120" w:line="240" w:lineRule="auto"/>
        <w:rPr>
          <w:rFonts w:cs="Times New Roman"/>
          <w:noProof/>
          <w:color w:val="000000" w:themeColor="text1"/>
          <w:lang w:val="ro-RO"/>
        </w:rPr>
      </w:pPr>
      <w:r w:rsidRPr="00A53033">
        <w:rPr>
          <w:b/>
          <w:noProof/>
          <w:lang w:val="ro-RO"/>
        </w:rPr>
        <w:t>Setul de instrumente macroprudențiale al UE pentru bănci include o serie de instrumente care vizează să combată mai multe aspecte ale riscului sistemic.</w:t>
      </w:r>
      <w:r w:rsidRPr="00A53033">
        <w:rPr>
          <w:noProof/>
          <w:lang w:val="ro-RO"/>
        </w:rPr>
        <w:t xml:space="preserve"> CRD a introdus un regim de amortizoare de capital macroprudențiale (mai precis, cinci amortizoare care formează împreună cerința amortizorului combinat), permițând băncilor să își adapteze poziția de capital la condițiile specifice ale sectorului macroeconomic și financiar (a se vedea</w:t>
      </w:r>
      <w:r w:rsidRPr="00A53033">
        <w:rPr>
          <w:i/>
          <w:noProof/>
          <w:lang w:val="ro-RO"/>
        </w:rPr>
        <w:t xml:space="preserve"> apendicele </w:t>
      </w:r>
      <w:r w:rsidRPr="007240C7">
        <w:rPr>
          <w:i/>
          <w:noProof/>
          <w:lang w:val="ro-RO"/>
        </w:rPr>
        <w:t>1</w:t>
      </w:r>
      <w:r w:rsidRPr="00A53033">
        <w:rPr>
          <w:noProof/>
          <w:lang w:val="ro-RO"/>
        </w:rPr>
        <w:t xml:space="preserve">). De exemplu, acestea ar trebui să constituie amortizorul anticiclic de capital atunci când creșterea creditului este asociată cu acumularea riscului sistemic ciclic, în timp ce, pentru a atenua riscurile sistemice structurale la adresa stabilității financiare, pot fi utilizate amortizoare pentru alte instituții importante și pentru riscurile sistemice globale. Ulterior, acestea ar trebui să utilizeze </w:t>
      </w:r>
      <w:r w:rsidRPr="00A53033">
        <w:rPr>
          <w:noProof/>
          <w:color w:val="000000" w:themeColor="text1"/>
          <w:lang w:val="ro-RO"/>
        </w:rPr>
        <w:t xml:space="preserve">capitalul atunci când este necesar pentru a absorbi pierderile și a satisface cererea de credite în perioadele de încetinire a creșterii economice și de criză. </w:t>
      </w:r>
      <w:r w:rsidRPr="00A53033">
        <w:rPr>
          <w:b/>
          <w:noProof/>
          <w:color w:val="000000" w:themeColor="text1"/>
          <w:lang w:val="ro-RO"/>
        </w:rPr>
        <w:t>Posibilitatea de utilizare și de eliberare a amortizoarelor de capital</w:t>
      </w:r>
      <w:r w:rsidRPr="00A53033">
        <w:rPr>
          <w:noProof/>
          <w:color w:val="000000" w:themeColor="text1"/>
          <w:lang w:val="ro-RO"/>
        </w:rPr>
        <w:t xml:space="preserve"> trebuie să funcționeze eficient, astfel încât să permită reintrarea capitalului în economie pe măsură ce condițiile macroeconomice se îmbunătățesc, fără a fi încetinită prin prepoziționare din motive de reputație. </w:t>
      </w:r>
      <w:r w:rsidRPr="00A53033">
        <w:rPr>
          <w:rStyle w:val="BodyTextChar"/>
          <w:noProof/>
          <w:lang w:val="ro-RO"/>
        </w:rPr>
        <w:t>Reformele în domeniul reglementării introduse în urma crizei financiare au consolidat reziliența sectorului bancar din UE și capacitatea acestuia de a face față șocurilor sistemice. Totuși, episoadele de criză mai recente, în special pandemia de COVID-</w:t>
      </w:r>
      <w:r w:rsidRPr="007240C7">
        <w:rPr>
          <w:rStyle w:val="BodyTextChar"/>
          <w:noProof/>
          <w:lang w:val="ro-RO"/>
        </w:rPr>
        <w:t>19</w:t>
      </w:r>
      <w:r w:rsidRPr="00A53033">
        <w:rPr>
          <w:rStyle w:val="BodyTextChar"/>
          <w:noProof/>
          <w:lang w:val="ro-RO"/>
        </w:rPr>
        <w:t xml:space="preserve">, au arătat că disponibilitatea unor amortizoare de capital ce pot fi eliberate în perioade de criză pentru a absorbi pierderile rămâne o preocupare presant (a se vedea </w:t>
      </w:r>
      <w:r w:rsidRPr="00A53033">
        <w:rPr>
          <w:rStyle w:val="BodyTextChar"/>
          <w:i/>
          <w:noProof/>
          <w:lang w:val="ro-RO"/>
        </w:rPr>
        <w:t xml:space="preserve">anexa </w:t>
      </w:r>
      <w:r w:rsidRPr="007240C7">
        <w:rPr>
          <w:rStyle w:val="BodyTextChar"/>
          <w:i/>
          <w:noProof/>
          <w:lang w:val="ro-RO"/>
        </w:rPr>
        <w:t>2</w:t>
      </w:r>
      <w:r w:rsidRPr="00A53033">
        <w:rPr>
          <w:rStyle w:val="BodyTextChar"/>
          <w:noProof/>
          <w:lang w:val="ro-RO"/>
        </w:rPr>
        <w:t xml:space="preserve">). </w:t>
      </w:r>
      <w:r w:rsidRPr="00A53033">
        <w:rPr>
          <w:noProof/>
          <w:lang w:val="ro-RO"/>
        </w:rPr>
        <w:t>În cazul unui șoc semnificativ, o reducere a cerințelor privind amortizoarele ar putea atenua problemele și diminua stimulentele băncilor pentru scăderea gradului de îndatorare și a riscului. Rezultatele economice pot fi considerabil mai bune atunci când amortizoarele de capital sunt eliberate sau utilizate pentru a menține creditarea economiei.</w:t>
      </w:r>
    </w:p>
    <w:p w14:paraId="3253521C" w14:textId="6C2743C6" w:rsidR="0045690F" w:rsidRPr="00A53033" w:rsidRDefault="007F5924" w:rsidP="0045690F">
      <w:pPr>
        <w:spacing w:after="120" w:line="240" w:lineRule="auto"/>
        <w:rPr>
          <w:noProof/>
          <w:lang w:val="ro-RO"/>
        </w:rPr>
      </w:pPr>
      <w:r w:rsidRPr="00A53033">
        <w:rPr>
          <w:noProof/>
          <w:lang w:val="ro-RO"/>
        </w:rPr>
        <w:t xml:space="preserve">CRR include, de asemenea, </w:t>
      </w:r>
      <w:r w:rsidRPr="00A53033">
        <w:rPr>
          <w:b/>
          <w:noProof/>
          <w:lang w:val="ro-RO"/>
        </w:rPr>
        <w:t>instrumente macroprudențiale discreționare care vizează combaterea riscurilor sistemice specifice</w:t>
      </w:r>
      <w:r w:rsidRPr="00A53033">
        <w:rPr>
          <w:noProof/>
          <w:lang w:val="ro-RO"/>
        </w:rPr>
        <w:t xml:space="preserve">, cum ar fi cele care decurg din sectorul imobiliar. Aceste riscuri pot fi atenuate prin majorarea ponderilor de risc și a parametrilor pierderii în caz de nerambursare (LGD) medii ponderate în funcție de expunere din cadrul modelelor interne de rating). </w:t>
      </w:r>
      <w:r w:rsidRPr="00A53033">
        <w:rPr>
          <w:rStyle w:val="BodyTextChar"/>
          <w:noProof/>
          <w:lang w:val="ro-RO"/>
        </w:rPr>
        <w:t xml:space="preserve">Pe lângă riscurile sistemice convenționale care decurg, de exemplu, din piețele imobiliare, </w:t>
      </w:r>
      <w:r w:rsidRPr="00A53033">
        <w:rPr>
          <w:rStyle w:val="BodyTextChar"/>
          <w:b/>
          <w:noProof/>
          <w:lang w:val="ro-RO"/>
        </w:rPr>
        <w:t>sectorul bancar a fost din ce în ce mai expus unor riscuri noi, cum ar fi riscurile legate de schimbările climatice și de tranziție, precum și riscurile cibernetice</w:t>
      </w:r>
      <w:r w:rsidRPr="00A53033">
        <w:rPr>
          <w:rStyle w:val="BodyTextChar"/>
          <w:noProof/>
          <w:lang w:val="ro-RO"/>
        </w:rPr>
        <w:t>. Autoritățile de reglementare și de supraveghere prudențială nu au găsit încă o modalitate adecvată de combatere a acestor riscuri, care pot deveni sistemice în lipsa unor acțiuni proactive.</w:t>
      </w:r>
      <w:r w:rsidRPr="00A53033">
        <w:rPr>
          <w:noProof/>
          <w:lang w:val="ro-RO"/>
        </w:rPr>
        <w:t xml:space="preserve"> </w:t>
      </w:r>
      <w:r w:rsidRPr="00A53033">
        <w:rPr>
          <w:rStyle w:val="BodyTextChar"/>
          <w:noProof/>
          <w:lang w:val="ro-RO"/>
        </w:rPr>
        <w:t>Pe măsură ce sistemele financiare devin din ce în ce mai interconectate, mai complexe, dar și mai predispuse la șocuri și incertitudini generate de evoluțiile geopolitice și de alți factori, este necesară menținerea unor instrumente de politică și a unei flexibilități suficiente pentru a sprijini fluxul de credite către economie. Găsirea unui echilibru adecvat între, pe de o parte, instrumentele macroprudențiale și măsurile preventive și, pe de altă parte, instrumentele de gestionare a crizelor, necesită o evaluare și o analiză riguroasă pentru a evita orice impact nejustificat asupra eficacității măsurilor și instrumentelor respective. Prin urmare, orice potențială reformă a instrumentelor macroprudențiale ar trebui să țină seama în mod adecvat de impactul său asupra cadrelor prudențiale și de rezoluție și nu ar trebui să conducă la o creștere a nivelului global de capital sau a cerințelor minime de fonduri proprii și de datorii eligibile (MREL).</w:t>
      </w:r>
      <w:r w:rsidRPr="00A53033">
        <w:rPr>
          <w:noProof/>
          <w:lang w:val="ro-RO"/>
        </w:rPr>
        <w:t xml:space="preserve"> </w:t>
      </w:r>
    </w:p>
    <w:p w14:paraId="374B56D5" w14:textId="66FEDE9C" w:rsidR="0045690F" w:rsidRPr="00A53033" w:rsidRDefault="0045690F" w:rsidP="67E78FAA">
      <w:pPr>
        <w:spacing w:after="120" w:line="240" w:lineRule="auto"/>
        <w:rPr>
          <w:rStyle w:val="BodyTextChar"/>
          <w:rFonts w:eastAsiaTheme="minorEastAsia" w:cs="Times New Roman"/>
          <w:noProof/>
          <w:lang w:val="ro-RO"/>
        </w:rPr>
      </w:pPr>
      <w:r w:rsidRPr="00A53033">
        <w:rPr>
          <w:noProof/>
          <w:lang w:val="ro-RO"/>
        </w:rPr>
        <w:t xml:space="preserve">Cadrul instituțional </w:t>
      </w:r>
      <w:r w:rsidRPr="00A53033">
        <w:rPr>
          <w:b/>
          <w:noProof/>
          <w:lang w:val="ro-RO"/>
        </w:rPr>
        <w:t>al UE</w:t>
      </w:r>
      <w:r w:rsidRPr="00A53033">
        <w:rPr>
          <w:noProof/>
          <w:lang w:val="ro-RO"/>
        </w:rPr>
        <w:t xml:space="preserve"> </w:t>
      </w:r>
      <w:r w:rsidRPr="00A53033">
        <w:rPr>
          <w:b/>
          <w:noProof/>
          <w:lang w:val="ro-RO"/>
        </w:rPr>
        <w:t>pentru punerea în aplicare a politicilor macroprudențiale este structurat pe mai multe niveluri</w:t>
      </w:r>
      <w:r w:rsidRPr="00A53033">
        <w:rPr>
          <w:noProof/>
          <w:lang w:val="ro-RO"/>
        </w:rPr>
        <w:t xml:space="preserve">, fiind implicate </w:t>
      </w:r>
      <w:r w:rsidRPr="00A53033">
        <w:rPr>
          <w:rStyle w:val="BodyTextChar"/>
          <w:noProof/>
          <w:lang w:val="ro-RO"/>
        </w:rPr>
        <w:t xml:space="preserve">diverse autorități naționale și ale UE. </w:t>
      </w:r>
      <w:r w:rsidRPr="00A53033">
        <w:rPr>
          <w:noProof/>
          <w:lang w:val="ro-RO"/>
        </w:rPr>
        <w:t xml:space="preserve">Pentru a menține integritatea pieței unice, </w:t>
      </w:r>
      <w:r w:rsidRPr="00A53033">
        <w:rPr>
          <w:rStyle w:val="BodyTextChar"/>
          <w:noProof/>
          <w:lang w:val="ro-RO"/>
        </w:rPr>
        <w:t xml:space="preserve">punerea în aplicare a măsurilor macroprudențiale la nivel național necesită adesea implicarea unor diverse organisme ale UE (cum ar fi Comisia Europeană, CERS etc.). Deși CERS este însărcinat cu supravegherea macroprudențială a sectorului financiar din UE, Regulamentul privind Mecanismul unic de supraveghere conferă competențe macroprudențiale atât autorităților naționale, cât și Băncii Centrale Europene (BCE). Aceste responsabilități comune au sporit capacitatea UE și a statelor membre de a identifica, monitoriza și aborda riscurile sistemice din peisajul financiar divers al UE. Totuși, în cadrul acestui model, armonizarea anumitor aspecte ale setului de instrumente macroprudențiale este esențială pentru asigurarea unor condiții de concurență echitabile și a unui anumit nivel de simplificare în aplicarea măsurilor macroprudențiale. De exemplu, abordările diferite în ceea ce privește identificarea altor instituții de importanță sistemică (O-SII) și calibrarea ratelor amortizorului O-SII nu pot fi explicate pe deplin prin particularitățile economice sau financiare ale statelor membre, cum ar fi dimensiunea sau concentrarea sectorului bancar, putând constitui un motiv de îngrijorare pentru piața unică și uniunea bancară (a se vedea apendicele </w:t>
      </w:r>
      <w:r w:rsidRPr="007240C7">
        <w:rPr>
          <w:rStyle w:val="BodyTextChar"/>
          <w:noProof/>
          <w:lang w:val="ro-RO"/>
        </w:rPr>
        <w:t>2</w:t>
      </w:r>
      <w:r w:rsidRPr="00A53033">
        <w:rPr>
          <w:rStyle w:val="BodyTextChar"/>
          <w:noProof/>
          <w:lang w:val="ro-RO"/>
        </w:rPr>
        <w:t xml:space="preserve"> pentru mai multe detalii).</w:t>
      </w:r>
    </w:p>
    <w:p w14:paraId="3306FB12" w14:textId="1CFB64BC" w:rsidR="00E954DA" w:rsidRPr="00A53033" w:rsidRDefault="00E954DA" w:rsidP="00E954DA">
      <w:pPr>
        <w:spacing w:after="120" w:line="240" w:lineRule="auto"/>
        <w:rPr>
          <w:rStyle w:val="BodyTextChar"/>
          <w:rFonts w:eastAsiaTheme="minorEastAsia" w:cs="Times New Roman"/>
          <w:noProof/>
          <w:lang w:val="ro-RO"/>
        </w:rPr>
      </w:pPr>
      <w:r w:rsidRPr="00A53033">
        <w:rPr>
          <w:rStyle w:val="BodyTextChar"/>
          <w:noProof/>
          <w:lang w:val="ro-RO"/>
        </w:rPr>
        <w:t xml:space="preserve">Având în vedere cele de mai sus, Comisia va continua să lucreze la politicile macroprudențiale pentru bănci, asigurând totodată respectarea cadrului Basel III și ținând seama de faptul că nivelul global al cerințelor de capital și al MREL este considerat adecvat. </w:t>
      </w:r>
      <w:r w:rsidRPr="00A53033">
        <w:rPr>
          <w:rStyle w:val="BodyTextChar"/>
          <w:i/>
          <w:noProof/>
          <w:lang w:val="ro-RO"/>
        </w:rPr>
        <w:t>În acest context,</w:t>
      </w:r>
      <w:r w:rsidRPr="00A53033">
        <w:rPr>
          <w:rStyle w:val="BodyTextChar"/>
          <w:noProof/>
          <w:lang w:val="ro-RO"/>
        </w:rPr>
        <w:t xml:space="preserve"> </w:t>
      </w:r>
      <w:r w:rsidRPr="00A53033">
        <w:rPr>
          <w:rStyle w:val="BodyTextChar"/>
          <w:i/>
          <w:noProof/>
          <w:lang w:val="ro-RO"/>
        </w:rPr>
        <w:t xml:space="preserve">Comisia se va concentra în principal pe: </w:t>
      </w:r>
      <w:r w:rsidRPr="007240C7">
        <w:rPr>
          <w:rStyle w:val="BodyTextChar"/>
          <w:i/>
          <w:noProof/>
          <w:lang w:val="ro-RO"/>
        </w:rPr>
        <w:t>1</w:t>
      </w:r>
      <w:r w:rsidRPr="00A53033">
        <w:rPr>
          <w:rStyle w:val="BodyTextChar"/>
          <w:i/>
          <w:noProof/>
          <w:lang w:val="ro-RO"/>
        </w:rPr>
        <w:t xml:space="preserve">) monitorizarea posibilității de utilizare și de eliberare a amortizoarelor de capital pentru a sprijini creditarea economiei în cazul unui șoc sistemic, menținând în același timp stabilitatea financiară; </w:t>
      </w:r>
      <w:r w:rsidRPr="007240C7">
        <w:rPr>
          <w:rStyle w:val="BodyTextChar"/>
          <w:i/>
          <w:noProof/>
          <w:lang w:val="ro-RO"/>
        </w:rPr>
        <w:t>2</w:t>
      </w:r>
      <w:r w:rsidRPr="00A53033">
        <w:rPr>
          <w:rStyle w:val="BodyTextChar"/>
          <w:i/>
          <w:noProof/>
          <w:lang w:val="ro-RO"/>
        </w:rPr>
        <w:t xml:space="preserve">) promovarea coerenței în utilizarea instrumentelor macroprudențiale de către autoritățile naționale; și </w:t>
      </w:r>
      <w:r w:rsidRPr="007240C7">
        <w:rPr>
          <w:rStyle w:val="BodyTextChar"/>
          <w:i/>
          <w:noProof/>
          <w:lang w:val="ro-RO"/>
        </w:rPr>
        <w:t>3</w:t>
      </w:r>
      <w:r w:rsidRPr="00A53033">
        <w:rPr>
          <w:rStyle w:val="BodyTextChar"/>
          <w:i/>
          <w:noProof/>
          <w:lang w:val="ro-RO"/>
        </w:rPr>
        <w:t>) evaluarea posibilităților de simplificare, a eficienței și a capacității cadrului macroprudențial de a combate atât riscurile convenționale, cât și pe cele noi.</w:t>
      </w:r>
      <w:r w:rsidRPr="00A53033">
        <w:rPr>
          <w:rStyle w:val="BodyTextChar"/>
          <w:noProof/>
          <w:lang w:val="ro-RO"/>
        </w:rPr>
        <w:t xml:space="preserve"> </w:t>
      </w:r>
      <w:r w:rsidRPr="00A53033">
        <w:rPr>
          <w:rStyle w:val="BodyTextChar"/>
          <w:i/>
          <w:noProof/>
          <w:lang w:val="ro-RO"/>
        </w:rPr>
        <w:t xml:space="preserve">În plus, Comisia va analiza modalitățile de actualizare a feedbackului primit în cadrul consultării specifice din </w:t>
      </w:r>
      <w:r w:rsidRPr="007240C7">
        <w:rPr>
          <w:rStyle w:val="BodyTextChar"/>
          <w:i/>
          <w:noProof/>
          <w:lang w:val="ro-RO"/>
        </w:rPr>
        <w:t>2021</w:t>
      </w:r>
      <w:r w:rsidRPr="00A53033">
        <w:rPr>
          <w:rStyle w:val="BodyTextChar"/>
          <w:i/>
          <w:noProof/>
          <w:lang w:val="ro-RO"/>
        </w:rPr>
        <w:t>, precum și pe cele de colectare de feedback suplimentar cu privire la aspecte ale evaluării care sunt abordate doar parțial în prezentul raport.</w:t>
      </w:r>
    </w:p>
    <w:p w14:paraId="33FD23D7" w14:textId="19EBC352" w:rsidR="00E954DA" w:rsidRPr="00A53033" w:rsidRDefault="00BD25FD" w:rsidP="000F0EC8">
      <w:pPr>
        <w:pStyle w:val="ListParagraph"/>
        <w:numPr>
          <w:ilvl w:val="0"/>
          <w:numId w:val="26"/>
        </w:numPr>
        <w:spacing w:after="120" w:line="257" w:lineRule="auto"/>
        <w:rPr>
          <w:rStyle w:val="BodyTextChar"/>
          <w:rFonts w:eastAsia="Times New Roman" w:cs="Times New Roman"/>
          <w:b/>
          <w:noProof/>
          <w:lang w:val="ro-RO"/>
        </w:rPr>
      </w:pPr>
      <w:r w:rsidRPr="00A53033">
        <w:rPr>
          <w:rStyle w:val="BodyTextChar"/>
          <w:b/>
          <w:noProof/>
          <w:lang w:val="ro-RO"/>
        </w:rPr>
        <w:t>Cadrul macroprudențial pentru intermediarii financiari nebancari</w:t>
      </w:r>
    </w:p>
    <w:p w14:paraId="0017B1AA" w14:textId="63701320" w:rsidR="007B124E" w:rsidRPr="00A53033" w:rsidRDefault="00241024" w:rsidP="004709F3">
      <w:pPr>
        <w:spacing w:after="120" w:line="240" w:lineRule="auto"/>
        <w:rPr>
          <w:rFonts w:cs="Times New Roman"/>
          <w:noProof/>
          <w:lang w:val="ro-RO"/>
        </w:rPr>
      </w:pPr>
      <w:r w:rsidRPr="00A53033">
        <w:rPr>
          <w:b/>
          <w:noProof/>
          <w:lang w:val="ro-RO"/>
        </w:rPr>
        <w:t>Intermediarii financiari nebancari au înregistrat un parcurs ascendent semnificativ în ultimii ani</w:t>
      </w:r>
      <w:r w:rsidRPr="00A53033">
        <w:rPr>
          <w:noProof/>
          <w:lang w:val="ro-RO"/>
        </w:rPr>
        <w:t xml:space="preserve">, dată fiind creșterea tot mai mare în importanță a finanțării nebancare pentru finanțarea economiei. CERS estimează că intermedierea financiară nebancară reprezintă cel puțin </w:t>
      </w:r>
      <w:r w:rsidRPr="007240C7">
        <w:rPr>
          <w:noProof/>
          <w:lang w:val="ro-RO"/>
        </w:rPr>
        <w:t>41</w:t>
      </w:r>
      <w:r w:rsidRPr="00A53033">
        <w:rPr>
          <w:noProof/>
          <w:lang w:val="ro-RO"/>
        </w:rPr>
        <w:t>,</w:t>
      </w:r>
      <w:r w:rsidRPr="007240C7">
        <w:rPr>
          <w:noProof/>
          <w:lang w:val="ro-RO"/>
        </w:rPr>
        <w:t>5</w:t>
      </w:r>
      <w:r w:rsidRPr="00A53033">
        <w:rPr>
          <w:noProof/>
          <w:lang w:val="ro-RO"/>
        </w:rPr>
        <w:t> mii de miliarde EUR (</w:t>
      </w:r>
      <w:r w:rsidRPr="007240C7">
        <w:rPr>
          <w:noProof/>
          <w:lang w:val="ro-RO"/>
        </w:rPr>
        <w:t>39</w:t>
      </w:r>
      <w:r w:rsidRPr="00A53033">
        <w:rPr>
          <w:noProof/>
          <w:lang w:val="ro-RO"/>
        </w:rPr>
        <w:t> %) din activele sectorului financiar european</w:t>
      </w:r>
      <w:r w:rsidRPr="00A53033">
        <w:rPr>
          <w:rStyle w:val="FootnoteReference"/>
          <w:rFonts w:cs="Times New Roman"/>
          <w:noProof/>
          <w:lang w:val="ro-RO"/>
        </w:rPr>
        <w:footnoteReference w:id="11"/>
      </w:r>
      <w:r w:rsidRPr="00A53033">
        <w:rPr>
          <w:noProof/>
          <w:lang w:val="ro-RO"/>
        </w:rPr>
        <w:t>. Intermediarii financiari nebancari cuprind sectoare foarte diverse, inclusiv societăți de administrare a activelor și fonduri de investiții, firme de investiții nebancare, birouri familiale, societăți de finanțare a lanțului de aprovizionare, fonduri de pensii, societăți de asigurări și alte entități nebancare</w:t>
      </w:r>
      <w:r w:rsidRPr="00A53033">
        <w:rPr>
          <w:rStyle w:val="FootnoteReference"/>
          <w:rFonts w:cs="Times New Roman"/>
          <w:noProof/>
          <w:lang w:val="ro-RO"/>
        </w:rPr>
        <w:footnoteReference w:id="12"/>
      </w:r>
      <w:r w:rsidRPr="00A53033">
        <w:rPr>
          <w:noProof/>
          <w:lang w:val="ro-RO"/>
        </w:rPr>
        <w:t xml:space="preserve">. În Europa, intermediarii financiari nebancari joacă un rol esențial în promovarea diversității financiare și în reducerea dependenței de finanțarea bancară, în special în contextul uniunii piețelor de capital și al dezvoltării unei piețe unice solide. Prin urmare, acestea au o contribuție pozitivă la stabilitatea financiară (prin partajarea riscurilor în sectorul privat) și la inovare. </w:t>
      </w:r>
    </w:p>
    <w:p w14:paraId="06277E53" w14:textId="79685B50" w:rsidR="00585BA2" w:rsidRPr="00A53033" w:rsidRDefault="007B124E" w:rsidP="004709F3">
      <w:pPr>
        <w:spacing w:after="120" w:line="240" w:lineRule="auto"/>
        <w:rPr>
          <w:rFonts w:cs="Times New Roman"/>
          <w:noProof/>
          <w:lang w:val="ro-RO"/>
        </w:rPr>
      </w:pPr>
      <w:r w:rsidRPr="00A53033">
        <w:rPr>
          <w:noProof/>
          <w:lang w:val="ro-RO"/>
        </w:rPr>
        <w:t xml:space="preserve">Cu toate acestea, </w:t>
      </w:r>
      <w:r w:rsidRPr="00A53033">
        <w:rPr>
          <w:b/>
          <w:noProof/>
          <w:lang w:val="ro-RO"/>
        </w:rPr>
        <w:t>o creștere accelerată a numărului intermediarilor financiari nebancari poate genera, de asemenea, noi riscuri și provocări la adresa stabilității financiare.</w:t>
      </w:r>
      <w:r w:rsidRPr="00A53033">
        <w:rPr>
          <w:noProof/>
          <w:lang w:val="ro-RO"/>
        </w:rPr>
        <w:t xml:space="preserve"> Creșterea numărului intermediarilor financiari nebancari a fost însoțită de un gradul mai ridicat de risc al anumitor portofolii de active, de o mai mare transformare a lichidității și de intensificarea efectului de levier, determinată și de „căutarea randamentului” pe parcursul unei perioade extinse de rate negative ale dobânzii reale</w:t>
      </w:r>
      <w:r w:rsidRPr="00A53033">
        <w:rPr>
          <w:rStyle w:val="FootnoteReference"/>
          <w:rFonts w:cs="Times New Roman"/>
          <w:noProof/>
          <w:lang w:val="ro-RO"/>
        </w:rPr>
        <w:footnoteReference w:id="13"/>
      </w:r>
      <w:r w:rsidRPr="00A53033">
        <w:rPr>
          <w:noProof/>
          <w:lang w:val="ro-RO"/>
        </w:rPr>
        <w:t>. De asemenea, interconectarea dintre bănci și intermediarii financiari nebancari s-a amplificat în mod constant și a sporit</w:t>
      </w:r>
      <w:r w:rsidRPr="00A53033">
        <w:rPr>
          <w:rStyle w:val="BodyTextChar"/>
          <w:noProof/>
          <w:lang w:val="ro-RO"/>
        </w:rPr>
        <w:t xml:space="preserve"> riscul de contagiune la nivelul sectorului financiar, având potențialul de a genera efecte de propagare negative asupra economiei.</w:t>
      </w:r>
    </w:p>
    <w:p w14:paraId="12F3A4CC" w14:textId="4C464849" w:rsidR="004709F3" w:rsidRPr="00A53033" w:rsidRDefault="006771D8" w:rsidP="004709F3">
      <w:pPr>
        <w:spacing w:after="120" w:line="240" w:lineRule="auto"/>
        <w:rPr>
          <w:noProof/>
          <w:lang w:val="ro-RO"/>
        </w:rPr>
      </w:pPr>
      <w:r w:rsidRPr="00A53033">
        <w:rPr>
          <w:noProof/>
          <w:lang w:val="ro-RO"/>
        </w:rPr>
        <w:t xml:space="preserve">Deși </w:t>
      </w:r>
      <w:r w:rsidRPr="00A53033">
        <w:rPr>
          <w:b/>
          <w:noProof/>
          <w:lang w:val="ro-RO"/>
        </w:rPr>
        <w:t>activitatea la nivel internațional</w:t>
      </w:r>
      <w:r w:rsidRPr="00A53033">
        <w:rPr>
          <w:noProof/>
          <w:lang w:val="ro-RO"/>
        </w:rPr>
        <w:t xml:space="preserve"> de elaborare și actualizare a cadrului macroprudențial pentru bănci a avansat într-un ritm constant de la criza financiară mondială, activitatea privind politicile macroprudențiale pentru intermediarii financiari nebancari a continuat în valuri. Consiliul pentru Stabilitate Financiară (CSF), Organizația Internațională a Comisiilor de Valori Mobiliare și Asociația Internațională a Organismelor de Supraveghere a Asigurărilor s-au axat progresiv pe elaborarea de analize și instrumente macroprudențiale care vizează reducerea riscurilor sistemice legate de intermediarii financiari nebancari. Această activitate s-a intensificat tot mai mult în ultimii ani, după diverse episoade de turbulențe pe piață (de exemplu, „cursa după numerar” din timpul pandemiei de COVID-</w:t>
      </w:r>
      <w:r w:rsidRPr="007240C7">
        <w:rPr>
          <w:noProof/>
          <w:lang w:val="ro-RO"/>
        </w:rPr>
        <w:t>19</w:t>
      </w:r>
      <w:r w:rsidRPr="00A53033">
        <w:rPr>
          <w:noProof/>
          <w:lang w:val="ro-RO"/>
        </w:rPr>
        <w:t xml:space="preserve"> din martie </w:t>
      </w:r>
      <w:r w:rsidRPr="007240C7">
        <w:rPr>
          <w:noProof/>
          <w:lang w:val="ro-RO"/>
        </w:rPr>
        <w:t>2020</w:t>
      </w:r>
      <w:r w:rsidRPr="00A53033">
        <w:rPr>
          <w:noProof/>
          <w:lang w:val="ro-RO"/>
        </w:rPr>
        <w:t xml:space="preserve"> și criza pieței obligațiunilor de stat din Regatul Unit din septembrie </w:t>
      </w:r>
      <w:r w:rsidRPr="007240C7">
        <w:rPr>
          <w:noProof/>
          <w:lang w:val="ro-RO"/>
        </w:rPr>
        <w:t>2022</w:t>
      </w:r>
      <w:r w:rsidRPr="00A53033">
        <w:rPr>
          <w:noProof/>
          <w:lang w:val="ro-RO"/>
        </w:rPr>
        <w:t xml:space="preserve">) și de gestionare financiară defectuoasă (de exemplu, Archegos sau Greensill Capital), care au evidențiat impactul pe care acumularea de riscuri sistemice și vulnerabilitățile intermediarilor financiari nebancari îl poate avea asupra întregii economii. </w:t>
      </w:r>
    </w:p>
    <w:p w14:paraId="2BEFEF7F" w14:textId="77777777" w:rsidR="00776FCF" w:rsidRPr="00A53033" w:rsidRDefault="00776FCF" w:rsidP="00776FCF">
      <w:pPr>
        <w:spacing w:after="120" w:line="240" w:lineRule="auto"/>
        <w:rPr>
          <w:rStyle w:val="BodyTextChar"/>
          <w:rFonts w:eastAsiaTheme="minorEastAsia" w:cs="Times New Roman"/>
          <w:noProof/>
          <w:lang w:val="ro-RO"/>
        </w:rPr>
      </w:pPr>
      <w:r w:rsidRPr="00A53033">
        <w:rPr>
          <w:rStyle w:val="BodyTextChar"/>
          <w:noProof/>
          <w:lang w:val="ro-RO"/>
        </w:rPr>
        <w:t>CSF</w:t>
      </w:r>
      <w:r w:rsidRPr="00A53033">
        <w:rPr>
          <w:rStyle w:val="FootnoteReference"/>
          <w:rFonts w:eastAsiaTheme="minorEastAsia" w:cs="Times New Roman"/>
          <w:noProof/>
          <w:lang w:val="ro-RO"/>
        </w:rPr>
        <w:footnoteReference w:id="14"/>
      </w:r>
      <w:r w:rsidRPr="00A53033">
        <w:rPr>
          <w:rStyle w:val="BodyTextChar"/>
          <w:noProof/>
          <w:lang w:val="ro-RO"/>
        </w:rPr>
        <w:t xml:space="preserve"> și CERS</w:t>
      </w:r>
      <w:r w:rsidRPr="00A53033">
        <w:rPr>
          <w:rStyle w:val="FootnoteReference"/>
          <w:rFonts w:eastAsiaTheme="minorEastAsia" w:cs="Times New Roman"/>
          <w:noProof/>
          <w:lang w:val="ro-RO"/>
        </w:rPr>
        <w:footnoteReference w:id="15"/>
      </w:r>
      <w:r w:rsidRPr="00A53033">
        <w:rPr>
          <w:rStyle w:val="BodyTextChar"/>
          <w:noProof/>
          <w:lang w:val="ro-RO"/>
        </w:rPr>
        <w:t xml:space="preserve"> au identificat trei vulnerabilități structurale care contribuie la acumularea de riscuri sistemice și care, în prezent, sunt doar parțial acoperite de politicile macroprudențiale. Acestea sunt deficitul sistemic de lichiditate</w:t>
      </w:r>
      <w:r w:rsidRPr="00A53033">
        <w:rPr>
          <w:rStyle w:val="FootnoteReference"/>
          <w:rFonts w:eastAsiaTheme="minorEastAsia" w:cs="Times New Roman"/>
          <w:noProof/>
          <w:lang w:val="ro-RO"/>
        </w:rPr>
        <w:footnoteReference w:id="16"/>
      </w:r>
      <w:r w:rsidRPr="00A53033">
        <w:rPr>
          <w:rStyle w:val="BodyTextChar"/>
          <w:noProof/>
          <w:lang w:val="ro-RO"/>
        </w:rPr>
        <w:t>, un efect de levier excesiv și o interconectare la nivelul intermediarilor financiari nebancari, precum și a intermediarilor financiari nebancari cu sectorul bancar. Aceste vulnerabilități exacerbează</w:t>
      </w:r>
      <w:r w:rsidRPr="00A53033">
        <w:rPr>
          <w:noProof/>
          <w:lang w:val="ro-RO"/>
        </w:rPr>
        <w:t xml:space="preserve"> </w:t>
      </w:r>
      <w:r w:rsidRPr="00A53033">
        <w:rPr>
          <w:rStyle w:val="BodyTextChar"/>
          <w:noProof/>
          <w:lang w:val="ro-RO"/>
        </w:rPr>
        <w:t xml:space="preserve">complexitatea supravegherii unor astfel de sectoare interconectate și evidențiază necesitatea de a avea în vedere o supraveghere macroprudențială mai coerentă și mai coordonată pentru intermediarii financiari nebancari (a se vedea </w:t>
      </w:r>
      <w:r w:rsidRPr="00A53033">
        <w:rPr>
          <w:rStyle w:val="BodyTextChar"/>
          <w:i/>
          <w:noProof/>
          <w:lang w:val="ro-RO"/>
        </w:rPr>
        <w:t xml:space="preserve">apendicele </w:t>
      </w:r>
      <w:r w:rsidRPr="007240C7">
        <w:rPr>
          <w:rStyle w:val="BodyTextChar"/>
          <w:i/>
          <w:noProof/>
          <w:lang w:val="ro-RO"/>
        </w:rPr>
        <w:t>2</w:t>
      </w:r>
      <w:r w:rsidRPr="00A53033">
        <w:rPr>
          <w:rStyle w:val="BodyTextChar"/>
          <w:noProof/>
          <w:lang w:val="ro-RO"/>
        </w:rPr>
        <w:t>).</w:t>
      </w:r>
    </w:p>
    <w:p w14:paraId="76F15A74" w14:textId="7738A35A" w:rsidR="003C0194" w:rsidRPr="00A53033" w:rsidRDefault="005E433E" w:rsidP="003C0194">
      <w:pPr>
        <w:spacing w:after="120" w:line="240" w:lineRule="auto"/>
        <w:rPr>
          <w:rStyle w:val="BodyTextChar"/>
          <w:rFonts w:eastAsiaTheme="minorEastAsia" w:cs="Times New Roman"/>
          <w:noProof/>
          <w:lang w:val="ro-RO"/>
        </w:rPr>
      </w:pPr>
      <w:r w:rsidRPr="00A53033">
        <w:rPr>
          <w:rStyle w:val="BodyTextChar"/>
          <w:noProof/>
          <w:lang w:val="ro-RO"/>
        </w:rPr>
        <w:t xml:space="preserve">Prin urmare, aceleași riscuri convenționale și emergente care afectează băncile, coroborate cu diversitatea și complexitatea sectoarelor intermediarilor financiari nebancari, pot genera </w:t>
      </w:r>
      <w:r w:rsidRPr="00A53033">
        <w:rPr>
          <w:rStyle w:val="BodyTextChar"/>
          <w:b/>
          <w:noProof/>
          <w:lang w:val="ro-RO"/>
        </w:rPr>
        <w:t>vulnerabilități specifice ale intermediarilor financiari nebancari</w:t>
      </w:r>
      <w:r w:rsidRPr="00A53033">
        <w:rPr>
          <w:rStyle w:val="BodyTextChar"/>
          <w:noProof/>
          <w:lang w:val="ro-RO"/>
        </w:rPr>
        <w:t xml:space="preserve"> care decurg din: </w:t>
      </w:r>
    </w:p>
    <w:p w14:paraId="24281013" w14:textId="77777777" w:rsidR="003C0194" w:rsidRPr="00A53033" w:rsidRDefault="003C0194" w:rsidP="003C0194">
      <w:pPr>
        <w:pStyle w:val="ListParagraph"/>
        <w:numPr>
          <w:ilvl w:val="0"/>
          <w:numId w:val="28"/>
        </w:numPr>
        <w:spacing w:after="120"/>
        <w:rPr>
          <w:rStyle w:val="BodyTextChar"/>
          <w:rFonts w:eastAsiaTheme="minorEastAsia" w:cs="Times New Roman"/>
          <w:noProof/>
          <w:lang w:val="ro-RO"/>
        </w:rPr>
      </w:pPr>
      <w:r w:rsidRPr="00A53033">
        <w:rPr>
          <w:rStyle w:val="BodyTextChar"/>
          <w:noProof/>
          <w:lang w:val="ro-RO"/>
        </w:rPr>
        <w:t xml:space="preserve">deficitul structural de lichiditate; </w:t>
      </w:r>
    </w:p>
    <w:p w14:paraId="2FFD6D2A" w14:textId="77777777" w:rsidR="003C0194" w:rsidRPr="00A53033" w:rsidRDefault="003C0194" w:rsidP="003C0194">
      <w:pPr>
        <w:pStyle w:val="ListParagraph"/>
        <w:numPr>
          <w:ilvl w:val="0"/>
          <w:numId w:val="28"/>
        </w:numPr>
        <w:spacing w:after="120"/>
        <w:rPr>
          <w:rStyle w:val="BodyTextChar"/>
          <w:rFonts w:eastAsiaTheme="minorEastAsia" w:cs="Times New Roman"/>
          <w:noProof/>
          <w:lang w:val="ro-RO"/>
        </w:rPr>
      </w:pPr>
      <w:r w:rsidRPr="00A53033">
        <w:rPr>
          <w:rStyle w:val="BodyTextChar"/>
          <w:noProof/>
          <w:lang w:val="ro-RO"/>
        </w:rPr>
        <w:t>acumularea unui efect de levier excesiv la nivelul intermediarilor financiari nebancari;</w:t>
      </w:r>
    </w:p>
    <w:p w14:paraId="2851A9F1" w14:textId="77777777" w:rsidR="003C0194" w:rsidRPr="00A53033" w:rsidRDefault="003C0194" w:rsidP="003C0194">
      <w:pPr>
        <w:pStyle w:val="ListParagraph"/>
        <w:numPr>
          <w:ilvl w:val="0"/>
          <w:numId w:val="28"/>
        </w:numPr>
        <w:spacing w:after="120"/>
        <w:rPr>
          <w:rStyle w:val="BodyTextChar"/>
          <w:rFonts w:eastAsiaTheme="minorEastAsia" w:cs="Times New Roman"/>
          <w:noProof/>
          <w:lang w:val="ro-RO"/>
        </w:rPr>
      </w:pPr>
      <w:r w:rsidRPr="00A53033">
        <w:rPr>
          <w:rStyle w:val="BodyTextChar"/>
          <w:noProof/>
          <w:lang w:val="ro-RO"/>
        </w:rPr>
        <w:t>interconectarea dintre intermediarii financiari nebancari și dintre acestea din urmă și bănci, care poate genera factori ascunși de amplificare a riscurilor și poate transfera riscurile dinspre sectorul bancar către cel nebancar; și</w:t>
      </w:r>
    </w:p>
    <w:p w14:paraId="5FF1598A" w14:textId="77777777" w:rsidR="003C0194" w:rsidRPr="00A53033" w:rsidRDefault="003C0194" w:rsidP="003C0194">
      <w:pPr>
        <w:pStyle w:val="ListParagraph"/>
        <w:numPr>
          <w:ilvl w:val="0"/>
          <w:numId w:val="28"/>
        </w:numPr>
        <w:spacing w:after="120"/>
        <w:rPr>
          <w:rStyle w:val="BodyTextChar"/>
          <w:rFonts w:eastAsiaTheme="minorEastAsia" w:cs="Times New Roman"/>
          <w:noProof/>
          <w:lang w:val="ro-RO"/>
        </w:rPr>
      </w:pPr>
      <w:r w:rsidRPr="00A53033">
        <w:rPr>
          <w:noProof/>
          <w:lang w:val="ro-RO"/>
        </w:rPr>
        <w:t>lipsa de coerență și coordonare între cadrele macroprudențiale din întreaga UE.</w:t>
      </w:r>
      <w:r w:rsidRPr="00A53033">
        <w:rPr>
          <w:rStyle w:val="BodyTextChar"/>
          <w:noProof/>
          <w:lang w:val="ro-RO"/>
        </w:rPr>
        <w:t xml:space="preserve"> </w:t>
      </w:r>
    </w:p>
    <w:p w14:paraId="1730C119" w14:textId="6CC43580" w:rsidR="004B0E5B" w:rsidRPr="00A53033" w:rsidRDefault="00362232" w:rsidP="002A404D">
      <w:pPr>
        <w:spacing w:after="120" w:line="240" w:lineRule="auto"/>
        <w:rPr>
          <w:rStyle w:val="BodyTextChar"/>
          <w:rFonts w:eastAsiaTheme="minorEastAsia" w:cs="Times New Roman"/>
          <w:noProof/>
          <w:lang w:val="ro-RO"/>
        </w:rPr>
      </w:pPr>
      <w:r w:rsidRPr="00A53033">
        <w:rPr>
          <w:noProof/>
          <w:lang w:val="ro-RO"/>
        </w:rPr>
        <w:t xml:space="preserve">În absența unui cadru macroprudențial general al UE care să reglementeze intermediarii financiari nebancari și în vederea combaterii unor </w:t>
      </w:r>
      <w:r w:rsidRPr="00A53033">
        <w:rPr>
          <w:rStyle w:val="BodyTextChar"/>
          <w:noProof/>
          <w:lang w:val="ro-RO"/>
        </w:rPr>
        <w:t>riscuri emergente specifice în sectoare importante ale intermediarilor financiari nebancari,</w:t>
      </w:r>
      <w:r w:rsidRPr="00A53033">
        <w:rPr>
          <w:noProof/>
          <w:lang w:val="ro-RO"/>
        </w:rPr>
        <w:t xml:space="preserve"> o serie de directive și regulamente ale UE aplicabile acestor instituții includ deja unele instrumente macroprudențiale care vizează atenuarea acumulării de riscuri sistemice sau gestionarea impactului unui eveniment sistemic</w:t>
      </w:r>
      <w:r w:rsidRPr="00A53033">
        <w:rPr>
          <w:rStyle w:val="BodyTextChar"/>
          <w:noProof/>
          <w:lang w:val="ro-RO"/>
        </w:rPr>
        <w:t xml:space="preserve"> (a se vedea </w:t>
      </w:r>
      <w:r w:rsidRPr="00A53033">
        <w:rPr>
          <w:rStyle w:val="BodyTextChar"/>
          <w:i/>
          <w:noProof/>
          <w:lang w:val="ro-RO"/>
        </w:rPr>
        <w:t xml:space="preserve">apendicele </w:t>
      </w:r>
      <w:r w:rsidRPr="007240C7">
        <w:rPr>
          <w:rStyle w:val="BodyTextChar"/>
          <w:i/>
          <w:noProof/>
          <w:lang w:val="ro-RO"/>
        </w:rPr>
        <w:t>1</w:t>
      </w:r>
      <w:r w:rsidRPr="00A53033">
        <w:rPr>
          <w:rStyle w:val="BodyTextChar"/>
          <w:noProof/>
          <w:lang w:val="ro-RO"/>
        </w:rPr>
        <w:t>). De exemplu, au fost create unele instrumente și dispoziții pentru gestionarea lichidității, a efectului de levier și a riscurilor operaționale pentru sectorul fondurilor de investiții (pentru fondurile alternative de investiții, organismele de plasament colectiv în valori mobiliare și fondurile de piață monetară), pentru sectorul asigurărilor și pentru practicile de stabilire a marjelor și gestionarea riscurilor asociate contrapărților centrale. Totuși, pe măsură ce activitatea de creditare și riscurile se transferă din ce în ce mai mult dinspre sectorul bancar către cel nebancar, Comisia va colecta dovezi suplimentare cu privire la instrumentele lipsă, la eventualele lacune ale instrumentelor existente pentru îndeplinirea obiectivelor macroprudențiale și la eficacitatea și coerența politicilor macroprudențiale pentru intermediarii financiari nebancari din UE</w:t>
      </w:r>
      <w:r w:rsidRPr="00A53033">
        <w:rPr>
          <w:rStyle w:val="FootnoteReference"/>
          <w:rFonts w:eastAsiaTheme="minorEastAsia" w:cs="Times New Roman"/>
          <w:noProof/>
          <w:lang w:val="ro-RO"/>
        </w:rPr>
        <w:footnoteReference w:id="17"/>
      </w:r>
      <w:r w:rsidRPr="00A53033">
        <w:rPr>
          <w:noProof/>
          <w:lang w:val="ro-RO"/>
        </w:rPr>
        <w:t>.</w:t>
      </w:r>
      <w:r w:rsidRPr="00A53033">
        <w:rPr>
          <w:rStyle w:val="BodyTextChar"/>
          <w:noProof/>
          <w:lang w:val="ro-RO"/>
        </w:rPr>
        <w:t xml:space="preserve"> Această activitate va informa și sprijini orice decizie politică pe care Comisia ar putea să o ia în acest domeniu în mandatul </w:t>
      </w:r>
      <w:r w:rsidRPr="007240C7">
        <w:rPr>
          <w:rStyle w:val="BodyTextChar"/>
          <w:noProof/>
          <w:lang w:val="ro-RO"/>
        </w:rPr>
        <w:t>2024</w:t>
      </w:r>
      <w:r w:rsidRPr="00A53033">
        <w:rPr>
          <w:rStyle w:val="BodyTextChar"/>
          <w:noProof/>
          <w:lang w:val="ro-RO"/>
        </w:rPr>
        <w:t>-</w:t>
      </w:r>
      <w:r w:rsidRPr="007240C7">
        <w:rPr>
          <w:rStyle w:val="BodyTextChar"/>
          <w:noProof/>
          <w:lang w:val="ro-RO"/>
        </w:rPr>
        <w:t>2029</w:t>
      </w:r>
      <w:r w:rsidRPr="00A53033">
        <w:rPr>
          <w:rStyle w:val="BodyTextChar"/>
          <w:noProof/>
          <w:lang w:val="ro-RO"/>
        </w:rPr>
        <w:t xml:space="preserve">. </w:t>
      </w:r>
    </w:p>
    <w:p w14:paraId="1781F230" w14:textId="24EA098A" w:rsidR="00241024" w:rsidRPr="00A53033" w:rsidRDefault="003D3661" w:rsidP="002A404D">
      <w:pPr>
        <w:spacing w:after="120" w:line="240" w:lineRule="auto"/>
        <w:rPr>
          <w:rFonts w:cs="Times New Roman"/>
          <w:i/>
          <w:noProof/>
          <w:lang w:val="ro-RO"/>
        </w:rPr>
      </w:pPr>
      <w:r w:rsidRPr="00A53033">
        <w:rPr>
          <w:i/>
          <w:noProof/>
          <w:lang w:val="ro-RO"/>
        </w:rPr>
        <w:t xml:space="preserve">Prin urmare, Comisia intenționează să organizeze în </w:t>
      </w:r>
      <w:r w:rsidRPr="007240C7">
        <w:rPr>
          <w:i/>
          <w:noProof/>
          <w:lang w:val="ro-RO"/>
        </w:rPr>
        <w:t>2024</w:t>
      </w:r>
      <w:r w:rsidRPr="00A53033">
        <w:rPr>
          <w:i/>
          <w:noProof/>
          <w:lang w:val="ro-RO"/>
        </w:rPr>
        <w:t xml:space="preserve"> o consultare specifică privind politicile macroprudențiale pentru intermediarii financiari nebancari. Obiectivul va fi colectarea de informații suplimentare cu privire la modelele de afaceri ale principalilor intermediari financiari nebancari și la gradul de interconectare dintre aceștia și dintre bănci și intermediarii financiari nebancari, precum și identificarea lacunelor de la nivelul cadrului macroprudențial și a altor factori care pot contribui la acumularea de riscuri sistemice în intermedierea financiară nebancară. În </w:t>
      </w:r>
      <w:r w:rsidRPr="007240C7">
        <w:rPr>
          <w:i/>
          <w:noProof/>
          <w:lang w:val="ro-RO"/>
        </w:rPr>
        <w:t>2024</w:t>
      </w:r>
      <w:r w:rsidRPr="00A53033">
        <w:rPr>
          <w:i/>
          <w:noProof/>
          <w:lang w:val="ro-RO"/>
        </w:rPr>
        <w:t>, Comisia va efectua, de asemenea, o consultare cu privire la revizuirea Regulamentului privind transparența operațiunilor de finanțare prin instrumente financiare (SFTR). SFTR vizează îmbunătățirea transparenței în ceea ce privește operațiunile de finanțare și de creditare și permite o mai bună monitorizare a riscurilor care rezultă din activitatea de creditare desfășurată de instituții financiare nebancare.</w:t>
      </w:r>
      <w:r w:rsidRPr="00A53033">
        <w:rPr>
          <w:noProof/>
          <w:lang w:val="ro-RO"/>
        </w:rPr>
        <w:br w:type="page"/>
      </w:r>
    </w:p>
    <w:p w14:paraId="5B512787" w14:textId="1237385C" w:rsidR="00241024" w:rsidRPr="00A53033" w:rsidRDefault="00077D10" w:rsidP="0028791E">
      <w:pPr>
        <w:spacing w:after="120" w:line="240" w:lineRule="auto"/>
        <w:jc w:val="center"/>
        <w:rPr>
          <w:rFonts w:cs="Times New Roman"/>
          <w:b/>
          <w:noProof/>
          <w:sz w:val="28"/>
          <w:lang w:val="ro-RO"/>
        </w:rPr>
      </w:pPr>
      <w:r w:rsidRPr="00A53033">
        <w:rPr>
          <w:b/>
          <w:noProof/>
          <w:sz w:val="28"/>
          <w:lang w:val="ro-RO"/>
        </w:rPr>
        <w:t>Apendicele </w:t>
      </w:r>
      <w:r w:rsidRPr="007240C7">
        <w:rPr>
          <w:b/>
          <w:noProof/>
          <w:sz w:val="28"/>
          <w:lang w:val="ro-RO"/>
        </w:rPr>
        <w:t>1</w:t>
      </w:r>
    </w:p>
    <w:p w14:paraId="70B85031" w14:textId="1B7FA455" w:rsidR="00241024" w:rsidRPr="00A53033" w:rsidRDefault="00241024">
      <w:pPr>
        <w:pStyle w:val="Heading1"/>
        <w:numPr>
          <w:ilvl w:val="0"/>
          <w:numId w:val="0"/>
        </w:numPr>
        <w:spacing w:before="0" w:after="120"/>
        <w:rPr>
          <w:rFonts w:ascii="Times New Roman" w:hAnsi="Times New Roman" w:cs="Times New Roman"/>
          <w:noProof/>
          <w:sz w:val="22"/>
          <w:lang w:val="ro-RO"/>
        </w:rPr>
      </w:pPr>
      <w:r w:rsidRPr="00A53033">
        <w:rPr>
          <w:rFonts w:ascii="Times New Roman" w:hAnsi="Times New Roman"/>
          <w:noProof/>
          <w:sz w:val="22"/>
          <w:lang w:val="ro-RO"/>
        </w:rPr>
        <w:t>Setul actual de instrumente macroprudențiale al UE destinat băncilor și intermediarilor financiari nebancari</w:t>
      </w:r>
    </w:p>
    <w:p w14:paraId="69E949BB" w14:textId="39C9FDA6" w:rsidR="00241024" w:rsidRPr="00A53033" w:rsidRDefault="00241024" w:rsidP="004709F3">
      <w:pPr>
        <w:spacing w:after="120" w:line="240" w:lineRule="auto"/>
        <w:rPr>
          <w:rFonts w:cs="Times New Roman"/>
          <w:noProof/>
          <w:color w:val="000000" w:themeColor="text1"/>
          <w:lang w:val="ro-RO"/>
        </w:rPr>
      </w:pPr>
      <w:r w:rsidRPr="00A53033">
        <w:rPr>
          <w:noProof/>
          <w:lang w:val="ro-RO"/>
        </w:rPr>
        <w:t xml:space="preserve">Principalele instrumente macroprudențiale destinate băncilor sunt </w:t>
      </w:r>
      <w:r w:rsidRPr="00A53033">
        <w:rPr>
          <w:b/>
          <w:noProof/>
          <w:lang w:val="ro-RO"/>
        </w:rPr>
        <w:t>amortizoarele de capital</w:t>
      </w:r>
      <w:r w:rsidRPr="00A53033">
        <w:rPr>
          <w:noProof/>
          <w:lang w:val="ro-RO"/>
        </w:rPr>
        <w:t xml:space="preserve">, care reprezintă un nivel suplimentar de capital pe lângă cerințele minime de capital. Amortizoarele de capital sporesc reziliența sectorului bancar, permițând băncilor să absoarbă pierderi mai mari fără a încălca cerințele minime și, prin urmare, </w:t>
      </w:r>
      <w:r w:rsidRPr="00A53033">
        <w:rPr>
          <w:noProof/>
          <w:color w:val="000000" w:themeColor="text1"/>
          <w:lang w:val="ro-RO"/>
        </w:rPr>
        <w:t>să mențină furnizarea de servicii financiare esențiale și să atenueze</w:t>
      </w:r>
      <w:r w:rsidRPr="00A53033">
        <w:rPr>
          <w:noProof/>
          <w:lang w:val="ro-RO"/>
        </w:rPr>
        <w:t xml:space="preserve"> </w:t>
      </w:r>
      <w:r w:rsidRPr="00A53033">
        <w:rPr>
          <w:noProof/>
          <w:color w:val="000000" w:themeColor="text1"/>
          <w:lang w:val="ro-RO"/>
        </w:rPr>
        <w:t>efectele de amplificare pe care sectorul bancar le poate avea asupra ciclului economic. Cadrul macroprudențial al UE sprijină acumularea de capital bancar în perioadele caracterizate de un nivel ridicat al riscului de credit și de vulnerabilități financiare.</w:t>
      </w:r>
      <w:r w:rsidRPr="00A53033">
        <w:rPr>
          <w:noProof/>
          <w:lang w:val="ro-RO"/>
        </w:rPr>
        <w:t xml:space="preserve"> </w:t>
      </w:r>
      <w:r w:rsidRPr="00A53033">
        <w:rPr>
          <w:noProof/>
          <w:color w:val="000000" w:themeColor="text1"/>
          <w:lang w:val="ro-RO"/>
        </w:rPr>
        <w:t xml:space="preserve">Ulterior, acest capital poate fi utilizat pentru a absorbi pierderile, atunci când este necesar, precum și pentru a satisface cererea de credite în perioade de încetinire a creșterii economice și de criză. </w:t>
      </w:r>
    </w:p>
    <w:p w14:paraId="3579563F" w14:textId="6A26AC5B" w:rsidR="004709F3" w:rsidRPr="00A53033" w:rsidRDefault="00241024" w:rsidP="004709F3">
      <w:pPr>
        <w:spacing w:after="120" w:line="240" w:lineRule="auto"/>
        <w:rPr>
          <w:rFonts w:cs="Times New Roman"/>
          <w:noProof/>
          <w:lang w:val="ro-RO"/>
        </w:rPr>
      </w:pPr>
      <w:r w:rsidRPr="00A53033">
        <w:rPr>
          <w:noProof/>
          <w:lang w:val="ro-RO"/>
        </w:rPr>
        <w:t xml:space="preserve">CRD stabilește cinci amortizoare de capital macroprudențiale, care formează împreună </w:t>
      </w:r>
      <w:r w:rsidRPr="00A53033">
        <w:rPr>
          <w:b/>
          <w:noProof/>
          <w:lang w:val="ro-RO"/>
        </w:rPr>
        <w:t>„cerința amortizorului combinat</w:t>
      </w:r>
      <w:r w:rsidRPr="00A53033">
        <w:rPr>
          <w:noProof/>
          <w:lang w:val="ro-RO"/>
        </w:rPr>
        <w:t xml:space="preserve">” </w:t>
      </w:r>
      <w:r w:rsidRPr="00A53033">
        <w:rPr>
          <w:i/>
          <w:noProof/>
          <w:lang w:val="ro-RO"/>
        </w:rPr>
        <w:t>(CBR)</w:t>
      </w:r>
      <w:r w:rsidRPr="00A53033">
        <w:rPr>
          <w:noProof/>
          <w:lang w:val="ro-RO"/>
        </w:rPr>
        <w:t xml:space="preserve">. Fiecare bancă trebuie să respecte o CBR specifică, ale cărei componente sunt stabilite la diferite niveluri. Toate băncile trebuie să dispună de un </w:t>
      </w:r>
      <w:r w:rsidRPr="00A53033">
        <w:rPr>
          <w:i/>
          <w:noProof/>
          <w:lang w:val="ro-RO"/>
        </w:rPr>
        <w:t>amortizor de conservare a capitalului</w:t>
      </w:r>
      <w:r w:rsidRPr="00A53033">
        <w:rPr>
          <w:noProof/>
          <w:lang w:val="ro-RO"/>
        </w:rPr>
        <w:t xml:space="preserve"> </w:t>
      </w:r>
      <w:r w:rsidRPr="00A53033">
        <w:rPr>
          <w:i/>
          <w:noProof/>
          <w:lang w:val="ro-RO"/>
        </w:rPr>
        <w:t>(CCOB)</w:t>
      </w:r>
      <w:r w:rsidRPr="00A53033">
        <w:rPr>
          <w:noProof/>
          <w:lang w:val="ro-RO"/>
        </w:rPr>
        <w:t xml:space="preserve"> de </w:t>
      </w:r>
      <w:r w:rsidRPr="007240C7">
        <w:rPr>
          <w:noProof/>
          <w:lang w:val="ro-RO"/>
        </w:rPr>
        <w:t>2</w:t>
      </w:r>
      <w:r w:rsidRPr="00A53033">
        <w:rPr>
          <w:noProof/>
          <w:lang w:val="ro-RO"/>
        </w:rPr>
        <w:t>,</w:t>
      </w:r>
      <w:r w:rsidRPr="007240C7">
        <w:rPr>
          <w:noProof/>
          <w:lang w:val="ro-RO"/>
        </w:rPr>
        <w:t>5</w:t>
      </w:r>
      <w:r w:rsidRPr="00A53033">
        <w:rPr>
          <w:noProof/>
          <w:lang w:val="ro-RO"/>
        </w:rPr>
        <w:t> % din valoarea totală a activelor ponderate în funcție de risc (RWA). Băncile mari considerate instituții de importanță sistemică globală trebuie să dispună de un amortizor suplimentar (</w:t>
      </w:r>
      <w:r w:rsidRPr="00A53033">
        <w:rPr>
          <w:i/>
          <w:noProof/>
          <w:lang w:val="ro-RO"/>
        </w:rPr>
        <w:t>amortizorul G-SII</w:t>
      </w:r>
      <w:r w:rsidRPr="00A53033">
        <w:rPr>
          <w:noProof/>
          <w:lang w:val="ro-RO"/>
        </w:rPr>
        <w:t xml:space="preserve">) de până la </w:t>
      </w:r>
      <w:r w:rsidRPr="007240C7">
        <w:rPr>
          <w:noProof/>
          <w:lang w:val="ro-RO"/>
        </w:rPr>
        <w:t>3</w:t>
      </w:r>
      <w:r w:rsidRPr="00A53033">
        <w:rPr>
          <w:noProof/>
          <w:lang w:val="ro-RO"/>
        </w:rPr>
        <w:t>,</w:t>
      </w:r>
      <w:r w:rsidRPr="007240C7">
        <w:rPr>
          <w:noProof/>
          <w:lang w:val="ro-RO"/>
        </w:rPr>
        <w:t>5</w:t>
      </w:r>
      <w:r w:rsidRPr="00A53033">
        <w:rPr>
          <w:noProof/>
          <w:lang w:val="ro-RO"/>
        </w:rPr>
        <w:t> % din RWA (sau mai mult, dacă autoritățile de supraveghere consideră oportun). În UE, autoritățile naționale competente și desemnate (denumite în continuare „autoritățile naționale”) au stabilit cerințe privind amortizoarele și pentru a spori reziliența altor instituții de importanță sistemică (la nivel național) (</w:t>
      </w:r>
      <w:r w:rsidRPr="00A53033">
        <w:rPr>
          <w:i/>
          <w:noProof/>
          <w:lang w:val="ro-RO"/>
        </w:rPr>
        <w:t>amortizoare O-SII</w:t>
      </w:r>
      <w:r w:rsidRPr="00A53033">
        <w:rPr>
          <w:noProof/>
          <w:lang w:val="ro-RO"/>
        </w:rPr>
        <w:t xml:space="preserve">) până la </w:t>
      </w:r>
      <w:r w:rsidRPr="007240C7">
        <w:rPr>
          <w:noProof/>
          <w:lang w:val="ro-RO"/>
        </w:rPr>
        <w:t>3</w:t>
      </w:r>
      <w:r w:rsidRPr="00A53033">
        <w:rPr>
          <w:noProof/>
          <w:lang w:val="ro-RO"/>
        </w:rPr>
        <w:t> % din valoarea totală a expunerii la risc, pentru a crește reziliența sistemului bancar la riscul ciclic generalizat (</w:t>
      </w:r>
      <w:r w:rsidRPr="00A53033">
        <w:rPr>
          <w:i/>
          <w:noProof/>
          <w:lang w:val="ro-RO"/>
        </w:rPr>
        <w:t>amortizoare anticiclice de capital – CCyB</w:t>
      </w:r>
      <w:r w:rsidRPr="00A53033">
        <w:rPr>
          <w:noProof/>
          <w:lang w:val="ro-RO"/>
        </w:rPr>
        <w:t>) sau pentru a aborda alte riscuri structurale sau ciclice care nu sunt vizate de amortizoarele menționate anterior, inclusiv la nivelul expunerii sectoriale (</w:t>
      </w:r>
      <w:r w:rsidRPr="00A53033">
        <w:rPr>
          <w:i/>
          <w:noProof/>
          <w:lang w:val="ro-RO"/>
        </w:rPr>
        <w:t>amortizoare de risc sistemic – SyRB</w:t>
      </w:r>
      <w:r w:rsidRPr="00A53033">
        <w:rPr>
          <w:noProof/>
          <w:lang w:val="ro-RO"/>
        </w:rPr>
        <w:t>)</w:t>
      </w:r>
      <w:r w:rsidRPr="00A53033">
        <w:rPr>
          <w:rStyle w:val="FootnoteReference"/>
          <w:rFonts w:cs="Times New Roman"/>
          <w:noProof/>
          <w:lang w:val="ro-RO"/>
        </w:rPr>
        <w:footnoteReference w:id="18"/>
      </w:r>
      <w:r w:rsidRPr="00A53033">
        <w:rPr>
          <w:noProof/>
          <w:lang w:val="ro-RO"/>
        </w:rPr>
        <w:t>. În cadrul uniunii bancare, BCE are prerogativa de a majora (suplimenta) amortizoarele și de a înăspri anumite măsuri macroprudențiale stabilite de autoritățile naționale</w:t>
      </w:r>
      <w:r w:rsidRPr="00A53033">
        <w:rPr>
          <w:rStyle w:val="FootnoteReference"/>
          <w:rFonts w:cs="Times New Roman"/>
          <w:noProof/>
          <w:lang w:val="ro-RO"/>
        </w:rPr>
        <w:footnoteReference w:id="19"/>
      </w:r>
      <w:r w:rsidRPr="00A53033">
        <w:rPr>
          <w:noProof/>
          <w:lang w:val="ro-RO"/>
        </w:rPr>
        <w:t>.</w:t>
      </w:r>
    </w:p>
    <w:p w14:paraId="35BE745C" w14:textId="68AF16F1" w:rsidR="00241024" w:rsidRPr="00A53033" w:rsidRDefault="00241024" w:rsidP="004709F3">
      <w:pPr>
        <w:spacing w:after="120" w:line="240" w:lineRule="auto"/>
        <w:rPr>
          <w:rFonts w:cs="Times New Roman"/>
          <w:noProof/>
          <w:lang w:val="ro-RO"/>
        </w:rPr>
      </w:pPr>
      <w:r w:rsidRPr="00A53033">
        <w:rPr>
          <w:noProof/>
          <w:lang w:val="ro-RO"/>
        </w:rPr>
        <w:t xml:space="preserve">De asemenea, autoritățile naționale pot </w:t>
      </w:r>
      <w:r w:rsidRPr="00A53033">
        <w:rPr>
          <w:b/>
          <w:noProof/>
          <w:lang w:val="ro-RO"/>
        </w:rPr>
        <w:t xml:space="preserve">înăspri ponderile de risc </w:t>
      </w:r>
      <w:r w:rsidRPr="00A53033">
        <w:rPr>
          <w:noProof/>
          <w:lang w:val="ro-RO"/>
        </w:rPr>
        <w:t xml:space="preserve">aplicate anumitor expuneri, dacă acest lucru este justificat de riscul sistemic. În cadrul actual, mai multe dispoziții din CRR stabilesc norme privind creșterea ponderilor de risc și a nivelurilor minime ale pierderii în caz de nerambursare (LGD) pentru băncile care utilizează modele interne, pentru expunerile față de bunuri imobile locative și comerciale. De asemenea, autoritățile naționale pot stabili limite macroprudențiale pentru standardele de creditare (și anume măsuri orientate către debitori), care sunt prevăzute în legislația națională în majoritatea statelor membre ale UE, dar care în prezent nu sunt consacrate în cadrul macroprudențial al UE. </w:t>
      </w:r>
    </w:p>
    <w:p w14:paraId="0E533650" w14:textId="4FB0B3E6" w:rsidR="00241024" w:rsidRPr="00A53033" w:rsidRDefault="0011072D" w:rsidP="004709F3">
      <w:pPr>
        <w:spacing w:after="120" w:line="240" w:lineRule="auto"/>
        <w:rPr>
          <w:rStyle w:val="BodyTextChar"/>
          <w:rFonts w:eastAsiaTheme="minorEastAsia" w:cs="Times New Roman"/>
          <w:noProof/>
          <w:lang w:val="ro-RO"/>
        </w:rPr>
      </w:pPr>
      <w:r w:rsidRPr="00A53033">
        <w:rPr>
          <w:b/>
          <w:noProof/>
          <w:lang w:val="ro-RO"/>
        </w:rPr>
        <w:t>Deși nu există un cadru macroprudențial comun care să reglementeze intermediarii financiari nebancari,</w:t>
      </w:r>
      <w:r w:rsidRPr="00A53033">
        <w:rPr>
          <w:noProof/>
          <w:lang w:val="ro-RO"/>
        </w:rPr>
        <w:t xml:space="preserve"> </w:t>
      </w:r>
      <w:r w:rsidRPr="00A53033">
        <w:rPr>
          <w:b/>
          <w:noProof/>
          <w:lang w:val="ro-RO"/>
        </w:rPr>
        <w:t>legislațiile sectoriale ale UE includ deja unele instrumente macroprudențiale și o serie de dispoziții privind gestionarea riscurilor</w:t>
      </w:r>
      <w:r w:rsidRPr="00A53033">
        <w:rPr>
          <w:noProof/>
          <w:lang w:val="ro-RO"/>
        </w:rPr>
        <w:t>. Printre acestea se numără dispoziții privind riscurile de lichiditate, riscurile asociate efectului de levier și riscurile operaționale care limitează acumularea de riscuri sistemice</w:t>
      </w:r>
      <w:r w:rsidRPr="00A53033">
        <w:rPr>
          <w:rStyle w:val="BodyTextChar"/>
          <w:noProof/>
          <w:lang w:val="ro-RO"/>
        </w:rPr>
        <w:t xml:space="preserve">. </w:t>
      </w:r>
    </w:p>
    <w:p w14:paraId="4E9F111C" w14:textId="21BD8A34" w:rsidR="00241024" w:rsidRPr="00A53033" w:rsidRDefault="00241024" w:rsidP="004709F3">
      <w:pPr>
        <w:spacing w:after="120" w:line="240" w:lineRule="auto"/>
        <w:rPr>
          <w:rFonts w:cs="Times New Roman"/>
          <w:noProof/>
          <w:lang w:val="ro-RO"/>
        </w:rPr>
      </w:pPr>
      <w:r w:rsidRPr="00A53033">
        <w:rPr>
          <w:rStyle w:val="BodyTextChar"/>
          <w:noProof/>
          <w:lang w:val="ro-RO"/>
        </w:rPr>
        <w:t xml:space="preserve">În </w:t>
      </w:r>
      <w:r w:rsidRPr="00A53033">
        <w:rPr>
          <w:rStyle w:val="BodyTextChar"/>
          <w:b/>
          <w:noProof/>
          <w:lang w:val="ro-RO"/>
        </w:rPr>
        <w:t>sectorul fondurilor de investiții</w:t>
      </w:r>
      <w:r w:rsidRPr="00A53033">
        <w:rPr>
          <w:rStyle w:val="BodyTextChar"/>
          <w:noProof/>
          <w:lang w:val="ro-RO"/>
        </w:rPr>
        <w:t xml:space="preserve">, </w:t>
      </w:r>
      <w:r w:rsidRPr="00A53033">
        <w:rPr>
          <w:noProof/>
          <w:lang w:val="ro-RO"/>
        </w:rPr>
        <w:t>propunerile legislative ale Comisiei de modificare a Directivei privind administratorii fondurilor de investiții alternative (DAFIA)</w:t>
      </w:r>
      <w:r w:rsidRPr="00A53033">
        <w:rPr>
          <w:rStyle w:val="FootnoteReference"/>
          <w:rFonts w:cs="Times New Roman"/>
          <w:noProof/>
          <w:lang w:val="ro-RO"/>
        </w:rPr>
        <w:footnoteReference w:id="20"/>
      </w:r>
      <w:r w:rsidRPr="00A53033">
        <w:rPr>
          <w:noProof/>
          <w:lang w:val="ro-RO"/>
        </w:rPr>
        <w:t xml:space="preserve"> și a Directivei privind organismele de plasament colectiv (OPCVM)</w:t>
      </w:r>
      <w:r w:rsidRPr="00A53033">
        <w:rPr>
          <w:rStyle w:val="FootnoteReference"/>
          <w:rFonts w:cs="Times New Roman"/>
          <w:noProof/>
          <w:lang w:val="ro-RO"/>
        </w:rPr>
        <w:footnoteReference w:id="21"/>
      </w:r>
      <w:r w:rsidRPr="00A53033">
        <w:rPr>
          <w:noProof/>
          <w:lang w:val="ro-RO"/>
        </w:rPr>
        <w:t>, adoptate în noiembrie </w:t>
      </w:r>
      <w:r w:rsidRPr="007240C7">
        <w:rPr>
          <w:noProof/>
          <w:lang w:val="ro-RO"/>
        </w:rPr>
        <w:t>2021</w:t>
      </w:r>
      <w:r w:rsidRPr="00A53033">
        <w:rPr>
          <w:rStyle w:val="FootnoteReference"/>
          <w:rFonts w:cs="Times New Roman"/>
          <w:noProof/>
          <w:lang w:val="ro-RO"/>
        </w:rPr>
        <w:footnoteReference w:id="22"/>
      </w:r>
      <w:r w:rsidRPr="00A53033">
        <w:rPr>
          <w:noProof/>
          <w:lang w:val="ro-RO"/>
        </w:rPr>
        <w:t>, au reflectat recomandarea CERS privind riscurile de lichiditate și de efect de levier în fondurile de investiții</w:t>
      </w:r>
      <w:r w:rsidRPr="00A53033">
        <w:rPr>
          <w:rStyle w:val="FootnoteReference"/>
          <w:rFonts w:cs="Times New Roman"/>
          <w:noProof/>
          <w:lang w:val="ro-RO"/>
        </w:rPr>
        <w:footnoteReference w:id="23"/>
      </w:r>
      <w:r w:rsidRPr="00A53033">
        <w:rPr>
          <w:noProof/>
          <w:lang w:val="ro-RO"/>
        </w:rPr>
        <w:t xml:space="preserve">. La </w:t>
      </w:r>
      <w:r w:rsidRPr="007240C7">
        <w:rPr>
          <w:noProof/>
          <w:lang w:val="ro-RO"/>
        </w:rPr>
        <w:t>19</w:t>
      </w:r>
      <w:r w:rsidRPr="00A53033">
        <w:rPr>
          <w:noProof/>
          <w:lang w:val="ro-RO"/>
        </w:rPr>
        <w:t> iulie </w:t>
      </w:r>
      <w:r w:rsidRPr="007240C7">
        <w:rPr>
          <w:noProof/>
          <w:lang w:val="ro-RO"/>
        </w:rPr>
        <w:t>2023</w:t>
      </w:r>
      <w:r w:rsidRPr="00A53033">
        <w:rPr>
          <w:noProof/>
          <w:lang w:val="ro-RO"/>
        </w:rPr>
        <w:t>, Parlamentul și Consiliul au ajuns la un acord cu privire la documentul de analiză. Aceștia au convenit asupra introducerii unei liste armonizate de instrumente de gestionare a lichidității, care sunt instrumente microprudențiale ce vor deveni disponibile pentru administratorii fondurilor de investiții alternative și pentru OPCVM din întreaga UE. De asemenea, documentul de analiză stabilește o limită structurală a efectului de levier pentru fondurile inițiatoare de împrumuturi. Regulamentul privind fondurile de piață monetară (RFPM)</w:t>
      </w:r>
      <w:r w:rsidRPr="00A53033">
        <w:rPr>
          <w:rFonts w:cs="Times New Roman"/>
          <w:noProof/>
          <w:vertAlign w:val="superscript"/>
          <w:lang w:val="ro-RO"/>
        </w:rPr>
        <w:footnoteReference w:id="24"/>
      </w:r>
      <w:r w:rsidRPr="00A53033">
        <w:rPr>
          <w:noProof/>
          <w:lang w:val="ro-RO"/>
        </w:rPr>
        <w:t xml:space="preserve"> include o serie de instrumente macroprudențiale, cum ar fi limitele structurale privind efectul de levier și tranzacționarea instrumentelor financiare derivate, rezervele de lichiditate și simulările de criză în cadrul unor scenarii ipotetice. O consultare specifică recentă</w:t>
      </w:r>
      <w:r w:rsidRPr="00A53033">
        <w:rPr>
          <w:rStyle w:val="FootnoteReference"/>
          <w:rFonts w:cs="Times New Roman"/>
          <w:noProof/>
          <w:lang w:val="ro-RO"/>
        </w:rPr>
        <w:footnoteReference w:id="25"/>
      </w:r>
      <w:r w:rsidRPr="00A53033">
        <w:rPr>
          <w:noProof/>
          <w:lang w:val="ro-RO"/>
        </w:rPr>
        <w:t xml:space="preserve"> și raportul însoțitor</w:t>
      </w:r>
      <w:r w:rsidRPr="00A53033">
        <w:rPr>
          <w:rStyle w:val="FootnoteReference"/>
          <w:rFonts w:cs="Times New Roman"/>
          <w:noProof/>
          <w:lang w:val="ro-RO"/>
        </w:rPr>
        <w:footnoteReference w:id="26"/>
      </w:r>
      <w:r w:rsidRPr="00A53033">
        <w:rPr>
          <w:noProof/>
          <w:lang w:val="ro-RO"/>
        </w:rPr>
        <w:t xml:space="preserve"> au concluzionat că RFPM a sporit reziliența sectorului, observând în același timp mai multe vulnerabilități care ar merita o evaluare suplimentară. </w:t>
      </w:r>
    </w:p>
    <w:p w14:paraId="04CD8B05" w14:textId="6FCAE9FD" w:rsidR="00241024" w:rsidRPr="00A53033" w:rsidRDefault="0011072D" w:rsidP="004709F3">
      <w:pPr>
        <w:spacing w:after="120" w:line="240" w:lineRule="auto"/>
        <w:rPr>
          <w:rFonts w:cs="Times New Roman"/>
          <w:noProof/>
          <w:lang w:val="ro-RO"/>
        </w:rPr>
      </w:pPr>
      <w:r w:rsidRPr="00A53033">
        <w:rPr>
          <w:noProof/>
          <w:lang w:val="ro-RO"/>
        </w:rPr>
        <w:t xml:space="preserve">Pentru </w:t>
      </w:r>
      <w:r w:rsidRPr="00A53033">
        <w:rPr>
          <w:b/>
          <w:noProof/>
          <w:lang w:val="ro-RO"/>
        </w:rPr>
        <w:t>asigurători</w:t>
      </w:r>
      <w:r w:rsidRPr="00A53033">
        <w:rPr>
          <w:noProof/>
          <w:lang w:val="ro-RO"/>
        </w:rPr>
        <w:t xml:space="preserve">, Comisia a adoptat, în septembrie </w:t>
      </w:r>
      <w:r w:rsidRPr="007240C7">
        <w:rPr>
          <w:noProof/>
          <w:lang w:val="ro-RO"/>
        </w:rPr>
        <w:t>2021</w:t>
      </w:r>
      <w:r w:rsidRPr="00A53033">
        <w:rPr>
          <w:noProof/>
          <w:lang w:val="ro-RO"/>
        </w:rPr>
        <w:t>, o propunere legislativă de modificare a Directivei Solvabilitate II. Modificările au constat în adaptarea cadrului prudențial bine stabilit al UE, sensibil la riscuri, aplicabil asigurătorilor și reasigurătorilor, la noile evoluții și o mai mare consolidare a rolului acestora în finanțarea redresării economice și a dublei tranziții digitale și verzi</w:t>
      </w:r>
      <w:r w:rsidRPr="00A53033">
        <w:rPr>
          <w:rFonts w:cs="Times New Roman"/>
          <w:noProof/>
          <w:vertAlign w:val="superscript"/>
          <w:lang w:val="ro-RO"/>
        </w:rPr>
        <w:footnoteReference w:id="27"/>
      </w:r>
      <w:r w:rsidRPr="00A53033">
        <w:rPr>
          <w:noProof/>
          <w:lang w:val="ro-RO"/>
        </w:rPr>
        <w:t>. Propunerea a inclus majoritatea recomandărilor formulate de EIOPA (</w:t>
      </w:r>
      <w:r w:rsidRPr="007240C7">
        <w:rPr>
          <w:noProof/>
          <w:lang w:val="ro-RO"/>
        </w:rPr>
        <w:t>2020</w:t>
      </w:r>
      <w:r w:rsidRPr="00A53033">
        <w:rPr>
          <w:noProof/>
          <w:lang w:val="ro-RO"/>
        </w:rPr>
        <w:t>)</w:t>
      </w:r>
      <w:r w:rsidRPr="00A53033">
        <w:rPr>
          <w:rFonts w:cs="Times New Roman"/>
          <w:noProof/>
          <w:vertAlign w:val="superscript"/>
          <w:lang w:val="ro-RO"/>
        </w:rPr>
        <w:footnoteReference w:id="28"/>
      </w:r>
      <w:r w:rsidRPr="00A53033">
        <w:rPr>
          <w:noProof/>
          <w:lang w:val="ro-RO"/>
        </w:rPr>
        <w:t xml:space="preserve"> și CERS</w:t>
      </w:r>
      <w:r w:rsidRPr="00A53033">
        <w:rPr>
          <w:rFonts w:cs="Times New Roman"/>
          <w:noProof/>
          <w:vertAlign w:val="superscript"/>
          <w:lang w:val="ro-RO"/>
        </w:rPr>
        <w:footnoteReference w:id="29"/>
      </w:r>
      <w:r w:rsidRPr="00A53033">
        <w:rPr>
          <w:noProof/>
          <w:vertAlign w:val="superscript"/>
          <w:lang w:val="ro-RO"/>
        </w:rPr>
        <w:t xml:space="preserve"> </w:t>
      </w:r>
      <w:r w:rsidRPr="00A53033">
        <w:rPr>
          <w:noProof/>
          <w:lang w:val="ro-RO"/>
        </w:rPr>
        <w:t>referitoare la extinderea setului de instrumente de supraveghere și la introducerea de noi cerințe pentru a aborda sursele de risc sistemic. În special, Comisia a propus să se acorde autorităților naționale competența de a impune măsuri suplimentare de consolidare a poziției financiare a asigurătorului în perioade de criză, de a impune o înghețare temporară a drepturilor de reconversie pentru contractele de asigurare de viață în circumstanțe excepționale și măsuri suplimentare de atenuare a riscului de lichiditate. Totodată, Comisia a propus extinderea evaluării proprii a riscurilor și a solvabilității și a principiului prudenței pentru a acoperi preocupările macroprudențiale și pentru a elabora planuri preventive (planuri de redresare și de rezoluție, precum și planuri de gestionare a riscurilor sistemice și a riscului de lichiditate). Parlamentul și Consiliul au ajuns recent la un acord cu privire la aceste propuneri, care sunt finalizate în vederea adoptării în lunile următoare.</w:t>
      </w:r>
    </w:p>
    <w:p w14:paraId="5B6F14F5" w14:textId="1D093F2C" w:rsidR="00E05CDD" w:rsidRPr="00A53033" w:rsidRDefault="00396433" w:rsidP="004709F3">
      <w:pPr>
        <w:spacing w:after="120" w:line="240" w:lineRule="auto"/>
        <w:rPr>
          <w:rFonts w:cs="Times New Roman"/>
          <w:noProof/>
          <w:lang w:val="ro-RO"/>
        </w:rPr>
      </w:pPr>
      <w:r w:rsidRPr="00A53033">
        <w:rPr>
          <w:noProof/>
          <w:lang w:val="ro-RO"/>
        </w:rPr>
        <w:t xml:space="preserve">În ceea ce privește </w:t>
      </w:r>
      <w:r w:rsidRPr="00A53033">
        <w:rPr>
          <w:b/>
          <w:noProof/>
          <w:lang w:val="ro-RO"/>
        </w:rPr>
        <w:t>practicile de stabilire a marjelor și gestionarea riscurilor contrapărților centrale (CPC)</w:t>
      </w:r>
      <w:r w:rsidRPr="00A53033">
        <w:rPr>
          <w:noProof/>
          <w:lang w:val="ro-RO"/>
        </w:rPr>
        <w:t xml:space="preserve">, Comisia a adoptat, în decembrie </w:t>
      </w:r>
      <w:r w:rsidRPr="007240C7">
        <w:rPr>
          <w:noProof/>
          <w:lang w:val="ro-RO"/>
        </w:rPr>
        <w:t>2022</w:t>
      </w:r>
      <w:r w:rsidRPr="00A53033">
        <w:rPr>
          <w:noProof/>
          <w:lang w:val="ro-RO"/>
        </w:rPr>
        <w:t xml:space="preserve">, un pachet de compensare, care modifică Regulamentul privind infrastructura piețelor europene (EMIR) și alte acte legislative privind serviciile financiare („revizuirea EMIR </w:t>
      </w:r>
      <w:r w:rsidRPr="007240C7">
        <w:rPr>
          <w:noProof/>
          <w:lang w:val="ro-RO"/>
        </w:rPr>
        <w:t>3</w:t>
      </w:r>
      <w:r w:rsidRPr="00A53033">
        <w:rPr>
          <w:noProof/>
          <w:lang w:val="ro-RO"/>
        </w:rPr>
        <w:t>”)</w:t>
      </w:r>
      <w:r w:rsidRPr="00A53033">
        <w:rPr>
          <w:rStyle w:val="FootnoteReference"/>
          <w:rFonts w:cs="Times New Roman"/>
          <w:noProof/>
          <w:lang w:val="ro-RO"/>
        </w:rPr>
        <w:footnoteReference w:id="30"/>
      </w:r>
      <w:r w:rsidRPr="00A53033">
        <w:rPr>
          <w:noProof/>
          <w:lang w:val="ro-RO"/>
        </w:rPr>
        <w:t xml:space="preserve">. Revizuirea include dispoziții care vizează: </w:t>
      </w:r>
    </w:p>
    <w:p w14:paraId="6397C14A" w14:textId="6E7E3CBF" w:rsidR="00F53EF9" w:rsidRPr="00A53033" w:rsidRDefault="00E05CDD" w:rsidP="00E05CDD">
      <w:pPr>
        <w:pStyle w:val="ListParagraph"/>
        <w:numPr>
          <w:ilvl w:val="0"/>
          <w:numId w:val="27"/>
        </w:numPr>
        <w:spacing w:after="120"/>
        <w:rPr>
          <w:rFonts w:cs="Times New Roman"/>
          <w:noProof/>
          <w:lang w:val="ro-RO"/>
        </w:rPr>
      </w:pPr>
      <w:r w:rsidRPr="00A53033">
        <w:rPr>
          <w:noProof/>
          <w:lang w:val="ro-RO"/>
        </w:rPr>
        <w:t xml:space="preserve">să asigure o mai mare transparență a apelurilor în marjă pentru actorii de pe piață care compensează în calitate clienți (inclusiv fonduri și societăți de asigurări); </w:t>
      </w:r>
    </w:p>
    <w:p w14:paraId="154E0FAF" w14:textId="7BED4AC4" w:rsidR="00351BB3" w:rsidRPr="00A53033" w:rsidRDefault="00241024" w:rsidP="00E05CDD">
      <w:pPr>
        <w:pStyle w:val="ListParagraph"/>
        <w:numPr>
          <w:ilvl w:val="0"/>
          <w:numId w:val="27"/>
        </w:numPr>
        <w:spacing w:after="120"/>
        <w:rPr>
          <w:rFonts w:cs="Times New Roman"/>
          <w:noProof/>
          <w:lang w:val="ro-RO"/>
        </w:rPr>
      </w:pPr>
      <w:r w:rsidRPr="00A53033">
        <w:rPr>
          <w:noProof/>
          <w:lang w:val="ro-RO"/>
        </w:rPr>
        <w:t xml:space="preserve">să pună un accent mai mare pe evitarea prociclicității marjelor de ajustare a valorii; și </w:t>
      </w:r>
    </w:p>
    <w:p w14:paraId="2BBBBF17" w14:textId="77DF3544" w:rsidR="001A1528" w:rsidRPr="00A53033" w:rsidRDefault="00241024" w:rsidP="00E05CDD">
      <w:pPr>
        <w:pStyle w:val="ListParagraph"/>
        <w:numPr>
          <w:ilvl w:val="0"/>
          <w:numId w:val="27"/>
        </w:numPr>
        <w:spacing w:after="120"/>
        <w:rPr>
          <w:rFonts w:cs="Times New Roman"/>
          <w:noProof/>
          <w:lang w:val="ro-RO"/>
        </w:rPr>
      </w:pPr>
      <w:r w:rsidRPr="00A53033">
        <w:rPr>
          <w:noProof/>
          <w:lang w:val="ro-RO"/>
        </w:rPr>
        <w:t>să solicite contrapărților centrale să depună toate eforturile pentru a nu reține marjele de variație pe parcursul zilei (</w:t>
      </w:r>
      <w:r w:rsidRPr="00A53033">
        <w:rPr>
          <w:i/>
          <w:noProof/>
          <w:lang w:val="ro-RO"/>
        </w:rPr>
        <w:t>intraday</w:t>
      </w:r>
      <w:r w:rsidRPr="00A53033">
        <w:rPr>
          <w:noProof/>
          <w:lang w:val="ro-RO"/>
        </w:rPr>
        <w:t xml:space="preserve">) și, în schimb, să le transfere și să evite „tezaurizarea lichidității”. </w:t>
      </w:r>
    </w:p>
    <w:p w14:paraId="21C85774" w14:textId="19C6C089" w:rsidR="00241024" w:rsidRPr="00A53033" w:rsidRDefault="00241024" w:rsidP="00A96C09">
      <w:pPr>
        <w:spacing w:after="120"/>
        <w:rPr>
          <w:noProof/>
          <w:lang w:val="ro-RO"/>
        </w:rPr>
      </w:pPr>
      <w:r w:rsidRPr="00A53033">
        <w:rPr>
          <w:noProof/>
          <w:lang w:val="ro-RO"/>
        </w:rPr>
        <w:t xml:space="preserve">În plus, propunerea creează un mecanism de monitorizare transsectorial („mecanismul comun de monitorizare”), având ca scop urmărirea mai îndeaproape a evoluțiilor din ecosistemul de compensare și elaborarea unor simulări de criză în ceea ce privește lichiditatea pentru întregul lanț de compensare. </w:t>
      </w:r>
    </w:p>
    <w:p w14:paraId="36DF39FC" w14:textId="347BA79C" w:rsidR="00241024" w:rsidRPr="00A53033" w:rsidRDefault="00241024" w:rsidP="004709F3">
      <w:pPr>
        <w:spacing w:after="120" w:line="240" w:lineRule="auto"/>
        <w:rPr>
          <w:rFonts w:cs="Times New Roman"/>
          <w:noProof/>
          <w:lang w:val="ro-RO"/>
        </w:rPr>
      </w:pPr>
      <w:r w:rsidRPr="00A53033">
        <w:rPr>
          <w:noProof/>
          <w:lang w:val="ro-RO"/>
        </w:rPr>
        <w:t xml:space="preserve">Multe dintre principiile internaționale privind </w:t>
      </w:r>
      <w:r w:rsidRPr="00A53033">
        <w:rPr>
          <w:b/>
          <w:noProof/>
          <w:lang w:val="ro-RO"/>
        </w:rPr>
        <w:t>intermediarii financiari nebancari care desfășoară activități similare băncilor</w:t>
      </w:r>
      <w:r w:rsidRPr="00A53033">
        <w:rPr>
          <w:noProof/>
          <w:lang w:val="ro-RO"/>
        </w:rPr>
        <w:t>, inclusiv măsurile de îmbunătățire a transparenței operațiunilor de finanțare prin instrumente financiare și dintre cele privind reutilizarea garanțiilor reale, au fost puse în aplicare prin Regulamentului privind transparența operațiunilor de finanțare prin instrumente financiare</w:t>
      </w:r>
      <w:r w:rsidRPr="00A53033">
        <w:rPr>
          <w:rStyle w:val="FootnoteReference"/>
          <w:rFonts w:cs="Times New Roman"/>
          <w:noProof/>
          <w:lang w:val="ro-RO"/>
        </w:rPr>
        <w:footnoteReference w:id="31"/>
      </w:r>
      <w:r w:rsidRPr="00A53033">
        <w:rPr>
          <w:noProof/>
          <w:lang w:val="ro-RO"/>
        </w:rPr>
        <w:t xml:space="preserve"> (SFTR), adoptat în </w:t>
      </w:r>
      <w:r w:rsidRPr="007240C7">
        <w:rPr>
          <w:noProof/>
          <w:lang w:val="ro-RO"/>
        </w:rPr>
        <w:t>2015</w:t>
      </w:r>
      <w:r w:rsidRPr="00A53033">
        <w:rPr>
          <w:noProof/>
          <w:lang w:val="ro-RO"/>
        </w:rPr>
        <w:t xml:space="preserve">. Acest regulament se aplică și în cazul intermediarilor financiari nebancari și a contribuit la creșterea transparenței activităților repo desfășurate atât de către bănci, cât și de către intermediarii financiari nebancari. </w:t>
      </w:r>
    </w:p>
    <w:p w14:paraId="7E51D06B" w14:textId="1B6321DF" w:rsidR="00241024" w:rsidRPr="00A53033" w:rsidRDefault="00241024" w:rsidP="004709F3">
      <w:pPr>
        <w:spacing w:after="120" w:line="240" w:lineRule="auto"/>
        <w:rPr>
          <w:rFonts w:cs="Times New Roman"/>
          <w:noProof/>
          <w:lang w:val="ro-RO"/>
        </w:rPr>
      </w:pPr>
      <w:r w:rsidRPr="00A53033">
        <w:rPr>
          <w:noProof/>
          <w:lang w:val="ro-RO"/>
        </w:rPr>
        <w:t xml:space="preserve">Pentru a clarifica </w:t>
      </w:r>
      <w:r w:rsidRPr="00A53033">
        <w:rPr>
          <w:b/>
          <w:noProof/>
          <w:lang w:val="ro-RO"/>
        </w:rPr>
        <w:t>interconexiunile dintre intermediarii financiari nebancari și sectorul</w:t>
      </w:r>
      <w:r w:rsidRPr="00A53033">
        <w:rPr>
          <w:noProof/>
          <w:lang w:val="ro-RO"/>
        </w:rPr>
        <w:t xml:space="preserve"> </w:t>
      </w:r>
      <w:r w:rsidRPr="00A53033">
        <w:rPr>
          <w:b/>
          <w:noProof/>
          <w:lang w:val="ro-RO"/>
        </w:rPr>
        <w:t>bancar</w:t>
      </w:r>
      <w:r w:rsidRPr="00A53033">
        <w:rPr>
          <w:noProof/>
          <w:lang w:val="ro-RO"/>
        </w:rPr>
        <w:t>,</w:t>
      </w:r>
      <w:r w:rsidRPr="00A53033">
        <w:rPr>
          <w:noProof/>
          <w:sz w:val="24"/>
          <w:lang w:val="ro-RO"/>
        </w:rPr>
        <w:t xml:space="preserve"> </w:t>
      </w:r>
      <w:r w:rsidRPr="00A53033">
        <w:rPr>
          <w:noProof/>
          <w:lang w:val="ro-RO"/>
        </w:rPr>
        <w:t>CRR include cerințe de raportare care vizează îmbunătățirea transparenței expunerilor băncilor față de intermediarii financiari nebancari, punând un accent special pe activitățile similare băncilor desfășurate de intermediarii financiari nebancari</w:t>
      </w:r>
      <w:r w:rsidRPr="00A53033">
        <w:rPr>
          <w:rStyle w:val="FootnoteReference"/>
          <w:rFonts w:cs="Times New Roman"/>
          <w:noProof/>
          <w:lang w:val="ro-RO"/>
        </w:rPr>
        <w:footnoteReference w:id="32"/>
      </w:r>
      <w:r w:rsidRPr="00A53033">
        <w:rPr>
          <w:noProof/>
          <w:lang w:val="ro-RO"/>
        </w:rPr>
        <w:t>. Băncile au obligația de a raporta autorităților de supraveghere cele mai mari zece expuneri ale lor față de entități care „desfășoară activități și servicii bancare în afara cadrului reglementat”</w:t>
      </w:r>
      <w:r w:rsidRPr="00A53033">
        <w:rPr>
          <w:rStyle w:val="FootnoteReference"/>
          <w:noProof/>
          <w:lang w:val="ro-RO"/>
        </w:rPr>
        <w:footnoteReference w:id="33"/>
      </w:r>
      <w:r w:rsidRPr="00A53033">
        <w:rPr>
          <w:noProof/>
          <w:lang w:val="ro-RO"/>
        </w:rPr>
        <w:t xml:space="preserve">. </w:t>
      </w:r>
    </w:p>
    <w:p w14:paraId="1AAE59E8" w14:textId="77777777" w:rsidR="00241024" w:rsidRPr="00A53033" w:rsidRDefault="00241024" w:rsidP="004709F3">
      <w:pPr>
        <w:spacing w:after="120" w:line="240" w:lineRule="auto"/>
        <w:rPr>
          <w:rFonts w:cs="Times New Roman"/>
          <w:noProof/>
          <w:lang w:val="ro-RO"/>
        </w:rPr>
      </w:pPr>
    </w:p>
    <w:p w14:paraId="7EA88A92" w14:textId="35E5232C" w:rsidR="00241024" w:rsidRPr="00A53033" w:rsidRDefault="00241024" w:rsidP="00381A42">
      <w:pPr>
        <w:spacing w:after="120"/>
        <w:jc w:val="left"/>
        <w:rPr>
          <w:rFonts w:cs="Times New Roman"/>
          <w:noProof/>
          <w:lang w:val="ro-RO"/>
        </w:rPr>
      </w:pPr>
      <w:r w:rsidRPr="00A53033">
        <w:rPr>
          <w:noProof/>
          <w:lang w:val="ro-RO"/>
        </w:rPr>
        <w:br w:type="page"/>
      </w:r>
    </w:p>
    <w:p w14:paraId="342306E1" w14:textId="2A33C16C" w:rsidR="0032313D" w:rsidRPr="00A53033" w:rsidRDefault="00077D10" w:rsidP="0028791E">
      <w:pPr>
        <w:spacing w:after="120" w:line="240" w:lineRule="auto"/>
        <w:jc w:val="center"/>
        <w:rPr>
          <w:rFonts w:cs="Times New Roman"/>
          <w:b/>
          <w:noProof/>
          <w:sz w:val="28"/>
          <w:lang w:val="ro-RO"/>
        </w:rPr>
      </w:pPr>
      <w:r w:rsidRPr="00A53033">
        <w:rPr>
          <w:b/>
          <w:noProof/>
          <w:sz w:val="28"/>
          <w:lang w:val="ro-RO"/>
        </w:rPr>
        <w:t>Apendicele </w:t>
      </w:r>
      <w:r w:rsidRPr="007240C7">
        <w:rPr>
          <w:b/>
          <w:noProof/>
          <w:sz w:val="28"/>
          <w:lang w:val="ro-RO"/>
        </w:rPr>
        <w:t>2</w:t>
      </w:r>
    </w:p>
    <w:p w14:paraId="46005A10" w14:textId="017B0211" w:rsidR="005F346F" w:rsidRPr="00A53033" w:rsidRDefault="00241024">
      <w:pPr>
        <w:pStyle w:val="Heading1"/>
        <w:numPr>
          <w:ilvl w:val="0"/>
          <w:numId w:val="0"/>
        </w:numPr>
        <w:spacing w:before="0" w:after="120"/>
        <w:rPr>
          <w:rFonts w:ascii="Times New Roman" w:hAnsi="Times New Roman" w:cs="Times New Roman"/>
          <w:noProof/>
          <w:sz w:val="22"/>
          <w:lang w:val="ro-RO"/>
        </w:rPr>
      </w:pPr>
      <w:r w:rsidRPr="00A53033">
        <w:rPr>
          <w:rFonts w:ascii="Times New Roman" w:hAnsi="Times New Roman"/>
          <w:noProof/>
          <w:sz w:val="22"/>
          <w:lang w:val="ro-RO"/>
        </w:rPr>
        <w:t>Evaluarea cadrului macroprudențial pentru bănci și intermediari financiari nebancari</w:t>
      </w:r>
    </w:p>
    <w:p w14:paraId="70D43D3A" w14:textId="4F6174B2" w:rsidR="005F346F" w:rsidRPr="00A53033" w:rsidRDefault="00A27292" w:rsidP="004709F3">
      <w:pPr>
        <w:spacing w:after="120" w:line="240" w:lineRule="auto"/>
        <w:rPr>
          <w:rFonts w:cs="Times New Roman"/>
          <w:noProof/>
          <w:color w:val="000000" w:themeColor="text1"/>
          <w:lang w:val="ro-RO"/>
        </w:rPr>
      </w:pPr>
      <w:r w:rsidRPr="00A53033">
        <w:rPr>
          <w:noProof/>
          <w:shd w:val="clear" w:color="auto" w:fill="FFFFFF"/>
          <w:lang w:val="ro-RO"/>
        </w:rPr>
        <w:t>Articolul </w:t>
      </w:r>
      <w:r w:rsidRPr="007240C7">
        <w:rPr>
          <w:noProof/>
          <w:shd w:val="clear" w:color="auto" w:fill="FFFFFF"/>
          <w:lang w:val="ro-RO"/>
        </w:rPr>
        <w:t>513</w:t>
      </w:r>
      <w:r w:rsidRPr="00A53033">
        <w:rPr>
          <w:noProof/>
          <w:shd w:val="clear" w:color="auto" w:fill="FFFFFF"/>
          <w:lang w:val="ro-RO"/>
        </w:rPr>
        <w:t xml:space="preserve"> din Regulamentul (UE) nr. </w:t>
      </w:r>
      <w:r w:rsidRPr="007240C7">
        <w:rPr>
          <w:noProof/>
          <w:shd w:val="clear" w:color="auto" w:fill="FFFFFF"/>
          <w:lang w:val="ro-RO"/>
        </w:rPr>
        <w:t>575</w:t>
      </w:r>
      <w:r w:rsidRPr="00A53033">
        <w:rPr>
          <w:noProof/>
          <w:shd w:val="clear" w:color="auto" w:fill="FFFFFF"/>
          <w:lang w:val="ro-RO"/>
        </w:rPr>
        <w:t>/</w:t>
      </w:r>
      <w:r w:rsidRPr="007240C7">
        <w:rPr>
          <w:noProof/>
          <w:shd w:val="clear" w:color="auto" w:fill="FFFFFF"/>
          <w:lang w:val="ro-RO"/>
        </w:rPr>
        <w:t>2013</w:t>
      </w:r>
      <w:r w:rsidRPr="00A53033">
        <w:rPr>
          <w:noProof/>
          <w:shd w:val="clear" w:color="auto" w:fill="FFFFFF"/>
          <w:lang w:val="ro-RO"/>
        </w:rPr>
        <w:t>, astfel cum a fost modificat prin Regulamentul</w:t>
      </w:r>
      <w:r w:rsidR="00906DE8">
        <w:rPr>
          <w:noProof/>
          <w:shd w:val="clear" w:color="auto" w:fill="FFFFFF"/>
          <w:lang w:val="ro-RO"/>
        </w:rPr>
        <w:t> </w:t>
      </w:r>
      <w:r w:rsidRPr="00A53033">
        <w:rPr>
          <w:noProof/>
          <w:shd w:val="clear" w:color="auto" w:fill="FFFFFF"/>
          <w:lang w:val="ro-RO"/>
        </w:rPr>
        <w:t>(UE)</w:t>
      </w:r>
      <w:r w:rsidR="00906DE8">
        <w:rPr>
          <w:noProof/>
          <w:shd w:val="clear" w:color="auto" w:fill="FFFFFF"/>
          <w:lang w:val="ro-RO"/>
        </w:rPr>
        <w:t> </w:t>
      </w:r>
      <w:r w:rsidRPr="007240C7">
        <w:rPr>
          <w:noProof/>
          <w:shd w:val="clear" w:color="auto" w:fill="FFFFFF"/>
          <w:lang w:val="ro-RO"/>
        </w:rPr>
        <w:t>2019</w:t>
      </w:r>
      <w:r w:rsidRPr="00A53033">
        <w:rPr>
          <w:noProof/>
          <w:shd w:val="clear" w:color="auto" w:fill="FFFFFF"/>
          <w:lang w:val="ro-RO"/>
        </w:rPr>
        <w:t>/</w:t>
      </w:r>
      <w:r w:rsidRPr="007240C7">
        <w:rPr>
          <w:noProof/>
          <w:shd w:val="clear" w:color="auto" w:fill="FFFFFF"/>
          <w:lang w:val="ro-RO"/>
        </w:rPr>
        <w:t>876</w:t>
      </w:r>
      <w:r w:rsidRPr="00A53033">
        <w:rPr>
          <w:noProof/>
          <w:shd w:val="clear" w:color="auto" w:fill="FFFFFF"/>
          <w:lang w:val="ro-RO"/>
        </w:rPr>
        <w:t xml:space="preserve">, impune Comisiei, în consultare cu ABE și CERS, să evalueze, până în iunie </w:t>
      </w:r>
      <w:r w:rsidRPr="007240C7">
        <w:rPr>
          <w:noProof/>
          <w:shd w:val="clear" w:color="auto" w:fill="FFFFFF"/>
          <w:lang w:val="ro-RO"/>
        </w:rPr>
        <w:t>2022</w:t>
      </w:r>
      <w:r w:rsidRPr="00A53033">
        <w:rPr>
          <w:noProof/>
          <w:shd w:val="clear" w:color="auto" w:fill="FFFFFF"/>
          <w:lang w:val="ro-RO"/>
        </w:rPr>
        <w:t>, cadrul macroprudențial al UE prevăzut de CRR și CRD și, dacă este cazul, să prezinte o propunere legislativă Parlamentului European și Consiliului până în decembrie </w:t>
      </w:r>
      <w:r w:rsidRPr="007240C7">
        <w:rPr>
          <w:noProof/>
          <w:shd w:val="clear" w:color="auto" w:fill="FFFFFF"/>
          <w:lang w:val="ro-RO"/>
        </w:rPr>
        <w:t>2022</w:t>
      </w:r>
      <w:r w:rsidRPr="00A53033">
        <w:rPr>
          <w:noProof/>
          <w:shd w:val="clear" w:color="auto" w:fill="FFFFFF"/>
          <w:lang w:val="ro-RO"/>
        </w:rPr>
        <w:t>.</w:t>
      </w:r>
      <w:r w:rsidR="007D70C9">
        <w:rPr>
          <w:noProof/>
          <w:shd w:val="clear" w:color="auto" w:fill="FFFFFF"/>
          <w:lang w:val="ro-RO"/>
        </w:rPr>
        <w:t xml:space="preserve"> </w:t>
      </w:r>
      <w:r w:rsidRPr="00A53033">
        <w:rPr>
          <w:noProof/>
          <w:color w:val="000000" w:themeColor="text1"/>
          <w:shd w:val="clear" w:color="auto" w:fill="FFFFFF"/>
          <w:lang w:val="ro-RO"/>
        </w:rPr>
        <w:t>Legislația UE impune Comisiei să evalueze eficacitatea, eficiența și transparența cadrului macroprudențial, enumerând o serie de aspecte specifice care trebuie luate în considerare</w:t>
      </w:r>
      <w:r w:rsidRPr="00A53033">
        <w:rPr>
          <w:noProof/>
          <w:color w:val="000000" w:themeColor="text1"/>
          <w:lang w:val="ro-RO"/>
        </w:rPr>
        <w:t>. Articolul </w:t>
      </w:r>
      <w:r w:rsidRPr="007240C7">
        <w:rPr>
          <w:noProof/>
          <w:color w:val="000000" w:themeColor="text1"/>
          <w:lang w:val="ro-RO"/>
        </w:rPr>
        <w:t>513</w:t>
      </w:r>
      <w:r w:rsidRPr="00A53033">
        <w:rPr>
          <w:noProof/>
          <w:color w:val="000000" w:themeColor="text1"/>
          <w:lang w:val="ro-RO"/>
        </w:rPr>
        <w:t xml:space="preserve"> alineatul (</w:t>
      </w:r>
      <w:r w:rsidRPr="007240C7">
        <w:rPr>
          <w:noProof/>
          <w:color w:val="000000" w:themeColor="text1"/>
          <w:lang w:val="ro-RO"/>
        </w:rPr>
        <w:t>1</w:t>
      </w:r>
      <w:r w:rsidRPr="00A53033">
        <w:rPr>
          <w:noProof/>
          <w:color w:val="000000" w:themeColor="text1"/>
          <w:lang w:val="ro-RO"/>
        </w:rPr>
        <w:t>) litera (g) din CRR mandatează, de asemenea, Comisia să ia în considerare instrumente de abordare a noilor riscuri sistemice emergente generate de expunerile la intermediarii financiari nebancari</w:t>
      </w:r>
      <w:r w:rsidRPr="00A53033">
        <w:rPr>
          <w:noProof/>
          <w:color w:val="000000" w:themeColor="text1"/>
          <w:vertAlign w:val="superscript"/>
          <w:lang w:val="ro-RO"/>
        </w:rPr>
        <w:footnoteReference w:id="34"/>
      </w:r>
      <w:r w:rsidRPr="00A53033">
        <w:rPr>
          <w:noProof/>
          <w:color w:val="000000" w:themeColor="text1"/>
          <w:lang w:val="ro-RO"/>
        </w:rPr>
        <w:t>,</w:t>
      </w:r>
      <w:r w:rsidRPr="00A53033">
        <w:rPr>
          <w:noProof/>
          <w:lang w:val="ro-RO"/>
        </w:rPr>
        <w:t xml:space="preserve"> în special </w:t>
      </w:r>
      <w:r w:rsidRPr="00A53033">
        <w:rPr>
          <w:noProof/>
          <w:color w:val="000000" w:themeColor="text1"/>
          <w:lang w:val="ro-RO"/>
        </w:rPr>
        <w:t xml:space="preserve">de piețele de tranzacții cu instrumente financiare derivate și de operațiuni de finanțare prin titluri de valoare, de sectorul gestionării activelor și de sectorul asigurărilor. </w:t>
      </w:r>
    </w:p>
    <w:p w14:paraId="26D30DA5" w14:textId="67D9D3BE" w:rsidR="00241024" w:rsidRPr="00A53033" w:rsidRDefault="00241024" w:rsidP="004709F3">
      <w:pPr>
        <w:spacing w:after="120" w:line="240" w:lineRule="auto"/>
        <w:rPr>
          <w:rFonts w:cs="Times New Roman"/>
          <w:noProof/>
          <w:color w:val="000000" w:themeColor="text1"/>
          <w:highlight w:val="yellow"/>
          <w:lang w:val="ro-RO"/>
        </w:rPr>
      </w:pPr>
      <w:r w:rsidRPr="00A53033">
        <w:rPr>
          <w:noProof/>
          <w:color w:val="000000" w:themeColor="text1"/>
          <w:lang w:val="ro-RO"/>
        </w:rPr>
        <w:t>Cadrul macroprudențial al UE pentru bănci a contribuit la creșterea rezilienței sectorului bancar într-o manieră preventivă și a contribuit la protejarea stabilității financiare în UE prin limitarea acumulării de riscuri sistemice. În unele domenii, cadrul actual s-a dovedit a fi capabil să își îndeplinească obiectivele preconizate. De exemplu, după declanșarea pandemiei de COVID-</w:t>
      </w:r>
      <w:r w:rsidRPr="007240C7">
        <w:rPr>
          <w:noProof/>
          <w:color w:val="000000" w:themeColor="text1"/>
          <w:lang w:val="ro-RO"/>
        </w:rPr>
        <w:t>19</w:t>
      </w:r>
      <w:r w:rsidRPr="00A53033">
        <w:rPr>
          <w:noProof/>
          <w:color w:val="000000" w:themeColor="text1"/>
          <w:lang w:val="ro-RO"/>
        </w:rPr>
        <w:t>, autoritățile naționale au adoptat restricții de distribuție la nivelul întregului sistem, în concordanță cu recomandările BCE și CERS privind distribuirea de dividende pe durata pandemiei de COVID-</w:t>
      </w:r>
      <w:r w:rsidRPr="007240C7">
        <w:rPr>
          <w:noProof/>
          <w:color w:val="000000" w:themeColor="text1"/>
          <w:lang w:val="ro-RO"/>
        </w:rPr>
        <w:t>19</w:t>
      </w:r>
      <w:r w:rsidRPr="00A53033">
        <w:rPr>
          <w:noProof/>
          <w:color w:val="000000" w:themeColor="text1"/>
          <w:lang w:val="ro-RO"/>
        </w:rPr>
        <w:t xml:space="preserve">, chiar dacă restricțiile nu au fost consacrate la nivelul UE (astfel cum s-a prevăzut și la articolul </w:t>
      </w:r>
      <w:r w:rsidRPr="007240C7">
        <w:rPr>
          <w:noProof/>
          <w:color w:val="000000" w:themeColor="text1"/>
          <w:lang w:val="ro-RO"/>
        </w:rPr>
        <w:t>518</w:t>
      </w:r>
      <w:r w:rsidRPr="00A53033">
        <w:rPr>
          <w:noProof/>
          <w:color w:val="000000" w:themeColor="text1"/>
          <w:lang w:val="ro-RO"/>
        </w:rPr>
        <w:t xml:space="preserve">b din CRR). Totuși, dovezile empirice, studiile efectuate de mai multe organisme ale UE, analizele realizate de Comisie, consultarea publică din </w:t>
      </w:r>
      <w:r w:rsidRPr="007240C7">
        <w:rPr>
          <w:noProof/>
          <w:color w:val="000000" w:themeColor="text1"/>
          <w:lang w:val="ro-RO"/>
        </w:rPr>
        <w:t>2021</w:t>
      </w:r>
      <w:r w:rsidRPr="00A53033">
        <w:rPr>
          <w:noProof/>
          <w:color w:val="000000" w:themeColor="text1"/>
          <w:lang w:val="ro-RO"/>
        </w:rPr>
        <w:t xml:space="preserve"> și cererile de consiliere specifice au evidențiat, de asemenea, anumite </w:t>
      </w:r>
      <w:r w:rsidRPr="00A53033">
        <w:rPr>
          <w:b/>
          <w:noProof/>
          <w:color w:val="000000" w:themeColor="text1"/>
          <w:lang w:val="ro-RO"/>
        </w:rPr>
        <w:t xml:space="preserve">deficiențe care necesită o analiză suplimentară </w:t>
      </w:r>
      <w:r w:rsidRPr="00A53033">
        <w:rPr>
          <w:noProof/>
          <w:color w:val="000000" w:themeColor="text1"/>
          <w:lang w:val="ro-RO"/>
        </w:rPr>
        <w:t xml:space="preserve">în vederea unei posibile propuneri legislative. </w:t>
      </w:r>
    </w:p>
    <w:p w14:paraId="09BF3B1A" w14:textId="77777777" w:rsidR="00241024" w:rsidRPr="00A53033" w:rsidRDefault="00241024" w:rsidP="004709F3">
      <w:pPr>
        <w:pStyle w:val="Heading2"/>
        <w:numPr>
          <w:ilvl w:val="0"/>
          <w:numId w:val="0"/>
        </w:numPr>
        <w:spacing w:after="120"/>
        <w:ind w:left="1077" w:hanging="601"/>
        <w:rPr>
          <w:rFonts w:cs="Times New Roman"/>
          <w:noProof/>
          <w:lang w:val="ro-RO"/>
        </w:rPr>
      </w:pPr>
      <w:r w:rsidRPr="00A53033">
        <w:rPr>
          <w:rFonts w:ascii="Times New Roman" w:hAnsi="Times New Roman"/>
          <w:noProof/>
          <w:sz w:val="22"/>
          <w:lang w:val="ro-RO"/>
        </w:rPr>
        <w:t>Posibilitatea de utilizare și de eliberare a amortizoarelor de capital pentru a sprijini creditarea economiei</w:t>
      </w:r>
    </w:p>
    <w:p w14:paraId="7BFE71A7" w14:textId="67661433" w:rsidR="00FE21D1" w:rsidRPr="00A53033" w:rsidRDefault="00241024" w:rsidP="004709F3">
      <w:pPr>
        <w:spacing w:after="120" w:line="240" w:lineRule="auto"/>
        <w:rPr>
          <w:rFonts w:cs="Times New Roman"/>
          <w:noProof/>
          <w:lang w:val="ro-RO"/>
        </w:rPr>
      </w:pPr>
      <w:r w:rsidRPr="00A53033">
        <w:rPr>
          <w:noProof/>
          <w:lang w:val="ro-RO"/>
        </w:rPr>
        <w:t xml:space="preserve">Deși amortizoarele de capital sunt concepute pentru a fi utilizate în situații de criză, dovezile empirice sugerează că este posibil ca băncile să nu fie dispuse sau să nu fie în măsură să le utilizeze conform previziunilor, ceea ce ar putea avea efecte negative asupra economiei. </w:t>
      </w:r>
      <w:r w:rsidRPr="00A53033">
        <w:rPr>
          <w:b/>
          <w:noProof/>
          <w:lang w:val="ro-RO"/>
        </w:rPr>
        <w:t>Este posibil ca băncile</w:t>
      </w:r>
      <w:r w:rsidRPr="00A53033">
        <w:rPr>
          <w:noProof/>
          <w:lang w:val="ro-RO"/>
        </w:rPr>
        <w:t xml:space="preserve"> </w:t>
      </w:r>
      <w:r w:rsidRPr="00A53033">
        <w:rPr>
          <w:b/>
          <w:noProof/>
          <w:lang w:val="ro-RO"/>
        </w:rPr>
        <w:t>să nu fie dispuse să utilizeze amortizoare</w:t>
      </w:r>
      <w:r w:rsidRPr="00A53033">
        <w:rPr>
          <w:noProof/>
          <w:lang w:val="ro-RO"/>
        </w:rPr>
        <w:t xml:space="preserve">, dat fiind că ar putea fi preocupate de: </w:t>
      </w:r>
    </w:p>
    <w:p w14:paraId="3B6B836F" w14:textId="3801613C" w:rsidR="00E928D6" w:rsidRPr="00A53033" w:rsidRDefault="00241024" w:rsidP="00E928D6">
      <w:pPr>
        <w:pStyle w:val="ListParagraph"/>
        <w:numPr>
          <w:ilvl w:val="0"/>
          <w:numId w:val="27"/>
        </w:numPr>
        <w:spacing w:after="120"/>
        <w:rPr>
          <w:rFonts w:cs="Times New Roman"/>
          <w:noProof/>
          <w:lang w:val="ro-RO"/>
        </w:rPr>
      </w:pPr>
      <w:r w:rsidRPr="00A53033">
        <w:rPr>
          <w:noProof/>
          <w:lang w:val="ro-RO"/>
        </w:rPr>
        <w:t>constrângerile în ceea ce privește distribuirea dividendelor, a primelor și a altor plăți;</w:t>
      </w:r>
    </w:p>
    <w:p w14:paraId="29BA6BB2" w14:textId="27FC1A55" w:rsidR="00E928D6" w:rsidRPr="00A53033" w:rsidRDefault="00241024" w:rsidP="00E928D6">
      <w:pPr>
        <w:pStyle w:val="ListParagraph"/>
        <w:numPr>
          <w:ilvl w:val="0"/>
          <w:numId w:val="27"/>
        </w:numPr>
        <w:spacing w:after="120"/>
        <w:rPr>
          <w:rFonts w:cs="Times New Roman"/>
          <w:noProof/>
          <w:lang w:val="ro-RO"/>
        </w:rPr>
      </w:pPr>
      <w:r w:rsidRPr="00A53033">
        <w:rPr>
          <w:noProof/>
          <w:lang w:val="ro-RO"/>
        </w:rPr>
        <w:t xml:space="preserve">o mai amplă stigmatizare de către piață în cazul încălcării cerinței amortizorului combinat; </w:t>
      </w:r>
    </w:p>
    <w:p w14:paraId="30C77B92" w14:textId="2781878C" w:rsidR="00164135" w:rsidRPr="00A53033" w:rsidRDefault="00241024" w:rsidP="00A54393">
      <w:pPr>
        <w:pStyle w:val="ListParagraph"/>
        <w:numPr>
          <w:ilvl w:val="0"/>
          <w:numId w:val="27"/>
        </w:numPr>
        <w:spacing w:after="120"/>
        <w:rPr>
          <w:rFonts w:cs="Times New Roman"/>
          <w:noProof/>
          <w:lang w:val="ro-RO"/>
        </w:rPr>
      </w:pPr>
      <w:r w:rsidRPr="00A53033">
        <w:rPr>
          <w:noProof/>
          <w:lang w:val="ro-RO"/>
        </w:rPr>
        <w:t>incertitudinile cu privire la măsura în care utilizarea amortizoarelor va fi efectiv sprijinită sau acceptată de autoritățile lor de supraveghere sau ar necesita un control suplimentar în scopuri de supraveghere sau măsuri de supraveghere suplimentare, cum ar fi simulări de criză, precum și de perspectivele economice și de durata și impactul oricărei crize</w:t>
      </w:r>
      <w:r w:rsidRPr="00A53033">
        <w:rPr>
          <w:noProof/>
          <w:lang w:val="ro-RO"/>
        </w:rPr>
        <w:footnoteReference w:id="35"/>
      </w:r>
      <w:r w:rsidRPr="00A53033">
        <w:rPr>
          <w:noProof/>
          <w:lang w:val="ro-RO"/>
        </w:rPr>
        <w:t xml:space="preserve">. </w:t>
      </w:r>
    </w:p>
    <w:p w14:paraId="623098DB" w14:textId="53E80161" w:rsidR="004709F3" w:rsidRPr="00A53033" w:rsidRDefault="00241024" w:rsidP="00A96C09">
      <w:pPr>
        <w:spacing w:after="120"/>
        <w:rPr>
          <w:rFonts w:cs="Times New Roman"/>
          <w:noProof/>
          <w:lang w:val="ro-RO"/>
        </w:rPr>
      </w:pPr>
      <w:r w:rsidRPr="00A53033">
        <w:rPr>
          <w:noProof/>
          <w:lang w:val="ro-RO"/>
        </w:rPr>
        <w:t xml:space="preserve">De asemenea, există dovezi privind </w:t>
      </w:r>
      <w:r w:rsidRPr="00A53033">
        <w:rPr>
          <w:b/>
          <w:noProof/>
          <w:lang w:val="ro-RO"/>
        </w:rPr>
        <w:t>o eventuală limitare a capacității băncilor de a utiliza amortizoare de capital</w:t>
      </w:r>
      <w:r w:rsidRPr="00A53033">
        <w:rPr>
          <w:rStyle w:val="FootnoteReference"/>
          <w:rFonts w:cs="Times New Roman"/>
          <w:noProof/>
          <w:lang w:val="ro-RO"/>
        </w:rPr>
        <w:footnoteReference w:id="36"/>
      </w:r>
      <w:r w:rsidRPr="00A53033">
        <w:rPr>
          <w:noProof/>
          <w:lang w:val="ro-RO"/>
        </w:rPr>
        <w:t xml:space="preserve"> de către alte cerințe minime prudențiale sau de rezoluție [indicatorul efectului de levier și cerințe minime de fonduri proprii și de datorii eligibile (MREL</w:t>
      </w:r>
      <w:r w:rsidRPr="00A53033">
        <w:rPr>
          <w:rStyle w:val="FootnoteReference"/>
          <w:rFonts w:cs="Times New Roman"/>
          <w:noProof/>
          <w:lang w:val="ro-RO"/>
        </w:rPr>
        <w:footnoteReference w:id="37"/>
      </w:r>
      <w:r w:rsidRPr="00A53033">
        <w:rPr>
          <w:noProof/>
          <w:lang w:val="ro-RO"/>
        </w:rPr>
        <w:t>)] care pot deveni obligatorii înainte de epuizarea amortizoarelor, în special pentru băncile cu ponderi de risc scăzute.</w:t>
      </w:r>
      <w:r w:rsidR="007D70C9">
        <w:rPr>
          <w:noProof/>
          <w:lang w:val="ro-RO"/>
        </w:rPr>
        <w:t xml:space="preserve"> </w:t>
      </w:r>
      <w:r w:rsidRPr="00A53033">
        <w:rPr>
          <w:noProof/>
          <w:lang w:val="ro-RO"/>
        </w:rPr>
        <w:t>Deși aceste potențiale limitări ale capacității băncilor de a utiliza amortizoare reprezintă o caracteristică a cadrului actual, importanța unor astfel de limitări poate suferi modificări în timp și de la o bancă la alta și poate pierde din importanță</w:t>
      </w:r>
      <w:r w:rsidRPr="00A53033">
        <w:rPr>
          <w:rStyle w:val="FootnoteReference"/>
          <w:rFonts w:cs="Times New Roman"/>
          <w:noProof/>
          <w:lang w:val="ro-RO"/>
        </w:rPr>
        <w:footnoteReference w:id="38"/>
      </w:r>
      <w:r w:rsidRPr="00A53033">
        <w:rPr>
          <w:noProof/>
          <w:lang w:val="ro-RO"/>
        </w:rPr>
        <w:t xml:space="preserve">. Aceasta se poate întâmpla ca urmare a punerii în aplicare a reformelor prudențiale din „pachetul bancar” convenit recent și a introducerii treptate a MREL. </w:t>
      </w:r>
    </w:p>
    <w:p w14:paraId="084B04DA" w14:textId="2BC0E36C" w:rsidR="00241024" w:rsidRPr="00A53033" w:rsidRDefault="00F0001B" w:rsidP="004709F3">
      <w:pPr>
        <w:spacing w:after="120" w:line="240" w:lineRule="auto"/>
        <w:rPr>
          <w:rFonts w:cs="Times New Roman"/>
          <w:noProof/>
          <w:lang w:val="ro-RO"/>
        </w:rPr>
      </w:pPr>
      <w:r w:rsidRPr="00A53033">
        <w:rPr>
          <w:b/>
          <w:noProof/>
          <w:lang w:val="ro-RO"/>
        </w:rPr>
        <w:t>Posibilitatea de eliberare</w:t>
      </w:r>
      <w:r w:rsidRPr="00A53033">
        <w:rPr>
          <w:noProof/>
          <w:lang w:val="ro-RO"/>
        </w:rPr>
        <w:t xml:space="preserve"> (de deblocare)</w:t>
      </w:r>
      <w:r w:rsidRPr="00A53033">
        <w:rPr>
          <w:b/>
          <w:noProof/>
          <w:lang w:val="ro-RO"/>
        </w:rPr>
        <w:t xml:space="preserve"> </w:t>
      </w:r>
      <w:r w:rsidRPr="00A53033">
        <w:rPr>
          <w:noProof/>
          <w:lang w:val="ro-RO"/>
        </w:rPr>
        <w:t>a amortizoarelor de capital</w:t>
      </w:r>
      <w:r w:rsidRPr="00A53033">
        <w:rPr>
          <w:b/>
          <w:noProof/>
          <w:lang w:val="ro-RO"/>
        </w:rPr>
        <w:t xml:space="preserve"> </w:t>
      </w:r>
      <w:r w:rsidRPr="00A53033">
        <w:rPr>
          <w:noProof/>
          <w:lang w:val="ro-RO"/>
        </w:rPr>
        <w:t>ar putea fi, de asemenea, îmbunătățită și ar putea deveni mai eficientă</w:t>
      </w:r>
      <w:r w:rsidRPr="00A53033">
        <w:rPr>
          <w:rStyle w:val="FootnoteReference"/>
          <w:rFonts w:cs="Times New Roman"/>
          <w:noProof/>
          <w:lang w:val="ro-RO"/>
        </w:rPr>
        <w:footnoteReference w:id="39"/>
      </w:r>
      <w:r w:rsidRPr="00A53033">
        <w:rPr>
          <w:noProof/>
          <w:lang w:val="ro-RO"/>
        </w:rPr>
        <w:t>. Conform cadrului actual, cea mai mare parte a amortizoarelor de capital (mai precis amortizorul de conservare a capitalului, amortizoarele G-SII și O</w:t>
      </w:r>
      <w:r w:rsidR="00906DE8">
        <w:rPr>
          <w:rFonts w:cs="Times New Roman"/>
          <w:noProof/>
          <w:lang w:val="ro-RO"/>
        </w:rPr>
        <w:t>­</w:t>
      </w:r>
      <w:r w:rsidRPr="00A53033">
        <w:rPr>
          <w:noProof/>
          <w:lang w:val="ro-RO"/>
        </w:rPr>
        <w:t xml:space="preserve">SII și, într-o mai mică măsură, amortizorul de risc sistemic) sunt de natură structurală, în timp ce doar amortizorul anticiclic de capital este conceput în mod explicit pentru a putea fi eliberat. Acest amortizor reprezintă o proporție foarte mică din totalul cerințelor privind amortizorul de capital, aproximativ </w:t>
      </w:r>
      <w:r w:rsidRPr="007240C7">
        <w:rPr>
          <w:noProof/>
          <w:lang w:val="ro-RO"/>
        </w:rPr>
        <w:t>5</w:t>
      </w:r>
      <w:r w:rsidRPr="00A53033">
        <w:rPr>
          <w:noProof/>
          <w:lang w:val="ro-RO"/>
        </w:rPr>
        <w:t xml:space="preserve"> % din cerința amortizorului combinat aplicabilă băncilor sau </w:t>
      </w:r>
      <w:r w:rsidRPr="007240C7">
        <w:rPr>
          <w:noProof/>
          <w:lang w:val="ro-RO"/>
        </w:rPr>
        <w:t>0</w:t>
      </w:r>
      <w:r w:rsidRPr="00A53033">
        <w:rPr>
          <w:noProof/>
          <w:lang w:val="ro-RO"/>
        </w:rPr>
        <w:t>,</w:t>
      </w:r>
      <w:r w:rsidRPr="007240C7">
        <w:rPr>
          <w:noProof/>
          <w:lang w:val="ro-RO"/>
        </w:rPr>
        <w:t>1</w:t>
      </w:r>
      <w:r w:rsidRPr="00A53033">
        <w:rPr>
          <w:noProof/>
          <w:lang w:val="ro-RO"/>
        </w:rPr>
        <w:t> % din activele ponderate în funcție de risc din uniunea bancară la începutul pandemiei de COVID-</w:t>
      </w:r>
      <w:r w:rsidRPr="007240C7">
        <w:rPr>
          <w:noProof/>
          <w:lang w:val="ro-RO"/>
        </w:rPr>
        <w:t>19</w:t>
      </w:r>
      <w:r w:rsidRPr="00A53033">
        <w:rPr>
          <w:noProof/>
          <w:lang w:val="ro-RO"/>
        </w:rPr>
        <w:t>. Deși, după pandemie, multe state membre și-au majorat ratele amortizorului anticiclic de capital, dimensiunea acestuia este încă extrem de mică în comparație cu amortizoarele care nu pot fi eliberate. Nu a fost necesară eliberarea mai multor amortizoare ca răspuns la pandemie, datorită sprijinului public amplu acordat de statele membre prin măsuri de politică fiscală, monetară și de reglementare. Cu toate acestea, dovezile empirice inițiale sugerează că economia ar fi putut beneficia de amortizoare de capital mai ușor de eliberat pentru a stimula o activitate suplimentară de creditare în perioada crizei</w:t>
      </w:r>
      <w:r w:rsidRPr="00A53033">
        <w:rPr>
          <w:rStyle w:val="FootnoteReference"/>
          <w:rFonts w:cs="Times New Roman"/>
          <w:noProof/>
          <w:lang w:val="ro-RO"/>
        </w:rPr>
        <w:footnoteReference w:id="40"/>
      </w:r>
      <w:r w:rsidRPr="00A53033">
        <w:rPr>
          <w:noProof/>
          <w:lang w:val="ro-RO"/>
        </w:rPr>
        <w:t xml:space="preserve">. </w:t>
      </w:r>
    </w:p>
    <w:p w14:paraId="4105DFB5" w14:textId="77777777" w:rsidR="00241024" w:rsidRPr="00A53033" w:rsidRDefault="00241024" w:rsidP="004709F3">
      <w:pPr>
        <w:pStyle w:val="Heading2"/>
        <w:numPr>
          <w:ilvl w:val="0"/>
          <w:numId w:val="0"/>
        </w:numPr>
        <w:spacing w:after="120"/>
        <w:ind w:left="1077" w:hanging="601"/>
        <w:rPr>
          <w:rFonts w:ascii="Times New Roman" w:hAnsi="Times New Roman" w:cs="Times New Roman"/>
          <w:noProof/>
          <w:sz w:val="22"/>
          <w:lang w:val="ro-RO"/>
        </w:rPr>
      </w:pPr>
      <w:r w:rsidRPr="00A53033">
        <w:rPr>
          <w:rFonts w:ascii="Times New Roman" w:hAnsi="Times New Roman"/>
          <w:noProof/>
          <w:sz w:val="22"/>
          <w:lang w:val="ro-RO"/>
        </w:rPr>
        <w:t xml:space="preserve">Consecvența în utilizarea de către autoritățile naționale a instrumentelor macroprudențiale destinate băncilor </w:t>
      </w:r>
    </w:p>
    <w:p w14:paraId="19640BA8" w14:textId="2C276967" w:rsidR="00241024" w:rsidRPr="00A53033" w:rsidRDefault="00241024" w:rsidP="004709F3">
      <w:pPr>
        <w:spacing w:after="120" w:line="240" w:lineRule="auto"/>
        <w:rPr>
          <w:rFonts w:cs="Times New Roman"/>
          <w:noProof/>
          <w:lang w:val="ro-RO"/>
        </w:rPr>
      </w:pPr>
      <w:r w:rsidRPr="00A53033">
        <w:rPr>
          <w:noProof/>
          <w:lang w:val="ro-RO"/>
        </w:rPr>
        <w:t xml:space="preserve">Deși recunoaște responsabilitățile comune ale BCE și ale autorităților naționale în cadrul uniunii bancare, </w:t>
      </w:r>
      <w:r w:rsidRPr="00A53033">
        <w:rPr>
          <w:b/>
          <w:noProof/>
          <w:lang w:val="ro-RO"/>
        </w:rPr>
        <w:t>aplicarea cadrului macroprudențial în UE este, într-o</w:t>
      </w:r>
      <w:r w:rsidRPr="00A53033">
        <w:rPr>
          <w:noProof/>
          <w:lang w:val="ro-RO"/>
        </w:rPr>
        <w:t xml:space="preserve"> </w:t>
      </w:r>
      <w:r w:rsidRPr="00A53033">
        <w:rPr>
          <w:b/>
          <w:noProof/>
          <w:lang w:val="ro-RO"/>
        </w:rPr>
        <w:t>măsură semnificativă, descentralizată</w:t>
      </w:r>
      <w:r w:rsidRPr="00A53033">
        <w:rPr>
          <w:noProof/>
          <w:lang w:val="ro-RO"/>
        </w:rPr>
        <w:t xml:space="preserve">. Aceasta se justifică prin faptul că riscurile sistemice și ciclurile financiare pot fi diferite de la un stat membru la altul, autoritățile naționale fiind, în general, considerate bine plasate pentru a identifica și a gestiona în mod eficace astfel de riscuri. Totuși, acest model nu este întotdeauna evident pentru a se concilia cu funcționarea pieței unice. Armonizarea anumitor aspecte ale setului de instrumente macroprudențiale este esențială pentru asigurarea unor condiții de concurență echitabile. </w:t>
      </w:r>
    </w:p>
    <w:p w14:paraId="2E1FEAE6" w14:textId="6C4D1FF0" w:rsidR="00241024" w:rsidRPr="00A53033" w:rsidRDefault="00241024" w:rsidP="004709F3">
      <w:pPr>
        <w:spacing w:after="120" w:line="240" w:lineRule="auto"/>
        <w:rPr>
          <w:rFonts w:cs="Times New Roman"/>
          <w:noProof/>
          <w:lang w:val="ro-RO"/>
        </w:rPr>
      </w:pPr>
      <w:r w:rsidRPr="00A53033">
        <w:rPr>
          <w:noProof/>
          <w:lang w:val="ro-RO"/>
        </w:rPr>
        <w:t xml:space="preserve">Pe de o parte, este posibil ca măsurile macroprudențiale naționale să nu fie eficace dacă acestea pot fi, de exemplu, eludate prin activități transfrontaliere. Chestiunea sus-menționată poate fi soluționată prin „reciprocitate”, și anume prin aplicarea unor măsuri echivalente de către autoritățile naționale ale altor state membre băncilor care își desfășoară activitatea la nivel transfrontalier în țara care a impus o măsură macroprudențială națională. Pe de altă parte, amortizoarele de capital și ponderile de risc pot fi utilizate și pentru a restricționa în mod nejustificat libera circulație a capitalurilor și pentru a le impune grupurilor bancare transfrontaliere să mențină cerințe de capital mai ridicate în țările-gazdă. Acest lucru ar putea reduce costul intrării în dificultate a băncilor în țările-gazdă, însă ar putea afecta, totodată, eficiența serviciilor bancare transfrontaliere. CERS, BCE, ABE și Comisia Europeană sunt învestite, în temeiul unor proceduri detaliate, cu anumite competențe de coordonare a politicilor macroprudențiale și de promovare a integrității pieței unice, însă </w:t>
      </w:r>
      <w:r w:rsidRPr="00A53033">
        <w:rPr>
          <w:b/>
          <w:noProof/>
          <w:lang w:val="ro-RO"/>
        </w:rPr>
        <w:t>capacitatea acestora de a asigura coerența</w:t>
      </w:r>
      <w:r w:rsidRPr="00A53033">
        <w:rPr>
          <w:noProof/>
          <w:lang w:val="ro-RO"/>
        </w:rPr>
        <w:t xml:space="preserve"> abordărilor autorităților naționale este limitată</w:t>
      </w:r>
      <w:r w:rsidRPr="00A53033">
        <w:rPr>
          <w:rStyle w:val="FootnoteReference"/>
          <w:rFonts w:cs="Times New Roman"/>
          <w:noProof/>
          <w:lang w:val="ro-RO"/>
        </w:rPr>
        <w:footnoteReference w:id="41"/>
      </w:r>
      <w:r w:rsidRPr="00A53033">
        <w:rPr>
          <w:noProof/>
          <w:lang w:val="ro-RO"/>
        </w:rPr>
        <w:t>.</w:t>
      </w:r>
      <w:r w:rsidR="007D70C9">
        <w:rPr>
          <w:rStyle w:val="FootnoteReference"/>
          <w:noProof/>
          <w:lang w:val="ro-RO"/>
        </w:rPr>
        <w:t xml:space="preserve"> </w:t>
      </w:r>
    </w:p>
    <w:p w14:paraId="19833C3E" w14:textId="56D5448B" w:rsidR="00241024" w:rsidRPr="00A53033" w:rsidRDefault="00241024" w:rsidP="004709F3">
      <w:pPr>
        <w:spacing w:after="120" w:line="240" w:lineRule="auto"/>
        <w:rPr>
          <w:rFonts w:cs="Times New Roman"/>
          <w:noProof/>
          <w:lang w:val="ro-RO"/>
        </w:rPr>
      </w:pPr>
      <w:r w:rsidRPr="00A53033">
        <w:rPr>
          <w:noProof/>
          <w:lang w:val="ro-RO"/>
        </w:rPr>
        <w:t>Identificarea altor instituții de importanță sistemică (O-SII) și calibrarea ratelor amortizorului O-SII nu sunt consecvente la nivelul pieței unice</w:t>
      </w:r>
      <w:r w:rsidRPr="00A53033">
        <w:rPr>
          <w:rStyle w:val="FootnoteReference"/>
          <w:rFonts w:cs="Times New Roman"/>
          <w:noProof/>
          <w:lang w:val="ro-RO"/>
        </w:rPr>
        <w:footnoteReference w:id="42"/>
      </w:r>
      <w:r w:rsidRPr="00A53033">
        <w:rPr>
          <w:noProof/>
          <w:lang w:val="ro-RO"/>
        </w:rPr>
        <w:t>.</w:t>
      </w:r>
      <w:r w:rsidR="007D70C9">
        <w:rPr>
          <w:rStyle w:val="FootnoteReference"/>
          <w:noProof/>
          <w:lang w:val="ro-RO"/>
        </w:rPr>
        <w:t xml:space="preserve"> </w:t>
      </w:r>
      <w:r w:rsidRPr="00A53033">
        <w:rPr>
          <w:noProof/>
          <w:lang w:val="ro-RO"/>
        </w:rPr>
        <w:t xml:space="preserve">De exemplu, O-SII cu scoruri similare calculate pe baza metodologiei standardizate a ABE privind criteriile de evaluare a O-SII au obligația de a menține rate diferite ale amortizorului O-SII. Această eterogenitate nu poate fi explicată pe deplin prin condițiile economice sau financiare specifice ale statelor membre, cum ar fi dimensiunea sau concentrarea sectorului bancar, ceea ce reprezintă un motiv de îngrijorare pentru piața unică și uniunea bancară. O parte dintre aceste diferențe pot fi atribuite faptului că unele state membre au utilizat amortizorul de risc sistemic în locul sau în completarea amortizorului O-SII în vederea combaterii acestor riscuri. Cu toate acestea, </w:t>
      </w:r>
      <w:r w:rsidRPr="00A53033">
        <w:rPr>
          <w:b/>
          <w:noProof/>
          <w:lang w:val="ro-RO"/>
        </w:rPr>
        <w:t xml:space="preserve">eterogenitatea </w:t>
      </w:r>
      <w:r w:rsidRPr="00A53033">
        <w:rPr>
          <w:noProof/>
          <w:lang w:val="ro-RO"/>
        </w:rPr>
        <w:t>în stabilirea amortizoarelor</w:t>
      </w:r>
      <w:r w:rsidRPr="00A53033">
        <w:rPr>
          <w:b/>
          <w:noProof/>
          <w:lang w:val="ro-RO"/>
        </w:rPr>
        <w:t xml:space="preserve"> </w:t>
      </w:r>
      <w:r w:rsidRPr="00A53033">
        <w:rPr>
          <w:noProof/>
          <w:lang w:val="ro-RO"/>
        </w:rPr>
        <w:t>O-SII necesită o evaluare suplimentară</w:t>
      </w:r>
      <w:r w:rsidRPr="00A53033">
        <w:rPr>
          <w:rStyle w:val="FootnoteReference"/>
          <w:noProof/>
          <w:lang w:val="ro-RO"/>
        </w:rPr>
        <w:footnoteReference w:id="43"/>
      </w:r>
      <w:r w:rsidRPr="00A53033">
        <w:rPr>
          <w:noProof/>
          <w:lang w:val="ro-RO"/>
        </w:rPr>
        <w:t xml:space="preserve">. </w:t>
      </w:r>
    </w:p>
    <w:p w14:paraId="5AAAE353" w14:textId="029698BF" w:rsidR="00241024" w:rsidRPr="00A53033" w:rsidRDefault="00241024" w:rsidP="004709F3">
      <w:pPr>
        <w:spacing w:after="120" w:line="240" w:lineRule="auto"/>
        <w:rPr>
          <w:rFonts w:cs="Times New Roman"/>
          <w:noProof/>
          <w:lang w:val="ro-RO"/>
        </w:rPr>
      </w:pPr>
      <w:r w:rsidRPr="00A53033">
        <w:rPr>
          <w:noProof/>
          <w:lang w:val="ro-RO"/>
        </w:rPr>
        <w:t xml:space="preserve">Amortizorul de risc sistemic – cel mai flexibil amortizor – este utilizat pentru a face față unei game largi de riscuri sistemice, printre care se numără expunerile geografice comune, îndatorarea sectorului public și privat, dimensiunea sectorului bancar ca procent din PIB și șocurile externe asupra economiei. Totuși, această flexibilitate poate da naștere unor preocupări legate de </w:t>
      </w:r>
      <w:r w:rsidRPr="00A53033">
        <w:rPr>
          <w:b/>
          <w:noProof/>
          <w:lang w:val="ro-RO"/>
        </w:rPr>
        <w:t>caracterul arbitrar și de cerințele prudențiale redundante</w:t>
      </w:r>
      <w:r w:rsidRPr="00A53033">
        <w:rPr>
          <w:noProof/>
          <w:lang w:val="ro-RO"/>
        </w:rPr>
        <w:t xml:space="preserve">. În sfârșit, articolul </w:t>
      </w:r>
      <w:r w:rsidRPr="007240C7">
        <w:rPr>
          <w:noProof/>
          <w:lang w:val="ro-RO"/>
        </w:rPr>
        <w:t>458</w:t>
      </w:r>
      <w:r w:rsidRPr="00A53033">
        <w:rPr>
          <w:noProof/>
          <w:lang w:val="ro-RO"/>
        </w:rPr>
        <w:t xml:space="preserve"> din CRR, care permite creșterea ponderilor de risc pentru expunerile imobiliare în cazul băncilor care utilizează modele interne, ar trebui să fie utilizat numai ca măsură de ultimă instanță de către autoritățile naționale. Cu toate acestea, au fost observate anumite </w:t>
      </w:r>
      <w:r w:rsidRPr="00A53033">
        <w:rPr>
          <w:b/>
          <w:noProof/>
          <w:lang w:val="ro-RO"/>
        </w:rPr>
        <w:t>neconcordanțe</w:t>
      </w:r>
      <w:r w:rsidRPr="00A53033">
        <w:rPr>
          <w:noProof/>
          <w:lang w:val="ro-RO"/>
        </w:rPr>
        <w:t xml:space="preserve"> în modul în care autoritățile naționale aplică această măsură și ar fi, de asemenea, necesar să se asigure eficiența procesului de activare a acesteia. </w:t>
      </w:r>
    </w:p>
    <w:p w14:paraId="68DFC7F5" w14:textId="77777777" w:rsidR="00241024" w:rsidRPr="00A53033" w:rsidRDefault="00241024" w:rsidP="004709F3">
      <w:pPr>
        <w:pStyle w:val="Heading2"/>
        <w:numPr>
          <w:ilvl w:val="0"/>
          <w:numId w:val="0"/>
        </w:numPr>
        <w:spacing w:after="120"/>
        <w:ind w:left="1077" w:hanging="601"/>
        <w:rPr>
          <w:rFonts w:ascii="Times New Roman" w:hAnsi="Times New Roman" w:cs="Times New Roman"/>
          <w:noProof/>
          <w:sz w:val="22"/>
          <w:lang w:val="ro-RO"/>
        </w:rPr>
      </w:pPr>
      <w:r w:rsidRPr="00A53033">
        <w:rPr>
          <w:rFonts w:ascii="Times New Roman" w:hAnsi="Times New Roman"/>
          <w:noProof/>
          <w:sz w:val="22"/>
          <w:lang w:val="ro-RO"/>
        </w:rPr>
        <w:t>Simplificarea și eficiența cadrului macroprudențial și a guvernanței acestuia</w:t>
      </w:r>
    </w:p>
    <w:p w14:paraId="6C06F5EA" w14:textId="55799043" w:rsidR="00241024" w:rsidRPr="00A53033" w:rsidRDefault="00241024" w:rsidP="004709F3">
      <w:pPr>
        <w:spacing w:after="120" w:line="240" w:lineRule="auto"/>
        <w:rPr>
          <w:rFonts w:cs="Times New Roman"/>
          <w:noProof/>
          <w:lang w:val="ro-RO"/>
        </w:rPr>
      </w:pPr>
      <w:r w:rsidRPr="00A53033">
        <w:rPr>
          <w:noProof/>
          <w:lang w:val="ro-RO"/>
        </w:rPr>
        <w:t xml:space="preserve">Eficiența și eficacitatea setului de instrumente macroprudențiale pot fi afectate prin includerea unor măsuri care nu sunt utilizate sau prin lipsa unor măsuri în anumite domenii. De exemplu, articolele </w:t>
      </w:r>
      <w:r w:rsidRPr="007240C7">
        <w:rPr>
          <w:noProof/>
          <w:lang w:val="ro-RO"/>
        </w:rPr>
        <w:t>138</w:t>
      </w:r>
      <w:r w:rsidRPr="00A53033">
        <w:rPr>
          <w:noProof/>
          <w:lang w:val="ro-RO"/>
        </w:rPr>
        <w:t xml:space="preserve"> și </w:t>
      </w:r>
      <w:r w:rsidRPr="007240C7">
        <w:rPr>
          <w:noProof/>
          <w:lang w:val="ro-RO"/>
        </w:rPr>
        <w:t>139</w:t>
      </w:r>
      <w:r w:rsidRPr="00A53033">
        <w:rPr>
          <w:noProof/>
          <w:lang w:val="ro-RO"/>
        </w:rPr>
        <w:t xml:space="preserve"> din CRD se axează pe abordarea riscurilor care decurg din creșterea excesivă a creditelor în anumite țări terțe, însă aceste competențe nu au fost niciodată utilizate.</w:t>
      </w:r>
      <w:r w:rsidR="007D70C9">
        <w:rPr>
          <w:noProof/>
          <w:lang w:val="ro-RO"/>
        </w:rPr>
        <w:t xml:space="preserve"> </w:t>
      </w:r>
      <w:r w:rsidRPr="00A53033">
        <w:rPr>
          <w:noProof/>
          <w:lang w:val="ro-RO"/>
        </w:rPr>
        <w:t xml:space="preserve">De asemenea, ar putea fi necesar să se reflecteze în continuare asupra structurii de supraveghere și de guvernanță a supravegherii macroprudențiale la nivelul UE, în special în ceea ce privește noile riscuri și instrumente. Scopul ar fi simplificarea proceselor de supraveghere acolo unde este posibil, ținând seama de complexitatea ecosistemului financiar și protejând economia europeană împotriva unor eventuale perturbări. </w:t>
      </w:r>
    </w:p>
    <w:p w14:paraId="62151222" w14:textId="77777777" w:rsidR="00241024" w:rsidRPr="00A53033" w:rsidRDefault="00241024" w:rsidP="004709F3">
      <w:pPr>
        <w:pStyle w:val="Heading2"/>
        <w:numPr>
          <w:ilvl w:val="0"/>
          <w:numId w:val="0"/>
        </w:numPr>
        <w:spacing w:after="120"/>
        <w:ind w:left="1077" w:hanging="601"/>
        <w:rPr>
          <w:rFonts w:ascii="Times New Roman" w:hAnsi="Times New Roman" w:cs="Times New Roman"/>
          <w:noProof/>
          <w:sz w:val="22"/>
          <w:lang w:val="ro-RO"/>
        </w:rPr>
      </w:pPr>
      <w:r w:rsidRPr="00A53033">
        <w:rPr>
          <w:rFonts w:ascii="Times New Roman" w:hAnsi="Times New Roman"/>
          <w:noProof/>
          <w:sz w:val="22"/>
          <w:lang w:val="ro-RO"/>
        </w:rPr>
        <w:t>Capacitatea setului de instrumente macroprudențiale destinat băncilor de a aborda riscurile convenționale și riscurile noi</w:t>
      </w:r>
    </w:p>
    <w:p w14:paraId="4FB9E317" w14:textId="30668AF2" w:rsidR="008654CC" w:rsidRPr="00A53033" w:rsidRDefault="00241024" w:rsidP="67E78FAA">
      <w:pPr>
        <w:spacing w:after="120" w:line="240" w:lineRule="auto"/>
        <w:rPr>
          <w:rFonts w:eastAsia="Times New Roman" w:cs="Times New Roman"/>
          <w:noProof/>
          <w:lang w:val="ro-RO"/>
        </w:rPr>
      </w:pPr>
      <w:r w:rsidRPr="00A53033">
        <w:rPr>
          <w:noProof/>
          <w:lang w:val="ro-RO"/>
        </w:rPr>
        <w:t>De la introducerea setului de instrumente macroprudențiale pentru bănci, statele membre au luat măsuri pentru a aborda vulnerabilitățile imobiliare, în special în ceea ce privește bunurile imobile locative</w:t>
      </w:r>
      <w:r w:rsidRPr="00A53033">
        <w:rPr>
          <w:rStyle w:val="FootnoteReference"/>
          <w:rFonts w:cs="Times New Roman"/>
          <w:noProof/>
          <w:lang w:val="ro-RO"/>
        </w:rPr>
        <w:footnoteReference w:id="44"/>
      </w:r>
      <w:r w:rsidRPr="00A53033">
        <w:rPr>
          <w:noProof/>
          <w:lang w:val="ro-RO"/>
        </w:rPr>
        <w:t xml:space="preserve">, utilizând </w:t>
      </w:r>
      <w:r w:rsidRPr="00A53033">
        <w:rPr>
          <w:b/>
          <w:noProof/>
          <w:lang w:val="ro-RO"/>
        </w:rPr>
        <w:t>atât măsuri bazate pe capital</w:t>
      </w:r>
      <w:r w:rsidRPr="00A53033">
        <w:rPr>
          <w:noProof/>
          <w:lang w:val="ro-RO"/>
        </w:rPr>
        <w:t xml:space="preserve"> consacrate în legislația UE (amortizoare și măsuri de ponderare a riscului), cât și măsuri bazate într-o măsură tot mai mare </w:t>
      </w:r>
      <w:r w:rsidRPr="00A53033">
        <w:rPr>
          <w:b/>
          <w:noProof/>
          <w:lang w:val="ro-RO"/>
        </w:rPr>
        <w:t>pe debitori</w:t>
      </w:r>
      <w:r w:rsidRPr="00A53033">
        <w:rPr>
          <w:noProof/>
          <w:lang w:val="ro-RO"/>
        </w:rPr>
        <w:t>. Pe lângă articolul </w:t>
      </w:r>
      <w:r w:rsidRPr="007240C7">
        <w:rPr>
          <w:noProof/>
          <w:lang w:val="ro-RO"/>
        </w:rPr>
        <w:t>458</w:t>
      </w:r>
      <w:r w:rsidRPr="00A53033">
        <w:rPr>
          <w:noProof/>
          <w:lang w:val="ro-RO"/>
        </w:rPr>
        <w:t xml:space="preserve"> din CRR, articolele </w:t>
      </w:r>
      <w:r w:rsidRPr="007240C7">
        <w:rPr>
          <w:noProof/>
          <w:lang w:val="ro-RO"/>
        </w:rPr>
        <w:t>124</w:t>
      </w:r>
      <w:r w:rsidRPr="00A53033">
        <w:rPr>
          <w:noProof/>
          <w:lang w:val="ro-RO"/>
        </w:rPr>
        <w:t xml:space="preserve"> și </w:t>
      </w:r>
      <w:r w:rsidRPr="007240C7">
        <w:rPr>
          <w:noProof/>
          <w:lang w:val="ro-RO"/>
        </w:rPr>
        <w:t>164</w:t>
      </w:r>
      <w:r w:rsidRPr="00A53033">
        <w:rPr>
          <w:noProof/>
          <w:lang w:val="ro-RO"/>
        </w:rPr>
        <w:t xml:space="preserve"> din CRR permit statelor membre să aplice ponderi de risc mai ridicate pentru expunerile garantate cu ipoteci asupra bunurilor imobile locative și comerciale și niveluri minime ale pierderii în caz de nerambursare (LGD) pentru expunerile de tip retail garantate cu bunuri imobile locative și comerciale. </w:t>
      </w:r>
    </w:p>
    <w:p w14:paraId="14B27031" w14:textId="50ECD5EB" w:rsidR="008654CC" w:rsidRPr="00A53033" w:rsidRDefault="008E55BB" w:rsidP="67E78FAA">
      <w:pPr>
        <w:spacing w:after="120" w:line="240" w:lineRule="auto"/>
        <w:rPr>
          <w:noProof/>
          <w:color w:val="000000" w:themeColor="text1"/>
          <w:lang w:val="ro-RO"/>
        </w:rPr>
      </w:pPr>
      <w:r w:rsidRPr="00A53033">
        <w:rPr>
          <w:noProof/>
          <w:color w:val="000000" w:themeColor="text1"/>
          <w:lang w:val="ro-RO"/>
        </w:rPr>
        <w:t>Pentru a spori eficacitatea acestor instrumente macroprudențiale bazate pe ajustări ale ponderilor de risc, ar fi necesar să</w:t>
      </w:r>
      <w:r w:rsidRPr="00A53033">
        <w:rPr>
          <w:noProof/>
          <w:lang w:val="ro-RO"/>
        </w:rPr>
        <w:t xml:space="preserve"> se asigure o mai mare consecvență în ceea ce privește activarea și utilizarea măsurilor de ponderare la risc și să se alinieze setul de instrumente de ponderare la riscul macroprudențial destinat băncilor care utilizează modele interne și abordarea standardizată. De</w:t>
      </w:r>
      <w:r w:rsidR="00906DE8">
        <w:rPr>
          <w:noProof/>
          <w:lang w:val="ro-RO"/>
        </w:rPr>
        <w:t> </w:t>
      </w:r>
      <w:r w:rsidRPr="00A53033">
        <w:rPr>
          <w:noProof/>
          <w:lang w:val="ro-RO"/>
        </w:rPr>
        <w:t>asemenea, s-ar putea spori eficacitatea acestor măsuri dacă s-ar pune accentul asupra ponderilor de risc mai degrabă decât asupra parametrilor de risc individuali (articolul </w:t>
      </w:r>
      <w:r w:rsidRPr="007240C7">
        <w:rPr>
          <w:noProof/>
          <w:lang w:val="ro-RO"/>
        </w:rPr>
        <w:t>164</w:t>
      </w:r>
      <w:r w:rsidRPr="00A53033">
        <w:rPr>
          <w:noProof/>
          <w:lang w:val="ro-RO"/>
        </w:rPr>
        <w:t xml:space="preserve"> din CRR). Măsurile bazate pe debitori sunt limite macroprudențiale preventive ale standardelor de creditare care sunt prevăzute în legislația națională în majoritatea statelor membre, dar care în prezent nu sunt consacrate în legislația UE</w:t>
      </w:r>
      <w:r w:rsidRPr="00A53033">
        <w:rPr>
          <w:rStyle w:val="FootnoteReference"/>
          <w:rFonts w:cs="Times New Roman"/>
          <w:noProof/>
          <w:lang w:val="ro-RO"/>
        </w:rPr>
        <w:footnoteReference w:id="45"/>
      </w:r>
      <w:r w:rsidRPr="00A53033">
        <w:rPr>
          <w:noProof/>
          <w:lang w:val="ro-RO"/>
        </w:rPr>
        <w:t>.</w:t>
      </w:r>
      <w:r w:rsidRPr="00A53033">
        <w:rPr>
          <w:rStyle w:val="FootnoteReference"/>
          <w:noProof/>
          <w:lang w:val="ro-RO"/>
        </w:rPr>
        <w:t xml:space="preserve"> </w:t>
      </w:r>
      <w:r w:rsidRPr="00A53033">
        <w:rPr>
          <w:noProof/>
          <w:lang w:val="ro-RO"/>
        </w:rPr>
        <w:t>În prezent, măsurile bazate pe debitori diferă de la un stat membru la altul în ceea ce privește modul în care sunt concepute, definițiile indicatorilor subiacenți, domeniul de aplicare, natura (obligatorii din punct de vedere juridic/fără caracter juridic obligatoriu), excepțiile și mecanismele de guvernanță. În plus, măsurile bazate pe debitori nu sunt consacrate în legislație în toate statele membre, ceea ce complică reciprocitatea și poate să nu permită statelor membre să abordeze în mod eficient riscul sistemic care decurge din sectorul imobiliar. În plus, evoluțiile din sectorul imobiliar comercial necesită o atenție sporită. Măsurile macroprudențiale care vizează în mod specific bunurile imobile comerciale sunt limitate ca număr și ar putea fi evaluate în continuare, alături de eforturile de a elimina lacunele actuale în materie de date privind expunerile băncilor față de acest sector.</w:t>
      </w:r>
    </w:p>
    <w:p w14:paraId="1CDB0D20" w14:textId="535CB36C" w:rsidR="008654CC" w:rsidRPr="00A53033" w:rsidRDefault="00CC18E8" w:rsidP="67E78FAA">
      <w:pPr>
        <w:spacing w:after="120" w:line="240" w:lineRule="auto"/>
        <w:rPr>
          <w:rFonts w:cs="Times New Roman"/>
          <w:noProof/>
          <w:lang w:val="ro-RO"/>
        </w:rPr>
      </w:pPr>
      <w:r w:rsidRPr="00A53033">
        <w:rPr>
          <w:noProof/>
          <w:lang w:val="ro-RO"/>
        </w:rPr>
        <w:t xml:space="preserve">Anticiparea, monitorizarea și atenuarea riscurilor la adresa stabilității financiare legate de </w:t>
      </w:r>
      <w:r w:rsidRPr="00A53033">
        <w:rPr>
          <w:b/>
          <w:noProof/>
          <w:lang w:val="ro-RO"/>
        </w:rPr>
        <w:t>schimbările climatice și de degradarea mediului</w:t>
      </w:r>
      <w:r w:rsidRPr="00A53033">
        <w:rPr>
          <w:noProof/>
          <w:lang w:val="ro-RO"/>
        </w:rPr>
        <w:t xml:space="preserve"> devin tot mai mult o sarcină esențială pentru autoritățile naționale și europene. Riscurile de tranziție și riscurile fizice au un impact asupra instituțiilor financiare individuale și asupra sectorului financiar în sens larg (inclusiv asupra intermediarilor financiari nebancari). Aceste riscuri pot afecta în egală măsură solvabilitatea debitorilor și valoarea garanțiilor aferente împrumuturilor imobiliare – fenomenele meteorologice extreme, inclusiv valurile de căldură, incendiile forestiere și recentele inundații grave care au avut loc la nivel mondial au demonstrat în mod vădit daunele semnificative pe care le-ar putea suferi proprietățile imobiliare vulnerabile și alte active. Activele care generează emisii semnificative de gaze cu efect de seră ar putea face obiectul unei deprecieri accelerate, pe măsură ce economia se îndreaptă către neutralitate climatică, în conformitate cu legislația UE privind clima</w:t>
      </w:r>
      <w:r w:rsidRPr="00A53033">
        <w:rPr>
          <w:rStyle w:val="FootnoteReference"/>
          <w:rFonts w:cs="Times New Roman"/>
          <w:noProof/>
          <w:lang w:val="ro-RO"/>
        </w:rPr>
        <w:footnoteReference w:id="46"/>
      </w:r>
      <w:r w:rsidRPr="00A53033">
        <w:rPr>
          <w:noProof/>
          <w:lang w:val="ro-RO"/>
        </w:rPr>
        <w:t>. Prin urmare, o expunere semnificativă a instituțiilor financiare la aceste active ar trebui să fie acoperită cu amortizoare adecvate. În prezent, riscurile financiare legate de climă sunt analizate, în principal, în cadrul unor simulări de criză</w:t>
      </w:r>
      <w:r w:rsidRPr="00A53033">
        <w:rPr>
          <w:rStyle w:val="FootnoteReference"/>
          <w:rFonts w:cs="Times New Roman"/>
          <w:noProof/>
          <w:lang w:val="ro-RO"/>
        </w:rPr>
        <w:footnoteReference w:id="47"/>
      </w:r>
      <w:r w:rsidRPr="00A53033">
        <w:rPr>
          <w:noProof/>
          <w:lang w:val="ro-RO"/>
        </w:rPr>
        <w:t xml:space="preserve">, însă nu sunt încă luate în calcul în sens mai larg în cerințele macroprudențiale. În prezent, forurile UE și internaționale [CERS, BCE, Consiliul pentru Stabilitate Financiară (CSF), Rețeaua pentru ecologizarea sistemului financiar] discută despre modalitățile de a combate mai eficient aceste riscuri cu ajutorul instrumentelor macroprudențiale. Acordul la care s-a ajuns cu privire la „pachetul bancar” a clarificat faptul că amortizorul de risc sistemic ar putea fi utilizat pentru a face față riscurilor legate de schimbările climatice și de tranziția climatică. </w:t>
      </w:r>
    </w:p>
    <w:p w14:paraId="1A934A3C" w14:textId="25ECF3B0" w:rsidR="00241024" w:rsidRPr="00A53033" w:rsidRDefault="00241024" w:rsidP="004709F3">
      <w:pPr>
        <w:spacing w:after="120" w:line="240" w:lineRule="auto"/>
        <w:rPr>
          <w:rFonts w:cs="Times New Roman"/>
          <w:noProof/>
          <w:lang w:val="ro-RO"/>
        </w:rPr>
      </w:pPr>
      <w:r w:rsidRPr="00A53033">
        <w:rPr>
          <w:b/>
          <w:noProof/>
          <w:lang w:val="ro-RO"/>
        </w:rPr>
        <w:t>Riscul cibernetic la nivel de sistem</w:t>
      </w:r>
      <w:r w:rsidRPr="00A53033">
        <w:rPr>
          <w:noProof/>
          <w:lang w:val="ro-RO"/>
        </w:rPr>
        <w:t xml:space="preserve"> generează preocupări majore din perspectivă macroprudențială într-un sector financiar tot mai digitalizat, expus unor amenințări cibernetice crescânde. Dependența de furnizorii terți din domeniul TIC permite instituțiilor financiare să obțină o protecție de ultimă generație împotriva amenințărilor cibernetice, însă dependența de infrastructura critică asigurată de furnizori terți poate crea, de asemenea, noi vulnerabilități și riscuri de concentrare. Stabilitatea financiară poate fi perturbată atunci când incidentele cibernetice se răspândesc rapid la nivelul băncilor, al instituțiilor financiare nebancare și al infrastructurilor pieței financiare prin conexiuni financiare și informatice și printr-o dependență comună de furnizorii terți de servicii. Cadrul DORA</w:t>
      </w:r>
      <w:r w:rsidRPr="00A53033">
        <w:rPr>
          <w:rStyle w:val="FootnoteReference"/>
          <w:rFonts w:cs="Times New Roman"/>
          <w:noProof/>
          <w:lang w:val="ro-RO"/>
        </w:rPr>
        <w:footnoteReference w:id="48"/>
      </w:r>
      <w:r w:rsidRPr="00A53033">
        <w:rPr>
          <w:noProof/>
          <w:lang w:val="ro-RO"/>
        </w:rPr>
        <w:t>, Directiva privind securitatea cibernetică</w:t>
      </w:r>
      <w:r w:rsidRPr="00A53033">
        <w:rPr>
          <w:rStyle w:val="FootnoteReference"/>
          <w:rFonts w:cs="Times New Roman"/>
          <w:noProof/>
          <w:lang w:val="ro-RO"/>
        </w:rPr>
        <w:footnoteReference w:id="49"/>
      </w:r>
      <w:r w:rsidRPr="00A53033">
        <w:rPr>
          <w:noProof/>
          <w:lang w:val="ro-RO"/>
        </w:rPr>
        <w:t xml:space="preserve"> și eforturile curente de a răspunde recomandării CERS privind coordonarea incidentelor de securitate cibernetică</w:t>
      </w:r>
      <w:r w:rsidRPr="00A53033">
        <w:rPr>
          <w:rStyle w:val="FootnoteReference"/>
          <w:rFonts w:cs="Times New Roman"/>
          <w:noProof/>
          <w:lang w:val="ro-RO"/>
        </w:rPr>
        <w:footnoteReference w:id="50"/>
      </w:r>
      <w:r w:rsidRPr="00A53033">
        <w:rPr>
          <w:noProof/>
          <w:lang w:val="ro-RO"/>
        </w:rPr>
        <w:t>, precum și simularea de criză prudențială privind reziliența băncilor la atacurile cibernetice prin mecanismul unic de supraveghere</w:t>
      </w:r>
      <w:r w:rsidRPr="00A53033">
        <w:rPr>
          <w:rStyle w:val="FootnoteReference"/>
          <w:rFonts w:cs="Times New Roman"/>
          <w:noProof/>
          <w:lang w:val="ro-RO"/>
        </w:rPr>
        <w:footnoteReference w:id="51"/>
      </w:r>
      <w:r w:rsidRPr="00A53033">
        <w:rPr>
          <w:noProof/>
          <w:lang w:val="ro-RO"/>
        </w:rPr>
        <w:t xml:space="preserve"> vizează atenuarea acestor riscuri. </w:t>
      </w:r>
    </w:p>
    <w:p w14:paraId="1F93AFD3" w14:textId="3E10B08C" w:rsidR="00241024" w:rsidRPr="00A53033" w:rsidRDefault="00241024" w:rsidP="004709F3">
      <w:pPr>
        <w:pStyle w:val="Heading2"/>
        <w:numPr>
          <w:ilvl w:val="0"/>
          <w:numId w:val="0"/>
        </w:numPr>
        <w:spacing w:after="120"/>
        <w:ind w:left="1077"/>
        <w:rPr>
          <w:rFonts w:ascii="Times New Roman" w:hAnsi="Times New Roman" w:cs="Times New Roman"/>
          <w:noProof/>
          <w:sz w:val="22"/>
          <w:lang w:val="ro-RO"/>
        </w:rPr>
      </w:pPr>
      <w:r w:rsidRPr="00A53033">
        <w:rPr>
          <w:rFonts w:ascii="Times New Roman" w:hAnsi="Times New Roman"/>
          <w:noProof/>
          <w:sz w:val="22"/>
          <w:lang w:val="ro-RO"/>
        </w:rPr>
        <w:t>Vulnerabilitățile intermediarilor financiari nebancari</w:t>
      </w:r>
    </w:p>
    <w:p w14:paraId="7FCCE4D3" w14:textId="3AE87A0C" w:rsidR="00241024" w:rsidRPr="00A53033" w:rsidRDefault="005142D7" w:rsidP="004709F3">
      <w:pPr>
        <w:spacing w:after="120" w:line="240" w:lineRule="auto"/>
        <w:rPr>
          <w:rFonts w:cs="Times New Roman"/>
          <w:noProof/>
          <w:lang w:val="ro-RO"/>
        </w:rPr>
      </w:pPr>
      <w:bookmarkStart w:id="2" w:name="_Hlk121309533"/>
      <w:r w:rsidRPr="00A53033">
        <w:rPr>
          <w:rStyle w:val="BodyTextChar"/>
          <w:noProof/>
          <w:lang w:val="ro-RO"/>
        </w:rPr>
        <w:t xml:space="preserve">În cazul intermediarilor financiari nebancari, CSF și CERS au identificat trei vulnerabilități structurale principale de intensități diferite, care sunt doar parțial contracarate prin măsurile macroprudențiale actuale și care </w:t>
      </w:r>
      <w:r w:rsidRPr="00A53033">
        <w:rPr>
          <w:noProof/>
          <w:lang w:val="ro-RO"/>
        </w:rPr>
        <w:t xml:space="preserve">pot contribui la acumularea de riscuri sistemice. Cele trei vulnerabilități sunt deficitul structural de lichiditate, efectul de levier (excesiv) și interconectarea. O supraveghere macroprudențială limitată și fragmentată a intermediarilor financiari nebancari la nivelul statelor membre poate crea și o sursă suplimentară de risc sistemic pentru sistemul financiar din UE. </w:t>
      </w:r>
    </w:p>
    <w:p w14:paraId="782AA9C1" w14:textId="6D116A1B" w:rsidR="000E2663" w:rsidRPr="00A53033" w:rsidRDefault="00241024" w:rsidP="004709F3">
      <w:pPr>
        <w:spacing w:after="120" w:line="240" w:lineRule="auto"/>
        <w:rPr>
          <w:noProof/>
          <w:lang w:val="ro-RO"/>
        </w:rPr>
      </w:pPr>
      <w:r w:rsidRPr="00A53033">
        <w:rPr>
          <w:rStyle w:val="BodyTextChar"/>
          <w:b/>
          <w:noProof/>
          <w:lang w:val="ro-RO"/>
        </w:rPr>
        <w:t>Deficitele sistemice</w:t>
      </w:r>
      <w:r w:rsidRPr="00A53033">
        <w:rPr>
          <w:rStyle w:val="BodyTextChar"/>
          <w:noProof/>
          <w:lang w:val="ro-RO"/>
        </w:rPr>
        <w:t xml:space="preserve"> </w:t>
      </w:r>
      <w:r w:rsidRPr="00A53033">
        <w:rPr>
          <w:rStyle w:val="BodyTextChar"/>
          <w:b/>
          <w:noProof/>
          <w:lang w:val="ro-RO"/>
        </w:rPr>
        <w:t>de lichiditate</w:t>
      </w:r>
      <w:r w:rsidRPr="00A53033">
        <w:rPr>
          <w:rStyle w:val="BodyTextChar"/>
          <w:noProof/>
          <w:lang w:val="ro-RO"/>
        </w:rPr>
        <w:t xml:space="preserve"> pot apărea ca urmare a modificărilor ample și neașteptate ale cererii de lichiditate, în condițiile în care oferta de lichiditate este în mod firesc mai redusă în perioade de criză. În martie </w:t>
      </w:r>
      <w:r w:rsidRPr="007240C7">
        <w:rPr>
          <w:rStyle w:val="BodyTextChar"/>
          <w:noProof/>
          <w:lang w:val="ro-RO"/>
        </w:rPr>
        <w:t>2020</w:t>
      </w:r>
      <w:r w:rsidRPr="00A53033">
        <w:rPr>
          <w:rStyle w:val="BodyTextChar"/>
          <w:noProof/>
          <w:lang w:val="ro-RO"/>
        </w:rPr>
        <w:t>, cererea preventivă de lichidități din economie și necesarul de numerar aferent al instituțiilor financiare au condus la vânzarea pe scară largă a activelor financiare, așa-numita „cursă după numerar”</w:t>
      </w:r>
      <w:r w:rsidRPr="00A53033">
        <w:rPr>
          <w:rStyle w:val="FootnoteReference"/>
          <w:rFonts w:eastAsiaTheme="minorEastAsia" w:cs="Times New Roman"/>
          <w:noProof/>
          <w:lang w:val="ro-RO"/>
        </w:rPr>
        <w:footnoteReference w:id="52"/>
      </w:r>
      <w:r w:rsidRPr="00A53033">
        <w:rPr>
          <w:noProof/>
          <w:lang w:val="ro-RO"/>
        </w:rPr>
        <w:t>.</w:t>
      </w:r>
      <w:r w:rsidRPr="00A53033">
        <w:rPr>
          <w:rStyle w:val="BodyTextChar"/>
          <w:noProof/>
          <w:lang w:val="ro-RO"/>
        </w:rPr>
        <w:t xml:space="preserve"> Pe partea ofertei, apetitul la risc mai scăzut, constrângerile în materie de reglementare (odată cu punerea în aplicare a cadrului Basel III) și provocările operaționale au limitat furnizarea de lichidități de către bănci și brokeri. </w:t>
      </w:r>
      <w:r w:rsidRPr="00A53033">
        <w:rPr>
          <w:noProof/>
          <w:lang w:val="ro-RO"/>
        </w:rPr>
        <w:t xml:space="preserve">În septembrie </w:t>
      </w:r>
      <w:r w:rsidRPr="007240C7">
        <w:rPr>
          <w:noProof/>
          <w:lang w:val="ro-RO"/>
        </w:rPr>
        <w:t>2022</w:t>
      </w:r>
      <w:r w:rsidRPr="00A53033">
        <w:rPr>
          <w:noProof/>
          <w:lang w:val="ro-RO"/>
        </w:rPr>
        <w:t>, creșterea bruscă a ratelor dobânzilor la obligațiunile de stat din Regatul Unit (și scăderea ulterioară a prețurilor activelor financiare) a declanșat temeri în sectorul fondurilor de pensii, în cadrul căruia strategiile bazate pe pasive (LDI) au condus la o operațiune majoră de vânzare de obligațiuni de stat, ceea ce, la rândul său, a determinat Banca Angliei să intervină printr-un amplu program de achiziționare de active</w:t>
      </w:r>
      <w:r w:rsidRPr="00A53033">
        <w:rPr>
          <w:rStyle w:val="FootnoteReference"/>
          <w:rFonts w:cs="Times New Roman"/>
          <w:noProof/>
          <w:lang w:val="ro-RO"/>
        </w:rPr>
        <w:footnoteReference w:id="53"/>
      </w:r>
      <w:r w:rsidRPr="00A53033">
        <w:rPr>
          <w:noProof/>
          <w:lang w:val="ro-RO"/>
        </w:rPr>
        <w:t xml:space="preserve">. În data de </w:t>
      </w:r>
      <w:r w:rsidRPr="007240C7">
        <w:rPr>
          <w:noProof/>
          <w:lang w:val="ro-RO"/>
        </w:rPr>
        <w:t>28</w:t>
      </w:r>
      <w:r w:rsidRPr="00A53033">
        <w:rPr>
          <w:noProof/>
          <w:lang w:val="ro-RO"/>
        </w:rPr>
        <w:t xml:space="preserve"> septembrie </w:t>
      </w:r>
      <w:r w:rsidRPr="007240C7">
        <w:rPr>
          <w:noProof/>
          <w:lang w:val="ro-RO"/>
        </w:rPr>
        <w:t>2023</w:t>
      </w:r>
      <w:r w:rsidRPr="00A53033">
        <w:rPr>
          <w:noProof/>
          <w:lang w:val="ro-RO"/>
        </w:rPr>
        <w:t>, Banca</w:t>
      </w:r>
      <w:r w:rsidR="00906DE8">
        <w:rPr>
          <w:noProof/>
          <w:lang w:val="ro-RO"/>
        </w:rPr>
        <w:t> </w:t>
      </w:r>
      <w:r w:rsidRPr="00A53033">
        <w:rPr>
          <w:noProof/>
          <w:lang w:val="ro-RO"/>
        </w:rPr>
        <w:t xml:space="preserve">Angliei a anunțat planul de a crea un nou instrument de lichiditate pentru intermediarii financiari nebancari, care va viza inițial fondurile de asigurări și de pensii și care ar putea fi extins la toate entitățile din sectorul intermedierii financiare nebancare care îndeplinesc anumite cerințe de eligibilitate (reziliență </w:t>
      </w:r>
      <w:r w:rsidRPr="00A53033">
        <w:rPr>
          <w:i/>
          <w:noProof/>
          <w:lang w:val="ro-RO"/>
        </w:rPr>
        <w:t>ex ante</w:t>
      </w:r>
      <w:r w:rsidRPr="00A53033">
        <w:rPr>
          <w:noProof/>
          <w:lang w:val="ro-RO"/>
        </w:rPr>
        <w:t>)</w:t>
      </w:r>
      <w:r w:rsidRPr="00A53033">
        <w:rPr>
          <w:rStyle w:val="FootnoteReference"/>
          <w:rFonts w:cs="Times New Roman"/>
          <w:noProof/>
          <w:lang w:val="ro-RO"/>
        </w:rPr>
        <w:footnoteReference w:id="54"/>
      </w:r>
      <w:r w:rsidRPr="00A53033">
        <w:rPr>
          <w:noProof/>
          <w:lang w:val="ro-RO"/>
        </w:rPr>
        <w:t xml:space="preserve">. </w:t>
      </w:r>
    </w:p>
    <w:p w14:paraId="7273752D" w14:textId="56ED737C" w:rsidR="00241024" w:rsidRPr="00A53033" w:rsidRDefault="00FC71E2" w:rsidP="004709F3">
      <w:pPr>
        <w:spacing w:after="120" w:line="240" w:lineRule="auto"/>
        <w:rPr>
          <w:rFonts w:cs="Times New Roman"/>
          <w:noProof/>
          <w:lang w:val="ro-RO"/>
        </w:rPr>
      </w:pPr>
      <w:r w:rsidRPr="00A53033">
        <w:rPr>
          <w:noProof/>
          <w:lang w:val="ro-RO"/>
        </w:rPr>
        <w:t>În plus, tensiunile de pe piață cauzate de pandemia de COVID-</w:t>
      </w:r>
      <w:r w:rsidRPr="007240C7">
        <w:rPr>
          <w:noProof/>
          <w:lang w:val="ro-RO"/>
        </w:rPr>
        <w:t>19</w:t>
      </w:r>
      <w:r w:rsidRPr="00A53033">
        <w:rPr>
          <w:noProof/>
          <w:lang w:val="ro-RO"/>
        </w:rPr>
        <w:t xml:space="preserve"> din martie </w:t>
      </w:r>
      <w:r w:rsidRPr="007240C7">
        <w:rPr>
          <w:noProof/>
          <w:lang w:val="ro-RO"/>
        </w:rPr>
        <w:t>2020</w:t>
      </w:r>
      <w:r w:rsidRPr="00A53033">
        <w:rPr>
          <w:noProof/>
          <w:lang w:val="ro-RO"/>
        </w:rPr>
        <w:t xml:space="preserve"> au arătat că anumite fonduri de piață monetară (FPM) pot fi predispuse la retrageri masive ale investitorilor (ceea ce presupune un avantaj al primului venit), care pot exacerba șocurile de lichiditate, întrucât FPM trebuie să își vândă activele pentru a finanța ieșiri foarte mari în circumstanțe excepționale. Acest lucru se poate întâmpla adesea în legătură cu lichiditatea și transparența piețelor subiacente de finanțare pe termen scurt</w:t>
      </w:r>
      <w:r w:rsidRPr="00A53033">
        <w:rPr>
          <w:rStyle w:val="FootnoteReference"/>
          <w:noProof/>
          <w:lang w:val="ro-RO"/>
        </w:rPr>
        <w:footnoteReference w:id="55"/>
      </w:r>
      <w:r w:rsidRPr="00A53033">
        <w:rPr>
          <w:noProof/>
          <w:lang w:val="ro-RO"/>
        </w:rPr>
        <w:t xml:space="preserve">. Comisia se implică activ în discuții la nivel internațional cu privire la măsurile care vizează soluționarea problemei deficitelor sistemice de lichiditate. Discuțiile internaționale se axează pe măsuri preventive privind lichiditatea (cum ar fi rezervele de lichiditate sau noile practici de stabilire a marjelor) și pe măsurile privind lichiditatea ale căror efecte și utilizare sunt amplificate de evenimente sistemice (cum ar fi instrumentele de gestionare a lichidității la nivel de sector sau competența de a suspenda drepturile de reconversie, denumite și „măsuri </w:t>
      </w:r>
      <w:r w:rsidRPr="00A53033">
        <w:rPr>
          <w:i/>
          <w:noProof/>
          <w:lang w:val="ro-RO"/>
        </w:rPr>
        <w:t>ex post</w:t>
      </w:r>
      <w:r w:rsidRPr="00A53033">
        <w:rPr>
          <w:noProof/>
          <w:lang w:val="ro-RO"/>
        </w:rPr>
        <w:t>” privind lichiditatea) în diferite sectoare ale intermediarilor financiari nebancari, inclusiv fonduri de investiții, fonduri de pensii și societăți de asigurări</w:t>
      </w:r>
      <w:r w:rsidRPr="00A53033">
        <w:rPr>
          <w:rStyle w:val="FootnoteReference"/>
          <w:noProof/>
          <w:lang w:val="ro-RO"/>
        </w:rPr>
        <w:footnoteReference w:id="56"/>
      </w:r>
      <w:r w:rsidRPr="00A53033">
        <w:rPr>
          <w:noProof/>
          <w:lang w:val="ro-RO"/>
        </w:rPr>
        <w:t xml:space="preserve">. </w:t>
      </w:r>
    </w:p>
    <w:p w14:paraId="4ED46085" w14:textId="38FAC485" w:rsidR="00A021AE" w:rsidRPr="00A53033" w:rsidRDefault="00241024" w:rsidP="004709F3">
      <w:pPr>
        <w:spacing w:after="120" w:line="240" w:lineRule="auto"/>
        <w:rPr>
          <w:rStyle w:val="BodyTextChar"/>
          <w:rFonts w:eastAsiaTheme="minorEastAsia" w:cs="Times New Roman"/>
          <w:noProof/>
          <w:lang w:val="ro-RO"/>
        </w:rPr>
      </w:pPr>
      <w:r w:rsidRPr="00A53033">
        <w:rPr>
          <w:rStyle w:val="BodyTextChar"/>
          <w:noProof/>
          <w:lang w:val="ro-RO"/>
        </w:rPr>
        <w:t xml:space="preserve">Deficitele de lichiditate sunt adesea amplificate de </w:t>
      </w:r>
      <w:r w:rsidRPr="00A53033">
        <w:rPr>
          <w:rStyle w:val="BodyTextChar"/>
          <w:b/>
          <w:noProof/>
          <w:lang w:val="ro-RO"/>
        </w:rPr>
        <w:t>un efect de levier excesiv</w:t>
      </w:r>
      <w:r w:rsidRPr="00A53033">
        <w:rPr>
          <w:rStyle w:val="BodyTextChar"/>
          <w:noProof/>
          <w:lang w:val="ro-RO"/>
        </w:rPr>
        <w:t xml:space="preserve"> care, odată ce devine nesustenabil din cauza costurilor de finanțare aferente, poate duce la o corecție bruscă a pozițiilor pe piață (reducerea efectului de levier) și la vânzarea în regim de urgență a activelor, cu efecte de propagare asupra altor părți ale sistemului financiar și ale economiei. Cazul Archegos Capital Management din martie </w:t>
      </w:r>
      <w:r w:rsidRPr="007240C7">
        <w:rPr>
          <w:rStyle w:val="BodyTextChar"/>
          <w:noProof/>
          <w:lang w:val="ro-RO"/>
        </w:rPr>
        <w:t>2021</w:t>
      </w:r>
      <w:r w:rsidRPr="00A53033">
        <w:rPr>
          <w:rStyle w:val="BodyTextChar"/>
          <w:noProof/>
          <w:lang w:val="ro-RO"/>
        </w:rPr>
        <w:t xml:space="preserve">, un „birou familial” care funcționează ca un fond de hedging, este un exemplu al impactului pe care utilizarea efectului de levier, combinat cu deficitele de lichiditate, îl poate avea cu mult dincolo de intermediarii financiari nebancari. Prăbușirea Archegos a repartizat pierderi majore între instituțiile financiare (și mai ales către Credit Suisse, cu o pierdere de </w:t>
      </w:r>
      <w:r w:rsidRPr="007240C7">
        <w:rPr>
          <w:rStyle w:val="BodyTextChar"/>
          <w:noProof/>
          <w:lang w:val="ro-RO"/>
        </w:rPr>
        <w:t>5</w:t>
      </w:r>
      <w:r w:rsidRPr="00A53033">
        <w:rPr>
          <w:rStyle w:val="BodyTextChar"/>
          <w:noProof/>
          <w:lang w:val="ro-RO"/>
        </w:rPr>
        <w:t>,</w:t>
      </w:r>
      <w:r w:rsidRPr="007240C7">
        <w:rPr>
          <w:rStyle w:val="BodyTextChar"/>
          <w:noProof/>
          <w:lang w:val="ro-RO"/>
        </w:rPr>
        <w:t>5</w:t>
      </w:r>
      <w:r w:rsidRPr="00A53033">
        <w:rPr>
          <w:rStyle w:val="BodyTextChar"/>
          <w:noProof/>
          <w:lang w:val="ro-RO"/>
        </w:rPr>
        <w:t xml:space="preserve"> miliarde USD) din cauza unei expuneri mari (cu efect de levier) la puține stocuri prin intermediul swap-urilor globale de randament și al contractelor pe diferență, ceea ce a oferit Archegos posibilitatea de a mobiliza de </w:t>
      </w:r>
      <w:r w:rsidRPr="007240C7">
        <w:rPr>
          <w:rStyle w:val="BodyTextChar"/>
          <w:noProof/>
          <w:lang w:val="ro-RO"/>
        </w:rPr>
        <w:t>5</w:t>
      </w:r>
      <w:r w:rsidRPr="00A53033">
        <w:rPr>
          <w:rStyle w:val="BodyTextChar"/>
          <w:noProof/>
          <w:lang w:val="ro-RO"/>
        </w:rPr>
        <w:t>-</w:t>
      </w:r>
      <w:r w:rsidRPr="007240C7">
        <w:rPr>
          <w:rStyle w:val="BodyTextChar"/>
          <w:noProof/>
          <w:lang w:val="ro-RO"/>
        </w:rPr>
        <w:t>6</w:t>
      </w:r>
      <w:r w:rsidRPr="00A53033">
        <w:rPr>
          <w:rStyle w:val="BodyTextChar"/>
          <w:noProof/>
          <w:lang w:val="ro-RO"/>
        </w:rPr>
        <w:t xml:space="preserve"> ori capitalul investit</w:t>
      </w:r>
      <w:r w:rsidRPr="00A53033">
        <w:rPr>
          <w:rStyle w:val="FootnoteReference"/>
          <w:rFonts w:eastAsiaTheme="minorEastAsia" w:cs="Times New Roman"/>
          <w:noProof/>
          <w:lang w:val="ro-RO"/>
        </w:rPr>
        <w:footnoteReference w:id="57"/>
      </w:r>
      <w:r w:rsidRPr="00A53033">
        <w:rPr>
          <w:noProof/>
          <w:lang w:val="ro-RO"/>
        </w:rPr>
        <w:t>.</w:t>
      </w:r>
      <w:r w:rsidRPr="00A53033">
        <w:rPr>
          <w:rStyle w:val="BodyTextChar"/>
          <w:noProof/>
          <w:lang w:val="ro-RO"/>
        </w:rPr>
        <w:t xml:space="preserve"> Tranzacțiile au fost subraportate din cauza statutului de reglementare al birourilor familiale, care nu erau reglementate nici în Europa, nici în SUA. Cu toate acestea, unele tranzacții au fost vizibile în tranzacționarea cu contrapărți europene care își desfășurau activitatea în temeiul EMIR (în principal bănci din Regatul Unit), însă acestea au fost insuficiente pentru a oferi o imagine completă și în timp util, care să poată declanșa o intervenție în materie de supraveghere cel puțin asupra contrapărților bancare. </w:t>
      </w:r>
    </w:p>
    <w:p w14:paraId="5263295F" w14:textId="71A63231" w:rsidR="00241024" w:rsidRPr="00A53033" w:rsidRDefault="00241024" w:rsidP="004709F3">
      <w:pPr>
        <w:spacing w:after="120" w:line="240" w:lineRule="auto"/>
        <w:rPr>
          <w:rFonts w:cs="Times New Roman"/>
          <w:noProof/>
          <w:lang w:val="ro-RO"/>
        </w:rPr>
      </w:pPr>
      <w:r w:rsidRPr="00A53033">
        <w:rPr>
          <w:noProof/>
          <w:lang w:val="ro-RO"/>
        </w:rPr>
        <w:t>Activitatea CSF evidențiază, de asemenea, existența unor zone cu efect de levier sintetic ridicat în unele entități din sectorul intermedierii financiare nebancare, în special în unele fonduri de hedging și fonduri de investiții bazate pe pasive (LDI)</w:t>
      </w:r>
      <w:r w:rsidRPr="00A53033">
        <w:rPr>
          <w:rStyle w:val="FootnoteReference"/>
          <w:rFonts w:eastAsiaTheme="minorEastAsia" w:cs="Times New Roman"/>
          <w:noProof/>
          <w:lang w:val="ro-RO"/>
        </w:rPr>
        <w:footnoteReference w:id="58"/>
      </w:r>
      <w:r w:rsidRPr="00A53033">
        <w:rPr>
          <w:noProof/>
          <w:lang w:val="ro-RO"/>
        </w:rPr>
        <w:t>, care, în unele cazuri, prezintă și un grad ridicat de interconectare. Activitățile curente derulate atât la nivelul UE, cât și la nivel internațional vizează obținerea unei înțelegeri mai aprofundate cu privire la modul în care cadrele existente de raportare și de publicare pot combate în mod eficace efectul de levier excesiv. Acest lucru implică asigurarea faptului că pozițiile cu efect de levier rămân transparente și reconciliabile, chiar și atunci când sunt implicate structuri juridice complexe sau instrumente derivate complexe. În plus, organismele de supraveghere naționale și ale UE explorează în mod activ modalități de utilizare a datelor raportate pentru a gestiona în mod eficace astfel de riscuri și pentru a promova schimbul de date în vederea reducerii la minimum a sarcinilor suplimentare de raportare pentru operatorii de pe piață</w:t>
      </w:r>
      <w:r w:rsidRPr="00A53033">
        <w:rPr>
          <w:rStyle w:val="FootnoteReference"/>
          <w:rFonts w:cs="Times New Roman"/>
          <w:noProof/>
          <w:lang w:val="ro-RO"/>
        </w:rPr>
        <w:footnoteReference w:id="59"/>
      </w:r>
      <w:r w:rsidRPr="00A53033">
        <w:rPr>
          <w:noProof/>
          <w:lang w:val="ro-RO"/>
        </w:rPr>
        <w:t>. De asemenea, sunt în curs discuții cu privire la limitele potențiale ale acumulării efectului de levier în anumite sectoare, în special în cadrul entităților juridice nereglementate, cum ar fi birourile familiale</w:t>
      </w:r>
      <w:r w:rsidRPr="00A53033">
        <w:rPr>
          <w:rStyle w:val="FootnoteReference"/>
          <w:rFonts w:cs="Times New Roman"/>
          <w:noProof/>
          <w:lang w:val="ro-RO"/>
        </w:rPr>
        <w:footnoteReference w:id="60"/>
      </w:r>
      <w:r w:rsidRPr="00A53033">
        <w:rPr>
          <w:noProof/>
          <w:lang w:val="ro-RO"/>
        </w:rPr>
        <w:t xml:space="preserve">. </w:t>
      </w:r>
    </w:p>
    <w:p w14:paraId="72475335" w14:textId="3EF9001C" w:rsidR="00425138" w:rsidRPr="00A53033" w:rsidRDefault="00241024" w:rsidP="004709F3">
      <w:pPr>
        <w:spacing w:after="120" w:line="240" w:lineRule="auto"/>
        <w:rPr>
          <w:rStyle w:val="BodyTextChar"/>
          <w:rFonts w:eastAsiaTheme="minorEastAsia" w:cs="Times New Roman"/>
          <w:noProof/>
          <w:lang w:val="ro-RO"/>
        </w:rPr>
      </w:pPr>
      <w:bookmarkStart w:id="3" w:name="_Hlk121309552"/>
      <w:bookmarkEnd w:id="2"/>
      <w:r w:rsidRPr="00A53033">
        <w:rPr>
          <w:rStyle w:val="BodyTextChar"/>
          <w:b/>
          <w:noProof/>
          <w:lang w:val="ro-RO"/>
        </w:rPr>
        <w:t>Interconectarea</w:t>
      </w:r>
      <w:r w:rsidRPr="00A53033">
        <w:rPr>
          <w:rStyle w:val="BodyTextChar"/>
          <w:noProof/>
          <w:lang w:val="ro-RO"/>
        </w:rPr>
        <w:t xml:space="preserve"> </w:t>
      </w:r>
      <w:r w:rsidRPr="00A53033">
        <w:rPr>
          <w:rStyle w:val="BodyTextChar"/>
          <w:b/>
          <w:noProof/>
          <w:lang w:val="ro-RO"/>
        </w:rPr>
        <w:t>dintre intermediarii financiari nebancari și sectorul bancar</w:t>
      </w:r>
      <w:r w:rsidRPr="00A53033">
        <w:rPr>
          <w:rStyle w:val="BodyTextChar"/>
          <w:noProof/>
          <w:lang w:val="ro-RO"/>
        </w:rPr>
        <w:t xml:space="preserve"> crește riscul de contagiune în întregul sector financiar, cu potențiale efecte de propagare negative asupra economiei</w:t>
      </w:r>
      <w:bookmarkEnd w:id="3"/>
      <w:r w:rsidRPr="00A53033">
        <w:rPr>
          <w:rStyle w:val="BodyTextChar"/>
          <w:noProof/>
          <w:lang w:val="ro-RO"/>
        </w:rPr>
        <w:t>. De</w:t>
      </w:r>
      <w:r w:rsidR="004A6EB8">
        <w:rPr>
          <w:rStyle w:val="BodyTextChar"/>
          <w:noProof/>
          <w:lang w:val="ro-RO"/>
        </w:rPr>
        <w:t> </w:t>
      </w:r>
      <w:r w:rsidRPr="00A53033">
        <w:rPr>
          <w:rStyle w:val="BodyTextChar"/>
          <w:noProof/>
          <w:lang w:val="ro-RO"/>
        </w:rPr>
        <w:t xml:space="preserve">exemplu, fondurile de asigurări și de pensii sunt cei mai mari investitori naționali în fondurile de investiții din zona euro (cu excepția FPM), cu o pondere de aproximativ </w:t>
      </w:r>
      <w:r w:rsidRPr="007240C7">
        <w:rPr>
          <w:rStyle w:val="BodyTextChar"/>
          <w:noProof/>
          <w:lang w:val="ro-RO"/>
        </w:rPr>
        <w:t>25</w:t>
      </w:r>
      <w:r w:rsidRPr="00A53033">
        <w:rPr>
          <w:rStyle w:val="BodyTextChar"/>
          <w:noProof/>
          <w:lang w:val="ro-RO"/>
        </w:rPr>
        <w:t xml:space="preserve"> %, fiind urmate de gospodăriile populației și de fondurile de investiții (care investesc în alte fonduri), care se situează la </w:t>
      </w:r>
      <w:r w:rsidRPr="007240C7">
        <w:rPr>
          <w:rStyle w:val="BodyTextChar"/>
          <w:noProof/>
          <w:lang w:val="ro-RO"/>
        </w:rPr>
        <w:t>19</w:t>
      </w:r>
      <w:r w:rsidRPr="00A53033">
        <w:rPr>
          <w:rStyle w:val="BodyTextChar"/>
          <w:noProof/>
          <w:lang w:val="ro-RO"/>
        </w:rPr>
        <w:t xml:space="preserve"> % și respectiv </w:t>
      </w:r>
      <w:r w:rsidRPr="007240C7">
        <w:rPr>
          <w:rStyle w:val="BodyTextChar"/>
          <w:noProof/>
          <w:lang w:val="ro-RO"/>
        </w:rPr>
        <w:t>16</w:t>
      </w:r>
      <w:r w:rsidRPr="00A53033">
        <w:rPr>
          <w:rStyle w:val="BodyTextChar"/>
          <w:noProof/>
          <w:lang w:val="ro-RO"/>
        </w:rPr>
        <w:t> %</w:t>
      </w:r>
      <w:r w:rsidRPr="00A53033">
        <w:rPr>
          <w:rStyle w:val="FootnoteReference"/>
          <w:rFonts w:cs="Times New Roman"/>
          <w:noProof/>
          <w:lang w:val="ro-RO"/>
        </w:rPr>
        <w:footnoteReference w:id="61"/>
      </w:r>
      <w:r w:rsidRPr="00A53033">
        <w:rPr>
          <w:noProof/>
          <w:lang w:val="ro-RO"/>
        </w:rPr>
        <w:t>.</w:t>
      </w:r>
      <w:r w:rsidRPr="00A53033">
        <w:rPr>
          <w:rStyle w:val="BodyTextChar"/>
          <w:noProof/>
          <w:lang w:val="ro-RO"/>
        </w:rPr>
        <w:t xml:space="preserve"> În schimb, fondurile de investiții și alți intermediari financiari (AIF) reprezintă o sursă importantă de finanțare pentru sectorul bancar, întrucât dețineau </w:t>
      </w:r>
      <w:r w:rsidRPr="007240C7">
        <w:rPr>
          <w:rStyle w:val="BodyTextChar"/>
          <w:noProof/>
          <w:lang w:val="ro-RO"/>
        </w:rPr>
        <w:t>14</w:t>
      </w:r>
      <w:r w:rsidRPr="00A53033">
        <w:rPr>
          <w:rStyle w:val="BodyTextChar"/>
          <w:noProof/>
          <w:lang w:val="ro-RO"/>
        </w:rPr>
        <w:t xml:space="preserve"> % din pasivele sectorului bancar din zona euro în primul trimestru al anului </w:t>
      </w:r>
      <w:r w:rsidRPr="007240C7">
        <w:rPr>
          <w:rStyle w:val="BodyTextChar"/>
          <w:noProof/>
          <w:lang w:val="ro-RO"/>
        </w:rPr>
        <w:t>2023</w:t>
      </w:r>
      <w:r w:rsidRPr="00A53033">
        <w:rPr>
          <w:rStyle w:val="BodyTextChar"/>
          <w:noProof/>
          <w:lang w:val="ro-RO"/>
        </w:rPr>
        <w:t xml:space="preserve">. Incluzând societățile de asigurări și fondurile de pensii, intermediarii financiari nebancari dețin aproximativ </w:t>
      </w:r>
      <w:r w:rsidRPr="007240C7">
        <w:rPr>
          <w:rStyle w:val="BodyTextChar"/>
          <w:noProof/>
          <w:lang w:val="ro-RO"/>
        </w:rPr>
        <w:t>28</w:t>
      </w:r>
      <w:r w:rsidRPr="00A53033">
        <w:rPr>
          <w:rStyle w:val="BodyTextChar"/>
          <w:noProof/>
          <w:lang w:val="ro-RO"/>
        </w:rPr>
        <w:t> % din titlurile de creanță ale băncilor aflate în circulație în zona euro</w:t>
      </w:r>
      <w:r w:rsidRPr="00A53033">
        <w:rPr>
          <w:rStyle w:val="FootnoteReference"/>
          <w:rFonts w:eastAsiaTheme="minorEastAsia" w:cs="Times New Roman"/>
          <w:noProof/>
          <w:lang w:val="ro-RO"/>
        </w:rPr>
        <w:footnoteReference w:id="62"/>
      </w:r>
      <w:r w:rsidRPr="00A53033">
        <w:rPr>
          <w:noProof/>
          <w:lang w:val="ro-RO"/>
        </w:rPr>
        <w:t>.</w:t>
      </w:r>
      <w:r w:rsidRPr="00A53033">
        <w:rPr>
          <w:rStyle w:val="BodyTextChar"/>
          <w:noProof/>
          <w:lang w:val="ro-RO"/>
        </w:rPr>
        <w:t xml:space="preserve"> </w:t>
      </w:r>
    </w:p>
    <w:p w14:paraId="2A0398F6" w14:textId="47600629" w:rsidR="00614647" w:rsidRPr="00A53033" w:rsidRDefault="00241024" w:rsidP="004709F3">
      <w:pPr>
        <w:spacing w:after="120" w:line="240" w:lineRule="auto"/>
        <w:rPr>
          <w:rStyle w:val="BodyTextChar"/>
          <w:rFonts w:eastAsiaTheme="minorEastAsia" w:cs="Times New Roman"/>
          <w:noProof/>
          <w:lang w:val="ro-RO"/>
        </w:rPr>
      </w:pPr>
      <w:r w:rsidRPr="00A53033">
        <w:rPr>
          <w:rStyle w:val="BodyTextChar"/>
          <w:noProof/>
          <w:lang w:val="ro-RO"/>
        </w:rPr>
        <w:t xml:space="preserve">Această interconectare poate exacerba impactul negativ al șocurilor de lichiditate sau al efectului de levier excesiv menționat mai sus sau chiar poate ascunde vulnerabilitățile și acumularea de riscuri sistemice. Un risc major asociat interconectării dintre intermediarii financiari nebancari și sectorul bancar este transmisia transsectorială potențială a șocurilor financiare. În cazul în care un intermediar financiar nebancar se confruntă cu dificultăți financiare, acesta poate transmite dificultățile contrapărților sale din sectorul bancar și altor instituții nefinanciare prin expuneri atât pe partea de active, cât și pe partea de pasive (de exemplu, poziții pe instrumente financiare derivate, dețineri de titluri de valoare bancare și finanțare prin contracte repo). Intrarea în stare de nerambursare a Archegos a evidențiat importanța unei gestionări robuste a riscurilor și modul în care interconectarea poate spori riscul de credit pentru bănci (așa cum s-a întâmplat, de exemplu, în cazul Credit Suisse). De asemenea, băncile pot transmite dificultăți intermediarilor financiari nebancari, întrucât acestea sunt esențiale pentru funcționarea piețelor instrumentelor financiare derivate și reprezintă, totodată, creditori importanți ai acestor instituții. </w:t>
      </w:r>
    </w:p>
    <w:p w14:paraId="4136FC40" w14:textId="3DBBB526" w:rsidR="00241024" w:rsidRPr="00A53033" w:rsidRDefault="00241024" w:rsidP="004709F3">
      <w:pPr>
        <w:spacing w:after="120" w:line="240" w:lineRule="auto"/>
        <w:rPr>
          <w:noProof/>
          <w:lang w:val="ro-RO"/>
        </w:rPr>
      </w:pPr>
      <w:r w:rsidRPr="00A53033">
        <w:rPr>
          <w:rStyle w:val="BodyTextChar"/>
          <w:noProof/>
          <w:lang w:val="ro-RO"/>
        </w:rPr>
        <w:t xml:space="preserve">Intermediarii financiari nebancari și băncile pot fi interconectate prin expuneri comune dacă investesc în active similare sau au expuneri față de aceleași contrapărți. În cazul în care aceste expuneri comune sunt supuse unui context de criză financiară, intermediarii financiari nebancari și băncile pot fi afectați concomitent, sporind riscul de criză sistemică. Mai mult, în cazul în care intermediarii financiari nebancari și băncile tradiționale acționează în sincron, acestea pot genera vânzări masive în regim de urgență pe segmentul activelor comune (de exemplu, turbulențele de pe piață din martie </w:t>
      </w:r>
      <w:r w:rsidRPr="007240C7">
        <w:rPr>
          <w:rStyle w:val="BodyTextChar"/>
          <w:noProof/>
          <w:lang w:val="ro-RO"/>
        </w:rPr>
        <w:t>2020</w:t>
      </w:r>
      <w:r w:rsidRPr="00A53033">
        <w:rPr>
          <w:rStyle w:val="BodyTextChar"/>
          <w:noProof/>
          <w:lang w:val="ro-RO"/>
        </w:rPr>
        <w:t xml:space="preserve">, criza de lichidități pentru întreprinderile din sectorul energetic cauzată de creșterea bruscă a apelurilor în marjă ca urmare a crizei energetice din martie </w:t>
      </w:r>
      <w:r w:rsidRPr="007240C7">
        <w:rPr>
          <w:rStyle w:val="BodyTextChar"/>
          <w:noProof/>
          <w:lang w:val="ro-RO"/>
        </w:rPr>
        <w:t>2022</w:t>
      </w:r>
      <w:r w:rsidRPr="00A53033">
        <w:rPr>
          <w:rStyle w:val="BodyTextChar"/>
          <w:noProof/>
          <w:lang w:val="ro-RO"/>
        </w:rPr>
        <w:t xml:space="preserve">). </w:t>
      </w:r>
      <w:r w:rsidRPr="00A53033">
        <w:rPr>
          <w:noProof/>
          <w:lang w:val="ro-RO"/>
        </w:rPr>
        <w:t xml:space="preserve">Supraveghetorii monitorizează potențialele vulnerabilități care decurg din interconectarea la nivelul intermediarilor financiari nebancari și a acestora din urmă cu băncile prin legături directe (de exemplu, dețineri între bănci și intermediarii financiari nebancari și între intermediarii financiari nebancari sau apeluri în marjă) și legături indirecte (de exemplu, expuneri la active comune). </w:t>
      </w:r>
    </w:p>
    <w:p w14:paraId="686D6687" w14:textId="49388B1B" w:rsidR="00EA59BD" w:rsidRPr="00A53033" w:rsidRDefault="00241024" w:rsidP="004709F3">
      <w:pPr>
        <w:spacing w:after="120" w:line="240" w:lineRule="auto"/>
        <w:rPr>
          <w:noProof/>
          <w:lang w:val="ro-RO"/>
        </w:rPr>
      </w:pPr>
      <w:r w:rsidRPr="00A53033">
        <w:rPr>
          <w:noProof/>
          <w:lang w:val="ro-RO"/>
        </w:rPr>
        <w:t xml:space="preserve">Nu în ultimul rând, având în vedere aceste vulnerabilități structurale și complexitatea supravegherii unor astfel de sectoare interconectate, ar trebui să se evalueze în continuare meritele </w:t>
      </w:r>
      <w:r w:rsidRPr="00A53033">
        <w:rPr>
          <w:b/>
          <w:noProof/>
          <w:lang w:val="ro-RO"/>
        </w:rPr>
        <w:t>unui cadru macroprudențial mai coerent și mai coordonat destinat intermediarilor financiari nebancari</w:t>
      </w:r>
      <w:r w:rsidRPr="00A53033">
        <w:rPr>
          <w:noProof/>
          <w:lang w:val="ro-RO"/>
        </w:rPr>
        <w:t xml:space="preserve">. În prezent, există doar câteva măsuri macroprudențiale aplicabile intermediarilor financiari nebancari, iar supravegherea unor astfel de instrumente pentru fiecare sector cuprinde autorități de supraveghere diferite, chiar și în cadrul aceleiași jurisdicții. De exemplu, în temeiul directivelor DAFIA/OPCVM, autoritățile naționale competente au prerogativa de a suspenda drepturile de reconversie ale investitorilor atunci când fondurile se confruntă cu riscuri la adresa stabilității financiare, iar autoritățile naționale de supraveghere și-au exercitat în trecut această prerogativă în mod individual. Experiența în ceea ce privește utilizarea coordonată a unei astfel de prerogative este limitată în cazul confruntării cu un risc mai amplu la nivelul UE la adresa stabilității financiare. </w:t>
      </w:r>
    </w:p>
    <w:p w14:paraId="7577FBD0" w14:textId="412B2504" w:rsidR="006E5DA9" w:rsidRPr="00A53033" w:rsidRDefault="00E56C84" w:rsidP="004709F3">
      <w:pPr>
        <w:spacing w:after="120" w:line="240" w:lineRule="auto"/>
        <w:rPr>
          <w:noProof/>
          <w:lang w:val="ro-RO"/>
        </w:rPr>
      </w:pPr>
      <w:r w:rsidRPr="00A53033">
        <w:rPr>
          <w:noProof/>
          <w:lang w:val="ro-RO"/>
        </w:rPr>
        <w:t>Sprijinirea unei aplicări</w:t>
      </w:r>
      <w:r w:rsidRPr="00A53033">
        <w:rPr>
          <w:b/>
          <w:noProof/>
          <w:lang w:val="ro-RO"/>
        </w:rPr>
        <w:t xml:space="preserve"> </w:t>
      </w:r>
      <w:r w:rsidRPr="00A53033">
        <w:rPr>
          <w:noProof/>
          <w:lang w:val="ro-RO"/>
        </w:rPr>
        <w:t xml:space="preserve">consecvente a instrumentelor macroprudențiale și a unei coordonări suficiente între autoritățile de supraveghere din cadrul UE și cu autoritățile de supraveghere din țările terțe este esențială pentru eficacitatea politicilor macroprudențiale. Fragmentarea dintre sectoare și jurisdicțiile naționale ridică importante semne de întrebare cu privire la modul în care se poate asigura o coordonare eficace între statele membre (în special în ceea ce privește evenimentele sistemice care afectează mai mult de un stat membru) și la modul de partajare a datelor necesare între autorități în temeiul cadrelor de raportare actuale. </w:t>
      </w:r>
    </w:p>
    <w:sectPr w:rsidR="006E5DA9" w:rsidRPr="00A53033" w:rsidSect="00AB1DB8">
      <w:headerReference w:type="even" r:id="rId18"/>
      <w:headerReference w:type="default" r:id="rId19"/>
      <w:footerReference w:type="even" r:id="rId20"/>
      <w:footerReference w:type="default" r:id="rId21"/>
      <w:headerReference w:type="first" r:id="rId22"/>
      <w:footerReference w:type="first" r:id="rId23"/>
      <w:pgSz w:w="11906" w:h="16838" w:code="9"/>
      <w:pgMar w:top="1440" w:right="1440" w:bottom="1440" w:left="1440" w:header="708"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DDA44A" w14:textId="77777777" w:rsidR="00284231" w:rsidRDefault="00284231" w:rsidP="00E6448C">
      <w:pPr>
        <w:spacing w:after="0" w:line="240" w:lineRule="auto"/>
      </w:pPr>
      <w:r>
        <w:separator/>
      </w:r>
    </w:p>
  </w:endnote>
  <w:endnote w:type="continuationSeparator" w:id="0">
    <w:p w14:paraId="4972AE78" w14:textId="77777777" w:rsidR="00284231" w:rsidRDefault="00284231" w:rsidP="00E6448C">
      <w:pPr>
        <w:spacing w:after="0" w:line="240" w:lineRule="auto"/>
      </w:pPr>
      <w:r>
        <w:continuationSeparator/>
      </w:r>
    </w:p>
  </w:endnote>
  <w:endnote w:type="continuationNotice" w:id="1">
    <w:p w14:paraId="336C1099" w14:textId="77777777" w:rsidR="00284231" w:rsidRDefault="002842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89AF2" w14:textId="080F4017" w:rsidR="005C2ED4" w:rsidRPr="005C2ED4" w:rsidRDefault="005C2ED4" w:rsidP="005C2ED4">
    <w:pPr>
      <w:pStyle w:val="FooterCoverPage"/>
      <w:rPr>
        <w:rFonts w:ascii="Arial" w:hAnsi="Arial" w:cs="Arial"/>
        <w:b/>
        <w:sz w:val="48"/>
      </w:rPr>
    </w:pPr>
    <w:r w:rsidRPr="005C2ED4">
      <w:rPr>
        <w:rFonts w:ascii="Arial" w:hAnsi="Arial" w:cs="Arial"/>
        <w:b/>
        <w:sz w:val="48"/>
      </w:rPr>
      <w:t>RO</w:t>
    </w:r>
    <w:r w:rsidRPr="005C2ED4">
      <w:rPr>
        <w:rFonts w:ascii="Arial" w:hAnsi="Arial" w:cs="Arial"/>
        <w:b/>
        <w:sz w:val="48"/>
      </w:rPr>
      <w:tab/>
    </w:r>
    <w:r w:rsidRPr="005C2ED4">
      <w:rPr>
        <w:rFonts w:ascii="Arial" w:hAnsi="Arial" w:cs="Arial"/>
        <w:b/>
        <w:sz w:val="48"/>
      </w:rPr>
      <w:tab/>
    </w:r>
    <w:r w:rsidRPr="005C2ED4">
      <w:tab/>
    </w:r>
    <w:r w:rsidRPr="005C2ED4">
      <w:rPr>
        <w:rFonts w:ascii="Arial" w:hAnsi="Arial" w:cs="Arial"/>
        <w:b/>
        <w:sz w:val="48"/>
      </w:rPr>
      <w:t>RO</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2F9C8" w14:textId="2568858B" w:rsidR="005C2ED4" w:rsidRPr="005C2ED4" w:rsidRDefault="005C2ED4" w:rsidP="005C2ED4">
    <w:pPr>
      <w:pStyle w:val="FooterCoverPage"/>
      <w:rPr>
        <w:rFonts w:ascii="Arial" w:hAnsi="Arial" w:cs="Arial"/>
        <w:b/>
        <w:sz w:val="48"/>
      </w:rPr>
    </w:pPr>
    <w:r w:rsidRPr="005C2ED4">
      <w:rPr>
        <w:rFonts w:ascii="Arial" w:hAnsi="Arial" w:cs="Arial"/>
        <w:b/>
        <w:sz w:val="48"/>
      </w:rPr>
      <w:t>RO</w:t>
    </w:r>
    <w:r w:rsidRPr="005C2ED4">
      <w:rPr>
        <w:rFonts w:ascii="Arial" w:hAnsi="Arial" w:cs="Arial"/>
        <w:b/>
        <w:sz w:val="48"/>
      </w:rPr>
      <w:tab/>
    </w:r>
    <w:r w:rsidRPr="005C2ED4">
      <w:rPr>
        <w:rFonts w:ascii="Arial" w:hAnsi="Arial" w:cs="Arial"/>
        <w:b/>
        <w:sz w:val="48"/>
      </w:rPr>
      <w:tab/>
    </w:r>
    <w:r w:rsidRPr="005C2ED4">
      <w:tab/>
    </w:r>
    <w:r w:rsidRPr="005C2ED4">
      <w:rPr>
        <w:rFonts w:ascii="Arial" w:hAnsi="Arial" w:cs="Arial"/>
        <w:b/>
        <w:sz w:val="48"/>
      </w:rPr>
      <w:t>RO</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EBD8B" w14:textId="77777777" w:rsidR="005C2ED4" w:rsidRPr="005C2ED4" w:rsidRDefault="005C2ED4" w:rsidP="005C2ED4">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0F34A" w14:textId="77777777" w:rsidR="00A8129C" w:rsidRDefault="00A8129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Light" w:hAnsi="Calibri Light" w:cs="Calibri Light"/>
        <w:sz w:val="20"/>
      </w:rPr>
      <w:id w:val="-1687743973"/>
      <w:docPartObj>
        <w:docPartGallery w:val="Page Numbers (Bottom of Page)"/>
        <w:docPartUnique/>
      </w:docPartObj>
    </w:sdtPr>
    <w:sdtEndPr/>
    <w:sdtContent>
      <w:p w14:paraId="67E90E40" w14:textId="530489B0" w:rsidR="008E1DB8" w:rsidRPr="00AF1438" w:rsidRDefault="008E1DB8">
        <w:pPr>
          <w:pStyle w:val="Footer"/>
          <w:jc w:val="center"/>
          <w:rPr>
            <w:rFonts w:ascii="Calibri Light" w:hAnsi="Calibri Light" w:cs="Calibri Light"/>
            <w:sz w:val="20"/>
          </w:rPr>
        </w:pPr>
        <w:r>
          <w:rPr>
            <w:rFonts w:ascii="Calibri Light" w:hAnsi="Calibri Light" w:cs="Calibri Light"/>
            <w:color w:val="2B579A"/>
            <w:sz w:val="20"/>
            <w:shd w:val="clear" w:color="auto" w:fill="E6E6E6"/>
          </w:rPr>
          <w:fldChar w:fldCharType="begin"/>
        </w:r>
        <w:r>
          <w:rPr>
            <w:rFonts w:ascii="Calibri Light" w:hAnsi="Calibri Light" w:cs="Calibri Light"/>
            <w:sz w:val="20"/>
          </w:rPr>
          <w:instrText xml:space="preserve"> PAGE   \* MERGEFORMAT </w:instrText>
        </w:r>
        <w:r>
          <w:rPr>
            <w:rFonts w:ascii="Calibri Light" w:hAnsi="Calibri Light" w:cs="Calibri Light"/>
            <w:color w:val="2B579A"/>
            <w:sz w:val="20"/>
            <w:shd w:val="clear" w:color="auto" w:fill="E6E6E6"/>
          </w:rPr>
          <w:fldChar w:fldCharType="separate"/>
        </w:r>
        <w:r w:rsidR="005C2ED4">
          <w:rPr>
            <w:rFonts w:ascii="Calibri Light" w:hAnsi="Calibri Light" w:cs="Calibri Light"/>
            <w:noProof/>
            <w:sz w:val="20"/>
          </w:rPr>
          <w:t>3</w:t>
        </w:r>
        <w:r>
          <w:rPr>
            <w:rFonts w:ascii="Calibri Light" w:hAnsi="Calibri Light" w:cs="Calibri Light"/>
            <w:color w:val="2B579A"/>
            <w:sz w:val="20"/>
            <w:shd w:val="clear" w:color="auto" w:fill="E6E6E6"/>
          </w:rPr>
          <w:fldChar w:fldCharType="end"/>
        </w:r>
      </w:p>
    </w:sdtContent>
  </w:sdt>
  <w:p w14:paraId="72D4A7FB" w14:textId="77777777" w:rsidR="008E1DB8" w:rsidRPr="00AF1438" w:rsidRDefault="008E1DB8">
    <w:pPr>
      <w:pStyle w:val="Footer"/>
      <w:rPr>
        <w:rFonts w:ascii="Calibri Light" w:hAnsi="Calibri Light" w:cs="Calibri Light"/>
        <w:sz w:val="20"/>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6846053"/>
      <w:docPartObj>
        <w:docPartGallery w:val="Page Numbers (Bottom of Page)"/>
        <w:docPartUnique/>
      </w:docPartObj>
    </w:sdtPr>
    <w:sdtEndPr/>
    <w:sdtContent>
      <w:sdt>
        <w:sdtPr>
          <w:rPr>
            <w:rFonts w:ascii="Calibri Light" w:hAnsi="Calibri Light" w:cs="Calibri Light"/>
            <w:sz w:val="20"/>
          </w:rPr>
          <w:id w:val="-12611931"/>
          <w:docPartObj>
            <w:docPartGallery w:val="Page Numbers (Bottom of Page)"/>
            <w:docPartUnique/>
          </w:docPartObj>
        </w:sdtPr>
        <w:sdtEndPr/>
        <w:sdtContent>
          <w:p w14:paraId="6FEDEAF6" w14:textId="77777777" w:rsidR="00FF4722" w:rsidRDefault="00FF4722" w:rsidP="00FF4722">
            <w:pPr>
              <w:pStyle w:val="Footer"/>
              <w:jc w:val="center"/>
              <w:rPr>
                <w:rFonts w:ascii="Calibri Light" w:hAnsi="Calibri Light" w:cs="Calibri Light"/>
                <w:sz w:val="20"/>
              </w:rPr>
            </w:pPr>
          </w:p>
          <w:p w14:paraId="51F9C4AD" w14:textId="26181822" w:rsidR="00FF4722" w:rsidRDefault="00FF4722" w:rsidP="00FF4722">
            <w:pPr>
              <w:pStyle w:val="Footer"/>
              <w:jc w:val="center"/>
              <w:rPr>
                <w:rFonts w:ascii="Calibri Light" w:hAnsi="Calibri Light" w:cs="Calibri Light"/>
                <w:sz w:val="20"/>
              </w:rPr>
            </w:pPr>
            <w:r>
              <w:rPr>
                <w:rFonts w:ascii="Calibri Light" w:hAnsi="Calibri Light" w:cs="Calibri Light"/>
                <w:color w:val="2B579A"/>
                <w:sz w:val="20"/>
                <w:shd w:val="clear" w:color="auto" w:fill="E6E6E6"/>
              </w:rPr>
              <w:fldChar w:fldCharType="begin"/>
            </w:r>
            <w:r>
              <w:rPr>
                <w:rFonts w:ascii="Calibri Light" w:hAnsi="Calibri Light" w:cs="Calibri Light"/>
                <w:sz w:val="20"/>
              </w:rPr>
              <w:instrText xml:space="preserve"> PAGE   \* MERGEFORMAT </w:instrText>
            </w:r>
            <w:r>
              <w:rPr>
                <w:rFonts w:ascii="Calibri Light" w:hAnsi="Calibri Light" w:cs="Calibri Light"/>
                <w:color w:val="2B579A"/>
                <w:sz w:val="20"/>
                <w:shd w:val="clear" w:color="auto" w:fill="E6E6E6"/>
              </w:rPr>
              <w:fldChar w:fldCharType="separate"/>
            </w:r>
            <w:r w:rsidR="005C2ED4" w:rsidRPr="005C2ED4">
              <w:rPr>
                <w:rFonts w:ascii="Calibri Light" w:hAnsi="Calibri Light" w:cs="Calibri Light"/>
                <w:noProof/>
                <w:color w:val="2B579A"/>
                <w:sz w:val="20"/>
                <w:shd w:val="clear" w:color="auto" w:fill="E6E6E6"/>
              </w:rPr>
              <w:t>1</w:t>
            </w:r>
            <w:r>
              <w:rPr>
                <w:rFonts w:ascii="Calibri Light" w:hAnsi="Calibri Light" w:cs="Calibri Light"/>
                <w:color w:val="2B579A"/>
                <w:sz w:val="20"/>
                <w:shd w:val="clear" w:color="auto" w:fill="E6E6E6"/>
              </w:rPr>
              <w:fldChar w:fldCharType="end"/>
            </w:r>
          </w:p>
        </w:sdtContent>
      </w:sdt>
      <w:p w14:paraId="708AC98D" w14:textId="75FB0A32" w:rsidR="00FF4722" w:rsidRDefault="005C2ED4">
        <w:pPr>
          <w:pStyle w:val="Footer"/>
          <w:jc w:val="center"/>
        </w:pPr>
      </w:p>
    </w:sdtContent>
  </w:sdt>
  <w:p w14:paraId="2A85633A" w14:textId="77777777" w:rsidR="00AA27E2" w:rsidRDefault="00AA27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5FC9EA" w14:textId="77777777" w:rsidR="00284231" w:rsidRDefault="00284231" w:rsidP="00E6448C">
      <w:pPr>
        <w:spacing w:after="0" w:line="240" w:lineRule="auto"/>
      </w:pPr>
      <w:r>
        <w:separator/>
      </w:r>
    </w:p>
  </w:footnote>
  <w:footnote w:type="continuationSeparator" w:id="0">
    <w:p w14:paraId="66457610" w14:textId="77777777" w:rsidR="00284231" w:rsidRDefault="00284231" w:rsidP="00E6448C">
      <w:pPr>
        <w:spacing w:after="0" w:line="240" w:lineRule="auto"/>
      </w:pPr>
      <w:r>
        <w:continuationSeparator/>
      </w:r>
    </w:p>
  </w:footnote>
  <w:footnote w:type="continuationNotice" w:id="1">
    <w:p w14:paraId="5509FACD" w14:textId="77777777" w:rsidR="00284231" w:rsidRDefault="00284231">
      <w:pPr>
        <w:spacing w:after="0" w:line="240" w:lineRule="auto"/>
      </w:pPr>
    </w:p>
  </w:footnote>
  <w:footnote w:id="2">
    <w:p w14:paraId="3633450E" w14:textId="77777777" w:rsidR="004656D0" w:rsidRPr="0015614C" w:rsidRDefault="004656D0" w:rsidP="00C64A13">
      <w:pPr>
        <w:pStyle w:val="FootnoteText"/>
        <w:rPr>
          <w:lang w:val="ro-RO"/>
        </w:rPr>
      </w:pPr>
      <w:r w:rsidRPr="0015614C">
        <w:rPr>
          <w:rStyle w:val="FootnoteReference"/>
          <w:lang w:val="ro-RO"/>
        </w:rPr>
        <w:footnoteRef/>
      </w:r>
      <w:r w:rsidRPr="0015614C">
        <w:rPr>
          <w:lang w:val="ro-RO"/>
        </w:rPr>
        <w:t xml:space="preserve"> </w:t>
      </w:r>
      <w:r w:rsidRPr="0015614C">
        <w:rPr>
          <w:shd w:val="clear" w:color="auto" w:fill="FFFFFF"/>
          <w:lang w:val="ro-RO"/>
        </w:rPr>
        <w:t>Raportul a fost amânat pentru a putea fi luate în considerare criza provocată de pandemia de COVID-</w:t>
      </w:r>
      <w:r w:rsidRPr="007240C7">
        <w:rPr>
          <w:shd w:val="clear" w:color="auto" w:fill="FFFFFF"/>
          <w:lang w:val="ro-RO"/>
        </w:rPr>
        <w:t>19</w:t>
      </w:r>
      <w:r w:rsidRPr="0015614C">
        <w:rPr>
          <w:shd w:val="clear" w:color="auto" w:fill="FFFFFF"/>
          <w:lang w:val="ro-RO"/>
        </w:rPr>
        <w:t xml:space="preserve"> și impactul acesteia asupra sistemului financiar. </w:t>
      </w:r>
    </w:p>
  </w:footnote>
  <w:footnote w:id="3">
    <w:p w14:paraId="301E7429" w14:textId="77777777" w:rsidR="006F76CF" w:rsidRPr="0015614C" w:rsidRDefault="006F76CF" w:rsidP="00C64A13">
      <w:pPr>
        <w:pStyle w:val="FootnoteText"/>
        <w:rPr>
          <w:lang w:val="ro-RO"/>
        </w:rPr>
      </w:pPr>
      <w:r w:rsidRPr="0015614C">
        <w:rPr>
          <w:rStyle w:val="FootnoteReference"/>
          <w:lang w:val="ro-RO"/>
        </w:rPr>
        <w:footnoteRef/>
      </w:r>
      <w:r w:rsidRPr="0015614C">
        <w:rPr>
          <w:lang w:val="ro-RO"/>
        </w:rPr>
        <w:t xml:space="preserve"> A se vedea Comisia Europeană (</w:t>
      </w:r>
      <w:r w:rsidRPr="007240C7">
        <w:rPr>
          <w:lang w:val="ro-RO"/>
        </w:rPr>
        <w:t>2021</w:t>
      </w:r>
      <w:r w:rsidRPr="0015614C">
        <w:rPr>
          <w:lang w:val="ro-RO"/>
        </w:rPr>
        <w:t xml:space="preserve">), </w:t>
      </w:r>
      <w:hyperlink r:id="rId1" w:history="1">
        <w:r w:rsidRPr="0015614C">
          <w:rPr>
            <w:rStyle w:val="Hyperlink"/>
            <w:lang w:val="ro-RO"/>
          </w:rPr>
          <w:t>Consultare specifică privind îmbunătățirea cadrului macroprudențial al UE pentru sectorul bancar</w:t>
        </w:r>
      </w:hyperlink>
      <w:r w:rsidRPr="0015614C">
        <w:rPr>
          <w:lang w:val="ro-RO"/>
        </w:rPr>
        <w:t xml:space="preserve">, noiembrie </w:t>
      </w:r>
      <w:r w:rsidRPr="007240C7">
        <w:rPr>
          <w:lang w:val="ro-RO"/>
        </w:rPr>
        <w:t>2021</w:t>
      </w:r>
      <w:r w:rsidRPr="0015614C">
        <w:rPr>
          <w:lang w:val="ro-RO"/>
        </w:rPr>
        <w:t>; Comisia Europeană (</w:t>
      </w:r>
      <w:r w:rsidRPr="007240C7">
        <w:rPr>
          <w:lang w:val="ro-RO"/>
        </w:rPr>
        <w:t>2022</w:t>
      </w:r>
      <w:r w:rsidRPr="0015614C">
        <w:rPr>
          <w:lang w:val="ro-RO"/>
        </w:rPr>
        <w:t xml:space="preserve">), </w:t>
      </w:r>
      <w:hyperlink r:id="rId2" w:history="1">
        <w:r w:rsidRPr="0015614C">
          <w:rPr>
            <w:rStyle w:val="Hyperlink"/>
            <w:lang w:val="ro-RO"/>
          </w:rPr>
          <w:t xml:space="preserve">Rezumatul răspunsurilor la consultarea specifică </w:t>
        </w:r>
      </w:hyperlink>
      <w:r w:rsidRPr="0015614C">
        <w:rPr>
          <w:lang w:val="ro-RO"/>
        </w:rPr>
        <w:t xml:space="preserve">din iunie </w:t>
      </w:r>
      <w:r w:rsidRPr="007240C7">
        <w:rPr>
          <w:lang w:val="ro-RO"/>
        </w:rPr>
        <w:t>2022</w:t>
      </w:r>
      <w:r w:rsidRPr="0015614C">
        <w:rPr>
          <w:lang w:val="ro-RO"/>
        </w:rPr>
        <w:t>; Comisia Europeană (</w:t>
      </w:r>
      <w:r w:rsidRPr="007240C7">
        <w:rPr>
          <w:lang w:val="ro-RO"/>
        </w:rPr>
        <w:t>2021</w:t>
      </w:r>
      <w:r w:rsidRPr="0015614C">
        <w:rPr>
          <w:lang w:val="ro-RO"/>
        </w:rPr>
        <w:t xml:space="preserve">), „Call for Advice on the review of the macroprudential framework for the banking sector (Cerere de aviz privind documentul de analiză a cadrului macroprudențial pentru sectorul bancar)”, septembrie </w:t>
      </w:r>
      <w:r w:rsidRPr="007240C7">
        <w:rPr>
          <w:lang w:val="ro-RO"/>
        </w:rPr>
        <w:t>2021</w:t>
      </w:r>
      <w:r w:rsidRPr="0015614C">
        <w:rPr>
          <w:lang w:val="ro-RO"/>
        </w:rPr>
        <w:t xml:space="preserve">. </w:t>
      </w:r>
    </w:p>
  </w:footnote>
  <w:footnote w:id="4">
    <w:p w14:paraId="6891F3DF" w14:textId="5D04CE64" w:rsidR="00447816" w:rsidRPr="0015614C" w:rsidRDefault="00447816">
      <w:pPr>
        <w:pStyle w:val="FootnoteText"/>
        <w:rPr>
          <w:lang w:val="ro-RO"/>
        </w:rPr>
      </w:pPr>
      <w:r w:rsidRPr="0015614C">
        <w:rPr>
          <w:rStyle w:val="FootnoteReference"/>
          <w:lang w:val="ro-RO"/>
        </w:rPr>
        <w:footnoteRef/>
      </w:r>
      <w:r w:rsidRPr="0015614C">
        <w:rPr>
          <w:lang w:val="ro-RO"/>
        </w:rPr>
        <w:t xml:space="preserve"> A se vedea FMI (</w:t>
      </w:r>
      <w:r w:rsidRPr="007240C7">
        <w:rPr>
          <w:lang w:val="ro-RO"/>
        </w:rPr>
        <w:t>2011</w:t>
      </w:r>
      <w:r w:rsidRPr="0015614C">
        <w:rPr>
          <w:lang w:val="ro-RO"/>
        </w:rPr>
        <w:t xml:space="preserve">), „Macroprudential Policy: An Organizing Framework (Politica macroprudențială: un cadru de organizare)”, document disponibil la </w:t>
      </w:r>
      <w:hyperlink r:id="rId3" w:history="1">
        <w:r w:rsidRPr="0015614C">
          <w:rPr>
            <w:rStyle w:val="Hyperlink"/>
            <w:shd w:val="clear" w:color="auto" w:fill="FFFFFF"/>
            <w:lang w:val="ro-RO"/>
          </w:rPr>
          <w:t>https://www.imf.org/external/np/pp/eng/</w:t>
        </w:r>
        <w:r w:rsidRPr="007240C7">
          <w:rPr>
            <w:rStyle w:val="Hyperlink"/>
            <w:shd w:val="clear" w:color="auto" w:fill="FFFFFF"/>
            <w:lang w:val="ro-RO"/>
          </w:rPr>
          <w:t>2011</w:t>
        </w:r>
        <w:r w:rsidRPr="0015614C">
          <w:rPr>
            <w:rStyle w:val="Hyperlink"/>
            <w:shd w:val="clear" w:color="auto" w:fill="FFFFFF"/>
            <w:lang w:val="ro-RO"/>
          </w:rPr>
          <w:t>/</w:t>
        </w:r>
        <w:r w:rsidRPr="007240C7">
          <w:rPr>
            <w:rStyle w:val="Hyperlink"/>
            <w:shd w:val="clear" w:color="auto" w:fill="FFFFFF"/>
            <w:lang w:val="ro-RO"/>
          </w:rPr>
          <w:t>031411</w:t>
        </w:r>
        <w:r w:rsidRPr="0015614C">
          <w:rPr>
            <w:rStyle w:val="Hyperlink"/>
            <w:shd w:val="clear" w:color="auto" w:fill="FFFFFF"/>
            <w:lang w:val="ro-RO"/>
          </w:rPr>
          <w:t>.pdf</w:t>
        </w:r>
      </w:hyperlink>
      <w:r w:rsidRPr="0015614C">
        <w:rPr>
          <w:rStyle w:val="normaltextrun"/>
          <w:shd w:val="clear" w:color="auto" w:fill="FFFFFF"/>
          <w:lang w:val="ro-RO"/>
        </w:rPr>
        <w:t>.</w:t>
      </w:r>
    </w:p>
  </w:footnote>
  <w:footnote w:id="5">
    <w:p w14:paraId="14A7E9A5" w14:textId="6EEC8288" w:rsidR="0096706B" w:rsidRPr="0015614C" w:rsidRDefault="0096706B" w:rsidP="00C64A13">
      <w:pPr>
        <w:pStyle w:val="FootnoteText"/>
        <w:rPr>
          <w:lang w:val="ro-RO"/>
        </w:rPr>
      </w:pPr>
      <w:r w:rsidRPr="0015614C">
        <w:rPr>
          <w:rStyle w:val="FootnoteReference"/>
          <w:lang w:val="ro-RO"/>
        </w:rPr>
        <w:footnoteRef/>
      </w:r>
      <w:r w:rsidRPr="0015614C">
        <w:rPr>
          <w:lang w:val="ro-RO"/>
        </w:rPr>
        <w:t xml:space="preserve"> Un „eveniment sistemic” este un eveniment negativ de amploare pentru sistemul financiar, cum ar fi o criză sistemică a lichidității, de exemplu criza provocată de pandemia de COVID-</w:t>
      </w:r>
      <w:r w:rsidRPr="007240C7">
        <w:rPr>
          <w:lang w:val="ro-RO"/>
        </w:rPr>
        <w:t>19</w:t>
      </w:r>
      <w:r w:rsidRPr="0015614C">
        <w:rPr>
          <w:lang w:val="ro-RO"/>
        </w:rPr>
        <w:t xml:space="preserve"> sau un eveniment major de credit, precum falimentul Lehman Brothers ori o serie de evenimente de mai mică amploare (intrarea în dificultate a uneia sau a câtorva instituții financiare mijlocii, cum ar fi evenimentele declanșate de falimentul Silicon Valley Bank), care evidențiază acumularea unui dezechilibru financiar important (sub forma unor expuneri mari sau a unei interconectări între operatorii de pe piață). </w:t>
      </w:r>
    </w:p>
  </w:footnote>
  <w:footnote w:id="6">
    <w:p w14:paraId="08BB2A8C" w14:textId="390F885E" w:rsidR="0096706B" w:rsidRPr="0015614C" w:rsidRDefault="0096706B" w:rsidP="00C64A13">
      <w:pPr>
        <w:pStyle w:val="FootnoteText"/>
        <w:rPr>
          <w:lang w:val="ro-RO"/>
        </w:rPr>
      </w:pPr>
      <w:r w:rsidRPr="0015614C">
        <w:rPr>
          <w:rStyle w:val="FootnoteReference"/>
          <w:lang w:val="ro-RO"/>
        </w:rPr>
        <w:footnoteRef/>
      </w:r>
      <w:r w:rsidRPr="0015614C">
        <w:rPr>
          <w:lang w:val="ro-RO"/>
        </w:rPr>
        <w:t xml:space="preserve"> </w:t>
      </w:r>
      <w:hyperlink r:id="rId4" w:history="1">
        <w:r w:rsidRPr="0015614C">
          <w:rPr>
            <w:rStyle w:val="Hyperlink"/>
            <w:lang w:val="ro-RO"/>
          </w:rPr>
          <w:t>Grupul la nivel înalt privind supravegherea financiară în UE.</w:t>
        </w:r>
      </w:hyperlink>
      <w:hyperlink r:id="rId5" w:history="1">
        <w:r w:rsidRPr="0015614C">
          <w:rPr>
            <w:rStyle w:val="Hyperlink"/>
            <w:lang w:val="ro-RO"/>
          </w:rPr>
          <w:t xml:space="preserve"> Raportul de Larosière (europa.eu)</w:t>
        </w:r>
      </w:hyperlink>
      <w:r w:rsidRPr="0015614C">
        <w:rPr>
          <w:rStyle w:val="Hyperlink"/>
          <w:lang w:val="ro-RO"/>
        </w:rPr>
        <w:t xml:space="preserve">. </w:t>
      </w:r>
    </w:p>
  </w:footnote>
  <w:footnote w:id="7">
    <w:p w14:paraId="0F5BFAE7" w14:textId="0C67F3A3" w:rsidR="0096706B" w:rsidRPr="0015614C" w:rsidRDefault="0096706B" w:rsidP="00C64A13">
      <w:pPr>
        <w:pStyle w:val="FootnoteText"/>
        <w:rPr>
          <w:lang w:val="ro-RO"/>
        </w:rPr>
      </w:pPr>
      <w:r w:rsidRPr="0015614C">
        <w:rPr>
          <w:rStyle w:val="FootnoteReference"/>
          <w:lang w:val="ro-RO"/>
        </w:rPr>
        <w:footnoteRef/>
      </w:r>
      <w:r w:rsidRPr="0015614C">
        <w:rPr>
          <w:lang w:val="ro-RO"/>
        </w:rPr>
        <w:t xml:space="preserve"> De exemplu, limitele efectului de levier sunt măsuri prudențiale care au un caracter microprudențial atunci când sunt concepute și puse în aplicare pentru a face față unui risc specific la nivel de entitate sau de tranzacție, însă sunt instrumente macroprudențiale atunci când sunt concepute și puse în aplicare la nivelul întregului sector, fără a ține seama de modelul de afaceri sau de activitatea individuală. Acesta este cazul limitelor structurale pentru fondurile inițiatoare de împrumuturi, din cadrul evaluării Directivei privind AFIA/OPCVM, recent aprobată, care se califică drept instrument macroprudențial. </w:t>
      </w:r>
    </w:p>
  </w:footnote>
  <w:footnote w:id="8">
    <w:p w14:paraId="7DB3D210" w14:textId="27099756" w:rsidR="00283466" w:rsidRPr="0015614C" w:rsidRDefault="00283466" w:rsidP="00C64A13">
      <w:pPr>
        <w:pStyle w:val="FootnoteText"/>
        <w:rPr>
          <w:lang w:val="ro-RO"/>
        </w:rPr>
      </w:pPr>
      <w:r w:rsidRPr="0015614C">
        <w:rPr>
          <w:rStyle w:val="FootnoteReference"/>
          <w:lang w:val="ro-RO"/>
        </w:rPr>
        <w:footnoteRef/>
      </w:r>
      <w:r w:rsidRPr="0015614C">
        <w:rPr>
          <w:lang w:val="ro-RO"/>
        </w:rPr>
        <w:t xml:space="preserve"> </w:t>
      </w:r>
      <w:hyperlink r:id="rId6" w:history="1">
        <w:r w:rsidRPr="0015614C">
          <w:rPr>
            <w:rStyle w:val="Hyperlink"/>
            <w:lang w:val="ro-RO"/>
          </w:rPr>
          <w:t>Grupul la nivel înalt privind supravegherea financiară în UE.</w:t>
        </w:r>
      </w:hyperlink>
      <w:hyperlink r:id="rId7" w:history="1">
        <w:r w:rsidRPr="0015614C">
          <w:rPr>
            <w:rStyle w:val="Hyperlink"/>
            <w:lang w:val="ro-RO"/>
          </w:rPr>
          <w:t xml:space="preserve"> Raportul de Larosière (europa.eu)</w:t>
        </w:r>
      </w:hyperlink>
      <w:r w:rsidRPr="0015614C">
        <w:rPr>
          <w:rStyle w:val="Hyperlink"/>
          <w:lang w:val="ro-RO"/>
        </w:rPr>
        <w:t>.</w:t>
      </w:r>
      <w:r w:rsidR="007D70C9">
        <w:rPr>
          <w:rStyle w:val="Hyperlink"/>
          <w:lang w:val="ro-RO"/>
        </w:rPr>
        <w:t xml:space="preserve"> </w:t>
      </w:r>
    </w:p>
  </w:footnote>
  <w:footnote w:id="9">
    <w:p w14:paraId="5E13B9A2" w14:textId="430CC71C" w:rsidR="00CC30C3" w:rsidRPr="0015614C" w:rsidRDefault="00CC30C3" w:rsidP="00C64A13">
      <w:pPr>
        <w:pStyle w:val="FootnoteText"/>
        <w:rPr>
          <w:lang w:val="ro-RO"/>
        </w:rPr>
      </w:pPr>
      <w:r w:rsidRPr="0015614C">
        <w:rPr>
          <w:rStyle w:val="FootnoteReference"/>
          <w:lang w:val="ro-RO"/>
        </w:rPr>
        <w:footnoteRef/>
      </w:r>
      <w:r w:rsidRPr="0015614C">
        <w:rPr>
          <w:lang w:val="ro-RO"/>
        </w:rPr>
        <w:t xml:space="preserve"> Termenul „instituții financiare” se referă atât la bănci (și anume instituții de credit), cât și la intermediari nebancari. </w:t>
      </w:r>
    </w:p>
  </w:footnote>
  <w:footnote w:id="10">
    <w:p w14:paraId="10A314D6" w14:textId="217F569F" w:rsidR="00241024" w:rsidRPr="0015614C" w:rsidRDefault="00241024" w:rsidP="00C64A13">
      <w:pPr>
        <w:pStyle w:val="FootnoteText"/>
        <w:rPr>
          <w:lang w:val="ro-RO"/>
        </w:rPr>
      </w:pPr>
      <w:r w:rsidRPr="0015614C">
        <w:rPr>
          <w:rStyle w:val="FootnoteReference"/>
          <w:lang w:val="ro-RO"/>
        </w:rPr>
        <w:footnoteRef/>
      </w:r>
      <w:r w:rsidRPr="0015614C">
        <w:rPr>
          <w:lang w:val="ro-RO"/>
        </w:rPr>
        <w:t xml:space="preserve"> În conformitate cu Regulamentul (UE) nr. </w:t>
      </w:r>
      <w:r w:rsidRPr="007240C7">
        <w:rPr>
          <w:lang w:val="ro-RO"/>
        </w:rPr>
        <w:t>575</w:t>
      </w:r>
      <w:r w:rsidRPr="0015614C">
        <w:rPr>
          <w:lang w:val="ro-RO"/>
        </w:rPr>
        <w:t>/</w:t>
      </w:r>
      <w:r w:rsidRPr="007240C7">
        <w:rPr>
          <w:lang w:val="ro-RO"/>
        </w:rPr>
        <w:t>2013</w:t>
      </w:r>
      <w:r w:rsidRPr="0015614C">
        <w:rPr>
          <w:lang w:val="ro-RO"/>
        </w:rPr>
        <w:t xml:space="preserve"> al Parlamentului European și al Consiliului din </w:t>
      </w:r>
      <w:r w:rsidRPr="007240C7">
        <w:rPr>
          <w:lang w:val="ro-RO"/>
        </w:rPr>
        <w:t>26</w:t>
      </w:r>
      <w:r w:rsidR="007D70C9">
        <w:rPr>
          <w:lang w:val="ro-RO"/>
        </w:rPr>
        <w:t> </w:t>
      </w:r>
      <w:r w:rsidRPr="0015614C">
        <w:rPr>
          <w:lang w:val="ro-RO"/>
        </w:rPr>
        <w:t>iunie</w:t>
      </w:r>
      <w:r w:rsidR="007D70C9">
        <w:rPr>
          <w:lang w:val="ro-RO"/>
        </w:rPr>
        <w:t> </w:t>
      </w:r>
      <w:r w:rsidRPr="007240C7">
        <w:rPr>
          <w:lang w:val="ro-RO"/>
        </w:rPr>
        <w:t>2013</w:t>
      </w:r>
      <w:r w:rsidRPr="0015614C">
        <w:rPr>
          <w:lang w:val="ro-RO"/>
        </w:rPr>
        <w:t xml:space="preserve">, astfel cum a fost modificat prin Regulamentul (UE) </w:t>
      </w:r>
      <w:r w:rsidRPr="007240C7">
        <w:rPr>
          <w:lang w:val="ro-RO"/>
        </w:rPr>
        <w:t>2019</w:t>
      </w:r>
      <w:r w:rsidRPr="0015614C">
        <w:rPr>
          <w:lang w:val="ro-RO"/>
        </w:rPr>
        <w:t>/</w:t>
      </w:r>
      <w:r w:rsidRPr="007240C7">
        <w:rPr>
          <w:lang w:val="ro-RO"/>
        </w:rPr>
        <w:t>876</w:t>
      </w:r>
      <w:r w:rsidRPr="0015614C">
        <w:rPr>
          <w:lang w:val="ro-RO"/>
        </w:rPr>
        <w:t xml:space="preserve"> al Parlamentului European și al Consiliului din </w:t>
      </w:r>
      <w:r w:rsidRPr="007240C7">
        <w:rPr>
          <w:lang w:val="ro-RO"/>
        </w:rPr>
        <w:t>20</w:t>
      </w:r>
      <w:r w:rsidRPr="0015614C">
        <w:rPr>
          <w:lang w:val="ro-RO"/>
        </w:rPr>
        <w:t xml:space="preserve"> mai </w:t>
      </w:r>
      <w:r w:rsidRPr="007240C7">
        <w:rPr>
          <w:lang w:val="ro-RO"/>
        </w:rPr>
        <w:t>2019</w:t>
      </w:r>
      <w:r w:rsidRPr="0015614C">
        <w:rPr>
          <w:lang w:val="ro-RO"/>
        </w:rPr>
        <w:t xml:space="preserve"> (Regulamentul privind cerințele de capital – CRR) în ceea ce privește dispozițiile macroprudențiale; Directiva </w:t>
      </w:r>
      <w:r w:rsidRPr="007240C7">
        <w:rPr>
          <w:lang w:val="ro-RO"/>
        </w:rPr>
        <w:t>2013</w:t>
      </w:r>
      <w:r w:rsidRPr="0015614C">
        <w:rPr>
          <w:lang w:val="ro-RO"/>
        </w:rPr>
        <w:t>/</w:t>
      </w:r>
      <w:r w:rsidRPr="007240C7">
        <w:rPr>
          <w:lang w:val="ro-RO"/>
        </w:rPr>
        <w:t>36</w:t>
      </w:r>
      <w:r w:rsidRPr="0015614C">
        <w:rPr>
          <w:lang w:val="ro-RO"/>
        </w:rPr>
        <w:t xml:space="preserve">/UE a Parlamentului European și a Consiliului din </w:t>
      </w:r>
      <w:r w:rsidRPr="007240C7">
        <w:rPr>
          <w:lang w:val="ro-RO"/>
        </w:rPr>
        <w:t>26</w:t>
      </w:r>
      <w:r w:rsidRPr="0015614C">
        <w:rPr>
          <w:lang w:val="ro-RO"/>
        </w:rPr>
        <w:t xml:space="preserve"> iunie </w:t>
      </w:r>
      <w:r w:rsidRPr="007240C7">
        <w:rPr>
          <w:lang w:val="ro-RO"/>
        </w:rPr>
        <w:t>2013</w:t>
      </w:r>
      <w:r w:rsidRPr="0015614C">
        <w:rPr>
          <w:lang w:val="ro-RO"/>
        </w:rPr>
        <w:t xml:space="preserve">, astfel cum a fost modificată prin Directiva (UE) </w:t>
      </w:r>
      <w:r w:rsidRPr="007240C7">
        <w:rPr>
          <w:lang w:val="ro-RO"/>
        </w:rPr>
        <w:t>2019</w:t>
      </w:r>
      <w:r w:rsidRPr="0015614C">
        <w:rPr>
          <w:lang w:val="ro-RO"/>
        </w:rPr>
        <w:t>/</w:t>
      </w:r>
      <w:r w:rsidRPr="007240C7">
        <w:rPr>
          <w:lang w:val="ro-RO"/>
        </w:rPr>
        <w:t>878</w:t>
      </w:r>
      <w:r w:rsidRPr="0015614C">
        <w:rPr>
          <w:lang w:val="ro-RO"/>
        </w:rPr>
        <w:t xml:space="preserve"> a Parlamentului European și a Consiliului din </w:t>
      </w:r>
      <w:r w:rsidRPr="007240C7">
        <w:rPr>
          <w:lang w:val="ro-RO"/>
        </w:rPr>
        <w:t>20</w:t>
      </w:r>
      <w:r w:rsidRPr="0015614C">
        <w:rPr>
          <w:lang w:val="ro-RO"/>
        </w:rPr>
        <w:t xml:space="preserve"> mai </w:t>
      </w:r>
      <w:r w:rsidRPr="007240C7">
        <w:rPr>
          <w:lang w:val="ro-RO"/>
        </w:rPr>
        <w:t>2019</w:t>
      </w:r>
      <w:r w:rsidRPr="0015614C">
        <w:rPr>
          <w:lang w:val="ro-RO"/>
        </w:rPr>
        <w:t xml:space="preserve"> (Directiva privind cerințele de capital – CRD) în ceea ce privește dispozițiile macroprudențiale. Pachetul bancar din </w:t>
      </w:r>
      <w:r w:rsidRPr="007240C7">
        <w:rPr>
          <w:lang w:val="ro-RO"/>
        </w:rPr>
        <w:t>2019</w:t>
      </w:r>
      <w:r w:rsidRPr="0015614C">
        <w:rPr>
          <w:lang w:val="ro-RO"/>
        </w:rPr>
        <w:t xml:space="preserve"> a introdus unele modificări specifice ale dispozițiilor macroprudențiale, care au devenit aplicabile începând cu </w:t>
      </w:r>
      <w:r w:rsidRPr="007240C7">
        <w:rPr>
          <w:lang w:val="ro-RO"/>
        </w:rPr>
        <w:t>29</w:t>
      </w:r>
      <w:r w:rsidRPr="0015614C">
        <w:rPr>
          <w:lang w:val="ro-RO"/>
        </w:rPr>
        <w:t xml:space="preserve"> decembrie </w:t>
      </w:r>
      <w:r w:rsidRPr="007240C7">
        <w:rPr>
          <w:lang w:val="ro-RO"/>
        </w:rPr>
        <w:t>2020</w:t>
      </w:r>
      <w:r w:rsidRPr="0015614C">
        <w:rPr>
          <w:lang w:val="ro-RO"/>
        </w:rPr>
        <w:t xml:space="preserve">. </w:t>
      </w:r>
    </w:p>
  </w:footnote>
  <w:footnote w:id="11">
    <w:p w14:paraId="6467A42E" w14:textId="77777777" w:rsidR="007B124E" w:rsidRPr="0015614C" w:rsidRDefault="007B124E" w:rsidP="00C64A13">
      <w:pPr>
        <w:pStyle w:val="FootnoteText"/>
        <w:rPr>
          <w:lang w:val="ro-RO"/>
        </w:rPr>
      </w:pPr>
      <w:r w:rsidRPr="0015614C">
        <w:rPr>
          <w:rStyle w:val="FootnoteReference"/>
          <w:lang w:val="ro-RO"/>
        </w:rPr>
        <w:footnoteRef/>
      </w:r>
      <w:r w:rsidRPr="0015614C">
        <w:rPr>
          <w:lang w:val="ro-RO"/>
        </w:rPr>
        <w:t xml:space="preserve"> CERS (</w:t>
      </w:r>
      <w:r w:rsidRPr="007240C7">
        <w:rPr>
          <w:lang w:val="ro-RO"/>
        </w:rPr>
        <w:t>2023</w:t>
      </w:r>
      <w:r w:rsidRPr="0015614C">
        <w:rPr>
          <w:lang w:val="ro-RO"/>
        </w:rPr>
        <w:t xml:space="preserve">), </w:t>
      </w:r>
      <w:hyperlink r:id="rId8" w:history="1">
        <w:r w:rsidRPr="0015614C">
          <w:rPr>
            <w:rStyle w:val="Hyperlink"/>
            <w:lang w:val="ro-RO"/>
          </w:rPr>
          <w:t xml:space="preserve">EU „Non-bank Financial Intermediation Risk Monitor </w:t>
        </w:r>
        <w:r w:rsidRPr="007240C7">
          <w:rPr>
            <w:rStyle w:val="Hyperlink"/>
            <w:lang w:val="ro-RO"/>
          </w:rPr>
          <w:t>2022</w:t>
        </w:r>
        <w:r w:rsidRPr="0015614C">
          <w:rPr>
            <w:rStyle w:val="Hyperlink"/>
            <w:lang w:val="ro-RO"/>
          </w:rPr>
          <w:t xml:space="preserve"> (Raport de monitorizare a riscurilor de intermediere financiară nebancară la nivelul UE în </w:t>
        </w:r>
        <w:r w:rsidRPr="007240C7">
          <w:rPr>
            <w:rStyle w:val="Hyperlink"/>
            <w:lang w:val="ro-RO"/>
          </w:rPr>
          <w:t>2022</w:t>
        </w:r>
        <w:r w:rsidRPr="0015614C">
          <w:rPr>
            <w:rStyle w:val="Hyperlink"/>
            <w:lang w:val="ro-RO"/>
          </w:rPr>
          <w:t>)”</w:t>
        </w:r>
      </w:hyperlink>
      <w:r w:rsidRPr="0015614C">
        <w:rPr>
          <w:lang w:val="ro-RO"/>
        </w:rPr>
        <w:t xml:space="preserve">, iunie </w:t>
      </w:r>
      <w:r w:rsidRPr="007240C7">
        <w:rPr>
          <w:lang w:val="ro-RO"/>
        </w:rPr>
        <w:t>2023</w:t>
      </w:r>
      <w:r w:rsidRPr="0015614C">
        <w:rPr>
          <w:lang w:val="ro-RO"/>
        </w:rPr>
        <w:t xml:space="preserve">. Statisticile se ridică la </w:t>
      </w:r>
      <w:r w:rsidRPr="007240C7">
        <w:rPr>
          <w:lang w:val="ro-RO"/>
        </w:rPr>
        <w:t>49</w:t>
      </w:r>
      <w:r w:rsidRPr="0015614C">
        <w:rPr>
          <w:lang w:val="ro-RO"/>
        </w:rPr>
        <w:t xml:space="preserve"> % dacă extindem domeniul de aplicare la sistemul financiar mondial; a se vedea CSF, </w:t>
      </w:r>
      <w:hyperlink r:id="rId9" w:history="1">
        <w:r w:rsidRPr="0015614C">
          <w:rPr>
            <w:rStyle w:val="Hyperlink"/>
            <w:lang w:val="ro-RO"/>
          </w:rPr>
          <w:t>„Non-Bank Financial Intermediation (Intermedierea financiară nebancară)” – Consiliul pentru Stabilitate Financiară (fsb.org)</w:t>
        </w:r>
      </w:hyperlink>
      <w:r w:rsidRPr="0015614C">
        <w:rPr>
          <w:lang w:val="ro-RO"/>
        </w:rPr>
        <w:t xml:space="preserve">. </w:t>
      </w:r>
    </w:p>
  </w:footnote>
  <w:footnote w:id="12">
    <w:p w14:paraId="5B632251" w14:textId="3E54A24A" w:rsidR="00241024" w:rsidRPr="0015614C" w:rsidRDefault="00241024" w:rsidP="00C64A13">
      <w:pPr>
        <w:pStyle w:val="FootnoteText"/>
        <w:rPr>
          <w:lang w:val="ro-RO"/>
        </w:rPr>
      </w:pPr>
      <w:r w:rsidRPr="0015614C">
        <w:rPr>
          <w:rStyle w:val="FootnoteReference"/>
          <w:lang w:val="ro-RO"/>
        </w:rPr>
        <w:footnoteRef/>
      </w:r>
      <w:r w:rsidRPr="0015614C">
        <w:rPr>
          <w:lang w:val="ro-RO"/>
        </w:rPr>
        <w:t xml:space="preserve"> De asemenea, CERS include o evaluare a ecosistemului criptoactivelor în </w:t>
      </w:r>
      <w:r w:rsidRPr="0015614C">
        <w:rPr>
          <w:i/>
          <w:lang w:val="ro-RO"/>
        </w:rPr>
        <w:t>NBFI Monitor</w:t>
      </w:r>
      <w:r w:rsidRPr="0015614C">
        <w:rPr>
          <w:lang w:val="ro-RO"/>
        </w:rPr>
        <w:t xml:space="preserve"> (Raport de monitorizare a intermediarilor financiari nebancari), deoarece acesta „poate fi implicat în tipuri de intermediere financiară care conduc la vulnerabilități similare și să le expună unor riscuri similare”, a se vedea CERS (</w:t>
      </w:r>
      <w:r w:rsidRPr="007240C7">
        <w:rPr>
          <w:lang w:val="ro-RO"/>
        </w:rPr>
        <w:t>2023</w:t>
      </w:r>
      <w:r w:rsidRPr="0015614C">
        <w:rPr>
          <w:lang w:val="ro-RO"/>
        </w:rPr>
        <w:t xml:space="preserve">), </w:t>
      </w:r>
      <w:hyperlink r:id="rId10" w:history="1">
        <w:r w:rsidRPr="0015614C">
          <w:rPr>
            <w:rStyle w:val="Hyperlink"/>
            <w:lang w:val="ro-RO"/>
          </w:rPr>
          <w:t xml:space="preserve">EU „Non-bank Financial Intermediation Risk Monitor </w:t>
        </w:r>
        <w:r w:rsidRPr="007240C7">
          <w:rPr>
            <w:rStyle w:val="Hyperlink"/>
            <w:lang w:val="ro-RO"/>
          </w:rPr>
          <w:t>2022</w:t>
        </w:r>
        <w:r w:rsidRPr="0015614C">
          <w:rPr>
            <w:rStyle w:val="Hyperlink"/>
            <w:lang w:val="ro-RO"/>
          </w:rPr>
          <w:t xml:space="preserve"> (Raport de monitorizare a riscurilor de intermediere financiară nebancară la nivelul UE în </w:t>
        </w:r>
        <w:r w:rsidRPr="007240C7">
          <w:rPr>
            <w:rStyle w:val="Hyperlink"/>
            <w:lang w:val="ro-RO"/>
          </w:rPr>
          <w:t>2022</w:t>
        </w:r>
        <w:r w:rsidRPr="0015614C">
          <w:rPr>
            <w:rStyle w:val="Hyperlink"/>
            <w:lang w:val="ro-RO"/>
          </w:rPr>
          <w:t>)” (europa.eu)</w:t>
        </w:r>
      </w:hyperlink>
      <w:r w:rsidRPr="0015614C">
        <w:rPr>
          <w:lang w:val="ro-RO"/>
        </w:rPr>
        <w:t>, p. </w:t>
      </w:r>
      <w:r w:rsidRPr="007240C7">
        <w:rPr>
          <w:lang w:val="ro-RO"/>
        </w:rPr>
        <w:t>6</w:t>
      </w:r>
      <w:r w:rsidRPr="0015614C">
        <w:rPr>
          <w:lang w:val="ro-RO"/>
        </w:rPr>
        <w:t>. CSF definește „sectorul intermedierii financiare nebancare” ca fiind „o clasificare largă a tuturor entităților financiare nebancare, compus din toate instituțiile financiare care nu sunt bănci centrale, bănci sau instituții financiare publice.” CSF (</w:t>
      </w:r>
      <w:r w:rsidRPr="007240C7">
        <w:rPr>
          <w:lang w:val="ro-RO"/>
        </w:rPr>
        <w:t>2022</w:t>
      </w:r>
      <w:r w:rsidRPr="0015614C">
        <w:rPr>
          <w:lang w:val="ro-RO"/>
        </w:rPr>
        <w:t xml:space="preserve">), </w:t>
      </w:r>
      <w:hyperlink r:id="rId11" w:history="1">
        <w:r w:rsidRPr="0015614C">
          <w:rPr>
            <w:rStyle w:val="Hyperlink"/>
            <w:lang w:val="ro-RO"/>
          </w:rPr>
          <w:t>„Global Monitoring Report on Non-Bank Financial Intermediation (Raport global de monitorizare a intermedierii financiare nebancare:</w:t>
        </w:r>
      </w:hyperlink>
      <w:hyperlink r:id="rId12" w:history="1">
        <w:r w:rsidRPr="0015614C">
          <w:rPr>
            <w:rStyle w:val="Hyperlink"/>
            <w:lang w:val="ro-RO"/>
          </w:rPr>
          <w:t xml:space="preserve"> </w:t>
        </w:r>
        <w:r w:rsidRPr="007240C7">
          <w:rPr>
            <w:rStyle w:val="Hyperlink"/>
            <w:lang w:val="ro-RO"/>
          </w:rPr>
          <w:t>2022</w:t>
        </w:r>
      </w:hyperlink>
      <w:r w:rsidRPr="0015614C">
        <w:rPr>
          <w:lang w:val="ro-RO"/>
        </w:rPr>
        <w:t>, p.</w:t>
      </w:r>
      <w:r w:rsidRPr="007240C7">
        <w:rPr>
          <w:lang w:val="ro-RO"/>
        </w:rPr>
        <w:t>3</w:t>
      </w:r>
      <w:r w:rsidRPr="0015614C">
        <w:rPr>
          <w:lang w:val="ro-RO"/>
        </w:rPr>
        <w:t>. Această clasificare include, de asemenea, infrastructura pieței financiare în categoria „intermediari de pe piață”. A se vedea CSF (</w:t>
      </w:r>
      <w:r w:rsidRPr="007240C7">
        <w:rPr>
          <w:lang w:val="ro-RO"/>
        </w:rPr>
        <w:t>2022</w:t>
      </w:r>
      <w:r w:rsidRPr="0015614C">
        <w:rPr>
          <w:lang w:val="ro-RO"/>
        </w:rPr>
        <w:t xml:space="preserve">), </w:t>
      </w:r>
      <w:hyperlink r:id="rId13" w:history="1">
        <w:r w:rsidRPr="0015614C">
          <w:rPr>
            <w:rStyle w:val="Hyperlink"/>
            <w:lang w:val="ro-RO"/>
          </w:rPr>
          <w:t>„Enhancing the Resilience of Non-Bank Financial Intermediation:</w:t>
        </w:r>
      </w:hyperlink>
      <w:hyperlink r:id="rId14" w:history="1">
        <w:r w:rsidRPr="0015614C">
          <w:rPr>
            <w:rStyle w:val="Hyperlink"/>
            <w:lang w:val="ro-RO"/>
          </w:rPr>
          <w:t xml:space="preserve"> Progress report (Consolidarea rezilienței intermedierii financiare nebancare: raport intermediar)”</w:t>
        </w:r>
      </w:hyperlink>
      <w:r w:rsidRPr="0015614C">
        <w:rPr>
          <w:lang w:val="ro-RO"/>
        </w:rPr>
        <w:t>, p. </w:t>
      </w:r>
      <w:r w:rsidRPr="007240C7">
        <w:rPr>
          <w:lang w:val="ro-RO"/>
        </w:rPr>
        <w:t>18</w:t>
      </w:r>
      <w:r w:rsidRPr="0015614C">
        <w:rPr>
          <w:lang w:val="ro-RO"/>
        </w:rPr>
        <w:t>. Totuși, CSF a identificat, totodată, o „măsură restrânsă” pentru intermediarii financiari nebancari, care nu se bazează pe entități în sine, fiind mai degrabă o măsură a activității de natură bancară. FSB (</w:t>
      </w:r>
      <w:r w:rsidRPr="007240C7">
        <w:rPr>
          <w:lang w:val="ro-RO"/>
        </w:rPr>
        <w:t>2022</w:t>
      </w:r>
      <w:r w:rsidRPr="0015614C">
        <w:rPr>
          <w:lang w:val="ro-RO"/>
        </w:rPr>
        <w:t>), ibid. p. </w:t>
      </w:r>
      <w:r w:rsidRPr="007240C7">
        <w:rPr>
          <w:lang w:val="ro-RO"/>
        </w:rPr>
        <w:t>3</w:t>
      </w:r>
      <w:r w:rsidRPr="0015614C">
        <w:rPr>
          <w:lang w:val="ro-RO"/>
        </w:rPr>
        <w:t xml:space="preserve">. </w:t>
      </w:r>
    </w:p>
  </w:footnote>
  <w:footnote w:id="13">
    <w:p w14:paraId="7B51B336" w14:textId="49D992DD" w:rsidR="00241024" w:rsidRPr="0015614C" w:rsidRDefault="00241024" w:rsidP="00A52008">
      <w:pPr>
        <w:spacing w:after="0" w:line="240" w:lineRule="auto"/>
        <w:rPr>
          <w:rFonts w:cs="Times New Roman"/>
          <w:sz w:val="20"/>
          <w:lang w:val="ro-RO"/>
        </w:rPr>
      </w:pPr>
      <w:r w:rsidRPr="0015614C">
        <w:rPr>
          <w:rStyle w:val="FootnoteReference"/>
          <w:lang w:val="ro-RO"/>
        </w:rPr>
        <w:footnoteRef/>
      </w:r>
      <w:r w:rsidRPr="0015614C">
        <w:rPr>
          <w:sz w:val="20"/>
          <w:lang w:val="ro-RO"/>
        </w:rPr>
        <w:t xml:space="preserve"> </w:t>
      </w:r>
      <w:r w:rsidRPr="0015614C">
        <w:rPr>
          <w:color w:val="111111"/>
          <w:sz w:val="20"/>
          <w:shd w:val="clear" w:color="auto" w:fill="FFFFFF"/>
          <w:lang w:val="ro-RO"/>
        </w:rPr>
        <w:t xml:space="preserve">Transformarea lichidității este procesul de utilizare a pasivelor pe termen scurt similare cu numerarul pentru a achiziționa active pe termen mai lung, cum ar fi împrumuturile. </w:t>
      </w:r>
      <w:r w:rsidRPr="0015614C">
        <w:rPr>
          <w:sz w:val="20"/>
          <w:lang w:val="ro-RO"/>
        </w:rPr>
        <w:t xml:space="preserve">Efectul de levier se referă fie la împrumutarea de fonduri pentru cumpărarea unui activ (efect de levier fizic sau financiar), fie la depunerea de marje la un contract în care partea care solicită efectul de levier primește randamentul financiar al unui activ în schimbul unei plăți sau al unui comision (de exemplu, instrumente de tip total return swap sau opțiuni), așa-numitul efect de levier „sintetic”. </w:t>
      </w:r>
    </w:p>
  </w:footnote>
  <w:footnote w:id="14">
    <w:p w14:paraId="2EC3955B" w14:textId="77777777" w:rsidR="00776FCF" w:rsidRPr="0015614C" w:rsidRDefault="00776FCF" w:rsidP="00776FCF">
      <w:pPr>
        <w:pStyle w:val="FootnoteText"/>
        <w:rPr>
          <w:lang w:val="ro-RO"/>
        </w:rPr>
      </w:pPr>
      <w:r w:rsidRPr="0015614C">
        <w:rPr>
          <w:rStyle w:val="FootnoteReference"/>
          <w:lang w:val="ro-RO"/>
        </w:rPr>
        <w:footnoteRef/>
      </w:r>
      <w:r w:rsidRPr="0015614C">
        <w:rPr>
          <w:lang w:val="ro-RO"/>
        </w:rPr>
        <w:t xml:space="preserve"> </w:t>
      </w:r>
      <w:r w:rsidRPr="0015614C">
        <w:rPr>
          <w:rStyle w:val="FootnoteTextChar"/>
          <w:lang w:val="ro-RO"/>
        </w:rPr>
        <w:t>CSF (</w:t>
      </w:r>
      <w:r w:rsidRPr="007240C7">
        <w:rPr>
          <w:rStyle w:val="FootnoteTextChar"/>
          <w:lang w:val="ro-RO"/>
        </w:rPr>
        <w:t>2022</w:t>
      </w:r>
      <w:r w:rsidRPr="0015614C">
        <w:rPr>
          <w:rStyle w:val="FootnoteTextChar"/>
          <w:lang w:val="ro-RO"/>
        </w:rPr>
        <w:t xml:space="preserve">), </w:t>
      </w:r>
      <w:hyperlink r:id="rId15" w:history="1">
        <w:r w:rsidRPr="0015614C">
          <w:rPr>
            <w:rStyle w:val="Hyperlink"/>
            <w:lang w:val="ro-RO"/>
          </w:rPr>
          <w:t xml:space="preserve">„Global Monitoring Report on Non-Bank Financial Intermediation (Raport global de monitorizare privind intermedierea financiară nebancară)”, decembrie </w:t>
        </w:r>
        <w:r w:rsidRPr="007240C7">
          <w:rPr>
            <w:rStyle w:val="Hyperlink"/>
            <w:lang w:val="ro-RO"/>
          </w:rPr>
          <w:t>2022</w:t>
        </w:r>
      </w:hyperlink>
      <w:r w:rsidRPr="0015614C">
        <w:rPr>
          <w:rStyle w:val="FootnoteTextChar"/>
          <w:lang w:val="ro-RO"/>
        </w:rPr>
        <w:t>, p. </w:t>
      </w:r>
      <w:r w:rsidRPr="007240C7">
        <w:rPr>
          <w:rStyle w:val="FootnoteTextChar"/>
          <w:lang w:val="ro-RO"/>
        </w:rPr>
        <w:t>31</w:t>
      </w:r>
      <w:r w:rsidRPr="0015614C">
        <w:rPr>
          <w:rStyle w:val="FootnoteTextChar"/>
          <w:lang w:val="ro-RO"/>
        </w:rPr>
        <w:t>.</w:t>
      </w:r>
    </w:p>
  </w:footnote>
  <w:footnote w:id="15">
    <w:p w14:paraId="2045A312" w14:textId="77777777" w:rsidR="00776FCF" w:rsidRPr="0015614C" w:rsidRDefault="00776FCF" w:rsidP="00776FCF">
      <w:pPr>
        <w:spacing w:after="0" w:line="240" w:lineRule="auto"/>
        <w:rPr>
          <w:rFonts w:eastAsia="Calibri" w:cs="Times New Roman"/>
          <w:sz w:val="20"/>
          <w:lang w:val="ro-RO"/>
        </w:rPr>
      </w:pPr>
      <w:r w:rsidRPr="0015614C">
        <w:rPr>
          <w:rStyle w:val="FootnoteReference"/>
          <w:lang w:val="ro-RO"/>
        </w:rPr>
        <w:footnoteRef/>
      </w:r>
      <w:r w:rsidRPr="0015614C">
        <w:rPr>
          <w:lang w:val="ro-RO"/>
        </w:rPr>
        <w:t xml:space="preserve"> </w:t>
      </w:r>
      <w:r w:rsidRPr="0015614C">
        <w:rPr>
          <w:rStyle w:val="FootnoteTextChar"/>
          <w:lang w:val="ro-RO"/>
        </w:rPr>
        <w:t xml:space="preserve">CERS, „NBFI Monitoring (Monitorizarea intermediarilor financiari nebancari)”, iunie </w:t>
      </w:r>
      <w:r w:rsidRPr="007240C7">
        <w:rPr>
          <w:rStyle w:val="FootnoteTextChar"/>
          <w:lang w:val="ro-RO"/>
        </w:rPr>
        <w:t>2023</w:t>
      </w:r>
      <w:r w:rsidRPr="0015614C">
        <w:rPr>
          <w:rStyle w:val="FootnoteTextChar"/>
          <w:lang w:val="ro-RO"/>
        </w:rPr>
        <w:t>, p. </w:t>
      </w:r>
      <w:r w:rsidRPr="007240C7">
        <w:rPr>
          <w:rStyle w:val="FootnoteTextChar"/>
          <w:lang w:val="ro-RO"/>
        </w:rPr>
        <w:t>11</w:t>
      </w:r>
      <w:r w:rsidRPr="0015614C">
        <w:rPr>
          <w:rStyle w:val="FootnoteTextChar"/>
          <w:lang w:val="ro-RO"/>
        </w:rPr>
        <w:t xml:space="preserve">, disponibil în </w:t>
      </w:r>
      <w:hyperlink r:id="rId16" w:history="1">
        <w:r w:rsidRPr="0015614C">
          <w:rPr>
            <w:rStyle w:val="FootnoteTextChar"/>
            <w:lang w:val="ro-RO"/>
          </w:rPr>
          <w:t xml:space="preserve">EU „Non-bank Financial Intermediation Risk Monitor </w:t>
        </w:r>
        <w:r w:rsidRPr="007240C7">
          <w:rPr>
            <w:rStyle w:val="FootnoteTextChar"/>
            <w:lang w:val="ro-RO"/>
          </w:rPr>
          <w:t>2022</w:t>
        </w:r>
        <w:r w:rsidRPr="0015614C">
          <w:rPr>
            <w:rStyle w:val="FootnoteTextChar"/>
            <w:lang w:val="ro-RO"/>
          </w:rPr>
          <w:t xml:space="preserve"> (Raportul de monitorizare a riscurilor de intermediere financiară nebancară la nivelul UE </w:t>
        </w:r>
        <w:r w:rsidRPr="007240C7">
          <w:rPr>
            <w:rStyle w:val="FootnoteTextChar"/>
            <w:lang w:val="ro-RO"/>
          </w:rPr>
          <w:t>2022</w:t>
        </w:r>
        <w:r w:rsidRPr="0015614C">
          <w:rPr>
            <w:rStyle w:val="FootnoteTextChar"/>
            <w:lang w:val="ro-RO"/>
          </w:rPr>
          <w:t>)” (europa.eu)</w:t>
        </w:r>
      </w:hyperlink>
      <w:r w:rsidRPr="0015614C">
        <w:rPr>
          <w:rStyle w:val="FootnoteTextChar"/>
          <w:lang w:val="ro-RO"/>
        </w:rPr>
        <w:t xml:space="preserve">. </w:t>
      </w:r>
    </w:p>
  </w:footnote>
  <w:footnote w:id="16">
    <w:p w14:paraId="2A8DA94E" w14:textId="77777777" w:rsidR="00776FCF" w:rsidRPr="0015614C" w:rsidRDefault="00776FCF" w:rsidP="00776FCF">
      <w:pPr>
        <w:pStyle w:val="FootnoteText"/>
        <w:rPr>
          <w:lang w:val="ro-RO"/>
        </w:rPr>
      </w:pPr>
      <w:r w:rsidRPr="0015614C">
        <w:rPr>
          <w:rStyle w:val="FootnoteReference"/>
          <w:lang w:val="ro-RO"/>
        </w:rPr>
        <w:footnoteRef/>
      </w:r>
      <w:r w:rsidRPr="0015614C">
        <w:rPr>
          <w:lang w:val="ro-RO"/>
        </w:rPr>
        <w:t xml:space="preserve"> Deficitul de lichiditate reprezintă o discrepanță în ceea ce privește oferta sau cererea de titluri de valoare sau între datele scadente ale titlurilor de valoare. Un deficit de lichiditate apare în cazul în care fondurile le oferă investitorilor opțiunea răscumpărărilor pe termen scurt, investind în același timp în active care nu pot fi lichidate cu ușurință într-un termen scurt. </w:t>
      </w:r>
    </w:p>
    <w:p w14:paraId="17A4DEEB" w14:textId="77777777" w:rsidR="00776FCF" w:rsidRPr="0015614C" w:rsidRDefault="005C2ED4" w:rsidP="00776FCF">
      <w:pPr>
        <w:pStyle w:val="FootnoteText"/>
        <w:rPr>
          <w:lang w:val="ro-RO"/>
        </w:rPr>
      </w:pPr>
      <w:hyperlink r:id="rId17" w:history="1">
        <w:r w:rsidR="006410C8" w:rsidRPr="0015614C">
          <w:rPr>
            <w:rStyle w:val="Hyperlink"/>
            <w:lang w:val="ro-RO"/>
          </w:rPr>
          <w:t>„Liquidity mismatch in open-ended funds:</w:t>
        </w:r>
      </w:hyperlink>
      <w:hyperlink r:id="rId18" w:history="1">
        <w:r w:rsidR="006410C8" w:rsidRPr="0015614C">
          <w:rPr>
            <w:rStyle w:val="Hyperlink"/>
            <w:lang w:val="ro-RO"/>
          </w:rPr>
          <w:t xml:space="preserve"> trends, gaps and policy implications (Necorelarea lichidităților în cazul fondurilor deschise: tendințe, lacune și implicații politice)” (europa.eu)</w:t>
        </w:r>
      </w:hyperlink>
      <w:r w:rsidR="006410C8" w:rsidRPr="0015614C">
        <w:rPr>
          <w:lang w:val="ro-RO"/>
        </w:rPr>
        <w:t>.</w:t>
      </w:r>
    </w:p>
  </w:footnote>
  <w:footnote w:id="17">
    <w:p w14:paraId="59A6FDDD" w14:textId="4083FF82" w:rsidR="00E8064E" w:rsidRPr="0015614C" w:rsidRDefault="00E8064E" w:rsidP="00C64A13">
      <w:pPr>
        <w:pStyle w:val="FootnoteText"/>
        <w:rPr>
          <w:lang w:val="ro-RO"/>
        </w:rPr>
      </w:pPr>
      <w:r w:rsidRPr="0015614C">
        <w:rPr>
          <w:rStyle w:val="FootnoteReference"/>
          <w:lang w:val="ro-RO"/>
        </w:rPr>
        <w:footnoteRef/>
      </w:r>
      <w:r w:rsidRPr="0015614C">
        <w:rPr>
          <w:lang w:val="ro-RO"/>
        </w:rPr>
        <w:t xml:space="preserve"> BCE a solicitat, în special, „un răspuns cuprinzător în materie de politici [macroprudențiale] pentru creșterea rezilienței” sectoarelor intermediarilor financiari nebancari, inclusiv „reorientarea instrumentelor existente (mai precis, prin integrarea perspectivelor macroprudențiale) și elaborarea unor politici macroprudențiale suplimentare, precum și evaluarea rolului autorităților în punerea în aplicare a acestora.” A se vedea </w:t>
      </w:r>
      <w:hyperlink r:id="rId19" w:anchor="toc36" w:history="1">
        <w:r w:rsidRPr="0015614C">
          <w:rPr>
            <w:rStyle w:val="Hyperlink"/>
            <w:lang w:val="ro-RO"/>
          </w:rPr>
          <w:t xml:space="preserve">BCE, Raportul </w:t>
        </w:r>
        <w:r w:rsidRPr="0015614C">
          <w:rPr>
            <w:rStyle w:val="Hyperlink"/>
            <w:i/>
            <w:lang w:val="ro-RO"/>
          </w:rPr>
          <w:t>Financial Stability Review</w:t>
        </w:r>
        <w:r w:rsidRPr="0015614C">
          <w:rPr>
            <w:rStyle w:val="Hyperlink"/>
            <w:lang w:val="ro-RO"/>
          </w:rPr>
          <w:t xml:space="preserve">, noiembrie </w:t>
        </w:r>
        <w:r w:rsidRPr="007240C7">
          <w:rPr>
            <w:rStyle w:val="Hyperlink"/>
            <w:lang w:val="ro-RO"/>
          </w:rPr>
          <w:t>2023</w:t>
        </w:r>
      </w:hyperlink>
      <w:r w:rsidRPr="0015614C">
        <w:rPr>
          <w:lang w:val="ro-RO"/>
        </w:rPr>
        <w:t xml:space="preserve">. Banque de France a remarcat că „vulnerabilitățile asociate intermediarilor financiari nebancari necesită punerea în aplicare într-o manieră armonizată a unor măsuri adecvate la nivel internațional. [...] Cu toate acestea, activitatea desfășurată până în prezent s-a axat pe măsuri microprudențiale, activarea anumitor instrumente fiind lăsată la latitudinea fondurilor și axată pe protecția investitorilor. Nu a fost definită încă o abordare macroprudențială, care să integreze riscurile suportate de cohortele de fonduri și impactul acestora asupra sistemului financiar în ansamblu, incluzând eventual instrumente aflate la dispoziția autorităților.” A se vedea Banque de France, </w:t>
      </w:r>
      <w:hyperlink r:id="rId20" w:history="1">
        <w:r w:rsidRPr="0015614C">
          <w:rPr>
            <w:rStyle w:val="Hyperlink"/>
            <w:lang w:val="ro-RO"/>
          </w:rPr>
          <w:t>„Intermedierea financiară nebancară:</w:t>
        </w:r>
      </w:hyperlink>
      <w:hyperlink r:id="rId21" w:history="1">
        <w:r w:rsidRPr="0015614C">
          <w:rPr>
            <w:rStyle w:val="Hyperlink"/>
            <w:lang w:val="ro-RO"/>
          </w:rPr>
          <w:t xml:space="preserve"> vulnerabilități și provocări”</w:t>
        </w:r>
      </w:hyperlink>
      <w:r w:rsidRPr="0015614C">
        <w:rPr>
          <w:lang w:val="ro-RO"/>
        </w:rPr>
        <w:t xml:space="preserve">, </w:t>
      </w:r>
      <w:r w:rsidRPr="007240C7">
        <w:rPr>
          <w:lang w:val="ro-RO"/>
        </w:rPr>
        <w:t>14</w:t>
      </w:r>
      <w:r w:rsidR="007D70C9">
        <w:rPr>
          <w:lang w:val="ro-RO"/>
        </w:rPr>
        <w:t> </w:t>
      </w:r>
      <w:r w:rsidRPr="0015614C">
        <w:rPr>
          <w:lang w:val="ro-RO"/>
        </w:rPr>
        <w:t>noiembrie</w:t>
      </w:r>
      <w:r w:rsidR="007D70C9">
        <w:rPr>
          <w:lang w:val="ro-RO"/>
        </w:rPr>
        <w:t> </w:t>
      </w:r>
      <w:r w:rsidRPr="007240C7">
        <w:rPr>
          <w:lang w:val="ro-RO"/>
        </w:rPr>
        <w:t>2023</w:t>
      </w:r>
      <w:r w:rsidRPr="0015614C">
        <w:rPr>
          <w:lang w:val="ro-RO"/>
        </w:rPr>
        <w:t xml:space="preserve">. Banca Centrală a Irlandei a publicat în iulie </w:t>
      </w:r>
      <w:r w:rsidRPr="007240C7">
        <w:rPr>
          <w:lang w:val="ro-RO"/>
        </w:rPr>
        <w:t>2023</w:t>
      </w:r>
      <w:r w:rsidRPr="0015614C">
        <w:rPr>
          <w:lang w:val="ro-RO"/>
        </w:rPr>
        <w:t xml:space="preserve"> un document de dezbatere intitulat „</w:t>
      </w:r>
      <w:hyperlink r:id="rId22" w:history="1">
        <w:r w:rsidRPr="0015614C">
          <w:rPr>
            <w:rStyle w:val="Hyperlink"/>
            <w:lang w:val="ro-RO"/>
          </w:rPr>
          <w:t>An approach to macroprudential policy for investment funds (O abordare a politicii macroprudențiale pentru fondurile de investiții)</w:t>
        </w:r>
      </w:hyperlink>
      <w:r w:rsidRPr="0015614C">
        <w:rPr>
          <w:lang w:val="ro-RO"/>
        </w:rPr>
        <w:t>”, în cadrul căruia examinează, printre altele, riscul sistemic generat de fondurile de investiții și explorează ideea unui cadru macroprudențial mai holistic pentru fondurile de investiții.</w:t>
      </w:r>
    </w:p>
  </w:footnote>
  <w:footnote w:id="18">
    <w:p w14:paraId="69452308" w14:textId="01562039" w:rsidR="0021486B" w:rsidRPr="0015614C" w:rsidRDefault="0021486B" w:rsidP="00C64A13">
      <w:pPr>
        <w:pStyle w:val="FootnoteText"/>
        <w:rPr>
          <w:lang w:val="ro-RO"/>
        </w:rPr>
      </w:pPr>
      <w:r w:rsidRPr="0015614C">
        <w:rPr>
          <w:rStyle w:val="FootnoteReference"/>
          <w:lang w:val="ro-RO"/>
        </w:rPr>
        <w:footnoteRef/>
      </w:r>
      <w:r w:rsidRPr="0015614C">
        <w:rPr>
          <w:lang w:val="ro-RO"/>
        </w:rPr>
        <w:t xml:space="preserve"> Amortizoarele de capital, care împreună alcătuiesc cerința amortizorului combinat (CBR), sunt consacrate la următoarele articole din </w:t>
      </w:r>
      <w:r w:rsidRPr="0015614C">
        <w:rPr>
          <w:rStyle w:val="s2"/>
          <w:lang w:val="ro-RO"/>
        </w:rPr>
        <w:t>Directiva </w:t>
      </w:r>
      <w:r w:rsidRPr="007240C7">
        <w:rPr>
          <w:rStyle w:val="s2"/>
          <w:lang w:val="ro-RO"/>
        </w:rPr>
        <w:t>2013</w:t>
      </w:r>
      <w:r w:rsidRPr="0015614C">
        <w:rPr>
          <w:rStyle w:val="s2"/>
          <w:lang w:val="ro-RO"/>
        </w:rPr>
        <w:t>/</w:t>
      </w:r>
      <w:r w:rsidRPr="007240C7">
        <w:rPr>
          <w:rStyle w:val="s2"/>
          <w:lang w:val="ro-RO"/>
        </w:rPr>
        <w:t>36</w:t>
      </w:r>
      <w:r w:rsidRPr="0015614C">
        <w:rPr>
          <w:rStyle w:val="s2"/>
          <w:lang w:val="ro-RO"/>
        </w:rPr>
        <w:t xml:space="preserve">/UE a Parlamentului European și a Consiliului din </w:t>
      </w:r>
      <w:r w:rsidRPr="007240C7">
        <w:rPr>
          <w:rStyle w:val="s2"/>
          <w:lang w:val="ro-RO"/>
        </w:rPr>
        <w:t>26</w:t>
      </w:r>
      <w:r w:rsidRPr="0015614C">
        <w:rPr>
          <w:rStyle w:val="s2"/>
          <w:lang w:val="ro-RO"/>
        </w:rPr>
        <w:t> iunie </w:t>
      </w:r>
      <w:r w:rsidRPr="007240C7">
        <w:rPr>
          <w:rStyle w:val="s2"/>
          <w:lang w:val="ro-RO"/>
        </w:rPr>
        <w:t>2013</w:t>
      </w:r>
      <w:r w:rsidRPr="0015614C">
        <w:rPr>
          <w:rStyle w:val="s2"/>
          <w:lang w:val="ro-RO"/>
        </w:rPr>
        <w:t xml:space="preserve"> cu privire la accesul la activitatea instituțiilor de credit și supravegherea prudențială a instituțiilor de credit și a firmelor de investiții, JO L </w:t>
      </w:r>
      <w:r w:rsidRPr="007240C7">
        <w:rPr>
          <w:rStyle w:val="s2"/>
          <w:lang w:val="ro-RO"/>
        </w:rPr>
        <w:t>176</w:t>
      </w:r>
      <w:r w:rsidRPr="0015614C">
        <w:rPr>
          <w:rStyle w:val="s2"/>
          <w:lang w:val="ro-RO"/>
        </w:rPr>
        <w:t xml:space="preserve">, </w:t>
      </w:r>
      <w:r w:rsidRPr="007240C7">
        <w:rPr>
          <w:rStyle w:val="s2"/>
          <w:lang w:val="ro-RO"/>
        </w:rPr>
        <w:t>27</w:t>
      </w:r>
      <w:r w:rsidRPr="0015614C">
        <w:rPr>
          <w:rStyle w:val="s2"/>
          <w:lang w:val="ro-RO"/>
        </w:rPr>
        <w:t>.</w:t>
      </w:r>
      <w:r w:rsidRPr="007240C7">
        <w:rPr>
          <w:rStyle w:val="s2"/>
          <w:lang w:val="ro-RO"/>
        </w:rPr>
        <w:t>6</w:t>
      </w:r>
      <w:r w:rsidRPr="0015614C">
        <w:rPr>
          <w:rStyle w:val="s2"/>
          <w:lang w:val="ro-RO"/>
        </w:rPr>
        <w:t>.</w:t>
      </w:r>
      <w:r w:rsidRPr="007240C7">
        <w:rPr>
          <w:rStyle w:val="s2"/>
          <w:lang w:val="ro-RO"/>
        </w:rPr>
        <w:t>2013</w:t>
      </w:r>
      <w:r w:rsidRPr="0015614C">
        <w:rPr>
          <w:rStyle w:val="s2"/>
          <w:lang w:val="ro-RO"/>
        </w:rPr>
        <w:t>, p. </w:t>
      </w:r>
      <w:r w:rsidRPr="007240C7">
        <w:rPr>
          <w:rStyle w:val="s2"/>
          <w:lang w:val="ro-RO"/>
        </w:rPr>
        <w:t>338</w:t>
      </w:r>
      <w:r w:rsidRPr="0015614C">
        <w:rPr>
          <w:rStyle w:val="s2"/>
          <w:lang w:val="ro-RO"/>
        </w:rPr>
        <w:t xml:space="preserve">, respectiv: </w:t>
      </w:r>
      <w:r w:rsidRPr="0015614C">
        <w:rPr>
          <w:rStyle w:val="s2"/>
          <w:i/>
          <w:lang w:val="ro-RO"/>
        </w:rPr>
        <w:t>CCoB</w:t>
      </w:r>
      <w:r w:rsidRPr="0015614C">
        <w:rPr>
          <w:rStyle w:val="s2"/>
          <w:lang w:val="ro-RO"/>
        </w:rPr>
        <w:t xml:space="preserve"> la articolul </w:t>
      </w:r>
      <w:r w:rsidRPr="007240C7">
        <w:rPr>
          <w:rStyle w:val="s2"/>
          <w:lang w:val="ro-RO"/>
        </w:rPr>
        <w:t>129</w:t>
      </w:r>
      <w:r w:rsidRPr="0015614C">
        <w:rPr>
          <w:rStyle w:val="s2"/>
          <w:lang w:val="ro-RO"/>
        </w:rPr>
        <w:t xml:space="preserve">; amortizoarele </w:t>
      </w:r>
      <w:r w:rsidRPr="0015614C">
        <w:rPr>
          <w:rStyle w:val="s2"/>
          <w:i/>
          <w:lang w:val="ro-RO"/>
        </w:rPr>
        <w:t>G-SII</w:t>
      </w:r>
      <w:r w:rsidRPr="0015614C">
        <w:rPr>
          <w:rStyle w:val="s2"/>
          <w:lang w:val="ro-RO"/>
        </w:rPr>
        <w:t xml:space="preserve"> și </w:t>
      </w:r>
      <w:r w:rsidRPr="0015614C">
        <w:rPr>
          <w:rStyle w:val="s2"/>
          <w:i/>
          <w:lang w:val="ro-RO"/>
        </w:rPr>
        <w:t>O-SII</w:t>
      </w:r>
      <w:r w:rsidRPr="0015614C">
        <w:rPr>
          <w:rStyle w:val="s2"/>
          <w:lang w:val="ro-RO"/>
        </w:rPr>
        <w:t xml:space="preserve"> la articolul </w:t>
      </w:r>
      <w:r w:rsidRPr="007240C7">
        <w:rPr>
          <w:rStyle w:val="s2"/>
          <w:lang w:val="ro-RO"/>
        </w:rPr>
        <w:t>131</w:t>
      </w:r>
      <w:r w:rsidRPr="0015614C">
        <w:rPr>
          <w:rStyle w:val="s2"/>
          <w:lang w:val="ro-RO"/>
        </w:rPr>
        <w:t xml:space="preserve">; </w:t>
      </w:r>
      <w:r w:rsidRPr="0015614C">
        <w:rPr>
          <w:rStyle w:val="s2"/>
          <w:i/>
          <w:lang w:val="ro-RO"/>
        </w:rPr>
        <w:t>CCyB</w:t>
      </w:r>
      <w:r w:rsidRPr="0015614C">
        <w:rPr>
          <w:rStyle w:val="s2"/>
          <w:lang w:val="ro-RO"/>
        </w:rPr>
        <w:t xml:space="preserve"> la articolul </w:t>
      </w:r>
      <w:r w:rsidRPr="007240C7">
        <w:rPr>
          <w:rStyle w:val="s2"/>
          <w:lang w:val="ro-RO"/>
        </w:rPr>
        <w:t>130</w:t>
      </w:r>
      <w:r w:rsidRPr="0015614C">
        <w:rPr>
          <w:rStyle w:val="s2"/>
          <w:lang w:val="ro-RO"/>
        </w:rPr>
        <w:t xml:space="preserve">; și </w:t>
      </w:r>
      <w:r w:rsidRPr="0015614C">
        <w:rPr>
          <w:rStyle w:val="s2"/>
          <w:i/>
          <w:lang w:val="ro-RO"/>
        </w:rPr>
        <w:t>SyRB</w:t>
      </w:r>
      <w:r w:rsidRPr="0015614C">
        <w:rPr>
          <w:rStyle w:val="s2"/>
          <w:lang w:val="ro-RO"/>
        </w:rPr>
        <w:t xml:space="preserve"> la articolul </w:t>
      </w:r>
      <w:r w:rsidRPr="007240C7">
        <w:rPr>
          <w:rStyle w:val="s2"/>
          <w:lang w:val="ro-RO"/>
        </w:rPr>
        <w:t>133</w:t>
      </w:r>
      <w:r w:rsidRPr="0015614C">
        <w:rPr>
          <w:rStyle w:val="s2"/>
          <w:lang w:val="ro-RO"/>
        </w:rPr>
        <w:t xml:space="preserve">. </w:t>
      </w:r>
    </w:p>
  </w:footnote>
  <w:footnote w:id="19">
    <w:p w14:paraId="2E61FFA0" w14:textId="32DBECB2" w:rsidR="00FB6E6D" w:rsidRPr="0015614C" w:rsidRDefault="00FB6E6D" w:rsidP="002E17E0">
      <w:pPr>
        <w:spacing w:after="0"/>
        <w:rPr>
          <w:rFonts w:cs="Times New Roman"/>
          <w:sz w:val="20"/>
          <w:lang w:val="ro-RO"/>
        </w:rPr>
      </w:pPr>
      <w:r w:rsidRPr="0015614C">
        <w:rPr>
          <w:rStyle w:val="FootnoteReference"/>
          <w:lang w:val="ro-RO"/>
        </w:rPr>
        <w:footnoteRef/>
      </w:r>
      <w:r w:rsidRPr="0015614C">
        <w:rPr>
          <w:sz w:val="20"/>
          <w:lang w:val="ro-RO"/>
        </w:rPr>
        <w:t xml:space="preserve"> Articolul </w:t>
      </w:r>
      <w:r w:rsidRPr="007240C7">
        <w:rPr>
          <w:sz w:val="20"/>
          <w:lang w:val="ro-RO"/>
        </w:rPr>
        <w:t>5</w:t>
      </w:r>
      <w:r w:rsidRPr="0015614C">
        <w:rPr>
          <w:sz w:val="20"/>
          <w:lang w:val="ro-RO"/>
        </w:rPr>
        <w:t xml:space="preserve"> alineatul (</w:t>
      </w:r>
      <w:r w:rsidRPr="007240C7">
        <w:rPr>
          <w:sz w:val="20"/>
          <w:lang w:val="ro-RO"/>
        </w:rPr>
        <w:t>2</w:t>
      </w:r>
      <w:r w:rsidRPr="0015614C">
        <w:rPr>
          <w:sz w:val="20"/>
          <w:lang w:val="ro-RO"/>
        </w:rPr>
        <w:t>) din Regulamentul (UE) nr. </w:t>
      </w:r>
      <w:r w:rsidRPr="007240C7">
        <w:rPr>
          <w:sz w:val="20"/>
          <w:lang w:val="ro-RO"/>
        </w:rPr>
        <w:t>1024</w:t>
      </w:r>
      <w:r w:rsidRPr="0015614C">
        <w:rPr>
          <w:sz w:val="20"/>
          <w:lang w:val="ro-RO"/>
        </w:rPr>
        <w:t>/</w:t>
      </w:r>
      <w:r w:rsidRPr="007240C7">
        <w:rPr>
          <w:sz w:val="20"/>
          <w:lang w:val="ro-RO"/>
        </w:rPr>
        <w:t>2013</w:t>
      </w:r>
      <w:r w:rsidRPr="0015614C">
        <w:rPr>
          <w:sz w:val="20"/>
          <w:lang w:val="ro-RO"/>
        </w:rPr>
        <w:t xml:space="preserve"> al Consiliului din </w:t>
      </w:r>
      <w:r w:rsidRPr="007240C7">
        <w:rPr>
          <w:sz w:val="20"/>
          <w:lang w:val="ro-RO"/>
        </w:rPr>
        <w:t>15</w:t>
      </w:r>
      <w:r w:rsidRPr="0015614C">
        <w:rPr>
          <w:sz w:val="20"/>
          <w:lang w:val="ro-RO"/>
        </w:rPr>
        <w:t xml:space="preserve"> octombrie </w:t>
      </w:r>
      <w:r w:rsidRPr="007240C7">
        <w:rPr>
          <w:sz w:val="20"/>
          <w:lang w:val="ro-RO"/>
        </w:rPr>
        <w:t>2013</w:t>
      </w:r>
      <w:r w:rsidRPr="0015614C">
        <w:rPr>
          <w:sz w:val="20"/>
          <w:lang w:val="ro-RO"/>
        </w:rPr>
        <w:t xml:space="preserve"> de conferire a unor atribuții specifice Băncii Centrale Europene în ceea ce privește politicile legate de supravegherea prudențială a instituțiilor de credit.</w:t>
      </w:r>
    </w:p>
  </w:footnote>
  <w:footnote w:id="20">
    <w:p w14:paraId="78824C58" w14:textId="5ED57EE3" w:rsidR="00241024" w:rsidRPr="0015614C" w:rsidRDefault="00241024" w:rsidP="00C45C15">
      <w:pPr>
        <w:spacing w:after="0" w:line="240" w:lineRule="auto"/>
        <w:rPr>
          <w:sz w:val="20"/>
          <w:lang w:val="ro-RO"/>
        </w:rPr>
      </w:pPr>
      <w:r w:rsidRPr="0015614C">
        <w:rPr>
          <w:rStyle w:val="FootnoteReference"/>
          <w:lang w:val="ro-RO"/>
        </w:rPr>
        <w:footnoteRef/>
      </w:r>
      <w:r w:rsidRPr="0015614C">
        <w:rPr>
          <w:sz w:val="20"/>
          <w:lang w:val="ro-RO"/>
        </w:rPr>
        <w:t xml:space="preserve"> </w:t>
      </w:r>
      <w:r w:rsidRPr="0015614C">
        <w:rPr>
          <w:color w:val="333333"/>
          <w:sz w:val="20"/>
          <w:shd w:val="clear" w:color="auto" w:fill="FFFFFF"/>
          <w:lang w:val="ro-RO"/>
        </w:rPr>
        <w:t xml:space="preserve">Directiva </w:t>
      </w:r>
      <w:r w:rsidRPr="007240C7">
        <w:rPr>
          <w:color w:val="333333"/>
          <w:sz w:val="20"/>
          <w:shd w:val="clear" w:color="auto" w:fill="FFFFFF"/>
          <w:lang w:val="ro-RO"/>
        </w:rPr>
        <w:t>2011</w:t>
      </w:r>
      <w:r w:rsidRPr="0015614C">
        <w:rPr>
          <w:color w:val="333333"/>
          <w:sz w:val="20"/>
          <w:shd w:val="clear" w:color="auto" w:fill="FFFFFF"/>
          <w:lang w:val="ro-RO"/>
        </w:rPr>
        <w:t>/</w:t>
      </w:r>
      <w:r w:rsidRPr="007240C7">
        <w:rPr>
          <w:color w:val="333333"/>
          <w:sz w:val="20"/>
          <w:shd w:val="clear" w:color="auto" w:fill="FFFFFF"/>
          <w:lang w:val="ro-RO"/>
        </w:rPr>
        <w:t>61</w:t>
      </w:r>
      <w:r w:rsidRPr="0015614C">
        <w:rPr>
          <w:color w:val="333333"/>
          <w:sz w:val="20"/>
          <w:shd w:val="clear" w:color="auto" w:fill="FFFFFF"/>
          <w:lang w:val="ro-RO"/>
        </w:rPr>
        <w:t xml:space="preserve">/UE a Parlamentului European și a Consiliului din </w:t>
      </w:r>
      <w:r w:rsidRPr="007240C7">
        <w:rPr>
          <w:color w:val="333333"/>
          <w:sz w:val="20"/>
          <w:shd w:val="clear" w:color="auto" w:fill="FFFFFF"/>
          <w:lang w:val="ro-RO"/>
        </w:rPr>
        <w:t>8</w:t>
      </w:r>
      <w:r w:rsidRPr="0015614C">
        <w:rPr>
          <w:color w:val="333333"/>
          <w:sz w:val="20"/>
          <w:shd w:val="clear" w:color="auto" w:fill="FFFFFF"/>
          <w:lang w:val="ro-RO"/>
        </w:rPr>
        <w:t xml:space="preserve"> iunie </w:t>
      </w:r>
      <w:r w:rsidRPr="007240C7">
        <w:rPr>
          <w:color w:val="333333"/>
          <w:sz w:val="20"/>
          <w:shd w:val="clear" w:color="auto" w:fill="FFFFFF"/>
          <w:lang w:val="ro-RO"/>
        </w:rPr>
        <w:t>2011</w:t>
      </w:r>
      <w:r w:rsidRPr="0015614C">
        <w:rPr>
          <w:color w:val="333333"/>
          <w:sz w:val="20"/>
          <w:shd w:val="clear" w:color="auto" w:fill="FFFFFF"/>
          <w:lang w:val="ro-RO"/>
        </w:rPr>
        <w:t xml:space="preserve"> privind administratorii fondurilor de investiții alternative și de modificare a Directivelor </w:t>
      </w:r>
      <w:r w:rsidRPr="007240C7">
        <w:rPr>
          <w:color w:val="333333"/>
          <w:sz w:val="20"/>
          <w:shd w:val="clear" w:color="auto" w:fill="FFFFFF"/>
          <w:lang w:val="ro-RO"/>
        </w:rPr>
        <w:t>2003</w:t>
      </w:r>
      <w:r w:rsidRPr="0015614C">
        <w:rPr>
          <w:color w:val="333333"/>
          <w:sz w:val="20"/>
          <w:shd w:val="clear" w:color="auto" w:fill="FFFFFF"/>
          <w:lang w:val="ro-RO"/>
        </w:rPr>
        <w:t>/</w:t>
      </w:r>
      <w:r w:rsidRPr="007240C7">
        <w:rPr>
          <w:color w:val="333333"/>
          <w:sz w:val="20"/>
          <w:shd w:val="clear" w:color="auto" w:fill="FFFFFF"/>
          <w:lang w:val="ro-RO"/>
        </w:rPr>
        <w:t>41</w:t>
      </w:r>
      <w:r w:rsidRPr="0015614C">
        <w:rPr>
          <w:color w:val="333333"/>
          <w:sz w:val="20"/>
          <w:shd w:val="clear" w:color="auto" w:fill="FFFFFF"/>
          <w:lang w:val="ro-RO"/>
        </w:rPr>
        <w:t xml:space="preserve">/CE și </w:t>
      </w:r>
      <w:r w:rsidRPr="007240C7">
        <w:rPr>
          <w:color w:val="333333"/>
          <w:sz w:val="20"/>
          <w:shd w:val="clear" w:color="auto" w:fill="FFFFFF"/>
          <w:lang w:val="ro-RO"/>
        </w:rPr>
        <w:t>2009</w:t>
      </w:r>
      <w:r w:rsidRPr="0015614C">
        <w:rPr>
          <w:color w:val="333333"/>
          <w:sz w:val="20"/>
          <w:shd w:val="clear" w:color="auto" w:fill="FFFFFF"/>
          <w:lang w:val="ro-RO"/>
        </w:rPr>
        <w:t>/</w:t>
      </w:r>
      <w:r w:rsidRPr="007240C7">
        <w:rPr>
          <w:color w:val="333333"/>
          <w:sz w:val="20"/>
          <w:shd w:val="clear" w:color="auto" w:fill="FFFFFF"/>
          <w:lang w:val="ro-RO"/>
        </w:rPr>
        <w:t>65</w:t>
      </w:r>
      <w:r w:rsidRPr="0015614C">
        <w:rPr>
          <w:color w:val="333333"/>
          <w:sz w:val="20"/>
          <w:shd w:val="clear" w:color="auto" w:fill="FFFFFF"/>
          <w:lang w:val="ro-RO"/>
        </w:rPr>
        <w:t>/CE și a Regulamentelor (CE) nr. </w:t>
      </w:r>
      <w:r w:rsidRPr="007240C7">
        <w:rPr>
          <w:color w:val="333333"/>
          <w:sz w:val="20"/>
          <w:shd w:val="clear" w:color="auto" w:fill="FFFFFF"/>
          <w:lang w:val="ro-RO"/>
        </w:rPr>
        <w:t>1060</w:t>
      </w:r>
      <w:r w:rsidRPr="0015614C">
        <w:rPr>
          <w:color w:val="333333"/>
          <w:sz w:val="20"/>
          <w:shd w:val="clear" w:color="auto" w:fill="FFFFFF"/>
          <w:lang w:val="ro-RO"/>
        </w:rPr>
        <w:t>/</w:t>
      </w:r>
      <w:r w:rsidRPr="007240C7">
        <w:rPr>
          <w:color w:val="333333"/>
          <w:sz w:val="20"/>
          <w:shd w:val="clear" w:color="auto" w:fill="FFFFFF"/>
          <w:lang w:val="ro-RO"/>
        </w:rPr>
        <w:t>2009</w:t>
      </w:r>
      <w:r w:rsidRPr="0015614C">
        <w:rPr>
          <w:color w:val="333333"/>
          <w:sz w:val="20"/>
          <w:shd w:val="clear" w:color="auto" w:fill="FFFFFF"/>
          <w:lang w:val="ro-RO"/>
        </w:rPr>
        <w:t xml:space="preserve"> și (UE) nr. </w:t>
      </w:r>
      <w:r w:rsidRPr="007240C7">
        <w:rPr>
          <w:color w:val="333333"/>
          <w:sz w:val="20"/>
          <w:shd w:val="clear" w:color="auto" w:fill="FFFFFF"/>
          <w:lang w:val="ro-RO"/>
        </w:rPr>
        <w:t>1095</w:t>
      </w:r>
      <w:r w:rsidRPr="0015614C">
        <w:rPr>
          <w:color w:val="333333"/>
          <w:sz w:val="20"/>
          <w:shd w:val="clear" w:color="auto" w:fill="FFFFFF"/>
          <w:lang w:val="ro-RO"/>
        </w:rPr>
        <w:t>/</w:t>
      </w:r>
      <w:r w:rsidRPr="007240C7">
        <w:rPr>
          <w:color w:val="333333"/>
          <w:sz w:val="20"/>
          <w:shd w:val="clear" w:color="auto" w:fill="FFFFFF"/>
          <w:lang w:val="ro-RO"/>
        </w:rPr>
        <w:t>2010</w:t>
      </w:r>
      <w:r w:rsidRPr="0015614C">
        <w:rPr>
          <w:color w:val="333333"/>
          <w:sz w:val="20"/>
          <w:shd w:val="clear" w:color="auto" w:fill="FFFFFF"/>
          <w:lang w:val="ro-RO"/>
        </w:rPr>
        <w:t xml:space="preserve">. </w:t>
      </w:r>
    </w:p>
  </w:footnote>
  <w:footnote w:id="21">
    <w:p w14:paraId="39B7D085" w14:textId="3F71B53D" w:rsidR="00241024" w:rsidRPr="0015614C" w:rsidRDefault="00241024" w:rsidP="00C45C15">
      <w:pPr>
        <w:spacing w:after="0" w:line="240" w:lineRule="auto"/>
        <w:rPr>
          <w:sz w:val="20"/>
          <w:lang w:val="ro-RO"/>
        </w:rPr>
      </w:pPr>
      <w:r w:rsidRPr="0015614C">
        <w:rPr>
          <w:rStyle w:val="FootnoteReference"/>
          <w:lang w:val="ro-RO"/>
        </w:rPr>
        <w:footnoteRef/>
      </w:r>
      <w:r w:rsidRPr="0015614C">
        <w:rPr>
          <w:sz w:val="20"/>
          <w:lang w:val="ro-RO"/>
        </w:rPr>
        <w:t xml:space="preserve"> </w:t>
      </w:r>
      <w:r w:rsidRPr="0015614C">
        <w:rPr>
          <w:color w:val="333333"/>
          <w:sz w:val="20"/>
          <w:shd w:val="clear" w:color="auto" w:fill="FFFFFF"/>
          <w:lang w:val="ro-RO"/>
        </w:rPr>
        <w:t xml:space="preserve">Directiva </w:t>
      </w:r>
      <w:r w:rsidRPr="007240C7">
        <w:rPr>
          <w:color w:val="333333"/>
          <w:sz w:val="20"/>
          <w:shd w:val="clear" w:color="auto" w:fill="FFFFFF"/>
          <w:lang w:val="ro-RO"/>
        </w:rPr>
        <w:t>2009</w:t>
      </w:r>
      <w:r w:rsidRPr="0015614C">
        <w:rPr>
          <w:color w:val="333333"/>
          <w:sz w:val="20"/>
          <w:shd w:val="clear" w:color="auto" w:fill="FFFFFF"/>
          <w:lang w:val="ro-RO"/>
        </w:rPr>
        <w:t>/</w:t>
      </w:r>
      <w:r w:rsidRPr="007240C7">
        <w:rPr>
          <w:color w:val="333333"/>
          <w:sz w:val="20"/>
          <w:shd w:val="clear" w:color="auto" w:fill="FFFFFF"/>
          <w:lang w:val="ro-RO"/>
        </w:rPr>
        <w:t>65</w:t>
      </w:r>
      <w:r w:rsidRPr="0015614C">
        <w:rPr>
          <w:color w:val="333333"/>
          <w:sz w:val="20"/>
          <w:shd w:val="clear" w:color="auto" w:fill="FFFFFF"/>
          <w:lang w:val="ro-RO"/>
        </w:rPr>
        <w:t xml:space="preserve">/CE a Parlamentului European și a Consiliului din </w:t>
      </w:r>
      <w:r w:rsidRPr="007240C7">
        <w:rPr>
          <w:color w:val="333333"/>
          <w:sz w:val="20"/>
          <w:shd w:val="clear" w:color="auto" w:fill="FFFFFF"/>
          <w:lang w:val="ro-RO"/>
        </w:rPr>
        <w:t>13</w:t>
      </w:r>
      <w:r w:rsidRPr="0015614C">
        <w:rPr>
          <w:color w:val="333333"/>
          <w:sz w:val="20"/>
          <w:shd w:val="clear" w:color="auto" w:fill="FFFFFF"/>
          <w:lang w:val="ro-RO"/>
        </w:rPr>
        <w:t xml:space="preserve"> iulie </w:t>
      </w:r>
      <w:r w:rsidRPr="007240C7">
        <w:rPr>
          <w:color w:val="333333"/>
          <w:sz w:val="20"/>
          <w:shd w:val="clear" w:color="auto" w:fill="FFFFFF"/>
          <w:lang w:val="ro-RO"/>
        </w:rPr>
        <w:t>2009</w:t>
      </w:r>
      <w:r w:rsidRPr="0015614C">
        <w:rPr>
          <w:color w:val="333333"/>
          <w:sz w:val="20"/>
          <w:shd w:val="clear" w:color="auto" w:fill="FFFFFF"/>
          <w:lang w:val="ro-RO"/>
        </w:rPr>
        <w:t xml:space="preserve"> de coordonare a actelor cu putere de lege și a actelor administrative privind organismele de plasament colectiv în valori mobiliare (OPCVM) (reformare</w:t>
      </w:r>
      <w:r w:rsidRPr="0015614C">
        <w:rPr>
          <w:sz w:val="20"/>
          <w:lang w:val="ro-RO"/>
        </w:rPr>
        <w:t xml:space="preserve">). </w:t>
      </w:r>
    </w:p>
  </w:footnote>
  <w:footnote w:id="22">
    <w:p w14:paraId="5BC73E3B" w14:textId="0842B8C9" w:rsidR="00241024" w:rsidRPr="0015614C" w:rsidRDefault="00241024" w:rsidP="00C64A13">
      <w:pPr>
        <w:pStyle w:val="FootnoteText"/>
        <w:rPr>
          <w:lang w:val="ro-RO"/>
        </w:rPr>
      </w:pPr>
      <w:r w:rsidRPr="0015614C">
        <w:rPr>
          <w:rStyle w:val="FootnoteReference"/>
          <w:lang w:val="ro-RO"/>
        </w:rPr>
        <w:footnoteRef/>
      </w:r>
      <w:r w:rsidRPr="0015614C">
        <w:rPr>
          <w:lang w:val="ro-RO"/>
        </w:rPr>
        <w:t xml:space="preserve"> Comisia Europeană (</w:t>
      </w:r>
      <w:r w:rsidRPr="007240C7">
        <w:rPr>
          <w:lang w:val="ro-RO"/>
        </w:rPr>
        <w:t>2021</w:t>
      </w:r>
      <w:r w:rsidRPr="0015614C">
        <w:rPr>
          <w:lang w:val="ro-RO"/>
        </w:rPr>
        <w:t xml:space="preserve">), </w:t>
      </w:r>
      <w:hyperlink r:id="rId23" w:history="1">
        <w:r w:rsidRPr="0015614C">
          <w:rPr>
            <w:rStyle w:val="Hyperlink"/>
            <w:lang w:val="ro-RO"/>
          </w:rPr>
          <w:t>Uniunea piețelor de capital:</w:t>
        </w:r>
      </w:hyperlink>
      <w:hyperlink r:id="rId24" w:history="1">
        <w:r w:rsidRPr="0015614C">
          <w:rPr>
            <w:rStyle w:val="Hyperlink"/>
            <w:lang w:val="ro-RO"/>
          </w:rPr>
          <w:t xml:space="preserve"> Comisia adoptă un pachet pentru a asigura un acces mai bun la date și norme revizuite privind investițiile</w:t>
        </w:r>
      </w:hyperlink>
      <w:r w:rsidRPr="0015614C">
        <w:rPr>
          <w:lang w:val="ro-RO"/>
        </w:rPr>
        <w:t xml:space="preserve">, </w:t>
      </w:r>
      <w:r w:rsidRPr="007240C7">
        <w:rPr>
          <w:lang w:val="ro-RO"/>
        </w:rPr>
        <w:t>25</w:t>
      </w:r>
      <w:r w:rsidRPr="0015614C">
        <w:rPr>
          <w:lang w:val="ro-RO"/>
        </w:rPr>
        <w:t xml:space="preserve"> noiembrie </w:t>
      </w:r>
      <w:r w:rsidRPr="007240C7">
        <w:rPr>
          <w:lang w:val="ro-RO"/>
        </w:rPr>
        <w:t>2021</w:t>
      </w:r>
      <w:r w:rsidRPr="0015614C">
        <w:rPr>
          <w:lang w:val="ro-RO"/>
        </w:rPr>
        <w:t xml:space="preserve">. </w:t>
      </w:r>
    </w:p>
  </w:footnote>
  <w:footnote w:id="23">
    <w:p w14:paraId="05AB34F4" w14:textId="02B79F69" w:rsidR="00241024" w:rsidRPr="0015614C" w:rsidRDefault="00241024" w:rsidP="00C64A13">
      <w:pPr>
        <w:pStyle w:val="FootnoteText"/>
        <w:rPr>
          <w:lang w:val="ro-RO"/>
        </w:rPr>
      </w:pPr>
      <w:r w:rsidRPr="0015614C">
        <w:rPr>
          <w:rStyle w:val="FootnoteReference"/>
          <w:lang w:val="ro-RO"/>
        </w:rPr>
        <w:footnoteRef/>
      </w:r>
      <w:r w:rsidRPr="0015614C">
        <w:rPr>
          <w:lang w:val="ro-RO"/>
        </w:rPr>
        <w:t xml:space="preserve"> Recomandarea CERS din </w:t>
      </w:r>
      <w:r w:rsidRPr="007240C7">
        <w:rPr>
          <w:lang w:val="ro-RO"/>
        </w:rPr>
        <w:t>7</w:t>
      </w:r>
      <w:r w:rsidRPr="0015614C">
        <w:rPr>
          <w:lang w:val="ro-RO"/>
        </w:rPr>
        <w:t xml:space="preserve"> decembrie </w:t>
      </w:r>
      <w:r w:rsidRPr="007240C7">
        <w:rPr>
          <w:lang w:val="ro-RO"/>
        </w:rPr>
        <w:t>2017</w:t>
      </w:r>
      <w:r w:rsidRPr="0015614C">
        <w:rPr>
          <w:lang w:val="ro-RO"/>
        </w:rPr>
        <w:t xml:space="preserve"> privind riscurile de lichiditate și de efect de levier în cadrul fondurilor de investiții (CERS/</w:t>
      </w:r>
      <w:r w:rsidRPr="007240C7">
        <w:rPr>
          <w:lang w:val="ro-RO"/>
        </w:rPr>
        <w:t>2017</w:t>
      </w:r>
      <w:r w:rsidRPr="0015614C">
        <w:rPr>
          <w:lang w:val="ro-RO"/>
        </w:rPr>
        <w:t>/</w:t>
      </w:r>
      <w:r w:rsidRPr="007240C7">
        <w:rPr>
          <w:lang w:val="ro-RO"/>
        </w:rPr>
        <w:t>6</w:t>
      </w:r>
      <w:r w:rsidRPr="0015614C">
        <w:rPr>
          <w:lang w:val="ro-RO"/>
        </w:rPr>
        <w:t xml:space="preserve">). </w:t>
      </w:r>
    </w:p>
  </w:footnote>
  <w:footnote w:id="24">
    <w:p w14:paraId="141B2E1D" w14:textId="596B2EF3" w:rsidR="00241024" w:rsidRPr="0015614C" w:rsidRDefault="00241024" w:rsidP="00F43FC7">
      <w:pPr>
        <w:spacing w:after="0" w:line="240" w:lineRule="auto"/>
        <w:rPr>
          <w:rFonts w:eastAsia="Calibri" w:cs="Times New Roman"/>
          <w:sz w:val="20"/>
          <w:lang w:val="ro-RO"/>
        </w:rPr>
      </w:pPr>
      <w:r w:rsidRPr="0015614C">
        <w:rPr>
          <w:rStyle w:val="FootnoteReference"/>
          <w:rFonts w:cs="Times New Roman"/>
          <w:lang w:val="ro-RO"/>
        </w:rPr>
        <w:footnoteRef/>
      </w:r>
      <w:r w:rsidRPr="0015614C">
        <w:rPr>
          <w:sz w:val="20"/>
          <w:lang w:val="ro-RO"/>
        </w:rPr>
        <w:t xml:space="preserve"> </w:t>
      </w:r>
      <w:r w:rsidRPr="0015614C">
        <w:rPr>
          <w:rStyle w:val="FootnoteTextChar"/>
          <w:lang w:val="ro-RO"/>
        </w:rPr>
        <w:t xml:space="preserve">Regulamentul (UE) </w:t>
      </w:r>
      <w:r w:rsidRPr="007240C7">
        <w:rPr>
          <w:rStyle w:val="FootnoteTextChar"/>
          <w:lang w:val="ro-RO"/>
        </w:rPr>
        <w:t>2017</w:t>
      </w:r>
      <w:r w:rsidRPr="0015614C">
        <w:rPr>
          <w:rStyle w:val="FootnoteTextChar"/>
          <w:lang w:val="ro-RO"/>
        </w:rPr>
        <w:t>/</w:t>
      </w:r>
      <w:r w:rsidRPr="007240C7">
        <w:rPr>
          <w:rStyle w:val="FootnoteTextChar"/>
          <w:lang w:val="ro-RO"/>
        </w:rPr>
        <w:t>1131</w:t>
      </w:r>
      <w:r w:rsidRPr="0015614C">
        <w:rPr>
          <w:rStyle w:val="FootnoteTextChar"/>
          <w:lang w:val="ro-RO"/>
        </w:rPr>
        <w:t xml:space="preserve"> al Parlamentului European și al Consiliului din </w:t>
      </w:r>
      <w:r w:rsidRPr="007240C7">
        <w:rPr>
          <w:rStyle w:val="FootnoteTextChar"/>
          <w:lang w:val="ro-RO"/>
        </w:rPr>
        <w:t>14</w:t>
      </w:r>
      <w:r w:rsidRPr="0015614C">
        <w:rPr>
          <w:rStyle w:val="FootnoteTextChar"/>
          <w:lang w:val="ro-RO"/>
        </w:rPr>
        <w:t xml:space="preserve"> iunie </w:t>
      </w:r>
      <w:r w:rsidRPr="007240C7">
        <w:rPr>
          <w:rStyle w:val="FootnoteTextChar"/>
          <w:lang w:val="ro-RO"/>
        </w:rPr>
        <w:t>2017</w:t>
      </w:r>
      <w:r w:rsidRPr="0015614C">
        <w:rPr>
          <w:rStyle w:val="FootnoteTextChar"/>
          <w:lang w:val="ro-RO"/>
        </w:rPr>
        <w:t xml:space="preserve"> privind fondurile de piață monetară, disponibil la </w:t>
      </w:r>
      <w:hyperlink r:id="rId25" w:history="1">
        <w:r w:rsidRPr="0015614C">
          <w:rPr>
            <w:rStyle w:val="FootnoteTextChar"/>
            <w:lang w:val="ro-RO"/>
          </w:rPr>
          <w:t xml:space="preserve">EUR-Lex – </w:t>
        </w:r>
        <w:r w:rsidRPr="007240C7">
          <w:rPr>
            <w:rStyle w:val="FootnoteTextChar"/>
            <w:lang w:val="ro-RO"/>
          </w:rPr>
          <w:t>02017</w:t>
        </w:r>
        <w:r w:rsidRPr="0015614C">
          <w:rPr>
            <w:rStyle w:val="FootnoteTextChar"/>
            <w:lang w:val="ro-RO"/>
          </w:rPr>
          <w:t>R</w:t>
        </w:r>
        <w:r w:rsidRPr="007240C7">
          <w:rPr>
            <w:rStyle w:val="FootnoteTextChar"/>
            <w:lang w:val="ro-RO"/>
          </w:rPr>
          <w:t>1131</w:t>
        </w:r>
        <w:r w:rsidRPr="0015614C">
          <w:rPr>
            <w:rStyle w:val="FootnoteTextChar"/>
            <w:lang w:val="ro-RO"/>
          </w:rPr>
          <w:t>-</w:t>
        </w:r>
        <w:r w:rsidRPr="007240C7">
          <w:rPr>
            <w:rStyle w:val="FootnoteTextChar"/>
            <w:lang w:val="ro-RO"/>
          </w:rPr>
          <w:t>20190101</w:t>
        </w:r>
        <w:r w:rsidRPr="0015614C">
          <w:rPr>
            <w:rStyle w:val="FootnoteTextChar"/>
            <w:lang w:val="ro-RO"/>
          </w:rPr>
          <w:t xml:space="preserve"> – RO – EUR-Lex (europa.eu)</w:t>
        </w:r>
      </w:hyperlink>
      <w:r w:rsidRPr="0015614C">
        <w:rPr>
          <w:rStyle w:val="FootnoteTextChar"/>
          <w:lang w:val="ro-RO"/>
        </w:rPr>
        <w:t xml:space="preserve">. </w:t>
      </w:r>
    </w:p>
  </w:footnote>
  <w:footnote w:id="25">
    <w:p w14:paraId="71C4CE39" w14:textId="7FF4F5C5" w:rsidR="00241024" w:rsidRPr="0015614C" w:rsidRDefault="00241024" w:rsidP="00C64A13">
      <w:pPr>
        <w:pStyle w:val="FootnoteText"/>
        <w:rPr>
          <w:lang w:val="ro-RO"/>
        </w:rPr>
      </w:pPr>
      <w:r w:rsidRPr="0015614C">
        <w:rPr>
          <w:rStyle w:val="FootnoteReference"/>
          <w:lang w:val="ro-RO"/>
        </w:rPr>
        <w:footnoteRef/>
      </w:r>
      <w:r w:rsidRPr="0015614C">
        <w:rPr>
          <w:lang w:val="ro-RO"/>
        </w:rPr>
        <w:t xml:space="preserve"> Comisia Europeană (</w:t>
      </w:r>
      <w:r w:rsidRPr="007240C7">
        <w:rPr>
          <w:lang w:val="ro-RO"/>
        </w:rPr>
        <w:t>2022</w:t>
      </w:r>
      <w:r w:rsidRPr="0015614C">
        <w:rPr>
          <w:lang w:val="ro-RO"/>
        </w:rPr>
        <w:t xml:space="preserve">), </w:t>
      </w:r>
      <w:hyperlink r:id="rId26" w:history="1">
        <w:r w:rsidRPr="0015614C">
          <w:rPr>
            <w:rStyle w:val="Hyperlink"/>
            <w:lang w:val="ro-RO"/>
          </w:rPr>
          <w:t>Consultare specifică referitoare la funcționarea Regulamentului privind fondurile de piață monetară</w:t>
        </w:r>
      </w:hyperlink>
      <w:r w:rsidRPr="0015614C">
        <w:rPr>
          <w:lang w:val="ro-RO"/>
        </w:rPr>
        <w:t xml:space="preserve">, </w:t>
      </w:r>
      <w:r w:rsidRPr="007240C7">
        <w:rPr>
          <w:lang w:val="ro-RO"/>
        </w:rPr>
        <w:t>12</w:t>
      </w:r>
      <w:r w:rsidRPr="0015614C">
        <w:rPr>
          <w:lang w:val="ro-RO"/>
        </w:rPr>
        <w:t xml:space="preserve"> aprilie </w:t>
      </w:r>
      <w:r w:rsidRPr="007240C7">
        <w:rPr>
          <w:lang w:val="ro-RO"/>
        </w:rPr>
        <w:t>2022</w:t>
      </w:r>
      <w:r w:rsidRPr="0015614C">
        <w:rPr>
          <w:lang w:val="ro-RO"/>
        </w:rPr>
        <w:t xml:space="preserve">. </w:t>
      </w:r>
    </w:p>
  </w:footnote>
  <w:footnote w:id="26">
    <w:p w14:paraId="262849AF" w14:textId="73858112" w:rsidR="00241024" w:rsidRPr="0015614C" w:rsidRDefault="00241024" w:rsidP="00C64A13">
      <w:pPr>
        <w:pStyle w:val="FootnoteText"/>
        <w:rPr>
          <w:lang w:val="ro-RO"/>
        </w:rPr>
      </w:pPr>
      <w:r w:rsidRPr="0015614C">
        <w:rPr>
          <w:rStyle w:val="FootnoteReference"/>
          <w:lang w:val="ro-RO"/>
        </w:rPr>
        <w:footnoteRef/>
      </w:r>
      <w:r w:rsidRPr="0015614C">
        <w:rPr>
          <w:lang w:val="ro-RO"/>
        </w:rPr>
        <w:t xml:space="preserve"> </w:t>
      </w:r>
      <w:hyperlink r:id="rId27" w:history="1">
        <w:r w:rsidRPr="0015614C">
          <w:rPr>
            <w:rStyle w:val="Hyperlink"/>
            <w:lang w:val="ro-RO"/>
          </w:rPr>
          <w:t xml:space="preserve">Raport al Comisiei referitor la caracterul adecvat din punct de vedere prudențial și economic al Regulamentului (UE) </w:t>
        </w:r>
        <w:r w:rsidRPr="007240C7">
          <w:rPr>
            <w:rStyle w:val="Hyperlink"/>
            <w:lang w:val="ro-RO"/>
          </w:rPr>
          <w:t>2017</w:t>
        </w:r>
        <w:r w:rsidRPr="0015614C">
          <w:rPr>
            <w:rStyle w:val="Hyperlink"/>
            <w:lang w:val="ro-RO"/>
          </w:rPr>
          <w:t>/</w:t>
        </w:r>
        <w:r w:rsidRPr="007240C7">
          <w:rPr>
            <w:rStyle w:val="Hyperlink"/>
            <w:lang w:val="ro-RO"/>
          </w:rPr>
          <w:t>1131</w:t>
        </w:r>
        <w:r w:rsidRPr="0015614C">
          <w:rPr>
            <w:rStyle w:val="Hyperlink"/>
            <w:lang w:val="ro-RO"/>
          </w:rPr>
          <w:t xml:space="preserve"> privind fondurile de piață monetară (europa.eu)</w:t>
        </w:r>
      </w:hyperlink>
      <w:r w:rsidRPr="0015614C">
        <w:rPr>
          <w:lang w:val="ro-RO"/>
        </w:rPr>
        <w:t>.</w:t>
      </w:r>
    </w:p>
  </w:footnote>
  <w:footnote w:id="27">
    <w:p w14:paraId="729F847B" w14:textId="63B58F24" w:rsidR="00241024" w:rsidRPr="0015614C" w:rsidRDefault="00241024" w:rsidP="00C64A13">
      <w:pPr>
        <w:pStyle w:val="FootnoteText"/>
        <w:rPr>
          <w:lang w:val="ro-RO"/>
        </w:rPr>
      </w:pPr>
      <w:r w:rsidRPr="0015614C">
        <w:rPr>
          <w:rStyle w:val="FootnoteReference"/>
          <w:lang w:val="ro-RO"/>
        </w:rPr>
        <w:footnoteRef/>
      </w:r>
      <w:r w:rsidRPr="0015614C">
        <w:rPr>
          <w:lang w:val="ro-RO"/>
        </w:rPr>
        <w:t xml:space="preserve"> Comisia Europeană (</w:t>
      </w:r>
      <w:r w:rsidRPr="007240C7">
        <w:rPr>
          <w:lang w:val="ro-RO"/>
        </w:rPr>
        <w:t>2021</w:t>
      </w:r>
      <w:r w:rsidRPr="0015614C">
        <w:rPr>
          <w:lang w:val="ro-RO"/>
        </w:rPr>
        <w:t xml:space="preserve">), </w:t>
      </w:r>
      <w:hyperlink r:id="rId28" w:history="1">
        <w:r w:rsidRPr="0015614C">
          <w:rPr>
            <w:rStyle w:val="Hyperlink"/>
            <w:lang w:val="ro-RO"/>
          </w:rPr>
          <w:t>Revizuirea Directivei Solvabilitate II (europa.eu)</w:t>
        </w:r>
      </w:hyperlink>
      <w:r w:rsidRPr="0015614C">
        <w:rPr>
          <w:lang w:val="ro-RO"/>
        </w:rPr>
        <w:t xml:space="preserve">, </w:t>
      </w:r>
      <w:r w:rsidRPr="007240C7">
        <w:rPr>
          <w:lang w:val="ro-RO"/>
        </w:rPr>
        <w:t>22</w:t>
      </w:r>
      <w:r w:rsidRPr="0015614C">
        <w:rPr>
          <w:lang w:val="ro-RO"/>
        </w:rPr>
        <w:t xml:space="preserve"> septembrie </w:t>
      </w:r>
      <w:r w:rsidRPr="007240C7">
        <w:rPr>
          <w:lang w:val="ro-RO"/>
        </w:rPr>
        <w:t>2021</w:t>
      </w:r>
      <w:r w:rsidRPr="0015614C">
        <w:rPr>
          <w:lang w:val="ro-RO"/>
        </w:rPr>
        <w:t xml:space="preserve">. </w:t>
      </w:r>
    </w:p>
  </w:footnote>
  <w:footnote w:id="28">
    <w:p w14:paraId="6CAA4E94" w14:textId="47413ECE" w:rsidR="00241024" w:rsidRPr="0015614C" w:rsidRDefault="00241024" w:rsidP="00C64A13">
      <w:pPr>
        <w:pStyle w:val="FootnoteText"/>
        <w:rPr>
          <w:lang w:val="ro-RO"/>
        </w:rPr>
      </w:pPr>
      <w:r w:rsidRPr="0015614C">
        <w:rPr>
          <w:rStyle w:val="FootnoteReference"/>
          <w:lang w:val="ro-RO"/>
        </w:rPr>
        <w:footnoteRef/>
      </w:r>
      <w:r w:rsidRPr="0015614C">
        <w:rPr>
          <w:lang w:val="ro-RO"/>
        </w:rPr>
        <w:t xml:space="preserve"> EIOPA (</w:t>
      </w:r>
      <w:r w:rsidRPr="007240C7">
        <w:rPr>
          <w:lang w:val="ro-RO"/>
        </w:rPr>
        <w:t>2020</w:t>
      </w:r>
      <w:r w:rsidRPr="0015614C">
        <w:rPr>
          <w:lang w:val="ro-RO"/>
        </w:rPr>
        <w:t xml:space="preserve">), </w:t>
      </w:r>
      <w:hyperlink r:id="rId29" w:history="1">
        <w:r w:rsidRPr="0015614C">
          <w:rPr>
            <w:rStyle w:val="Hyperlink"/>
            <w:lang w:val="ro-RO"/>
          </w:rPr>
          <w:t xml:space="preserve">Avizul privind revizuirea din </w:t>
        </w:r>
        <w:r w:rsidRPr="007240C7">
          <w:rPr>
            <w:rStyle w:val="Hyperlink"/>
            <w:lang w:val="ro-RO"/>
          </w:rPr>
          <w:t>2020</w:t>
        </w:r>
        <w:r w:rsidRPr="0015614C">
          <w:rPr>
            <w:rStyle w:val="Hyperlink"/>
            <w:lang w:val="ro-RO"/>
          </w:rPr>
          <w:t xml:space="preserve"> a Directivei Solvabilitate II</w:t>
        </w:r>
      </w:hyperlink>
      <w:r w:rsidRPr="0015614C">
        <w:rPr>
          <w:lang w:val="ro-RO"/>
        </w:rPr>
        <w:t xml:space="preserve">, </w:t>
      </w:r>
      <w:r w:rsidRPr="007240C7">
        <w:rPr>
          <w:lang w:val="ro-RO"/>
        </w:rPr>
        <w:t>17</w:t>
      </w:r>
      <w:r w:rsidRPr="0015614C">
        <w:rPr>
          <w:lang w:val="ro-RO"/>
        </w:rPr>
        <w:t xml:space="preserve"> decembrie </w:t>
      </w:r>
      <w:r w:rsidRPr="007240C7">
        <w:rPr>
          <w:lang w:val="ro-RO"/>
        </w:rPr>
        <w:t>2020</w:t>
      </w:r>
      <w:r w:rsidRPr="0015614C">
        <w:rPr>
          <w:lang w:val="ro-RO"/>
        </w:rPr>
        <w:t xml:space="preserve">. </w:t>
      </w:r>
    </w:p>
  </w:footnote>
  <w:footnote w:id="29">
    <w:p w14:paraId="5C95732F" w14:textId="2D133FCD" w:rsidR="00241024" w:rsidRPr="0015614C" w:rsidRDefault="00241024" w:rsidP="00C64A13">
      <w:pPr>
        <w:pStyle w:val="FootnoteText"/>
        <w:rPr>
          <w:lang w:val="ro-RO"/>
        </w:rPr>
      </w:pPr>
      <w:r w:rsidRPr="0015614C">
        <w:rPr>
          <w:rStyle w:val="FootnoteReference"/>
          <w:lang w:val="ro-RO"/>
        </w:rPr>
        <w:footnoteRef/>
      </w:r>
      <w:r w:rsidRPr="0015614C">
        <w:rPr>
          <w:lang w:val="ro-RO"/>
        </w:rPr>
        <w:t xml:space="preserve"> Pentru informații privind instrumentele de risc sistemic pentru asigurători, a se vedea CERS (</w:t>
      </w:r>
      <w:r w:rsidRPr="007240C7">
        <w:rPr>
          <w:lang w:val="ro-RO"/>
        </w:rPr>
        <w:t>2022</w:t>
      </w:r>
      <w:r w:rsidRPr="0015614C">
        <w:rPr>
          <w:lang w:val="ro-RO"/>
        </w:rPr>
        <w:t xml:space="preserve">), </w:t>
      </w:r>
      <w:hyperlink r:id="rId30" w:history="1">
        <w:r w:rsidRPr="0015614C">
          <w:rPr>
            <w:rStyle w:val="Hyperlink"/>
            <w:lang w:val="ro-RO"/>
          </w:rPr>
          <w:t>Scrisoare către președintele Grupului de lucru al Consiliului pentru revizuirea Directivei Solvabilitate II</w:t>
        </w:r>
      </w:hyperlink>
      <w:r w:rsidRPr="0015614C">
        <w:rPr>
          <w:lang w:val="ro-RO"/>
        </w:rPr>
        <w:t xml:space="preserve">, </w:t>
      </w:r>
      <w:r w:rsidRPr="007240C7">
        <w:rPr>
          <w:lang w:val="ro-RO"/>
        </w:rPr>
        <w:t>2</w:t>
      </w:r>
      <w:r w:rsidRPr="0015614C">
        <w:rPr>
          <w:lang w:val="ro-RO"/>
        </w:rPr>
        <w:t xml:space="preserve"> februarie </w:t>
      </w:r>
      <w:r w:rsidRPr="007240C7">
        <w:rPr>
          <w:lang w:val="ro-RO"/>
        </w:rPr>
        <w:t>2022</w:t>
      </w:r>
      <w:r w:rsidRPr="0015614C">
        <w:rPr>
          <w:lang w:val="ro-RO"/>
        </w:rPr>
        <w:t>; CERS (</w:t>
      </w:r>
      <w:r w:rsidRPr="007240C7">
        <w:rPr>
          <w:lang w:val="ro-RO"/>
        </w:rPr>
        <w:t>2022</w:t>
      </w:r>
      <w:r w:rsidRPr="0015614C">
        <w:rPr>
          <w:lang w:val="ro-RO"/>
        </w:rPr>
        <w:t xml:space="preserve">), </w:t>
      </w:r>
      <w:hyperlink r:id="rId31" w:history="1">
        <w:r w:rsidRPr="0015614C">
          <w:rPr>
            <w:rStyle w:val="Hyperlink"/>
            <w:lang w:val="ro-RO"/>
          </w:rPr>
          <w:t>Scrisoare către deputații în Parlamentul European,</w:t>
        </w:r>
      </w:hyperlink>
      <w:r w:rsidRPr="0015614C">
        <w:rPr>
          <w:lang w:val="ro-RO"/>
        </w:rPr>
        <w:t xml:space="preserve"> noiembrie </w:t>
      </w:r>
      <w:r w:rsidRPr="007240C7">
        <w:rPr>
          <w:lang w:val="ro-RO"/>
        </w:rPr>
        <w:t>2022</w:t>
      </w:r>
      <w:r w:rsidRPr="0015614C">
        <w:rPr>
          <w:lang w:val="ro-RO"/>
        </w:rPr>
        <w:t xml:space="preserve">. </w:t>
      </w:r>
    </w:p>
  </w:footnote>
  <w:footnote w:id="30">
    <w:p w14:paraId="6C70AFCF" w14:textId="56836294" w:rsidR="00241024" w:rsidRPr="0015614C" w:rsidRDefault="00241024" w:rsidP="00C64A13">
      <w:pPr>
        <w:pStyle w:val="FootnoteText"/>
        <w:rPr>
          <w:lang w:val="ro-RO"/>
        </w:rPr>
      </w:pPr>
      <w:r w:rsidRPr="0015614C">
        <w:rPr>
          <w:rStyle w:val="FootnoteReference"/>
          <w:lang w:val="ro-RO"/>
        </w:rPr>
        <w:footnoteRef/>
      </w:r>
      <w:r w:rsidRPr="0015614C">
        <w:rPr>
          <w:lang w:val="ro-RO"/>
        </w:rPr>
        <w:t xml:space="preserve"> Comisia Europeană (</w:t>
      </w:r>
      <w:r w:rsidRPr="007240C7">
        <w:rPr>
          <w:lang w:val="ro-RO"/>
        </w:rPr>
        <w:t>2022</w:t>
      </w:r>
      <w:r w:rsidRPr="0015614C">
        <w:rPr>
          <w:lang w:val="ro-RO"/>
        </w:rPr>
        <w:t xml:space="preserve">), </w:t>
      </w:r>
      <w:hyperlink r:id="rId32" w:history="1">
        <w:r w:rsidRPr="0015614C">
          <w:rPr>
            <w:rStyle w:val="Hyperlink"/>
            <w:lang w:val="ro-RO"/>
          </w:rPr>
          <w:t>Uniunea piețelor de capital:</w:t>
        </w:r>
      </w:hyperlink>
      <w:hyperlink r:id="rId33" w:history="1">
        <w:r w:rsidRPr="0015614C">
          <w:rPr>
            <w:rStyle w:val="Hyperlink"/>
            <w:lang w:val="ro-RO"/>
          </w:rPr>
          <w:t xml:space="preserve"> pachetul privind compensarea, insolvența și cotarea la bursă (europa.eu)</w:t>
        </w:r>
      </w:hyperlink>
      <w:r w:rsidRPr="0015614C">
        <w:rPr>
          <w:lang w:val="ro-RO"/>
        </w:rPr>
        <w:t xml:space="preserve">, </w:t>
      </w:r>
      <w:r w:rsidRPr="007240C7">
        <w:rPr>
          <w:lang w:val="ro-RO"/>
        </w:rPr>
        <w:t>7</w:t>
      </w:r>
      <w:r w:rsidRPr="0015614C">
        <w:rPr>
          <w:lang w:val="ro-RO"/>
        </w:rPr>
        <w:t xml:space="preserve"> decembrie </w:t>
      </w:r>
      <w:r w:rsidRPr="007240C7">
        <w:rPr>
          <w:lang w:val="ro-RO"/>
        </w:rPr>
        <w:t>2022</w:t>
      </w:r>
      <w:r w:rsidRPr="0015614C">
        <w:rPr>
          <w:lang w:val="ro-RO"/>
        </w:rPr>
        <w:t xml:space="preserve">. </w:t>
      </w:r>
    </w:p>
  </w:footnote>
  <w:footnote w:id="31">
    <w:p w14:paraId="3A157AF5" w14:textId="0969B012" w:rsidR="00241024" w:rsidRPr="0015614C" w:rsidRDefault="00241024" w:rsidP="00C64A13">
      <w:pPr>
        <w:pStyle w:val="FootnoteText"/>
        <w:rPr>
          <w:lang w:val="ro-RO"/>
        </w:rPr>
      </w:pPr>
      <w:r w:rsidRPr="0015614C">
        <w:rPr>
          <w:rStyle w:val="FootnoteReference"/>
          <w:lang w:val="ro-RO"/>
        </w:rPr>
        <w:footnoteRef/>
      </w:r>
      <w:r w:rsidRPr="0015614C">
        <w:rPr>
          <w:lang w:val="ro-RO"/>
        </w:rPr>
        <w:t xml:space="preserve"> Regulamentul (UE) </w:t>
      </w:r>
      <w:r w:rsidRPr="007240C7">
        <w:rPr>
          <w:lang w:val="ro-RO"/>
        </w:rPr>
        <w:t>2015</w:t>
      </w:r>
      <w:r w:rsidRPr="0015614C">
        <w:rPr>
          <w:lang w:val="ro-RO"/>
        </w:rPr>
        <w:t>/</w:t>
      </w:r>
      <w:r w:rsidRPr="007240C7">
        <w:rPr>
          <w:lang w:val="ro-RO"/>
        </w:rPr>
        <w:t>2365</w:t>
      </w:r>
      <w:r w:rsidRPr="0015614C">
        <w:rPr>
          <w:lang w:val="ro-RO"/>
        </w:rPr>
        <w:t xml:space="preserve"> al Parlamentului European și al Consiliului din </w:t>
      </w:r>
      <w:r w:rsidRPr="007240C7">
        <w:rPr>
          <w:lang w:val="ro-RO"/>
        </w:rPr>
        <w:t>25</w:t>
      </w:r>
      <w:r w:rsidRPr="0015614C">
        <w:rPr>
          <w:lang w:val="ro-RO"/>
        </w:rPr>
        <w:t xml:space="preserve"> noiembrie </w:t>
      </w:r>
      <w:r w:rsidRPr="007240C7">
        <w:rPr>
          <w:lang w:val="ro-RO"/>
        </w:rPr>
        <w:t>2015</w:t>
      </w:r>
      <w:r w:rsidRPr="0015614C">
        <w:rPr>
          <w:lang w:val="ro-RO"/>
        </w:rPr>
        <w:t xml:space="preserve"> privind transparența operațiunilor de finanțare prin instrumente financiare și transparența reutilizării și de modificare a Regulamentului (UE) nr. </w:t>
      </w:r>
      <w:r w:rsidRPr="007240C7">
        <w:rPr>
          <w:lang w:val="ro-RO"/>
        </w:rPr>
        <w:t>648</w:t>
      </w:r>
      <w:r w:rsidRPr="0015614C">
        <w:rPr>
          <w:lang w:val="ro-RO"/>
        </w:rPr>
        <w:t>/</w:t>
      </w:r>
      <w:r w:rsidRPr="007240C7">
        <w:rPr>
          <w:lang w:val="ro-RO"/>
        </w:rPr>
        <w:t>2012</w:t>
      </w:r>
      <w:r w:rsidRPr="0015614C">
        <w:rPr>
          <w:lang w:val="ro-RO"/>
        </w:rPr>
        <w:t xml:space="preserve"> (Text cu relevanță pentru SEE), JO L </w:t>
      </w:r>
      <w:r w:rsidRPr="007240C7">
        <w:rPr>
          <w:lang w:val="ro-RO"/>
        </w:rPr>
        <w:t>337</w:t>
      </w:r>
      <w:r w:rsidRPr="0015614C">
        <w:rPr>
          <w:lang w:val="ro-RO"/>
        </w:rPr>
        <w:t xml:space="preserve">, </w:t>
      </w:r>
      <w:r w:rsidRPr="007240C7">
        <w:rPr>
          <w:lang w:val="ro-RO"/>
        </w:rPr>
        <w:t>23</w:t>
      </w:r>
      <w:r w:rsidRPr="0015614C">
        <w:rPr>
          <w:lang w:val="ro-RO"/>
        </w:rPr>
        <w:t>.</w:t>
      </w:r>
      <w:r w:rsidRPr="007240C7">
        <w:rPr>
          <w:lang w:val="ro-RO"/>
        </w:rPr>
        <w:t>12</w:t>
      </w:r>
      <w:r w:rsidRPr="0015614C">
        <w:rPr>
          <w:lang w:val="ro-RO"/>
        </w:rPr>
        <w:t>.</w:t>
      </w:r>
      <w:r w:rsidRPr="007240C7">
        <w:rPr>
          <w:lang w:val="ro-RO"/>
        </w:rPr>
        <w:t>2015</w:t>
      </w:r>
      <w:r w:rsidRPr="0015614C">
        <w:rPr>
          <w:lang w:val="ro-RO"/>
        </w:rPr>
        <w:t xml:space="preserve">. </w:t>
      </w:r>
    </w:p>
  </w:footnote>
  <w:footnote w:id="32">
    <w:p w14:paraId="651ACC10" w14:textId="1805392B" w:rsidR="00241024" w:rsidRPr="0015614C" w:rsidRDefault="00241024" w:rsidP="00C64A13">
      <w:pPr>
        <w:pStyle w:val="FootnoteText"/>
        <w:rPr>
          <w:lang w:val="ro-RO"/>
        </w:rPr>
      </w:pPr>
      <w:r w:rsidRPr="0015614C">
        <w:rPr>
          <w:rStyle w:val="FootnoteReference"/>
          <w:lang w:val="ro-RO"/>
        </w:rPr>
        <w:footnoteRef/>
      </w:r>
      <w:r w:rsidRPr="0015614C">
        <w:rPr>
          <w:lang w:val="ro-RO"/>
        </w:rPr>
        <w:t xml:space="preserve"> A se vedea articolul </w:t>
      </w:r>
      <w:r w:rsidRPr="007240C7">
        <w:rPr>
          <w:lang w:val="ro-RO"/>
        </w:rPr>
        <w:t>394</w:t>
      </w:r>
      <w:r w:rsidRPr="0015614C">
        <w:rPr>
          <w:lang w:val="ro-RO"/>
        </w:rPr>
        <w:t xml:space="preserve"> alineatul (</w:t>
      </w:r>
      <w:r w:rsidRPr="007240C7">
        <w:rPr>
          <w:lang w:val="ro-RO"/>
        </w:rPr>
        <w:t>2</w:t>
      </w:r>
      <w:r w:rsidRPr="0015614C">
        <w:rPr>
          <w:lang w:val="ro-RO"/>
        </w:rPr>
        <w:t>) din Regulamentul (UE) nr. </w:t>
      </w:r>
      <w:r w:rsidRPr="007240C7">
        <w:rPr>
          <w:lang w:val="ro-RO"/>
        </w:rPr>
        <w:t>575</w:t>
      </w:r>
      <w:r w:rsidRPr="0015614C">
        <w:rPr>
          <w:lang w:val="ro-RO"/>
        </w:rPr>
        <w:t>/</w:t>
      </w:r>
      <w:r w:rsidRPr="007240C7">
        <w:rPr>
          <w:lang w:val="ro-RO"/>
        </w:rPr>
        <w:t>2013</w:t>
      </w:r>
      <w:r w:rsidRPr="0015614C">
        <w:rPr>
          <w:lang w:val="ro-RO"/>
        </w:rPr>
        <w:t>, JO L </w:t>
      </w:r>
      <w:r w:rsidRPr="007240C7">
        <w:rPr>
          <w:lang w:val="ro-RO"/>
        </w:rPr>
        <w:t>176</w:t>
      </w:r>
      <w:r w:rsidRPr="0015614C">
        <w:rPr>
          <w:lang w:val="ro-RO"/>
        </w:rPr>
        <w:t xml:space="preserve">, </w:t>
      </w:r>
      <w:r w:rsidRPr="007240C7">
        <w:rPr>
          <w:lang w:val="ro-RO"/>
        </w:rPr>
        <w:t>27</w:t>
      </w:r>
      <w:r w:rsidRPr="0015614C">
        <w:rPr>
          <w:lang w:val="ro-RO"/>
        </w:rPr>
        <w:t>.</w:t>
      </w:r>
      <w:r w:rsidRPr="007240C7">
        <w:rPr>
          <w:lang w:val="ro-RO"/>
        </w:rPr>
        <w:t>6</w:t>
      </w:r>
      <w:r w:rsidRPr="0015614C">
        <w:rPr>
          <w:lang w:val="ro-RO"/>
        </w:rPr>
        <w:t>.</w:t>
      </w:r>
      <w:r w:rsidRPr="007240C7">
        <w:rPr>
          <w:lang w:val="ro-RO"/>
        </w:rPr>
        <w:t>2013</w:t>
      </w:r>
      <w:r w:rsidRPr="0015614C">
        <w:rPr>
          <w:lang w:val="ro-RO"/>
        </w:rPr>
        <w:t>, p. </w:t>
      </w:r>
      <w:r w:rsidRPr="007240C7">
        <w:rPr>
          <w:lang w:val="ro-RO"/>
        </w:rPr>
        <w:t>1</w:t>
      </w:r>
      <w:r w:rsidRPr="0015614C">
        <w:rPr>
          <w:lang w:val="ro-RO"/>
        </w:rPr>
        <w:t xml:space="preserve">. </w:t>
      </w:r>
    </w:p>
  </w:footnote>
  <w:footnote w:id="33">
    <w:p w14:paraId="7FE03CEE" w14:textId="287603A8" w:rsidR="001A7126" w:rsidRPr="0015614C" w:rsidRDefault="001A7126" w:rsidP="00C64A13">
      <w:pPr>
        <w:pStyle w:val="FootnoteText"/>
        <w:rPr>
          <w:lang w:val="ro-RO"/>
        </w:rPr>
      </w:pPr>
      <w:r w:rsidRPr="0015614C">
        <w:rPr>
          <w:rStyle w:val="FootnoteReference"/>
          <w:lang w:val="ro-RO"/>
        </w:rPr>
        <w:footnoteRef/>
      </w:r>
      <w:r w:rsidRPr="0015614C">
        <w:rPr>
          <w:lang w:val="ro-RO"/>
        </w:rPr>
        <w:t xml:space="preserve"> Aceste cerințe au fost operaționalizate printr-un act delegat de nivelul </w:t>
      </w:r>
      <w:r w:rsidRPr="007240C7">
        <w:rPr>
          <w:lang w:val="ro-RO"/>
        </w:rPr>
        <w:t>2</w:t>
      </w:r>
      <w:r w:rsidRPr="0015614C">
        <w:rPr>
          <w:lang w:val="ro-RO"/>
        </w:rPr>
        <w:t xml:space="preserve">, adoptat de Comisia Europeană la </w:t>
      </w:r>
      <w:r w:rsidRPr="007240C7">
        <w:rPr>
          <w:lang w:val="ro-RO"/>
        </w:rPr>
        <w:t>6</w:t>
      </w:r>
      <w:r w:rsidR="00906DE8">
        <w:rPr>
          <w:lang w:val="ro-RO"/>
        </w:rPr>
        <w:t> </w:t>
      </w:r>
      <w:r w:rsidRPr="0015614C">
        <w:rPr>
          <w:lang w:val="ro-RO"/>
        </w:rPr>
        <w:t xml:space="preserve">septembrie </w:t>
      </w:r>
      <w:r w:rsidRPr="007240C7">
        <w:rPr>
          <w:lang w:val="ro-RO"/>
        </w:rPr>
        <w:t>2023</w:t>
      </w:r>
      <w:r w:rsidRPr="0015614C">
        <w:rPr>
          <w:lang w:val="ro-RO"/>
        </w:rPr>
        <w:t xml:space="preserve">, care armonizează criteriile de identificare a acestor entități de către bănci, stabilind în mod specific actele UE care constituie „cadrul reglementat”; a se vedea Regulamentul delegat (UE) </w:t>
      </w:r>
      <w:r w:rsidRPr="007240C7">
        <w:rPr>
          <w:lang w:val="ro-RO"/>
        </w:rPr>
        <w:t>2023</w:t>
      </w:r>
      <w:r w:rsidRPr="0015614C">
        <w:rPr>
          <w:lang w:val="ro-RO"/>
        </w:rPr>
        <w:t>/</w:t>
      </w:r>
      <w:r w:rsidRPr="007240C7">
        <w:rPr>
          <w:lang w:val="ro-RO"/>
        </w:rPr>
        <w:t>2779</w:t>
      </w:r>
      <w:r w:rsidRPr="0015614C">
        <w:rPr>
          <w:lang w:val="ro-RO"/>
        </w:rPr>
        <w:t xml:space="preserve"> al Comisiei din </w:t>
      </w:r>
      <w:r w:rsidRPr="007240C7">
        <w:rPr>
          <w:lang w:val="ro-RO"/>
        </w:rPr>
        <w:t>6</w:t>
      </w:r>
      <w:r w:rsidRPr="0015614C">
        <w:rPr>
          <w:lang w:val="ro-RO"/>
        </w:rPr>
        <w:t xml:space="preserve"> septembrie </w:t>
      </w:r>
      <w:r w:rsidRPr="007240C7">
        <w:rPr>
          <w:lang w:val="ro-RO"/>
        </w:rPr>
        <w:t>2023</w:t>
      </w:r>
      <w:r w:rsidRPr="0015614C">
        <w:rPr>
          <w:lang w:val="ro-RO"/>
        </w:rPr>
        <w:t xml:space="preserve"> de completare a Regulamentului (UE) nr. </w:t>
      </w:r>
      <w:r w:rsidRPr="007240C7">
        <w:rPr>
          <w:lang w:val="ro-RO"/>
        </w:rPr>
        <w:t>575</w:t>
      </w:r>
      <w:r w:rsidRPr="0015614C">
        <w:rPr>
          <w:lang w:val="ro-RO"/>
        </w:rPr>
        <w:t>/</w:t>
      </w:r>
      <w:r w:rsidRPr="007240C7">
        <w:rPr>
          <w:lang w:val="ro-RO"/>
        </w:rPr>
        <w:t>2013</w:t>
      </w:r>
      <w:r w:rsidRPr="0015614C">
        <w:rPr>
          <w:lang w:val="ro-RO"/>
        </w:rPr>
        <w:t xml:space="preserve"> al Parlamentului European și al Consiliului în ceea ce privește standardele tehnice de reglementare care precizează criteriile de identificare a entităților din sectorul bancar paralel menționate la articolul </w:t>
      </w:r>
      <w:r w:rsidRPr="007240C7">
        <w:rPr>
          <w:lang w:val="ro-RO"/>
        </w:rPr>
        <w:t>394</w:t>
      </w:r>
      <w:r w:rsidRPr="0015614C">
        <w:rPr>
          <w:lang w:val="ro-RO"/>
        </w:rPr>
        <w:t xml:space="preserve"> alineatul (</w:t>
      </w:r>
      <w:r w:rsidRPr="007240C7">
        <w:rPr>
          <w:lang w:val="ro-RO"/>
        </w:rPr>
        <w:t>2</w:t>
      </w:r>
      <w:r w:rsidRPr="0015614C">
        <w:rPr>
          <w:lang w:val="ro-RO"/>
        </w:rPr>
        <w:t>) din Regulamentul (UE) nr. </w:t>
      </w:r>
      <w:r w:rsidRPr="007240C7">
        <w:rPr>
          <w:lang w:val="ro-RO"/>
        </w:rPr>
        <w:t>575</w:t>
      </w:r>
      <w:r w:rsidRPr="0015614C">
        <w:rPr>
          <w:lang w:val="ro-RO"/>
        </w:rPr>
        <w:t>/</w:t>
      </w:r>
      <w:r w:rsidRPr="007240C7">
        <w:rPr>
          <w:lang w:val="ro-RO"/>
        </w:rPr>
        <w:t>2013</w:t>
      </w:r>
      <w:r w:rsidRPr="0015614C">
        <w:rPr>
          <w:lang w:val="ro-RO"/>
        </w:rPr>
        <w:t xml:space="preserve">; JO L, </w:t>
      </w:r>
      <w:r w:rsidRPr="007240C7">
        <w:rPr>
          <w:lang w:val="ro-RO"/>
        </w:rPr>
        <w:t>2023</w:t>
      </w:r>
      <w:r w:rsidRPr="0015614C">
        <w:rPr>
          <w:lang w:val="ro-RO"/>
        </w:rPr>
        <w:t>/</w:t>
      </w:r>
      <w:r w:rsidRPr="007240C7">
        <w:rPr>
          <w:lang w:val="ro-RO"/>
        </w:rPr>
        <w:t>2779</w:t>
      </w:r>
      <w:r w:rsidRPr="0015614C">
        <w:rPr>
          <w:lang w:val="ro-RO"/>
        </w:rPr>
        <w:t xml:space="preserve">, </w:t>
      </w:r>
      <w:r w:rsidRPr="007240C7">
        <w:rPr>
          <w:lang w:val="ro-RO"/>
        </w:rPr>
        <w:t>12</w:t>
      </w:r>
      <w:r w:rsidRPr="0015614C">
        <w:rPr>
          <w:lang w:val="ro-RO"/>
        </w:rPr>
        <w:t>.</w:t>
      </w:r>
      <w:r w:rsidRPr="007240C7">
        <w:rPr>
          <w:lang w:val="ro-RO"/>
        </w:rPr>
        <w:t>12</w:t>
      </w:r>
      <w:r w:rsidRPr="0015614C">
        <w:rPr>
          <w:lang w:val="ro-RO"/>
        </w:rPr>
        <w:t>.</w:t>
      </w:r>
      <w:r w:rsidRPr="007240C7">
        <w:rPr>
          <w:lang w:val="ro-RO"/>
        </w:rPr>
        <w:t>2023</w:t>
      </w:r>
      <w:r w:rsidRPr="0015614C">
        <w:rPr>
          <w:lang w:val="ro-RO"/>
        </w:rPr>
        <w:t xml:space="preserve">. </w:t>
      </w:r>
    </w:p>
  </w:footnote>
  <w:footnote w:id="34">
    <w:p w14:paraId="13E8616F" w14:textId="55AD9575" w:rsidR="005F346F" w:rsidRPr="0015614C" w:rsidRDefault="005F346F" w:rsidP="00C64A13">
      <w:pPr>
        <w:pStyle w:val="FootnoteText"/>
        <w:rPr>
          <w:lang w:val="ro-RO"/>
        </w:rPr>
      </w:pPr>
      <w:r w:rsidRPr="0015614C">
        <w:rPr>
          <w:rStyle w:val="FootnoteReference"/>
          <w:lang w:val="ro-RO"/>
        </w:rPr>
        <w:footnoteRef/>
      </w:r>
      <w:r w:rsidRPr="0015614C">
        <w:rPr>
          <w:lang w:val="ro-RO"/>
        </w:rPr>
        <w:t xml:space="preserve"> Intermedierea financiară nebancară se referă la un grup eterogen de instituții financiare, altele decât băncile, care facilitează fluxul de fonduri între deponenți și debitori în economie. Printre acești intermediari se numără entități precum societăți de administrare a activelor, fonduri de investiții, societăți de asigurare, fonduri de pensii, birouri familiale, operatori de piață și alte instituții financiare nebancare care oferă diverse servicii și produse financiare. </w:t>
      </w:r>
    </w:p>
  </w:footnote>
  <w:footnote w:id="35">
    <w:p w14:paraId="50137174" w14:textId="0F95D1A9" w:rsidR="00241024" w:rsidRPr="0015614C" w:rsidRDefault="00241024" w:rsidP="00C64A13">
      <w:pPr>
        <w:pStyle w:val="FootnoteText"/>
        <w:rPr>
          <w:lang w:val="ro-RO"/>
        </w:rPr>
      </w:pPr>
      <w:r w:rsidRPr="0015614C">
        <w:rPr>
          <w:rStyle w:val="FootnoteReference"/>
          <w:lang w:val="ro-RO"/>
        </w:rPr>
        <w:footnoteRef/>
      </w:r>
      <w:r w:rsidRPr="0015614C">
        <w:rPr>
          <w:lang w:val="ro-RO"/>
        </w:rPr>
        <w:t xml:space="preserve"> Pentru alte posibile impedimente în calea capacității de utilizare a amortizoarelor, a se vedea Behn et al. (</w:t>
      </w:r>
      <w:r w:rsidRPr="007240C7">
        <w:rPr>
          <w:lang w:val="ro-RO"/>
        </w:rPr>
        <w:t>2020</w:t>
      </w:r>
      <w:r w:rsidRPr="0015614C">
        <w:rPr>
          <w:lang w:val="ro-RO"/>
        </w:rPr>
        <w:t xml:space="preserve">), </w:t>
      </w:r>
      <w:hyperlink r:id="rId34" w:history="1">
        <w:r w:rsidRPr="0015614C">
          <w:rPr>
            <w:rStyle w:val="Hyperlink"/>
            <w:lang w:val="ro-RO"/>
          </w:rPr>
          <w:t>„Macroprudential capital buffers – objectives and usability (Amortizoare de capital macroprudențiale – obiective și capacități de utilizare)”</w:t>
        </w:r>
      </w:hyperlink>
      <w:r w:rsidRPr="0015614C">
        <w:rPr>
          <w:lang w:val="ro-RO"/>
        </w:rPr>
        <w:t xml:space="preserve">, BCE, </w:t>
      </w:r>
      <w:r w:rsidRPr="0015614C">
        <w:rPr>
          <w:i/>
          <w:lang w:val="ro-RO"/>
        </w:rPr>
        <w:t>Macroprudential Bulletin</w:t>
      </w:r>
      <w:r w:rsidRPr="0015614C">
        <w:rPr>
          <w:lang w:val="ro-RO"/>
        </w:rPr>
        <w:t xml:space="preserve">, octombrie. </w:t>
      </w:r>
    </w:p>
  </w:footnote>
  <w:footnote w:id="36">
    <w:p w14:paraId="14F461B5" w14:textId="081632B9" w:rsidR="00241024" w:rsidRPr="0015614C" w:rsidRDefault="00241024" w:rsidP="00C64A13">
      <w:pPr>
        <w:pStyle w:val="FootnoteText"/>
        <w:rPr>
          <w:lang w:val="ro-RO"/>
        </w:rPr>
      </w:pPr>
      <w:r w:rsidRPr="0015614C">
        <w:rPr>
          <w:rStyle w:val="FootnoteReference"/>
          <w:lang w:val="ro-RO"/>
        </w:rPr>
        <w:footnoteRef/>
      </w:r>
      <w:r w:rsidRPr="0015614C">
        <w:rPr>
          <w:lang w:val="ro-RO"/>
        </w:rPr>
        <w:t xml:space="preserve"> A se vedea CERS (</w:t>
      </w:r>
      <w:r w:rsidRPr="007240C7">
        <w:rPr>
          <w:lang w:val="ro-RO"/>
        </w:rPr>
        <w:t>2021</w:t>
      </w:r>
      <w:r w:rsidRPr="0015614C">
        <w:rPr>
          <w:lang w:val="ro-RO"/>
        </w:rPr>
        <w:t xml:space="preserve">), </w:t>
      </w:r>
      <w:hyperlink r:id="rId35" w:history="1">
        <w:r w:rsidRPr="0015614C">
          <w:rPr>
            <w:rStyle w:val="Hyperlink"/>
            <w:lang w:val="ro-RO"/>
          </w:rPr>
          <w:t>„Report of the Analytical Task Force on the overlap between capital buffers and minimum requirements (Raportul Grupului operativ pentru analiză privind suprapunerea dintre amortizoarele de capital și cerințele minime)”</w:t>
        </w:r>
      </w:hyperlink>
      <w:r w:rsidRPr="0015614C">
        <w:rPr>
          <w:lang w:val="ro-RO"/>
        </w:rPr>
        <w:t xml:space="preserve">, decembrie </w:t>
      </w:r>
      <w:r w:rsidRPr="007240C7">
        <w:rPr>
          <w:lang w:val="ro-RO"/>
        </w:rPr>
        <w:t>2021</w:t>
      </w:r>
      <w:r w:rsidRPr="0015614C">
        <w:rPr>
          <w:lang w:val="ro-RO"/>
        </w:rPr>
        <w:t xml:space="preserve"> și BCBS (</w:t>
      </w:r>
      <w:r w:rsidRPr="007240C7">
        <w:rPr>
          <w:lang w:val="ro-RO"/>
        </w:rPr>
        <w:t>2022</w:t>
      </w:r>
      <w:r w:rsidRPr="0015614C">
        <w:rPr>
          <w:lang w:val="ro-RO"/>
        </w:rPr>
        <w:t xml:space="preserve">), „Buffer usability and ciclicality in the Basel Framework (Capacitatea de utilizare a amortizoarelor și ciclicitatea în cadrul Basel)”. </w:t>
      </w:r>
    </w:p>
  </w:footnote>
  <w:footnote w:id="37">
    <w:p w14:paraId="6AD89EF1" w14:textId="324C1616" w:rsidR="00F80F30" w:rsidRPr="0015614C" w:rsidRDefault="00F80F30" w:rsidP="00C64A13">
      <w:pPr>
        <w:pStyle w:val="FootnoteText"/>
        <w:rPr>
          <w:lang w:val="ro-RO"/>
        </w:rPr>
      </w:pPr>
      <w:r w:rsidRPr="0015614C">
        <w:rPr>
          <w:rStyle w:val="FootnoteReference"/>
          <w:lang w:val="ro-RO"/>
        </w:rPr>
        <w:footnoteRef/>
      </w:r>
      <w:r w:rsidRPr="0015614C">
        <w:rPr>
          <w:lang w:val="ro-RO"/>
        </w:rPr>
        <w:t xml:space="preserve"> MREL sunt stabilite de autoritățile de rezoluție pentru a se asigura că băncile mențin în permanență suficiente instrumente eligibile pentru a putea sprijini strategia de rezoluție aleasă. De exemplu, dacă strategia de rezoluție include recapitalizarea internă și continuarea activității băncii pe piață, MREL sunt menite să absoarbă pierderile și să restabilească poziția de capital a băncii, permițându-i să își îndeplinească în continuare funcțiile critice ulterior unei perioade de criză. Cerințele sunt detaliate în Directiva </w:t>
      </w:r>
      <w:r w:rsidRPr="007240C7">
        <w:rPr>
          <w:lang w:val="ro-RO"/>
        </w:rPr>
        <w:t>2014</w:t>
      </w:r>
      <w:r w:rsidRPr="0015614C">
        <w:rPr>
          <w:lang w:val="ro-RO"/>
        </w:rPr>
        <w:t>/</w:t>
      </w:r>
      <w:r w:rsidRPr="007240C7">
        <w:rPr>
          <w:lang w:val="ro-RO"/>
        </w:rPr>
        <w:t>59</w:t>
      </w:r>
      <w:r w:rsidRPr="0015614C">
        <w:rPr>
          <w:lang w:val="ro-RO"/>
        </w:rPr>
        <w:t xml:space="preserve">/UE privind redresarea și rezoluția instituțiilor bancare din UE (BRRD), astfel cum a fost modificată prin Directiva (UE) </w:t>
      </w:r>
      <w:r w:rsidRPr="007240C7">
        <w:rPr>
          <w:lang w:val="ro-RO"/>
        </w:rPr>
        <w:t>2019</w:t>
      </w:r>
      <w:r w:rsidRPr="0015614C">
        <w:rPr>
          <w:lang w:val="ro-RO"/>
        </w:rPr>
        <w:t>/</w:t>
      </w:r>
      <w:r w:rsidRPr="007240C7">
        <w:rPr>
          <w:lang w:val="ro-RO"/>
        </w:rPr>
        <w:t>879</w:t>
      </w:r>
      <w:r w:rsidRPr="0015614C">
        <w:rPr>
          <w:lang w:val="ro-RO"/>
        </w:rPr>
        <w:t xml:space="preserve"> în ceea ce privește capacitatea de absorbție a pierderilor și de recapitalizare a instituțiilor de credit și a firmelor de investiții (BRRD II); Regulamentul </w:t>
      </w:r>
      <w:r w:rsidRPr="007240C7">
        <w:rPr>
          <w:lang w:val="ro-RO"/>
        </w:rPr>
        <w:t>806</w:t>
      </w:r>
      <w:r w:rsidRPr="0015614C">
        <w:rPr>
          <w:lang w:val="ro-RO"/>
        </w:rPr>
        <w:t>/</w:t>
      </w:r>
      <w:r w:rsidRPr="007240C7">
        <w:rPr>
          <w:lang w:val="ro-RO"/>
        </w:rPr>
        <w:t>2014</w:t>
      </w:r>
      <w:r w:rsidRPr="0015614C">
        <w:rPr>
          <w:lang w:val="ro-RO"/>
        </w:rPr>
        <w:t xml:space="preserve">/UE de instituire a unui mecanism unic de rezoluție (RMUR), astfel cum a fost modificat prin Regulamentul (UE) </w:t>
      </w:r>
      <w:r w:rsidRPr="007240C7">
        <w:rPr>
          <w:lang w:val="ro-RO"/>
        </w:rPr>
        <w:t>2019</w:t>
      </w:r>
      <w:r w:rsidRPr="0015614C">
        <w:rPr>
          <w:lang w:val="ro-RO"/>
        </w:rPr>
        <w:t>/</w:t>
      </w:r>
      <w:r w:rsidRPr="007240C7">
        <w:rPr>
          <w:lang w:val="ro-RO"/>
        </w:rPr>
        <w:t>877</w:t>
      </w:r>
      <w:r w:rsidRPr="0015614C">
        <w:rPr>
          <w:lang w:val="ro-RO"/>
        </w:rPr>
        <w:t xml:space="preserve"> în ceea ce privește capacitatea de absorbție a pierderilor și de recapitalizare a instituțiilor de credit și a firmelor de investiții (RMUR II); precum și CRR și CRD.</w:t>
      </w:r>
    </w:p>
  </w:footnote>
  <w:footnote w:id="38">
    <w:p w14:paraId="7E552C2D" w14:textId="64E47744" w:rsidR="00241024" w:rsidRPr="0015614C" w:rsidRDefault="00241024" w:rsidP="00C64A13">
      <w:pPr>
        <w:pStyle w:val="FootnoteText"/>
        <w:rPr>
          <w:lang w:val="ro-RO"/>
        </w:rPr>
      </w:pPr>
      <w:r w:rsidRPr="0015614C">
        <w:rPr>
          <w:rStyle w:val="FootnoteReference"/>
          <w:lang w:val="ro-RO"/>
        </w:rPr>
        <w:footnoteRef/>
      </w:r>
      <w:r w:rsidRPr="0015614C">
        <w:rPr>
          <w:lang w:val="ro-RO"/>
        </w:rPr>
        <w:t xml:space="preserve"> A se vedea, de exemplu, Leitner et at (</w:t>
      </w:r>
      <w:r w:rsidRPr="007240C7">
        <w:rPr>
          <w:lang w:val="ro-RO"/>
        </w:rPr>
        <w:t>2023</w:t>
      </w:r>
      <w:r w:rsidRPr="0015614C">
        <w:rPr>
          <w:lang w:val="ro-RO"/>
        </w:rPr>
        <w:t xml:space="preserve">), </w:t>
      </w:r>
      <w:hyperlink r:id="rId36" w:history="1">
        <w:r w:rsidRPr="0015614C">
          <w:rPr>
            <w:rStyle w:val="Hyperlink"/>
            <w:lang w:val="ro-RO"/>
          </w:rPr>
          <w:t>„How utilizable are capital buffers?</w:t>
        </w:r>
      </w:hyperlink>
      <w:hyperlink r:id="rId37" w:history="1">
        <w:r w:rsidRPr="0015614C">
          <w:rPr>
            <w:rStyle w:val="Hyperlink"/>
            <w:lang w:val="ro-RO"/>
          </w:rPr>
          <w:t xml:space="preserve"> An empirical analysis of the interaction between capital tampon and the leverage ratio from </w:t>
        </w:r>
        <w:r w:rsidRPr="007240C7">
          <w:rPr>
            <w:rStyle w:val="Hyperlink"/>
            <w:lang w:val="ro-RO"/>
          </w:rPr>
          <w:t>2016</w:t>
        </w:r>
        <w:r w:rsidRPr="0015614C">
          <w:rPr>
            <w:rStyle w:val="Hyperlink"/>
            <w:lang w:val="ro-RO"/>
          </w:rPr>
          <w:t xml:space="preserve"> (Cât de utilizabile sunt amortizoarele de capital? O analiză empirică a interacțiunii dintre amortizoarele de capital și indicatorul efectului de levier începând cu </w:t>
        </w:r>
        <w:r w:rsidRPr="007240C7">
          <w:rPr>
            <w:rStyle w:val="Hyperlink"/>
            <w:lang w:val="ro-RO"/>
          </w:rPr>
          <w:t>2016</w:t>
        </w:r>
        <w:r w:rsidRPr="0015614C">
          <w:rPr>
            <w:rStyle w:val="Hyperlink"/>
            <w:lang w:val="ro-RO"/>
          </w:rPr>
          <w:t>)</w:t>
        </w:r>
      </w:hyperlink>
      <w:r w:rsidRPr="0015614C">
        <w:rPr>
          <w:lang w:val="ro-RO"/>
        </w:rPr>
        <w:t>, BCE, Occasional Paper, nr. </w:t>
      </w:r>
      <w:r w:rsidRPr="007240C7">
        <w:rPr>
          <w:lang w:val="ro-RO"/>
        </w:rPr>
        <w:t>329</w:t>
      </w:r>
      <w:r w:rsidRPr="0015614C">
        <w:rPr>
          <w:lang w:val="ro-RO"/>
        </w:rPr>
        <w:t xml:space="preserve">. </w:t>
      </w:r>
    </w:p>
  </w:footnote>
  <w:footnote w:id="39">
    <w:p w14:paraId="248CA8DE" w14:textId="5E244250" w:rsidR="00241024" w:rsidRPr="0015614C" w:rsidRDefault="00241024" w:rsidP="00C64A13">
      <w:pPr>
        <w:pStyle w:val="FootnoteText"/>
        <w:rPr>
          <w:lang w:val="ro-RO"/>
        </w:rPr>
      </w:pPr>
      <w:r w:rsidRPr="0015614C">
        <w:rPr>
          <w:rStyle w:val="FootnoteReference"/>
          <w:lang w:val="ro-RO"/>
        </w:rPr>
        <w:footnoteRef/>
      </w:r>
      <w:r w:rsidRPr="0015614C">
        <w:rPr>
          <w:lang w:val="ro-RO"/>
        </w:rPr>
        <w:t xml:space="preserve"> Un studiu al BCE estimează că amortizoarele de capital și noul cadru de rezoluție au stimulat semnificativ capacitatea sistemului bancar de a absorbi pierderile. Capacitatea sistemului bancar de a absorbi pierderile a crescut </w:t>
      </w:r>
      <w:r w:rsidRPr="0015614C">
        <w:rPr>
          <w:i/>
          <w:lang w:val="ro-RO"/>
        </w:rPr>
        <w:t>de peste trei ori</w:t>
      </w:r>
      <w:r w:rsidRPr="0015614C">
        <w:rPr>
          <w:lang w:val="ro-RO"/>
        </w:rPr>
        <w:t xml:space="preserve"> în ultimii zece ani. A se vedea Carmassi et al. (</w:t>
      </w:r>
      <w:r w:rsidRPr="007240C7">
        <w:rPr>
          <w:lang w:val="ro-RO"/>
        </w:rPr>
        <w:t>2019</w:t>
      </w:r>
      <w:r w:rsidRPr="0015614C">
        <w:rPr>
          <w:lang w:val="ro-RO"/>
        </w:rPr>
        <w:t xml:space="preserve">), </w:t>
      </w:r>
      <w:hyperlink r:id="rId38" w:history="1">
        <w:r w:rsidRPr="0015614C">
          <w:rPr>
            <w:rStyle w:val="Hyperlink"/>
            <w:lang w:val="ro-RO"/>
          </w:rPr>
          <w:t>„Is taxpayers’ money better protected now?</w:t>
        </w:r>
      </w:hyperlink>
      <w:hyperlink r:id="rId39" w:history="1">
        <w:r w:rsidRPr="0015614C">
          <w:rPr>
            <w:rStyle w:val="Hyperlink"/>
            <w:lang w:val="ro-RO"/>
          </w:rPr>
          <w:t xml:space="preserve"> An assessment of banking regulatory reforms ten years after the global financial crisis (Sunt banii contribuabililor sunt mai bine protejați acum? O evaluare a reformelor în domeniul reglementării bancare la zece ani de la criza financiară globală”)</w:t>
        </w:r>
      </w:hyperlink>
      <w:r w:rsidRPr="0015614C">
        <w:rPr>
          <w:lang w:val="ro-RO"/>
        </w:rPr>
        <w:t>. A se vedea, de asemenea, Comitetul de la Basel (</w:t>
      </w:r>
      <w:r w:rsidRPr="007240C7">
        <w:rPr>
          <w:lang w:val="ro-RO"/>
        </w:rPr>
        <w:t>2022</w:t>
      </w:r>
      <w:r w:rsidRPr="0015614C">
        <w:rPr>
          <w:lang w:val="ro-RO"/>
        </w:rPr>
        <w:t xml:space="preserve">), </w:t>
      </w:r>
      <w:hyperlink r:id="rId40" w:history="1">
        <w:r w:rsidRPr="0015614C">
          <w:rPr>
            <w:rStyle w:val="Hyperlink"/>
            <w:lang w:val="ro-RO"/>
          </w:rPr>
          <w:t>„Buffer usability and ciclicality in the Basel framework (Capacitatea de utilizare și ciclicitatea amortizoarelor în cadrul Basel)”</w:t>
        </w:r>
      </w:hyperlink>
      <w:r w:rsidRPr="0015614C">
        <w:rPr>
          <w:lang w:val="ro-RO"/>
        </w:rPr>
        <w:t xml:space="preserve">, </w:t>
      </w:r>
      <w:r w:rsidRPr="007240C7">
        <w:rPr>
          <w:lang w:val="ro-RO"/>
        </w:rPr>
        <w:t>5</w:t>
      </w:r>
      <w:r w:rsidR="00906DE8">
        <w:rPr>
          <w:lang w:val="ro-RO"/>
        </w:rPr>
        <w:t> </w:t>
      </w:r>
      <w:r w:rsidRPr="0015614C">
        <w:rPr>
          <w:lang w:val="ro-RO"/>
        </w:rPr>
        <w:t xml:space="preserve">octombrie </w:t>
      </w:r>
      <w:r w:rsidRPr="007240C7">
        <w:rPr>
          <w:lang w:val="ro-RO"/>
        </w:rPr>
        <w:t>2022</w:t>
      </w:r>
      <w:r w:rsidRPr="0015614C">
        <w:rPr>
          <w:lang w:val="ro-RO"/>
        </w:rPr>
        <w:t xml:space="preserve">. </w:t>
      </w:r>
    </w:p>
  </w:footnote>
  <w:footnote w:id="40">
    <w:p w14:paraId="4337237E" w14:textId="0E1B55E3" w:rsidR="00241024" w:rsidRPr="0015614C" w:rsidRDefault="00241024" w:rsidP="00C64A13">
      <w:pPr>
        <w:pStyle w:val="FootnoteText"/>
        <w:rPr>
          <w:lang w:val="ro-RO"/>
        </w:rPr>
      </w:pPr>
      <w:r w:rsidRPr="0015614C">
        <w:rPr>
          <w:rStyle w:val="FootnoteReference"/>
          <w:lang w:val="ro-RO"/>
        </w:rPr>
        <w:footnoteRef/>
      </w:r>
      <w:r w:rsidRPr="0015614C">
        <w:rPr>
          <w:lang w:val="ro-RO"/>
        </w:rPr>
        <w:t xml:space="preserve"> A se vedea Couaillier et al. (</w:t>
      </w:r>
      <w:r w:rsidRPr="007240C7">
        <w:rPr>
          <w:lang w:val="ro-RO"/>
        </w:rPr>
        <w:t>2021</w:t>
      </w:r>
      <w:r w:rsidRPr="0015614C">
        <w:rPr>
          <w:lang w:val="ro-RO"/>
        </w:rPr>
        <w:t xml:space="preserve">, </w:t>
      </w:r>
      <w:r w:rsidRPr="007240C7">
        <w:rPr>
          <w:lang w:val="ro-RO"/>
        </w:rPr>
        <w:t>2022</w:t>
      </w:r>
      <w:r w:rsidRPr="0015614C">
        <w:rPr>
          <w:lang w:val="ro-RO"/>
        </w:rPr>
        <w:t xml:space="preserve">), </w:t>
      </w:r>
      <w:hyperlink r:id="rId41">
        <w:r w:rsidRPr="0015614C">
          <w:rPr>
            <w:rStyle w:val="Hyperlink"/>
            <w:lang w:val="ro-RO"/>
          </w:rPr>
          <w:t>„Bank capital buffers and lending in the euro area during the pandemic (Amortizoarele de capital ale băncilor și creditarea în zona euro în perioada pandemiei)”</w:t>
        </w:r>
      </w:hyperlink>
      <w:r w:rsidRPr="0015614C">
        <w:rPr>
          <w:lang w:val="ro-RO"/>
        </w:rPr>
        <w:t xml:space="preserve"> și </w:t>
      </w:r>
      <w:hyperlink r:id="rId42">
        <w:r w:rsidRPr="0015614C">
          <w:rPr>
            <w:rStyle w:val="Hyperlink"/>
            <w:lang w:val="ro-RO"/>
          </w:rPr>
          <w:t>„Caution:</w:t>
        </w:r>
      </w:hyperlink>
      <w:hyperlink r:id="rId43">
        <w:r w:rsidRPr="0015614C">
          <w:rPr>
            <w:rStyle w:val="Hyperlink"/>
            <w:lang w:val="ro-RO"/>
          </w:rPr>
          <w:t xml:space="preserve"> do not cross!</w:t>
        </w:r>
      </w:hyperlink>
      <w:hyperlink r:id="rId44">
        <w:r w:rsidRPr="0015614C">
          <w:rPr>
            <w:rStyle w:val="Hyperlink"/>
            <w:lang w:val="ro-RO"/>
          </w:rPr>
          <w:t xml:space="preserve"> Capital buffers and lending in Covid-</w:t>
        </w:r>
        <w:r w:rsidRPr="007240C7">
          <w:rPr>
            <w:rStyle w:val="Hyperlink"/>
            <w:lang w:val="ro-RO"/>
          </w:rPr>
          <w:t>19</w:t>
        </w:r>
        <w:r w:rsidRPr="0015614C">
          <w:rPr>
            <w:rStyle w:val="Hyperlink"/>
            <w:lang w:val="ro-RO"/>
          </w:rPr>
          <w:t xml:space="preserve"> times (Atenție! Nu traversați! Amortizoarele de capital și creditarea în perioada pandemiei de COVID-</w:t>
        </w:r>
        <w:r w:rsidRPr="007240C7">
          <w:rPr>
            <w:rStyle w:val="Hyperlink"/>
            <w:lang w:val="ro-RO"/>
          </w:rPr>
          <w:t>19</w:t>
        </w:r>
        <w:r w:rsidRPr="0015614C">
          <w:rPr>
            <w:rStyle w:val="Hyperlink"/>
            <w:lang w:val="ro-RO"/>
          </w:rPr>
          <w:t>)”</w:t>
        </w:r>
      </w:hyperlink>
      <w:r w:rsidRPr="0015614C">
        <w:rPr>
          <w:lang w:val="ro-RO"/>
        </w:rPr>
        <w:t xml:space="preserve">. </w:t>
      </w:r>
    </w:p>
  </w:footnote>
  <w:footnote w:id="41">
    <w:p w14:paraId="35596042" w14:textId="11D18C95" w:rsidR="00241024" w:rsidRPr="0015614C" w:rsidRDefault="00241024" w:rsidP="00C64A13">
      <w:pPr>
        <w:pStyle w:val="FootnoteText"/>
        <w:rPr>
          <w:lang w:val="ro-RO"/>
        </w:rPr>
      </w:pPr>
      <w:r w:rsidRPr="0015614C">
        <w:rPr>
          <w:rStyle w:val="FootnoteReference"/>
          <w:lang w:val="ro-RO"/>
        </w:rPr>
        <w:footnoteRef/>
      </w:r>
      <w:r w:rsidRPr="0015614C">
        <w:rPr>
          <w:lang w:val="ro-RO"/>
        </w:rPr>
        <w:t xml:space="preserve"> De exemplu, CERS și ABE trebuie să emită avize cu privire la anumite măsuri și măsuri cu impact ridicat care necesită autorizarea sau lipsa de obiecții din partea Comisiei. BCE are dreptul de a formula obiecții cu privire la orice măsură macroprudențială prevăzută în legislația UE, inițiată de un stat membru participant la MUS. De</w:t>
      </w:r>
      <w:r w:rsidR="00906DE8">
        <w:rPr>
          <w:lang w:val="ro-RO"/>
        </w:rPr>
        <w:t> </w:t>
      </w:r>
      <w:r w:rsidRPr="0015614C">
        <w:rPr>
          <w:lang w:val="ro-RO"/>
        </w:rPr>
        <w:t xml:space="preserve">asemenea, CERS are competențe de coordonare mai generale, de exemplu de a emite avertismente și recomandări autorităților naționale, cum ar fi cea privind amortizorul anticiclic de capital sau reciprocitatea voluntară. </w:t>
      </w:r>
    </w:p>
  </w:footnote>
  <w:footnote w:id="42">
    <w:p w14:paraId="40CE8264" w14:textId="1A0DDEBF" w:rsidR="00241024" w:rsidRPr="0015614C" w:rsidRDefault="00241024" w:rsidP="00C64A13">
      <w:pPr>
        <w:pStyle w:val="FootnoteText"/>
        <w:rPr>
          <w:lang w:val="ro-RO"/>
        </w:rPr>
      </w:pPr>
      <w:r w:rsidRPr="0015614C">
        <w:rPr>
          <w:rStyle w:val="FootnoteReference"/>
          <w:lang w:val="ro-RO"/>
        </w:rPr>
        <w:footnoteRef/>
      </w:r>
      <w:r w:rsidRPr="0015614C">
        <w:rPr>
          <w:lang w:val="ro-RO"/>
        </w:rPr>
        <w:t xml:space="preserve"> </w:t>
      </w:r>
      <w:hyperlink r:id="rId45" w:history="1">
        <w:r w:rsidRPr="0015614C">
          <w:rPr>
            <w:rStyle w:val="Hyperlink"/>
            <w:lang w:val="ro-RO"/>
          </w:rPr>
          <w:t>Raportul ABE privind calibrarea ratelor amortizorului OSII</w:t>
        </w:r>
      </w:hyperlink>
      <w:r w:rsidRPr="0015614C">
        <w:rPr>
          <w:rStyle w:val="Hyperlink"/>
          <w:lang w:val="ro-RO"/>
        </w:rPr>
        <w:t xml:space="preserve">. </w:t>
      </w:r>
    </w:p>
  </w:footnote>
  <w:footnote w:id="43">
    <w:p w14:paraId="4D6D1BEE" w14:textId="2D9925AE" w:rsidR="00241024" w:rsidRPr="0015614C" w:rsidRDefault="00241024" w:rsidP="00C64A13">
      <w:pPr>
        <w:pStyle w:val="FootnoteText"/>
        <w:rPr>
          <w:lang w:val="ro-RO"/>
        </w:rPr>
      </w:pPr>
      <w:r w:rsidRPr="0015614C">
        <w:rPr>
          <w:rStyle w:val="FootnoteReference"/>
          <w:lang w:val="ro-RO"/>
        </w:rPr>
        <w:footnoteRef/>
      </w:r>
      <w:r w:rsidRPr="0015614C">
        <w:rPr>
          <w:lang w:val="ro-RO"/>
        </w:rPr>
        <w:t xml:space="preserve"> O analiză a ABE arată că unele state membre sunt foarte stricte și stabilesc o rată maximă posibilă a amortizorului O-SII în temeiul CRD IV pentru băncile cu un scor relativ scăzut pentru O-SII, în timp ce alte state membre sunt relativ indulgente și stabilesc o rată a amortizorului de </w:t>
      </w:r>
      <w:r w:rsidRPr="007240C7">
        <w:rPr>
          <w:lang w:val="ro-RO"/>
        </w:rPr>
        <w:t>0</w:t>
      </w:r>
      <w:r w:rsidRPr="0015614C">
        <w:rPr>
          <w:lang w:val="ro-RO"/>
        </w:rPr>
        <w:t xml:space="preserve"> % sau scăzută, în pofida scorurilor foarte ridicate pentru O-SII. Ca alternativă, scorurile foarte ridicate O-SII pot duce la rate ale amortizorului O-SII de </w:t>
      </w:r>
      <w:r w:rsidRPr="007240C7">
        <w:rPr>
          <w:lang w:val="ro-RO"/>
        </w:rPr>
        <w:t>0</w:t>
      </w:r>
      <w:r w:rsidRPr="0015614C">
        <w:rPr>
          <w:lang w:val="ro-RO"/>
        </w:rPr>
        <w:t>,</w:t>
      </w:r>
      <w:r w:rsidRPr="007240C7">
        <w:rPr>
          <w:lang w:val="ro-RO"/>
        </w:rPr>
        <w:t>25</w:t>
      </w:r>
      <w:r w:rsidRPr="0015614C">
        <w:rPr>
          <w:lang w:val="ro-RO"/>
        </w:rPr>
        <w:t xml:space="preserve"> % într-un stat membru și de </w:t>
      </w:r>
      <w:r w:rsidRPr="007240C7">
        <w:rPr>
          <w:lang w:val="ro-RO"/>
        </w:rPr>
        <w:t>2</w:t>
      </w:r>
      <w:r w:rsidRPr="0015614C">
        <w:rPr>
          <w:lang w:val="ro-RO"/>
        </w:rPr>
        <w:t xml:space="preserve"> % (rata maximă la momentul analizei) într-un alt stat membru. </w:t>
      </w:r>
    </w:p>
  </w:footnote>
  <w:footnote w:id="44">
    <w:p w14:paraId="6DD55EFC" w14:textId="713F8FC5" w:rsidR="00241024" w:rsidRPr="0015614C" w:rsidRDefault="00241024" w:rsidP="00C64A13">
      <w:pPr>
        <w:pStyle w:val="FootnoteText"/>
        <w:rPr>
          <w:lang w:val="ro-RO"/>
        </w:rPr>
      </w:pPr>
      <w:r w:rsidRPr="0015614C">
        <w:rPr>
          <w:rStyle w:val="FootnoteReference"/>
          <w:lang w:val="ro-RO"/>
        </w:rPr>
        <w:footnoteRef/>
      </w:r>
      <w:r w:rsidRPr="0015614C">
        <w:rPr>
          <w:lang w:val="ro-RO"/>
        </w:rPr>
        <w:t xml:space="preserve"> CERS a efectuat evaluări sistematice și prospective ale vulnerabilităților de pe piețele imobiliare locative din SEE în </w:t>
      </w:r>
      <w:hyperlink r:id="rId46" w:history="1">
        <w:r w:rsidRPr="007240C7">
          <w:rPr>
            <w:rStyle w:val="Hyperlink"/>
            <w:lang w:val="ro-RO"/>
          </w:rPr>
          <w:t>2016</w:t>
        </w:r>
      </w:hyperlink>
      <w:r w:rsidRPr="0015614C">
        <w:rPr>
          <w:lang w:val="ro-RO"/>
        </w:rPr>
        <w:t xml:space="preserve">, </w:t>
      </w:r>
      <w:hyperlink r:id="rId47" w:history="1">
        <w:r w:rsidRPr="007240C7">
          <w:rPr>
            <w:rStyle w:val="Hyperlink"/>
            <w:lang w:val="ro-RO"/>
          </w:rPr>
          <w:t>2019</w:t>
        </w:r>
      </w:hyperlink>
      <w:r w:rsidRPr="0015614C">
        <w:rPr>
          <w:rStyle w:val="Hyperlink"/>
          <w:lang w:val="ro-RO"/>
        </w:rPr>
        <w:t xml:space="preserve"> și </w:t>
      </w:r>
      <w:hyperlink r:id="rId48" w:history="1">
        <w:r w:rsidRPr="007240C7">
          <w:rPr>
            <w:rStyle w:val="Hyperlink"/>
            <w:lang w:val="ro-RO"/>
          </w:rPr>
          <w:t>2022</w:t>
        </w:r>
      </w:hyperlink>
      <w:r w:rsidRPr="0015614C">
        <w:rPr>
          <w:lang w:val="ro-RO"/>
        </w:rPr>
        <w:t xml:space="preserve">, care au stat la baza avertismentelor și recomandărilor specifice fiecărei țări. </w:t>
      </w:r>
    </w:p>
  </w:footnote>
  <w:footnote w:id="45">
    <w:p w14:paraId="2DA9EE79" w14:textId="2E7B74F3" w:rsidR="00241024" w:rsidRPr="0015614C" w:rsidRDefault="00241024" w:rsidP="00C64A13">
      <w:pPr>
        <w:pStyle w:val="FootnoteText"/>
        <w:rPr>
          <w:lang w:val="ro-RO"/>
        </w:rPr>
      </w:pPr>
      <w:r w:rsidRPr="0015614C">
        <w:rPr>
          <w:rStyle w:val="FootnoteReference"/>
          <w:lang w:val="ro-RO"/>
        </w:rPr>
        <w:footnoteRef/>
      </w:r>
      <w:r w:rsidRPr="0015614C">
        <w:rPr>
          <w:lang w:val="ro-RO"/>
        </w:rPr>
        <w:t xml:space="preserve"> Pentru mai multe detalii, a se vedea ESRB </w:t>
      </w:r>
      <w:hyperlink r:id="rId49" w:history="1">
        <w:r w:rsidRPr="0015614C">
          <w:rPr>
            <w:rStyle w:val="Hyperlink"/>
            <w:lang w:val="ro-RO"/>
          </w:rPr>
          <w:t>Review of the EU Macroprudential Framework for the Banking Sector:</w:t>
        </w:r>
      </w:hyperlink>
      <w:hyperlink r:id="rId50" w:history="1">
        <w:r w:rsidRPr="0015614C">
          <w:rPr>
            <w:rStyle w:val="Hyperlink"/>
            <w:lang w:val="ro-RO"/>
          </w:rPr>
          <w:t xml:space="preserve"> Response to the call for advice (Evaluarea de către CERS a cadrului macroprudențial al UE pentru sectorul bancar: răspuns la cererea de consiliere)</w:t>
        </w:r>
      </w:hyperlink>
      <w:r w:rsidRPr="0015614C">
        <w:rPr>
          <w:lang w:val="ro-RO"/>
        </w:rPr>
        <w:t xml:space="preserve">, martie </w:t>
      </w:r>
      <w:r w:rsidRPr="007240C7">
        <w:rPr>
          <w:lang w:val="ro-RO"/>
        </w:rPr>
        <w:t>2022</w:t>
      </w:r>
      <w:r w:rsidRPr="0015614C">
        <w:rPr>
          <w:lang w:val="ro-RO"/>
        </w:rPr>
        <w:t xml:space="preserve">, precum și baza de date CERS privind măsurile naționale. </w:t>
      </w:r>
    </w:p>
  </w:footnote>
  <w:footnote w:id="46">
    <w:p w14:paraId="5D5CC673" w14:textId="28C51773" w:rsidR="006024CB" w:rsidRPr="0015614C" w:rsidRDefault="006024CB" w:rsidP="00C64A13">
      <w:pPr>
        <w:pStyle w:val="FootnoteText"/>
        <w:rPr>
          <w:lang w:val="ro-RO"/>
        </w:rPr>
      </w:pPr>
      <w:r w:rsidRPr="0015614C">
        <w:rPr>
          <w:rStyle w:val="FootnoteReference"/>
          <w:lang w:val="ro-RO"/>
        </w:rPr>
        <w:footnoteRef/>
      </w:r>
      <w:r w:rsidR="007D70C9">
        <w:rPr>
          <w:lang w:val="ro-RO"/>
        </w:rPr>
        <w:t xml:space="preserve"> </w:t>
      </w:r>
      <w:r w:rsidRPr="0015614C">
        <w:rPr>
          <w:rStyle w:val="cf01"/>
          <w:lang w:val="ro-RO"/>
        </w:rPr>
        <w:t xml:space="preserve">Regulamentul (UE) </w:t>
      </w:r>
      <w:r w:rsidRPr="007240C7">
        <w:rPr>
          <w:rStyle w:val="cf01"/>
          <w:lang w:val="ro-RO"/>
        </w:rPr>
        <w:t>2021</w:t>
      </w:r>
      <w:r w:rsidRPr="0015614C">
        <w:rPr>
          <w:rStyle w:val="cf01"/>
          <w:lang w:val="ro-RO"/>
        </w:rPr>
        <w:t>/</w:t>
      </w:r>
      <w:r w:rsidRPr="007240C7">
        <w:rPr>
          <w:rStyle w:val="cf01"/>
          <w:lang w:val="ro-RO"/>
        </w:rPr>
        <w:t>1119</w:t>
      </w:r>
      <w:r w:rsidRPr="0015614C">
        <w:rPr>
          <w:rStyle w:val="cf01"/>
          <w:lang w:val="ro-RO"/>
        </w:rPr>
        <w:t xml:space="preserve"> al Parlamentului European și al Consiliului de instituire a cadrului pentru realizarea neutralității climatice și de modificare a Regulamentelor (CE) nr. </w:t>
      </w:r>
      <w:r w:rsidRPr="007240C7">
        <w:rPr>
          <w:rStyle w:val="cf01"/>
          <w:lang w:val="ro-RO"/>
        </w:rPr>
        <w:t>401</w:t>
      </w:r>
      <w:r w:rsidRPr="0015614C">
        <w:rPr>
          <w:rStyle w:val="cf01"/>
          <w:lang w:val="ro-RO"/>
        </w:rPr>
        <w:t>/</w:t>
      </w:r>
      <w:r w:rsidRPr="007240C7">
        <w:rPr>
          <w:rStyle w:val="cf01"/>
          <w:lang w:val="ro-RO"/>
        </w:rPr>
        <w:t>2009</w:t>
      </w:r>
      <w:r w:rsidRPr="0015614C">
        <w:rPr>
          <w:rStyle w:val="cf01"/>
          <w:lang w:val="ro-RO"/>
        </w:rPr>
        <w:t xml:space="preserve"> și (UE) </w:t>
      </w:r>
      <w:r w:rsidRPr="007240C7">
        <w:rPr>
          <w:rStyle w:val="cf01"/>
          <w:lang w:val="ro-RO"/>
        </w:rPr>
        <w:t>2018</w:t>
      </w:r>
      <w:r w:rsidRPr="0015614C">
        <w:rPr>
          <w:rStyle w:val="cf01"/>
          <w:lang w:val="ro-RO"/>
        </w:rPr>
        <w:t>/</w:t>
      </w:r>
      <w:r w:rsidRPr="007240C7">
        <w:rPr>
          <w:rStyle w:val="cf01"/>
          <w:lang w:val="ro-RO"/>
        </w:rPr>
        <w:t>1999</w:t>
      </w:r>
      <w:r w:rsidRPr="0015614C">
        <w:rPr>
          <w:rStyle w:val="cf01"/>
          <w:lang w:val="ro-RO"/>
        </w:rPr>
        <w:t xml:space="preserve"> („Legea europeană a climei”), JO L </w:t>
      </w:r>
      <w:r w:rsidRPr="007240C7">
        <w:rPr>
          <w:rStyle w:val="cf01"/>
          <w:lang w:val="ro-RO"/>
        </w:rPr>
        <w:t>243</w:t>
      </w:r>
      <w:r w:rsidRPr="0015614C">
        <w:rPr>
          <w:rStyle w:val="cf01"/>
          <w:lang w:val="ro-RO"/>
        </w:rPr>
        <w:t xml:space="preserve">, </w:t>
      </w:r>
      <w:r w:rsidRPr="007240C7">
        <w:rPr>
          <w:rStyle w:val="cf01"/>
          <w:lang w:val="ro-RO"/>
        </w:rPr>
        <w:t>9</w:t>
      </w:r>
      <w:r w:rsidRPr="0015614C">
        <w:rPr>
          <w:rStyle w:val="cf01"/>
          <w:lang w:val="ro-RO"/>
        </w:rPr>
        <w:t>.</w:t>
      </w:r>
      <w:r w:rsidRPr="007240C7">
        <w:rPr>
          <w:rStyle w:val="cf01"/>
          <w:lang w:val="ro-RO"/>
        </w:rPr>
        <w:t>7</w:t>
      </w:r>
      <w:r w:rsidRPr="0015614C">
        <w:rPr>
          <w:rStyle w:val="cf01"/>
          <w:lang w:val="ro-RO"/>
        </w:rPr>
        <w:t>.</w:t>
      </w:r>
      <w:r w:rsidRPr="007240C7">
        <w:rPr>
          <w:rStyle w:val="cf01"/>
          <w:lang w:val="ro-RO"/>
        </w:rPr>
        <w:t>2021</w:t>
      </w:r>
      <w:r w:rsidRPr="0015614C">
        <w:rPr>
          <w:rStyle w:val="cf01"/>
          <w:lang w:val="ro-RO"/>
        </w:rPr>
        <w:t>.</w:t>
      </w:r>
    </w:p>
  </w:footnote>
  <w:footnote w:id="47">
    <w:p w14:paraId="6B2E546C" w14:textId="3477B25B" w:rsidR="00241024" w:rsidRPr="0015614C" w:rsidRDefault="00241024" w:rsidP="00C64A13">
      <w:pPr>
        <w:pStyle w:val="FootnoteText"/>
        <w:rPr>
          <w:lang w:val="ro-RO"/>
        </w:rPr>
      </w:pPr>
      <w:r w:rsidRPr="0015614C">
        <w:rPr>
          <w:rStyle w:val="FootnoteReference"/>
          <w:lang w:val="ro-RO"/>
        </w:rPr>
        <w:footnoteRef/>
      </w:r>
      <w:r w:rsidRPr="0015614C">
        <w:rPr>
          <w:lang w:val="ro-RO"/>
        </w:rPr>
        <w:t xml:space="preserve"> ABE dispune de mandate specifice privind simulările de criză pentru riscurile climatice. De asemenea, BCE efectuează simulări de criză pentru riscurile climatice și include rezultatele acestor simulări în procesul de supraveghere și evaluare (SREP) utilizând o abordare calitativă. </w:t>
      </w:r>
    </w:p>
  </w:footnote>
  <w:footnote w:id="48">
    <w:p w14:paraId="6B69A37A" w14:textId="78E3B81F" w:rsidR="00241024" w:rsidRPr="0015614C" w:rsidRDefault="00241024" w:rsidP="00C64A13">
      <w:pPr>
        <w:pStyle w:val="FootnoteText"/>
        <w:rPr>
          <w:lang w:val="ro-RO"/>
        </w:rPr>
      </w:pPr>
      <w:r w:rsidRPr="0015614C">
        <w:rPr>
          <w:rStyle w:val="FootnoteReference"/>
          <w:lang w:val="ro-RO"/>
        </w:rPr>
        <w:footnoteRef/>
      </w:r>
      <w:r w:rsidRPr="0015614C">
        <w:rPr>
          <w:lang w:val="ro-RO"/>
        </w:rPr>
        <w:t xml:space="preserve"> </w:t>
      </w:r>
      <w:r w:rsidRPr="0015614C">
        <w:rPr>
          <w:shd w:val="clear" w:color="auto" w:fill="FFFFFF"/>
          <w:lang w:val="ro-RO"/>
        </w:rPr>
        <w:t xml:space="preserve">Regulamentul (UE) </w:t>
      </w:r>
      <w:r w:rsidRPr="007240C7">
        <w:rPr>
          <w:shd w:val="clear" w:color="auto" w:fill="FFFFFF"/>
          <w:lang w:val="ro-RO"/>
        </w:rPr>
        <w:t>2022</w:t>
      </w:r>
      <w:r w:rsidRPr="0015614C">
        <w:rPr>
          <w:shd w:val="clear" w:color="auto" w:fill="FFFFFF"/>
          <w:lang w:val="ro-RO"/>
        </w:rPr>
        <w:t>/</w:t>
      </w:r>
      <w:r w:rsidRPr="007240C7">
        <w:rPr>
          <w:shd w:val="clear" w:color="auto" w:fill="FFFFFF"/>
          <w:lang w:val="ro-RO"/>
        </w:rPr>
        <w:t>2554</w:t>
      </w:r>
      <w:r w:rsidRPr="0015614C">
        <w:rPr>
          <w:shd w:val="clear" w:color="auto" w:fill="FFFFFF"/>
          <w:lang w:val="ro-RO"/>
        </w:rPr>
        <w:t xml:space="preserve"> al Parlamentului European și al Consiliului din </w:t>
      </w:r>
      <w:r w:rsidRPr="007240C7">
        <w:rPr>
          <w:shd w:val="clear" w:color="auto" w:fill="FFFFFF"/>
          <w:lang w:val="ro-RO"/>
        </w:rPr>
        <w:t>14</w:t>
      </w:r>
      <w:r w:rsidRPr="0015614C">
        <w:rPr>
          <w:shd w:val="clear" w:color="auto" w:fill="FFFFFF"/>
          <w:lang w:val="ro-RO"/>
        </w:rPr>
        <w:t xml:space="preserve"> decembrie </w:t>
      </w:r>
      <w:r w:rsidRPr="007240C7">
        <w:rPr>
          <w:shd w:val="clear" w:color="auto" w:fill="FFFFFF"/>
          <w:lang w:val="ro-RO"/>
        </w:rPr>
        <w:t>2022</w:t>
      </w:r>
      <w:r w:rsidRPr="0015614C">
        <w:rPr>
          <w:shd w:val="clear" w:color="auto" w:fill="FFFFFF"/>
          <w:lang w:val="ro-RO"/>
        </w:rPr>
        <w:t xml:space="preserve"> privind reziliența operațională digitală a sectorului financiar și de modificare a Regulamentelor (CE) nr. </w:t>
      </w:r>
      <w:r w:rsidRPr="007240C7">
        <w:rPr>
          <w:shd w:val="clear" w:color="auto" w:fill="FFFFFF"/>
          <w:lang w:val="ro-RO"/>
        </w:rPr>
        <w:t>1060</w:t>
      </w:r>
      <w:r w:rsidRPr="0015614C">
        <w:rPr>
          <w:shd w:val="clear" w:color="auto" w:fill="FFFFFF"/>
          <w:lang w:val="ro-RO"/>
        </w:rPr>
        <w:t>/</w:t>
      </w:r>
      <w:r w:rsidRPr="007240C7">
        <w:rPr>
          <w:shd w:val="clear" w:color="auto" w:fill="FFFFFF"/>
          <w:lang w:val="ro-RO"/>
        </w:rPr>
        <w:t>2009</w:t>
      </w:r>
      <w:r w:rsidRPr="0015614C">
        <w:rPr>
          <w:shd w:val="clear" w:color="auto" w:fill="FFFFFF"/>
          <w:lang w:val="ro-RO"/>
        </w:rPr>
        <w:t>, (UE) nr. </w:t>
      </w:r>
      <w:r w:rsidRPr="007240C7">
        <w:rPr>
          <w:shd w:val="clear" w:color="auto" w:fill="FFFFFF"/>
          <w:lang w:val="ro-RO"/>
        </w:rPr>
        <w:t>648</w:t>
      </w:r>
      <w:r w:rsidRPr="0015614C">
        <w:rPr>
          <w:shd w:val="clear" w:color="auto" w:fill="FFFFFF"/>
          <w:lang w:val="ro-RO"/>
        </w:rPr>
        <w:t>/</w:t>
      </w:r>
      <w:r w:rsidRPr="007240C7">
        <w:rPr>
          <w:shd w:val="clear" w:color="auto" w:fill="FFFFFF"/>
          <w:lang w:val="ro-RO"/>
        </w:rPr>
        <w:t>2012</w:t>
      </w:r>
      <w:r w:rsidRPr="0015614C">
        <w:rPr>
          <w:shd w:val="clear" w:color="auto" w:fill="FFFFFF"/>
          <w:lang w:val="ro-RO"/>
        </w:rPr>
        <w:t>, (UE) nr. </w:t>
      </w:r>
      <w:r w:rsidRPr="007240C7">
        <w:rPr>
          <w:shd w:val="clear" w:color="auto" w:fill="FFFFFF"/>
          <w:lang w:val="ro-RO"/>
        </w:rPr>
        <w:t>600</w:t>
      </w:r>
      <w:r w:rsidRPr="0015614C">
        <w:rPr>
          <w:shd w:val="clear" w:color="auto" w:fill="FFFFFF"/>
          <w:lang w:val="ro-RO"/>
        </w:rPr>
        <w:t>/</w:t>
      </w:r>
      <w:r w:rsidRPr="007240C7">
        <w:rPr>
          <w:shd w:val="clear" w:color="auto" w:fill="FFFFFF"/>
          <w:lang w:val="ro-RO"/>
        </w:rPr>
        <w:t>2014</w:t>
      </w:r>
      <w:r w:rsidRPr="0015614C">
        <w:rPr>
          <w:shd w:val="clear" w:color="auto" w:fill="FFFFFF"/>
          <w:lang w:val="ro-RO"/>
        </w:rPr>
        <w:t>, (UE) nr. </w:t>
      </w:r>
      <w:r w:rsidRPr="007240C7">
        <w:rPr>
          <w:shd w:val="clear" w:color="auto" w:fill="FFFFFF"/>
          <w:lang w:val="ro-RO"/>
        </w:rPr>
        <w:t>909</w:t>
      </w:r>
      <w:r w:rsidRPr="0015614C">
        <w:rPr>
          <w:shd w:val="clear" w:color="auto" w:fill="FFFFFF"/>
          <w:lang w:val="ro-RO"/>
        </w:rPr>
        <w:t>/</w:t>
      </w:r>
      <w:r w:rsidRPr="007240C7">
        <w:rPr>
          <w:shd w:val="clear" w:color="auto" w:fill="FFFFFF"/>
          <w:lang w:val="ro-RO"/>
        </w:rPr>
        <w:t>2014</w:t>
      </w:r>
      <w:r w:rsidRPr="0015614C">
        <w:rPr>
          <w:shd w:val="clear" w:color="auto" w:fill="FFFFFF"/>
          <w:lang w:val="ro-RO"/>
        </w:rPr>
        <w:t xml:space="preserve"> și (UE) </w:t>
      </w:r>
      <w:r w:rsidRPr="007240C7">
        <w:rPr>
          <w:shd w:val="clear" w:color="auto" w:fill="FFFFFF"/>
          <w:lang w:val="ro-RO"/>
        </w:rPr>
        <w:t>2016</w:t>
      </w:r>
      <w:r w:rsidRPr="0015614C">
        <w:rPr>
          <w:shd w:val="clear" w:color="auto" w:fill="FFFFFF"/>
          <w:lang w:val="ro-RO"/>
        </w:rPr>
        <w:t>/</w:t>
      </w:r>
      <w:r w:rsidRPr="007240C7">
        <w:rPr>
          <w:shd w:val="clear" w:color="auto" w:fill="FFFFFF"/>
          <w:lang w:val="ro-RO"/>
        </w:rPr>
        <w:t>1011</w:t>
      </w:r>
      <w:r w:rsidRPr="0015614C">
        <w:rPr>
          <w:shd w:val="clear" w:color="auto" w:fill="FFFFFF"/>
          <w:lang w:val="ro-RO"/>
        </w:rPr>
        <w:t xml:space="preserve">. </w:t>
      </w:r>
    </w:p>
  </w:footnote>
  <w:footnote w:id="49">
    <w:p w14:paraId="0C3497DA" w14:textId="0848E50E" w:rsidR="00A17108" w:rsidRPr="0015614C" w:rsidRDefault="00A17108" w:rsidP="00C64A13">
      <w:pPr>
        <w:pStyle w:val="FootnoteText"/>
        <w:rPr>
          <w:lang w:val="ro-RO"/>
        </w:rPr>
      </w:pPr>
      <w:r w:rsidRPr="0015614C">
        <w:rPr>
          <w:rStyle w:val="FootnoteReference"/>
          <w:lang w:val="ro-RO"/>
        </w:rPr>
        <w:footnoteRef/>
      </w:r>
      <w:r w:rsidRPr="0015614C">
        <w:rPr>
          <w:lang w:val="ro-RO"/>
        </w:rPr>
        <w:t xml:space="preserve"> </w:t>
      </w:r>
      <w:r w:rsidRPr="0015614C">
        <w:rPr>
          <w:shd w:val="clear" w:color="auto" w:fill="FFFFFF"/>
          <w:lang w:val="ro-RO"/>
        </w:rPr>
        <w:t xml:space="preserve">Directiva (UE) </w:t>
      </w:r>
      <w:r w:rsidRPr="007240C7">
        <w:rPr>
          <w:shd w:val="clear" w:color="auto" w:fill="FFFFFF"/>
          <w:lang w:val="ro-RO"/>
        </w:rPr>
        <w:t>2022</w:t>
      </w:r>
      <w:r w:rsidRPr="0015614C">
        <w:rPr>
          <w:shd w:val="clear" w:color="auto" w:fill="FFFFFF"/>
          <w:lang w:val="ro-RO"/>
        </w:rPr>
        <w:t>/</w:t>
      </w:r>
      <w:r w:rsidRPr="007240C7">
        <w:rPr>
          <w:shd w:val="clear" w:color="auto" w:fill="FFFFFF"/>
          <w:lang w:val="ro-RO"/>
        </w:rPr>
        <w:t>2555</w:t>
      </w:r>
      <w:r w:rsidRPr="0015614C">
        <w:rPr>
          <w:shd w:val="clear" w:color="auto" w:fill="FFFFFF"/>
          <w:lang w:val="ro-RO"/>
        </w:rPr>
        <w:t xml:space="preserve"> a Parlamentului European și a Consiliului din </w:t>
      </w:r>
      <w:r w:rsidRPr="007240C7">
        <w:rPr>
          <w:shd w:val="clear" w:color="auto" w:fill="FFFFFF"/>
          <w:lang w:val="ro-RO"/>
        </w:rPr>
        <w:t>14</w:t>
      </w:r>
      <w:r w:rsidRPr="0015614C">
        <w:rPr>
          <w:shd w:val="clear" w:color="auto" w:fill="FFFFFF"/>
          <w:lang w:val="ro-RO"/>
        </w:rPr>
        <w:t xml:space="preserve"> decembrie </w:t>
      </w:r>
      <w:r w:rsidRPr="007240C7">
        <w:rPr>
          <w:shd w:val="clear" w:color="auto" w:fill="FFFFFF"/>
          <w:lang w:val="ro-RO"/>
        </w:rPr>
        <w:t>2022</w:t>
      </w:r>
      <w:r w:rsidRPr="0015614C">
        <w:rPr>
          <w:shd w:val="clear" w:color="auto" w:fill="FFFFFF"/>
          <w:lang w:val="ro-RO"/>
        </w:rPr>
        <w:t xml:space="preserve"> privind măsuri pentru un nivel comun ridicat de securitate cibernetică în Uniune, de modificare a Regulamentului (UE) nr. </w:t>
      </w:r>
      <w:r w:rsidRPr="007240C7">
        <w:rPr>
          <w:shd w:val="clear" w:color="auto" w:fill="FFFFFF"/>
          <w:lang w:val="ro-RO"/>
        </w:rPr>
        <w:t>910</w:t>
      </w:r>
      <w:r w:rsidRPr="0015614C">
        <w:rPr>
          <w:shd w:val="clear" w:color="auto" w:fill="FFFFFF"/>
          <w:lang w:val="ro-RO"/>
        </w:rPr>
        <w:t>/</w:t>
      </w:r>
      <w:r w:rsidRPr="007240C7">
        <w:rPr>
          <w:shd w:val="clear" w:color="auto" w:fill="FFFFFF"/>
          <w:lang w:val="ro-RO"/>
        </w:rPr>
        <w:t>2014</w:t>
      </w:r>
      <w:r w:rsidRPr="0015614C">
        <w:rPr>
          <w:shd w:val="clear" w:color="auto" w:fill="FFFFFF"/>
          <w:lang w:val="ro-RO"/>
        </w:rPr>
        <w:t xml:space="preserve"> și a Directivei (UE) </w:t>
      </w:r>
      <w:r w:rsidRPr="007240C7">
        <w:rPr>
          <w:shd w:val="clear" w:color="auto" w:fill="FFFFFF"/>
          <w:lang w:val="ro-RO"/>
        </w:rPr>
        <w:t>2018</w:t>
      </w:r>
      <w:r w:rsidRPr="0015614C">
        <w:rPr>
          <w:shd w:val="clear" w:color="auto" w:fill="FFFFFF"/>
          <w:lang w:val="ro-RO"/>
        </w:rPr>
        <w:t>/</w:t>
      </w:r>
      <w:r w:rsidRPr="007240C7">
        <w:rPr>
          <w:shd w:val="clear" w:color="auto" w:fill="FFFFFF"/>
          <w:lang w:val="ro-RO"/>
        </w:rPr>
        <w:t>1972</w:t>
      </w:r>
      <w:r w:rsidRPr="0015614C">
        <w:rPr>
          <w:shd w:val="clear" w:color="auto" w:fill="FFFFFF"/>
          <w:lang w:val="ro-RO"/>
        </w:rPr>
        <w:t xml:space="preserve"> și de abrogare a Directivei (UE) </w:t>
      </w:r>
      <w:r w:rsidRPr="007240C7">
        <w:rPr>
          <w:shd w:val="clear" w:color="auto" w:fill="FFFFFF"/>
          <w:lang w:val="ro-RO"/>
        </w:rPr>
        <w:t>2016</w:t>
      </w:r>
      <w:r w:rsidRPr="0015614C">
        <w:rPr>
          <w:shd w:val="clear" w:color="auto" w:fill="FFFFFF"/>
          <w:lang w:val="ro-RO"/>
        </w:rPr>
        <w:t>/</w:t>
      </w:r>
      <w:r w:rsidRPr="007240C7">
        <w:rPr>
          <w:shd w:val="clear" w:color="auto" w:fill="FFFFFF"/>
          <w:lang w:val="ro-RO"/>
        </w:rPr>
        <w:t>1148</w:t>
      </w:r>
      <w:r w:rsidRPr="0015614C">
        <w:rPr>
          <w:shd w:val="clear" w:color="auto" w:fill="FFFFFF"/>
          <w:lang w:val="ro-RO"/>
        </w:rPr>
        <w:t xml:space="preserve"> (Directiva NIS </w:t>
      </w:r>
      <w:r w:rsidRPr="007240C7">
        <w:rPr>
          <w:shd w:val="clear" w:color="auto" w:fill="FFFFFF"/>
          <w:lang w:val="ro-RO"/>
        </w:rPr>
        <w:t>2</w:t>
      </w:r>
      <w:r w:rsidRPr="0015614C">
        <w:rPr>
          <w:shd w:val="clear" w:color="auto" w:fill="FFFFFF"/>
          <w:lang w:val="ro-RO"/>
        </w:rPr>
        <w:t>; JO</w:t>
      </w:r>
      <w:r w:rsidR="00906DE8">
        <w:rPr>
          <w:shd w:val="clear" w:color="auto" w:fill="FFFFFF"/>
          <w:lang w:val="ro-RO"/>
        </w:rPr>
        <w:t> </w:t>
      </w:r>
      <w:r w:rsidRPr="0015614C">
        <w:rPr>
          <w:shd w:val="clear" w:color="auto" w:fill="FFFFFF"/>
          <w:lang w:val="ro-RO"/>
        </w:rPr>
        <w:t>L </w:t>
      </w:r>
      <w:r w:rsidRPr="007240C7">
        <w:rPr>
          <w:shd w:val="clear" w:color="auto" w:fill="FFFFFF"/>
          <w:lang w:val="ro-RO"/>
        </w:rPr>
        <w:t>333</w:t>
      </w:r>
      <w:r w:rsidRPr="0015614C">
        <w:rPr>
          <w:shd w:val="clear" w:color="auto" w:fill="FFFFFF"/>
          <w:lang w:val="ro-RO"/>
        </w:rPr>
        <w:t xml:space="preserve">, </w:t>
      </w:r>
      <w:r w:rsidRPr="007240C7">
        <w:rPr>
          <w:shd w:val="clear" w:color="auto" w:fill="FFFFFF"/>
          <w:lang w:val="ro-RO"/>
        </w:rPr>
        <w:t>27</w:t>
      </w:r>
      <w:r w:rsidRPr="0015614C">
        <w:rPr>
          <w:shd w:val="clear" w:color="auto" w:fill="FFFFFF"/>
          <w:lang w:val="ro-RO"/>
        </w:rPr>
        <w:t>.</w:t>
      </w:r>
      <w:r w:rsidRPr="007240C7">
        <w:rPr>
          <w:shd w:val="clear" w:color="auto" w:fill="FFFFFF"/>
          <w:lang w:val="ro-RO"/>
        </w:rPr>
        <w:t>12</w:t>
      </w:r>
      <w:r w:rsidRPr="0015614C">
        <w:rPr>
          <w:shd w:val="clear" w:color="auto" w:fill="FFFFFF"/>
          <w:lang w:val="ro-RO"/>
        </w:rPr>
        <w:t>.</w:t>
      </w:r>
      <w:r w:rsidRPr="007240C7">
        <w:rPr>
          <w:shd w:val="clear" w:color="auto" w:fill="FFFFFF"/>
          <w:lang w:val="ro-RO"/>
        </w:rPr>
        <w:t>2022</w:t>
      </w:r>
      <w:r w:rsidRPr="0015614C">
        <w:rPr>
          <w:shd w:val="clear" w:color="auto" w:fill="FFFFFF"/>
          <w:lang w:val="ro-RO"/>
        </w:rPr>
        <w:t>)</w:t>
      </w:r>
      <w:r w:rsidRPr="0015614C">
        <w:rPr>
          <w:lang w:val="ro-RO"/>
        </w:rPr>
        <w:t xml:space="preserve">. Directiva este un tip orizontal de legislație care se aplică mai multor sectoare și impune entităților, cum ar fi furnizorii de servicii cloud, centrele de date, furnizorii de servicii gestionate sau furnizorii de servicii de securitate gestionate, să ia măsuri de gestionare a riscurilor în materie de securitate cibernetică, inclusiv măsuri de securitate a lanțului de aprovizionare. Până la </w:t>
      </w:r>
      <w:r w:rsidRPr="007240C7">
        <w:rPr>
          <w:lang w:val="ro-RO"/>
        </w:rPr>
        <w:t>17</w:t>
      </w:r>
      <w:r w:rsidRPr="0015614C">
        <w:rPr>
          <w:lang w:val="ro-RO"/>
        </w:rPr>
        <w:t> octombrie </w:t>
      </w:r>
      <w:r w:rsidRPr="007240C7">
        <w:rPr>
          <w:lang w:val="ro-RO"/>
        </w:rPr>
        <w:t>2024</w:t>
      </w:r>
      <w:r w:rsidRPr="0015614C">
        <w:rPr>
          <w:lang w:val="ro-RO"/>
        </w:rPr>
        <w:t>, Comisia trebuie să adopte un act de punere în aplicare care să detalieze măsurile de securitate cibernetică în ceea ce privește aceste tipuri de entități.</w:t>
      </w:r>
    </w:p>
  </w:footnote>
  <w:footnote w:id="50">
    <w:p w14:paraId="4EB15D0E" w14:textId="531B851B" w:rsidR="00241024" w:rsidRPr="0015614C" w:rsidRDefault="00241024" w:rsidP="00C64A13">
      <w:pPr>
        <w:pStyle w:val="FootnoteText"/>
        <w:rPr>
          <w:lang w:val="ro-RO"/>
        </w:rPr>
      </w:pPr>
      <w:r w:rsidRPr="0015614C">
        <w:rPr>
          <w:rStyle w:val="FootnoteReference"/>
          <w:lang w:val="ro-RO"/>
        </w:rPr>
        <w:footnoteRef/>
      </w:r>
      <w:r w:rsidRPr="0015614C">
        <w:rPr>
          <w:lang w:val="ro-RO"/>
        </w:rPr>
        <w:t xml:space="preserve"> </w:t>
      </w:r>
      <w:hyperlink r:id="rId51" w:history="1">
        <w:r w:rsidRPr="0015614C">
          <w:rPr>
            <w:rStyle w:val="Hyperlink"/>
            <w:lang w:val="ro-RO"/>
          </w:rPr>
          <w:t>CERS recomandă instituirea unui cadru de coordonare a incidentelor cibernetice sistemice (europa.eu)</w:t>
        </w:r>
      </w:hyperlink>
      <w:r w:rsidRPr="0015614C">
        <w:rPr>
          <w:lang w:val="ro-RO"/>
        </w:rPr>
        <w:t xml:space="preserve">. </w:t>
      </w:r>
    </w:p>
  </w:footnote>
  <w:footnote w:id="51">
    <w:p w14:paraId="0E4D76AA" w14:textId="69848BA8" w:rsidR="00732BA0" w:rsidRPr="0015614C" w:rsidRDefault="00732BA0" w:rsidP="00C64A13">
      <w:pPr>
        <w:pStyle w:val="FootnoteText"/>
        <w:rPr>
          <w:lang w:val="ro-RO"/>
        </w:rPr>
      </w:pPr>
      <w:r w:rsidRPr="0015614C">
        <w:rPr>
          <w:rStyle w:val="FootnoteReference"/>
          <w:lang w:val="ro-RO"/>
        </w:rPr>
        <w:footnoteRef/>
      </w:r>
      <w:r w:rsidRPr="0015614C">
        <w:rPr>
          <w:lang w:val="ro-RO"/>
        </w:rPr>
        <w:t xml:space="preserve"> </w:t>
      </w:r>
      <w:hyperlink r:id="rId52" w:history="1">
        <w:r w:rsidRPr="0015614C">
          <w:rPr>
            <w:rStyle w:val="Hyperlink"/>
            <w:lang w:val="ro-RO"/>
          </w:rPr>
          <w:t>BCE va realiza simulări de criză în ceea ce privește capacitatea băncilor de a se redresa în urma unui atac cibernetic (europa.eu)</w:t>
        </w:r>
      </w:hyperlink>
      <w:r w:rsidRPr="0015614C">
        <w:rPr>
          <w:lang w:val="ro-RO"/>
        </w:rPr>
        <w:t>.</w:t>
      </w:r>
    </w:p>
  </w:footnote>
  <w:footnote w:id="52">
    <w:p w14:paraId="6FDDB5D5" w14:textId="73C69ABD" w:rsidR="00241024" w:rsidRPr="0015614C" w:rsidRDefault="00241024" w:rsidP="00C64A13">
      <w:pPr>
        <w:pStyle w:val="FootnoteText"/>
        <w:rPr>
          <w:lang w:val="ro-RO"/>
        </w:rPr>
      </w:pPr>
      <w:r w:rsidRPr="0015614C">
        <w:rPr>
          <w:rStyle w:val="FootnoteReference"/>
          <w:lang w:val="ro-RO"/>
        </w:rPr>
        <w:footnoteRef/>
      </w:r>
      <w:r w:rsidRPr="0015614C">
        <w:rPr>
          <w:lang w:val="ro-RO"/>
        </w:rPr>
        <w:t xml:space="preserve"> A se vedea CSF (</w:t>
      </w:r>
      <w:r w:rsidRPr="007240C7">
        <w:rPr>
          <w:lang w:val="ro-RO"/>
        </w:rPr>
        <w:t>2020</w:t>
      </w:r>
      <w:r w:rsidRPr="0015614C">
        <w:rPr>
          <w:lang w:val="ro-RO"/>
        </w:rPr>
        <w:t xml:space="preserve">), </w:t>
      </w:r>
      <w:hyperlink r:id="rId53" w:history="1">
        <w:r w:rsidRPr="0015614C">
          <w:rPr>
            <w:rStyle w:val="Hyperlink"/>
            <w:lang w:val="ro-RO"/>
          </w:rPr>
          <w:t>„Holistic Review of the March Market Turmoil (Evaluarea holistică a turbulențelor de pe piață)” - Consiliul pentru Stabilitate Financiară (fsb.org)</w:t>
        </w:r>
      </w:hyperlink>
      <w:r w:rsidRPr="0015614C">
        <w:rPr>
          <w:lang w:val="ro-RO"/>
        </w:rPr>
        <w:t>, p. </w:t>
      </w:r>
      <w:r w:rsidRPr="007240C7">
        <w:rPr>
          <w:lang w:val="ro-RO"/>
        </w:rPr>
        <w:t>11</w:t>
      </w:r>
      <w:r w:rsidRPr="0015614C">
        <w:rPr>
          <w:lang w:val="ro-RO"/>
        </w:rPr>
        <w:t xml:space="preserve">. </w:t>
      </w:r>
    </w:p>
  </w:footnote>
  <w:footnote w:id="53">
    <w:p w14:paraId="2795A790" w14:textId="1882DF3D" w:rsidR="00241024" w:rsidRPr="0015614C" w:rsidRDefault="00241024" w:rsidP="00F43FC7">
      <w:pPr>
        <w:spacing w:after="0" w:line="240" w:lineRule="auto"/>
        <w:rPr>
          <w:rFonts w:cs="Times New Roman"/>
          <w:sz w:val="20"/>
          <w:lang w:val="ro-RO"/>
        </w:rPr>
      </w:pPr>
      <w:r w:rsidRPr="0015614C">
        <w:rPr>
          <w:rStyle w:val="FootnoteReference"/>
          <w:rFonts w:cs="Times New Roman"/>
          <w:lang w:val="ro-RO"/>
        </w:rPr>
        <w:footnoteRef/>
      </w:r>
      <w:r w:rsidRPr="0015614C">
        <w:rPr>
          <w:sz w:val="20"/>
          <w:lang w:val="ro-RO"/>
        </w:rPr>
        <w:t xml:space="preserve"> </w:t>
      </w:r>
      <w:r w:rsidRPr="0015614C">
        <w:rPr>
          <w:rStyle w:val="FootnoteTextChar"/>
          <w:lang w:val="ro-RO"/>
        </w:rPr>
        <w:t>Pentru mai multe informații, a se vedea Banca Angliei (</w:t>
      </w:r>
      <w:r w:rsidRPr="007240C7">
        <w:rPr>
          <w:rStyle w:val="FootnoteTextChar"/>
          <w:lang w:val="ro-RO"/>
        </w:rPr>
        <w:t>2023</w:t>
      </w:r>
      <w:r w:rsidRPr="0015614C">
        <w:rPr>
          <w:rStyle w:val="FootnoteTextChar"/>
          <w:lang w:val="ro-RO"/>
        </w:rPr>
        <w:t xml:space="preserve">), </w:t>
      </w:r>
      <w:hyperlink r:id="rId54" w:history="1">
        <w:r w:rsidRPr="0015614C">
          <w:rPr>
            <w:rStyle w:val="Hyperlink"/>
            <w:sz w:val="20"/>
            <w:lang w:val="ro-RO"/>
          </w:rPr>
          <w:t xml:space="preserve">„An anatomy of the </w:t>
        </w:r>
        <w:r w:rsidRPr="007240C7">
          <w:rPr>
            <w:rStyle w:val="Hyperlink"/>
            <w:sz w:val="20"/>
            <w:lang w:val="ro-RO"/>
          </w:rPr>
          <w:t>2022</w:t>
        </w:r>
        <w:r w:rsidRPr="0015614C">
          <w:rPr>
            <w:rStyle w:val="Hyperlink"/>
            <w:sz w:val="20"/>
            <w:lang w:val="ro-RO"/>
          </w:rPr>
          <w:t xml:space="preserve"> gilt market crisis (O anatomiei a crizei din </w:t>
        </w:r>
        <w:r w:rsidRPr="007240C7">
          <w:rPr>
            <w:rStyle w:val="Hyperlink"/>
            <w:sz w:val="20"/>
            <w:lang w:val="ro-RO"/>
          </w:rPr>
          <w:t>2022</w:t>
        </w:r>
        <w:r w:rsidRPr="0015614C">
          <w:rPr>
            <w:rStyle w:val="Hyperlink"/>
            <w:sz w:val="20"/>
            <w:lang w:val="ro-RO"/>
          </w:rPr>
          <w:t xml:space="preserve"> de pe piața obligațiunilor de stat)”</w:t>
        </w:r>
      </w:hyperlink>
      <w:r w:rsidRPr="0015614C">
        <w:rPr>
          <w:rStyle w:val="FootnoteTextChar"/>
          <w:lang w:val="ro-RO"/>
        </w:rPr>
        <w:t>, Staff Working Paper (Document de lucru al personalului), nr. </w:t>
      </w:r>
      <w:r w:rsidRPr="007240C7">
        <w:rPr>
          <w:rStyle w:val="FootnoteTextChar"/>
          <w:lang w:val="ro-RO"/>
        </w:rPr>
        <w:t>1019</w:t>
      </w:r>
      <w:r w:rsidRPr="0015614C">
        <w:rPr>
          <w:rStyle w:val="FootnoteTextChar"/>
          <w:lang w:val="ro-RO"/>
        </w:rPr>
        <w:t xml:space="preserve">, </w:t>
      </w:r>
      <w:r w:rsidRPr="007240C7">
        <w:rPr>
          <w:rStyle w:val="FootnoteTextChar"/>
          <w:lang w:val="ro-RO"/>
        </w:rPr>
        <w:t>31</w:t>
      </w:r>
      <w:r w:rsidRPr="0015614C">
        <w:rPr>
          <w:rStyle w:val="FootnoteTextChar"/>
          <w:lang w:val="ro-RO"/>
        </w:rPr>
        <w:t xml:space="preserve"> martie </w:t>
      </w:r>
      <w:r w:rsidRPr="007240C7">
        <w:rPr>
          <w:rStyle w:val="FootnoteTextChar"/>
          <w:lang w:val="ro-RO"/>
        </w:rPr>
        <w:t>2023</w:t>
      </w:r>
      <w:r w:rsidRPr="0015614C">
        <w:rPr>
          <w:rStyle w:val="FootnoteTextChar"/>
          <w:lang w:val="ro-RO"/>
        </w:rPr>
        <w:t>.</w:t>
      </w:r>
      <w:r w:rsidR="007D70C9">
        <w:rPr>
          <w:rStyle w:val="FootnoteTextChar"/>
          <w:lang w:val="ro-RO"/>
        </w:rPr>
        <w:t xml:space="preserve"> </w:t>
      </w:r>
    </w:p>
  </w:footnote>
  <w:footnote w:id="54">
    <w:p w14:paraId="525492ED" w14:textId="44CD3B56" w:rsidR="00C64A13" w:rsidRPr="0015614C" w:rsidRDefault="00C64A13" w:rsidP="00C64A13">
      <w:pPr>
        <w:pStyle w:val="FootnoteText"/>
        <w:rPr>
          <w:lang w:val="ro-RO"/>
        </w:rPr>
      </w:pPr>
      <w:r w:rsidRPr="0015614C">
        <w:rPr>
          <w:rStyle w:val="FootnoteReference"/>
          <w:lang w:val="ro-RO"/>
        </w:rPr>
        <w:footnoteRef/>
      </w:r>
      <w:r w:rsidRPr="0015614C">
        <w:rPr>
          <w:lang w:val="ro-RO"/>
        </w:rPr>
        <w:t xml:space="preserve"> </w:t>
      </w:r>
      <w:hyperlink r:id="rId55" w:history="1">
        <w:r w:rsidRPr="0015614C">
          <w:rPr>
            <w:rStyle w:val="Hyperlink"/>
            <w:lang w:val="ro-RO"/>
          </w:rPr>
          <w:t xml:space="preserve">O călătorie de </w:t>
        </w:r>
        <w:r w:rsidRPr="007240C7">
          <w:rPr>
            <w:rStyle w:val="Hyperlink"/>
            <w:lang w:val="ro-RO"/>
          </w:rPr>
          <w:t>1000</w:t>
        </w:r>
        <w:r w:rsidRPr="0015614C">
          <w:rPr>
            <w:rStyle w:val="Hyperlink"/>
            <w:lang w:val="ro-RO"/>
          </w:rPr>
          <w:t xml:space="preserve"> de mile începe cu un singur pas:</w:t>
        </w:r>
      </w:hyperlink>
      <w:hyperlink r:id="rId56" w:history="1">
        <w:r w:rsidRPr="0015614C">
          <w:rPr>
            <w:rStyle w:val="Hyperlink"/>
            <w:lang w:val="ro-RO"/>
          </w:rPr>
          <w:t xml:space="preserve"> acoperirea lacunelor din setul de instrumente privind lichiditatea băncii centrale – discurs al lui Andrew Hauser |</w:t>
        </w:r>
      </w:hyperlink>
      <w:r w:rsidRPr="0015614C">
        <w:rPr>
          <w:lang w:val="ro-RO"/>
        </w:rPr>
        <w:t>.</w:t>
      </w:r>
      <w:hyperlink r:id="rId57" w:history="1">
        <w:r w:rsidRPr="0015614C">
          <w:rPr>
            <w:rStyle w:val="Hyperlink"/>
            <w:lang w:val="ro-RO"/>
          </w:rPr>
          <w:t xml:space="preserve"> Banca Angliei</w:t>
        </w:r>
      </w:hyperlink>
      <w:r w:rsidRPr="0015614C">
        <w:rPr>
          <w:lang w:val="ro-RO"/>
        </w:rPr>
        <w:t xml:space="preserve">. </w:t>
      </w:r>
    </w:p>
  </w:footnote>
  <w:footnote w:id="55">
    <w:p w14:paraId="334A0A77" w14:textId="2B7F0580" w:rsidR="00241024" w:rsidRPr="0015614C" w:rsidRDefault="00241024" w:rsidP="00C64A13">
      <w:pPr>
        <w:pStyle w:val="FootnoteText"/>
        <w:rPr>
          <w:lang w:val="ro-RO"/>
        </w:rPr>
      </w:pPr>
      <w:r w:rsidRPr="0015614C">
        <w:rPr>
          <w:rStyle w:val="FootnoteReference"/>
          <w:lang w:val="ro-RO"/>
        </w:rPr>
        <w:footnoteRef/>
      </w:r>
      <w:r w:rsidRPr="0015614C">
        <w:rPr>
          <w:lang w:val="ro-RO"/>
        </w:rPr>
        <w:t xml:space="preserve"> A se vedea Comisia Europeană (</w:t>
      </w:r>
      <w:r w:rsidRPr="007240C7">
        <w:rPr>
          <w:lang w:val="ro-RO"/>
        </w:rPr>
        <w:t>2023</w:t>
      </w:r>
      <w:r w:rsidRPr="0015614C">
        <w:rPr>
          <w:lang w:val="ro-RO"/>
        </w:rPr>
        <w:t xml:space="preserve">), </w:t>
      </w:r>
      <w:hyperlink r:id="rId58" w:history="1">
        <w:r w:rsidRPr="0015614C">
          <w:rPr>
            <w:rStyle w:val="Hyperlink"/>
            <w:lang w:val="ro-RO"/>
          </w:rPr>
          <w:t xml:space="preserve">„Report from the Commission on the adequacy of Regulation (EU) </w:t>
        </w:r>
        <w:r w:rsidRPr="007240C7">
          <w:rPr>
            <w:rStyle w:val="Hyperlink"/>
            <w:lang w:val="ro-RO"/>
          </w:rPr>
          <w:t>2017</w:t>
        </w:r>
        <w:r w:rsidRPr="0015614C">
          <w:rPr>
            <w:rStyle w:val="Hyperlink"/>
            <w:lang w:val="ro-RO"/>
          </w:rPr>
          <w:t>/</w:t>
        </w:r>
        <w:r w:rsidRPr="007240C7">
          <w:rPr>
            <w:rStyle w:val="Hyperlink"/>
            <w:lang w:val="ro-RO"/>
          </w:rPr>
          <w:t>1131</w:t>
        </w:r>
        <w:r w:rsidRPr="0015614C">
          <w:rPr>
            <w:rStyle w:val="Hyperlink"/>
            <w:lang w:val="ro-RO"/>
          </w:rPr>
          <w:t xml:space="preserve"> on money market funds from a prudential and economic point of view [Raport al Comisiei referitor la caracterul adecvat din punct de vedere prudențial și economic al Regulamentului (UE) </w:t>
        </w:r>
        <w:r w:rsidRPr="007240C7">
          <w:rPr>
            <w:rStyle w:val="Hyperlink"/>
            <w:lang w:val="ro-RO"/>
          </w:rPr>
          <w:t>2017</w:t>
        </w:r>
        <w:r w:rsidRPr="0015614C">
          <w:rPr>
            <w:rStyle w:val="Hyperlink"/>
            <w:lang w:val="ro-RO"/>
          </w:rPr>
          <w:t>/</w:t>
        </w:r>
        <w:r w:rsidRPr="007240C7">
          <w:rPr>
            <w:rStyle w:val="Hyperlink"/>
            <w:lang w:val="ro-RO"/>
          </w:rPr>
          <w:t>1131</w:t>
        </w:r>
        <w:r w:rsidRPr="0015614C">
          <w:rPr>
            <w:rStyle w:val="Hyperlink"/>
            <w:lang w:val="ro-RO"/>
          </w:rPr>
          <w:t xml:space="preserve"> privind fondurile de piață monetară]” (europa.eu)</w:t>
        </w:r>
      </w:hyperlink>
      <w:r w:rsidRPr="0015614C">
        <w:rPr>
          <w:lang w:val="ro-RO"/>
        </w:rPr>
        <w:t xml:space="preserve"> și CERS (</w:t>
      </w:r>
      <w:r w:rsidRPr="007240C7">
        <w:rPr>
          <w:lang w:val="ro-RO"/>
        </w:rPr>
        <w:t>2022</w:t>
      </w:r>
      <w:r w:rsidRPr="0015614C">
        <w:rPr>
          <w:lang w:val="ro-RO"/>
        </w:rPr>
        <w:t xml:space="preserve">), </w:t>
      </w:r>
      <w:hyperlink r:id="rId59" w:history="1">
        <w:r w:rsidRPr="0015614C">
          <w:rPr>
            <w:rStyle w:val="Hyperlink"/>
            <w:lang w:val="ro-RO"/>
          </w:rPr>
          <w:t>„The market for short-term debt securities in Europe:</w:t>
        </w:r>
      </w:hyperlink>
      <w:hyperlink r:id="rId60" w:history="1">
        <w:r w:rsidRPr="0015614C">
          <w:rPr>
            <w:rStyle w:val="Hyperlink"/>
            <w:lang w:val="ro-RO"/>
          </w:rPr>
          <w:t xml:space="preserve"> what we know and what we do not know (Piața titlurilor de natura datoriei pe termen scurt în Europa: ce știm și ce nu știm)” (europa.eu)</w:t>
        </w:r>
      </w:hyperlink>
      <w:r w:rsidRPr="0015614C">
        <w:rPr>
          <w:lang w:val="ro-RO"/>
        </w:rPr>
        <w:t xml:space="preserve">. </w:t>
      </w:r>
    </w:p>
  </w:footnote>
  <w:footnote w:id="56">
    <w:p w14:paraId="3A805830" w14:textId="74F0CB86" w:rsidR="00241024" w:rsidRPr="0015614C" w:rsidRDefault="00241024" w:rsidP="00C64A13">
      <w:pPr>
        <w:pStyle w:val="FootnoteText"/>
        <w:rPr>
          <w:lang w:val="ro-RO"/>
        </w:rPr>
      </w:pPr>
      <w:r w:rsidRPr="0015614C">
        <w:rPr>
          <w:rStyle w:val="FootnoteReference"/>
          <w:lang w:val="ro-RO"/>
        </w:rPr>
        <w:footnoteRef/>
      </w:r>
      <w:r w:rsidRPr="0015614C">
        <w:rPr>
          <w:lang w:val="ro-RO"/>
        </w:rPr>
        <w:t xml:space="preserve"> CSF are în vedere, de asemenea, o listă de acțiuni privind practicile de stabilire a marjelor atât pentru utilizatori (gradul de pregătire pentru marjă), cât și pentru operatorii de infrastructură de piață, dintre care unele sunt deja incluse în cadrul EMIR. A se vedea CSF (</w:t>
      </w:r>
      <w:r w:rsidRPr="007240C7">
        <w:rPr>
          <w:lang w:val="ro-RO"/>
        </w:rPr>
        <w:t>2022</w:t>
      </w:r>
      <w:r w:rsidRPr="0015614C">
        <w:rPr>
          <w:lang w:val="ro-RO"/>
        </w:rPr>
        <w:t xml:space="preserve">), </w:t>
      </w:r>
      <w:hyperlink r:id="rId61" w:history="1">
        <w:r w:rsidRPr="0015614C">
          <w:rPr>
            <w:rStyle w:val="Hyperlink"/>
            <w:lang w:val="ro-RO"/>
          </w:rPr>
          <w:t>„Enhancing the Resilience of Non-Bank Financial Intermediation:</w:t>
        </w:r>
      </w:hyperlink>
      <w:hyperlink r:id="rId62" w:history="1">
        <w:r w:rsidRPr="0015614C">
          <w:rPr>
            <w:rStyle w:val="Hyperlink"/>
            <w:lang w:val="ro-RO"/>
          </w:rPr>
          <w:t xml:space="preserve"> Progress report (Consolidarea rezilienței intermedierii financiare nebancare: raport intermediar)”</w:t>
        </w:r>
      </w:hyperlink>
      <w:r w:rsidRPr="0015614C">
        <w:rPr>
          <w:lang w:val="ro-RO"/>
        </w:rPr>
        <w:t>, p. </w:t>
      </w:r>
      <w:r w:rsidRPr="007240C7">
        <w:rPr>
          <w:lang w:val="ro-RO"/>
        </w:rPr>
        <w:t>25</w:t>
      </w:r>
      <w:r w:rsidRPr="0015614C">
        <w:rPr>
          <w:lang w:val="ro-RO"/>
        </w:rPr>
        <w:t xml:space="preserve">. </w:t>
      </w:r>
    </w:p>
  </w:footnote>
  <w:footnote w:id="57">
    <w:p w14:paraId="7FC931D9" w14:textId="41A66B33" w:rsidR="00B10513" w:rsidRPr="0015614C" w:rsidRDefault="00B10513" w:rsidP="00C64A13">
      <w:pPr>
        <w:pStyle w:val="FootnoteText"/>
        <w:rPr>
          <w:lang w:val="ro-RO"/>
        </w:rPr>
      </w:pPr>
      <w:r w:rsidRPr="0015614C">
        <w:rPr>
          <w:rStyle w:val="FootnoteReference"/>
          <w:lang w:val="ro-RO"/>
        </w:rPr>
        <w:footnoteRef/>
      </w:r>
      <w:r w:rsidRPr="0015614C">
        <w:rPr>
          <w:lang w:val="ro-RO"/>
        </w:rPr>
        <w:t xml:space="preserve"> sau mai multe detalii, ESMA (</w:t>
      </w:r>
      <w:r w:rsidRPr="007240C7">
        <w:rPr>
          <w:lang w:val="ro-RO"/>
        </w:rPr>
        <w:t>2022</w:t>
      </w:r>
      <w:r w:rsidRPr="0015614C">
        <w:rPr>
          <w:lang w:val="ro-RO"/>
        </w:rPr>
        <w:t xml:space="preserve">), </w:t>
      </w:r>
      <w:hyperlink r:id="rId63" w:history="1">
        <w:r w:rsidRPr="0015614C">
          <w:rPr>
            <w:rStyle w:val="Hyperlink"/>
            <w:lang w:val="ro-RO"/>
          </w:rPr>
          <w:t>ESMA publică o analiză ex-post a riscurilor aferente instrumentelor financiare derivate din cadrul Archegos</w:t>
        </w:r>
      </w:hyperlink>
      <w:r w:rsidRPr="0015614C">
        <w:rPr>
          <w:lang w:val="ro-RO"/>
        </w:rPr>
        <w:t xml:space="preserve"> (europa.eu).</w:t>
      </w:r>
    </w:p>
  </w:footnote>
  <w:footnote w:id="58">
    <w:p w14:paraId="7B83ABFF" w14:textId="4DAD9D65" w:rsidR="0029368A" w:rsidRPr="0015614C" w:rsidRDefault="0029368A" w:rsidP="00C64A13">
      <w:pPr>
        <w:pStyle w:val="FootnoteText"/>
        <w:rPr>
          <w:lang w:val="ro-RO"/>
        </w:rPr>
      </w:pPr>
      <w:r w:rsidRPr="0015614C">
        <w:rPr>
          <w:rStyle w:val="FootnoteReference"/>
          <w:lang w:val="ro-RO"/>
        </w:rPr>
        <w:footnoteRef/>
      </w:r>
      <w:r w:rsidRPr="0015614C">
        <w:rPr>
          <w:lang w:val="ro-RO"/>
        </w:rPr>
        <w:t xml:space="preserve"> A se vedea CSF (</w:t>
      </w:r>
      <w:r w:rsidRPr="007240C7">
        <w:rPr>
          <w:lang w:val="ro-RO"/>
        </w:rPr>
        <w:t>2023</w:t>
      </w:r>
      <w:r w:rsidRPr="0015614C">
        <w:rPr>
          <w:lang w:val="ro-RO"/>
        </w:rPr>
        <w:t xml:space="preserve">), </w:t>
      </w:r>
      <w:hyperlink r:id="rId64" w:history="1">
        <w:r w:rsidRPr="0015614C">
          <w:rPr>
            <w:rStyle w:val="Hyperlink"/>
            <w:lang w:val="ro-RO"/>
          </w:rPr>
          <w:t>The „Financial Stability Implications of Leverage in Non-Bank Financial Intermediation (Implicațiile asupra stabilității financiare ale efectului de levier în intermedierea financiară nebancară)” – Consiliul pentru Stabilitate Financiară) (fsb.org)</w:t>
        </w:r>
      </w:hyperlink>
      <w:r w:rsidRPr="0015614C">
        <w:rPr>
          <w:lang w:val="ro-RO"/>
        </w:rPr>
        <w:t>.</w:t>
      </w:r>
    </w:p>
  </w:footnote>
  <w:footnote w:id="59">
    <w:p w14:paraId="63CE90CE" w14:textId="6D8B7607" w:rsidR="008F57E7" w:rsidRPr="0015614C" w:rsidRDefault="008F57E7" w:rsidP="00C64A13">
      <w:pPr>
        <w:pStyle w:val="FootnoteText"/>
        <w:rPr>
          <w:lang w:val="ro-RO"/>
        </w:rPr>
      </w:pPr>
      <w:r w:rsidRPr="0015614C">
        <w:rPr>
          <w:rStyle w:val="FootnoteReference"/>
          <w:lang w:val="ro-RO"/>
        </w:rPr>
        <w:footnoteRef/>
      </w:r>
      <w:r w:rsidRPr="0015614C">
        <w:rPr>
          <w:lang w:val="ro-RO"/>
        </w:rPr>
        <w:t xml:space="preserve"> De asemenea, în decembrie </w:t>
      </w:r>
      <w:r w:rsidRPr="007240C7">
        <w:rPr>
          <w:lang w:val="ro-RO"/>
        </w:rPr>
        <w:t>2021</w:t>
      </w:r>
      <w:r w:rsidRPr="0015614C">
        <w:rPr>
          <w:lang w:val="ro-RO"/>
        </w:rPr>
        <w:t xml:space="preserve">, Comisia Europeană a adoptat o </w:t>
      </w:r>
      <w:hyperlink r:id="rId65" w:history="1">
        <w:r w:rsidRPr="0015614C">
          <w:rPr>
            <w:rStyle w:val="Hyperlink"/>
            <w:lang w:val="ro-RO"/>
          </w:rPr>
          <w:t>strategie mai amplă privind datele de supraveghere în serviciile financiare ale UE (europa.eu),</w:t>
        </w:r>
      </w:hyperlink>
      <w:r w:rsidRPr="0015614C">
        <w:rPr>
          <w:lang w:val="ro-RO"/>
        </w:rPr>
        <w:t xml:space="preserve"> care vizează partajarea și reutilizarea datelor de supraveghere în întregul sistem financiar.</w:t>
      </w:r>
    </w:p>
  </w:footnote>
  <w:footnote w:id="60">
    <w:p w14:paraId="68C404EC" w14:textId="70C6B556" w:rsidR="00241024" w:rsidRPr="0015614C" w:rsidRDefault="00241024" w:rsidP="00C64A13">
      <w:pPr>
        <w:pStyle w:val="FootnoteText"/>
        <w:rPr>
          <w:lang w:val="ro-RO"/>
        </w:rPr>
      </w:pPr>
      <w:r w:rsidRPr="0015614C">
        <w:rPr>
          <w:rStyle w:val="FootnoteReference"/>
          <w:lang w:val="ro-RO"/>
        </w:rPr>
        <w:footnoteRef/>
      </w:r>
      <w:r w:rsidRPr="0015614C">
        <w:rPr>
          <w:lang w:val="ro-RO"/>
        </w:rPr>
        <w:t xml:space="preserve"> Aceasta include analiza unor noi indicatori de măsurare a efectului de levier adaptați diferiților intermediari financiari nebancari, în special a celor introduși prin activități extrabilanțiere, precum instrumente financiare derivate extrabilanțiere sau operațiunile de finanțare prin instrumente financiare. De exemplu, în ce măsură tranzacțiile care implică garanții reale constituite sunt raportate în bilanțul instituțiilor nefinanciare și modul în care aceste poziții pot fi reconciliate utilizând cerințele de raportare actuale.</w:t>
      </w:r>
      <w:r w:rsidR="007D70C9">
        <w:rPr>
          <w:lang w:val="ro-RO"/>
        </w:rPr>
        <w:t xml:space="preserve"> </w:t>
      </w:r>
    </w:p>
  </w:footnote>
  <w:footnote w:id="61">
    <w:p w14:paraId="42FDC99F" w14:textId="6BA350A3" w:rsidR="00241024" w:rsidRPr="0015614C" w:rsidRDefault="00241024" w:rsidP="00C64A13">
      <w:pPr>
        <w:pStyle w:val="FootnoteText"/>
        <w:rPr>
          <w:lang w:val="ro-RO"/>
        </w:rPr>
      </w:pPr>
      <w:r w:rsidRPr="0015614C">
        <w:rPr>
          <w:rStyle w:val="FootnoteReference"/>
          <w:lang w:val="ro-RO"/>
        </w:rPr>
        <w:footnoteRef/>
      </w:r>
      <w:r w:rsidRPr="0015614C">
        <w:rPr>
          <w:lang w:val="ro-RO"/>
        </w:rPr>
        <w:t xml:space="preserve"> CERS (</w:t>
      </w:r>
      <w:r w:rsidRPr="007240C7">
        <w:rPr>
          <w:lang w:val="ro-RO"/>
        </w:rPr>
        <w:t>2022</w:t>
      </w:r>
      <w:r w:rsidRPr="0015614C">
        <w:rPr>
          <w:lang w:val="ro-RO"/>
        </w:rPr>
        <w:t xml:space="preserve">), </w:t>
      </w:r>
      <w:hyperlink r:id="rId66" w:history="1">
        <w:r w:rsidRPr="0015614C">
          <w:rPr>
            <w:rStyle w:val="Hyperlink"/>
            <w:lang w:val="ro-RO"/>
          </w:rPr>
          <w:t xml:space="preserve">EU „Non-bank Financial Intermediation Risk Monitor </w:t>
        </w:r>
        <w:r w:rsidRPr="007240C7">
          <w:rPr>
            <w:rStyle w:val="Hyperlink"/>
            <w:lang w:val="ro-RO"/>
          </w:rPr>
          <w:t>2022</w:t>
        </w:r>
        <w:r w:rsidRPr="0015614C">
          <w:rPr>
            <w:rStyle w:val="Hyperlink"/>
            <w:lang w:val="ro-RO"/>
          </w:rPr>
          <w:t xml:space="preserve"> (Raportul de monitorizare a riscurilor de intermediere financiară nebancară la nivelul UE </w:t>
        </w:r>
        <w:r w:rsidRPr="007240C7">
          <w:rPr>
            <w:rStyle w:val="Hyperlink"/>
            <w:lang w:val="ro-RO"/>
          </w:rPr>
          <w:t>2022</w:t>
        </w:r>
        <w:r w:rsidRPr="0015614C">
          <w:rPr>
            <w:rStyle w:val="Hyperlink"/>
            <w:lang w:val="ro-RO"/>
          </w:rPr>
          <w:t>) (europa.eu)</w:t>
        </w:r>
      </w:hyperlink>
      <w:r w:rsidRPr="0015614C">
        <w:rPr>
          <w:lang w:val="ro-RO"/>
        </w:rPr>
        <w:t xml:space="preserve">, iulie </w:t>
      </w:r>
      <w:r w:rsidRPr="007240C7">
        <w:rPr>
          <w:lang w:val="ro-RO"/>
        </w:rPr>
        <w:t>2022</w:t>
      </w:r>
      <w:r w:rsidRPr="0015614C">
        <w:rPr>
          <w:lang w:val="ro-RO"/>
        </w:rPr>
        <w:t xml:space="preserve">. </w:t>
      </w:r>
    </w:p>
  </w:footnote>
  <w:footnote w:id="62">
    <w:p w14:paraId="1D2CA438" w14:textId="73597DF0" w:rsidR="00241024" w:rsidRPr="0015614C" w:rsidRDefault="00241024" w:rsidP="00C64A13">
      <w:pPr>
        <w:pStyle w:val="FootnoteText"/>
        <w:rPr>
          <w:lang w:val="ro-RO"/>
        </w:rPr>
      </w:pPr>
      <w:r w:rsidRPr="0015614C">
        <w:rPr>
          <w:rStyle w:val="FootnoteReference"/>
          <w:lang w:val="ro-RO"/>
        </w:rPr>
        <w:footnoteRef/>
      </w:r>
      <w:r w:rsidRPr="0015614C">
        <w:rPr>
          <w:lang w:val="ro-RO"/>
        </w:rPr>
        <w:t xml:space="preserve"> A se vedea BCE, </w:t>
      </w:r>
      <w:r w:rsidRPr="0015614C">
        <w:rPr>
          <w:i/>
          <w:lang w:val="ro-RO"/>
        </w:rPr>
        <w:t>Financial Stability Review</w:t>
      </w:r>
      <w:r w:rsidRPr="0015614C">
        <w:rPr>
          <w:lang w:val="ro-RO"/>
        </w:rPr>
        <w:t xml:space="preserve">, mai </w:t>
      </w:r>
      <w:r w:rsidRPr="007240C7">
        <w:rPr>
          <w:lang w:val="ro-RO"/>
        </w:rPr>
        <w:t>2023</w:t>
      </w:r>
      <w:r w:rsidRPr="0015614C">
        <w:rPr>
          <w:lang w:val="ro-RO"/>
        </w:rPr>
        <w:t xml:space="preserve">, Tema specială „Key linkages between banks and the non-bank financial sector (Legături cheie între bănci și sectorul financiar nebancar)”.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CAC21" w14:textId="77777777" w:rsidR="005C2ED4" w:rsidRPr="005C2ED4" w:rsidRDefault="005C2ED4" w:rsidP="005C2ED4">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7B9B0" w14:textId="77777777" w:rsidR="005C2ED4" w:rsidRPr="005C2ED4" w:rsidRDefault="005C2ED4" w:rsidP="005C2ED4">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3E1F6" w14:textId="77777777" w:rsidR="005C2ED4" w:rsidRPr="005C2ED4" w:rsidRDefault="005C2ED4" w:rsidP="005C2ED4">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10DB3" w14:textId="77777777" w:rsidR="00FA5994" w:rsidRDefault="00FA599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00F51DCF" w14:paraId="656AF1E5" w14:textId="77777777" w:rsidTr="00BE2F17">
      <w:trPr>
        <w:trHeight w:val="300"/>
      </w:trPr>
      <w:tc>
        <w:tcPr>
          <w:tcW w:w="3120" w:type="dxa"/>
        </w:tcPr>
        <w:p w14:paraId="76DE7DC9" w14:textId="77777777" w:rsidR="00F51DCF" w:rsidRDefault="00F51DCF" w:rsidP="00BE2F17">
          <w:pPr>
            <w:pStyle w:val="Header"/>
            <w:ind w:left="-115"/>
            <w:jc w:val="left"/>
          </w:pPr>
        </w:p>
      </w:tc>
      <w:tc>
        <w:tcPr>
          <w:tcW w:w="3120" w:type="dxa"/>
        </w:tcPr>
        <w:p w14:paraId="508C7830" w14:textId="77777777" w:rsidR="00F51DCF" w:rsidRDefault="00F51DCF" w:rsidP="00BE2F17">
          <w:pPr>
            <w:pStyle w:val="Header"/>
            <w:jc w:val="center"/>
          </w:pPr>
        </w:p>
      </w:tc>
      <w:tc>
        <w:tcPr>
          <w:tcW w:w="3120" w:type="dxa"/>
        </w:tcPr>
        <w:p w14:paraId="37EBA021" w14:textId="77777777" w:rsidR="00F51DCF" w:rsidRDefault="00F51DCF" w:rsidP="00BE2F17">
          <w:pPr>
            <w:pStyle w:val="Header"/>
            <w:ind w:right="-115"/>
            <w:jc w:val="right"/>
          </w:pPr>
        </w:p>
      </w:tc>
    </w:tr>
  </w:tbl>
  <w:p w14:paraId="52CECB36" w14:textId="77777777" w:rsidR="00F51DCF" w:rsidRDefault="00F51DC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000041A0" w14:paraId="61B6FAE3" w14:textId="77777777" w:rsidTr="00BE2F17">
      <w:trPr>
        <w:trHeight w:val="300"/>
      </w:trPr>
      <w:tc>
        <w:tcPr>
          <w:tcW w:w="3120" w:type="dxa"/>
        </w:tcPr>
        <w:p w14:paraId="2D301028" w14:textId="77777777" w:rsidR="000041A0" w:rsidRDefault="000041A0" w:rsidP="00BE2F17">
          <w:pPr>
            <w:pStyle w:val="Header"/>
            <w:ind w:left="-115"/>
            <w:jc w:val="left"/>
          </w:pPr>
        </w:p>
      </w:tc>
      <w:tc>
        <w:tcPr>
          <w:tcW w:w="3120" w:type="dxa"/>
        </w:tcPr>
        <w:p w14:paraId="27E8AC32" w14:textId="77777777" w:rsidR="000041A0" w:rsidRDefault="000041A0" w:rsidP="00BE2F17">
          <w:pPr>
            <w:pStyle w:val="Header"/>
            <w:jc w:val="center"/>
          </w:pPr>
        </w:p>
      </w:tc>
      <w:tc>
        <w:tcPr>
          <w:tcW w:w="3120" w:type="dxa"/>
        </w:tcPr>
        <w:p w14:paraId="2422AF97" w14:textId="77777777" w:rsidR="000041A0" w:rsidRDefault="000041A0" w:rsidP="00BE2F17">
          <w:pPr>
            <w:pStyle w:val="Header"/>
            <w:ind w:right="-115"/>
            <w:jc w:val="right"/>
          </w:pPr>
        </w:p>
      </w:tc>
    </w:tr>
  </w:tbl>
  <w:p w14:paraId="43C3B7CC" w14:textId="77777777" w:rsidR="000041A0" w:rsidRDefault="000041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0459D"/>
    <w:multiLevelType w:val="multilevel"/>
    <w:tmpl w:val="D6EA8B26"/>
    <w:lvl w:ilvl="0">
      <w:start w:val="3"/>
      <w:numFmt w:val="decimal"/>
      <w:lvlText w:val="%1"/>
      <w:lvlJc w:val="left"/>
      <w:pPr>
        <w:ind w:left="450" w:hanging="450"/>
      </w:pPr>
      <w:rPr>
        <w:rFonts w:hint="default"/>
      </w:rPr>
    </w:lvl>
    <w:lvl w:ilvl="1">
      <w:start w:val="4"/>
      <w:numFmt w:val="decimal"/>
      <w:lvlText w:val="%1.%2"/>
      <w:lvlJc w:val="left"/>
      <w:pPr>
        <w:ind w:left="688" w:hanging="450"/>
      </w:pPr>
      <w:rPr>
        <w:rFonts w:hint="default"/>
      </w:rPr>
    </w:lvl>
    <w:lvl w:ilvl="2">
      <w:start w:val="1"/>
      <w:numFmt w:val="decimal"/>
      <w:lvlText w:val="%1.%2.%3"/>
      <w:lvlJc w:val="left"/>
      <w:pPr>
        <w:ind w:left="1196" w:hanging="720"/>
      </w:pPr>
      <w:rPr>
        <w:rFonts w:hint="default"/>
      </w:rPr>
    </w:lvl>
    <w:lvl w:ilvl="3">
      <w:start w:val="1"/>
      <w:numFmt w:val="decimal"/>
      <w:lvlText w:val="%1.%2.%3.%4"/>
      <w:lvlJc w:val="left"/>
      <w:pPr>
        <w:ind w:left="1434" w:hanging="720"/>
      </w:pPr>
      <w:rPr>
        <w:rFonts w:hint="default"/>
      </w:rPr>
    </w:lvl>
    <w:lvl w:ilvl="4">
      <w:start w:val="1"/>
      <w:numFmt w:val="decimal"/>
      <w:lvlText w:val="%1.%2.%3.%4.%5"/>
      <w:lvlJc w:val="left"/>
      <w:pPr>
        <w:ind w:left="2032" w:hanging="1080"/>
      </w:pPr>
      <w:rPr>
        <w:rFonts w:hint="default"/>
      </w:rPr>
    </w:lvl>
    <w:lvl w:ilvl="5">
      <w:start w:val="1"/>
      <w:numFmt w:val="decimal"/>
      <w:lvlText w:val="%1.%2.%3.%4.%5.%6"/>
      <w:lvlJc w:val="left"/>
      <w:pPr>
        <w:ind w:left="2270" w:hanging="1080"/>
      </w:pPr>
      <w:rPr>
        <w:rFonts w:hint="default"/>
      </w:rPr>
    </w:lvl>
    <w:lvl w:ilvl="6">
      <w:start w:val="1"/>
      <w:numFmt w:val="decimal"/>
      <w:lvlText w:val="%1.%2.%3.%4.%5.%6.%7"/>
      <w:lvlJc w:val="left"/>
      <w:pPr>
        <w:ind w:left="2868" w:hanging="1440"/>
      </w:pPr>
      <w:rPr>
        <w:rFonts w:hint="default"/>
      </w:rPr>
    </w:lvl>
    <w:lvl w:ilvl="7">
      <w:start w:val="1"/>
      <w:numFmt w:val="decimal"/>
      <w:lvlText w:val="%1.%2.%3.%4.%5.%6.%7.%8"/>
      <w:lvlJc w:val="left"/>
      <w:pPr>
        <w:ind w:left="3106" w:hanging="1440"/>
      </w:pPr>
      <w:rPr>
        <w:rFonts w:hint="default"/>
      </w:rPr>
    </w:lvl>
    <w:lvl w:ilvl="8">
      <w:start w:val="1"/>
      <w:numFmt w:val="decimal"/>
      <w:lvlText w:val="%1.%2.%3.%4.%5.%6.%7.%8.%9"/>
      <w:lvlJc w:val="left"/>
      <w:pPr>
        <w:ind w:left="3344" w:hanging="1440"/>
      </w:pPr>
      <w:rPr>
        <w:rFonts w:hint="default"/>
      </w:rPr>
    </w:lvl>
  </w:abstractNum>
  <w:abstractNum w:abstractNumId="1" w15:restartNumberingAfterBreak="0">
    <w:nsid w:val="13E74BDC"/>
    <w:multiLevelType w:val="hybridMultilevel"/>
    <w:tmpl w:val="76F63C3E"/>
    <w:lvl w:ilvl="0" w:tplc="5F46813C">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210544AC"/>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 w15:restartNumberingAfterBreak="0">
    <w:nsid w:val="283A772E"/>
    <w:multiLevelType w:val="hybridMultilevel"/>
    <w:tmpl w:val="99BC6848"/>
    <w:lvl w:ilvl="0" w:tplc="B91856E2">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C61E3EC"/>
    <w:multiLevelType w:val="hybridMultilevel"/>
    <w:tmpl w:val="FFFFFFFF"/>
    <w:lvl w:ilvl="0" w:tplc="8826A1DA">
      <w:start w:val="1"/>
      <w:numFmt w:val="upperRoman"/>
      <w:lvlText w:val="%1."/>
      <w:lvlJc w:val="left"/>
      <w:pPr>
        <w:ind w:left="1080" w:hanging="720"/>
      </w:pPr>
    </w:lvl>
    <w:lvl w:ilvl="1" w:tplc="BE206706">
      <w:start w:val="1"/>
      <w:numFmt w:val="lowerLetter"/>
      <w:lvlText w:val="%2."/>
      <w:lvlJc w:val="left"/>
      <w:pPr>
        <w:ind w:left="1440" w:hanging="360"/>
      </w:pPr>
    </w:lvl>
    <w:lvl w:ilvl="2" w:tplc="C38A0D0C">
      <w:start w:val="1"/>
      <w:numFmt w:val="lowerRoman"/>
      <w:lvlText w:val="%3."/>
      <w:lvlJc w:val="right"/>
      <w:pPr>
        <w:ind w:left="2160" w:hanging="180"/>
      </w:pPr>
    </w:lvl>
    <w:lvl w:ilvl="3" w:tplc="D220D070">
      <w:start w:val="1"/>
      <w:numFmt w:val="decimal"/>
      <w:lvlText w:val="%4."/>
      <w:lvlJc w:val="left"/>
      <w:pPr>
        <w:ind w:left="2880" w:hanging="360"/>
      </w:pPr>
    </w:lvl>
    <w:lvl w:ilvl="4" w:tplc="F96A1276">
      <w:start w:val="1"/>
      <w:numFmt w:val="lowerLetter"/>
      <w:lvlText w:val="%5."/>
      <w:lvlJc w:val="left"/>
      <w:pPr>
        <w:ind w:left="3600" w:hanging="360"/>
      </w:pPr>
    </w:lvl>
    <w:lvl w:ilvl="5" w:tplc="B156CB96">
      <w:start w:val="1"/>
      <w:numFmt w:val="lowerRoman"/>
      <w:lvlText w:val="%6."/>
      <w:lvlJc w:val="right"/>
      <w:pPr>
        <w:ind w:left="4320" w:hanging="180"/>
      </w:pPr>
    </w:lvl>
    <w:lvl w:ilvl="6" w:tplc="CFE05298">
      <w:start w:val="1"/>
      <w:numFmt w:val="decimal"/>
      <w:lvlText w:val="%7."/>
      <w:lvlJc w:val="left"/>
      <w:pPr>
        <w:ind w:left="5040" w:hanging="360"/>
      </w:pPr>
    </w:lvl>
    <w:lvl w:ilvl="7" w:tplc="EAF0770C">
      <w:start w:val="1"/>
      <w:numFmt w:val="lowerLetter"/>
      <w:lvlText w:val="%8."/>
      <w:lvlJc w:val="left"/>
      <w:pPr>
        <w:ind w:left="5760" w:hanging="360"/>
      </w:pPr>
    </w:lvl>
    <w:lvl w:ilvl="8" w:tplc="8542BFE6">
      <w:start w:val="1"/>
      <w:numFmt w:val="lowerRoman"/>
      <w:lvlText w:val="%9."/>
      <w:lvlJc w:val="right"/>
      <w:pPr>
        <w:ind w:left="6480" w:hanging="180"/>
      </w:pPr>
    </w:lvl>
  </w:abstractNum>
  <w:abstractNum w:abstractNumId="5" w15:restartNumberingAfterBreak="0">
    <w:nsid w:val="2D543B47"/>
    <w:multiLevelType w:val="hybridMultilevel"/>
    <w:tmpl w:val="776CEC42"/>
    <w:lvl w:ilvl="0" w:tplc="FFFFFFFF">
      <w:start w:val="1"/>
      <w:numFmt w:val="upperRoman"/>
      <w:lvlText w:val="%1."/>
      <w:lvlJc w:val="left"/>
      <w:pPr>
        <w:ind w:left="1080" w:hanging="72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306E2D56"/>
    <w:multiLevelType w:val="hybridMultilevel"/>
    <w:tmpl w:val="032619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8055961"/>
    <w:multiLevelType w:val="hybridMultilevel"/>
    <w:tmpl w:val="5A90E0F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3C061AAB"/>
    <w:multiLevelType w:val="hybridMultilevel"/>
    <w:tmpl w:val="FFFFFFFF"/>
    <w:lvl w:ilvl="0" w:tplc="CACED330">
      <w:start w:val="1"/>
      <w:numFmt w:val="decimal"/>
      <w:lvlText w:val="%1."/>
      <w:lvlJc w:val="left"/>
      <w:pPr>
        <w:ind w:left="720" w:hanging="360"/>
      </w:pPr>
    </w:lvl>
    <w:lvl w:ilvl="1" w:tplc="8EC2126C">
      <w:start w:val="1"/>
      <w:numFmt w:val="lowerLetter"/>
      <w:lvlText w:val="%2."/>
      <w:lvlJc w:val="left"/>
      <w:pPr>
        <w:ind w:left="1440" w:hanging="360"/>
      </w:pPr>
    </w:lvl>
    <w:lvl w:ilvl="2" w:tplc="187EE1AC">
      <w:start w:val="1"/>
      <w:numFmt w:val="lowerRoman"/>
      <w:lvlText w:val="%3."/>
      <w:lvlJc w:val="right"/>
      <w:pPr>
        <w:ind w:left="2160" w:hanging="180"/>
      </w:pPr>
    </w:lvl>
    <w:lvl w:ilvl="3" w:tplc="300A7C7C">
      <w:start w:val="1"/>
      <w:numFmt w:val="decimal"/>
      <w:lvlText w:val="%4."/>
      <w:lvlJc w:val="left"/>
      <w:pPr>
        <w:ind w:left="2880" w:hanging="360"/>
      </w:pPr>
    </w:lvl>
    <w:lvl w:ilvl="4" w:tplc="106085A0">
      <w:start w:val="1"/>
      <w:numFmt w:val="lowerLetter"/>
      <w:lvlText w:val="%5."/>
      <w:lvlJc w:val="left"/>
      <w:pPr>
        <w:ind w:left="3600" w:hanging="360"/>
      </w:pPr>
    </w:lvl>
    <w:lvl w:ilvl="5" w:tplc="DB90D49A">
      <w:start w:val="1"/>
      <w:numFmt w:val="lowerRoman"/>
      <w:lvlText w:val="%6."/>
      <w:lvlJc w:val="right"/>
      <w:pPr>
        <w:ind w:left="4320" w:hanging="180"/>
      </w:pPr>
    </w:lvl>
    <w:lvl w:ilvl="6" w:tplc="9D462314">
      <w:start w:val="1"/>
      <w:numFmt w:val="decimal"/>
      <w:lvlText w:val="%7."/>
      <w:lvlJc w:val="left"/>
      <w:pPr>
        <w:ind w:left="5040" w:hanging="360"/>
      </w:pPr>
    </w:lvl>
    <w:lvl w:ilvl="7" w:tplc="11C4E746">
      <w:start w:val="1"/>
      <w:numFmt w:val="lowerLetter"/>
      <w:lvlText w:val="%8."/>
      <w:lvlJc w:val="left"/>
      <w:pPr>
        <w:ind w:left="5760" w:hanging="360"/>
      </w:pPr>
    </w:lvl>
    <w:lvl w:ilvl="8" w:tplc="204E929C">
      <w:start w:val="1"/>
      <w:numFmt w:val="lowerRoman"/>
      <w:lvlText w:val="%9."/>
      <w:lvlJc w:val="right"/>
      <w:pPr>
        <w:ind w:left="6480" w:hanging="180"/>
      </w:pPr>
    </w:lvl>
  </w:abstractNum>
  <w:abstractNum w:abstractNumId="9" w15:restartNumberingAfterBreak="0">
    <w:nsid w:val="41720A4F"/>
    <w:multiLevelType w:val="hybridMultilevel"/>
    <w:tmpl w:val="FFFFFFFF"/>
    <w:lvl w:ilvl="0" w:tplc="40325134">
      <w:start w:val="1"/>
      <w:numFmt w:val="decimal"/>
      <w:lvlText w:val="%1."/>
      <w:lvlJc w:val="left"/>
      <w:pPr>
        <w:ind w:left="720" w:hanging="360"/>
      </w:pPr>
    </w:lvl>
    <w:lvl w:ilvl="1" w:tplc="8C7009CA">
      <w:start w:val="1"/>
      <w:numFmt w:val="lowerLetter"/>
      <w:lvlText w:val="%2."/>
      <w:lvlJc w:val="left"/>
      <w:pPr>
        <w:ind w:left="1440" w:hanging="360"/>
      </w:pPr>
    </w:lvl>
    <w:lvl w:ilvl="2" w:tplc="EEA4CE7E">
      <w:start w:val="1"/>
      <w:numFmt w:val="lowerRoman"/>
      <w:lvlText w:val="%3."/>
      <w:lvlJc w:val="right"/>
      <w:pPr>
        <w:ind w:left="2160" w:hanging="180"/>
      </w:pPr>
    </w:lvl>
    <w:lvl w:ilvl="3" w:tplc="4B741F46">
      <w:start w:val="1"/>
      <w:numFmt w:val="decimal"/>
      <w:lvlText w:val="%4."/>
      <w:lvlJc w:val="left"/>
      <w:pPr>
        <w:ind w:left="2880" w:hanging="360"/>
      </w:pPr>
    </w:lvl>
    <w:lvl w:ilvl="4" w:tplc="1E78242C">
      <w:start w:val="1"/>
      <w:numFmt w:val="lowerLetter"/>
      <w:lvlText w:val="%5."/>
      <w:lvlJc w:val="left"/>
      <w:pPr>
        <w:ind w:left="3600" w:hanging="360"/>
      </w:pPr>
    </w:lvl>
    <w:lvl w:ilvl="5" w:tplc="F8A459CE">
      <w:start w:val="1"/>
      <w:numFmt w:val="lowerRoman"/>
      <w:lvlText w:val="%6."/>
      <w:lvlJc w:val="right"/>
      <w:pPr>
        <w:ind w:left="4320" w:hanging="180"/>
      </w:pPr>
    </w:lvl>
    <w:lvl w:ilvl="6" w:tplc="B3BCE9D6">
      <w:start w:val="1"/>
      <w:numFmt w:val="decimal"/>
      <w:lvlText w:val="%7."/>
      <w:lvlJc w:val="left"/>
      <w:pPr>
        <w:ind w:left="5040" w:hanging="360"/>
      </w:pPr>
    </w:lvl>
    <w:lvl w:ilvl="7" w:tplc="5DC004E8">
      <w:start w:val="1"/>
      <w:numFmt w:val="lowerLetter"/>
      <w:lvlText w:val="%8."/>
      <w:lvlJc w:val="left"/>
      <w:pPr>
        <w:ind w:left="5760" w:hanging="360"/>
      </w:pPr>
    </w:lvl>
    <w:lvl w:ilvl="8" w:tplc="884C68D6">
      <w:start w:val="1"/>
      <w:numFmt w:val="lowerRoman"/>
      <w:lvlText w:val="%9."/>
      <w:lvlJc w:val="right"/>
      <w:pPr>
        <w:ind w:left="6480" w:hanging="180"/>
      </w:pPr>
    </w:lvl>
  </w:abstractNum>
  <w:abstractNum w:abstractNumId="10" w15:restartNumberingAfterBreak="0">
    <w:nsid w:val="44E266B3"/>
    <w:multiLevelType w:val="hybridMultilevel"/>
    <w:tmpl w:val="3F2038CC"/>
    <w:lvl w:ilvl="0" w:tplc="31BA31EE">
      <w:start w:val="1"/>
      <w:numFmt w:val="lowerRoman"/>
      <w:lvlText w:val="%1)"/>
      <w:lvlJc w:val="left"/>
      <w:pPr>
        <w:ind w:left="360" w:hanging="360"/>
      </w:pPr>
      <w:rPr>
        <w:rFonts w:ascii="Times New Roman" w:eastAsiaTheme="minorHAnsi" w:hAnsi="Times New Roman" w:cs="Times New Roman"/>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459AA807"/>
    <w:multiLevelType w:val="hybridMultilevel"/>
    <w:tmpl w:val="FFFFFFFF"/>
    <w:lvl w:ilvl="0" w:tplc="22D25D62">
      <w:start w:val="1"/>
      <w:numFmt w:val="decimal"/>
      <w:lvlText w:val="%1."/>
      <w:lvlJc w:val="left"/>
      <w:pPr>
        <w:ind w:left="720" w:hanging="360"/>
      </w:pPr>
    </w:lvl>
    <w:lvl w:ilvl="1" w:tplc="023AD190">
      <w:start w:val="1"/>
      <w:numFmt w:val="lowerLetter"/>
      <w:lvlText w:val="%2."/>
      <w:lvlJc w:val="left"/>
      <w:pPr>
        <w:ind w:left="1440" w:hanging="360"/>
      </w:pPr>
    </w:lvl>
    <w:lvl w:ilvl="2" w:tplc="2D0A53EA">
      <w:start w:val="1"/>
      <w:numFmt w:val="lowerRoman"/>
      <w:lvlText w:val="%3."/>
      <w:lvlJc w:val="right"/>
      <w:pPr>
        <w:ind w:left="2160" w:hanging="180"/>
      </w:pPr>
    </w:lvl>
    <w:lvl w:ilvl="3" w:tplc="B2747CB0">
      <w:start w:val="1"/>
      <w:numFmt w:val="decimal"/>
      <w:lvlText w:val="%4."/>
      <w:lvlJc w:val="left"/>
      <w:pPr>
        <w:ind w:left="2880" w:hanging="360"/>
      </w:pPr>
    </w:lvl>
    <w:lvl w:ilvl="4" w:tplc="DEB8CB24">
      <w:start w:val="1"/>
      <w:numFmt w:val="lowerLetter"/>
      <w:lvlText w:val="%5."/>
      <w:lvlJc w:val="left"/>
      <w:pPr>
        <w:ind w:left="3600" w:hanging="360"/>
      </w:pPr>
    </w:lvl>
    <w:lvl w:ilvl="5" w:tplc="A59AA056">
      <w:start w:val="1"/>
      <w:numFmt w:val="lowerRoman"/>
      <w:lvlText w:val="%6."/>
      <w:lvlJc w:val="right"/>
      <w:pPr>
        <w:ind w:left="4320" w:hanging="180"/>
      </w:pPr>
    </w:lvl>
    <w:lvl w:ilvl="6" w:tplc="B234F6EA">
      <w:start w:val="1"/>
      <w:numFmt w:val="decimal"/>
      <w:lvlText w:val="%7."/>
      <w:lvlJc w:val="left"/>
      <w:pPr>
        <w:ind w:left="5040" w:hanging="360"/>
      </w:pPr>
    </w:lvl>
    <w:lvl w:ilvl="7" w:tplc="18C0C06C">
      <w:start w:val="1"/>
      <w:numFmt w:val="lowerLetter"/>
      <w:lvlText w:val="%8."/>
      <w:lvlJc w:val="left"/>
      <w:pPr>
        <w:ind w:left="5760" w:hanging="360"/>
      </w:pPr>
    </w:lvl>
    <w:lvl w:ilvl="8" w:tplc="A3BCCAB8">
      <w:start w:val="1"/>
      <w:numFmt w:val="lowerRoman"/>
      <w:lvlText w:val="%9."/>
      <w:lvlJc w:val="right"/>
      <w:pPr>
        <w:ind w:left="6480" w:hanging="180"/>
      </w:pPr>
    </w:lvl>
  </w:abstractNum>
  <w:abstractNum w:abstractNumId="12" w15:restartNumberingAfterBreak="0">
    <w:nsid w:val="56A11BC2"/>
    <w:multiLevelType w:val="hybridMultilevel"/>
    <w:tmpl w:val="049893C2"/>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59A00E69"/>
    <w:multiLevelType w:val="hybridMultilevel"/>
    <w:tmpl w:val="E856E73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5C1864FA"/>
    <w:multiLevelType w:val="hybridMultilevel"/>
    <w:tmpl w:val="FFFFFFFF"/>
    <w:lvl w:ilvl="0" w:tplc="E6A875C0">
      <w:start w:val="1"/>
      <w:numFmt w:val="decimal"/>
      <w:lvlText w:val="%1."/>
      <w:lvlJc w:val="left"/>
      <w:pPr>
        <w:ind w:left="720" w:hanging="360"/>
      </w:pPr>
    </w:lvl>
    <w:lvl w:ilvl="1" w:tplc="A2400ACE">
      <w:start w:val="1"/>
      <w:numFmt w:val="lowerLetter"/>
      <w:lvlText w:val="%2."/>
      <w:lvlJc w:val="left"/>
      <w:pPr>
        <w:ind w:left="1440" w:hanging="360"/>
      </w:pPr>
    </w:lvl>
    <w:lvl w:ilvl="2" w:tplc="E00EF3A6">
      <w:start w:val="1"/>
      <w:numFmt w:val="lowerRoman"/>
      <w:lvlText w:val="%3."/>
      <w:lvlJc w:val="right"/>
      <w:pPr>
        <w:ind w:left="2160" w:hanging="180"/>
      </w:pPr>
    </w:lvl>
    <w:lvl w:ilvl="3" w:tplc="C986A8AA">
      <w:start w:val="1"/>
      <w:numFmt w:val="decimal"/>
      <w:lvlText w:val="%4."/>
      <w:lvlJc w:val="left"/>
      <w:pPr>
        <w:ind w:left="2880" w:hanging="360"/>
      </w:pPr>
    </w:lvl>
    <w:lvl w:ilvl="4" w:tplc="2FE0151C">
      <w:start w:val="1"/>
      <w:numFmt w:val="lowerLetter"/>
      <w:lvlText w:val="%5."/>
      <w:lvlJc w:val="left"/>
      <w:pPr>
        <w:ind w:left="3600" w:hanging="360"/>
      </w:pPr>
    </w:lvl>
    <w:lvl w:ilvl="5" w:tplc="3D58E330">
      <w:start w:val="1"/>
      <w:numFmt w:val="lowerRoman"/>
      <w:lvlText w:val="%6."/>
      <w:lvlJc w:val="right"/>
      <w:pPr>
        <w:ind w:left="4320" w:hanging="180"/>
      </w:pPr>
    </w:lvl>
    <w:lvl w:ilvl="6" w:tplc="6B725C7E">
      <w:start w:val="1"/>
      <w:numFmt w:val="decimal"/>
      <w:lvlText w:val="%7."/>
      <w:lvlJc w:val="left"/>
      <w:pPr>
        <w:ind w:left="5040" w:hanging="360"/>
      </w:pPr>
    </w:lvl>
    <w:lvl w:ilvl="7" w:tplc="D564E6D0">
      <w:start w:val="1"/>
      <w:numFmt w:val="lowerLetter"/>
      <w:lvlText w:val="%8."/>
      <w:lvlJc w:val="left"/>
      <w:pPr>
        <w:ind w:left="5760" w:hanging="360"/>
      </w:pPr>
    </w:lvl>
    <w:lvl w:ilvl="8" w:tplc="7BD069D0">
      <w:start w:val="1"/>
      <w:numFmt w:val="lowerRoman"/>
      <w:lvlText w:val="%9."/>
      <w:lvlJc w:val="right"/>
      <w:pPr>
        <w:ind w:left="6480" w:hanging="180"/>
      </w:pPr>
    </w:lvl>
  </w:abstractNum>
  <w:abstractNum w:abstractNumId="15" w15:restartNumberingAfterBreak="0">
    <w:nsid w:val="6028904D"/>
    <w:multiLevelType w:val="hybridMultilevel"/>
    <w:tmpl w:val="FFFFFFFF"/>
    <w:lvl w:ilvl="0" w:tplc="FBBE59BC">
      <w:start w:val="1"/>
      <w:numFmt w:val="bullet"/>
      <w:lvlText w:val=""/>
      <w:lvlJc w:val="left"/>
      <w:pPr>
        <w:ind w:left="720" w:hanging="360"/>
      </w:pPr>
    </w:lvl>
    <w:lvl w:ilvl="1" w:tplc="100862F2">
      <w:start w:val="1"/>
      <w:numFmt w:val="lowerLetter"/>
      <w:lvlText w:val="%2."/>
      <w:lvlJc w:val="left"/>
      <w:pPr>
        <w:ind w:left="1440" w:hanging="360"/>
      </w:pPr>
    </w:lvl>
    <w:lvl w:ilvl="2" w:tplc="4DBE0B94">
      <w:start w:val="1"/>
      <w:numFmt w:val="lowerRoman"/>
      <w:lvlText w:val="%3."/>
      <w:lvlJc w:val="right"/>
      <w:pPr>
        <w:ind w:left="2160" w:hanging="180"/>
      </w:pPr>
    </w:lvl>
    <w:lvl w:ilvl="3" w:tplc="75C0D482">
      <w:start w:val="1"/>
      <w:numFmt w:val="decimal"/>
      <w:lvlText w:val="%4."/>
      <w:lvlJc w:val="left"/>
      <w:pPr>
        <w:ind w:left="2880" w:hanging="360"/>
      </w:pPr>
    </w:lvl>
    <w:lvl w:ilvl="4" w:tplc="FB28B050">
      <w:start w:val="1"/>
      <w:numFmt w:val="lowerLetter"/>
      <w:lvlText w:val="%5."/>
      <w:lvlJc w:val="left"/>
      <w:pPr>
        <w:ind w:left="3600" w:hanging="360"/>
      </w:pPr>
    </w:lvl>
    <w:lvl w:ilvl="5" w:tplc="583A3766">
      <w:start w:val="1"/>
      <w:numFmt w:val="lowerRoman"/>
      <w:lvlText w:val="%6."/>
      <w:lvlJc w:val="right"/>
      <w:pPr>
        <w:ind w:left="4320" w:hanging="180"/>
      </w:pPr>
    </w:lvl>
    <w:lvl w:ilvl="6" w:tplc="D3C0F3F4">
      <w:start w:val="1"/>
      <w:numFmt w:val="decimal"/>
      <w:lvlText w:val="%7."/>
      <w:lvlJc w:val="left"/>
      <w:pPr>
        <w:ind w:left="5040" w:hanging="360"/>
      </w:pPr>
    </w:lvl>
    <w:lvl w:ilvl="7" w:tplc="73527866">
      <w:start w:val="1"/>
      <w:numFmt w:val="lowerLetter"/>
      <w:lvlText w:val="%8."/>
      <w:lvlJc w:val="left"/>
      <w:pPr>
        <w:ind w:left="5760" w:hanging="360"/>
      </w:pPr>
    </w:lvl>
    <w:lvl w:ilvl="8" w:tplc="6C2E8260">
      <w:start w:val="1"/>
      <w:numFmt w:val="lowerRoman"/>
      <w:lvlText w:val="%9."/>
      <w:lvlJc w:val="right"/>
      <w:pPr>
        <w:ind w:left="6480" w:hanging="180"/>
      </w:pPr>
    </w:lvl>
  </w:abstractNum>
  <w:abstractNum w:abstractNumId="16" w15:restartNumberingAfterBreak="0">
    <w:nsid w:val="636D3CE3"/>
    <w:multiLevelType w:val="hybridMultilevel"/>
    <w:tmpl w:val="FFFFFFFF"/>
    <w:lvl w:ilvl="0" w:tplc="0ED2CE7E">
      <w:start w:val="1"/>
      <w:numFmt w:val="decimal"/>
      <w:lvlText w:val="%1."/>
      <w:lvlJc w:val="left"/>
      <w:pPr>
        <w:ind w:left="720" w:hanging="360"/>
      </w:pPr>
    </w:lvl>
    <w:lvl w:ilvl="1" w:tplc="3922302C">
      <w:start w:val="1"/>
      <w:numFmt w:val="lowerLetter"/>
      <w:lvlText w:val="%2."/>
      <w:lvlJc w:val="left"/>
      <w:pPr>
        <w:ind w:left="1440" w:hanging="360"/>
      </w:pPr>
    </w:lvl>
    <w:lvl w:ilvl="2" w:tplc="6BA64AFE">
      <w:start w:val="1"/>
      <w:numFmt w:val="lowerRoman"/>
      <w:lvlText w:val="%3."/>
      <w:lvlJc w:val="right"/>
      <w:pPr>
        <w:ind w:left="2160" w:hanging="180"/>
      </w:pPr>
    </w:lvl>
    <w:lvl w:ilvl="3" w:tplc="6FF0AE42">
      <w:start w:val="1"/>
      <w:numFmt w:val="decimal"/>
      <w:lvlText w:val="%4."/>
      <w:lvlJc w:val="left"/>
      <w:pPr>
        <w:ind w:left="2880" w:hanging="360"/>
      </w:pPr>
    </w:lvl>
    <w:lvl w:ilvl="4" w:tplc="C0340A92">
      <w:start w:val="1"/>
      <w:numFmt w:val="lowerLetter"/>
      <w:lvlText w:val="%5."/>
      <w:lvlJc w:val="left"/>
      <w:pPr>
        <w:ind w:left="3600" w:hanging="360"/>
      </w:pPr>
    </w:lvl>
    <w:lvl w:ilvl="5" w:tplc="CA3CF05E">
      <w:start w:val="1"/>
      <w:numFmt w:val="lowerRoman"/>
      <w:lvlText w:val="%6."/>
      <w:lvlJc w:val="right"/>
      <w:pPr>
        <w:ind w:left="4320" w:hanging="180"/>
      </w:pPr>
    </w:lvl>
    <w:lvl w:ilvl="6" w:tplc="F6FAA09C">
      <w:start w:val="1"/>
      <w:numFmt w:val="decimal"/>
      <w:lvlText w:val="%7."/>
      <w:lvlJc w:val="left"/>
      <w:pPr>
        <w:ind w:left="5040" w:hanging="360"/>
      </w:pPr>
    </w:lvl>
    <w:lvl w:ilvl="7" w:tplc="F6DACD52">
      <w:start w:val="1"/>
      <w:numFmt w:val="lowerLetter"/>
      <w:lvlText w:val="%8."/>
      <w:lvlJc w:val="left"/>
      <w:pPr>
        <w:ind w:left="5760" w:hanging="360"/>
      </w:pPr>
    </w:lvl>
    <w:lvl w:ilvl="8" w:tplc="49C6A45C">
      <w:start w:val="1"/>
      <w:numFmt w:val="lowerRoman"/>
      <w:lvlText w:val="%9."/>
      <w:lvlJc w:val="right"/>
      <w:pPr>
        <w:ind w:left="6480" w:hanging="180"/>
      </w:pPr>
    </w:lvl>
  </w:abstractNum>
  <w:abstractNum w:abstractNumId="17" w15:restartNumberingAfterBreak="0">
    <w:nsid w:val="63DAA7EB"/>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8" w15:restartNumberingAfterBreak="0">
    <w:nsid w:val="657743D8"/>
    <w:multiLevelType w:val="hybridMultilevel"/>
    <w:tmpl w:val="273C8D72"/>
    <w:lvl w:ilvl="0" w:tplc="1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8111DA8"/>
    <w:multiLevelType w:val="hybridMultilevel"/>
    <w:tmpl w:val="2CECCB2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760560AC"/>
    <w:multiLevelType w:val="hybridMultilevel"/>
    <w:tmpl w:val="FFFFFFFF"/>
    <w:lvl w:ilvl="0" w:tplc="D4263B6E">
      <w:start w:val="1"/>
      <w:numFmt w:val="decimal"/>
      <w:lvlText w:val="%1."/>
      <w:lvlJc w:val="left"/>
      <w:pPr>
        <w:ind w:left="720" w:hanging="360"/>
      </w:pPr>
    </w:lvl>
    <w:lvl w:ilvl="1" w:tplc="6204BF80">
      <w:start w:val="1"/>
      <w:numFmt w:val="lowerLetter"/>
      <w:lvlText w:val="%2."/>
      <w:lvlJc w:val="left"/>
      <w:pPr>
        <w:ind w:left="1440" w:hanging="360"/>
      </w:pPr>
    </w:lvl>
    <w:lvl w:ilvl="2" w:tplc="017AEF78">
      <w:start w:val="1"/>
      <w:numFmt w:val="lowerRoman"/>
      <w:lvlText w:val="%3."/>
      <w:lvlJc w:val="right"/>
      <w:pPr>
        <w:ind w:left="2160" w:hanging="180"/>
      </w:pPr>
    </w:lvl>
    <w:lvl w:ilvl="3" w:tplc="8A10110C">
      <w:start w:val="1"/>
      <w:numFmt w:val="decimal"/>
      <w:lvlText w:val="%4."/>
      <w:lvlJc w:val="left"/>
      <w:pPr>
        <w:ind w:left="2880" w:hanging="360"/>
      </w:pPr>
    </w:lvl>
    <w:lvl w:ilvl="4" w:tplc="6E8670F6">
      <w:start w:val="1"/>
      <w:numFmt w:val="lowerLetter"/>
      <w:lvlText w:val="%5."/>
      <w:lvlJc w:val="left"/>
      <w:pPr>
        <w:ind w:left="3600" w:hanging="360"/>
      </w:pPr>
    </w:lvl>
    <w:lvl w:ilvl="5" w:tplc="F6D8785C">
      <w:start w:val="1"/>
      <w:numFmt w:val="lowerRoman"/>
      <w:lvlText w:val="%6."/>
      <w:lvlJc w:val="right"/>
      <w:pPr>
        <w:ind w:left="4320" w:hanging="180"/>
      </w:pPr>
    </w:lvl>
    <w:lvl w:ilvl="6" w:tplc="C43E0FB6">
      <w:start w:val="1"/>
      <w:numFmt w:val="decimal"/>
      <w:lvlText w:val="%7."/>
      <w:lvlJc w:val="left"/>
      <w:pPr>
        <w:ind w:left="5040" w:hanging="360"/>
      </w:pPr>
    </w:lvl>
    <w:lvl w:ilvl="7" w:tplc="26329EC8">
      <w:start w:val="1"/>
      <w:numFmt w:val="lowerLetter"/>
      <w:lvlText w:val="%8."/>
      <w:lvlJc w:val="left"/>
      <w:pPr>
        <w:ind w:left="5760" w:hanging="360"/>
      </w:pPr>
    </w:lvl>
    <w:lvl w:ilvl="8" w:tplc="C6069046">
      <w:start w:val="1"/>
      <w:numFmt w:val="lowerRoman"/>
      <w:lvlText w:val="%9."/>
      <w:lvlJc w:val="right"/>
      <w:pPr>
        <w:ind w:left="6480" w:hanging="180"/>
      </w:pPr>
    </w:lvl>
  </w:abstractNum>
  <w:abstractNum w:abstractNumId="21" w15:restartNumberingAfterBreak="0">
    <w:nsid w:val="7C65145E"/>
    <w:multiLevelType w:val="multilevel"/>
    <w:tmpl w:val="A60A4B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601"/>
      </w:pPr>
      <w:rPr>
        <w:rFonts w:ascii="Times New Roman" w:hAnsi="Times New Roman" w:cs="Times New Roman" w:hint="default"/>
        <w:sz w:val="22"/>
      </w:rPr>
    </w:lvl>
    <w:lvl w:ilvl="2">
      <w:start w:val="1"/>
      <w:numFmt w:val="decimal"/>
      <w:pStyle w:val="Heading3"/>
      <w:lvlText w:val="%1.%2.%3."/>
      <w:lvlJc w:val="left"/>
      <w:pPr>
        <w:tabs>
          <w:tab w:val="num" w:pos="1922"/>
        </w:tabs>
        <w:ind w:left="1922" w:hanging="839"/>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num w:numId="1">
    <w:abstractNumId w:val="4"/>
  </w:num>
  <w:num w:numId="2">
    <w:abstractNumId w:val="20"/>
  </w:num>
  <w:num w:numId="3">
    <w:abstractNumId w:val="16"/>
  </w:num>
  <w:num w:numId="4">
    <w:abstractNumId w:val="9"/>
  </w:num>
  <w:num w:numId="5">
    <w:abstractNumId w:val="11"/>
  </w:num>
  <w:num w:numId="6">
    <w:abstractNumId w:val="14"/>
  </w:num>
  <w:num w:numId="7">
    <w:abstractNumId w:val="2"/>
  </w:num>
  <w:num w:numId="8">
    <w:abstractNumId w:val="17"/>
  </w:num>
  <w:num w:numId="9">
    <w:abstractNumId w:val="15"/>
  </w:num>
  <w:num w:numId="10">
    <w:abstractNumId w:val="8"/>
  </w:num>
  <w:num w:numId="11">
    <w:abstractNumId w:val="21"/>
  </w:num>
  <w:num w:numId="12">
    <w:abstractNumId w:val="10"/>
  </w:num>
  <w:num w:numId="13">
    <w:abstractNumId w:val="7"/>
  </w:num>
  <w:num w:numId="14">
    <w:abstractNumId w:val="6"/>
  </w:num>
  <w:num w:numId="15">
    <w:abstractNumId w:val="18"/>
  </w:num>
  <w:num w:numId="16">
    <w:abstractNumId w:val="21"/>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5"/>
  </w:num>
  <w:num w:numId="20">
    <w:abstractNumId w:val="19"/>
  </w:num>
  <w:num w:numId="21">
    <w:abstractNumId w:val="21"/>
  </w:num>
  <w:num w:numId="22">
    <w:abstractNumId w:val="21"/>
  </w:num>
  <w:num w:numId="23">
    <w:abstractNumId w:val="0"/>
  </w:num>
  <w:num w:numId="24">
    <w:abstractNumId w:val="21"/>
  </w:num>
  <w:num w:numId="25">
    <w:abstractNumId w:val="21"/>
  </w:num>
  <w:num w:numId="26">
    <w:abstractNumId w:val="13"/>
  </w:num>
  <w:num w:numId="27">
    <w:abstractNumId w:val="3"/>
  </w:num>
  <w:num w:numId="28">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2402681B-2D5E-4091-9DE0-E38B3FE21899"/>
    <w:docVar w:name="LW_COVERPAGE_TYPE" w:val="1"/>
    <w:docVar w:name="LW_CROSSREFERENCE" w:val="&lt;UNUSED&gt;"/>
    <w:docVar w:name="LW_DocType" w:val="NORMAL"/>
    <w:docVar w:name="LW_EMISSION" w:val="24.1.2024"/>
    <w:docVar w:name="LW_EMISSION_ISODATE" w:val="2024-01-24"/>
    <w:docVar w:name="LW_EMISSION_LOCATION" w:val="BRX"/>
    <w:docVar w:name="LW_EMISSION_PREFIX" w:val="Bruxelles, "/>
    <w:docVar w:name="LW_EMISSION_SUFFIX" w:val=" "/>
    <w:docVar w:name="LW_ID_DOCTYPE_NONLW" w:val="CP-006"/>
    <w:docVar w:name="LW_LANGUE" w:val="RO"/>
    <w:docVar w:name="LW_LEVEL_OF_SENSITIVITY" w:val="Standard treatment"/>
    <w:docVar w:name="LW_NOM.INST" w:val="COMISIA EUROPEAN\u258?"/>
    <w:docVar w:name="LW_NOM.INST_JOINTDOC" w:val="&lt;EMPTY&gt;"/>
    <w:docVar w:name="LW_PART_NBR" w:val="1"/>
    <w:docVar w:name="LW_PART_NBR_TOTAL" w:val="1"/>
    <w:docVar w:name="LW_REF.INST.NEW" w:val="COM"/>
    <w:docVar w:name="LW_REF.INST.NEW_ADOPTED" w:val="final"/>
    <w:docVar w:name="LW_REF.INST.NEW_TEXT" w:val="(2024) 21"/>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privind analiza macropruden\u539?ial\u259? pentru institu\u539?iile de credit, riscurile sistemice legate de intermediarii financiari nebancari \u537?i interconectarea acestora cu institu\u539?iile de credit, în temeiul articolului 513 din Regulamentul privind cerin\u539?ele pruden\u539?iale pentru institu\u539?iile de credit \u537?i de modificare a Regulamentului (UE) nr. 648/2012"/>
    <w:docVar w:name="LW_TYPE.DOC.CP" w:val="RAPORT AL COMISIEI C\u258?TRE PARLAMENTUL EUROPEAN \u536?I CONSILIU"/>
    <w:docVar w:name="LwApiVersions" w:val="LW4CoDe 1.24.4.0; LW 9.0, Build 20240125"/>
  </w:docVars>
  <w:rsids>
    <w:rsidRoot w:val="00E6448C"/>
    <w:rsid w:val="000000FC"/>
    <w:rsid w:val="000002F8"/>
    <w:rsid w:val="000005AF"/>
    <w:rsid w:val="000005B0"/>
    <w:rsid w:val="0000076D"/>
    <w:rsid w:val="00000C3C"/>
    <w:rsid w:val="00000DD2"/>
    <w:rsid w:val="000010F3"/>
    <w:rsid w:val="0000137A"/>
    <w:rsid w:val="00001396"/>
    <w:rsid w:val="00001410"/>
    <w:rsid w:val="00001767"/>
    <w:rsid w:val="000018DB"/>
    <w:rsid w:val="00001966"/>
    <w:rsid w:val="00001C15"/>
    <w:rsid w:val="00001E92"/>
    <w:rsid w:val="000025D5"/>
    <w:rsid w:val="0000266C"/>
    <w:rsid w:val="00002BBD"/>
    <w:rsid w:val="00002C82"/>
    <w:rsid w:val="00002DEB"/>
    <w:rsid w:val="00002EFA"/>
    <w:rsid w:val="000030F5"/>
    <w:rsid w:val="00003506"/>
    <w:rsid w:val="00003594"/>
    <w:rsid w:val="0000368C"/>
    <w:rsid w:val="00003C4E"/>
    <w:rsid w:val="00003EF9"/>
    <w:rsid w:val="00004006"/>
    <w:rsid w:val="00004058"/>
    <w:rsid w:val="00004097"/>
    <w:rsid w:val="00004107"/>
    <w:rsid w:val="000041A0"/>
    <w:rsid w:val="0000431D"/>
    <w:rsid w:val="000043B6"/>
    <w:rsid w:val="0000442F"/>
    <w:rsid w:val="000044F5"/>
    <w:rsid w:val="0000457B"/>
    <w:rsid w:val="000046C3"/>
    <w:rsid w:val="0000472B"/>
    <w:rsid w:val="00004F2B"/>
    <w:rsid w:val="00005216"/>
    <w:rsid w:val="000059F9"/>
    <w:rsid w:val="00005AA4"/>
    <w:rsid w:val="00005AFE"/>
    <w:rsid w:val="00005DFD"/>
    <w:rsid w:val="00005FB0"/>
    <w:rsid w:val="00006AE8"/>
    <w:rsid w:val="00006BDD"/>
    <w:rsid w:val="00006D1F"/>
    <w:rsid w:val="00006FC2"/>
    <w:rsid w:val="0000722B"/>
    <w:rsid w:val="00007555"/>
    <w:rsid w:val="0000767B"/>
    <w:rsid w:val="0000788A"/>
    <w:rsid w:val="00007988"/>
    <w:rsid w:val="00007AD7"/>
    <w:rsid w:val="00007B6F"/>
    <w:rsid w:val="00007DFB"/>
    <w:rsid w:val="00007EAA"/>
    <w:rsid w:val="000101F9"/>
    <w:rsid w:val="0001031C"/>
    <w:rsid w:val="000105E7"/>
    <w:rsid w:val="00010700"/>
    <w:rsid w:val="00010D25"/>
    <w:rsid w:val="00010D32"/>
    <w:rsid w:val="00010FB3"/>
    <w:rsid w:val="00011050"/>
    <w:rsid w:val="00011086"/>
    <w:rsid w:val="00011166"/>
    <w:rsid w:val="00011407"/>
    <w:rsid w:val="000115D7"/>
    <w:rsid w:val="000115E9"/>
    <w:rsid w:val="00011B30"/>
    <w:rsid w:val="00011BCE"/>
    <w:rsid w:val="00011D01"/>
    <w:rsid w:val="00011D63"/>
    <w:rsid w:val="00012296"/>
    <w:rsid w:val="00012789"/>
    <w:rsid w:val="0001281D"/>
    <w:rsid w:val="000128A3"/>
    <w:rsid w:val="00012B24"/>
    <w:rsid w:val="00012B5E"/>
    <w:rsid w:val="0001370B"/>
    <w:rsid w:val="000138A5"/>
    <w:rsid w:val="00013D31"/>
    <w:rsid w:val="00014208"/>
    <w:rsid w:val="00014652"/>
    <w:rsid w:val="0001485F"/>
    <w:rsid w:val="000148A3"/>
    <w:rsid w:val="000148D2"/>
    <w:rsid w:val="00014BB6"/>
    <w:rsid w:val="00014CD9"/>
    <w:rsid w:val="000152B6"/>
    <w:rsid w:val="000152BF"/>
    <w:rsid w:val="000158D0"/>
    <w:rsid w:val="000158F1"/>
    <w:rsid w:val="00015DB3"/>
    <w:rsid w:val="00015EE8"/>
    <w:rsid w:val="0001666C"/>
    <w:rsid w:val="00016A80"/>
    <w:rsid w:val="00016B78"/>
    <w:rsid w:val="00016BF0"/>
    <w:rsid w:val="00016CAA"/>
    <w:rsid w:val="00016FAE"/>
    <w:rsid w:val="00017188"/>
    <w:rsid w:val="00017358"/>
    <w:rsid w:val="000174D7"/>
    <w:rsid w:val="000175DF"/>
    <w:rsid w:val="000176E0"/>
    <w:rsid w:val="00017CD3"/>
    <w:rsid w:val="00020203"/>
    <w:rsid w:val="000202DC"/>
    <w:rsid w:val="000204CE"/>
    <w:rsid w:val="00020664"/>
    <w:rsid w:val="000208C1"/>
    <w:rsid w:val="00020ADD"/>
    <w:rsid w:val="00020CDE"/>
    <w:rsid w:val="00020D96"/>
    <w:rsid w:val="00020E2B"/>
    <w:rsid w:val="000210BD"/>
    <w:rsid w:val="0002115D"/>
    <w:rsid w:val="000211D6"/>
    <w:rsid w:val="00021278"/>
    <w:rsid w:val="000212A5"/>
    <w:rsid w:val="00021972"/>
    <w:rsid w:val="000219DD"/>
    <w:rsid w:val="00022321"/>
    <w:rsid w:val="00022572"/>
    <w:rsid w:val="000230A8"/>
    <w:rsid w:val="00023113"/>
    <w:rsid w:val="00023992"/>
    <w:rsid w:val="00023A4C"/>
    <w:rsid w:val="00023EB2"/>
    <w:rsid w:val="00024692"/>
    <w:rsid w:val="0002488A"/>
    <w:rsid w:val="00024F71"/>
    <w:rsid w:val="000251AE"/>
    <w:rsid w:val="000254FA"/>
    <w:rsid w:val="000256D3"/>
    <w:rsid w:val="000259E2"/>
    <w:rsid w:val="00025ACE"/>
    <w:rsid w:val="00025FA4"/>
    <w:rsid w:val="00026213"/>
    <w:rsid w:val="00026332"/>
    <w:rsid w:val="000264D1"/>
    <w:rsid w:val="00026720"/>
    <w:rsid w:val="00026A9E"/>
    <w:rsid w:val="000273ED"/>
    <w:rsid w:val="0002794B"/>
    <w:rsid w:val="00027A50"/>
    <w:rsid w:val="00027C2A"/>
    <w:rsid w:val="00027C34"/>
    <w:rsid w:val="000300D7"/>
    <w:rsid w:val="00030750"/>
    <w:rsid w:val="00030964"/>
    <w:rsid w:val="00030AE1"/>
    <w:rsid w:val="00031251"/>
    <w:rsid w:val="00031EBB"/>
    <w:rsid w:val="000320CC"/>
    <w:rsid w:val="00032343"/>
    <w:rsid w:val="00032379"/>
    <w:rsid w:val="000323E0"/>
    <w:rsid w:val="00032403"/>
    <w:rsid w:val="000324CD"/>
    <w:rsid w:val="00032648"/>
    <w:rsid w:val="00032753"/>
    <w:rsid w:val="00032991"/>
    <w:rsid w:val="00032CA4"/>
    <w:rsid w:val="00032E8B"/>
    <w:rsid w:val="00032ED5"/>
    <w:rsid w:val="00033356"/>
    <w:rsid w:val="0003362B"/>
    <w:rsid w:val="000337C2"/>
    <w:rsid w:val="00033B55"/>
    <w:rsid w:val="00033D39"/>
    <w:rsid w:val="000340C1"/>
    <w:rsid w:val="000341FA"/>
    <w:rsid w:val="000342C7"/>
    <w:rsid w:val="00034356"/>
    <w:rsid w:val="000343E4"/>
    <w:rsid w:val="0003446A"/>
    <w:rsid w:val="00034689"/>
    <w:rsid w:val="000349F9"/>
    <w:rsid w:val="00034B5C"/>
    <w:rsid w:val="00034CEF"/>
    <w:rsid w:val="00034D9A"/>
    <w:rsid w:val="0003508A"/>
    <w:rsid w:val="00035168"/>
    <w:rsid w:val="000351BE"/>
    <w:rsid w:val="000357DD"/>
    <w:rsid w:val="00035DE3"/>
    <w:rsid w:val="00035E57"/>
    <w:rsid w:val="00036483"/>
    <w:rsid w:val="000364E5"/>
    <w:rsid w:val="0003651A"/>
    <w:rsid w:val="000366AF"/>
    <w:rsid w:val="0003687E"/>
    <w:rsid w:val="000368C2"/>
    <w:rsid w:val="00036A63"/>
    <w:rsid w:val="00037103"/>
    <w:rsid w:val="00037423"/>
    <w:rsid w:val="00037606"/>
    <w:rsid w:val="00037821"/>
    <w:rsid w:val="00037929"/>
    <w:rsid w:val="0003792E"/>
    <w:rsid w:val="00037C0C"/>
    <w:rsid w:val="00037CD5"/>
    <w:rsid w:val="0004005A"/>
    <w:rsid w:val="000402F9"/>
    <w:rsid w:val="000407A2"/>
    <w:rsid w:val="00040829"/>
    <w:rsid w:val="000409E7"/>
    <w:rsid w:val="00040F01"/>
    <w:rsid w:val="0004123D"/>
    <w:rsid w:val="0004179D"/>
    <w:rsid w:val="000417D9"/>
    <w:rsid w:val="00041848"/>
    <w:rsid w:val="00041A5C"/>
    <w:rsid w:val="00041B5A"/>
    <w:rsid w:val="00041C99"/>
    <w:rsid w:val="00041E69"/>
    <w:rsid w:val="000421CA"/>
    <w:rsid w:val="00042282"/>
    <w:rsid w:val="00042474"/>
    <w:rsid w:val="000427C3"/>
    <w:rsid w:val="00042988"/>
    <w:rsid w:val="00042C28"/>
    <w:rsid w:val="00042F07"/>
    <w:rsid w:val="00042F69"/>
    <w:rsid w:val="00042FA6"/>
    <w:rsid w:val="0004302C"/>
    <w:rsid w:val="00043517"/>
    <w:rsid w:val="0004362E"/>
    <w:rsid w:val="00043890"/>
    <w:rsid w:val="00043EC2"/>
    <w:rsid w:val="000444CF"/>
    <w:rsid w:val="000446B5"/>
    <w:rsid w:val="000448A6"/>
    <w:rsid w:val="00044AE7"/>
    <w:rsid w:val="00044E36"/>
    <w:rsid w:val="00045077"/>
    <w:rsid w:val="000453F0"/>
    <w:rsid w:val="0004545B"/>
    <w:rsid w:val="00045ACC"/>
    <w:rsid w:val="00045BF9"/>
    <w:rsid w:val="00045BFE"/>
    <w:rsid w:val="0004626C"/>
    <w:rsid w:val="00046360"/>
    <w:rsid w:val="00046606"/>
    <w:rsid w:val="000466E6"/>
    <w:rsid w:val="00046810"/>
    <w:rsid w:val="00046E56"/>
    <w:rsid w:val="0004719A"/>
    <w:rsid w:val="00047446"/>
    <w:rsid w:val="00047C32"/>
    <w:rsid w:val="00047D37"/>
    <w:rsid w:val="00047EE8"/>
    <w:rsid w:val="00050D9B"/>
    <w:rsid w:val="00050F00"/>
    <w:rsid w:val="00050F4A"/>
    <w:rsid w:val="00050F62"/>
    <w:rsid w:val="0005128A"/>
    <w:rsid w:val="0005134C"/>
    <w:rsid w:val="0005171C"/>
    <w:rsid w:val="0005209E"/>
    <w:rsid w:val="000520BC"/>
    <w:rsid w:val="00052137"/>
    <w:rsid w:val="000523BC"/>
    <w:rsid w:val="00052825"/>
    <w:rsid w:val="000529BE"/>
    <w:rsid w:val="00052AB1"/>
    <w:rsid w:val="00053193"/>
    <w:rsid w:val="00053348"/>
    <w:rsid w:val="00053762"/>
    <w:rsid w:val="00054184"/>
    <w:rsid w:val="00054190"/>
    <w:rsid w:val="000541C4"/>
    <w:rsid w:val="000544D4"/>
    <w:rsid w:val="0005472F"/>
    <w:rsid w:val="00054A34"/>
    <w:rsid w:val="0005527D"/>
    <w:rsid w:val="00055533"/>
    <w:rsid w:val="0005556D"/>
    <w:rsid w:val="00055660"/>
    <w:rsid w:val="00055811"/>
    <w:rsid w:val="00055A64"/>
    <w:rsid w:val="000560FF"/>
    <w:rsid w:val="00056503"/>
    <w:rsid w:val="00056700"/>
    <w:rsid w:val="000568D6"/>
    <w:rsid w:val="00056CE6"/>
    <w:rsid w:val="000570E2"/>
    <w:rsid w:val="000574E9"/>
    <w:rsid w:val="00057512"/>
    <w:rsid w:val="00057BDC"/>
    <w:rsid w:val="00057D25"/>
    <w:rsid w:val="00060253"/>
    <w:rsid w:val="000602FE"/>
    <w:rsid w:val="00060799"/>
    <w:rsid w:val="000609A7"/>
    <w:rsid w:val="00060A4D"/>
    <w:rsid w:val="00060AB7"/>
    <w:rsid w:val="00060ABB"/>
    <w:rsid w:val="00060ADE"/>
    <w:rsid w:val="00060AFF"/>
    <w:rsid w:val="00060FA4"/>
    <w:rsid w:val="000612A5"/>
    <w:rsid w:val="000614B2"/>
    <w:rsid w:val="000618F9"/>
    <w:rsid w:val="00061B28"/>
    <w:rsid w:val="00061C58"/>
    <w:rsid w:val="00061C68"/>
    <w:rsid w:val="00061FFE"/>
    <w:rsid w:val="0006208E"/>
    <w:rsid w:val="0006248D"/>
    <w:rsid w:val="0006254A"/>
    <w:rsid w:val="00062ADF"/>
    <w:rsid w:val="00062BDC"/>
    <w:rsid w:val="00062EFD"/>
    <w:rsid w:val="0006306F"/>
    <w:rsid w:val="000630B8"/>
    <w:rsid w:val="000631AA"/>
    <w:rsid w:val="000632BC"/>
    <w:rsid w:val="000636FC"/>
    <w:rsid w:val="00063864"/>
    <w:rsid w:val="00063881"/>
    <w:rsid w:val="0006397C"/>
    <w:rsid w:val="00063C83"/>
    <w:rsid w:val="000640BE"/>
    <w:rsid w:val="00064914"/>
    <w:rsid w:val="00064DA5"/>
    <w:rsid w:val="00064E99"/>
    <w:rsid w:val="00064F34"/>
    <w:rsid w:val="000652D1"/>
    <w:rsid w:val="0006555F"/>
    <w:rsid w:val="00065C94"/>
    <w:rsid w:val="00065CC5"/>
    <w:rsid w:val="0006603C"/>
    <w:rsid w:val="00066102"/>
    <w:rsid w:val="000668D2"/>
    <w:rsid w:val="000668D3"/>
    <w:rsid w:val="00066BA3"/>
    <w:rsid w:val="00067050"/>
    <w:rsid w:val="000671EB"/>
    <w:rsid w:val="000679B6"/>
    <w:rsid w:val="00067C66"/>
    <w:rsid w:val="00067F78"/>
    <w:rsid w:val="00070146"/>
    <w:rsid w:val="00070584"/>
    <w:rsid w:val="00070758"/>
    <w:rsid w:val="00070921"/>
    <w:rsid w:val="000709EE"/>
    <w:rsid w:val="00070C73"/>
    <w:rsid w:val="00070DF9"/>
    <w:rsid w:val="00070EF2"/>
    <w:rsid w:val="000710F4"/>
    <w:rsid w:val="00071644"/>
    <w:rsid w:val="000722A8"/>
    <w:rsid w:val="00072477"/>
    <w:rsid w:val="00072530"/>
    <w:rsid w:val="00072C7B"/>
    <w:rsid w:val="00072CAE"/>
    <w:rsid w:val="00072DFD"/>
    <w:rsid w:val="00072E6E"/>
    <w:rsid w:val="00073315"/>
    <w:rsid w:val="0007359C"/>
    <w:rsid w:val="00073988"/>
    <w:rsid w:val="000739E2"/>
    <w:rsid w:val="00073A5B"/>
    <w:rsid w:val="00073F45"/>
    <w:rsid w:val="000740BB"/>
    <w:rsid w:val="00074127"/>
    <w:rsid w:val="0007431B"/>
    <w:rsid w:val="00074E48"/>
    <w:rsid w:val="000754A8"/>
    <w:rsid w:val="000759F4"/>
    <w:rsid w:val="00075A2B"/>
    <w:rsid w:val="00075AED"/>
    <w:rsid w:val="00075BAA"/>
    <w:rsid w:val="00075F1F"/>
    <w:rsid w:val="0007690B"/>
    <w:rsid w:val="000769B2"/>
    <w:rsid w:val="00076D82"/>
    <w:rsid w:val="00076EF4"/>
    <w:rsid w:val="00077125"/>
    <w:rsid w:val="00077470"/>
    <w:rsid w:val="0007781A"/>
    <w:rsid w:val="0007792F"/>
    <w:rsid w:val="00077C1E"/>
    <w:rsid w:val="00077D10"/>
    <w:rsid w:val="00077DCE"/>
    <w:rsid w:val="00080160"/>
    <w:rsid w:val="0008023C"/>
    <w:rsid w:val="000803CF"/>
    <w:rsid w:val="0008063F"/>
    <w:rsid w:val="000807A0"/>
    <w:rsid w:val="00080B08"/>
    <w:rsid w:val="00081052"/>
    <w:rsid w:val="000810C5"/>
    <w:rsid w:val="00081316"/>
    <w:rsid w:val="0008137A"/>
    <w:rsid w:val="000817A9"/>
    <w:rsid w:val="00081E36"/>
    <w:rsid w:val="000820E8"/>
    <w:rsid w:val="0008210E"/>
    <w:rsid w:val="00082343"/>
    <w:rsid w:val="0008241A"/>
    <w:rsid w:val="00082447"/>
    <w:rsid w:val="00082686"/>
    <w:rsid w:val="00082692"/>
    <w:rsid w:val="00082B38"/>
    <w:rsid w:val="00082CCF"/>
    <w:rsid w:val="00082F30"/>
    <w:rsid w:val="00083039"/>
    <w:rsid w:val="00083065"/>
    <w:rsid w:val="00083177"/>
    <w:rsid w:val="00083633"/>
    <w:rsid w:val="00083959"/>
    <w:rsid w:val="00083EE2"/>
    <w:rsid w:val="0008417D"/>
    <w:rsid w:val="00084296"/>
    <w:rsid w:val="00084475"/>
    <w:rsid w:val="00084888"/>
    <w:rsid w:val="00084B8F"/>
    <w:rsid w:val="00084BF3"/>
    <w:rsid w:val="00085218"/>
    <w:rsid w:val="00085285"/>
    <w:rsid w:val="000852C5"/>
    <w:rsid w:val="0008551D"/>
    <w:rsid w:val="000855A3"/>
    <w:rsid w:val="00085A1D"/>
    <w:rsid w:val="00085D80"/>
    <w:rsid w:val="000860A1"/>
    <w:rsid w:val="00086143"/>
    <w:rsid w:val="000861D2"/>
    <w:rsid w:val="0008648F"/>
    <w:rsid w:val="000864A8"/>
    <w:rsid w:val="00086591"/>
    <w:rsid w:val="000865B9"/>
    <w:rsid w:val="000868FD"/>
    <w:rsid w:val="00086F72"/>
    <w:rsid w:val="00087413"/>
    <w:rsid w:val="0008764D"/>
    <w:rsid w:val="0008774B"/>
    <w:rsid w:val="000877FC"/>
    <w:rsid w:val="00087BE4"/>
    <w:rsid w:val="00087D16"/>
    <w:rsid w:val="00087E24"/>
    <w:rsid w:val="000905D1"/>
    <w:rsid w:val="000906F0"/>
    <w:rsid w:val="000907B5"/>
    <w:rsid w:val="00090C0D"/>
    <w:rsid w:val="00090D04"/>
    <w:rsid w:val="0009109F"/>
    <w:rsid w:val="00091606"/>
    <w:rsid w:val="00091715"/>
    <w:rsid w:val="000920AF"/>
    <w:rsid w:val="00092193"/>
    <w:rsid w:val="000922E9"/>
    <w:rsid w:val="0009235A"/>
    <w:rsid w:val="0009244D"/>
    <w:rsid w:val="00092713"/>
    <w:rsid w:val="00092776"/>
    <w:rsid w:val="00092A33"/>
    <w:rsid w:val="00092AC0"/>
    <w:rsid w:val="00092B1B"/>
    <w:rsid w:val="0009312D"/>
    <w:rsid w:val="0009322A"/>
    <w:rsid w:val="000934D1"/>
    <w:rsid w:val="00093611"/>
    <w:rsid w:val="00093B04"/>
    <w:rsid w:val="00093BEA"/>
    <w:rsid w:val="0009409E"/>
    <w:rsid w:val="00094315"/>
    <w:rsid w:val="0009469F"/>
    <w:rsid w:val="00094826"/>
    <w:rsid w:val="000950CE"/>
    <w:rsid w:val="000950D7"/>
    <w:rsid w:val="00095268"/>
    <w:rsid w:val="0009534D"/>
    <w:rsid w:val="00095440"/>
    <w:rsid w:val="00095481"/>
    <w:rsid w:val="0009558A"/>
    <w:rsid w:val="0009596D"/>
    <w:rsid w:val="00095B6B"/>
    <w:rsid w:val="0009618E"/>
    <w:rsid w:val="000965AB"/>
    <w:rsid w:val="000967A5"/>
    <w:rsid w:val="00096B0B"/>
    <w:rsid w:val="00096B2B"/>
    <w:rsid w:val="00096F3D"/>
    <w:rsid w:val="00097026"/>
    <w:rsid w:val="00097348"/>
    <w:rsid w:val="00097804"/>
    <w:rsid w:val="0009798D"/>
    <w:rsid w:val="0009799F"/>
    <w:rsid w:val="00097A5B"/>
    <w:rsid w:val="000A0022"/>
    <w:rsid w:val="000A00EE"/>
    <w:rsid w:val="000A023C"/>
    <w:rsid w:val="000A03CD"/>
    <w:rsid w:val="000A043A"/>
    <w:rsid w:val="000A0F08"/>
    <w:rsid w:val="000A1604"/>
    <w:rsid w:val="000A1731"/>
    <w:rsid w:val="000A19B0"/>
    <w:rsid w:val="000A1B7A"/>
    <w:rsid w:val="000A1BDA"/>
    <w:rsid w:val="000A2B06"/>
    <w:rsid w:val="000A2B95"/>
    <w:rsid w:val="000A3068"/>
    <w:rsid w:val="000A3459"/>
    <w:rsid w:val="000A37F8"/>
    <w:rsid w:val="000A3D0D"/>
    <w:rsid w:val="000A3FD9"/>
    <w:rsid w:val="000A4B34"/>
    <w:rsid w:val="000A4CBD"/>
    <w:rsid w:val="000A4E3E"/>
    <w:rsid w:val="000A4E4F"/>
    <w:rsid w:val="000A58BE"/>
    <w:rsid w:val="000A5924"/>
    <w:rsid w:val="000A5950"/>
    <w:rsid w:val="000A5FDA"/>
    <w:rsid w:val="000A613F"/>
    <w:rsid w:val="000A6395"/>
    <w:rsid w:val="000A63DB"/>
    <w:rsid w:val="000A656A"/>
    <w:rsid w:val="000A67D1"/>
    <w:rsid w:val="000A67F7"/>
    <w:rsid w:val="000A6B9E"/>
    <w:rsid w:val="000A71E1"/>
    <w:rsid w:val="000A751D"/>
    <w:rsid w:val="000A75A4"/>
    <w:rsid w:val="000A7721"/>
    <w:rsid w:val="000A7966"/>
    <w:rsid w:val="000A7F23"/>
    <w:rsid w:val="000B02A1"/>
    <w:rsid w:val="000B0380"/>
    <w:rsid w:val="000B0385"/>
    <w:rsid w:val="000B0772"/>
    <w:rsid w:val="000B0A4C"/>
    <w:rsid w:val="000B11F5"/>
    <w:rsid w:val="000B13DC"/>
    <w:rsid w:val="000B14F9"/>
    <w:rsid w:val="000B151D"/>
    <w:rsid w:val="000B1585"/>
    <w:rsid w:val="000B1702"/>
    <w:rsid w:val="000B1D8A"/>
    <w:rsid w:val="000B2123"/>
    <w:rsid w:val="000B273C"/>
    <w:rsid w:val="000B2907"/>
    <w:rsid w:val="000B2D5F"/>
    <w:rsid w:val="000B35CC"/>
    <w:rsid w:val="000B38D7"/>
    <w:rsid w:val="000B394E"/>
    <w:rsid w:val="000B3C04"/>
    <w:rsid w:val="000B3C85"/>
    <w:rsid w:val="000B3D5E"/>
    <w:rsid w:val="000B3DE4"/>
    <w:rsid w:val="000B3DF5"/>
    <w:rsid w:val="000B4589"/>
    <w:rsid w:val="000B4760"/>
    <w:rsid w:val="000B4784"/>
    <w:rsid w:val="000B4794"/>
    <w:rsid w:val="000B4B23"/>
    <w:rsid w:val="000B4F7E"/>
    <w:rsid w:val="000B53EE"/>
    <w:rsid w:val="000B5526"/>
    <w:rsid w:val="000B5A46"/>
    <w:rsid w:val="000B5ED6"/>
    <w:rsid w:val="000B6294"/>
    <w:rsid w:val="000B62CD"/>
    <w:rsid w:val="000B68A6"/>
    <w:rsid w:val="000B6DCD"/>
    <w:rsid w:val="000B6E1A"/>
    <w:rsid w:val="000B7358"/>
    <w:rsid w:val="000B7496"/>
    <w:rsid w:val="000B7562"/>
    <w:rsid w:val="000B780A"/>
    <w:rsid w:val="000B787E"/>
    <w:rsid w:val="000B7BAD"/>
    <w:rsid w:val="000B7F8F"/>
    <w:rsid w:val="000C00DA"/>
    <w:rsid w:val="000C0232"/>
    <w:rsid w:val="000C0261"/>
    <w:rsid w:val="000C0A27"/>
    <w:rsid w:val="000C0C3F"/>
    <w:rsid w:val="000C0F43"/>
    <w:rsid w:val="000C112F"/>
    <w:rsid w:val="000C1859"/>
    <w:rsid w:val="000C18E9"/>
    <w:rsid w:val="000C18EA"/>
    <w:rsid w:val="000C1B5D"/>
    <w:rsid w:val="000C1C9E"/>
    <w:rsid w:val="000C1D14"/>
    <w:rsid w:val="000C1F02"/>
    <w:rsid w:val="000C1FE4"/>
    <w:rsid w:val="000C2169"/>
    <w:rsid w:val="000C2219"/>
    <w:rsid w:val="000C27E8"/>
    <w:rsid w:val="000C2C5E"/>
    <w:rsid w:val="000C2E31"/>
    <w:rsid w:val="000C2EFB"/>
    <w:rsid w:val="000C2F20"/>
    <w:rsid w:val="000C335E"/>
    <w:rsid w:val="000C34AF"/>
    <w:rsid w:val="000C3546"/>
    <w:rsid w:val="000C3A12"/>
    <w:rsid w:val="000C3A95"/>
    <w:rsid w:val="000C3AD7"/>
    <w:rsid w:val="000C3BBB"/>
    <w:rsid w:val="000C3EA8"/>
    <w:rsid w:val="000C42E3"/>
    <w:rsid w:val="000C49ED"/>
    <w:rsid w:val="000C4A1D"/>
    <w:rsid w:val="000C4A90"/>
    <w:rsid w:val="000C4B57"/>
    <w:rsid w:val="000C5028"/>
    <w:rsid w:val="000C547B"/>
    <w:rsid w:val="000C5662"/>
    <w:rsid w:val="000C5C25"/>
    <w:rsid w:val="000C5D4F"/>
    <w:rsid w:val="000C5D71"/>
    <w:rsid w:val="000C638A"/>
    <w:rsid w:val="000C658B"/>
    <w:rsid w:val="000C675B"/>
    <w:rsid w:val="000C6A5A"/>
    <w:rsid w:val="000C6A7B"/>
    <w:rsid w:val="000C6AAA"/>
    <w:rsid w:val="000C6C47"/>
    <w:rsid w:val="000C6C54"/>
    <w:rsid w:val="000C6DE4"/>
    <w:rsid w:val="000C700A"/>
    <w:rsid w:val="000C7045"/>
    <w:rsid w:val="000C70C7"/>
    <w:rsid w:val="000C71E2"/>
    <w:rsid w:val="000C72E7"/>
    <w:rsid w:val="000C742C"/>
    <w:rsid w:val="000C780B"/>
    <w:rsid w:val="000C78E7"/>
    <w:rsid w:val="000C7A2E"/>
    <w:rsid w:val="000C7BD0"/>
    <w:rsid w:val="000C7D28"/>
    <w:rsid w:val="000C7FF7"/>
    <w:rsid w:val="000CE1C1"/>
    <w:rsid w:val="000D002B"/>
    <w:rsid w:val="000D00DD"/>
    <w:rsid w:val="000D01AC"/>
    <w:rsid w:val="000D01F5"/>
    <w:rsid w:val="000D0219"/>
    <w:rsid w:val="000D0AFC"/>
    <w:rsid w:val="000D0C73"/>
    <w:rsid w:val="000D0E0F"/>
    <w:rsid w:val="000D0F17"/>
    <w:rsid w:val="000D121B"/>
    <w:rsid w:val="000D1EB0"/>
    <w:rsid w:val="000D21D5"/>
    <w:rsid w:val="000D25B6"/>
    <w:rsid w:val="000D2B48"/>
    <w:rsid w:val="000D2F58"/>
    <w:rsid w:val="000D3016"/>
    <w:rsid w:val="000D30CC"/>
    <w:rsid w:val="000D32CD"/>
    <w:rsid w:val="000D3596"/>
    <w:rsid w:val="000D38D6"/>
    <w:rsid w:val="000D392F"/>
    <w:rsid w:val="000D3DD0"/>
    <w:rsid w:val="000D3DD5"/>
    <w:rsid w:val="000D3E66"/>
    <w:rsid w:val="000D4154"/>
    <w:rsid w:val="000D42DB"/>
    <w:rsid w:val="000D4623"/>
    <w:rsid w:val="000D46E4"/>
    <w:rsid w:val="000D47E0"/>
    <w:rsid w:val="000D4A13"/>
    <w:rsid w:val="000D4D2C"/>
    <w:rsid w:val="000D4D78"/>
    <w:rsid w:val="000D4F13"/>
    <w:rsid w:val="000D5481"/>
    <w:rsid w:val="000D55D6"/>
    <w:rsid w:val="000D5619"/>
    <w:rsid w:val="000D5799"/>
    <w:rsid w:val="000D59D8"/>
    <w:rsid w:val="000D59FB"/>
    <w:rsid w:val="000D5B56"/>
    <w:rsid w:val="000D6086"/>
    <w:rsid w:val="000D65D1"/>
    <w:rsid w:val="000D66E7"/>
    <w:rsid w:val="000D677D"/>
    <w:rsid w:val="000D6DFB"/>
    <w:rsid w:val="000D6F9C"/>
    <w:rsid w:val="000D734C"/>
    <w:rsid w:val="000D7959"/>
    <w:rsid w:val="000D7C2D"/>
    <w:rsid w:val="000D7D89"/>
    <w:rsid w:val="000D7E48"/>
    <w:rsid w:val="000D7F70"/>
    <w:rsid w:val="000D7FAA"/>
    <w:rsid w:val="000E015F"/>
    <w:rsid w:val="000E03E4"/>
    <w:rsid w:val="000E05EA"/>
    <w:rsid w:val="000E0796"/>
    <w:rsid w:val="000E08B0"/>
    <w:rsid w:val="000E0991"/>
    <w:rsid w:val="000E0FBC"/>
    <w:rsid w:val="000E104E"/>
    <w:rsid w:val="000E10E3"/>
    <w:rsid w:val="000E1890"/>
    <w:rsid w:val="000E18D9"/>
    <w:rsid w:val="000E1D62"/>
    <w:rsid w:val="000E1DB8"/>
    <w:rsid w:val="000E1DFA"/>
    <w:rsid w:val="000E20D4"/>
    <w:rsid w:val="000E219F"/>
    <w:rsid w:val="000E2452"/>
    <w:rsid w:val="000E2663"/>
    <w:rsid w:val="000E2669"/>
    <w:rsid w:val="000E2F48"/>
    <w:rsid w:val="000E3049"/>
    <w:rsid w:val="000E31E7"/>
    <w:rsid w:val="000E3308"/>
    <w:rsid w:val="000E3714"/>
    <w:rsid w:val="000E3B1E"/>
    <w:rsid w:val="000E418D"/>
    <w:rsid w:val="000E4316"/>
    <w:rsid w:val="000E43F6"/>
    <w:rsid w:val="000E4415"/>
    <w:rsid w:val="000E46FB"/>
    <w:rsid w:val="000E4702"/>
    <w:rsid w:val="000E51B3"/>
    <w:rsid w:val="000E5385"/>
    <w:rsid w:val="000E543C"/>
    <w:rsid w:val="000E545B"/>
    <w:rsid w:val="000E5476"/>
    <w:rsid w:val="000E5511"/>
    <w:rsid w:val="000E56E2"/>
    <w:rsid w:val="000E5824"/>
    <w:rsid w:val="000E58E0"/>
    <w:rsid w:val="000E5B7B"/>
    <w:rsid w:val="000E5D47"/>
    <w:rsid w:val="000E6A97"/>
    <w:rsid w:val="000E6AC5"/>
    <w:rsid w:val="000E6BF4"/>
    <w:rsid w:val="000E6DCE"/>
    <w:rsid w:val="000E710B"/>
    <w:rsid w:val="000E73C9"/>
    <w:rsid w:val="000E7748"/>
    <w:rsid w:val="000E7B33"/>
    <w:rsid w:val="000E7BC5"/>
    <w:rsid w:val="000F0136"/>
    <w:rsid w:val="000F0B2B"/>
    <w:rsid w:val="000F0EC8"/>
    <w:rsid w:val="000F0FD4"/>
    <w:rsid w:val="000F107F"/>
    <w:rsid w:val="000F111B"/>
    <w:rsid w:val="000F11BC"/>
    <w:rsid w:val="000F1265"/>
    <w:rsid w:val="000F1295"/>
    <w:rsid w:val="000F12BC"/>
    <w:rsid w:val="000F19E5"/>
    <w:rsid w:val="000F1C84"/>
    <w:rsid w:val="000F1EEA"/>
    <w:rsid w:val="000F20C0"/>
    <w:rsid w:val="000F23C8"/>
    <w:rsid w:val="000F2734"/>
    <w:rsid w:val="000F2741"/>
    <w:rsid w:val="000F2826"/>
    <w:rsid w:val="000F28CC"/>
    <w:rsid w:val="000F3459"/>
    <w:rsid w:val="000F393D"/>
    <w:rsid w:val="000F3CCF"/>
    <w:rsid w:val="000F3E59"/>
    <w:rsid w:val="000F4115"/>
    <w:rsid w:val="000F46A9"/>
    <w:rsid w:val="000F505A"/>
    <w:rsid w:val="000F5295"/>
    <w:rsid w:val="000F5921"/>
    <w:rsid w:val="000F5AE6"/>
    <w:rsid w:val="000F5C1F"/>
    <w:rsid w:val="000F5C24"/>
    <w:rsid w:val="000F5EEB"/>
    <w:rsid w:val="000F6311"/>
    <w:rsid w:val="000F65F3"/>
    <w:rsid w:val="000F66B6"/>
    <w:rsid w:val="000F689B"/>
    <w:rsid w:val="000F6983"/>
    <w:rsid w:val="000F6B52"/>
    <w:rsid w:val="000F6CAE"/>
    <w:rsid w:val="000F6D06"/>
    <w:rsid w:val="000F6E7F"/>
    <w:rsid w:val="000F6EE3"/>
    <w:rsid w:val="000F6F70"/>
    <w:rsid w:val="000F70D2"/>
    <w:rsid w:val="000F752C"/>
    <w:rsid w:val="000F7AD9"/>
    <w:rsid w:val="000F7DAD"/>
    <w:rsid w:val="000F7F73"/>
    <w:rsid w:val="0010042D"/>
    <w:rsid w:val="001005D6"/>
    <w:rsid w:val="001008FD"/>
    <w:rsid w:val="00100AA0"/>
    <w:rsid w:val="00100AB4"/>
    <w:rsid w:val="00100C7D"/>
    <w:rsid w:val="00100E08"/>
    <w:rsid w:val="00100F1E"/>
    <w:rsid w:val="00101347"/>
    <w:rsid w:val="00101580"/>
    <w:rsid w:val="0010172F"/>
    <w:rsid w:val="001018BB"/>
    <w:rsid w:val="00101C91"/>
    <w:rsid w:val="0010235F"/>
    <w:rsid w:val="001026DA"/>
    <w:rsid w:val="00102720"/>
    <w:rsid w:val="001033F2"/>
    <w:rsid w:val="001035FC"/>
    <w:rsid w:val="00103AC0"/>
    <w:rsid w:val="00103D74"/>
    <w:rsid w:val="00104029"/>
    <w:rsid w:val="00104066"/>
    <w:rsid w:val="0010451E"/>
    <w:rsid w:val="0010474D"/>
    <w:rsid w:val="0010477D"/>
    <w:rsid w:val="00104885"/>
    <w:rsid w:val="001048BF"/>
    <w:rsid w:val="00104AAF"/>
    <w:rsid w:val="00104AC5"/>
    <w:rsid w:val="00104B2D"/>
    <w:rsid w:val="00104CC8"/>
    <w:rsid w:val="00104CD8"/>
    <w:rsid w:val="00105321"/>
    <w:rsid w:val="001054BF"/>
    <w:rsid w:val="0010588C"/>
    <w:rsid w:val="00105B57"/>
    <w:rsid w:val="00105BCE"/>
    <w:rsid w:val="00105D4C"/>
    <w:rsid w:val="00105D89"/>
    <w:rsid w:val="00105DB4"/>
    <w:rsid w:val="00106118"/>
    <w:rsid w:val="001061B8"/>
    <w:rsid w:val="0010621E"/>
    <w:rsid w:val="00106268"/>
    <w:rsid w:val="001066B2"/>
    <w:rsid w:val="00106702"/>
    <w:rsid w:val="00106783"/>
    <w:rsid w:val="00106797"/>
    <w:rsid w:val="0010730A"/>
    <w:rsid w:val="0010741F"/>
    <w:rsid w:val="001076D2"/>
    <w:rsid w:val="001077A5"/>
    <w:rsid w:val="00107AE7"/>
    <w:rsid w:val="00107C0D"/>
    <w:rsid w:val="001101E2"/>
    <w:rsid w:val="00110259"/>
    <w:rsid w:val="00110325"/>
    <w:rsid w:val="0011072D"/>
    <w:rsid w:val="00110967"/>
    <w:rsid w:val="00110C19"/>
    <w:rsid w:val="00110CA6"/>
    <w:rsid w:val="00110DFD"/>
    <w:rsid w:val="00110E55"/>
    <w:rsid w:val="001112EA"/>
    <w:rsid w:val="00111443"/>
    <w:rsid w:val="001115B5"/>
    <w:rsid w:val="001116AF"/>
    <w:rsid w:val="001120F4"/>
    <w:rsid w:val="001121CE"/>
    <w:rsid w:val="0011226E"/>
    <w:rsid w:val="00112675"/>
    <w:rsid w:val="00112C3F"/>
    <w:rsid w:val="00113039"/>
    <w:rsid w:val="0011303C"/>
    <w:rsid w:val="001133B4"/>
    <w:rsid w:val="001133CC"/>
    <w:rsid w:val="00113BAC"/>
    <w:rsid w:val="00113F0E"/>
    <w:rsid w:val="0011431A"/>
    <w:rsid w:val="0011445F"/>
    <w:rsid w:val="0011465E"/>
    <w:rsid w:val="00114B04"/>
    <w:rsid w:val="00114D24"/>
    <w:rsid w:val="00115040"/>
    <w:rsid w:val="0011529B"/>
    <w:rsid w:val="001155A6"/>
    <w:rsid w:val="0011571A"/>
    <w:rsid w:val="001158EC"/>
    <w:rsid w:val="001159EE"/>
    <w:rsid w:val="00115B3C"/>
    <w:rsid w:val="00115DA9"/>
    <w:rsid w:val="00116076"/>
    <w:rsid w:val="00116110"/>
    <w:rsid w:val="00116691"/>
    <w:rsid w:val="001168A9"/>
    <w:rsid w:val="00116AE2"/>
    <w:rsid w:val="00116B17"/>
    <w:rsid w:val="00116C16"/>
    <w:rsid w:val="00116E58"/>
    <w:rsid w:val="00116F4A"/>
    <w:rsid w:val="00117175"/>
    <w:rsid w:val="00117453"/>
    <w:rsid w:val="00117577"/>
    <w:rsid w:val="00117642"/>
    <w:rsid w:val="0012027D"/>
    <w:rsid w:val="00120373"/>
    <w:rsid w:val="00120503"/>
    <w:rsid w:val="00120D95"/>
    <w:rsid w:val="00120E65"/>
    <w:rsid w:val="00121193"/>
    <w:rsid w:val="00121963"/>
    <w:rsid w:val="00121B83"/>
    <w:rsid w:val="00121C59"/>
    <w:rsid w:val="001220BB"/>
    <w:rsid w:val="00122572"/>
    <w:rsid w:val="00122651"/>
    <w:rsid w:val="00122754"/>
    <w:rsid w:val="00122BED"/>
    <w:rsid w:val="00122D26"/>
    <w:rsid w:val="00122DC6"/>
    <w:rsid w:val="00122EC7"/>
    <w:rsid w:val="00122FE2"/>
    <w:rsid w:val="00123197"/>
    <w:rsid w:val="001232F9"/>
    <w:rsid w:val="0012367E"/>
    <w:rsid w:val="001238FF"/>
    <w:rsid w:val="0012466A"/>
    <w:rsid w:val="001249E1"/>
    <w:rsid w:val="00124A7C"/>
    <w:rsid w:val="00124CAC"/>
    <w:rsid w:val="00124DEB"/>
    <w:rsid w:val="00125368"/>
    <w:rsid w:val="0012563D"/>
    <w:rsid w:val="001259ED"/>
    <w:rsid w:val="00125AA0"/>
    <w:rsid w:val="00125AE0"/>
    <w:rsid w:val="001260B7"/>
    <w:rsid w:val="0012618D"/>
    <w:rsid w:val="00126541"/>
    <w:rsid w:val="001267BB"/>
    <w:rsid w:val="00126879"/>
    <w:rsid w:val="00126AC1"/>
    <w:rsid w:val="00126C33"/>
    <w:rsid w:val="00126D40"/>
    <w:rsid w:val="001271AA"/>
    <w:rsid w:val="001272F0"/>
    <w:rsid w:val="0012746B"/>
    <w:rsid w:val="00127874"/>
    <w:rsid w:val="00127A45"/>
    <w:rsid w:val="00127B73"/>
    <w:rsid w:val="0013034A"/>
    <w:rsid w:val="001306D0"/>
    <w:rsid w:val="0013084F"/>
    <w:rsid w:val="00130FAC"/>
    <w:rsid w:val="00131224"/>
    <w:rsid w:val="00131469"/>
    <w:rsid w:val="00131984"/>
    <w:rsid w:val="001320F8"/>
    <w:rsid w:val="00132158"/>
    <w:rsid w:val="00132383"/>
    <w:rsid w:val="001327D8"/>
    <w:rsid w:val="00132862"/>
    <w:rsid w:val="001328D7"/>
    <w:rsid w:val="00132A94"/>
    <w:rsid w:val="00132B64"/>
    <w:rsid w:val="00132BC5"/>
    <w:rsid w:val="00132ECE"/>
    <w:rsid w:val="00132EE0"/>
    <w:rsid w:val="00132F1E"/>
    <w:rsid w:val="00132FBC"/>
    <w:rsid w:val="00133021"/>
    <w:rsid w:val="00133041"/>
    <w:rsid w:val="0013386B"/>
    <w:rsid w:val="00134768"/>
    <w:rsid w:val="00134833"/>
    <w:rsid w:val="00135760"/>
    <w:rsid w:val="00135B41"/>
    <w:rsid w:val="00135DCB"/>
    <w:rsid w:val="00136058"/>
    <w:rsid w:val="00136347"/>
    <w:rsid w:val="0013634A"/>
    <w:rsid w:val="00136402"/>
    <w:rsid w:val="0013678E"/>
    <w:rsid w:val="00136C6F"/>
    <w:rsid w:val="00136D7A"/>
    <w:rsid w:val="00137133"/>
    <w:rsid w:val="001373C7"/>
    <w:rsid w:val="00137549"/>
    <w:rsid w:val="00137BB7"/>
    <w:rsid w:val="00137CFF"/>
    <w:rsid w:val="00137EAC"/>
    <w:rsid w:val="001401B7"/>
    <w:rsid w:val="001401E4"/>
    <w:rsid w:val="0014047E"/>
    <w:rsid w:val="001404C5"/>
    <w:rsid w:val="001404FD"/>
    <w:rsid w:val="00140753"/>
    <w:rsid w:val="00140823"/>
    <w:rsid w:val="00140879"/>
    <w:rsid w:val="00140E6F"/>
    <w:rsid w:val="00140EFF"/>
    <w:rsid w:val="001413D9"/>
    <w:rsid w:val="00141849"/>
    <w:rsid w:val="00141A55"/>
    <w:rsid w:val="00141BAB"/>
    <w:rsid w:val="00141DD7"/>
    <w:rsid w:val="00141FB6"/>
    <w:rsid w:val="00142271"/>
    <w:rsid w:val="001424A7"/>
    <w:rsid w:val="0014261D"/>
    <w:rsid w:val="0014267E"/>
    <w:rsid w:val="001428D1"/>
    <w:rsid w:val="00142B0D"/>
    <w:rsid w:val="00142B67"/>
    <w:rsid w:val="00142EB3"/>
    <w:rsid w:val="0014319D"/>
    <w:rsid w:val="001432EE"/>
    <w:rsid w:val="00143328"/>
    <w:rsid w:val="001433D1"/>
    <w:rsid w:val="001433D8"/>
    <w:rsid w:val="001436F2"/>
    <w:rsid w:val="001436F4"/>
    <w:rsid w:val="00143C5A"/>
    <w:rsid w:val="00143CA6"/>
    <w:rsid w:val="00143E27"/>
    <w:rsid w:val="0014444B"/>
    <w:rsid w:val="001448CC"/>
    <w:rsid w:val="001449C7"/>
    <w:rsid w:val="00144C40"/>
    <w:rsid w:val="00144D09"/>
    <w:rsid w:val="00144DC0"/>
    <w:rsid w:val="00144ED9"/>
    <w:rsid w:val="00145027"/>
    <w:rsid w:val="001451D7"/>
    <w:rsid w:val="00145305"/>
    <w:rsid w:val="00145582"/>
    <w:rsid w:val="0014574C"/>
    <w:rsid w:val="00145820"/>
    <w:rsid w:val="00145F38"/>
    <w:rsid w:val="001460A7"/>
    <w:rsid w:val="001466EA"/>
    <w:rsid w:val="00146A62"/>
    <w:rsid w:val="00146BC9"/>
    <w:rsid w:val="00146FF0"/>
    <w:rsid w:val="0014709F"/>
    <w:rsid w:val="0014711F"/>
    <w:rsid w:val="0014730A"/>
    <w:rsid w:val="001477E6"/>
    <w:rsid w:val="00147802"/>
    <w:rsid w:val="00147BA6"/>
    <w:rsid w:val="00147C12"/>
    <w:rsid w:val="00147F58"/>
    <w:rsid w:val="00150039"/>
    <w:rsid w:val="001501DA"/>
    <w:rsid w:val="0015062C"/>
    <w:rsid w:val="00150894"/>
    <w:rsid w:val="00150948"/>
    <w:rsid w:val="00150BBC"/>
    <w:rsid w:val="00151161"/>
    <w:rsid w:val="001512E4"/>
    <w:rsid w:val="0015165F"/>
    <w:rsid w:val="001518AF"/>
    <w:rsid w:val="00151962"/>
    <w:rsid w:val="00151D22"/>
    <w:rsid w:val="00151F1C"/>
    <w:rsid w:val="00151F96"/>
    <w:rsid w:val="00152035"/>
    <w:rsid w:val="00152513"/>
    <w:rsid w:val="0015298F"/>
    <w:rsid w:val="00152C78"/>
    <w:rsid w:val="00152F4A"/>
    <w:rsid w:val="00152FC3"/>
    <w:rsid w:val="00153392"/>
    <w:rsid w:val="00153553"/>
    <w:rsid w:val="0015394A"/>
    <w:rsid w:val="0015397F"/>
    <w:rsid w:val="00153A28"/>
    <w:rsid w:val="00153BDA"/>
    <w:rsid w:val="00153EDC"/>
    <w:rsid w:val="001542D6"/>
    <w:rsid w:val="0015440E"/>
    <w:rsid w:val="001545CB"/>
    <w:rsid w:val="001547DA"/>
    <w:rsid w:val="00154CC5"/>
    <w:rsid w:val="00154FA9"/>
    <w:rsid w:val="0015516D"/>
    <w:rsid w:val="00155301"/>
    <w:rsid w:val="001553BA"/>
    <w:rsid w:val="00155532"/>
    <w:rsid w:val="0015614C"/>
    <w:rsid w:val="0015669D"/>
    <w:rsid w:val="001572E4"/>
    <w:rsid w:val="0015734D"/>
    <w:rsid w:val="001573EA"/>
    <w:rsid w:val="001574D8"/>
    <w:rsid w:val="00157C25"/>
    <w:rsid w:val="00157C74"/>
    <w:rsid w:val="00157D3A"/>
    <w:rsid w:val="00157E02"/>
    <w:rsid w:val="0016006B"/>
    <w:rsid w:val="00160258"/>
    <w:rsid w:val="001605EF"/>
    <w:rsid w:val="00160BF3"/>
    <w:rsid w:val="00160D0F"/>
    <w:rsid w:val="0016138D"/>
    <w:rsid w:val="00161B74"/>
    <w:rsid w:val="001620B3"/>
    <w:rsid w:val="0016243C"/>
    <w:rsid w:val="001625DA"/>
    <w:rsid w:val="0016297F"/>
    <w:rsid w:val="00162A6C"/>
    <w:rsid w:val="00162D17"/>
    <w:rsid w:val="00162FE8"/>
    <w:rsid w:val="0016372A"/>
    <w:rsid w:val="0016377E"/>
    <w:rsid w:val="00163ACB"/>
    <w:rsid w:val="00163D26"/>
    <w:rsid w:val="00164135"/>
    <w:rsid w:val="001641DA"/>
    <w:rsid w:val="001642D3"/>
    <w:rsid w:val="00164575"/>
    <w:rsid w:val="001645A1"/>
    <w:rsid w:val="001645A3"/>
    <w:rsid w:val="001645E8"/>
    <w:rsid w:val="00164B6A"/>
    <w:rsid w:val="00164D48"/>
    <w:rsid w:val="00165313"/>
    <w:rsid w:val="00165337"/>
    <w:rsid w:val="001654C7"/>
    <w:rsid w:val="001655A0"/>
    <w:rsid w:val="001655B1"/>
    <w:rsid w:val="00165740"/>
    <w:rsid w:val="00165A07"/>
    <w:rsid w:val="00165AC6"/>
    <w:rsid w:val="00165BE3"/>
    <w:rsid w:val="00165C83"/>
    <w:rsid w:val="00166174"/>
    <w:rsid w:val="0016634A"/>
    <w:rsid w:val="0016634E"/>
    <w:rsid w:val="001666EA"/>
    <w:rsid w:val="00166904"/>
    <w:rsid w:val="00166F77"/>
    <w:rsid w:val="0016705C"/>
    <w:rsid w:val="001670A9"/>
    <w:rsid w:val="00167136"/>
    <w:rsid w:val="0016732A"/>
    <w:rsid w:val="00167454"/>
    <w:rsid w:val="00167613"/>
    <w:rsid w:val="00167AFB"/>
    <w:rsid w:val="00167E58"/>
    <w:rsid w:val="00167F30"/>
    <w:rsid w:val="00167F8A"/>
    <w:rsid w:val="00167FC6"/>
    <w:rsid w:val="0017047C"/>
    <w:rsid w:val="0017054C"/>
    <w:rsid w:val="00170672"/>
    <w:rsid w:val="0017085F"/>
    <w:rsid w:val="00170A80"/>
    <w:rsid w:val="0017109B"/>
    <w:rsid w:val="00171164"/>
    <w:rsid w:val="00171640"/>
    <w:rsid w:val="0017173D"/>
    <w:rsid w:val="001718DF"/>
    <w:rsid w:val="00171995"/>
    <w:rsid w:val="00171BF4"/>
    <w:rsid w:val="00171D14"/>
    <w:rsid w:val="00172128"/>
    <w:rsid w:val="001721D7"/>
    <w:rsid w:val="00172542"/>
    <w:rsid w:val="001725ED"/>
    <w:rsid w:val="0017268D"/>
    <w:rsid w:val="0017270A"/>
    <w:rsid w:val="00172A7F"/>
    <w:rsid w:val="00172C8F"/>
    <w:rsid w:val="00172F1B"/>
    <w:rsid w:val="0017306E"/>
    <w:rsid w:val="00173107"/>
    <w:rsid w:val="00173366"/>
    <w:rsid w:val="001733F8"/>
    <w:rsid w:val="001737A9"/>
    <w:rsid w:val="00173D3E"/>
    <w:rsid w:val="00173FD4"/>
    <w:rsid w:val="00174807"/>
    <w:rsid w:val="00174A62"/>
    <w:rsid w:val="00174D88"/>
    <w:rsid w:val="00174E29"/>
    <w:rsid w:val="00174F15"/>
    <w:rsid w:val="0017548E"/>
    <w:rsid w:val="00175857"/>
    <w:rsid w:val="00175B47"/>
    <w:rsid w:val="00175DE6"/>
    <w:rsid w:val="00176369"/>
    <w:rsid w:val="0017661E"/>
    <w:rsid w:val="0017676E"/>
    <w:rsid w:val="00176A89"/>
    <w:rsid w:val="00176F87"/>
    <w:rsid w:val="001771CC"/>
    <w:rsid w:val="001772A6"/>
    <w:rsid w:val="001773AD"/>
    <w:rsid w:val="00177A8F"/>
    <w:rsid w:val="00177C7F"/>
    <w:rsid w:val="00177F20"/>
    <w:rsid w:val="00180143"/>
    <w:rsid w:val="001804ED"/>
    <w:rsid w:val="0018093C"/>
    <w:rsid w:val="001809AF"/>
    <w:rsid w:val="00180C99"/>
    <w:rsid w:val="00180FEB"/>
    <w:rsid w:val="0018123F"/>
    <w:rsid w:val="00181597"/>
    <w:rsid w:val="001815C4"/>
    <w:rsid w:val="00181A9C"/>
    <w:rsid w:val="00181C40"/>
    <w:rsid w:val="00181D8F"/>
    <w:rsid w:val="00181E35"/>
    <w:rsid w:val="00181EB1"/>
    <w:rsid w:val="00182511"/>
    <w:rsid w:val="00182790"/>
    <w:rsid w:val="001827DA"/>
    <w:rsid w:val="00182A16"/>
    <w:rsid w:val="00182DC5"/>
    <w:rsid w:val="00182EC3"/>
    <w:rsid w:val="0018327E"/>
    <w:rsid w:val="001832EE"/>
    <w:rsid w:val="00183304"/>
    <w:rsid w:val="001835F3"/>
    <w:rsid w:val="001837F6"/>
    <w:rsid w:val="001838ED"/>
    <w:rsid w:val="00183B72"/>
    <w:rsid w:val="00183E8E"/>
    <w:rsid w:val="001842F4"/>
    <w:rsid w:val="0018439E"/>
    <w:rsid w:val="00184525"/>
    <w:rsid w:val="001847A8"/>
    <w:rsid w:val="00184DE8"/>
    <w:rsid w:val="00185239"/>
    <w:rsid w:val="0018566C"/>
    <w:rsid w:val="00185A4C"/>
    <w:rsid w:val="00185AAE"/>
    <w:rsid w:val="00185BC9"/>
    <w:rsid w:val="0018619C"/>
    <w:rsid w:val="001862D6"/>
    <w:rsid w:val="001862E2"/>
    <w:rsid w:val="00186665"/>
    <w:rsid w:val="00186AE8"/>
    <w:rsid w:val="00186F25"/>
    <w:rsid w:val="001870A3"/>
    <w:rsid w:val="00187163"/>
    <w:rsid w:val="001871D5"/>
    <w:rsid w:val="00187365"/>
    <w:rsid w:val="001873CF"/>
    <w:rsid w:val="001875C9"/>
    <w:rsid w:val="00187667"/>
    <w:rsid w:val="00187749"/>
    <w:rsid w:val="001877FC"/>
    <w:rsid w:val="00187D3B"/>
    <w:rsid w:val="001901E4"/>
    <w:rsid w:val="001906B1"/>
    <w:rsid w:val="001906F2"/>
    <w:rsid w:val="00190767"/>
    <w:rsid w:val="00190E5E"/>
    <w:rsid w:val="00190ED7"/>
    <w:rsid w:val="00190F72"/>
    <w:rsid w:val="00191D0F"/>
    <w:rsid w:val="00191ED5"/>
    <w:rsid w:val="00191FB8"/>
    <w:rsid w:val="00192184"/>
    <w:rsid w:val="001925DF"/>
    <w:rsid w:val="00192C01"/>
    <w:rsid w:val="00192C15"/>
    <w:rsid w:val="00192D0E"/>
    <w:rsid w:val="00192D6A"/>
    <w:rsid w:val="00192E75"/>
    <w:rsid w:val="00192F43"/>
    <w:rsid w:val="00192F68"/>
    <w:rsid w:val="0019343C"/>
    <w:rsid w:val="0019345F"/>
    <w:rsid w:val="001937D1"/>
    <w:rsid w:val="00193896"/>
    <w:rsid w:val="0019389F"/>
    <w:rsid w:val="001938B7"/>
    <w:rsid w:val="00193BB5"/>
    <w:rsid w:val="00193E1B"/>
    <w:rsid w:val="001940C7"/>
    <w:rsid w:val="001948C4"/>
    <w:rsid w:val="00194A12"/>
    <w:rsid w:val="00194A4B"/>
    <w:rsid w:val="00194BE7"/>
    <w:rsid w:val="00194BF6"/>
    <w:rsid w:val="00194D71"/>
    <w:rsid w:val="00194E7E"/>
    <w:rsid w:val="00195042"/>
    <w:rsid w:val="0019504A"/>
    <w:rsid w:val="00195420"/>
    <w:rsid w:val="00195566"/>
    <w:rsid w:val="00195EE6"/>
    <w:rsid w:val="001964AC"/>
    <w:rsid w:val="001964DB"/>
    <w:rsid w:val="00196A28"/>
    <w:rsid w:val="00196F67"/>
    <w:rsid w:val="00197185"/>
    <w:rsid w:val="0019726A"/>
    <w:rsid w:val="0019751A"/>
    <w:rsid w:val="0019759C"/>
    <w:rsid w:val="001975C0"/>
    <w:rsid w:val="0019762F"/>
    <w:rsid w:val="001976A8"/>
    <w:rsid w:val="001977B4"/>
    <w:rsid w:val="00197898"/>
    <w:rsid w:val="00197982"/>
    <w:rsid w:val="00197A85"/>
    <w:rsid w:val="00197B79"/>
    <w:rsid w:val="00197C64"/>
    <w:rsid w:val="001A0337"/>
    <w:rsid w:val="001A0427"/>
    <w:rsid w:val="001A0754"/>
    <w:rsid w:val="001A07EB"/>
    <w:rsid w:val="001A0BF4"/>
    <w:rsid w:val="001A0D2E"/>
    <w:rsid w:val="001A0DC9"/>
    <w:rsid w:val="001A0FA0"/>
    <w:rsid w:val="001A12A3"/>
    <w:rsid w:val="001A1497"/>
    <w:rsid w:val="001A1528"/>
    <w:rsid w:val="001A1826"/>
    <w:rsid w:val="001A199C"/>
    <w:rsid w:val="001A1A4B"/>
    <w:rsid w:val="001A1CB6"/>
    <w:rsid w:val="001A1D4E"/>
    <w:rsid w:val="001A22D0"/>
    <w:rsid w:val="001A2486"/>
    <w:rsid w:val="001A2767"/>
    <w:rsid w:val="001A299E"/>
    <w:rsid w:val="001A2B36"/>
    <w:rsid w:val="001A2FDC"/>
    <w:rsid w:val="001A3197"/>
    <w:rsid w:val="001A3238"/>
    <w:rsid w:val="001A3462"/>
    <w:rsid w:val="001A3DF9"/>
    <w:rsid w:val="001A3F7F"/>
    <w:rsid w:val="001A3FFC"/>
    <w:rsid w:val="001A4091"/>
    <w:rsid w:val="001A4184"/>
    <w:rsid w:val="001A4352"/>
    <w:rsid w:val="001A4AD0"/>
    <w:rsid w:val="001A4C0A"/>
    <w:rsid w:val="001A4C2A"/>
    <w:rsid w:val="001A4CD7"/>
    <w:rsid w:val="001A4CDF"/>
    <w:rsid w:val="001A5ADF"/>
    <w:rsid w:val="001A5D21"/>
    <w:rsid w:val="001A66A9"/>
    <w:rsid w:val="001A6826"/>
    <w:rsid w:val="001A699A"/>
    <w:rsid w:val="001A6C21"/>
    <w:rsid w:val="001A6C26"/>
    <w:rsid w:val="001A6DE2"/>
    <w:rsid w:val="001A6EBB"/>
    <w:rsid w:val="001A70C4"/>
    <w:rsid w:val="001A7126"/>
    <w:rsid w:val="001A7356"/>
    <w:rsid w:val="001A79AA"/>
    <w:rsid w:val="001A7F21"/>
    <w:rsid w:val="001B010E"/>
    <w:rsid w:val="001B011A"/>
    <w:rsid w:val="001B01AD"/>
    <w:rsid w:val="001B0397"/>
    <w:rsid w:val="001B03A2"/>
    <w:rsid w:val="001B0C73"/>
    <w:rsid w:val="001B109A"/>
    <w:rsid w:val="001B1420"/>
    <w:rsid w:val="001B1534"/>
    <w:rsid w:val="001B15B3"/>
    <w:rsid w:val="001B1632"/>
    <w:rsid w:val="001B1963"/>
    <w:rsid w:val="001B20C5"/>
    <w:rsid w:val="001B238B"/>
    <w:rsid w:val="001B2637"/>
    <w:rsid w:val="001B285C"/>
    <w:rsid w:val="001B28E4"/>
    <w:rsid w:val="001B293C"/>
    <w:rsid w:val="001B2B9F"/>
    <w:rsid w:val="001B305C"/>
    <w:rsid w:val="001B3262"/>
    <w:rsid w:val="001B32C9"/>
    <w:rsid w:val="001B32E6"/>
    <w:rsid w:val="001B3BC1"/>
    <w:rsid w:val="001B4214"/>
    <w:rsid w:val="001B452E"/>
    <w:rsid w:val="001B4836"/>
    <w:rsid w:val="001B4A92"/>
    <w:rsid w:val="001B4AFC"/>
    <w:rsid w:val="001B4E36"/>
    <w:rsid w:val="001B4EBE"/>
    <w:rsid w:val="001B542F"/>
    <w:rsid w:val="001B557D"/>
    <w:rsid w:val="001B562D"/>
    <w:rsid w:val="001B56F5"/>
    <w:rsid w:val="001B57F6"/>
    <w:rsid w:val="001B5855"/>
    <w:rsid w:val="001B59BB"/>
    <w:rsid w:val="001B59CA"/>
    <w:rsid w:val="001B6084"/>
    <w:rsid w:val="001B628C"/>
    <w:rsid w:val="001B6336"/>
    <w:rsid w:val="001B65CA"/>
    <w:rsid w:val="001B67F8"/>
    <w:rsid w:val="001B6817"/>
    <w:rsid w:val="001B6F45"/>
    <w:rsid w:val="001B70DA"/>
    <w:rsid w:val="001B73D5"/>
    <w:rsid w:val="001B7699"/>
    <w:rsid w:val="001B7EA6"/>
    <w:rsid w:val="001B7EFB"/>
    <w:rsid w:val="001B7F82"/>
    <w:rsid w:val="001C0068"/>
    <w:rsid w:val="001C0378"/>
    <w:rsid w:val="001C04C7"/>
    <w:rsid w:val="001C082E"/>
    <w:rsid w:val="001C08F6"/>
    <w:rsid w:val="001C0AE4"/>
    <w:rsid w:val="001C0D29"/>
    <w:rsid w:val="001C0ED2"/>
    <w:rsid w:val="001C1139"/>
    <w:rsid w:val="001C12DC"/>
    <w:rsid w:val="001C1F87"/>
    <w:rsid w:val="001C1FAC"/>
    <w:rsid w:val="001C2116"/>
    <w:rsid w:val="001C24DA"/>
    <w:rsid w:val="001C2770"/>
    <w:rsid w:val="001C2862"/>
    <w:rsid w:val="001C2E4D"/>
    <w:rsid w:val="001C3036"/>
    <w:rsid w:val="001C3129"/>
    <w:rsid w:val="001C33A1"/>
    <w:rsid w:val="001C3564"/>
    <w:rsid w:val="001C3639"/>
    <w:rsid w:val="001C38AC"/>
    <w:rsid w:val="001C3A6D"/>
    <w:rsid w:val="001C3BAF"/>
    <w:rsid w:val="001C3E3B"/>
    <w:rsid w:val="001C3FDF"/>
    <w:rsid w:val="001C44FA"/>
    <w:rsid w:val="001C4520"/>
    <w:rsid w:val="001C45AD"/>
    <w:rsid w:val="001C498C"/>
    <w:rsid w:val="001C4998"/>
    <w:rsid w:val="001C4C2D"/>
    <w:rsid w:val="001C4D10"/>
    <w:rsid w:val="001C522E"/>
    <w:rsid w:val="001C54BA"/>
    <w:rsid w:val="001C555C"/>
    <w:rsid w:val="001C561D"/>
    <w:rsid w:val="001C5B38"/>
    <w:rsid w:val="001C5D17"/>
    <w:rsid w:val="001C61FC"/>
    <w:rsid w:val="001C63BD"/>
    <w:rsid w:val="001C663B"/>
    <w:rsid w:val="001C6890"/>
    <w:rsid w:val="001C69AF"/>
    <w:rsid w:val="001C6A45"/>
    <w:rsid w:val="001C6C38"/>
    <w:rsid w:val="001C7057"/>
    <w:rsid w:val="001C78C8"/>
    <w:rsid w:val="001C7A43"/>
    <w:rsid w:val="001C7ECF"/>
    <w:rsid w:val="001D04D8"/>
    <w:rsid w:val="001D0535"/>
    <w:rsid w:val="001D0BA3"/>
    <w:rsid w:val="001D21A8"/>
    <w:rsid w:val="001D25BE"/>
    <w:rsid w:val="001D2679"/>
    <w:rsid w:val="001D2EE2"/>
    <w:rsid w:val="001D2F89"/>
    <w:rsid w:val="001D33EE"/>
    <w:rsid w:val="001D3700"/>
    <w:rsid w:val="001D3C15"/>
    <w:rsid w:val="001D421F"/>
    <w:rsid w:val="001D453C"/>
    <w:rsid w:val="001D45C6"/>
    <w:rsid w:val="001D4660"/>
    <w:rsid w:val="001D4A69"/>
    <w:rsid w:val="001D4B06"/>
    <w:rsid w:val="001D5091"/>
    <w:rsid w:val="001D54F8"/>
    <w:rsid w:val="001D57C0"/>
    <w:rsid w:val="001D59F5"/>
    <w:rsid w:val="001D601A"/>
    <w:rsid w:val="001D60BE"/>
    <w:rsid w:val="001D6217"/>
    <w:rsid w:val="001D63B3"/>
    <w:rsid w:val="001D6406"/>
    <w:rsid w:val="001D64F2"/>
    <w:rsid w:val="001D689D"/>
    <w:rsid w:val="001D6EF0"/>
    <w:rsid w:val="001D7164"/>
    <w:rsid w:val="001D75AA"/>
    <w:rsid w:val="001D75B2"/>
    <w:rsid w:val="001D7673"/>
    <w:rsid w:val="001D77E0"/>
    <w:rsid w:val="001D7890"/>
    <w:rsid w:val="001D79E9"/>
    <w:rsid w:val="001D7CA1"/>
    <w:rsid w:val="001D7D4F"/>
    <w:rsid w:val="001D7D60"/>
    <w:rsid w:val="001D7DB9"/>
    <w:rsid w:val="001D7ED1"/>
    <w:rsid w:val="001D7EF1"/>
    <w:rsid w:val="001E0320"/>
    <w:rsid w:val="001E0512"/>
    <w:rsid w:val="001E0864"/>
    <w:rsid w:val="001E107F"/>
    <w:rsid w:val="001E1584"/>
    <w:rsid w:val="001E1C3C"/>
    <w:rsid w:val="001E1C8A"/>
    <w:rsid w:val="001E2136"/>
    <w:rsid w:val="001E2421"/>
    <w:rsid w:val="001E2459"/>
    <w:rsid w:val="001E246A"/>
    <w:rsid w:val="001E277C"/>
    <w:rsid w:val="001E2EE5"/>
    <w:rsid w:val="001E2F99"/>
    <w:rsid w:val="001E3156"/>
    <w:rsid w:val="001E3308"/>
    <w:rsid w:val="001E3368"/>
    <w:rsid w:val="001E35F8"/>
    <w:rsid w:val="001E37FC"/>
    <w:rsid w:val="001E396D"/>
    <w:rsid w:val="001E3B99"/>
    <w:rsid w:val="001E3FEE"/>
    <w:rsid w:val="001E4002"/>
    <w:rsid w:val="001E41FE"/>
    <w:rsid w:val="001E429E"/>
    <w:rsid w:val="001E4442"/>
    <w:rsid w:val="001E47E5"/>
    <w:rsid w:val="001E49E9"/>
    <w:rsid w:val="001E4B0C"/>
    <w:rsid w:val="001E4B8A"/>
    <w:rsid w:val="001E4E41"/>
    <w:rsid w:val="001E5400"/>
    <w:rsid w:val="001E55B0"/>
    <w:rsid w:val="001E570C"/>
    <w:rsid w:val="001E576E"/>
    <w:rsid w:val="001E58A2"/>
    <w:rsid w:val="001E59C2"/>
    <w:rsid w:val="001E5E52"/>
    <w:rsid w:val="001E632A"/>
    <w:rsid w:val="001E646C"/>
    <w:rsid w:val="001E65F9"/>
    <w:rsid w:val="001E6767"/>
    <w:rsid w:val="001E69CB"/>
    <w:rsid w:val="001E69CC"/>
    <w:rsid w:val="001E6AE9"/>
    <w:rsid w:val="001E6DB8"/>
    <w:rsid w:val="001E7311"/>
    <w:rsid w:val="001E73CD"/>
    <w:rsid w:val="001E73E8"/>
    <w:rsid w:val="001E74FC"/>
    <w:rsid w:val="001E788C"/>
    <w:rsid w:val="001E793B"/>
    <w:rsid w:val="001E7B44"/>
    <w:rsid w:val="001E7BDF"/>
    <w:rsid w:val="001F055F"/>
    <w:rsid w:val="001F06DA"/>
    <w:rsid w:val="001F0760"/>
    <w:rsid w:val="001F077C"/>
    <w:rsid w:val="001F07D4"/>
    <w:rsid w:val="001F0DEF"/>
    <w:rsid w:val="001F1017"/>
    <w:rsid w:val="001F1299"/>
    <w:rsid w:val="001F1894"/>
    <w:rsid w:val="001F18A7"/>
    <w:rsid w:val="001F199F"/>
    <w:rsid w:val="001F1AC5"/>
    <w:rsid w:val="001F1B30"/>
    <w:rsid w:val="001F1C65"/>
    <w:rsid w:val="001F1DE5"/>
    <w:rsid w:val="001F20BB"/>
    <w:rsid w:val="001F2118"/>
    <w:rsid w:val="001F237C"/>
    <w:rsid w:val="001F272F"/>
    <w:rsid w:val="001F283E"/>
    <w:rsid w:val="001F2970"/>
    <w:rsid w:val="001F2E1B"/>
    <w:rsid w:val="001F3CC1"/>
    <w:rsid w:val="001F3D64"/>
    <w:rsid w:val="001F4127"/>
    <w:rsid w:val="001F46BD"/>
    <w:rsid w:val="001F4983"/>
    <w:rsid w:val="001F498B"/>
    <w:rsid w:val="001F4AE3"/>
    <w:rsid w:val="001F4BA0"/>
    <w:rsid w:val="001F4BD8"/>
    <w:rsid w:val="001F4EDF"/>
    <w:rsid w:val="001F520C"/>
    <w:rsid w:val="001F540D"/>
    <w:rsid w:val="001F57B7"/>
    <w:rsid w:val="001F5936"/>
    <w:rsid w:val="001F598B"/>
    <w:rsid w:val="001F5A2F"/>
    <w:rsid w:val="001F5A60"/>
    <w:rsid w:val="001F5C81"/>
    <w:rsid w:val="001F5D28"/>
    <w:rsid w:val="001F5EDC"/>
    <w:rsid w:val="001F6266"/>
    <w:rsid w:val="001F6537"/>
    <w:rsid w:val="001F6963"/>
    <w:rsid w:val="001F69ED"/>
    <w:rsid w:val="001F6BB2"/>
    <w:rsid w:val="001F6BD0"/>
    <w:rsid w:val="001F7081"/>
    <w:rsid w:val="001F7133"/>
    <w:rsid w:val="001F7511"/>
    <w:rsid w:val="001F78FF"/>
    <w:rsid w:val="001F7DB3"/>
    <w:rsid w:val="001F7FB5"/>
    <w:rsid w:val="002003AB"/>
    <w:rsid w:val="002003C2"/>
    <w:rsid w:val="00200829"/>
    <w:rsid w:val="00200B36"/>
    <w:rsid w:val="00200BB7"/>
    <w:rsid w:val="00200BD6"/>
    <w:rsid w:val="00200C49"/>
    <w:rsid w:val="00200E82"/>
    <w:rsid w:val="00201532"/>
    <w:rsid w:val="00201922"/>
    <w:rsid w:val="00201A13"/>
    <w:rsid w:val="00201B12"/>
    <w:rsid w:val="00201B86"/>
    <w:rsid w:val="00201C3C"/>
    <w:rsid w:val="00201E4B"/>
    <w:rsid w:val="00201E53"/>
    <w:rsid w:val="00201EC9"/>
    <w:rsid w:val="00201ECB"/>
    <w:rsid w:val="002021AB"/>
    <w:rsid w:val="002027CA"/>
    <w:rsid w:val="00202884"/>
    <w:rsid w:val="00202BA4"/>
    <w:rsid w:val="00202DBE"/>
    <w:rsid w:val="00203053"/>
    <w:rsid w:val="002030C4"/>
    <w:rsid w:val="002032A7"/>
    <w:rsid w:val="00203375"/>
    <w:rsid w:val="0020357B"/>
    <w:rsid w:val="002035EA"/>
    <w:rsid w:val="002036A8"/>
    <w:rsid w:val="002036E6"/>
    <w:rsid w:val="002039F6"/>
    <w:rsid w:val="002040D0"/>
    <w:rsid w:val="0020415F"/>
    <w:rsid w:val="002049A1"/>
    <w:rsid w:val="00204B9B"/>
    <w:rsid w:val="00204CD6"/>
    <w:rsid w:val="00204E4B"/>
    <w:rsid w:val="002050FE"/>
    <w:rsid w:val="00205134"/>
    <w:rsid w:val="00205662"/>
    <w:rsid w:val="0020567D"/>
    <w:rsid w:val="002057B9"/>
    <w:rsid w:val="002058AC"/>
    <w:rsid w:val="00205945"/>
    <w:rsid w:val="00205CBB"/>
    <w:rsid w:val="00205EE2"/>
    <w:rsid w:val="00206108"/>
    <w:rsid w:val="002061A0"/>
    <w:rsid w:val="00206230"/>
    <w:rsid w:val="002063E7"/>
    <w:rsid w:val="0020649E"/>
    <w:rsid w:val="00206542"/>
    <w:rsid w:val="002065A6"/>
    <w:rsid w:val="002068F8"/>
    <w:rsid w:val="00206E17"/>
    <w:rsid w:val="0020703D"/>
    <w:rsid w:val="00207040"/>
    <w:rsid w:val="00207534"/>
    <w:rsid w:val="002078A6"/>
    <w:rsid w:val="00207BA7"/>
    <w:rsid w:val="00207BE9"/>
    <w:rsid w:val="00207C32"/>
    <w:rsid w:val="00207EEA"/>
    <w:rsid w:val="00210661"/>
    <w:rsid w:val="002106A8"/>
    <w:rsid w:val="00210722"/>
    <w:rsid w:val="0021082B"/>
    <w:rsid w:val="002113EA"/>
    <w:rsid w:val="002117F8"/>
    <w:rsid w:val="00211A79"/>
    <w:rsid w:val="00211A9E"/>
    <w:rsid w:val="00211C85"/>
    <w:rsid w:val="00211D80"/>
    <w:rsid w:val="00211DDF"/>
    <w:rsid w:val="002121CE"/>
    <w:rsid w:val="002124D3"/>
    <w:rsid w:val="002125FB"/>
    <w:rsid w:val="0021292B"/>
    <w:rsid w:val="00212953"/>
    <w:rsid w:val="00212A4B"/>
    <w:rsid w:val="00212B6A"/>
    <w:rsid w:val="00212E29"/>
    <w:rsid w:val="00213409"/>
    <w:rsid w:val="002138E8"/>
    <w:rsid w:val="002139D0"/>
    <w:rsid w:val="00213C49"/>
    <w:rsid w:val="00213E01"/>
    <w:rsid w:val="00213F4C"/>
    <w:rsid w:val="002140C1"/>
    <w:rsid w:val="00214228"/>
    <w:rsid w:val="0021433D"/>
    <w:rsid w:val="002143DF"/>
    <w:rsid w:val="00214555"/>
    <w:rsid w:val="0021480F"/>
    <w:rsid w:val="0021486B"/>
    <w:rsid w:val="002148F5"/>
    <w:rsid w:val="00215054"/>
    <w:rsid w:val="002156CA"/>
    <w:rsid w:val="00215808"/>
    <w:rsid w:val="00215EB1"/>
    <w:rsid w:val="002164AB"/>
    <w:rsid w:val="002164AE"/>
    <w:rsid w:val="00216B14"/>
    <w:rsid w:val="0021734A"/>
    <w:rsid w:val="00217364"/>
    <w:rsid w:val="0021743E"/>
    <w:rsid w:val="00217766"/>
    <w:rsid w:val="002177E0"/>
    <w:rsid w:val="00217B7A"/>
    <w:rsid w:val="00217C62"/>
    <w:rsid w:val="00220061"/>
    <w:rsid w:val="00220263"/>
    <w:rsid w:val="00220433"/>
    <w:rsid w:val="002204C9"/>
    <w:rsid w:val="00220543"/>
    <w:rsid w:val="00220888"/>
    <w:rsid w:val="00220A73"/>
    <w:rsid w:val="00220D81"/>
    <w:rsid w:val="00220DF1"/>
    <w:rsid w:val="00220E3C"/>
    <w:rsid w:val="00220E4D"/>
    <w:rsid w:val="00221136"/>
    <w:rsid w:val="00221170"/>
    <w:rsid w:val="0022132D"/>
    <w:rsid w:val="0022142B"/>
    <w:rsid w:val="0022155B"/>
    <w:rsid w:val="0022187A"/>
    <w:rsid w:val="00221946"/>
    <w:rsid w:val="00221B88"/>
    <w:rsid w:val="00222125"/>
    <w:rsid w:val="00222348"/>
    <w:rsid w:val="002223F7"/>
    <w:rsid w:val="00222400"/>
    <w:rsid w:val="0022241F"/>
    <w:rsid w:val="002224A9"/>
    <w:rsid w:val="002224E0"/>
    <w:rsid w:val="00222EC7"/>
    <w:rsid w:val="00223083"/>
    <w:rsid w:val="00223303"/>
    <w:rsid w:val="002233D4"/>
    <w:rsid w:val="002234F0"/>
    <w:rsid w:val="002238C7"/>
    <w:rsid w:val="00223A49"/>
    <w:rsid w:val="00223B41"/>
    <w:rsid w:val="00223C31"/>
    <w:rsid w:val="00223E3E"/>
    <w:rsid w:val="00223FB3"/>
    <w:rsid w:val="00224065"/>
    <w:rsid w:val="002240E7"/>
    <w:rsid w:val="002244BB"/>
    <w:rsid w:val="00224562"/>
    <w:rsid w:val="00224B34"/>
    <w:rsid w:val="00224E6F"/>
    <w:rsid w:val="0022526B"/>
    <w:rsid w:val="0022538B"/>
    <w:rsid w:val="00225F9D"/>
    <w:rsid w:val="00226310"/>
    <w:rsid w:val="00226622"/>
    <w:rsid w:val="00226A1D"/>
    <w:rsid w:val="0022700E"/>
    <w:rsid w:val="00227461"/>
    <w:rsid w:val="002278C4"/>
    <w:rsid w:val="00227AB1"/>
    <w:rsid w:val="00227E43"/>
    <w:rsid w:val="0023019F"/>
    <w:rsid w:val="00230465"/>
    <w:rsid w:val="0023073C"/>
    <w:rsid w:val="0023090C"/>
    <w:rsid w:val="00230AFD"/>
    <w:rsid w:val="00230B13"/>
    <w:rsid w:val="00230B3F"/>
    <w:rsid w:val="00230BC3"/>
    <w:rsid w:val="00230CBC"/>
    <w:rsid w:val="00231269"/>
    <w:rsid w:val="00231B38"/>
    <w:rsid w:val="002321A3"/>
    <w:rsid w:val="002321FB"/>
    <w:rsid w:val="00232376"/>
    <w:rsid w:val="0023243E"/>
    <w:rsid w:val="002324D3"/>
    <w:rsid w:val="002327D9"/>
    <w:rsid w:val="00233063"/>
    <w:rsid w:val="00233351"/>
    <w:rsid w:val="002333C6"/>
    <w:rsid w:val="00233D1A"/>
    <w:rsid w:val="002340C1"/>
    <w:rsid w:val="00234B10"/>
    <w:rsid w:val="00234B92"/>
    <w:rsid w:val="00234EC8"/>
    <w:rsid w:val="00235077"/>
    <w:rsid w:val="0023525A"/>
    <w:rsid w:val="00235886"/>
    <w:rsid w:val="002359D8"/>
    <w:rsid w:val="00236053"/>
    <w:rsid w:val="00236232"/>
    <w:rsid w:val="0023629A"/>
    <w:rsid w:val="002364E6"/>
    <w:rsid w:val="002365C0"/>
    <w:rsid w:val="002365D4"/>
    <w:rsid w:val="002368C5"/>
    <w:rsid w:val="00236ED6"/>
    <w:rsid w:val="00237142"/>
    <w:rsid w:val="002372F0"/>
    <w:rsid w:val="00237332"/>
    <w:rsid w:val="002373D8"/>
    <w:rsid w:val="00237663"/>
    <w:rsid w:val="002378DB"/>
    <w:rsid w:val="00237983"/>
    <w:rsid w:val="00237B63"/>
    <w:rsid w:val="00237CEE"/>
    <w:rsid w:val="00237D2D"/>
    <w:rsid w:val="00237D89"/>
    <w:rsid w:val="002402B5"/>
    <w:rsid w:val="00240610"/>
    <w:rsid w:val="002407FA"/>
    <w:rsid w:val="00240BF5"/>
    <w:rsid w:val="00240E94"/>
    <w:rsid w:val="00241024"/>
    <w:rsid w:val="002411CA"/>
    <w:rsid w:val="0024126D"/>
    <w:rsid w:val="00241423"/>
    <w:rsid w:val="00241546"/>
    <w:rsid w:val="00241930"/>
    <w:rsid w:val="002419EE"/>
    <w:rsid w:val="0024230C"/>
    <w:rsid w:val="00242657"/>
    <w:rsid w:val="00242AFE"/>
    <w:rsid w:val="00242C88"/>
    <w:rsid w:val="00242CA6"/>
    <w:rsid w:val="00242DF0"/>
    <w:rsid w:val="00242F11"/>
    <w:rsid w:val="00243036"/>
    <w:rsid w:val="00243152"/>
    <w:rsid w:val="00243760"/>
    <w:rsid w:val="00243AC8"/>
    <w:rsid w:val="00243CE6"/>
    <w:rsid w:val="00243D4E"/>
    <w:rsid w:val="00243FBD"/>
    <w:rsid w:val="00244432"/>
    <w:rsid w:val="0024452A"/>
    <w:rsid w:val="00244A1D"/>
    <w:rsid w:val="00244AA1"/>
    <w:rsid w:val="00244CC3"/>
    <w:rsid w:val="002450E5"/>
    <w:rsid w:val="00245265"/>
    <w:rsid w:val="00245280"/>
    <w:rsid w:val="0024530B"/>
    <w:rsid w:val="002453A2"/>
    <w:rsid w:val="002453AF"/>
    <w:rsid w:val="00245635"/>
    <w:rsid w:val="0024568F"/>
    <w:rsid w:val="00245699"/>
    <w:rsid w:val="0024571A"/>
    <w:rsid w:val="002457FA"/>
    <w:rsid w:val="00245979"/>
    <w:rsid w:val="00245AF5"/>
    <w:rsid w:val="00246230"/>
    <w:rsid w:val="0024648D"/>
    <w:rsid w:val="00246546"/>
    <w:rsid w:val="00246655"/>
    <w:rsid w:val="00246F08"/>
    <w:rsid w:val="002470B8"/>
    <w:rsid w:val="002470CF"/>
    <w:rsid w:val="0024723B"/>
    <w:rsid w:val="002472EB"/>
    <w:rsid w:val="0024730E"/>
    <w:rsid w:val="00247318"/>
    <w:rsid w:val="00247402"/>
    <w:rsid w:val="00247C41"/>
    <w:rsid w:val="00247CFD"/>
    <w:rsid w:val="00250097"/>
    <w:rsid w:val="00250510"/>
    <w:rsid w:val="002506C3"/>
    <w:rsid w:val="00250812"/>
    <w:rsid w:val="002508AE"/>
    <w:rsid w:val="00250948"/>
    <w:rsid w:val="00250D00"/>
    <w:rsid w:val="0025103D"/>
    <w:rsid w:val="00251077"/>
    <w:rsid w:val="00251258"/>
    <w:rsid w:val="002513B6"/>
    <w:rsid w:val="002515BA"/>
    <w:rsid w:val="00251668"/>
    <w:rsid w:val="002516A8"/>
    <w:rsid w:val="00251B6C"/>
    <w:rsid w:val="00251B7D"/>
    <w:rsid w:val="00251BF4"/>
    <w:rsid w:val="00251C7D"/>
    <w:rsid w:val="00251FC9"/>
    <w:rsid w:val="002521AF"/>
    <w:rsid w:val="00252967"/>
    <w:rsid w:val="00252C8A"/>
    <w:rsid w:val="00252E7A"/>
    <w:rsid w:val="00252EC4"/>
    <w:rsid w:val="00253271"/>
    <w:rsid w:val="0025331E"/>
    <w:rsid w:val="00253338"/>
    <w:rsid w:val="0025356B"/>
    <w:rsid w:val="00253588"/>
    <w:rsid w:val="00253A57"/>
    <w:rsid w:val="00253B48"/>
    <w:rsid w:val="00253B64"/>
    <w:rsid w:val="00253F2A"/>
    <w:rsid w:val="0025404C"/>
    <w:rsid w:val="0025486C"/>
    <w:rsid w:val="002549F5"/>
    <w:rsid w:val="00254A12"/>
    <w:rsid w:val="00254C2E"/>
    <w:rsid w:val="00254D2F"/>
    <w:rsid w:val="00255100"/>
    <w:rsid w:val="00255207"/>
    <w:rsid w:val="002552B9"/>
    <w:rsid w:val="0025532B"/>
    <w:rsid w:val="00255383"/>
    <w:rsid w:val="002553B6"/>
    <w:rsid w:val="00255621"/>
    <w:rsid w:val="00255946"/>
    <w:rsid w:val="002559EA"/>
    <w:rsid w:val="00255C84"/>
    <w:rsid w:val="00255F05"/>
    <w:rsid w:val="00256113"/>
    <w:rsid w:val="00256159"/>
    <w:rsid w:val="00256327"/>
    <w:rsid w:val="002565A4"/>
    <w:rsid w:val="00256613"/>
    <w:rsid w:val="002567DC"/>
    <w:rsid w:val="00256BA4"/>
    <w:rsid w:val="00256C51"/>
    <w:rsid w:val="00257052"/>
    <w:rsid w:val="002570BE"/>
    <w:rsid w:val="002575B6"/>
    <w:rsid w:val="0025760F"/>
    <w:rsid w:val="00257902"/>
    <w:rsid w:val="0025792C"/>
    <w:rsid w:val="00257931"/>
    <w:rsid w:val="0026001B"/>
    <w:rsid w:val="00260071"/>
    <w:rsid w:val="00260237"/>
    <w:rsid w:val="002603A2"/>
    <w:rsid w:val="00260806"/>
    <w:rsid w:val="0026088E"/>
    <w:rsid w:val="00261308"/>
    <w:rsid w:val="0026138F"/>
    <w:rsid w:val="002614E3"/>
    <w:rsid w:val="0026167C"/>
    <w:rsid w:val="002617FE"/>
    <w:rsid w:val="002621FF"/>
    <w:rsid w:val="00262209"/>
    <w:rsid w:val="002623C7"/>
    <w:rsid w:val="002626FF"/>
    <w:rsid w:val="00263039"/>
    <w:rsid w:val="00263515"/>
    <w:rsid w:val="002636E5"/>
    <w:rsid w:val="00263AC5"/>
    <w:rsid w:val="00263D13"/>
    <w:rsid w:val="00263D1C"/>
    <w:rsid w:val="00263F81"/>
    <w:rsid w:val="002643CC"/>
    <w:rsid w:val="00264455"/>
    <w:rsid w:val="002644C8"/>
    <w:rsid w:val="0026532B"/>
    <w:rsid w:val="0026542B"/>
    <w:rsid w:val="00265559"/>
    <w:rsid w:val="00265717"/>
    <w:rsid w:val="002659C8"/>
    <w:rsid w:val="002663DE"/>
    <w:rsid w:val="00266455"/>
    <w:rsid w:val="00266F63"/>
    <w:rsid w:val="0026706F"/>
    <w:rsid w:val="002670B7"/>
    <w:rsid w:val="0026734F"/>
    <w:rsid w:val="0026759C"/>
    <w:rsid w:val="002675E8"/>
    <w:rsid w:val="00270149"/>
    <w:rsid w:val="00270174"/>
    <w:rsid w:val="002703DD"/>
    <w:rsid w:val="0027051D"/>
    <w:rsid w:val="002706FB"/>
    <w:rsid w:val="00270873"/>
    <w:rsid w:val="00270B7D"/>
    <w:rsid w:val="00270BDC"/>
    <w:rsid w:val="00270C28"/>
    <w:rsid w:val="00270EC0"/>
    <w:rsid w:val="00270FBD"/>
    <w:rsid w:val="00271002"/>
    <w:rsid w:val="0027110A"/>
    <w:rsid w:val="002714A6"/>
    <w:rsid w:val="00271711"/>
    <w:rsid w:val="0027179D"/>
    <w:rsid w:val="00271807"/>
    <w:rsid w:val="00271AC1"/>
    <w:rsid w:val="0027201C"/>
    <w:rsid w:val="00272210"/>
    <w:rsid w:val="0027257B"/>
    <w:rsid w:val="00272696"/>
    <w:rsid w:val="00272DA2"/>
    <w:rsid w:val="00272E01"/>
    <w:rsid w:val="00272E5C"/>
    <w:rsid w:val="00272ED3"/>
    <w:rsid w:val="0027315C"/>
    <w:rsid w:val="00273305"/>
    <w:rsid w:val="00273874"/>
    <w:rsid w:val="00273880"/>
    <w:rsid w:val="00273D78"/>
    <w:rsid w:val="00273D9B"/>
    <w:rsid w:val="0027424A"/>
    <w:rsid w:val="00274379"/>
    <w:rsid w:val="002746E9"/>
    <w:rsid w:val="00274905"/>
    <w:rsid w:val="00274A85"/>
    <w:rsid w:val="00274D08"/>
    <w:rsid w:val="00274E26"/>
    <w:rsid w:val="002751B3"/>
    <w:rsid w:val="00275288"/>
    <w:rsid w:val="00275735"/>
    <w:rsid w:val="00275866"/>
    <w:rsid w:val="0027586E"/>
    <w:rsid w:val="00275B36"/>
    <w:rsid w:val="00275B57"/>
    <w:rsid w:val="00275E43"/>
    <w:rsid w:val="00275E84"/>
    <w:rsid w:val="0027617C"/>
    <w:rsid w:val="002762F3"/>
    <w:rsid w:val="00276550"/>
    <w:rsid w:val="00276F38"/>
    <w:rsid w:val="0027712A"/>
    <w:rsid w:val="002772D8"/>
    <w:rsid w:val="002773C3"/>
    <w:rsid w:val="002775C1"/>
    <w:rsid w:val="002775C7"/>
    <w:rsid w:val="00277697"/>
    <w:rsid w:val="0027777E"/>
    <w:rsid w:val="00277926"/>
    <w:rsid w:val="0027799B"/>
    <w:rsid w:val="00277E1C"/>
    <w:rsid w:val="00280048"/>
    <w:rsid w:val="002801F3"/>
    <w:rsid w:val="002801F7"/>
    <w:rsid w:val="002802DA"/>
    <w:rsid w:val="002804F8"/>
    <w:rsid w:val="00280538"/>
    <w:rsid w:val="002805D6"/>
    <w:rsid w:val="00280821"/>
    <w:rsid w:val="00280984"/>
    <w:rsid w:val="00280A6A"/>
    <w:rsid w:val="00280BF1"/>
    <w:rsid w:val="00280C94"/>
    <w:rsid w:val="00281094"/>
    <w:rsid w:val="0028117A"/>
    <w:rsid w:val="002813F7"/>
    <w:rsid w:val="00281470"/>
    <w:rsid w:val="002814ED"/>
    <w:rsid w:val="002816F8"/>
    <w:rsid w:val="00281776"/>
    <w:rsid w:val="0028182C"/>
    <w:rsid w:val="00281846"/>
    <w:rsid w:val="00281899"/>
    <w:rsid w:val="0028198C"/>
    <w:rsid w:val="00281A06"/>
    <w:rsid w:val="00281A3A"/>
    <w:rsid w:val="00281D08"/>
    <w:rsid w:val="00281E46"/>
    <w:rsid w:val="00281E7F"/>
    <w:rsid w:val="00281F4B"/>
    <w:rsid w:val="00282336"/>
    <w:rsid w:val="0028247F"/>
    <w:rsid w:val="00282540"/>
    <w:rsid w:val="0028258A"/>
    <w:rsid w:val="0028281D"/>
    <w:rsid w:val="00283087"/>
    <w:rsid w:val="002833BC"/>
    <w:rsid w:val="00283466"/>
    <w:rsid w:val="0028369E"/>
    <w:rsid w:val="00283875"/>
    <w:rsid w:val="00283B33"/>
    <w:rsid w:val="00283EDE"/>
    <w:rsid w:val="00283F5D"/>
    <w:rsid w:val="00283FD8"/>
    <w:rsid w:val="00284231"/>
    <w:rsid w:val="002845DD"/>
    <w:rsid w:val="00285D4F"/>
    <w:rsid w:val="002860FB"/>
    <w:rsid w:val="00286251"/>
    <w:rsid w:val="00286296"/>
    <w:rsid w:val="00286319"/>
    <w:rsid w:val="002864B7"/>
    <w:rsid w:val="002864DA"/>
    <w:rsid w:val="002869CA"/>
    <w:rsid w:val="00286B90"/>
    <w:rsid w:val="00286CA8"/>
    <w:rsid w:val="00286E08"/>
    <w:rsid w:val="00286E35"/>
    <w:rsid w:val="00287172"/>
    <w:rsid w:val="002872B9"/>
    <w:rsid w:val="0028782E"/>
    <w:rsid w:val="002878E8"/>
    <w:rsid w:val="0028791E"/>
    <w:rsid w:val="00287A61"/>
    <w:rsid w:val="00287AE4"/>
    <w:rsid w:val="002901FE"/>
    <w:rsid w:val="0029074B"/>
    <w:rsid w:val="002909F8"/>
    <w:rsid w:val="00290EAB"/>
    <w:rsid w:val="00291202"/>
    <w:rsid w:val="002912D6"/>
    <w:rsid w:val="00291BF9"/>
    <w:rsid w:val="00291C93"/>
    <w:rsid w:val="00291CD6"/>
    <w:rsid w:val="002923E0"/>
    <w:rsid w:val="002923E8"/>
    <w:rsid w:val="00292448"/>
    <w:rsid w:val="00292539"/>
    <w:rsid w:val="002925C5"/>
    <w:rsid w:val="00292925"/>
    <w:rsid w:val="00292AB6"/>
    <w:rsid w:val="00292E38"/>
    <w:rsid w:val="00293232"/>
    <w:rsid w:val="00293473"/>
    <w:rsid w:val="0029368A"/>
    <w:rsid w:val="002936F1"/>
    <w:rsid w:val="00293AA7"/>
    <w:rsid w:val="00293D2A"/>
    <w:rsid w:val="00293F16"/>
    <w:rsid w:val="002941A1"/>
    <w:rsid w:val="00294821"/>
    <w:rsid w:val="002949AA"/>
    <w:rsid w:val="00294A18"/>
    <w:rsid w:val="00294C81"/>
    <w:rsid w:val="00294C9A"/>
    <w:rsid w:val="002952D6"/>
    <w:rsid w:val="00295A9D"/>
    <w:rsid w:val="00295B40"/>
    <w:rsid w:val="00295DCA"/>
    <w:rsid w:val="00296F83"/>
    <w:rsid w:val="00296FEE"/>
    <w:rsid w:val="00297227"/>
    <w:rsid w:val="002976E6"/>
    <w:rsid w:val="00297801"/>
    <w:rsid w:val="002979A9"/>
    <w:rsid w:val="00297A10"/>
    <w:rsid w:val="002A04A7"/>
    <w:rsid w:val="002A05C5"/>
    <w:rsid w:val="002A13C7"/>
    <w:rsid w:val="002A14BC"/>
    <w:rsid w:val="002A1673"/>
    <w:rsid w:val="002A1C40"/>
    <w:rsid w:val="002A1EC3"/>
    <w:rsid w:val="002A2167"/>
    <w:rsid w:val="002A2266"/>
    <w:rsid w:val="002A2D9D"/>
    <w:rsid w:val="002A2F37"/>
    <w:rsid w:val="002A33C2"/>
    <w:rsid w:val="002A365D"/>
    <w:rsid w:val="002A3997"/>
    <w:rsid w:val="002A39C5"/>
    <w:rsid w:val="002A3CC3"/>
    <w:rsid w:val="002A3ED5"/>
    <w:rsid w:val="002A404D"/>
    <w:rsid w:val="002A4082"/>
    <w:rsid w:val="002A4190"/>
    <w:rsid w:val="002A4257"/>
    <w:rsid w:val="002A43AE"/>
    <w:rsid w:val="002A45AF"/>
    <w:rsid w:val="002A4642"/>
    <w:rsid w:val="002A47CD"/>
    <w:rsid w:val="002A4858"/>
    <w:rsid w:val="002A4A23"/>
    <w:rsid w:val="002A4A81"/>
    <w:rsid w:val="002A4DAF"/>
    <w:rsid w:val="002A51F6"/>
    <w:rsid w:val="002A57CE"/>
    <w:rsid w:val="002A58E5"/>
    <w:rsid w:val="002A5BF9"/>
    <w:rsid w:val="002A6205"/>
    <w:rsid w:val="002A649F"/>
    <w:rsid w:val="002A652A"/>
    <w:rsid w:val="002A6612"/>
    <w:rsid w:val="002A66F6"/>
    <w:rsid w:val="002A6806"/>
    <w:rsid w:val="002A69D8"/>
    <w:rsid w:val="002A6BAA"/>
    <w:rsid w:val="002A6D00"/>
    <w:rsid w:val="002A6F33"/>
    <w:rsid w:val="002A735C"/>
    <w:rsid w:val="002A7C06"/>
    <w:rsid w:val="002B0655"/>
    <w:rsid w:val="002B08D6"/>
    <w:rsid w:val="002B0B6D"/>
    <w:rsid w:val="002B0C8C"/>
    <w:rsid w:val="002B0CC1"/>
    <w:rsid w:val="002B0D87"/>
    <w:rsid w:val="002B1384"/>
    <w:rsid w:val="002B14E8"/>
    <w:rsid w:val="002B162D"/>
    <w:rsid w:val="002B17BA"/>
    <w:rsid w:val="002B1A8C"/>
    <w:rsid w:val="002B1A9E"/>
    <w:rsid w:val="002B1CB9"/>
    <w:rsid w:val="002B2116"/>
    <w:rsid w:val="002B229E"/>
    <w:rsid w:val="002B30E4"/>
    <w:rsid w:val="002B32F0"/>
    <w:rsid w:val="002B3509"/>
    <w:rsid w:val="002B378E"/>
    <w:rsid w:val="002B392F"/>
    <w:rsid w:val="002B39C4"/>
    <w:rsid w:val="002B3B30"/>
    <w:rsid w:val="002B3D55"/>
    <w:rsid w:val="002B3DDC"/>
    <w:rsid w:val="002B4254"/>
    <w:rsid w:val="002B4288"/>
    <w:rsid w:val="002B44AA"/>
    <w:rsid w:val="002B46A9"/>
    <w:rsid w:val="002B48D4"/>
    <w:rsid w:val="002B4BE6"/>
    <w:rsid w:val="002B4FF8"/>
    <w:rsid w:val="002B50F8"/>
    <w:rsid w:val="002B5450"/>
    <w:rsid w:val="002B6499"/>
    <w:rsid w:val="002B6769"/>
    <w:rsid w:val="002B67AE"/>
    <w:rsid w:val="002B6943"/>
    <w:rsid w:val="002B6ABE"/>
    <w:rsid w:val="002B6DFA"/>
    <w:rsid w:val="002B719F"/>
    <w:rsid w:val="002B728B"/>
    <w:rsid w:val="002B72B0"/>
    <w:rsid w:val="002B7416"/>
    <w:rsid w:val="002B77CF"/>
    <w:rsid w:val="002B78ED"/>
    <w:rsid w:val="002B7991"/>
    <w:rsid w:val="002B79BB"/>
    <w:rsid w:val="002B7A5B"/>
    <w:rsid w:val="002B7E56"/>
    <w:rsid w:val="002B7FCA"/>
    <w:rsid w:val="002C012C"/>
    <w:rsid w:val="002C03BE"/>
    <w:rsid w:val="002C0945"/>
    <w:rsid w:val="002C0AA3"/>
    <w:rsid w:val="002C0C00"/>
    <w:rsid w:val="002C0CC5"/>
    <w:rsid w:val="002C0D09"/>
    <w:rsid w:val="002C0D19"/>
    <w:rsid w:val="002C0EF8"/>
    <w:rsid w:val="002C1040"/>
    <w:rsid w:val="002C14C0"/>
    <w:rsid w:val="002C16C8"/>
    <w:rsid w:val="002C1DD5"/>
    <w:rsid w:val="002C1E1C"/>
    <w:rsid w:val="002C20A0"/>
    <w:rsid w:val="002C22C6"/>
    <w:rsid w:val="002C23A1"/>
    <w:rsid w:val="002C282A"/>
    <w:rsid w:val="002C2877"/>
    <w:rsid w:val="002C2B67"/>
    <w:rsid w:val="002C2C69"/>
    <w:rsid w:val="002C2F1E"/>
    <w:rsid w:val="002C3116"/>
    <w:rsid w:val="002C356C"/>
    <w:rsid w:val="002C382C"/>
    <w:rsid w:val="002C38B7"/>
    <w:rsid w:val="002C3917"/>
    <w:rsid w:val="002C3A48"/>
    <w:rsid w:val="002C3AB2"/>
    <w:rsid w:val="002C3B7F"/>
    <w:rsid w:val="002C3EDF"/>
    <w:rsid w:val="002C42BF"/>
    <w:rsid w:val="002C4DCB"/>
    <w:rsid w:val="002C5020"/>
    <w:rsid w:val="002C5213"/>
    <w:rsid w:val="002C523E"/>
    <w:rsid w:val="002C56A7"/>
    <w:rsid w:val="002C5AA1"/>
    <w:rsid w:val="002C5DCF"/>
    <w:rsid w:val="002C60B5"/>
    <w:rsid w:val="002C62B8"/>
    <w:rsid w:val="002C6387"/>
    <w:rsid w:val="002C6637"/>
    <w:rsid w:val="002C672E"/>
    <w:rsid w:val="002C685A"/>
    <w:rsid w:val="002C688B"/>
    <w:rsid w:val="002C6B7F"/>
    <w:rsid w:val="002C6D1B"/>
    <w:rsid w:val="002C6D20"/>
    <w:rsid w:val="002C7119"/>
    <w:rsid w:val="002C7280"/>
    <w:rsid w:val="002C781A"/>
    <w:rsid w:val="002C7AC4"/>
    <w:rsid w:val="002C7D53"/>
    <w:rsid w:val="002D041C"/>
    <w:rsid w:val="002D0603"/>
    <w:rsid w:val="002D08FF"/>
    <w:rsid w:val="002D09E7"/>
    <w:rsid w:val="002D12B0"/>
    <w:rsid w:val="002D1334"/>
    <w:rsid w:val="002D1465"/>
    <w:rsid w:val="002D1624"/>
    <w:rsid w:val="002D16C1"/>
    <w:rsid w:val="002D17FF"/>
    <w:rsid w:val="002D1B81"/>
    <w:rsid w:val="002D1E8B"/>
    <w:rsid w:val="002D271B"/>
    <w:rsid w:val="002D2813"/>
    <w:rsid w:val="002D28D7"/>
    <w:rsid w:val="002D2BAD"/>
    <w:rsid w:val="002D3002"/>
    <w:rsid w:val="002D313A"/>
    <w:rsid w:val="002D316E"/>
    <w:rsid w:val="002D3195"/>
    <w:rsid w:val="002D3385"/>
    <w:rsid w:val="002D38E5"/>
    <w:rsid w:val="002D3EFE"/>
    <w:rsid w:val="002D472B"/>
    <w:rsid w:val="002D4C9C"/>
    <w:rsid w:val="002D4EDB"/>
    <w:rsid w:val="002D514C"/>
    <w:rsid w:val="002D525C"/>
    <w:rsid w:val="002D53AC"/>
    <w:rsid w:val="002D581A"/>
    <w:rsid w:val="002D585E"/>
    <w:rsid w:val="002D5915"/>
    <w:rsid w:val="002D5AAE"/>
    <w:rsid w:val="002D5BF2"/>
    <w:rsid w:val="002D5E5C"/>
    <w:rsid w:val="002D6138"/>
    <w:rsid w:val="002D6226"/>
    <w:rsid w:val="002D67D5"/>
    <w:rsid w:val="002D69EB"/>
    <w:rsid w:val="002D6CC2"/>
    <w:rsid w:val="002D6EE0"/>
    <w:rsid w:val="002D77CC"/>
    <w:rsid w:val="002E008F"/>
    <w:rsid w:val="002E0295"/>
    <w:rsid w:val="002E03EF"/>
    <w:rsid w:val="002E0586"/>
    <w:rsid w:val="002E05F5"/>
    <w:rsid w:val="002E0710"/>
    <w:rsid w:val="002E0DA5"/>
    <w:rsid w:val="002E0DEF"/>
    <w:rsid w:val="002E113C"/>
    <w:rsid w:val="002E136B"/>
    <w:rsid w:val="002E153E"/>
    <w:rsid w:val="002E15FB"/>
    <w:rsid w:val="002E1792"/>
    <w:rsid w:val="002E17E0"/>
    <w:rsid w:val="002E17F5"/>
    <w:rsid w:val="002E1836"/>
    <w:rsid w:val="002E1C36"/>
    <w:rsid w:val="002E1FB3"/>
    <w:rsid w:val="002E2066"/>
    <w:rsid w:val="002E20CA"/>
    <w:rsid w:val="002E25A1"/>
    <w:rsid w:val="002E262E"/>
    <w:rsid w:val="002E2657"/>
    <w:rsid w:val="002E2954"/>
    <w:rsid w:val="002E2A0A"/>
    <w:rsid w:val="002E2BD0"/>
    <w:rsid w:val="002E2E58"/>
    <w:rsid w:val="002E2FE1"/>
    <w:rsid w:val="002E30C5"/>
    <w:rsid w:val="002E3364"/>
    <w:rsid w:val="002E389A"/>
    <w:rsid w:val="002E3B29"/>
    <w:rsid w:val="002E3DC6"/>
    <w:rsid w:val="002E3E18"/>
    <w:rsid w:val="002E3F40"/>
    <w:rsid w:val="002E4368"/>
    <w:rsid w:val="002E512B"/>
    <w:rsid w:val="002E5533"/>
    <w:rsid w:val="002E5D99"/>
    <w:rsid w:val="002E5DE5"/>
    <w:rsid w:val="002E5FD0"/>
    <w:rsid w:val="002E6085"/>
    <w:rsid w:val="002E631E"/>
    <w:rsid w:val="002E63C7"/>
    <w:rsid w:val="002E6602"/>
    <w:rsid w:val="002E684B"/>
    <w:rsid w:val="002E68AE"/>
    <w:rsid w:val="002E6B11"/>
    <w:rsid w:val="002E7183"/>
    <w:rsid w:val="002E7457"/>
    <w:rsid w:val="002E778F"/>
    <w:rsid w:val="002E783D"/>
    <w:rsid w:val="002E7C12"/>
    <w:rsid w:val="002E7D62"/>
    <w:rsid w:val="002E7DC3"/>
    <w:rsid w:val="002E7E8A"/>
    <w:rsid w:val="002E7FB0"/>
    <w:rsid w:val="002F009C"/>
    <w:rsid w:val="002F01FE"/>
    <w:rsid w:val="002F020D"/>
    <w:rsid w:val="002F0457"/>
    <w:rsid w:val="002F099E"/>
    <w:rsid w:val="002F09B5"/>
    <w:rsid w:val="002F108E"/>
    <w:rsid w:val="002F11A9"/>
    <w:rsid w:val="002F142D"/>
    <w:rsid w:val="002F16D3"/>
    <w:rsid w:val="002F172A"/>
    <w:rsid w:val="002F1824"/>
    <w:rsid w:val="002F19DF"/>
    <w:rsid w:val="002F1CF8"/>
    <w:rsid w:val="002F2064"/>
    <w:rsid w:val="002F25D4"/>
    <w:rsid w:val="002F27B9"/>
    <w:rsid w:val="002F28CB"/>
    <w:rsid w:val="002F29AA"/>
    <w:rsid w:val="002F2A78"/>
    <w:rsid w:val="002F2B77"/>
    <w:rsid w:val="002F2BD7"/>
    <w:rsid w:val="002F31CE"/>
    <w:rsid w:val="002F3844"/>
    <w:rsid w:val="002F3AF2"/>
    <w:rsid w:val="002F4161"/>
    <w:rsid w:val="002F43A7"/>
    <w:rsid w:val="002F4773"/>
    <w:rsid w:val="002F4BCD"/>
    <w:rsid w:val="002F501F"/>
    <w:rsid w:val="002F53C4"/>
    <w:rsid w:val="002F53EB"/>
    <w:rsid w:val="002F5655"/>
    <w:rsid w:val="002F589A"/>
    <w:rsid w:val="002F5FAA"/>
    <w:rsid w:val="002F610A"/>
    <w:rsid w:val="002F621D"/>
    <w:rsid w:val="002F62CC"/>
    <w:rsid w:val="002F65B6"/>
    <w:rsid w:val="002F6646"/>
    <w:rsid w:val="002F6AA0"/>
    <w:rsid w:val="002F6AAC"/>
    <w:rsid w:val="002F6B8D"/>
    <w:rsid w:val="002F6C7D"/>
    <w:rsid w:val="002F6CD3"/>
    <w:rsid w:val="002F6E20"/>
    <w:rsid w:val="002F6EF9"/>
    <w:rsid w:val="002F7296"/>
    <w:rsid w:val="002F7395"/>
    <w:rsid w:val="002F7501"/>
    <w:rsid w:val="002F7A63"/>
    <w:rsid w:val="002F7F06"/>
    <w:rsid w:val="0030026B"/>
    <w:rsid w:val="003007A2"/>
    <w:rsid w:val="00300DE0"/>
    <w:rsid w:val="00301281"/>
    <w:rsid w:val="0030151F"/>
    <w:rsid w:val="00301759"/>
    <w:rsid w:val="00301D2C"/>
    <w:rsid w:val="00302133"/>
    <w:rsid w:val="0030231B"/>
    <w:rsid w:val="00302721"/>
    <w:rsid w:val="00302A06"/>
    <w:rsid w:val="00302A63"/>
    <w:rsid w:val="00302ABB"/>
    <w:rsid w:val="00302C29"/>
    <w:rsid w:val="00302D11"/>
    <w:rsid w:val="00302D4C"/>
    <w:rsid w:val="00303031"/>
    <w:rsid w:val="003031A6"/>
    <w:rsid w:val="0030370C"/>
    <w:rsid w:val="00303718"/>
    <w:rsid w:val="00303926"/>
    <w:rsid w:val="00303A40"/>
    <w:rsid w:val="00303C07"/>
    <w:rsid w:val="00303E6F"/>
    <w:rsid w:val="00304358"/>
    <w:rsid w:val="00304420"/>
    <w:rsid w:val="00304668"/>
    <w:rsid w:val="003049A0"/>
    <w:rsid w:val="00304E99"/>
    <w:rsid w:val="00305277"/>
    <w:rsid w:val="0030542B"/>
    <w:rsid w:val="0030589D"/>
    <w:rsid w:val="00305920"/>
    <w:rsid w:val="003059D4"/>
    <w:rsid w:val="00305C58"/>
    <w:rsid w:val="00305F2F"/>
    <w:rsid w:val="00305F70"/>
    <w:rsid w:val="00305FF9"/>
    <w:rsid w:val="0030608F"/>
    <w:rsid w:val="003060AB"/>
    <w:rsid w:val="00306399"/>
    <w:rsid w:val="003064D1"/>
    <w:rsid w:val="00306509"/>
    <w:rsid w:val="003066BD"/>
    <w:rsid w:val="003069A4"/>
    <w:rsid w:val="00306BF0"/>
    <w:rsid w:val="00306C1E"/>
    <w:rsid w:val="00306D42"/>
    <w:rsid w:val="00306F3A"/>
    <w:rsid w:val="00307303"/>
    <w:rsid w:val="003074DA"/>
    <w:rsid w:val="003077C7"/>
    <w:rsid w:val="00307976"/>
    <w:rsid w:val="00307A2A"/>
    <w:rsid w:val="00307C68"/>
    <w:rsid w:val="00307F6C"/>
    <w:rsid w:val="0031070B"/>
    <w:rsid w:val="003107E9"/>
    <w:rsid w:val="003109CD"/>
    <w:rsid w:val="00310CBF"/>
    <w:rsid w:val="00310E8F"/>
    <w:rsid w:val="00310F85"/>
    <w:rsid w:val="003117CC"/>
    <w:rsid w:val="00311828"/>
    <w:rsid w:val="00312184"/>
    <w:rsid w:val="003122E2"/>
    <w:rsid w:val="00312411"/>
    <w:rsid w:val="00312619"/>
    <w:rsid w:val="00312925"/>
    <w:rsid w:val="00312A3C"/>
    <w:rsid w:val="00312DBB"/>
    <w:rsid w:val="00313226"/>
    <w:rsid w:val="00313546"/>
    <w:rsid w:val="003142A0"/>
    <w:rsid w:val="0031445A"/>
    <w:rsid w:val="00314531"/>
    <w:rsid w:val="00314CB5"/>
    <w:rsid w:val="003157B6"/>
    <w:rsid w:val="003157D8"/>
    <w:rsid w:val="0031587D"/>
    <w:rsid w:val="00315931"/>
    <w:rsid w:val="00315B53"/>
    <w:rsid w:val="00315D07"/>
    <w:rsid w:val="00315D2B"/>
    <w:rsid w:val="00315E8A"/>
    <w:rsid w:val="00315F58"/>
    <w:rsid w:val="003164B0"/>
    <w:rsid w:val="0031663B"/>
    <w:rsid w:val="0031669D"/>
    <w:rsid w:val="00316871"/>
    <w:rsid w:val="00316A3F"/>
    <w:rsid w:val="00316BB8"/>
    <w:rsid w:val="00316CFD"/>
    <w:rsid w:val="003171C5"/>
    <w:rsid w:val="00317389"/>
    <w:rsid w:val="003174A1"/>
    <w:rsid w:val="003174F2"/>
    <w:rsid w:val="003175D8"/>
    <w:rsid w:val="0031790E"/>
    <w:rsid w:val="003179F9"/>
    <w:rsid w:val="00317A57"/>
    <w:rsid w:val="00317D2E"/>
    <w:rsid w:val="00320296"/>
    <w:rsid w:val="0032033B"/>
    <w:rsid w:val="0032045C"/>
    <w:rsid w:val="0032067E"/>
    <w:rsid w:val="0032069D"/>
    <w:rsid w:val="00320928"/>
    <w:rsid w:val="0032093C"/>
    <w:rsid w:val="00320DD1"/>
    <w:rsid w:val="00320F1A"/>
    <w:rsid w:val="00321119"/>
    <w:rsid w:val="0032118D"/>
    <w:rsid w:val="00321191"/>
    <w:rsid w:val="003212E1"/>
    <w:rsid w:val="0032135B"/>
    <w:rsid w:val="003218CA"/>
    <w:rsid w:val="00321B13"/>
    <w:rsid w:val="00321EB6"/>
    <w:rsid w:val="00322241"/>
    <w:rsid w:val="003222AF"/>
    <w:rsid w:val="003222CB"/>
    <w:rsid w:val="0032273E"/>
    <w:rsid w:val="00322B9A"/>
    <w:rsid w:val="0032313D"/>
    <w:rsid w:val="00323577"/>
    <w:rsid w:val="00323DA0"/>
    <w:rsid w:val="003245DA"/>
    <w:rsid w:val="00324611"/>
    <w:rsid w:val="00324618"/>
    <w:rsid w:val="003247EA"/>
    <w:rsid w:val="0032499D"/>
    <w:rsid w:val="00324D7D"/>
    <w:rsid w:val="00324ECB"/>
    <w:rsid w:val="003259FC"/>
    <w:rsid w:val="00325CD3"/>
    <w:rsid w:val="00325D68"/>
    <w:rsid w:val="00325E10"/>
    <w:rsid w:val="00325E9F"/>
    <w:rsid w:val="0032616A"/>
    <w:rsid w:val="00326269"/>
    <w:rsid w:val="00326634"/>
    <w:rsid w:val="003266C6"/>
    <w:rsid w:val="00326760"/>
    <w:rsid w:val="00326836"/>
    <w:rsid w:val="00326881"/>
    <w:rsid w:val="00326990"/>
    <w:rsid w:val="00326B47"/>
    <w:rsid w:val="0032742E"/>
    <w:rsid w:val="003274F0"/>
    <w:rsid w:val="003274FD"/>
    <w:rsid w:val="00327727"/>
    <w:rsid w:val="00327AE9"/>
    <w:rsid w:val="00327C11"/>
    <w:rsid w:val="00327E0D"/>
    <w:rsid w:val="00327F60"/>
    <w:rsid w:val="003303C6"/>
    <w:rsid w:val="00330419"/>
    <w:rsid w:val="003307EA"/>
    <w:rsid w:val="00330C77"/>
    <w:rsid w:val="00330F36"/>
    <w:rsid w:val="00331048"/>
    <w:rsid w:val="0033110B"/>
    <w:rsid w:val="00331184"/>
    <w:rsid w:val="003314E2"/>
    <w:rsid w:val="00331DE1"/>
    <w:rsid w:val="00331E30"/>
    <w:rsid w:val="0033208F"/>
    <w:rsid w:val="0033222B"/>
    <w:rsid w:val="00332251"/>
    <w:rsid w:val="003322BA"/>
    <w:rsid w:val="003322F2"/>
    <w:rsid w:val="0033238A"/>
    <w:rsid w:val="003325B3"/>
    <w:rsid w:val="0033263A"/>
    <w:rsid w:val="003327B8"/>
    <w:rsid w:val="00332BF9"/>
    <w:rsid w:val="00332FE8"/>
    <w:rsid w:val="00333038"/>
    <w:rsid w:val="00333369"/>
    <w:rsid w:val="0033378C"/>
    <w:rsid w:val="00333B3D"/>
    <w:rsid w:val="00333BA3"/>
    <w:rsid w:val="00333F2F"/>
    <w:rsid w:val="00334478"/>
    <w:rsid w:val="003344F8"/>
    <w:rsid w:val="00334825"/>
    <w:rsid w:val="00334A8C"/>
    <w:rsid w:val="00334C9A"/>
    <w:rsid w:val="00334F6F"/>
    <w:rsid w:val="0033551B"/>
    <w:rsid w:val="003356B6"/>
    <w:rsid w:val="003359A5"/>
    <w:rsid w:val="00335A37"/>
    <w:rsid w:val="00335C2A"/>
    <w:rsid w:val="00335D80"/>
    <w:rsid w:val="00336036"/>
    <w:rsid w:val="00336154"/>
    <w:rsid w:val="0033637A"/>
    <w:rsid w:val="00336B21"/>
    <w:rsid w:val="00336BF2"/>
    <w:rsid w:val="00336D6C"/>
    <w:rsid w:val="00337784"/>
    <w:rsid w:val="003377C8"/>
    <w:rsid w:val="00337BDC"/>
    <w:rsid w:val="00337CA8"/>
    <w:rsid w:val="00337E31"/>
    <w:rsid w:val="00337F35"/>
    <w:rsid w:val="00337F46"/>
    <w:rsid w:val="0034018F"/>
    <w:rsid w:val="003405ED"/>
    <w:rsid w:val="00341654"/>
    <w:rsid w:val="00341C9C"/>
    <w:rsid w:val="00341F71"/>
    <w:rsid w:val="00342086"/>
    <w:rsid w:val="0034226D"/>
    <w:rsid w:val="003422DC"/>
    <w:rsid w:val="003424F9"/>
    <w:rsid w:val="0034270B"/>
    <w:rsid w:val="00342B73"/>
    <w:rsid w:val="00342C27"/>
    <w:rsid w:val="0034319F"/>
    <w:rsid w:val="00343688"/>
    <w:rsid w:val="0034390A"/>
    <w:rsid w:val="00343B86"/>
    <w:rsid w:val="00343E23"/>
    <w:rsid w:val="0034401F"/>
    <w:rsid w:val="00344222"/>
    <w:rsid w:val="00344585"/>
    <w:rsid w:val="00344706"/>
    <w:rsid w:val="00344CE8"/>
    <w:rsid w:val="00344DB1"/>
    <w:rsid w:val="003452E7"/>
    <w:rsid w:val="0034555B"/>
    <w:rsid w:val="00345D44"/>
    <w:rsid w:val="003460F2"/>
    <w:rsid w:val="003464E9"/>
    <w:rsid w:val="00346A03"/>
    <w:rsid w:val="00346D88"/>
    <w:rsid w:val="003471D3"/>
    <w:rsid w:val="003471D7"/>
    <w:rsid w:val="003472D3"/>
    <w:rsid w:val="0034750B"/>
    <w:rsid w:val="003479F6"/>
    <w:rsid w:val="00347A7A"/>
    <w:rsid w:val="00347D30"/>
    <w:rsid w:val="00347FCF"/>
    <w:rsid w:val="00350033"/>
    <w:rsid w:val="00350084"/>
    <w:rsid w:val="00350209"/>
    <w:rsid w:val="003502DA"/>
    <w:rsid w:val="00350339"/>
    <w:rsid w:val="00350429"/>
    <w:rsid w:val="00350599"/>
    <w:rsid w:val="00350DDD"/>
    <w:rsid w:val="0035103C"/>
    <w:rsid w:val="00351BB3"/>
    <w:rsid w:val="00351BE2"/>
    <w:rsid w:val="00351ED4"/>
    <w:rsid w:val="00351FFE"/>
    <w:rsid w:val="00352442"/>
    <w:rsid w:val="0035260D"/>
    <w:rsid w:val="00352873"/>
    <w:rsid w:val="003528A8"/>
    <w:rsid w:val="003529E4"/>
    <w:rsid w:val="00352B01"/>
    <w:rsid w:val="003530D6"/>
    <w:rsid w:val="00353309"/>
    <w:rsid w:val="00353436"/>
    <w:rsid w:val="003534A2"/>
    <w:rsid w:val="00353549"/>
    <w:rsid w:val="003535BC"/>
    <w:rsid w:val="0035396B"/>
    <w:rsid w:val="00353B97"/>
    <w:rsid w:val="00353D70"/>
    <w:rsid w:val="00353E36"/>
    <w:rsid w:val="00353E92"/>
    <w:rsid w:val="00353FDA"/>
    <w:rsid w:val="00354711"/>
    <w:rsid w:val="003547EA"/>
    <w:rsid w:val="00354B93"/>
    <w:rsid w:val="003556D8"/>
    <w:rsid w:val="0035577F"/>
    <w:rsid w:val="00355AAF"/>
    <w:rsid w:val="00355C29"/>
    <w:rsid w:val="00355CFD"/>
    <w:rsid w:val="003560FA"/>
    <w:rsid w:val="00356122"/>
    <w:rsid w:val="003561D5"/>
    <w:rsid w:val="0035643F"/>
    <w:rsid w:val="00356477"/>
    <w:rsid w:val="0035667D"/>
    <w:rsid w:val="00356911"/>
    <w:rsid w:val="0035698C"/>
    <w:rsid w:val="00356DD4"/>
    <w:rsid w:val="003570E6"/>
    <w:rsid w:val="0035713C"/>
    <w:rsid w:val="00357449"/>
    <w:rsid w:val="00357591"/>
    <w:rsid w:val="00357833"/>
    <w:rsid w:val="00357ECC"/>
    <w:rsid w:val="00357F38"/>
    <w:rsid w:val="003600E4"/>
    <w:rsid w:val="0036012D"/>
    <w:rsid w:val="00360B38"/>
    <w:rsid w:val="00360C7B"/>
    <w:rsid w:val="00360C95"/>
    <w:rsid w:val="00360CB3"/>
    <w:rsid w:val="00360DDD"/>
    <w:rsid w:val="0036127C"/>
    <w:rsid w:val="00361581"/>
    <w:rsid w:val="0036177A"/>
    <w:rsid w:val="00361804"/>
    <w:rsid w:val="003618C0"/>
    <w:rsid w:val="00361B93"/>
    <w:rsid w:val="00362170"/>
    <w:rsid w:val="00362232"/>
    <w:rsid w:val="00362513"/>
    <w:rsid w:val="003625A9"/>
    <w:rsid w:val="00362742"/>
    <w:rsid w:val="00362774"/>
    <w:rsid w:val="0036286C"/>
    <w:rsid w:val="003628C6"/>
    <w:rsid w:val="00362C41"/>
    <w:rsid w:val="00362E99"/>
    <w:rsid w:val="003632FC"/>
    <w:rsid w:val="00363626"/>
    <w:rsid w:val="003638A9"/>
    <w:rsid w:val="00363946"/>
    <w:rsid w:val="00363E7B"/>
    <w:rsid w:val="003642C2"/>
    <w:rsid w:val="003644B4"/>
    <w:rsid w:val="003644DF"/>
    <w:rsid w:val="0036459C"/>
    <w:rsid w:val="003645EB"/>
    <w:rsid w:val="00364616"/>
    <w:rsid w:val="00364921"/>
    <w:rsid w:val="00364A04"/>
    <w:rsid w:val="00364B02"/>
    <w:rsid w:val="00364B60"/>
    <w:rsid w:val="00364B75"/>
    <w:rsid w:val="00364E0F"/>
    <w:rsid w:val="00365251"/>
    <w:rsid w:val="0036534B"/>
    <w:rsid w:val="003654DB"/>
    <w:rsid w:val="00365882"/>
    <w:rsid w:val="00365C89"/>
    <w:rsid w:val="003663D2"/>
    <w:rsid w:val="00366417"/>
    <w:rsid w:val="003666F0"/>
    <w:rsid w:val="0036680E"/>
    <w:rsid w:val="00366965"/>
    <w:rsid w:val="00366A49"/>
    <w:rsid w:val="00366B64"/>
    <w:rsid w:val="00366D78"/>
    <w:rsid w:val="00366E41"/>
    <w:rsid w:val="00367139"/>
    <w:rsid w:val="00367A91"/>
    <w:rsid w:val="00367AE5"/>
    <w:rsid w:val="00367EAB"/>
    <w:rsid w:val="00367EF1"/>
    <w:rsid w:val="00367FD5"/>
    <w:rsid w:val="00370055"/>
    <w:rsid w:val="003700C3"/>
    <w:rsid w:val="00370274"/>
    <w:rsid w:val="0037064C"/>
    <w:rsid w:val="0037068D"/>
    <w:rsid w:val="00371164"/>
    <w:rsid w:val="0037147A"/>
    <w:rsid w:val="003723CB"/>
    <w:rsid w:val="0037248D"/>
    <w:rsid w:val="003726AE"/>
    <w:rsid w:val="00372D48"/>
    <w:rsid w:val="00372D73"/>
    <w:rsid w:val="00372DD2"/>
    <w:rsid w:val="00373300"/>
    <w:rsid w:val="0037334E"/>
    <w:rsid w:val="003738E1"/>
    <w:rsid w:val="00373B20"/>
    <w:rsid w:val="00374104"/>
    <w:rsid w:val="00374325"/>
    <w:rsid w:val="0037477A"/>
    <w:rsid w:val="0037490C"/>
    <w:rsid w:val="00374A7E"/>
    <w:rsid w:val="00374BA7"/>
    <w:rsid w:val="003750D6"/>
    <w:rsid w:val="00375123"/>
    <w:rsid w:val="003752DF"/>
    <w:rsid w:val="00375357"/>
    <w:rsid w:val="003757F3"/>
    <w:rsid w:val="00375D81"/>
    <w:rsid w:val="00375E42"/>
    <w:rsid w:val="00376275"/>
    <w:rsid w:val="003766D9"/>
    <w:rsid w:val="0037681A"/>
    <w:rsid w:val="003768FF"/>
    <w:rsid w:val="00376955"/>
    <w:rsid w:val="00376AD7"/>
    <w:rsid w:val="00376D69"/>
    <w:rsid w:val="00376F66"/>
    <w:rsid w:val="003774F6"/>
    <w:rsid w:val="00377780"/>
    <w:rsid w:val="0037778A"/>
    <w:rsid w:val="00377ADC"/>
    <w:rsid w:val="00377C22"/>
    <w:rsid w:val="003800B6"/>
    <w:rsid w:val="003800BC"/>
    <w:rsid w:val="003804C8"/>
    <w:rsid w:val="003804DD"/>
    <w:rsid w:val="00380C5F"/>
    <w:rsid w:val="00380C93"/>
    <w:rsid w:val="00380DC0"/>
    <w:rsid w:val="00380EBA"/>
    <w:rsid w:val="00380FDA"/>
    <w:rsid w:val="00381089"/>
    <w:rsid w:val="003810BE"/>
    <w:rsid w:val="00381121"/>
    <w:rsid w:val="00381202"/>
    <w:rsid w:val="00381461"/>
    <w:rsid w:val="00381508"/>
    <w:rsid w:val="003815C9"/>
    <w:rsid w:val="0038180A"/>
    <w:rsid w:val="003818DB"/>
    <w:rsid w:val="00381A42"/>
    <w:rsid w:val="00381CA3"/>
    <w:rsid w:val="00381E88"/>
    <w:rsid w:val="00382013"/>
    <w:rsid w:val="00382152"/>
    <w:rsid w:val="00382936"/>
    <w:rsid w:val="00383062"/>
    <w:rsid w:val="00383749"/>
    <w:rsid w:val="00384D27"/>
    <w:rsid w:val="0038507F"/>
    <w:rsid w:val="003851D8"/>
    <w:rsid w:val="00385239"/>
    <w:rsid w:val="003856F6"/>
    <w:rsid w:val="0038592F"/>
    <w:rsid w:val="0038597B"/>
    <w:rsid w:val="00385CAE"/>
    <w:rsid w:val="00385DBA"/>
    <w:rsid w:val="00385E56"/>
    <w:rsid w:val="00385F3E"/>
    <w:rsid w:val="00385F7C"/>
    <w:rsid w:val="0038618D"/>
    <w:rsid w:val="00386333"/>
    <w:rsid w:val="00386585"/>
    <w:rsid w:val="003869B9"/>
    <w:rsid w:val="003869BE"/>
    <w:rsid w:val="00386A37"/>
    <w:rsid w:val="00386A9A"/>
    <w:rsid w:val="00386D99"/>
    <w:rsid w:val="003878AB"/>
    <w:rsid w:val="003879D8"/>
    <w:rsid w:val="00387B0D"/>
    <w:rsid w:val="00387E13"/>
    <w:rsid w:val="00390667"/>
    <w:rsid w:val="003908A4"/>
    <w:rsid w:val="003908F0"/>
    <w:rsid w:val="00390DE4"/>
    <w:rsid w:val="00391DBE"/>
    <w:rsid w:val="003921D6"/>
    <w:rsid w:val="0039243A"/>
    <w:rsid w:val="003924D9"/>
    <w:rsid w:val="003924E1"/>
    <w:rsid w:val="00392CCE"/>
    <w:rsid w:val="0039300A"/>
    <w:rsid w:val="0039334E"/>
    <w:rsid w:val="003933BB"/>
    <w:rsid w:val="003934F6"/>
    <w:rsid w:val="003937B4"/>
    <w:rsid w:val="00393825"/>
    <w:rsid w:val="00393A38"/>
    <w:rsid w:val="00393A5D"/>
    <w:rsid w:val="0039406E"/>
    <w:rsid w:val="0039408E"/>
    <w:rsid w:val="00394677"/>
    <w:rsid w:val="00394A5B"/>
    <w:rsid w:val="00394BBF"/>
    <w:rsid w:val="00394ED6"/>
    <w:rsid w:val="00394FAB"/>
    <w:rsid w:val="00394FCD"/>
    <w:rsid w:val="0039510F"/>
    <w:rsid w:val="003952D6"/>
    <w:rsid w:val="0039537C"/>
    <w:rsid w:val="003954C9"/>
    <w:rsid w:val="00395581"/>
    <w:rsid w:val="00395864"/>
    <w:rsid w:val="00395C56"/>
    <w:rsid w:val="00395F59"/>
    <w:rsid w:val="0039639C"/>
    <w:rsid w:val="003963FB"/>
    <w:rsid w:val="00396433"/>
    <w:rsid w:val="00396450"/>
    <w:rsid w:val="0039687E"/>
    <w:rsid w:val="00396A61"/>
    <w:rsid w:val="00396BC4"/>
    <w:rsid w:val="00396EB7"/>
    <w:rsid w:val="003972BB"/>
    <w:rsid w:val="0039741F"/>
    <w:rsid w:val="00397789"/>
    <w:rsid w:val="0039779B"/>
    <w:rsid w:val="003977AF"/>
    <w:rsid w:val="0039789F"/>
    <w:rsid w:val="00397923"/>
    <w:rsid w:val="00397AE3"/>
    <w:rsid w:val="00397AF1"/>
    <w:rsid w:val="00397BDD"/>
    <w:rsid w:val="00397C0D"/>
    <w:rsid w:val="00397DCA"/>
    <w:rsid w:val="00397DDE"/>
    <w:rsid w:val="003A0277"/>
    <w:rsid w:val="003A07F5"/>
    <w:rsid w:val="003A08A5"/>
    <w:rsid w:val="003A0927"/>
    <w:rsid w:val="003A0CF3"/>
    <w:rsid w:val="003A0EB5"/>
    <w:rsid w:val="003A0F55"/>
    <w:rsid w:val="003A1271"/>
    <w:rsid w:val="003A16B3"/>
    <w:rsid w:val="003A1702"/>
    <w:rsid w:val="003A187F"/>
    <w:rsid w:val="003A1EEF"/>
    <w:rsid w:val="003A1FB2"/>
    <w:rsid w:val="003A2761"/>
    <w:rsid w:val="003A27AE"/>
    <w:rsid w:val="003A2B8F"/>
    <w:rsid w:val="003A2BBE"/>
    <w:rsid w:val="003A2ED1"/>
    <w:rsid w:val="003A2EE5"/>
    <w:rsid w:val="003A2F53"/>
    <w:rsid w:val="003A331B"/>
    <w:rsid w:val="003A376D"/>
    <w:rsid w:val="003A3955"/>
    <w:rsid w:val="003A3A2A"/>
    <w:rsid w:val="003A3C34"/>
    <w:rsid w:val="003A3D9C"/>
    <w:rsid w:val="003A3DCC"/>
    <w:rsid w:val="003A3F1F"/>
    <w:rsid w:val="003A4176"/>
    <w:rsid w:val="003A4212"/>
    <w:rsid w:val="003A47F3"/>
    <w:rsid w:val="003A492A"/>
    <w:rsid w:val="003A4CBE"/>
    <w:rsid w:val="003A4DD2"/>
    <w:rsid w:val="003A4E08"/>
    <w:rsid w:val="003A4E13"/>
    <w:rsid w:val="003A5713"/>
    <w:rsid w:val="003A57E6"/>
    <w:rsid w:val="003A5D2F"/>
    <w:rsid w:val="003A5F52"/>
    <w:rsid w:val="003A6A15"/>
    <w:rsid w:val="003A6CE3"/>
    <w:rsid w:val="003A6D10"/>
    <w:rsid w:val="003A6DBD"/>
    <w:rsid w:val="003A707B"/>
    <w:rsid w:val="003A7083"/>
    <w:rsid w:val="003A70DA"/>
    <w:rsid w:val="003A77E1"/>
    <w:rsid w:val="003A7ADC"/>
    <w:rsid w:val="003A7CA5"/>
    <w:rsid w:val="003B028E"/>
    <w:rsid w:val="003B0487"/>
    <w:rsid w:val="003B0970"/>
    <w:rsid w:val="003B0CB8"/>
    <w:rsid w:val="003B22CD"/>
    <w:rsid w:val="003B24B4"/>
    <w:rsid w:val="003B27E2"/>
    <w:rsid w:val="003B2B05"/>
    <w:rsid w:val="003B2E02"/>
    <w:rsid w:val="003B2EAD"/>
    <w:rsid w:val="003B2F91"/>
    <w:rsid w:val="003B3156"/>
    <w:rsid w:val="003B32DB"/>
    <w:rsid w:val="003B3555"/>
    <w:rsid w:val="003B38AF"/>
    <w:rsid w:val="003B38D8"/>
    <w:rsid w:val="003B3A8B"/>
    <w:rsid w:val="003B3B44"/>
    <w:rsid w:val="003B3D05"/>
    <w:rsid w:val="003B3D42"/>
    <w:rsid w:val="003B3FC9"/>
    <w:rsid w:val="003B401C"/>
    <w:rsid w:val="003B415F"/>
    <w:rsid w:val="003B4A40"/>
    <w:rsid w:val="003B4E59"/>
    <w:rsid w:val="003B5186"/>
    <w:rsid w:val="003B5282"/>
    <w:rsid w:val="003B5308"/>
    <w:rsid w:val="003B558D"/>
    <w:rsid w:val="003B55C2"/>
    <w:rsid w:val="003B55F9"/>
    <w:rsid w:val="003B56E9"/>
    <w:rsid w:val="003B5905"/>
    <w:rsid w:val="003B620B"/>
    <w:rsid w:val="003B62C0"/>
    <w:rsid w:val="003B688A"/>
    <w:rsid w:val="003B6DE9"/>
    <w:rsid w:val="003B77EE"/>
    <w:rsid w:val="003B7873"/>
    <w:rsid w:val="003B7923"/>
    <w:rsid w:val="003B7A1B"/>
    <w:rsid w:val="003B7B82"/>
    <w:rsid w:val="003B7B87"/>
    <w:rsid w:val="003B7C12"/>
    <w:rsid w:val="003B7F47"/>
    <w:rsid w:val="003B7FFC"/>
    <w:rsid w:val="003C014F"/>
    <w:rsid w:val="003C0194"/>
    <w:rsid w:val="003C09CB"/>
    <w:rsid w:val="003C0CDD"/>
    <w:rsid w:val="003C14BC"/>
    <w:rsid w:val="003C17A0"/>
    <w:rsid w:val="003C1958"/>
    <w:rsid w:val="003C1AE5"/>
    <w:rsid w:val="003C205D"/>
    <w:rsid w:val="003C20BC"/>
    <w:rsid w:val="003C2144"/>
    <w:rsid w:val="003C2154"/>
    <w:rsid w:val="003C2500"/>
    <w:rsid w:val="003C25C4"/>
    <w:rsid w:val="003C266C"/>
    <w:rsid w:val="003C26A7"/>
    <w:rsid w:val="003C27AA"/>
    <w:rsid w:val="003C2EFB"/>
    <w:rsid w:val="003C34E0"/>
    <w:rsid w:val="003C3610"/>
    <w:rsid w:val="003C3B42"/>
    <w:rsid w:val="003C3D44"/>
    <w:rsid w:val="003C3E13"/>
    <w:rsid w:val="003C3F5D"/>
    <w:rsid w:val="003C3FEC"/>
    <w:rsid w:val="003C44AF"/>
    <w:rsid w:val="003C48B6"/>
    <w:rsid w:val="003C48B9"/>
    <w:rsid w:val="003C4A2B"/>
    <w:rsid w:val="003C4CE0"/>
    <w:rsid w:val="003C4CE9"/>
    <w:rsid w:val="003C4E33"/>
    <w:rsid w:val="003C4E85"/>
    <w:rsid w:val="003C5041"/>
    <w:rsid w:val="003C556C"/>
    <w:rsid w:val="003C57E3"/>
    <w:rsid w:val="003C5B2D"/>
    <w:rsid w:val="003C5D33"/>
    <w:rsid w:val="003C5D6F"/>
    <w:rsid w:val="003C5E1B"/>
    <w:rsid w:val="003C6132"/>
    <w:rsid w:val="003C68AC"/>
    <w:rsid w:val="003C68D0"/>
    <w:rsid w:val="003C6927"/>
    <w:rsid w:val="003C6B43"/>
    <w:rsid w:val="003C6BCE"/>
    <w:rsid w:val="003C6CC1"/>
    <w:rsid w:val="003C6DDB"/>
    <w:rsid w:val="003C711C"/>
    <w:rsid w:val="003C7356"/>
    <w:rsid w:val="003C73A4"/>
    <w:rsid w:val="003C73E6"/>
    <w:rsid w:val="003C74F6"/>
    <w:rsid w:val="003C789C"/>
    <w:rsid w:val="003C7BE8"/>
    <w:rsid w:val="003C7DF1"/>
    <w:rsid w:val="003C7E47"/>
    <w:rsid w:val="003C7FBC"/>
    <w:rsid w:val="003D0003"/>
    <w:rsid w:val="003D0076"/>
    <w:rsid w:val="003D00AA"/>
    <w:rsid w:val="003D04C5"/>
    <w:rsid w:val="003D0549"/>
    <w:rsid w:val="003D080B"/>
    <w:rsid w:val="003D0813"/>
    <w:rsid w:val="003D0BCB"/>
    <w:rsid w:val="003D0D08"/>
    <w:rsid w:val="003D129B"/>
    <w:rsid w:val="003D1534"/>
    <w:rsid w:val="003D1896"/>
    <w:rsid w:val="003D1BC6"/>
    <w:rsid w:val="003D1DD7"/>
    <w:rsid w:val="003D25B4"/>
    <w:rsid w:val="003D2D92"/>
    <w:rsid w:val="003D2F51"/>
    <w:rsid w:val="003D3082"/>
    <w:rsid w:val="003D3252"/>
    <w:rsid w:val="003D3332"/>
    <w:rsid w:val="003D3468"/>
    <w:rsid w:val="003D347B"/>
    <w:rsid w:val="003D3646"/>
    <w:rsid w:val="003D3661"/>
    <w:rsid w:val="003D3718"/>
    <w:rsid w:val="003D3732"/>
    <w:rsid w:val="003D3892"/>
    <w:rsid w:val="003D38EC"/>
    <w:rsid w:val="003D3B1E"/>
    <w:rsid w:val="003D3BE6"/>
    <w:rsid w:val="003D3C59"/>
    <w:rsid w:val="003D3D67"/>
    <w:rsid w:val="003D3E73"/>
    <w:rsid w:val="003D3FB4"/>
    <w:rsid w:val="003D411F"/>
    <w:rsid w:val="003D4752"/>
    <w:rsid w:val="003D47FA"/>
    <w:rsid w:val="003D487E"/>
    <w:rsid w:val="003D4AAC"/>
    <w:rsid w:val="003D4CE6"/>
    <w:rsid w:val="003D4E4C"/>
    <w:rsid w:val="003D5072"/>
    <w:rsid w:val="003D50A4"/>
    <w:rsid w:val="003D512D"/>
    <w:rsid w:val="003D5300"/>
    <w:rsid w:val="003D5349"/>
    <w:rsid w:val="003D5373"/>
    <w:rsid w:val="003D544C"/>
    <w:rsid w:val="003D5505"/>
    <w:rsid w:val="003D588D"/>
    <w:rsid w:val="003D58D1"/>
    <w:rsid w:val="003D6300"/>
    <w:rsid w:val="003D636C"/>
    <w:rsid w:val="003D64B0"/>
    <w:rsid w:val="003D6525"/>
    <w:rsid w:val="003D67BE"/>
    <w:rsid w:val="003D6823"/>
    <w:rsid w:val="003D7257"/>
    <w:rsid w:val="003D73EC"/>
    <w:rsid w:val="003D75CC"/>
    <w:rsid w:val="003D78EB"/>
    <w:rsid w:val="003D7ACD"/>
    <w:rsid w:val="003D7C39"/>
    <w:rsid w:val="003D7FE5"/>
    <w:rsid w:val="003E0010"/>
    <w:rsid w:val="003E08F6"/>
    <w:rsid w:val="003E0994"/>
    <w:rsid w:val="003E121B"/>
    <w:rsid w:val="003E14AC"/>
    <w:rsid w:val="003E1DAD"/>
    <w:rsid w:val="003E21F1"/>
    <w:rsid w:val="003E2789"/>
    <w:rsid w:val="003E2CC4"/>
    <w:rsid w:val="003E2E31"/>
    <w:rsid w:val="003E3266"/>
    <w:rsid w:val="003E3514"/>
    <w:rsid w:val="003E3563"/>
    <w:rsid w:val="003E3680"/>
    <w:rsid w:val="003E3A6A"/>
    <w:rsid w:val="003E3A6D"/>
    <w:rsid w:val="003E3EBD"/>
    <w:rsid w:val="003E3FF4"/>
    <w:rsid w:val="003E402C"/>
    <w:rsid w:val="003E40AB"/>
    <w:rsid w:val="003E41E8"/>
    <w:rsid w:val="003E4279"/>
    <w:rsid w:val="003E4593"/>
    <w:rsid w:val="003E478D"/>
    <w:rsid w:val="003E4A8B"/>
    <w:rsid w:val="003E5743"/>
    <w:rsid w:val="003E579D"/>
    <w:rsid w:val="003E59C6"/>
    <w:rsid w:val="003E5AC8"/>
    <w:rsid w:val="003E5EEC"/>
    <w:rsid w:val="003E6198"/>
    <w:rsid w:val="003E62CC"/>
    <w:rsid w:val="003E62EB"/>
    <w:rsid w:val="003E6326"/>
    <w:rsid w:val="003E6332"/>
    <w:rsid w:val="003E6EC2"/>
    <w:rsid w:val="003E7025"/>
    <w:rsid w:val="003E7477"/>
    <w:rsid w:val="003E785C"/>
    <w:rsid w:val="003E78A6"/>
    <w:rsid w:val="003E7BA0"/>
    <w:rsid w:val="003F00EB"/>
    <w:rsid w:val="003F017F"/>
    <w:rsid w:val="003F0487"/>
    <w:rsid w:val="003F04A9"/>
    <w:rsid w:val="003F0909"/>
    <w:rsid w:val="003F0987"/>
    <w:rsid w:val="003F0DFC"/>
    <w:rsid w:val="003F1077"/>
    <w:rsid w:val="003F10AE"/>
    <w:rsid w:val="003F1333"/>
    <w:rsid w:val="003F134B"/>
    <w:rsid w:val="003F16C2"/>
    <w:rsid w:val="003F1C0B"/>
    <w:rsid w:val="003F1D60"/>
    <w:rsid w:val="003F1D65"/>
    <w:rsid w:val="003F1DC3"/>
    <w:rsid w:val="003F205E"/>
    <w:rsid w:val="003F2542"/>
    <w:rsid w:val="003F25F3"/>
    <w:rsid w:val="003F2961"/>
    <w:rsid w:val="003F31B9"/>
    <w:rsid w:val="003F31E8"/>
    <w:rsid w:val="003F3A56"/>
    <w:rsid w:val="003F3EC2"/>
    <w:rsid w:val="003F416C"/>
    <w:rsid w:val="003F45DA"/>
    <w:rsid w:val="003F46C8"/>
    <w:rsid w:val="003F4B65"/>
    <w:rsid w:val="003F4C0A"/>
    <w:rsid w:val="003F5106"/>
    <w:rsid w:val="003F54C1"/>
    <w:rsid w:val="003F5986"/>
    <w:rsid w:val="003F59DE"/>
    <w:rsid w:val="003F5A9B"/>
    <w:rsid w:val="003F5BAE"/>
    <w:rsid w:val="003F5EDA"/>
    <w:rsid w:val="003F6370"/>
    <w:rsid w:val="003F681A"/>
    <w:rsid w:val="003F6F28"/>
    <w:rsid w:val="003F74A3"/>
    <w:rsid w:val="003F7BA7"/>
    <w:rsid w:val="003F7E3A"/>
    <w:rsid w:val="00400291"/>
    <w:rsid w:val="00400AF1"/>
    <w:rsid w:val="00400C9D"/>
    <w:rsid w:val="00400EAF"/>
    <w:rsid w:val="00401083"/>
    <w:rsid w:val="0040121A"/>
    <w:rsid w:val="00401634"/>
    <w:rsid w:val="004018E0"/>
    <w:rsid w:val="00401997"/>
    <w:rsid w:val="00401E97"/>
    <w:rsid w:val="00401EB2"/>
    <w:rsid w:val="00401FFA"/>
    <w:rsid w:val="004026C3"/>
    <w:rsid w:val="00402F85"/>
    <w:rsid w:val="0040304B"/>
    <w:rsid w:val="004031B7"/>
    <w:rsid w:val="004031D8"/>
    <w:rsid w:val="0040358E"/>
    <w:rsid w:val="00403AF0"/>
    <w:rsid w:val="00403BD6"/>
    <w:rsid w:val="00403D5C"/>
    <w:rsid w:val="00403E13"/>
    <w:rsid w:val="004043EA"/>
    <w:rsid w:val="004045E5"/>
    <w:rsid w:val="0040482B"/>
    <w:rsid w:val="00404DF0"/>
    <w:rsid w:val="00404F16"/>
    <w:rsid w:val="004050D5"/>
    <w:rsid w:val="00405185"/>
    <w:rsid w:val="0040548F"/>
    <w:rsid w:val="00405497"/>
    <w:rsid w:val="00405539"/>
    <w:rsid w:val="004057A0"/>
    <w:rsid w:val="00405A93"/>
    <w:rsid w:val="00405C57"/>
    <w:rsid w:val="00405FD7"/>
    <w:rsid w:val="0040610F"/>
    <w:rsid w:val="0040675D"/>
    <w:rsid w:val="00406B02"/>
    <w:rsid w:val="00406B77"/>
    <w:rsid w:val="00406DD7"/>
    <w:rsid w:val="00406F7C"/>
    <w:rsid w:val="0040720E"/>
    <w:rsid w:val="0040791B"/>
    <w:rsid w:val="00407A5A"/>
    <w:rsid w:val="00407BEA"/>
    <w:rsid w:val="004103A3"/>
    <w:rsid w:val="004103F2"/>
    <w:rsid w:val="00410941"/>
    <w:rsid w:val="0041098C"/>
    <w:rsid w:val="00410AE9"/>
    <w:rsid w:val="00410B6B"/>
    <w:rsid w:val="00410CAE"/>
    <w:rsid w:val="00411C66"/>
    <w:rsid w:val="00411EDA"/>
    <w:rsid w:val="00412099"/>
    <w:rsid w:val="00412507"/>
    <w:rsid w:val="0041267A"/>
    <w:rsid w:val="0041274F"/>
    <w:rsid w:val="00412A8A"/>
    <w:rsid w:val="00412D04"/>
    <w:rsid w:val="00412EEF"/>
    <w:rsid w:val="00412F5E"/>
    <w:rsid w:val="00413272"/>
    <w:rsid w:val="004133E2"/>
    <w:rsid w:val="004135FF"/>
    <w:rsid w:val="0041384A"/>
    <w:rsid w:val="00413938"/>
    <w:rsid w:val="0041399E"/>
    <w:rsid w:val="00413AC0"/>
    <w:rsid w:val="00413C5C"/>
    <w:rsid w:val="00413DD8"/>
    <w:rsid w:val="004143F2"/>
    <w:rsid w:val="00414AD5"/>
    <w:rsid w:val="00414CC5"/>
    <w:rsid w:val="00414D57"/>
    <w:rsid w:val="00414DDF"/>
    <w:rsid w:val="004154B5"/>
    <w:rsid w:val="004154BC"/>
    <w:rsid w:val="00415511"/>
    <w:rsid w:val="00415583"/>
    <w:rsid w:val="004155BA"/>
    <w:rsid w:val="00415616"/>
    <w:rsid w:val="00415A1A"/>
    <w:rsid w:val="00415B25"/>
    <w:rsid w:val="00415F5D"/>
    <w:rsid w:val="00415F7E"/>
    <w:rsid w:val="00415F85"/>
    <w:rsid w:val="0041608C"/>
    <w:rsid w:val="00416209"/>
    <w:rsid w:val="0041636C"/>
    <w:rsid w:val="004163A0"/>
    <w:rsid w:val="0041659C"/>
    <w:rsid w:val="00416A85"/>
    <w:rsid w:val="00416AE4"/>
    <w:rsid w:val="00416C8B"/>
    <w:rsid w:val="00416CF7"/>
    <w:rsid w:val="00416E0F"/>
    <w:rsid w:val="00416FD7"/>
    <w:rsid w:val="004171EA"/>
    <w:rsid w:val="0041785F"/>
    <w:rsid w:val="00417C7D"/>
    <w:rsid w:val="00417DA7"/>
    <w:rsid w:val="00420375"/>
    <w:rsid w:val="00420755"/>
    <w:rsid w:val="004209EB"/>
    <w:rsid w:val="00420AAD"/>
    <w:rsid w:val="00420B19"/>
    <w:rsid w:val="00420BCA"/>
    <w:rsid w:val="00420FAF"/>
    <w:rsid w:val="004219CF"/>
    <w:rsid w:val="00421CC1"/>
    <w:rsid w:val="00421CF7"/>
    <w:rsid w:val="00421D62"/>
    <w:rsid w:val="00421DB0"/>
    <w:rsid w:val="00421F8F"/>
    <w:rsid w:val="00422487"/>
    <w:rsid w:val="004226B4"/>
    <w:rsid w:val="00422725"/>
    <w:rsid w:val="00422A61"/>
    <w:rsid w:val="00422D78"/>
    <w:rsid w:val="004232B3"/>
    <w:rsid w:val="00423414"/>
    <w:rsid w:val="00423893"/>
    <w:rsid w:val="00423BCD"/>
    <w:rsid w:val="00423BEF"/>
    <w:rsid w:val="004240BC"/>
    <w:rsid w:val="004242AA"/>
    <w:rsid w:val="0042433F"/>
    <w:rsid w:val="004244E7"/>
    <w:rsid w:val="0042450E"/>
    <w:rsid w:val="00424835"/>
    <w:rsid w:val="004250C6"/>
    <w:rsid w:val="00425138"/>
    <w:rsid w:val="004258DA"/>
    <w:rsid w:val="00425A3F"/>
    <w:rsid w:val="00425A4D"/>
    <w:rsid w:val="00425C70"/>
    <w:rsid w:val="00426881"/>
    <w:rsid w:val="00426957"/>
    <w:rsid w:val="00426A09"/>
    <w:rsid w:val="00426DA1"/>
    <w:rsid w:val="00426F63"/>
    <w:rsid w:val="00427676"/>
    <w:rsid w:val="0042769D"/>
    <w:rsid w:val="00427725"/>
    <w:rsid w:val="004277D0"/>
    <w:rsid w:val="00427A77"/>
    <w:rsid w:val="00427AB6"/>
    <w:rsid w:val="00427B10"/>
    <w:rsid w:val="00427C47"/>
    <w:rsid w:val="00427F04"/>
    <w:rsid w:val="00427F5C"/>
    <w:rsid w:val="004301E1"/>
    <w:rsid w:val="00430308"/>
    <w:rsid w:val="00430402"/>
    <w:rsid w:val="004308C9"/>
    <w:rsid w:val="00430AF3"/>
    <w:rsid w:val="00430B39"/>
    <w:rsid w:val="00430C05"/>
    <w:rsid w:val="00430EC6"/>
    <w:rsid w:val="00431128"/>
    <w:rsid w:val="00431364"/>
    <w:rsid w:val="0043154C"/>
    <w:rsid w:val="0043160D"/>
    <w:rsid w:val="00431DC9"/>
    <w:rsid w:val="004324B8"/>
    <w:rsid w:val="0043262C"/>
    <w:rsid w:val="00432762"/>
    <w:rsid w:val="004328BE"/>
    <w:rsid w:val="004328D3"/>
    <w:rsid w:val="00432A7D"/>
    <w:rsid w:val="004335AB"/>
    <w:rsid w:val="004338F6"/>
    <w:rsid w:val="00433E63"/>
    <w:rsid w:val="004340EC"/>
    <w:rsid w:val="004341DA"/>
    <w:rsid w:val="00434567"/>
    <w:rsid w:val="00434876"/>
    <w:rsid w:val="0043488B"/>
    <w:rsid w:val="00434D9A"/>
    <w:rsid w:val="00434F02"/>
    <w:rsid w:val="00435144"/>
    <w:rsid w:val="004355BC"/>
    <w:rsid w:val="00435920"/>
    <w:rsid w:val="00435E7D"/>
    <w:rsid w:val="004362B5"/>
    <w:rsid w:val="00436954"/>
    <w:rsid w:val="00436E5A"/>
    <w:rsid w:val="004371EC"/>
    <w:rsid w:val="00437203"/>
    <w:rsid w:val="00437272"/>
    <w:rsid w:val="004373A7"/>
    <w:rsid w:val="00437534"/>
    <w:rsid w:val="00437EDC"/>
    <w:rsid w:val="00440005"/>
    <w:rsid w:val="0044059F"/>
    <w:rsid w:val="004406B3"/>
    <w:rsid w:val="0044078E"/>
    <w:rsid w:val="00440ECA"/>
    <w:rsid w:val="00440F62"/>
    <w:rsid w:val="00441131"/>
    <w:rsid w:val="0044133C"/>
    <w:rsid w:val="004413A3"/>
    <w:rsid w:val="004415F7"/>
    <w:rsid w:val="004416F8"/>
    <w:rsid w:val="004419AB"/>
    <w:rsid w:val="00441EE5"/>
    <w:rsid w:val="00442040"/>
    <w:rsid w:val="004422BC"/>
    <w:rsid w:val="00442F07"/>
    <w:rsid w:val="004434DC"/>
    <w:rsid w:val="0044378B"/>
    <w:rsid w:val="00443A0B"/>
    <w:rsid w:val="00443F87"/>
    <w:rsid w:val="00444176"/>
    <w:rsid w:val="00444201"/>
    <w:rsid w:val="00444227"/>
    <w:rsid w:val="0044436E"/>
    <w:rsid w:val="004443B5"/>
    <w:rsid w:val="0044465D"/>
    <w:rsid w:val="00444872"/>
    <w:rsid w:val="00444954"/>
    <w:rsid w:val="004449C4"/>
    <w:rsid w:val="0044516C"/>
    <w:rsid w:val="00445275"/>
    <w:rsid w:val="0044537E"/>
    <w:rsid w:val="0044552A"/>
    <w:rsid w:val="00445BCB"/>
    <w:rsid w:val="00446513"/>
    <w:rsid w:val="00446700"/>
    <w:rsid w:val="00446724"/>
    <w:rsid w:val="004469D4"/>
    <w:rsid w:val="00446F32"/>
    <w:rsid w:val="00446F60"/>
    <w:rsid w:val="00447283"/>
    <w:rsid w:val="004475F8"/>
    <w:rsid w:val="00447816"/>
    <w:rsid w:val="00447BDE"/>
    <w:rsid w:val="00447C46"/>
    <w:rsid w:val="00447D7E"/>
    <w:rsid w:val="00447F2E"/>
    <w:rsid w:val="00450023"/>
    <w:rsid w:val="0045011D"/>
    <w:rsid w:val="004502AC"/>
    <w:rsid w:val="004502BE"/>
    <w:rsid w:val="0045035F"/>
    <w:rsid w:val="00450577"/>
    <w:rsid w:val="0045068F"/>
    <w:rsid w:val="0045074B"/>
    <w:rsid w:val="004507E9"/>
    <w:rsid w:val="00450871"/>
    <w:rsid w:val="00450900"/>
    <w:rsid w:val="00450B15"/>
    <w:rsid w:val="00450B5B"/>
    <w:rsid w:val="0045132B"/>
    <w:rsid w:val="004515AD"/>
    <w:rsid w:val="0045163E"/>
    <w:rsid w:val="0045194F"/>
    <w:rsid w:val="004519C0"/>
    <w:rsid w:val="00452006"/>
    <w:rsid w:val="0045226D"/>
    <w:rsid w:val="004523DA"/>
    <w:rsid w:val="004527FB"/>
    <w:rsid w:val="004528A0"/>
    <w:rsid w:val="0045299B"/>
    <w:rsid w:val="00452AC5"/>
    <w:rsid w:val="00452C2A"/>
    <w:rsid w:val="00452D01"/>
    <w:rsid w:val="00452EDE"/>
    <w:rsid w:val="004535BC"/>
    <w:rsid w:val="00453664"/>
    <w:rsid w:val="00453703"/>
    <w:rsid w:val="004538D2"/>
    <w:rsid w:val="004538DB"/>
    <w:rsid w:val="00453948"/>
    <w:rsid w:val="004539EA"/>
    <w:rsid w:val="00453A8A"/>
    <w:rsid w:val="00453C56"/>
    <w:rsid w:val="00453D1A"/>
    <w:rsid w:val="00453FC8"/>
    <w:rsid w:val="004541AB"/>
    <w:rsid w:val="0045464D"/>
    <w:rsid w:val="004548FE"/>
    <w:rsid w:val="00454A7A"/>
    <w:rsid w:val="00454B69"/>
    <w:rsid w:val="00454B9C"/>
    <w:rsid w:val="00454D2D"/>
    <w:rsid w:val="00454FF9"/>
    <w:rsid w:val="004553C9"/>
    <w:rsid w:val="00455449"/>
    <w:rsid w:val="00455A02"/>
    <w:rsid w:val="00455ABE"/>
    <w:rsid w:val="00455AEE"/>
    <w:rsid w:val="00455D83"/>
    <w:rsid w:val="00455DC5"/>
    <w:rsid w:val="00455E00"/>
    <w:rsid w:val="00455E18"/>
    <w:rsid w:val="00455E8F"/>
    <w:rsid w:val="0045679B"/>
    <w:rsid w:val="0045690F"/>
    <w:rsid w:val="00456BBF"/>
    <w:rsid w:val="004570B8"/>
    <w:rsid w:val="00457151"/>
    <w:rsid w:val="00457184"/>
    <w:rsid w:val="004571AD"/>
    <w:rsid w:val="00457242"/>
    <w:rsid w:val="00457306"/>
    <w:rsid w:val="004574BE"/>
    <w:rsid w:val="00457650"/>
    <w:rsid w:val="0045768D"/>
    <w:rsid w:val="004578A1"/>
    <w:rsid w:val="00457B35"/>
    <w:rsid w:val="00457D06"/>
    <w:rsid w:val="004603D4"/>
    <w:rsid w:val="004603DC"/>
    <w:rsid w:val="00460661"/>
    <w:rsid w:val="004607B0"/>
    <w:rsid w:val="00460805"/>
    <w:rsid w:val="00460887"/>
    <w:rsid w:val="00460CD5"/>
    <w:rsid w:val="00461160"/>
    <w:rsid w:val="00461395"/>
    <w:rsid w:val="0046175C"/>
    <w:rsid w:val="00461F03"/>
    <w:rsid w:val="00462069"/>
    <w:rsid w:val="004621DF"/>
    <w:rsid w:val="00462A1F"/>
    <w:rsid w:val="00462A23"/>
    <w:rsid w:val="00462A6D"/>
    <w:rsid w:val="00462F10"/>
    <w:rsid w:val="00463002"/>
    <w:rsid w:val="0046325D"/>
    <w:rsid w:val="00463624"/>
    <w:rsid w:val="004636AE"/>
    <w:rsid w:val="00463B53"/>
    <w:rsid w:val="00463BE1"/>
    <w:rsid w:val="00463C08"/>
    <w:rsid w:val="004640C4"/>
    <w:rsid w:val="00464122"/>
    <w:rsid w:val="00464A83"/>
    <w:rsid w:val="00464C94"/>
    <w:rsid w:val="00464D3C"/>
    <w:rsid w:val="004656D0"/>
    <w:rsid w:val="00465BEA"/>
    <w:rsid w:val="00465C44"/>
    <w:rsid w:val="00465CC2"/>
    <w:rsid w:val="00465E3E"/>
    <w:rsid w:val="0046638A"/>
    <w:rsid w:val="004664F4"/>
    <w:rsid w:val="004668CB"/>
    <w:rsid w:val="004672E7"/>
    <w:rsid w:val="00467595"/>
    <w:rsid w:val="00467A59"/>
    <w:rsid w:val="00467C29"/>
    <w:rsid w:val="00467CC3"/>
    <w:rsid w:val="00467EBB"/>
    <w:rsid w:val="0047084C"/>
    <w:rsid w:val="00470874"/>
    <w:rsid w:val="004709F3"/>
    <w:rsid w:val="00470AB6"/>
    <w:rsid w:val="004713C6"/>
    <w:rsid w:val="00471420"/>
    <w:rsid w:val="00471691"/>
    <w:rsid w:val="0047184B"/>
    <w:rsid w:val="0047198D"/>
    <w:rsid w:val="00471BCB"/>
    <w:rsid w:val="00471C31"/>
    <w:rsid w:val="00471D89"/>
    <w:rsid w:val="00471E46"/>
    <w:rsid w:val="00471FCA"/>
    <w:rsid w:val="0047205D"/>
    <w:rsid w:val="00472297"/>
    <w:rsid w:val="004726C2"/>
    <w:rsid w:val="004726EA"/>
    <w:rsid w:val="0047290B"/>
    <w:rsid w:val="004729C3"/>
    <w:rsid w:val="00472E6B"/>
    <w:rsid w:val="004733C8"/>
    <w:rsid w:val="00473742"/>
    <w:rsid w:val="00473760"/>
    <w:rsid w:val="00474541"/>
    <w:rsid w:val="004745ED"/>
    <w:rsid w:val="004745EE"/>
    <w:rsid w:val="0047463E"/>
    <w:rsid w:val="00474A4E"/>
    <w:rsid w:val="004751BC"/>
    <w:rsid w:val="0047551F"/>
    <w:rsid w:val="00475A15"/>
    <w:rsid w:val="00475E9B"/>
    <w:rsid w:val="00475EFA"/>
    <w:rsid w:val="00476BA9"/>
    <w:rsid w:val="00476BE3"/>
    <w:rsid w:val="00476F46"/>
    <w:rsid w:val="004773B2"/>
    <w:rsid w:val="00477437"/>
    <w:rsid w:val="0047787B"/>
    <w:rsid w:val="00477902"/>
    <w:rsid w:val="00477976"/>
    <w:rsid w:val="004779C0"/>
    <w:rsid w:val="00480237"/>
    <w:rsid w:val="0048023C"/>
    <w:rsid w:val="00480315"/>
    <w:rsid w:val="00480334"/>
    <w:rsid w:val="00480598"/>
    <w:rsid w:val="00480797"/>
    <w:rsid w:val="004808AE"/>
    <w:rsid w:val="00480954"/>
    <w:rsid w:val="00480A0A"/>
    <w:rsid w:val="00480F4B"/>
    <w:rsid w:val="00480F78"/>
    <w:rsid w:val="00481176"/>
    <w:rsid w:val="00481185"/>
    <w:rsid w:val="004811E3"/>
    <w:rsid w:val="004814C4"/>
    <w:rsid w:val="0048175A"/>
    <w:rsid w:val="004817D6"/>
    <w:rsid w:val="00481AA4"/>
    <w:rsid w:val="00481E0A"/>
    <w:rsid w:val="00482224"/>
    <w:rsid w:val="004822BD"/>
    <w:rsid w:val="004826CB"/>
    <w:rsid w:val="004826E4"/>
    <w:rsid w:val="00482B04"/>
    <w:rsid w:val="00482F4D"/>
    <w:rsid w:val="004830D9"/>
    <w:rsid w:val="0048319E"/>
    <w:rsid w:val="00483CBD"/>
    <w:rsid w:val="00483CFA"/>
    <w:rsid w:val="00483DFB"/>
    <w:rsid w:val="00484200"/>
    <w:rsid w:val="004843C1"/>
    <w:rsid w:val="00484639"/>
    <w:rsid w:val="00484705"/>
    <w:rsid w:val="0048472C"/>
    <w:rsid w:val="0048491B"/>
    <w:rsid w:val="004850AB"/>
    <w:rsid w:val="004850EF"/>
    <w:rsid w:val="004852E3"/>
    <w:rsid w:val="00485560"/>
    <w:rsid w:val="004859EB"/>
    <w:rsid w:val="00485B65"/>
    <w:rsid w:val="00485CAB"/>
    <w:rsid w:val="00485D75"/>
    <w:rsid w:val="00485F24"/>
    <w:rsid w:val="004860C1"/>
    <w:rsid w:val="00486170"/>
    <w:rsid w:val="00486471"/>
    <w:rsid w:val="00486E94"/>
    <w:rsid w:val="00486EFD"/>
    <w:rsid w:val="00486F66"/>
    <w:rsid w:val="00486F80"/>
    <w:rsid w:val="00487130"/>
    <w:rsid w:val="0048714D"/>
    <w:rsid w:val="00487550"/>
    <w:rsid w:val="0049051B"/>
    <w:rsid w:val="0049052F"/>
    <w:rsid w:val="00491C0B"/>
    <w:rsid w:val="00491EF0"/>
    <w:rsid w:val="00492009"/>
    <w:rsid w:val="00492256"/>
    <w:rsid w:val="0049227B"/>
    <w:rsid w:val="00492339"/>
    <w:rsid w:val="00492473"/>
    <w:rsid w:val="004925B8"/>
    <w:rsid w:val="004927ED"/>
    <w:rsid w:val="004929EE"/>
    <w:rsid w:val="00492CA8"/>
    <w:rsid w:val="00493225"/>
    <w:rsid w:val="00493289"/>
    <w:rsid w:val="0049394E"/>
    <w:rsid w:val="00493CDE"/>
    <w:rsid w:val="004941C6"/>
    <w:rsid w:val="00494243"/>
    <w:rsid w:val="00494501"/>
    <w:rsid w:val="00494503"/>
    <w:rsid w:val="0049475B"/>
    <w:rsid w:val="00494803"/>
    <w:rsid w:val="00494876"/>
    <w:rsid w:val="004948D5"/>
    <w:rsid w:val="00494C7E"/>
    <w:rsid w:val="0049512E"/>
    <w:rsid w:val="0049540D"/>
    <w:rsid w:val="0049555B"/>
    <w:rsid w:val="004959CA"/>
    <w:rsid w:val="00495A98"/>
    <w:rsid w:val="00495CB9"/>
    <w:rsid w:val="004960F1"/>
    <w:rsid w:val="0049631B"/>
    <w:rsid w:val="004965D5"/>
    <w:rsid w:val="00496CB8"/>
    <w:rsid w:val="00496E06"/>
    <w:rsid w:val="00497082"/>
    <w:rsid w:val="0049712B"/>
    <w:rsid w:val="004977F2"/>
    <w:rsid w:val="00497B53"/>
    <w:rsid w:val="00497D61"/>
    <w:rsid w:val="00497DA6"/>
    <w:rsid w:val="00497EB0"/>
    <w:rsid w:val="004A0023"/>
    <w:rsid w:val="004A0228"/>
    <w:rsid w:val="004A02C2"/>
    <w:rsid w:val="004A0470"/>
    <w:rsid w:val="004A0474"/>
    <w:rsid w:val="004A0681"/>
    <w:rsid w:val="004A0960"/>
    <w:rsid w:val="004A1758"/>
    <w:rsid w:val="004A17A2"/>
    <w:rsid w:val="004A18B2"/>
    <w:rsid w:val="004A1B20"/>
    <w:rsid w:val="004A1C84"/>
    <w:rsid w:val="004A23C1"/>
    <w:rsid w:val="004A253D"/>
    <w:rsid w:val="004A2572"/>
    <w:rsid w:val="004A26EF"/>
    <w:rsid w:val="004A29DC"/>
    <w:rsid w:val="004A2B48"/>
    <w:rsid w:val="004A38D0"/>
    <w:rsid w:val="004A3A6A"/>
    <w:rsid w:val="004A3EBD"/>
    <w:rsid w:val="004A3ED6"/>
    <w:rsid w:val="004A3FC0"/>
    <w:rsid w:val="004A45F5"/>
    <w:rsid w:val="004A4919"/>
    <w:rsid w:val="004A499F"/>
    <w:rsid w:val="004A49AF"/>
    <w:rsid w:val="004A49C1"/>
    <w:rsid w:val="004A5248"/>
    <w:rsid w:val="004A5584"/>
    <w:rsid w:val="004A5591"/>
    <w:rsid w:val="004A55E4"/>
    <w:rsid w:val="004A56E0"/>
    <w:rsid w:val="004A58FE"/>
    <w:rsid w:val="004A5B8E"/>
    <w:rsid w:val="004A61F2"/>
    <w:rsid w:val="004A6303"/>
    <w:rsid w:val="004A6617"/>
    <w:rsid w:val="004A6EB8"/>
    <w:rsid w:val="004A7762"/>
    <w:rsid w:val="004A7883"/>
    <w:rsid w:val="004A78B1"/>
    <w:rsid w:val="004A7BD5"/>
    <w:rsid w:val="004A7C52"/>
    <w:rsid w:val="004B007A"/>
    <w:rsid w:val="004B092E"/>
    <w:rsid w:val="004B0D7D"/>
    <w:rsid w:val="004B0E5B"/>
    <w:rsid w:val="004B0E87"/>
    <w:rsid w:val="004B104F"/>
    <w:rsid w:val="004B1053"/>
    <w:rsid w:val="004B1351"/>
    <w:rsid w:val="004B174F"/>
    <w:rsid w:val="004B1EE4"/>
    <w:rsid w:val="004B1F7B"/>
    <w:rsid w:val="004B2033"/>
    <w:rsid w:val="004B20A4"/>
    <w:rsid w:val="004B2109"/>
    <w:rsid w:val="004B21E1"/>
    <w:rsid w:val="004B28F6"/>
    <w:rsid w:val="004B2AF9"/>
    <w:rsid w:val="004B2C65"/>
    <w:rsid w:val="004B2D98"/>
    <w:rsid w:val="004B2FA0"/>
    <w:rsid w:val="004B305A"/>
    <w:rsid w:val="004B31F5"/>
    <w:rsid w:val="004B37CD"/>
    <w:rsid w:val="004B38E7"/>
    <w:rsid w:val="004B3BAB"/>
    <w:rsid w:val="004B3CDE"/>
    <w:rsid w:val="004B3CF7"/>
    <w:rsid w:val="004B4169"/>
    <w:rsid w:val="004B44E2"/>
    <w:rsid w:val="004B45D9"/>
    <w:rsid w:val="004B475C"/>
    <w:rsid w:val="004B4821"/>
    <w:rsid w:val="004B4C28"/>
    <w:rsid w:val="004B5277"/>
    <w:rsid w:val="004B5435"/>
    <w:rsid w:val="004B5845"/>
    <w:rsid w:val="004B591C"/>
    <w:rsid w:val="004B5C26"/>
    <w:rsid w:val="004B5DAA"/>
    <w:rsid w:val="004B5E2B"/>
    <w:rsid w:val="004B659D"/>
    <w:rsid w:val="004B6B3B"/>
    <w:rsid w:val="004B6BA6"/>
    <w:rsid w:val="004B6C4A"/>
    <w:rsid w:val="004B6E2C"/>
    <w:rsid w:val="004B6EB6"/>
    <w:rsid w:val="004B6F87"/>
    <w:rsid w:val="004B72FE"/>
    <w:rsid w:val="004B757D"/>
    <w:rsid w:val="004B761C"/>
    <w:rsid w:val="004B771D"/>
    <w:rsid w:val="004B77CC"/>
    <w:rsid w:val="004B7DEF"/>
    <w:rsid w:val="004C00CA"/>
    <w:rsid w:val="004C022C"/>
    <w:rsid w:val="004C0865"/>
    <w:rsid w:val="004C0FC1"/>
    <w:rsid w:val="004C118B"/>
    <w:rsid w:val="004C190B"/>
    <w:rsid w:val="004C1B55"/>
    <w:rsid w:val="004C1B7A"/>
    <w:rsid w:val="004C1D54"/>
    <w:rsid w:val="004C1D81"/>
    <w:rsid w:val="004C1E41"/>
    <w:rsid w:val="004C1EEA"/>
    <w:rsid w:val="004C2033"/>
    <w:rsid w:val="004C211E"/>
    <w:rsid w:val="004C236D"/>
    <w:rsid w:val="004C2C0F"/>
    <w:rsid w:val="004C2CCA"/>
    <w:rsid w:val="004C2DD9"/>
    <w:rsid w:val="004C2F04"/>
    <w:rsid w:val="004C2FDE"/>
    <w:rsid w:val="004C338F"/>
    <w:rsid w:val="004C35DB"/>
    <w:rsid w:val="004C38D4"/>
    <w:rsid w:val="004C3B7E"/>
    <w:rsid w:val="004C3B90"/>
    <w:rsid w:val="004C3C1E"/>
    <w:rsid w:val="004C41FF"/>
    <w:rsid w:val="004C43C3"/>
    <w:rsid w:val="004C443E"/>
    <w:rsid w:val="004C4443"/>
    <w:rsid w:val="004C4973"/>
    <w:rsid w:val="004C4ECE"/>
    <w:rsid w:val="004C564D"/>
    <w:rsid w:val="004C56CC"/>
    <w:rsid w:val="004C5921"/>
    <w:rsid w:val="004C593F"/>
    <w:rsid w:val="004C5E34"/>
    <w:rsid w:val="004C5FF5"/>
    <w:rsid w:val="004C6238"/>
    <w:rsid w:val="004C625B"/>
    <w:rsid w:val="004C66A5"/>
    <w:rsid w:val="004C6B44"/>
    <w:rsid w:val="004C6B5F"/>
    <w:rsid w:val="004C6C2E"/>
    <w:rsid w:val="004C6F52"/>
    <w:rsid w:val="004C706D"/>
    <w:rsid w:val="004C72BC"/>
    <w:rsid w:val="004C72F5"/>
    <w:rsid w:val="004C731A"/>
    <w:rsid w:val="004C752F"/>
    <w:rsid w:val="004C7A26"/>
    <w:rsid w:val="004C7BC2"/>
    <w:rsid w:val="004D0031"/>
    <w:rsid w:val="004D0183"/>
    <w:rsid w:val="004D03D8"/>
    <w:rsid w:val="004D091F"/>
    <w:rsid w:val="004D0B65"/>
    <w:rsid w:val="004D0C7F"/>
    <w:rsid w:val="004D0C88"/>
    <w:rsid w:val="004D0DB4"/>
    <w:rsid w:val="004D0E50"/>
    <w:rsid w:val="004D0ED5"/>
    <w:rsid w:val="004D0F7C"/>
    <w:rsid w:val="004D178B"/>
    <w:rsid w:val="004D185D"/>
    <w:rsid w:val="004D18D4"/>
    <w:rsid w:val="004D1A60"/>
    <w:rsid w:val="004D1BF6"/>
    <w:rsid w:val="004D1D40"/>
    <w:rsid w:val="004D1F2E"/>
    <w:rsid w:val="004D2025"/>
    <w:rsid w:val="004D2187"/>
    <w:rsid w:val="004D22E9"/>
    <w:rsid w:val="004D24EE"/>
    <w:rsid w:val="004D25EC"/>
    <w:rsid w:val="004D2864"/>
    <w:rsid w:val="004D2B86"/>
    <w:rsid w:val="004D2C2F"/>
    <w:rsid w:val="004D2C78"/>
    <w:rsid w:val="004D2CDF"/>
    <w:rsid w:val="004D35DC"/>
    <w:rsid w:val="004D379F"/>
    <w:rsid w:val="004D3ABD"/>
    <w:rsid w:val="004D3D9A"/>
    <w:rsid w:val="004D42A9"/>
    <w:rsid w:val="004D453C"/>
    <w:rsid w:val="004D4930"/>
    <w:rsid w:val="004D50BA"/>
    <w:rsid w:val="004D558E"/>
    <w:rsid w:val="004D572C"/>
    <w:rsid w:val="004D588F"/>
    <w:rsid w:val="004D5CC3"/>
    <w:rsid w:val="004D5FE4"/>
    <w:rsid w:val="004D5FEA"/>
    <w:rsid w:val="004D629B"/>
    <w:rsid w:val="004D64F8"/>
    <w:rsid w:val="004D667C"/>
    <w:rsid w:val="004D6909"/>
    <w:rsid w:val="004D69A2"/>
    <w:rsid w:val="004D69FA"/>
    <w:rsid w:val="004D6D46"/>
    <w:rsid w:val="004D6E2E"/>
    <w:rsid w:val="004D6FB2"/>
    <w:rsid w:val="004D6FE3"/>
    <w:rsid w:val="004D748C"/>
    <w:rsid w:val="004D76B3"/>
    <w:rsid w:val="004D7742"/>
    <w:rsid w:val="004D77B2"/>
    <w:rsid w:val="004D7B12"/>
    <w:rsid w:val="004D7F67"/>
    <w:rsid w:val="004E00AD"/>
    <w:rsid w:val="004E0255"/>
    <w:rsid w:val="004E04C1"/>
    <w:rsid w:val="004E0767"/>
    <w:rsid w:val="004E0832"/>
    <w:rsid w:val="004E0E37"/>
    <w:rsid w:val="004E0E46"/>
    <w:rsid w:val="004E1328"/>
    <w:rsid w:val="004E134C"/>
    <w:rsid w:val="004E1892"/>
    <w:rsid w:val="004E1B3D"/>
    <w:rsid w:val="004E1CD0"/>
    <w:rsid w:val="004E1FCB"/>
    <w:rsid w:val="004E2255"/>
    <w:rsid w:val="004E2259"/>
    <w:rsid w:val="004E2441"/>
    <w:rsid w:val="004E278F"/>
    <w:rsid w:val="004E2B52"/>
    <w:rsid w:val="004E2F7D"/>
    <w:rsid w:val="004E323D"/>
    <w:rsid w:val="004E3344"/>
    <w:rsid w:val="004E3661"/>
    <w:rsid w:val="004E39FE"/>
    <w:rsid w:val="004E3B2E"/>
    <w:rsid w:val="004E3C02"/>
    <w:rsid w:val="004E3D1A"/>
    <w:rsid w:val="004E3E32"/>
    <w:rsid w:val="004E3F75"/>
    <w:rsid w:val="004E3FBD"/>
    <w:rsid w:val="004E4263"/>
    <w:rsid w:val="004E448B"/>
    <w:rsid w:val="004E44B6"/>
    <w:rsid w:val="004E450D"/>
    <w:rsid w:val="004E456F"/>
    <w:rsid w:val="004E465C"/>
    <w:rsid w:val="004E46EE"/>
    <w:rsid w:val="004E47C0"/>
    <w:rsid w:val="004E5206"/>
    <w:rsid w:val="004E5339"/>
    <w:rsid w:val="004E537F"/>
    <w:rsid w:val="004E564F"/>
    <w:rsid w:val="004E56F8"/>
    <w:rsid w:val="004E5A72"/>
    <w:rsid w:val="004E5E44"/>
    <w:rsid w:val="004E5F6B"/>
    <w:rsid w:val="004E5FAA"/>
    <w:rsid w:val="004E6088"/>
    <w:rsid w:val="004E6125"/>
    <w:rsid w:val="004E66D2"/>
    <w:rsid w:val="004E6EC4"/>
    <w:rsid w:val="004E7210"/>
    <w:rsid w:val="004E735D"/>
    <w:rsid w:val="004E75B0"/>
    <w:rsid w:val="004E7615"/>
    <w:rsid w:val="004E7A9E"/>
    <w:rsid w:val="004E7BBD"/>
    <w:rsid w:val="004F028B"/>
    <w:rsid w:val="004F0509"/>
    <w:rsid w:val="004F056A"/>
    <w:rsid w:val="004F099B"/>
    <w:rsid w:val="004F0A58"/>
    <w:rsid w:val="004F0C3B"/>
    <w:rsid w:val="004F0D73"/>
    <w:rsid w:val="004F0F6F"/>
    <w:rsid w:val="004F1096"/>
    <w:rsid w:val="004F193F"/>
    <w:rsid w:val="004F195D"/>
    <w:rsid w:val="004F1AEC"/>
    <w:rsid w:val="004F1B85"/>
    <w:rsid w:val="004F1C9E"/>
    <w:rsid w:val="004F1F35"/>
    <w:rsid w:val="004F21FE"/>
    <w:rsid w:val="004F223A"/>
    <w:rsid w:val="004F2255"/>
    <w:rsid w:val="004F25C3"/>
    <w:rsid w:val="004F2B42"/>
    <w:rsid w:val="004F2CDD"/>
    <w:rsid w:val="004F2F37"/>
    <w:rsid w:val="004F2FD4"/>
    <w:rsid w:val="004F35E5"/>
    <w:rsid w:val="004F3712"/>
    <w:rsid w:val="004F3B29"/>
    <w:rsid w:val="004F42E4"/>
    <w:rsid w:val="004F492E"/>
    <w:rsid w:val="004F4A25"/>
    <w:rsid w:val="004F4FD5"/>
    <w:rsid w:val="004F523E"/>
    <w:rsid w:val="004F52BE"/>
    <w:rsid w:val="004F56A4"/>
    <w:rsid w:val="004F5A0B"/>
    <w:rsid w:val="004F5F2F"/>
    <w:rsid w:val="004F60A2"/>
    <w:rsid w:val="004F68E3"/>
    <w:rsid w:val="004F69F1"/>
    <w:rsid w:val="004F702F"/>
    <w:rsid w:val="004F73AF"/>
    <w:rsid w:val="004F7438"/>
    <w:rsid w:val="004F7714"/>
    <w:rsid w:val="004F7827"/>
    <w:rsid w:val="004F783B"/>
    <w:rsid w:val="00500435"/>
    <w:rsid w:val="005007AF"/>
    <w:rsid w:val="00500A86"/>
    <w:rsid w:val="00500B51"/>
    <w:rsid w:val="00500F5D"/>
    <w:rsid w:val="005015CB"/>
    <w:rsid w:val="005016CE"/>
    <w:rsid w:val="005016F7"/>
    <w:rsid w:val="00501734"/>
    <w:rsid w:val="00501964"/>
    <w:rsid w:val="00501AB3"/>
    <w:rsid w:val="00501C14"/>
    <w:rsid w:val="00501E7E"/>
    <w:rsid w:val="00502281"/>
    <w:rsid w:val="005022A2"/>
    <w:rsid w:val="00502492"/>
    <w:rsid w:val="00502963"/>
    <w:rsid w:val="00502DCC"/>
    <w:rsid w:val="00503600"/>
    <w:rsid w:val="005039D0"/>
    <w:rsid w:val="00503A5C"/>
    <w:rsid w:val="00503F6C"/>
    <w:rsid w:val="0050441C"/>
    <w:rsid w:val="00504620"/>
    <w:rsid w:val="005048FC"/>
    <w:rsid w:val="00504952"/>
    <w:rsid w:val="00504AD4"/>
    <w:rsid w:val="00505000"/>
    <w:rsid w:val="0050516D"/>
    <w:rsid w:val="005051AB"/>
    <w:rsid w:val="00505346"/>
    <w:rsid w:val="005053B5"/>
    <w:rsid w:val="0050572D"/>
    <w:rsid w:val="00505764"/>
    <w:rsid w:val="0050580B"/>
    <w:rsid w:val="00505A6E"/>
    <w:rsid w:val="005060C6"/>
    <w:rsid w:val="00506158"/>
    <w:rsid w:val="0050658C"/>
    <w:rsid w:val="005065AF"/>
    <w:rsid w:val="0050742B"/>
    <w:rsid w:val="005075AA"/>
    <w:rsid w:val="0050785A"/>
    <w:rsid w:val="00507946"/>
    <w:rsid w:val="00507BD0"/>
    <w:rsid w:val="00507DA6"/>
    <w:rsid w:val="00510126"/>
    <w:rsid w:val="005102F7"/>
    <w:rsid w:val="00510AFC"/>
    <w:rsid w:val="00510B0C"/>
    <w:rsid w:val="00510DB0"/>
    <w:rsid w:val="0051104C"/>
    <w:rsid w:val="0051113B"/>
    <w:rsid w:val="005113DC"/>
    <w:rsid w:val="005114EF"/>
    <w:rsid w:val="005114FA"/>
    <w:rsid w:val="0051186F"/>
    <w:rsid w:val="00511D68"/>
    <w:rsid w:val="00511ED5"/>
    <w:rsid w:val="0051211B"/>
    <w:rsid w:val="005121DA"/>
    <w:rsid w:val="00512208"/>
    <w:rsid w:val="005123D0"/>
    <w:rsid w:val="00512704"/>
    <w:rsid w:val="005127FF"/>
    <w:rsid w:val="00512891"/>
    <w:rsid w:val="00512BC5"/>
    <w:rsid w:val="00512CCB"/>
    <w:rsid w:val="00512DF4"/>
    <w:rsid w:val="00512F88"/>
    <w:rsid w:val="0051369E"/>
    <w:rsid w:val="005137B5"/>
    <w:rsid w:val="005139E5"/>
    <w:rsid w:val="00513A56"/>
    <w:rsid w:val="00514073"/>
    <w:rsid w:val="005140B0"/>
    <w:rsid w:val="005142D7"/>
    <w:rsid w:val="005147DE"/>
    <w:rsid w:val="00514908"/>
    <w:rsid w:val="00515052"/>
    <w:rsid w:val="00515554"/>
    <w:rsid w:val="00515866"/>
    <w:rsid w:val="00515AC3"/>
    <w:rsid w:val="00515F8A"/>
    <w:rsid w:val="00515FF2"/>
    <w:rsid w:val="00516163"/>
    <w:rsid w:val="0051672A"/>
    <w:rsid w:val="00516F16"/>
    <w:rsid w:val="00517181"/>
    <w:rsid w:val="00517353"/>
    <w:rsid w:val="00517908"/>
    <w:rsid w:val="005179E0"/>
    <w:rsid w:val="00517A94"/>
    <w:rsid w:val="00517B9F"/>
    <w:rsid w:val="00520135"/>
    <w:rsid w:val="005202F6"/>
    <w:rsid w:val="00520457"/>
    <w:rsid w:val="0052060A"/>
    <w:rsid w:val="0052080B"/>
    <w:rsid w:val="005208FF"/>
    <w:rsid w:val="00520C67"/>
    <w:rsid w:val="00520E2B"/>
    <w:rsid w:val="00521362"/>
    <w:rsid w:val="00521400"/>
    <w:rsid w:val="005214FE"/>
    <w:rsid w:val="00521678"/>
    <w:rsid w:val="00521843"/>
    <w:rsid w:val="005219C6"/>
    <w:rsid w:val="00521D4F"/>
    <w:rsid w:val="005225F2"/>
    <w:rsid w:val="00522747"/>
    <w:rsid w:val="005227BD"/>
    <w:rsid w:val="00522A76"/>
    <w:rsid w:val="00522F35"/>
    <w:rsid w:val="00522FC1"/>
    <w:rsid w:val="00523118"/>
    <w:rsid w:val="005234D4"/>
    <w:rsid w:val="005234D7"/>
    <w:rsid w:val="0052373D"/>
    <w:rsid w:val="0052374D"/>
    <w:rsid w:val="00523CD3"/>
    <w:rsid w:val="00523EC0"/>
    <w:rsid w:val="00524184"/>
    <w:rsid w:val="005242A8"/>
    <w:rsid w:val="005242E0"/>
    <w:rsid w:val="00524497"/>
    <w:rsid w:val="005245A2"/>
    <w:rsid w:val="005245C2"/>
    <w:rsid w:val="00524627"/>
    <w:rsid w:val="00524C0E"/>
    <w:rsid w:val="00524E8D"/>
    <w:rsid w:val="00525685"/>
    <w:rsid w:val="0052570C"/>
    <w:rsid w:val="005257D9"/>
    <w:rsid w:val="00525972"/>
    <w:rsid w:val="005259EC"/>
    <w:rsid w:val="00525AF9"/>
    <w:rsid w:val="00525EDD"/>
    <w:rsid w:val="00526204"/>
    <w:rsid w:val="005264F7"/>
    <w:rsid w:val="0052650C"/>
    <w:rsid w:val="00526915"/>
    <w:rsid w:val="00526B49"/>
    <w:rsid w:val="00526C7B"/>
    <w:rsid w:val="005270C2"/>
    <w:rsid w:val="005275EC"/>
    <w:rsid w:val="005278BD"/>
    <w:rsid w:val="00527AAA"/>
    <w:rsid w:val="00527B57"/>
    <w:rsid w:val="00527D3C"/>
    <w:rsid w:val="00527FA2"/>
    <w:rsid w:val="0052C11C"/>
    <w:rsid w:val="005303F0"/>
    <w:rsid w:val="00530464"/>
    <w:rsid w:val="005307C5"/>
    <w:rsid w:val="00530B31"/>
    <w:rsid w:val="00530D3A"/>
    <w:rsid w:val="00531834"/>
    <w:rsid w:val="00531ADF"/>
    <w:rsid w:val="00531AE1"/>
    <w:rsid w:val="00531B23"/>
    <w:rsid w:val="00531E3B"/>
    <w:rsid w:val="005326C5"/>
    <w:rsid w:val="0053298A"/>
    <w:rsid w:val="00532CB8"/>
    <w:rsid w:val="00532D47"/>
    <w:rsid w:val="00532FB2"/>
    <w:rsid w:val="00533256"/>
    <w:rsid w:val="005334C4"/>
    <w:rsid w:val="0053399A"/>
    <w:rsid w:val="00533A00"/>
    <w:rsid w:val="00533B07"/>
    <w:rsid w:val="00533BE8"/>
    <w:rsid w:val="005340AB"/>
    <w:rsid w:val="0053422F"/>
    <w:rsid w:val="005342FD"/>
    <w:rsid w:val="005344E2"/>
    <w:rsid w:val="0053454F"/>
    <w:rsid w:val="00534907"/>
    <w:rsid w:val="00534BD1"/>
    <w:rsid w:val="00534D6A"/>
    <w:rsid w:val="00534EDC"/>
    <w:rsid w:val="00535191"/>
    <w:rsid w:val="0053530B"/>
    <w:rsid w:val="005354EB"/>
    <w:rsid w:val="005357FB"/>
    <w:rsid w:val="00535B01"/>
    <w:rsid w:val="00535B09"/>
    <w:rsid w:val="00535E4F"/>
    <w:rsid w:val="00535E67"/>
    <w:rsid w:val="00535EE0"/>
    <w:rsid w:val="00535F31"/>
    <w:rsid w:val="00535F3F"/>
    <w:rsid w:val="0053621C"/>
    <w:rsid w:val="00536427"/>
    <w:rsid w:val="005366C2"/>
    <w:rsid w:val="00536734"/>
    <w:rsid w:val="005367BC"/>
    <w:rsid w:val="00536B81"/>
    <w:rsid w:val="00537030"/>
    <w:rsid w:val="0053708A"/>
    <w:rsid w:val="00537105"/>
    <w:rsid w:val="00537205"/>
    <w:rsid w:val="005372EC"/>
    <w:rsid w:val="00537470"/>
    <w:rsid w:val="005377DC"/>
    <w:rsid w:val="00537A12"/>
    <w:rsid w:val="00537BDE"/>
    <w:rsid w:val="0053FD66"/>
    <w:rsid w:val="00540111"/>
    <w:rsid w:val="0054013E"/>
    <w:rsid w:val="00540DCB"/>
    <w:rsid w:val="005412E2"/>
    <w:rsid w:val="00541318"/>
    <w:rsid w:val="005413B1"/>
    <w:rsid w:val="00541462"/>
    <w:rsid w:val="00541478"/>
    <w:rsid w:val="00541695"/>
    <w:rsid w:val="00541776"/>
    <w:rsid w:val="005417F7"/>
    <w:rsid w:val="005418BE"/>
    <w:rsid w:val="0054206B"/>
    <w:rsid w:val="005420A2"/>
    <w:rsid w:val="00542CCD"/>
    <w:rsid w:val="00542DF2"/>
    <w:rsid w:val="005430A4"/>
    <w:rsid w:val="00543222"/>
    <w:rsid w:val="00543435"/>
    <w:rsid w:val="0054392E"/>
    <w:rsid w:val="00543994"/>
    <w:rsid w:val="005439D0"/>
    <w:rsid w:val="00543A87"/>
    <w:rsid w:val="00543E2C"/>
    <w:rsid w:val="005444CF"/>
    <w:rsid w:val="005444FB"/>
    <w:rsid w:val="0054488B"/>
    <w:rsid w:val="00544915"/>
    <w:rsid w:val="005449DA"/>
    <w:rsid w:val="00544E7F"/>
    <w:rsid w:val="0054531A"/>
    <w:rsid w:val="005453A0"/>
    <w:rsid w:val="005455D1"/>
    <w:rsid w:val="00545CD2"/>
    <w:rsid w:val="00545CF5"/>
    <w:rsid w:val="00546009"/>
    <w:rsid w:val="00546027"/>
    <w:rsid w:val="0054611D"/>
    <w:rsid w:val="005462AE"/>
    <w:rsid w:val="005463B6"/>
    <w:rsid w:val="0054664D"/>
    <w:rsid w:val="005468C4"/>
    <w:rsid w:val="00546DD4"/>
    <w:rsid w:val="00546E30"/>
    <w:rsid w:val="00546FE2"/>
    <w:rsid w:val="005470FA"/>
    <w:rsid w:val="0054712F"/>
    <w:rsid w:val="0054747C"/>
    <w:rsid w:val="00547ADF"/>
    <w:rsid w:val="00547D40"/>
    <w:rsid w:val="00547DD2"/>
    <w:rsid w:val="0055006C"/>
    <w:rsid w:val="005501A9"/>
    <w:rsid w:val="0055025D"/>
    <w:rsid w:val="005507F1"/>
    <w:rsid w:val="00550994"/>
    <w:rsid w:val="005509EF"/>
    <w:rsid w:val="00550C05"/>
    <w:rsid w:val="00550CC9"/>
    <w:rsid w:val="00550D35"/>
    <w:rsid w:val="00550FA1"/>
    <w:rsid w:val="0055116B"/>
    <w:rsid w:val="00551220"/>
    <w:rsid w:val="0055126E"/>
    <w:rsid w:val="00551339"/>
    <w:rsid w:val="005513EB"/>
    <w:rsid w:val="005514B1"/>
    <w:rsid w:val="005519E9"/>
    <w:rsid w:val="00551E92"/>
    <w:rsid w:val="00552057"/>
    <w:rsid w:val="00552364"/>
    <w:rsid w:val="00552414"/>
    <w:rsid w:val="00552588"/>
    <w:rsid w:val="00553218"/>
    <w:rsid w:val="00553C24"/>
    <w:rsid w:val="00553EFD"/>
    <w:rsid w:val="00554014"/>
    <w:rsid w:val="00554443"/>
    <w:rsid w:val="0055447D"/>
    <w:rsid w:val="00554565"/>
    <w:rsid w:val="00554819"/>
    <w:rsid w:val="00554CED"/>
    <w:rsid w:val="00554E0B"/>
    <w:rsid w:val="00554E8B"/>
    <w:rsid w:val="0055512E"/>
    <w:rsid w:val="005553A0"/>
    <w:rsid w:val="005553A5"/>
    <w:rsid w:val="00555468"/>
    <w:rsid w:val="005555FB"/>
    <w:rsid w:val="00555C49"/>
    <w:rsid w:val="00555DCF"/>
    <w:rsid w:val="00555EBF"/>
    <w:rsid w:val="00555FF5"/>
    <w:rsid w:val="005561E7"/>
    <w:rsid w:val="005562F7"/>
    <w:rsid w:val="0055685D"/>
    <w:rsid w:val="00556C9E"/>
    <w:rsid w:val="00556DAF"/>
    <w:rsid w:val="00557032"/>
    <w:rsid w:val="005576A4"/>
    <w:rsid w:val="005576FE"/>
    <w:rsid w:val="00557739"/>
    <w:rsid w:val="005579F0"/>
    <w:rsid w:val="00557ADC"/>
    <w:rsid w:val="00557DC9"/>
    <w:rsid w:val="0056001B"/>
    <w:rsid w:val="00560165"/>
    <w:rsid w:val="00560315"/>
    <w:rsid w:val="005605ED"/>
    <w:rsid w:val="00560794"/>
    <w:rsid w:val="005607FB"/>
    <w:rsid w:val="00560BDF"/>
    <w:rsid w:val="0056108F"/>
    <w:rsid w:val="00561305"/>
    <w:rsid w:val="005618BF"/>
    <w:rsid w:val="005618C4"/>
    <w:rsid w:val="00561936"/>
    <w:rsid w:val="00561BD3"/>
    <w:rsid w:val="00561CC5"/>
    <w:rsid w:val="00561D1F"/>
    <w:rsid w:val="00561D9A"/>
    <w:rsid w:val="0056262A"/>
    <w:rsid w:val="00562724"/>
    <w:rsid w:val="00562B3C"/>
    <w:rsid w:val="00562BDD"/>
    <w:rsid w:val="0056304B"/>
    <w:rsid w:val="005631B5"/>
    <w:rsid w:val="005632CD"/>
    <w:rsid w:val="005635B2"/>
    <w:rsid w:val="00563D1F"/>
    <w:rsid w:val="00564099"/>
    <w:rsid w:val="00564146"/>
    <w:rsid w:val="00564373"/>
    <w:rsid w:val="00564942"/>
    <w:rsid w:val="005649B3"/>
    <w:rsid w:val="00564AF1"/>
    <w:rsid w:val="00564E77"/>
    <w:rsid w:val="005652EF"/>
    <w:rsid w:val="00565482"/>
    <w:rsid w:val="005655B3"/>
    <w:rsid w:val="005656D3"/>
    <w:rsid w:val="00565782"/>
    <w:rsid w:val="00565931"/>
    <w:rsid w:val="00565D4C"/>
    <w:rsid w:val="00565E8D"/>
    <w:rsid w:val="00566036"/>
    <w:rsid w:val="0056605A"/>
    <w:rsid w:val="005665F5"/>
    <w:rsid w:val="00566900"/>
    <w:rsid w:val="00566A40"/>
    <w:rsid w:val="00566ADB"/>
    <w:rsid w:val="005670BA"/>
    <w:rsid w:val="005671E2"/>
    <w:rsid w:val="005673BB"/>
    <w:rsid w:val="00567AA7"/>
    <w:rsid w:val="00567B36"/>
    <w:rsid w:val="005700CF"/>
    <w:rsid w:val="005701DD"/>
    <w:rsid w:val="00570B4E"/>
    <w:rsid w:val="00570B80"/>
    <w:rsid w:val="005710F6"/>
    <w:rsid w:val="0057135A"/>
    <w:rsid w:val="00571700"/>
    <w:rsid w:val="00571C74"/>
    <w:rsid w:val="00572029"/>
    <w:rsid w:val="00572A08"/>
    <w:rsid w:val="00572B11"/>
    <w:rsid w:val="00572BEF"/>
    <w:rsid w:val="00572C3A"/>
    <w:rsid w:val="00573334"/>
    <w:rsid w:val="00573640"/>
    <w:rsid w:val="00573920"/>
    <w:rsid w:val="00573B08"/>
    <w:rsid w:val="00573CB8"/>
    <w:rsid w:val="00574090"/>
    <w:rsid w:val="00574115"/>
    <w:rsid w:val="00574356"/>
    <w:rsid w:val="00574563"/>
    <w:rsid w:val="005745F2"/>
    <w:rsid w:val="00574B49"/>
    <w:rsid w:val="0057507A"/>
    <w:rsid w:val="0057562C"/>
    <w:rsid w:val="005757FC"/>
    <w:rsid w:val="00575907"/>
    <w:rsid w:val="00575D0A"/>
    <w:rsid w:val="00575D38"/>
    <w:rsid w:val="00575D91"/>
    <w:rsid w:val="00576859"/>
    <w:rsid w:val="00576909"/>
    <w:rsid w:val="00576B68"/>
    <w:rsid w:val="00576B88"/>
    <w:rsid w:val="00577149"/>
    <w:rsid w:val="00577255"/>
    <w:rsid w:val="005773C0"/>
    <w:rsid w:val="005773D8"/>
    <w:rsid w:val="005777AF"/>
    <w:rsid w:val="0057784B"/>
    <w:rsid w:val="00577B98"/>
    <w:rsid w:val="0058001A"/>
    <w:rsid w:val="005808AE"/>
    <w:rsid w:val="00580F1C"/>
    <w:rsid w:val="005815E4"/>
    <w:rsid w:val="0058167C"/>
    <w:rsid w:val="005818C8"/>
    <w:rsid w:val="0058195F"/>
    <w:rsid w:val="005823EB"/>
    <w:rsid w:val="005825EA"/>
    <w:rsid w:val="0058273D"/>
    <w:rsid w:val="0058283E"/>
    <w:rsid w:val="005828E0"/>
    <w:rsid w:val="00582F5C"/>
    <w:rsid w:val="00583106"/>
    <w:rsid w:val="0058369D"/>
    <w:rsid w:val="005837D9"/>
    <w:rsid w:val="00583C09"/>
    <w:rsid w:val="00583E1B"/>
    <w:rsid w:val="0058438C"/>
    <w:rsid w:val="005845A0"/>
    <w:rsid w:val="00584A36"/>
    <w:rsid w:val="00584A93"/>
    <w:rsid w:val="00584AB0"/>
    <w:rsid w:val="00584BF3"/>
    <w:rsid w:val="00584D98"/>
    <w:rsid w:val="00584E28"/>
    <w:rsid w:val="00584F09"/>
    <w:rsid w:val="005855A3"/>
    <w:rsid w:val="00585800"/>
    <w:rsid w:val="00585BA2"/>
    <w:rsid w:val="00585BFF"/>
    <w:rsid w:val="00585E15"/>
    <w:rsid w:val="0058608A"/>
    <w:rsid w:val="00586162"/>
    <w:rsid w:val="0058632C"/>
    <w:rsid w:val="00586A58"/>
    <w:rsid w:val="00586A8C"/>
    <w:rsid w:val="00586CBF"/>
    <w:rsid w:val="00586DAE"/>
    <w:rsid w:val="00586DDD"/>
    <w:rsid w:val="00586FF9"/>
    <w:rsid w:val="0058708D"/>
    <w:rsid w:val="005870EF"/>
    <w:rsid w:val="005872E8"/>
    <w:rsid w:val="00587357"/>
    <w:rsid w:val="0058774E"/>
    <w:rsid w:val="005879E3"/>
    <w:rsid w:val="00587BFE"/>
    <w:rsid w:val="00587C2D"/>
    <w:rsid w:val="00587EB6"/>
    <w:rsid w:val="00587EF3"/>
    <w:rsid w:val="0059002C"/>
    <w:rsid w:val="005906B7"/>
    <w:rsid w:val="0059086F"/>
    <w:rsid w:val="00590891"/>
    <w:rsid w:val="00590FE1"/>
    <w:rsid w:val="005910B2"/>
    <w:rsid w:val="005916A7"/>
    <w:rsid w:val="005919B0"/>
    <w:rsid w:val="00591D60"/>
    <w:rsid w:val="00591E05"/>
    <w:rsid w:val="00591EAE"/>
    <w:rsid w:val="005923FF"/>
    <w:rsid w:val="00592558"/>
    <w:rsid w:val="0059267F"/>
    <w:rsid w:val="00592AF9"/>
    <w:rsid w:val="00592D69"/>
    <w:rsid w:val="00592E9A"/>
    <w:rsid w:val="00592F62"/>
    <w:rsid w:val="00592F66"/>
    <w:rsid w:val="005933BF"/>
    <w:rsid w:val="0059395C"/>
    <w:rsid w:val="00593D7B"/>
    <w:rsid w:val="00593ED4"/>
    <w:rsid w:val="00593FB6"/>
    <w:rsid w:val="005945BF"/>
    <w:rsid w:val="005945E2"/>
    <w:rsid w:val="0059480F"/>
    <w:rsid w:val="005949D5"/>
    <w:rsid w:val="00594ACA"/>
    <w:rsid w:val="00594CF1"/>
    <w:rsid w:val="00594EC6"/>
    <w:rsid w:val="005950C3"/>
    <w:rsid w:val="0059574E"/>
    <w:rsid w:val="005958D5"/>
    <w:rsid w:val="00595CC0"/>
    <w:rsid w:val="00595CCC"/>
    <w:rsid w:val="00595FA1"/>
    <w:rsid w:val="00595FF6"/>
    <w:rsid w:val="005963A3"/>
    <w:rsid w:val="0059687F"/>
    <w:rsid w:val="00596E26"/>
    <w:rsid w:val="00596FC2"/>
    <w:rsid w:val="005972E2"/>
    <w:rsid w:val="005973FF"/>
    <w:rsid w:val="005974E1"/>
    <w:rsid w:val="00597641"/>
    <w:rsid w:val="00597696"/>
    <w:rsid w:val="005977D1"/>
    <w:rsid w:val="0059784C"/>
    <w:rsid w:val="005979A6"/>
    <w:rsid w:val="00597D42"/>
    <w:rsid w:val="005A0103"/>
    <w:rsid w:val="005A07B5"/>
    <w:rsid w:val="005A07FC"/>
    <w:rsid w:val="005A1043"/>
    <w:rsid w:val="005A104C"/>
    <w:rsid w:val="005A12AC"/>
    <w:rsid w:val="005A1635"/>
    <w:rsid w:val="005A1D7D"/>
    <w:rsid w:val="005A1FEA"/>
    <w:rsid w:val="005A219C"/>
    <w:rsid w:val="005A25B0"/>
    <w:rsid w:val="005A2823"/>
    <w:rsid w:val="005A28D5"/>
    <w:rsid w:val="005A29C8"/>
    <w:rsid w:val="005A2A9F"/>
    <w:rsid w:val="005A2D5C"/>
    <w:rsid w:val="005A2E4D"/>
    <w:rsid w:val="005A2EEB"/>
    <w:rsid w:val="005A3008"/>
    <w:rsid w:val="005A340C"/>
    <w:rsid w:val="005A3663"/>
    <w:rsid w:val="005A3BE1"/>
    <w:rsid w:val="005A3E16"/>
    <w:rsid w:val="005A4397"/>
    <w:rsid w:val="005A446E"/>
    <w:rsid w:val="005A46EB"/>
    <w:rsid w:val="005A47D9"/>
    <w:rsid w:val="005A495B"/>
    <w:rsid w:val="005A4BFA"/>
    <w:rsid w:val="005A4EA4"/>
    <w:rsid w:val="005A5193"/>
    <w:rsid w:val="005A5396"/>
    <w:rsid w:val="005A55C4"/>
    <w:rsid w:val="005A56CF"/>
    <w:rsid w:val="005A56FA"/>
    <w:rsid w:val="005A5A9D"/>
    <w:rsid w:val="005A5DFB"/>
    <w:rsid w:val="005A608F"/>
    <w:rsid w:val="005A626D"/>
    <w:rsid w:val="005A642E"/>
    <w:rsid w:val="005A64AB"/>
    <w:rsid w:val="005A6595"/>
    <w:rsid w:val="005A696B"/>
    <w:rsid w:val="005A6ED7"/>
    <w:rsid w:val="005A6F55"/>
    <w:rsid w:val="005A7095"/>
    <w:rsid w:val="005A70C8"/>
    <w:rsid w:val="005A70D6"/>
    <w:rsid w:val="005A7149"/>
    <w:rsid w:val="005A7424"/>
    <w:rsid w:val="005A7608"/>
    <w:rsid w:val="005A7887"/>
    <w:rsid w:val="005A78DF"/>
    <w:rsid w:val="005A7AEA"/>
    <w:rsid w:val="005A7B22"/>
    <w:rsid w:val="005A7C27"/>
    <w:rsid w:val="005B0012"/>
    <w:rsid w:val="005B02AD"/>
    <w:rsid w:val="005B0321"/>
    <w:rsid w:val="005B055A"/>
    <w:rsid w:val="005B0599"/>
    <w:rsid w:val="005B09BD"/>
    <w:rsid w:val="005B0DA8"/>
    <w:rsid w:val="005B0F2D"/>
    <w:rsid w:val="005B0F7A"/>
    <w:rsid w:val="005B14A6"/>
    <w:rsid w:val="005B170A"/>
    <w:rsid w:val="005B1CF3"/>
    <w:rsid w:val="005B1E17"/>
    <w:rsid w:val="005B1FAE"/>
    <w:rsid w:val="005B2055"/>
    <w:rsid w:val="005B20FC"/>
    <w:rsid w:val="005B210C"/>
    <w:rsid w:val="005B27BE"/>
    <w:rsid w:val="005B2CC4"/>
    <w:rsid w:val="005B3091"/>
    <w:rsid w:val="005B3642"/>
    <w:rsid w:val="005B3742"/>
    <w:rsid w:val="005B3D8A"/>
    <w:rsid w:val="005B3FE3"/>
    <w:rsid w:val="005B3FE6"/>
    <w:rsid w:val="005B430C"/>
    <w:rsid w:val="005B47D9"/>
    <w:rsid w:val="005B50F3"/>
    <w:rsid w:val="005B5160"/>
    <w:rsid w:val="005B5B76"/>
    <w:rsid w:val="005B5F2C"/>
    <w:rsid w:val="005B5F85"/>
    <w:rsid w:val="005B6073"/>
    <w:rsid w:val="005B6473"/>
    <w:rsid w:val="005B64E4"/>
    <w:rsid w:val="005B64FB"/>
    <w:rsid w:val="005B7465"/>
    <w:rsid w:val="005B7751"/>
    <w:rsid w:val="005B784F"/>
    <w:rsid w:val="005B794C"/>
    <w:rsid w:val="005B7BAD"/>
    <w:rsid w:val="005B7C77"/>
    <w:rsid w:val="005C0191"/>
    <w:rsid w:val="005C02D7"/>
    <w:rsid w:val="005C076B"/>
    <w:rsid w:val="005C0898"/>
    <w:rsid w:val="005C0E29"/>
    <w:rsid w:val="005C103F"/>
    <w:rsid w:val="005C14E2"/>
    <w:rsid w:val="005C15CF"/>
    <w:rsid w:val="005C1839"/>
    <w:rsid w:val="005C1A3D"/>
    <w:rsid w:val="005C1A54"/>
    <w:rsid w:val="005C1C76"/>
    <w:rsid w:val="005C1D73"/>
    <w:rsid w:val="005C1E3B"/>
    <w:rsid w:val="005C2166"/>
    <w:rsid w:val="005C2189"/>
    <w:rsid w:val="005C22BE"/>
    <w:rsid w:val="005C2753"/>
    <w:rsid w:val="005C2775"/>
    <w:rsid w:val="005C2A62"/>
    <w:rsid w:val="005C2C01"/>
    <w:rsid w:val="005C2D51"/>
    <w:rsid w:val="005C2ED4"/>
    <w:rsid w:val="005C3322"/>
    <w:rsid w:val="005C3D45"/>
    <w:rsid w:val="005C3DC8"/>
    <w:rsid w:val="005C3F7D"/>
    <w:rsid w:val="005C4097"/>
    <w:rsid w:val="005C44C2"/>
    <w:rsid w:val="005C46EE"/>
    <w:rsid w:val="005C4781"/>
    <w:rsid w:val="005C49F1"/>
    <w:rsid w:val="005C4AB2"/>
    <w:rsid w:val="005C4DA1"/>
    <w:rsid w:val="005C4E54"/>
    <w:rsid w:val="005C52F1"/>
    <w:rsid w:val="005C5607"/>
    <w:rsid w:val="005C56F2"/>
    <w:rsid w:val="005C5834"/>
    <w:rsid w:val="005C59F7"/>
    <w:rsid w:val="005C5A6E"/>
    <w:rsid w:val="005C5DFE"/>
    <w:rsid w:val="005C5F69"/>
    <w:rsid w:val="005C5F8C"/>
    <w:rsid w:val="005C62A1"/>
    <w:rsid w:val="005C67D8"/>
    <w:rsid w:val="005C68B7"/>
    <w:rsid w:val="005C6974"/>
    <w:rsid w:val="005C6ACC"/>
    <w:rsid w:val="005C703A"/>
    <w:rsid w:val="005C70D1"/>
    <w:rsid w:val="005C76BF"/>
    <w:rsid w:val="005C76F7"/>
    <w:rsid w:val="005C77ED"/>
    <w:rsid w:val="005C7B7D"/>
    <w:rsid w:val="005C7DA0"/>
    <w:rsid w:val="005CF1A9"/>
    <w:rsid w:val="005D0063"/>
    <w:rsid w:val="005D01F3"/>
    <w:rsid w:val="005D0265"/>
    <w:rsid w:val="005D028A"/>
    <w:rsid w:val="005D051A"/>
    <w:rsid w:val="005D0624"/>
    <w:rsid w:val="005D076F"/>
    <w:rsid w:val="005D07DE"/>
    <w:rsid w:val="005D09DC"/>
    <w:rsid w:val="005D0A63"/>
    <w:rsid w:val="005D0B5B"/>
    <w:rsid w:val="005D0D8B"/>
    <w:rsid w:val="005D1398"/>
    <w:rsid w:val="005D13CF"/>
    <w:rsid w:val="005D17D3"/>
    <w:rsid w:val="005D1901"/>
    <w:rsid w:val="005D19BB"/>
    <w:rsid w:val="005D19D6"/>
    <w:rsid w:val="005D1BCE"/>
    <w:rsid w:val="005D1CA5"/>
    <w:rsid w:val="005D1CC5"/>
    <w:rsid w:val="005D1D4A"/>
    <w:rsid w:val="005D22A6"/>
    <w:rsid w:val="005D2329"/>
    <w:rsid w:val="005D2846"/>
    <w:rsid w:val="005D29FF"/>
    <w:rsid w:val="005D2A98"/>
    <w:rsid w:val="005D2B65"/>
    <w:rsid w:val="005D2E75"/>
    <w:rsid w:val="005D2FA4"/>
    <w:rsid w:val="005D3293"/>
    <w:rsid w:val="005D38A7"/>
    <w:rsid w:val="005D3992"/>
    <w:rsid w:val="005D3C53"/>
    <w:rsid w:val="005D3CA3"/>
    <w:rsid w:val="005D3DAD"/>
    <w:rsid w:val="005D4268"/>
    <w:rsid w:val="005D4521"/>
    <w:rsid w:val="005D458E"/>
    <w:rsid w:val="005D4642"/>
    <w:rsid w:val="005D464D"/>
    <w:rsid w:val="005D4B5D"/>
    <w:rsid w:val="005D4C90"/>
    <w:rsid w:val="005D5402"/>
    <w:rsid w:val="005D54F3"/>
    <w:rsid w:val="005D580D"/>
    <w:rsid w:val="005D5915"/>
    <w:rsid w:val="005D5A64"/>
    <w:rsid w:val="005D5BCB"/>
    <w:rsid w:val="005D6156"/>
    <w:rsid w:val="005D630D"/>
    <w:rsid w:val="005D669E"/>
    <w:rsid w:val="005D6B2B"/>
    <w:rsid w:val="005D6B69"/>
    <w:rsid w:val="005D6BA7"/>
    <w:rsid w:val="005D6F69"/>
    <w:rsid w:val="005D791F"/>
    <w:rsid w:val="005D7B4A"/>
    <w:rsid w:val="005D7D02"/>
    <w:rsid w:val="005E001B"/>
    <w:rsid w:val="005E0612"/>
    <w:rsid w:val="005E07DA"/>
    <w:rsid w:val="005E080D"/>
    <w:rsid w:val="005E096A"/>
    <w:rsid w:val="005E0ABB"/>
    <w:rsid w:val="005E0FE4"/>
    <w:rsid w:val="005E13BB"/>
    <w:rsid w:val="005E152F"/>
    <w:rsid w:val="005E15B7"/>
    <w:rsid w:val="005E1798"/>
    <w:rsid w:val="005E18BA"/>
    <w:rsid w:val="005E1900"/>
    <w:rsid w:val="005E19A2"/>
    <w:rsid w:val="005E1F14"/>
    <w:rsid w:val="005E2399"/>
    <w:rsid w:val="005E243F"/>
    <w:rsid w:val="005E2510"/>
    <w:rsid w:val="005E26B7"/>
    <w:rsid w:val="005E28B2"/>
    <w:rsid w:val="005E2C94"/>
    <w:rsid w:val="005E30E2"/>
    <w:rsid w:val="005E3ED1"/>
    <w:rsid w:val="005E3F60"/>
    <w:rsid w:val="005E4195"/>
    <w:rsid w:val="005E433E"/>
    <w:rsid w:val="005E4741"/>
    <w:rsid w:val="005E4766"/>
    <w:rsid w:val="005E48A5"/>
    <w:rsid w:val="005E49C4"/>
    <w:rsid w:val="005E4C93"/>
    <w:rsid w:val="005E4DD4"/>
    <w:rsid w:val="005E5255"/>
    <w:rsid w:val="005E539F"/>
    <w:rsid w:val="005E5855"/>
    <w:rsid w:val="005E5D09"/>
    <w:rsid w:val="005E635E"/>
    <w:rsid w:val="005E6C68"/>
    <w:rsid w:val="005E6D8E"/>
    <w:rsid w:val="005E6F9D"/>
    <w:rsid w:val="005E7088"/>
    <w:rsid w:val="005E71E1"/>
    <w:rsid w:val="005E7592"/>
    <w:rsid w:val="005E7938"/>
    <w:rsid w:val="005E7BA3"/>
    <w:rsid w:val="005E7D28"/>
    <w:rsid w:val="005E7F21"/>
    <w:rsid w:val="005F0073"/>
    <w:rsid w:val="005F010F"/>
    <w:rsid w:val="005F01F2"/>
    <w:rsid w:val="005F02AA"/>
    <w:rsid w:val="005F0489"/>
    <w:rsid w:val="005F0914"/>
    <w:rsid w:val="005F11E2"/>
    <w:rsid w:val="005F124A"/>
    <w:rsid w:val="005F1279"/>
    <w:rsid w:val="005F1419"/>
    <w:rsid w:val="005F2200"/>
    <w:rsid w:val="005F23E5"/>
    <w:rsid w:val="005F2A64"/>
    <w:rsid w:val="005F2BB7"/>
    <w:rsid w:val="005F2F2F"/>
    <w:rsid w:val="005F30CE"/>
    <w:rsid w:val="005F30E7"/>
    <w:rsid w:val="005F3262"/>
    <w:rsid w:val="005F3314"/>
    <w:rsid w:val="005F346F"/>
    <w:rsid w:val="005F3BA5"/>
    <w:rsid w:val="005F41F8"/>
    <w:rsid w:val="005F4307"/>
    <w:rsid w:val="005F47EF"/>
    <w:rsid w:val="005F49EF"/>
    <w:rsid w:val="005F4F8A"/>
    <w:rsid w:val="005F53F5"/>
    <w:rsid w:val="005F5609"/>
    <w:rsid w:val="005F56BE"/>
    <w:rsid w:val="005F56FF"/>
    <w:rsid w:val="005F57DC"/>
    <w:rsid w:val="005F6234"/>
    <w:rsid w:val="005F6582"/>
    <w:rsid w:val="005F6688"/>
    <w:rsid w:val="005F675B"/>
    <w:rsid w:val="005F6791"/>
    <w:rsid w:val="005F6CAA"/>
    <w:rsid w:val="005F6DDE"/>
    <w:rsid w:val="005F6E97"/>
    <w:rsid w:val="005F6F0B"/>
    <w:rsid w:val="005F7CC5"/>
    <w:rsid w:val="005F7DA9"/>
    <w:rsid w:val="005F7FE1"/>
    <w:rsid w:val="006002D3"/>
    <w:rsid w:val="006005BA"/>
    <w:rsid w:val="0060080B"/>
    <w:rsid w:val="00600C2E"/>
    <w:rsid w:val="00600C84"/>
    <w:rsid w:val="00600CD4"/>
    <w:rsid w:val="00601A60"/>
    <w:rsid w:val="00601E81"/>
    <w:rsid w:val="00602118"/>
    <w:rsid w:val="006024CB"/>
    <w:rsid w:val="00602743"/>
    <w:rsid w:val="006027EF"/>
    <w:rsid w:val="006029F5"/>
    <w:rsid w:val="006029FE"/>
    <w:rsid w:val="00603281"/>
    <w:rsid w:val="006037CD"/>
    <w:rsid w:val="006037DA"/>
    <w:rsid w:val="0060382E"/>
    <w:rsid w:val="0060404D"/>
    <w:rsid w:val="00604271"/>
    <w:rsid w:val="006046DA"/>
    <w:rsid w:val="00604B92"/>
    <w:rsid w:val="00604E9D"/>
    <w:rsid w:val="00605234"/>
    <w:rsid w:val="00605284"/>
    <w:rsid w:val="0060529F"/>
    <w:rsid w:val="00605462"/>
    <w:rsid w:val="0060609F"/>
    <w:rsid w:val="0060639A"/>
    <w:rsid w:val="006064B7"/>
    <w:rsid w:val="00606A0B"/>
    <w:rsid w:val="00606B36"/>
    <w:rsid w:val="00606B53"/>
    <w:rsid w:val="00606C1F"/>
    <w:rsid w:val="006070B5"/>
    <w:rsid w:val="00607264"/>
    <w:rsid w:val="006072B0"/>
    <w:rsid w:val="006073F0"/>
    <w:rsid w:val="00607C0B"/>
    <w:rsid w:val="00607CB1"/>
    <w:rsid w:val="00607DB2"/>
    <w:rsid w:val="00607DE2"/>
    <w:rsid w:val="00607EFC"/>
    <w:rsid w:val="0061017C"/>
    <w:rsid w:val="00610227"/>
    <w:rsid w:val="006109B3"/>
    <w:rsid w:val="00611492"/>
    <w:rsid w:val="00611A40"/>
    <w:rsid w:val="00611D86"/>
    <w:rsid w:val="00611F57"/>
    <w:rsid w:val="00611FCD"/>
    <w:rsid w:val="00612397"/>
    <w:rsid w:val="0061244D"/>
    <w:rsid w:val="006124EE"/>
    <w:rsid w:val="00612690"/>
    <w:rsid w:val="0061284A"/>
    <w:rsid w:val="006128C4"/>
    <w:rsid w:val="00612B22"/>
    <w:rsid w:val="00612D88"/>
    <w:rsid w:val="00612F44"/>
    <w:rsid w:val="0061301C"/>
    <w:rsid w:val="0061336D"/>
    <w:rsid w:val="00613669"/>
    <w:rsid w:val="006136C6"/>
    <w:rsid w:val="00613967"/>
    <w:rsid w:val="00613F16"/>
    <w:rsid w:val="006143D6"/>
    <w:rsid w:val="00614647"/>
    <w:rsid w:val="00614BCC"/>
    <w:rsid w:val="00614C25"/>
    <w:rsid w:val="00614C29"/>
    <w:rsid w:val="00614D49"/>
    <w:rsid w:val="00615005"/>
    <w:rsid w:val="006153BB"/>
    <w:rsid w:val="0061545D"/>
    <w:rsid w:val="006155CE"/>
    <w:rsid w:val="00615A69"/>
    <w:rsid w:val="00615AFA"/>
    <w:rsid w:val="00615B7A"/>
    <w:rsid w:val="00615D2B"/>
    <w:rsid w:val="00616172"/>
    <w:rsid w:val="0061617F"/>
    <w:rsid w:val="00616672"/>
    <w:rsid w:val="006168E0"/>
    <w:rsid w:val="00616CDC"/>
    <w:rsid w:val="00616E79"/>
    <w:rsid w:val="00617168"/>
    <w:rsid w:val="00617938"/>
    <w:rsid w:val="006179CE"/>
    <w:rsid w:val="00617E00"/>
    <w:rsid w:val="00620025"/>
    <w:rsid w:val="006204E5"/>
    <w:rsid w:val="00620514"/>
    <w:rsid w:val="006207AD"/>
    <w:rsid w:val="00620BAE"/>
    <w:rsid w:val="00620D4F"/>
    <w:rsid w:val="00621482"/>
    <w:rsid w:val="006217DA"/>
    <w:rsid w:val="00621855"/>
    <w:rsid w:val="00621AC8"/>
    <w:rsid w:val="00621FAB"/>
    <w:rsid w:val="00622136"/>
    <w:rsid w:val="00622382"/>
    <w:rsid w:val="006223D2"/>
    <w:rsid w:val="00622706"/>
    <w:rsid w:val="0062290D"/>
    <w:rsid w:val="00622F4A"/>
    <w:rsid w:val="006231E2"/>
    <w:rsid w:val="0062328F"/>
    <w:rsid w:val="0062361B"/>
    <w:rsid w:val="006236B9"/>
    <w:rsid w:val="00623E56"/>
    <w:rsid w:val="00624280"/>
    <w:rsid w:val="0062450C"/>
    <w:rsid w:val="00624592"/>
    <w:rsid w:val="006248CB"/>
    <w:rsid w:val="00624B26"/>
    <w:rsid w:val="0062500A"/>
    <w:rsid w:val="0062521A"/>
    <w:rsid w:val="00625791"/>
    <w:rsid w:val="0062583C"/>
    <w:rsid w:val="00625AE4"/>
    <w:rsid w:val="00625BFE"/>
    <w:rsid w:val="0062636B"/>
    <w:rsid w:val="00626C1B"/>
    <w:rsid w:val="00626EA1"/>
    <w:rsid w:val="00626F71"/>
    <w:rsid w:val="00627132"/>
    <w:rsid w:val="0062740C"/>
    <w:rsid w:val="006277D8"/>
    <w:rsid w:val="00627C66"/>
    <w:rsid w:val="00627D05"/>
    <w:rsid w:val="00627DBE"/>
    <w:rsid w:val="006300C5"/>
    <w:rsid w:val="00630AD2"/>
    <w:rsid w:val="00630B15"/>
    <w:rsid w:val="00630DEF"/>
    <w:rsid w:val="00630E94"/>
    <w:rsid w:val="00630F54"/>
    <w:rsid w:val="006310C5"/>
    <w:rsid w:val="006310FE"/>
    <w:rsid w:val="0063139F"/>
    <w:rsid w:val="00631594"/>
    <w:rsid w:val="00631631"/>
    <w:rsid w:val="00631806"/>
    <w:rsid w:val="00631AA6"/>
    <w:rsid w:val="00631BA1"/>
    <w:rsid w:val="00631EF5"/>
    <w:rsid w:val="00632331"/>
    <w:rsid w:val="006324C5"/>
    <w:rsid w:val="00632540"/>
    <w:rsid w:val="00632647"/>
    <w:rsid w:val="006328CE"/>
    <w:rsid w:val="00632C12"/>
    <w:rsid w:val="00632DA9"/>
    <w:rsid w:val="00633031"/>
    <w:rsid w:val="0063308B"/>
    <w:rsid w:val="006332B8"/>
    <w:rsid w:val="00633368"/>
    <w:rsid w:val="006335A6"/>
    <w:rsid w:val="00633CEE"/>
    <w:rsid w:val="00633DB0"/>
    <w:rsid w:val="00634066"/>
    <w:rsid w:val="006344A1"/>
    <w:rsid w:val="0063465C"/>
    <w:rsid w:val="0063485B"/>
    <w:rsid w:val="006348F1"/>
    <w:rsid w:val="006348FD"/>
    <w:rsid w:val="00634971"/>
    <w:rsid w:val="00634A18"/>
    <w:rsid w:val="00634B09"/>
    <w:rsid w:val="00634D9D"/>
    <w:rsid w:val="00634F1F"/>
    <w:rsid w:val="00635026"/>
    <w:rsid w:val="006350E0"/>
    <w:rsid w:val="0063521F"/>
    <w:rsid w:val="006355FB"/>
    <w:rsid w:val="00635780"/>
    <w:rsid w:val="00635815"/>
    <w:rsid w:val="00635D78"/>
    <w:rsid w:val="00635E37"/>
    <w:rsid w:val="006361F3"/>
    <w:rsid w:val="0063628D"/>
    <w:rsid w:val="006362E1"/>
    <w:rsid w:val="00636345"/>
    <w:rsid w:val="006363BB"/>
    <w:rsid w:val="00636596"/>
    <w:rsid w:val="006366FA"/>
    <w:rsid w:val="00636BC6"/>
    <w:rsid w:val="00637967"/>
    <w:rsid w:val="00640074"/>
    <w:rsid w:val="006400BB"/>
    <w:rsid w:val="00640126"/>
    <w:rsid w:val="0064023F"/>
    <w:rsid w:val="006404C1"/>
    <w:rsid w:val="0064056D"/>
    <w:rsid w:val="006405E6"/>
    <w:rsid w:val="00640749"/>
    <w:rsid w:val="006407E2"/>
    <w:rsid w:val="00640ADA"/>
    <w:rsid w:val="006410C8"/>
    <w:rsid w:val="006412FB"/>
    <w:rsid w:val="006415F0"/>
    <w:rsid w:val="006417AE"/>
    <w:rsid w:val="00641E25"/>
    <w:rsid w:val="00641EBE"/>
    <w:rsid w:val="00642198"/>
    <w:rsid w:val="006422BF"/>
    <w:rsid w:val="00642398"/>
    <w:rsid w:val="006424E7"/>
    <w:rsid w:val="00642503"/>
    <w:rsid w:val="00642606"/>
    <w:rsid w:val="00642652"/>
    <w:rsid w:val="00642ACE"/>
    <w:rsid w:val="00642B59"/>
    <w:rsid w:val="00643152"/>
    <w:rsid w:val="006432DA"/>
    <w:rsid w:val="0064366E"/>
    <w:rsid w:val="00643996"/>
    <w:rsid w:val="00643F9C"/>
    <w:rsid w:val="006440A7"/>
    <w:rsid w:val="00644421"/>
    <w:rsid w:val="0064480D"/>
    <w:rsid w:val="00644A15"/>
    <w:rsid w:val="00644AFE"/>
    <w:rsid w:val="00644D5D"/>
    <w:rsid w:val="00645193"/>
    <w:rsid w:val="006452EB"/>
    <w:rsid w:val="00645B62"/>
    <w:rsid w:val="00645BE9"/>
    <w:rsid w:val="006460CB"/>
    <w:rsid w:val="00646189"/>
    <w:rsid w:val="00646298"/>
    <w:rsid w:val="00646707"/>
    <w:rsid w:val="00646C05"/>
    <w:rsid w:val="00646D55"/>
    <w:rsid w:val="0064722E"/>
    <w:rsid w:val="00647856"/>
    <w:rsid w:val="00647B2D"/>
    <w:rsid w:val="00647D79"/>
    <w:rsid w:val="00647EA0"/>
    <w:rsid w:val="00647FB8"/>
    <w:rsid w:val="0065048F"/>
    <w:rsid w:val="00650593"/>
    <w:rsid w:val="006508BE"/>
    <w:rsid w:val="006509C5"/>
    <w:rsid w:val="00650A07"/>
    <w:rsid w:val="00650D71"/>
    <w:rsid w:val="00650E90"/>
    <w:rsid w:val="00650F0D"/>
    <w:rsid w:val="0065117D"/>
    <w:rsid w:val="006511D3"/>
    <w:rsid w:val="00651B08"/>
    <w:rsid w:val="00651BE9"/>
    <w:rsid w:val="00651DC3"/>
    <w:rsid w:val="00651E64"/>
    <w:rsid w:val="00652543"/>
    <w:rsid w:val="0065258B"/>
    <w:rsid w:val="0065284A"/>
    <w:rsid w:val="00652FCE"/>
    <w:rsid w:val="006532BF"/>
    <w:rsid w:val="00653365"/>
    <w:rsid w:val="0065346B"/>
    <w:rsid w:val="00653478"/>
    <w:rsid w:val="00653AFE"/>
    <w:rsid w:val="006540E4"/>
    <w:rsid w:val="006541D3"/>
    <w:rsid w:val="00654493"/>
    <w:rsid w:val="00654499"/>
    <w:rsid w:val="00654A24"/>
    <w:rsid w:val="00654E3C"/>
    <w:rsid w:val="006550AA"/>
    <w:rsid w:val="0065510E"/>
    <w:rsid w:val="00655A36"/>
    <w:rsid w:val="00655BA8"/>
    <w:rsid w:val="00655DDD"/>
    <w:rsid w:val="00655E17"/>
    <w:rsid w:val="00655F2D"/>
    <w:rsid w:val="006562B3"/>
    <w:rsid w:val="006564D2"/>
    <w:rsid w:val="00656550"/>
    <w:rsid w:val="0065672F"/>
    <w:rsid w:val="006569A1"/>
    <w:rsid w:val="006569C2"/>
    <w:rsid w:val="00656A07"/>
    <w:rsid w:val="00656C3D"/>
    <w:rsid w:val="00656D4A"/>
    <w:rsid w:val="00656E8E"/>
    <w:rsid w:val="00657494"/>
    <w:rsid w:val="006574AA"/>
    <w:rsid w:val="00657BAF"/>
    <w:rsid w:val="00657DF8"/>
    <w:rsid w:val="00657F21"/>
    <w:rsid w:val="006600FD"/>
    <w:rsid w:val="006602E5"/>
    <w:rsid w:val="006602EB"/>
    <w:rsid w:val="0066034F"/>
    <w:rsid w:val="0066077F"/>
    <w:rsid w:val="00660871"/>
    <w:rsid w:val="006608E7"/>
    <w:rsid w:val="00660983"/>
    <w:rsid w:val="00660E18"/>
    <w:rsid w:val="00661140"/>
    <w:rsid w:val="006615F9"/>
    <w:rsid w:val="0066160C"/>
    <w:rsid w:val="00661901"/>
    <w:rsid w:val="00661B80"/>
    <w:rsid w:val="00661C3E"/>
    <w:rsid w:val="00662520"/>
    <w:rsid w:val="006625F1"/>
    <w:rsid w:val="00662747"/>
    <w:rsid w:val="006629EB"/>
    <w:rsid w:val="00662F79"/>
    <w:rsid w:val="006630FA"/>
    <w:rsid w:val="00663119"/>
    <w:rsid w:val="00663452"/>
    <w:rsid w:val="00663633"/>
    <w:rsid w:val="00663690"/>
    <w:rsid w:val="00663B04"/>
    <w:rsid w:val="00663B26"/>
    <w:rsid w:val="00663F4A"/>
    <w:rsid w:val="006640D2"/>
    <w:rsid w:val="0066444D"/>
    <w:rsid w:val="006648EA"/>
    <w:rsid w:val="00664AD7"/>
    <w:rsid w:val="00664D57"/>
    <w:rsid w:val="00664FEB"/>
    <w:rsid w:val="0066540F"/>
    <w:rsid w:val="00665AF0"/>
    <w:rsid w:val="00665B54"/>
    <w:rsid w:val="00665B70"/>
    <w:rsid w:val="00665C91"/>
    <w:rsid w:val="00665CE6"/>
    <w:rsid w:val="00665ED7"/>
    <w:rsid w:val="006661BA"/>
    <w:rsid w:val="006661C8"/>
    <w:rsid w:val="00666251"/>
    <w:rsid w:val="0066629F"/>
    <w:rsid w:val="00666555"/>
    <w:rsid w:val="0066673E"/>
    <w:rsid w:val="00666906"/>
    <w:rsid w:val="006669D2"/>
    <w:rsid w:val="00666B1A"/>
    <w:rsid w:val="00666C4F"/>
    <w:rsid w:val="00666CDB"/>
    <w:rsid w:val="00666DB9"/>
    <w:rsid w:val="00666E64"/>
    <w:rsid w:val="0066740F"/>
    <w:rsid w:val="00667411"/>
    <w:rsid w:val="00667490"/>
    <w:rsid w:val="006679A6"/>
    <w:rsid w:val="00667E4A"/>
    <w:rsid w:val="00667EA8"/>
    <w:rsid w:val="00670058"/>
    <w:rsid w:val="0067029C"/>
    <w:rsid w:val="00670353"/>
    <w:rsid w:val="00670450"/>
    <w:rsid w:val="00670E0A"/>
    <w:rsid w:val="00670E72"/>
    <w:rsid w:val="006711A8"/>
    <w:rsid w:val="006711E5"/>
    <w:rsid w:val="00671367"/>
    <w:rsid w:val="0067183F"/>
    <w:rsid w:val="0067185F"/>
    <w:rsid w:val="00671B9D"/>
    <w:rsid w:val="00671E97"/>
    <w:rsid w:val="00671EEA"/>
    <w:rsid w:val="00672613"/>
    <w:rsid w:val="0067269E"/>
    <w:rsid w:val="006727D1"/>
    <w:rsid w:val="00672BEA"/>
    <w:rsid w:val="006733DA"/>
    <w:rsid w:val="00673427"/>
    <w:rsid w:val="006736FE"/>
    <w:rsid w:val="006739FF"/>
    <w:rsid w:val="00673EEE"/>
    <w:rsid w:val="00673F7D"/>
    <w:rsid w:val="00674332"/>
    <w:rsid w:val="006747A3"/>
    <w:rsid w:val="00674B0F"/>
    <w:rsid w:val="00674B49"/>
    <w:rsid w:val="0067506C"/>
    <w:rsid w:val="0067523A"/>
    <w:rsid w:val="00675340"/>
    <w:rsid w:val="00675552"/>
    <w:rsid w:val="0067565D"/>
    <w:rsid w:val="006756AF"/>
    <w:rsid w:val="0067573E"/>
    <w:rsid w:val="006757A4"/>
    <w:rsid w:val="00675B0E"/>
    <w:rsid w:val="006761C2"/>
    <w:rsid w:val="0067629D"/>
    <w:rsid w:val="00676331"/>
    <w:rsid w:val="00676751"/>
    <w:rsid w:val="006767C6"/>
    <w:rsid w:val="00676B15"/>
    <w:rsid w:val="00676E1D"/>
    <w:rsid w:val="00676E2A"/>
    <w:rsid w:val="006771D8"/>
    <w:rsid w:val="00677270"/>
    <w:rsid w:val="0067731D"/>
    <w:rsid w:val="006776F1"/>
    <w:rsid w:val="006777AB"/>
    <w:rsid w:val="00680091"/>
    <w:rsid w:val="006802C4"/>
    <w:rsid w:val="00680360"/>
    <w:rsid w:val="006805C6"/>
    <w:rsid w:val="00680D49"/>
    <w:rsid w:val="00680FF6"/>
    <w:rsid w:val="00681057"/>
    <w:rsid w:val="006811B9"/>
    <w:rsid w:val="006812D4"/>
    <w:rsid w:val="00681620"/>
    <w:rsid w:val="00681754"/>
    <w:rsid w:val="00681794"/>
    <w:rsid w:val="0068183E"/>
    <w:rsid w:val="006818FF"/>
    <w:rsid w:val="006819CD"/>
    <w:rsid w:val="006819F1"/>
    <w:rsid w:val="00681E26"/>
    <w:rsid w:val="006820D7"/>
    <w:rsid w:val="00682167"/>
    <w:rsid w:val="0068237F"/>
    <w:rsid w:val="00682453"/>
    <w:rsid w:val="006824DA"/>
    <w:rsid w:val="0068259A"/>
    <w:rsid w:val="00682644"/>
    <w:rsid w:val="00682669"/>
    <w:rsid w:val="006826C0"/>
    <w:rsid w:val="00682738"/>
    <w:rsid w:val="00682770"/>
    <w:rsid w:val="006828A6"/>
    <w:rsid w:val="00682A39"/>
    <w:rsid w:val="00682B46"/>
    <w:rsid w:val="00682BAB"/>
    <w:rsid w:val="00682D71"/>
    <w:rsid w:val="00682E78"/>
    <w:rsid w:val="00683028"/>
    <w:rsid w:val="0068341D"/>
    <w:rsid w:val="006835DC"/>
    <w:rsid w:val="0068371F"/>
    <w:rsid w:val="006839D6"/>
    <w:rsid w:val="00683A49"/>
    <w:rsid w:val="00683A88"/>
    <w:rsid w:val="00683AB4"/>
    <w:rsid w:val="00683C65"/>
    <w:rsid w:val="00683FFF"/>
    <w:rsid w:val="00684009"/>
    <w:rsid w:val="00684336"/>
    <w:rsid w:val="006848E4"/>
    <w:rsid w:val="00684953"/>
    <w:rsid w:val="006849F1"/>
    <w:rsid w:val="00684E83"/>
    <w:rsid w:val="0068517E"/>
    <w:rsid w:val="00685A8D"/>
    <w:rsid w:val="00685F01"/>
    <w:rsid w:val="0068601E"/>
    <w:rsid w:val="00686089"/>
    <w:rsid w:val="0068613D"/>
    <w:rsid w:val="0068681F"/>
    <w:rsid w:val="00686929"/>
    <w:rsid w:val="00686BAD"/>
    <w:rsid w:val="00686E10"/>
    <w:rsid w:val="00687038"/>
    <w:rsid w:val="00687590"/>
    <w:rsid w:val="0068769E"/>
    <w:rsid w:val="00687818"/>
    <w:rsid w:val="006878B3"/>
    <w:rsid w:val="00687930"/>
    <w:rsid w:val="00687BC2"/>
    <w:rsid w:val="006901C4"/>
    <w:rsid w:val="00690490"/>
    <w:rsid w:val="0069049F"/>
    <w:rsid w:val="00690715"/>
    <w:rsid w:val="00690954"/>
    <w:rsid w:val="00690999"/>
    <w:rsid w:val="00690AA8"/>
    <w:rsid w:val="00690FDB"/>
    <w:rsid w:val="0069102C"/>
    <w:rsid w:val="00691110"/>
    <w:rsid w:val="00691780"/>
    <w:rsid w:val="006918EC"/>
    <w:rsid w:val="00691927"/>
    <w:rsid w:val="00691A76"/>
    <w:rsid w:val="00691C0A"/>
    <w:rsid w:val="00692159"/>
    <w:rsid w:val="00692240"/>
    <w:rsid w:val="006922E9"/>
    <w:rsid w:val="006922F6"/>
    <w:rsid w:val="00692499"/>
    <w:rsid w:val="0069249F"/>
    <w:rsid w:val="00692984"/>
    <w:rsid w:val="00692F4A"/>
    <w:rsid w:val="0069331A"/>
    <w:rsid w:val="0069332E"/>
    <w:rsid w:val="00693376"/>
    <w:rsid w:val="00693BD2"/>
    <w:rsid w:val="00693DE7"/>
    <w:rsid w:val="00694111"/>
    <w:rsid w:val="0069435B"/>
    <w:rsid w:val="00694442"/>
    <w:rsid w:val="00694647"/>
    <w:rsid w:val="0069468B"/>
    <w:rsid w:val="00694BE4"/>
    <w:rsid w:val="00694CAB"/>
    <w:rsid w:val="00694EA9"/>
    <w:rsid w:val="00694ED0"/>
    <w:rsid w:val="0069501B"/>
    <w:rsid w:val="00695674"/>
    <w:rsid w:val="00695695"/>
    <w:rsid w:val="0069577E"/>
    <w:rsid w:val="006958E1"/>
    <w:rsid w:val="00695E54"/>
    <w:rsid w:val="0069625C"/>
    <w:rsid w:val="00696325"/>
    <w:rsid w:val="006963B6"/>
    <w:rsid w:val="006963BF"/>
    <w:rsid w:val="00696839"/>
    <w:rsid w:val="00696FB1"/>
    <w:rsid w:val="006971A2"/>
    <w:rsid w:val="0069748D"/>
    <w:rsid w:val="0069767A"/>
    <w:rsid w:val="00697B55"/>
    <w:rsid w:val="00697B59"/>
    <w:rsid w:val="00697E4B"/>
    <w:rsid w:val="006A004D"/>
    <w:rsid w:val="006A03D3"/>
    <w:rsid w:val="006A0409"/>
    <w:rsid w:val="006A08E0"/>
    <w:rsid w:val="006A0AB7"/>
    <w:rsid w:val="006A0BE5"/>
    <w:rsid w:val="006A1010"/>
    <w:rsid w:val="006A1463"/>
    <w:rsid w:val="006A18A2"/>
    <w:rsid w:val="006A1910"/>
    <w:rsid w:val="006A1DAF"/>
    <w:rsid w:val="006A2146"/>
    <w:rsid w:val="006A26C7"/>
    <w:rsid w:val="006A2980"/>
    <w:rsid w:val="006A2A17"/>
    <w:rsid w:val="006A2C1E"/>
    <w:rsid w:val="006A305D"/>
    <w:rsid w:val="006A3293"/>
    <w:rsid w:val="006A340B"/>
    <w:rsid w:val="006A34B7"/>
    <w:rsid w:val="006A35C5"/>
    <w:rsid w:val="006A35EF"/>
    <w:rsid w:val="006A39B2"/>
    <w:rsid w:val="006A3AAE"/>
    <w:rsid w:val="006A3CBD"/>
    <w:rsid w:val="006A3DFF"/>
    <w:rsid w:val="006A427A"/>
    <w:rsid w:val="006A4356"/>
    <w:rsid w:val="006A44FF"/>
    <w:rsid w:val="006A46B2"/>
    <w:rsid w:val="006A4857"/>
    <w:rsid w:val="006A4D83"/>
    <w:rsid w:val="006A4FC6"/>
    <w:rsid w:val="006A5521"/>
    <w:rsid w:val="006A5B3C"/>
    <w:rsid w:val="006A5C0F"/>
    <w:rsid w:val="006A5D91"/>
    <w:rsid w:val="006A669B"/>
    <w:rsid w:val="006A69B3"/>
    <w:rsid w:val="006A6DD3"/>
    <w:rsid w:val="006A7008"/>
    <w:rsid w:val="006A71A7"/>
    <w:rsid w:val="006A724A"/>
    <w:rsid w:val="006A7A8D"/>
    <w:rsid w:val="006A7CB5"/>
    <w:rsid w:val="006B011B"/>
    <w:rsid w:val="006B046B"/>
    <w:rsid w:val="006B0485"/>
    <w:rsid w:val="006B04CA"/>
    <w:rsid w:val="006B06A9"/>
    <w:rsid w:val="006B0915"/>
    <w:rsid w:val="006B0D60"/>
    <w:rsid w:val="006B0DD5"/>
    <w:rsid w:val="006B0FBB"/>
    <w:rsid w:val="006B1049"/>
    <w:rsid w:val="006B11AA"/>
    <w:rsid w:val="006B11F1"/>
    <w:rsid w:val="006B14A9"/>
    <w:rsid w:val="006B16F7"/>
    <w:rsid w:val="006B1CA2"/>
    <w:rsid w:val="006B1E62"/>
    <w:rsid w:val="006B254A"/>
    <w:rsid w:val="006B261D"/>
    <w:rsid w:val="006B2806"/>
    <w:rsid w:val="006B296B"/>
    <w:rsid w:val="006B2C9F"/>
    <w:rsid w:val="006B2D16"/>
    <w:rsid w:val="006B2F8D"/>
    <w:rsid w:val="006B330E"/>
    <w:rsid w:val="006B3330"/>
    <w:rsid w:val="006B3779"/>
    <w:rsid w:val="006B3A70"/>
    <w:rsid w:val="006B3F42"/>
    <w:rsid w:val="006B4098"/>
    <w:rsid w:val="006B47A3"/>
    <w:rsid w:val="006B5117"/>
    <w:rsid w:val="006B51DC"/>
    <w:rsid w:val="006B51F6"/>
    <w:rsid w:val="006B5956"/>
    <w:rsid w:val="006B5CD9"/>
    <w:rsid w:val="006B5CF5"/>
    <w:rsid w:val="006B62C1"/>
    <w:rsid w:val="006B6330"/>
    <w:rsid w:val="006B6359"/>
    <w:rsid w:val="006B6391"/>
    <w:rsid w:val="006B6906"/>
    <w:rsid w:val="006B7833"/>
    <w:rsid w:val="006B7846"/>
    <w:rsid w:val="006B7BB6"/>
    <w:rsid w:val="006B7DDB"/>
    <w:rsid w:val="006B7FF8"/>
    <w:rsid w:val="006C0042"/>
    <w:rsid w:val="006C00CB"/>
    <w:rsid w:val="006C04FA"/>
    <w:rsid w:val="006C0588"/>
    <w:rsid w:val="006C06AF"/>
    <w:rsid w:val="006C09DD"/>
    <w:rsid w:val="006C0C74"/>
    <w:rsid w:val="006C1362"/>
    <w:rsid w:val="006C139B"/>
    <w:rsid w:val="006C1BAE"/>
    <w:rsid w:val="006C1D94"/>
    <w:rsid w:val="006C25E6"/>
    <w:rsid w:val="006C2677"/>
    <w:rsid w:val="006C2762"/>
    <w:rsid w:val="006C2F24"/>
    <w:rsid w:val="006C3021"/>
    <w:rsid w:val="006C3244"/>
    <w:rsid w:val="006C3298"/>
    <w:rsid w:val="006C3764"/>
    <w:rsid w:val="006C388E"/>
    <w:rsid w:val="006C398F"/>
    <w:rsid w:val="006C3EF3"/>
    <w:rsid w:val="006C3FE4"/>
    <w:rsid w:val="006C437A"/>
    <w:rsid w:val="006C43C7"/>
    <w:rsid w:val="006C4436"/>
    <w:rsid w:val="006C47B4"/>
    <w:rsid w:val="006C4ACE"/>
    <w:rsid w:val="006C4BFB"/>
    <w:rsid w:val="006C4C27"/>
    <w:rsid w:val="006C4E09"/>
    <w:rsid w:val="006C51DD"/>
    <w:rsid w:val="006C52C0"/>
    <w:rsid w:val="006C52DA"/>
    <w:rsid w:val="006C52E9"/>
    <w:rsid w:val="006C5476"/>
    <w:rsid w:val="006C563A"/>
    <w:rsid w:val="006C56BA"/>
    <w:rsid w:val="006C57D0"/>
    <w:rsid w:val="006C5A2D"/>
    <w:rsid w:val="006C626C"/>
    <w:rsid w:val="006C6351"/>
    <w:rsid w:val="006C651B"/>
    <w:rsid w:val="006C683A"/>
    <w:rsid w:val="006C6846"/>
    <w:rsid w:val="006C6941"/>
    <w:rsid w:val="006C6D9C"/>
    <w:rsid w:val="006C6E40"/>
    <w:rsid w:val="006C70F6"/>
    <w:rsid w:val="006C72E5"/>
    <w:rsid w:val="006C746D"/>
    <w:rsid w:val="006C7969"/>
    <w:rsid w:val="006C797D"/>
    <w:rsid w:val="006D02E7"/>
    <w:rsid w:val="006D063A"/>
    <w:rsid w:val="006D0834"/>
    <w:rsid w:val="006D08C3"/>
    <w:rsid w:val="006D0C45"/>
    <w:rsid w:val="006D0E6B"/>
    <w:rsid w:val="006D1247"/>
    <w:rsid w:val="006D1597"/>
    <w:rsid w:val="006D1877"/>
    <w:rsid w:val="006D1A1D"/>
    <w:rsid w:val="006D1A92"/>
    <w:rsid w:val="006D1EDB"/>
    <w:rsid w:val="006D2144"/>
    <w:rsid w:val="006D21C0"/>
    <w:rsid w:val="006D230A"/>
    <w:rsid w:val="006D24BC"/>
    <w:rsid w:val="006D31F3"/>
    <w:rsid w:val="006D32D2"/>
    <w:rsid w:val="006D3384"/>
    <w:rsid w:val="006D33F2"/>
    <w:rsid w:val="006D34A6"/>
    <w:rsid w:val="006D3768"/>
    <w:rsid w:val="006D381C"/>
    <w:rsid w:val="006D3940"/>
    <w:rsid w:val="006D3D69"/>
    <w:rsid w:val="006D3E1F"/>
    <w:rsid w:val="006D4182"/>
    <w:rsid w:val="006D4323"/>
    <w:rsid w:val="006D4956"/>
    <w:rsid w:val="006D553D"/>
    <w:rsid w:val="006D562B"/>
    <w:rsid w:val="006D5919"/>
    <w:rsid w:val="006D5E42"/>
    <w:rsid w:val="006D6472"/>
    <w:rsid w:val="006D6704"/>
    <w:rsid w:val="006D67BC"/>
    <w:rsid w:val="006D6B88"/>
    <w:rsid w:val="006D6BCA"/>
    <w:rsid w:val="006D71D2"/>
    <w:rsid w:val="006D73B5"/>
    <w:rsid w:val="006D7873"/>
    <w:rsid w:val="006D7C90"/>
    <w:rsid w:val="006D7FDF"/>
    <w:rsid w:val="006E060B"/>
    <w:rsid w:val="006E0C28"/>
    <w:rsid w:val="006E0CB3"/>
    <w:rsid w:val="006E118B"/>
    <w:rsid w:val="006E1324"/>
    <w:rsid w:val="006E1B0A"/>
    <w:rsid w:val="006E1D23"/>
    <w:rsid w:val="006E1F82"/>
    <w:rsid w:val="006E1F91"/>
    <w:rsid w:val="006E1FD8"/>
    <w:rsid w:val="006E270B"/>
    <w:rsid w:val="006E2B20"/>
    <w:rsid w:val="006E31CF"/>
    <w:rsid w:val="006E3811"/>
    <w:rsid w:val="006E3884"/>
    <w:rsid w:val="006E3CB5"/>
    <w:rsid w:val="006E3F53"/>
    <w:rsid w:val="006E3FCC"/>
    <w:rsid w:val="006E4025"/>
    <w:rsid w:val="006E42D7"/>
    <w:rsid w:val="006E44EC"/>
    <w:rsid w:val="006E44EF"/>
    <w:rsid w:val="006E4718"/>
    <w:rsid w:val="006E47EC"/>
    <w:rsid w:val="006E4BA9"/>
    <w:rsid w:val="006E4C86"/>
    <w:rsid w:val="006E4ECD"/>
    <w:rsid w:val="006E4FF1"/>
    <w:rsid w:val="006E539F"/>
    <w:rsid w:val="006E542C"/>
    <w:rsid w:val="006E560C"/>
    <w:rsid w:val="006E56A8"/>
    <w:rsid w:val="006E5776"/>
    <w:rsid w:val="006E58B5"/>
    <w:rsid w:val="006E5DA9"/>
    <w:rsid w:val="006E5ED7"/>
    <w:rsid w:val="006E6022"/>
    <w:rsid w:val="006E6091"/>
    <w:rsid w:val="006E60D4"/>
    <w:rsid w:val="006E64F5"/>
    <w:rsid w:val="006E69D9"/>
    <w:rsid w:val="006E6B66"/>
    <w:rsid w:val="006E6DF3"/>
    <w:rsid w:val="006E6DF6"/>
    <w:rsid w:val="006E6E79"/>
    <w:rsid w:val="006E7223"/>
    <w:rsid w:val="006E72CD"/>
    <w:rsid w:val="006E72E3"/>
    <w:rsid w:val="006E74D0"/>
    <w:rsid w:val="006E75D3"/>
    <w:rsid w:val="006E7C1B"/>
    <w:rsid w:val="006F025F"/>
    <w:rsid w:val="006F07CA"/>
    <w:rsid w:val="006F07DA"/>
    <w:rsid w:val="006F0B35"/>
    <w:rsid w:val="006F0FA8"/>
    <w:rsid w:val="006F1164"/>
    <w:rsid w:val="006F1564"/>
    <w:rsid w:val="006F16BB"/>
    <w:rsid w:val="006F17A6"/>
    <w:rsid w:val="006F18F4"/>
    <w:rsid w:val="006F228C"/>
    <w:rsid w:val="006F2375"/>
    <w:rsid w:val="006F2645"/>
    <w:rsid w:val="006F294C"/>
    <w:rsid w:val="006F2A88"/>
    <w:rsid w:val="006F2EAB"/>
    <w:rsid w:val="006F306A"/>
    <w:rsid w:val="006F3279"/>
    <w:rsid w:val="006F35D0"/>
    <w:rsid w:val="006F3682"/>
    <w:rsid w:val="006F3810"/>
    <w:rsid w:val="006F3996"/>
    <w:rsid w:val="006F399A"/>
    <w:rsid w:val="006F3BE7"/>
    <w:rsid w:val="006F3F85"/>
    <w:rsid w:val="006F3FEF"/>
    <w:rsid w:val="006F429F"/>
    <w:rsid w:val="006F4ADB"/>
    <w:rsid w:val="006F4C2E"/>
    <w:rsid w:val="006F4D18"/>
    <w:rsid w:val="006F560E"/>
    <w:rsid w:val="006F5E53"/>
    <w:rsid w:val="006F621E"/>
    <w:rsid w:val="006F668C"/>
    <w:rsid w:val="006F6978"/>
    <w:rsid w:val="006F6AB8"/>
    <w:rsid w:val="006F6CF9"/>
    <w:rsid w:val="006F7249"/>
    <w:rsid w:val="006F75AB"/>
    <w:rsid w:val="006F76CF"/>
    <w:rsid w:val="006F7987"/>
    <w:rsid w:val="006F79B1"/>
    <w:rsid w:val="006F7A0B"/>
    <w:rsid w:val="006F7D65"/>
    <w:rsid w:val="0070000F"/>
    <w:rsid w:val="00700133"/>
    <w:rsid w:val="00700591"/>
    <w:rsid w:val="007006D5"/>
    <w:rsid w:val="00700830"/>
    <w:rsid w:val="0070092F"/>
    <w:rsid w:val="00700A27"/>
    <w:rsid w:val="00700CE0"/>
    <w:rsid w:val="00700D09"/>
    <w:rsid w:val="00700D74"/>
    <w:rsid w:val="00701085"/>
    <w:rsid w:val="0070108F"/>
    <w:rsid w:val="00701262"/>
    <w:rsid w:val="007015B2"/>
    <w:rsid w:val="00701C2E"/>
    <w:rsid w:val="00701CE3"/>
    <w:rsid w:val="00701F5D"/>
    <w:rsid w:val="007023BA"/>
    <w:rsid w:val="007023D0"/>
    <w:rsid w:val="007024E6"/>
    <w:rsid w:val="007024ED"/>
    <w:rsid w:val="00702508"/>
    <w:rsid w:val="0070272D"/>
    <w:rsid w:val="00702ABF"/>
    <w:rsid w:val="00702B98"/>
    <w:rsid w:val="00702DC0"/>
    <w:rsid w:val="00703138"/>
    <w:rsid w:val="0070322E"/>
    <w:rsid w:val="00703776"/>
    <w:rsid w:val="007038E1"/>
    <w:rsid w:val="00704109"/>
    <w:rsid w:val="007043E9"/>
    <w:rsid w:val="0070468F"/>
    <w:rsid w:val="0070495A"/>
    <w:rsid w:val="00704B73"/>
    <w:rsid w:val="00704CA3"/>
    <w:rsid w:val="00704CC1"/>
    <w:rsid w:val="00704DB3"/>
    <w:rsid w:val="007052F4"/>
    <w:rsid w:val="00705308"/>
    <w:rsid w:val="00705615"/>
    <w:rsid w:val="0070566C"/>
    <w:rsid w:val="00705B06"/>
    <w:rsid w:val="00705CE4"/>
    <w:rsid w:val="00705E14"/>
    <w:rsid w:val="00705FEA"/>
    <w:rsid w:val="00706096"/>
    <w:rsid w:val="007061C8"/>
    <w:rsid w:val="007061FD"/>
    <w:rsid w:val="00706879"/>
    <w:rsid w:val="00706943"/>
    <w:rsid w:val="00706B69"/>
    <w:rsid w:val="00707322"/>
    <w:rsid w:val="00707420"/>
    <w:rsid w:val="00707561"/>
    <w:rsid w:val="00707748"/>
    <w:rsid w:val="007079DA"/>
    <w:rsid w:val="00707AA9"/>
    <w:rsid w:val="00707AE0"/>
    <w:rsid w:val="00707E1A"/>
    <w:rsid w:val="0071031A"/>
    <w:rsid w:val="00710400"/>
    <w:rsid w:val="0071049D"/>
    <w:rsid w:val="0071051B"/>
    <w:rsid w:val="00710684"/>
    <w:rsid w:val="007106D8"/>
    <w:rsid w:val="0071099B"/>
    <w:rsid w:val="00710A98"/>
    <w:rsid w:val="00710D90"/>
    <w:rsid w:val="00710FE9"/>
    <w:rsid w:val="0071116E"/>
    <w:rsid w:val="00711332"/>
    <w:rsid w:val="007113C8"/>
    <w:rsid w:val="0071161B"/>
    <w:rsid w:val="0071163C"/>
    <w:rsid w:val="0071188F"/>
    <w:rsid w:val="007119C3"/>
    <w:rsid w:val="007119F9"/>
    <w:rsid w:val="00711A32"/>
    <w:rsid w:val="00711A40"/>
    <w:rsid w:val="00711AD8"/>
    <w:rsid w:val="00711C36"/>
    <w:rsid w:val="00711EB6"/>
    <w:rsid w:val="00712156"/>
    <w:rsid w:val="007122D2"/>
    <w:rsid w:val="00712A4D"/>
    <w:rsid w:val="00712CDA"/>
    <w:rsid w:val="00712DEE"/>
    <w:rsid w:val="00712EAE"/>
    <w:rsid w:val="0071342A"/>
    <w:rsid w:val="00713683"/>
    <w:rsid w:val="0071381F"/>
    <w:rsid w:val="00713940"/>
    <w:rsid w:val="00713C66"/>
    <w:rsid w:val="00713E7A"/>
    <w:rsid w:val="00713EBE"/>
    <w:rsid w:val="007146C2"/>
    <w:rsid w:val="00714998"/>
    <w:rsid w:val="00714B3A"/>
    <w:rsid w:val="00715045"/>
    <w:rsid w:val="007151E0"/>
    <w:rsid w:val="0071520B"/>
    <w:rsid w:val="007154E1"/>
    <w:rsid w:val="00715517"/>
    <w:rsid w:val="007155CD"/>
    <w:rsid w:val="007155D7"/>
    <w:rsid w:val="0071576D"/>
    <w:rsid w:val="00715924"/>
    <w:rsid w:val="00715B18"/>
    <w:rsid w:val="00715C4F"/>
    <w:rsid w:val="00716271"/>
    <w:rsid w:val="00716496"/>
    <w:rsid w:val="00716543"/>
    <w:rsid w:val="00716596"/>
    <w:rsid w:val="00716630"/>
    <w:rsid w:val="00716726"/>
    <w:rsid w:val="00716EFC"/>
    <w:rsid w:val="00716F7B"/>
    <w:rsid w:val="00716FB0"/>
    <w:rsid w:val="0071712C"/>
    <w:rsid w:val="00717206"/>
    <w:rsid w:val="0071722F"/>
    <w:rsid w:val="007172DC"/>
    <w:rsid w:val="00717627"/>
    <w:rsid w:val="007178D6"/>
    <w:rsid w:val="00717A4D"/>
    <w:rsid w:val="00717C8A"/>
    <w:rsid w:val="00717CEE"/>
    <w:rsid w:val="00720455"/>
    <w:rsid w:val="007205AE"/>
    <w:rsid w:val="00720CB1"/>
    <w:rsid w:val="00720D77"/>
    <w:rsid w:val="00720DED"/>
    <w:rsid w:val="0072157C"/>
    <w:rsid w:val="007215CC"/>
    <w:rsid w:val="007219E5"/>
    <w:rsid w:val="00721C62"/>
    <w:rsid w:val="00721C81"/>
    <w:rsid w:val="00721CEE"/>
    <w:rsid w:val="00722142"/>
    <w:rsid w:val="00722B77"/>
    <w:rsid w:val="00722D9A"/>
    <w:rsid w:val="00722DE1"/>
    <w:rsid w:val="00723032"/>
    <w:rsid w:val="00723168"/>
    <w:rsid w:val="007232A1"/>
    <w:rsid w:val="0072366A"/>
    <w:rsid w:val="0072388B"/>
    <w:rsid w:val="00723C7C"/>
    <w:rsid w:val="007240C7"/>
    <w:rsid w:val="00724947"/>
    <w:rsid w:val="00724A0B"/>
    <w:rsid w:val="00724B8D"/>
    <w:rsid w:val="0072504C"/>
    <w:rsid w:val="007250C0"/>
    <w:rsid w:val="007252E9"/>
    <w:rsid w:val="00725349"/>
    <w:rsid w:val="00725506"/>
    <w:rsid w:val="007255D8"/>
    <w:rsid w:val="00725A9B"/>
    <w:rsid w:val="00725E87"/>
    <w:rsid w:val="007261D5"/>
    <w:rsid w:val="007265A5"/>
    <w:rsid w:val="00726A62"/>
    <w:rsid w:val="00726E3A"/>
    <w:rsid w:val="00726F10"/>
    <w:rsid w:val="00727401"/>
    <w:rsid w:val="007276A9"/>
    <w:rsid w:val="00727B08"/>
    <w:rsid w:val="00727E15"/>
    <w:rsid w:val="0072D6FA"/>
    <w:rsid w:val="00730303"/>
    <w:rsid w:val="00730E0E"/>
    <w:rsid w:val="00730F9D"/>
    <w:rsid w:val="007310F8"/>
    <w:rsid w:val="0073122C"/>
    <w:rsid w:val="00731275"/>
    <w:rsid w:val="0073138F"/>
    <w:rsid w:val="00731516"/>
    <w:rsid w:val="00731575"/>
    <w:rsid w:val="0073161D"/>
    <w:rsid w:val="00731678"/>
    <w:rsid w:val="00731731"/>
    <w:rsid w:val="007320D7"/>
    <w:rsid w:val="007323AE"/>
    <w:rsid w:val="007325E4"/>
    <w:rsid w:val="007329C1"/>
    <w:rsid w:val="00732AA9"/>
    <w:rsid w:val="00732BA0"/>
    <w:rsid w:val="00733266"/>
    <w:rsid w:val="007333E9"/>
    <w:rsid w:val="007336E0"/>
    <w:rsid w:val="0073389F"/>
    <w:rsid w:val="00733AA8"/>
    <w:rsid w:val="00733DBF"/>
    <w:rsid w:val="00734281"/>
    <w:rsid w:val="00734306"/>
    <w:rsid w:val="007348F2"/>
    <w:rsid w:val="00734A4F"/>
    <w:rsid w:val="00735257"/>
    <w:rsid w:val="00735509"/>
    <w:rsid w:val="00735683"/>
    <w:rsid w:val="00735DB6"/>
    <w:rsid w:val="00735DE1"/>
    <w:rsid w:val="00735FDE"/>
    <w:rsid w:val="007360CC"/>
    <w:rsid w:val="0073631E"/>
    <w:rsid w:val="00736671"/>
    <w:rsid w:val="00736B44"/>
    <w:rsid w:val="007370B9"/>
    <w:rsid w:val="0073733C"/>
    <w:rsid w:val="007373D1"/>
    <w:rsid w:val="00737606"/>
    <w:rsid w:val="00737C09"/>
    <w:rsid w:val="00737DDD"/>
    <w:rsid w:val="00737E4D"/>
    <w:rsid w:val="00737E5A"/>
    <w:rsid w:val="0073DBDF"/>
    <w:rsid w:val="00740186"/>
    <w:rsid w:val="007402C5"/>
    <w:rsid w:val="00740750"/>
    <w:rsid w:val="00740D18"/>
    <w:rsid w:val="00741399"/>
    <w:rsid w:val="00741515"/>
    <w:rsid w:val="00741784"/>
    <w:rsid w:val="0074185C"/>
    <w:rsid w:val="00741A2E"/>
    <w:rsid w:val="00741C14"/>
    <w:rsid w:val="00741F5F"/>
    <w:rsid w:val="00742050"/>
    <w:rsid w:val="0074207F"/>
    <w:rsid w:val="00742435"/>
    <w:rsid w:val="00742737"/>
    <w:rsid w:val="00742967"/>
    <w:rsid w:val="00742AAC"/>
    <w:rsid w:val="00742E00"/>
    <w:rsid w:val="00742FEF"/>
    <w:rsid w:val="00743039"/>
    <w:rsid w:val="00743097"/>
    <w:rsid w:val="00743116"/>
    <w:rsid w:val="007431CB"/>
    <w:rsid w:val="00743340"/>
    <w:rsid w:val="0074342A"/>
    <w:rsid w:val="007437A5"/>
    <w:rsid w:val="007437A7"/>
    <w:rsid w:val="00743983"/>
    <w:rsid w:val="00743BF1"/>
    <w:rsid w:val="00743F56"/>
    <w:rsid w:val="007440C1"/>
    <w:rsid w:val="0074439F"/>
    <w:rsid w:val="0074456D"/>
    <w:rsid w:val="007447AA"/>
    <w:rsid w:val="0074494A"/>
    <w:rsid w:val="00744A08"/>
    <w:rsid w:val="00744D22"/>
    <w:rsid w:val="00744E69"/>
    <w:rsid w:val="00744EC2"/>
    <w:rsid w:val="00744F00"/>
    <w:rsid w:val="00745122"/>
    <w:rsid w:val="00745304"/>
    <w:rsid w:val="00745A2A"/>
    <w:rsid w:val="00745DA1"/>
    <w:rsid w:val="00745E70"/>
    <w:rsid w:val="00745EF4"/>
    <w:rsid w:val="0074607E"/>
    <w:rsid w:val="007460B4"/>
    <w:rsid w:val="0074679A"/>
    <w:rsid w:val="00746927"/>
    <w:rsid w:val="00746AF2"/>
    <w:rsid w:val="00746B03"/>
    <w:rsid w:val="00746CDC"/>
    <w:rsid w:val="00746CEC"/>
    <w:rsid w:val="00746D20"/>
    <w:rsid w:val="00746EFB"/>
    <w:rsid w:val="0074739D"/>
    <w:rsid w:val="0074740C"/>
    <w:rsid w:val="00747459"/>
    <w:rsid w:val="00747628"/>
    <w:rsid w:val="00747A15"/>
    <w:rsid w:val="00747A74"/>
    <w:rsid w:val="00747AA7"/>
    <w:rsid w:val="00747C02"/>
    <w:rsid w:val="00747E5E"/>
    <w:rsid w:val="0075024E"/>
    <w:rsid w:val="00750372"/>
    <w:rsid w:val="0075064C"/>
    <w:rsid w:val="0075066A"/>
    <w:rsid w:val="00750AAF"/>
    <w:rsid w:val="00751044"/>
    <w:rsid w:val="00751176"/>
    <w:rsid w:val="007511FA"/>
    <w:rsid w:val="00751345"/>
    <w:rsid w:val="0075152D"/>
    <w:rsid w:val="0075170A"/>
    <w:rsid w:val="00751829"/>
    <w:rsid w:val="00751B26"/>
    <w:rsid w:val="00751DAF"/>
    <w:rsid w:val="00751EA9"/>
    <w:rsid w:val="00752845"/>
    <w:rsid w:val="00752A1C"/>
    <w:rsid w:val="00752BBD"/>
    <w:rsid w:val="00752C69"/>
    <w:rsid w:val="00752CBF"/>
    <w:rsid w:val="00752DF1"/>
    <w:rsid w:val="00752E3D"/>
    <w:rsid w:val="00753244"/>
    <w:rsid w:val="0075342F"/>
    <w:rsid w:val="00753AC1"/>
    <w:rsid w:val="00753D1E"/>
    <w:rsid w:val="007541E5"/>
    <w:rsid w:val="00754255"/>
    <w:rsid w:val="007547A8"/>
    <w:rsid w:val="007548E3"/>
    <w:rsid w:val="00754A30"/>
    <w:rsid w:val="00754B5F"/>
    <w:rsid w:val="007553AD"/>
    <w:rsid w:val="00755564"/>
    <w:rsid w:val="0075563E"/>
    <w:rsid w:val="00755685"/>
    <w:rsid w:val="00755B05"/>
    <w:rsid w:val="00755BB8"/>
    <w:rsid w:val="00755C21"/>
    <w:rsid w:val="00755E86"/>
    <w:rsid w:val="0075656B"/>
    <w:rsid w:val="00756671"/>
    <w:rsid w:val="00756A41"/>
    <w:rsid w:val="00756F64"/>
    <w:rsid w:val="00757069"/>
    <w:rsid w:val="00757199"/>
    <w:rsid w:val="00757A97"/>
    <w:rsid w:val="00757D55"/>
    <w:rsid w:val="00757FCA"/>
    <w:rsid w:val="00760433"/>
    <w:rsid w:val="0076063A"/>
    <w:rsid w:val="0076094B"/>
    <w:rsid w:val="00760996"/>
    <w:rsid w:val="007609D0"/>
    <w:rsid w:val="00760CB1"/>
    <w:rsid w:val="00760EC7"/>
    <w:rsid w:val="00760F68"/>
    <w:rsid w:val="007610AD"/>
    <w:rsid w:val="007613A1"/>
    <w:rsid w:val="00761412"/>
    <w:rsid w:val="00761753"/>
    <w:rsid w:val="00761890"/>
    <w:rsid w:val="00761E33"/>
    <w:rsid w:val="00761FD2"/>
    <w:rsid w:val="00762028"/>
    <w:rsid w:val="00762084"/>
    <w:rsid w:val="00762228"/>
    <w:rsid w:val="00762252"/>
    <w:rsid w:val="0076258C"/>
    <w:rsid w:val="00762629"/>
    <w:rsid w:val="00762814"/>
    <w:rsid w:val="007628A7"/>
    <w:rsid w:val="007629C9"/>
    <w:rsid w:val="00762EA1"/>
    <w:rsid w:val="00762EDD"/>
    <w:rsid w:val="0076320E"/>
    <w:rsid w:val="0076326E"/>
    <w:rsid w:val="007633EE"/>
    <w:rsid w:val="00763CD2"/>
    <w:rsid w:val="00763E4C"/>
    <w:rsid w:val="0076403B"/>
    <w:rsid w:val="0076403E"/>
    <w:rsid w:val="007645F0"/>
    <w:rsid w:val="00764602"/>
    <w:rsid w:val="007649AD"/>
    <w:rsid w:val="00764B2D"/>
    <w:rsid w:val="00764B61"/>
    <w:rsid w:val="00764BC0"/>
    <w:rsid w:val="00764BEB"/>
    <w:rsid w:val="00764C59"/>
    <w:rsid w:val="00764D09"/>
    <w:rsid w:val="00764EA9"/>
    <w:rsid w:val="007652F3"/>
    <w:rsid w:val="007654EA"/>
    <w:rsid w:val="007658D4"/>
    <w:rsid w:val="00765B82"/>
    <w:rsid w:val="0076615F"/>
    <w:rsid w:val="007668D2"/>
    <w:rsid w:val="007668F8"/>
    <w:rsid w:val="00766CD8"/>
    <w:rsid w:val="00766FE9"/>
    <w:rsid w:val="00767080"/>
    <w:rsid w:val="007672B3"/>
    <w:rsid w:val="007673BB"/>
    <w:rsid w:val="007673D4"/>
    <w:rsid w:val="007679BE"/>
    <w:rsid w:val="00770344"/>
    <w:rsid w:val="00770425"/>
    <w:rsid w:val="007705A1"/>
    <w:rsid w:val="00770722"/>
    <w:rsid w:val="0077079E"/>
    <w:rsid w:val="00770CBE"/>
    <w:rsid w:val="00770D0D"/>
    <w:rsid w:val="00770F0C"/>
    <w:rsid w:val="00771004"/>
    <w:rsid w:val="0077108B"/>
    <w:rsid w:val="007718FB"/>
    <w:rsid w:val="00771A22"/>
    <w:rsid w:val="00771B77"/>
    <w:rsid w:val="00771C87"/>
    <w:rsid w:val="00771E5D"/>
    <w:rsid w:val="00772118"/>
    <w:rsid w:val="007725F1"/>
    <w:rsid w:val="007728BB"/>
    <w:rsid w:val="0077316D"/>
    <w:rsid w:val="00773431"/>
    <w:rsid w:val="00773482"/>
    <w:rsid w:val="00773C03"/>
    <w:rsid w:val="007742D5"/>
    <w:rsid w:val="007744A2"/>
    <w:rsid w:val="007744ED"/>
    <w:rsid w:val="00774649"/>
    <w:rsid w:val="00774951"/>
    <w:rsid w:val="00774CD2"/>
    <w:rsid w:val="0077516B"/>
    <w:rsid w:val="0077520D"/>
    <w:rsid w:val="007752F7"/>
    <w:rsid w:val="00775A35"/>
    <w:rsid w:val="00775C63"/>
    <w:rsid w:val="007760C6"/>
    <w:rsid w:val="0077630E"/>
    <w:rsid w:val="007763EE"/>
    <w:rsid w:val="00776447"/>
    <w:rsid w:val="0077644A"/>
    <w:rsid w:val="00776A2D"/>
    <w:rsid w:val="00776BF7"/>
    <w:rsid w:val="00776C05"/>
    <w:rsid w:val="00776DB0"/>
    <w:rsid w:val="00776E93"/>
    <w:rsid w:val="00776ED9"/>
    <w:rsid w:val="00776FCF"/>
    <w:rsid w:val="00777014"/>
    <w:rsid w:val="007771B8"/>
    <w:rsid w:val="007774A8"/>
    <w:rsid w:val="00777B9D"/>
    <w:rsid w:val="00777EC7"/>
    <w:rsid w:val="00777F14"/>
    <w:rsid w:val="007801FD"/>
    <w:rsid w:val="007802C4"/>
    <w:rsid w:val="00780325"/>
    <w:rsid w:val="0078053E"/>
    <w:rsid w:val="0078057A"/>
    <w:rsid w:val="00780772"/>
    <w:rsid w:val="0078082A"/>
    <w:rsid w:val="00780889"/>
    <w:rsid w:val="007809ED"/>
    <w:rsid w:val="00780CEC"/>
    <w:rsid w:val="00780D0A"/>
    <w:rsid w:val="00780FCA"/>
    <w:rsid w:val="007811B2"/>
    <w:rsid w:val="00781621"/>
    <w:rsid w:val="007816C1"/>
    <w:rsid w:val="00781951"/>
    <w:rsid w:val="00781A6C"/>
    <w:rsid w:val="00781E40"/>
    <w:rsid w:val="00781F5D"/>
    <w:rsid w:val="00782329"/>
    <w:rsid w:val="007823B4"/>
    <w:rsid w:val="0078259F"/>
    <w:rsid w:val="00782638"/>
    <w:rsid w:val="00782844"/>
    <w:rsid w:val="007830F1"/>
    <w:rsid w:val="0078322D"/>
    <w:rsid w:val="00783236"/>
    <w:rsid w:val="0078364A"/>
    <w:rsid w:val="007836DA"/>
    <w:rsid w:val="0078398B"/>
    <w:rsid w:val="0078398F"/>
    <w:rsid w:val="00783BDC"/>
    <w:rsid w:val="00783C18"/>
    <w:rsid w:val="00783C34"/>
    <w:rsid w:val="00783D89"/>
    <w:rsid w:val="007841FA"/>
    <w:rsid w:val="007847FA"/>
    <w:rsid w:val="00785211"/>
    <w:rsid w:val="007854B6"/>
    <w:rsid w:val="00785654"/>
    <w:rsid w:val="00785C6A"/>
    <w:rsid w:val="00785C9C"/>
    <w:rsid w:val="00785D55"/>
    <w:rsid w:val="00785DE2"/>
    <w:rsid w:val="0078604B"/>
    <w:rsid w:val="00786118"/>
    <w:rsid w:val="007862CD"/>
    <w:rsid w:val="0078639C"/>
    <w:rsid w:val="007865C6"/>
    <w:rsid w:val="007867EB"/>
    <w:rsid w:val="0078690E"/>
    <w:rsid w:val="00786A29"/>
    <w:rsid w:val="00786B32"/>
    <w:rsid w:val="00787104"/>
    <w:rsid w:val="007874A6"/>
    <w:rsid w:val="0078782B"/>
    <w:rsid w:val="00787922"/>
    <w:rsid w:val="007879C1"/>
    <w:rsid w:val="0079011B"/>
    <w:rsid w:val="0079015F"/>
    <w:rsid w:val="00790447"/>
    <w:rsid w:val="007908F0"/>
    <w:rsid w:val="0079095E"/>
    <w:rsid w:val="00790BD6"/>
    <w:rsid w:val="00791038"/>
    <w:rsid w:val="00791050"/>
    <w:rsid w:val="007911AD"/>
    <w:rsid w:val="0079120D"/>
    <w:rsid w:val="00791216"/>
    <w:rsid w:val="007917FC"/>
    <w:rsid w:val="00791910"/>
    <w:rsid w:val="00791A07"/>
    <w:rsid w:val="0079214B"/>
    <w:rsid w:val="00792311"/>
    <w:rsid w:val="0079244F"/>
    <w:rsid w:val="007925A4"/>
    <w:rsid w:val="00792715"/>
    <w:rsid w:val="007927DF"/>
    <w:rsid w:val="00792881"/>
    <w:rsid w:val="00792AE2"/>
    <w:rsid w:val="00792BE5"/>
    <w:rsid w:val="00792D36"/>
    <w:rsid w:val="007931DF"/>
    <w:rsid w:val="007932B9"/>
    <w:rsid w:val="00793493"/>
    <w:rsid w:val="007935CE"/>
    <w:rsid w:val="007935EC"/>
    <w:rsid w:val="00793BD8"/>
    <w:rsid w:val="00794079"/>
    <w:rsid w:val="007941EF"/>
    <w:rsid w:val="0079446B"/>
    <w:rsid w:val="007946BD"/>
    <w:rsid w:val="007946E0"/>
    <w:rsid w:val="0079476C"/>
    <w:rsid w:val="00794D4D"/>
    <w:rsid w:val="00794DF6"/>
    <w:rsid w:val="0079508D"/>
    <w:rsid w:val="0079516D"/>
    <w:rsid w:val="007951DF"/>
    <w:rsid w:val="00795428"/>
    <w:rsid w:val="007954B9"/>
    <w:rsid w:val="00795607"/>
    <w:rsid w:val="007957A5"/>
    <w:rsid w:val="00795860"/>
    <w:rsid w:val="007959AB"/>
    <w:rsid w:val="007959EA"/>
    <w:rsid w:val="00795EBC"/>
    <w:rsid w:val="0079653C"/>
    <w:rsid w:val="00796765"/>
    <w:rsid w:val="007967AF"/>
    <w:rsid w:val="00796B49"/>
    <w:rsid w:val="00796B8B"/>
    <w:rsid w:val="00796C9A"/>
    <w:rsid w:val="00796DA9"/>
    <w:rsid w:val="00796E35"/>
    <w:rsid w:val="0079703D"/>
    <w:rsid w:val="007972E7"/>
    <w:rsid w:val="00797AFF"/>
    <w:rsid w:val="00797DB8"/>
    <w:rsid w:val="007A0219"/>
    <w:rsid w:val="007A02B3"/>
    <w:rsid w:val="007A02BF"/>
    <w:rsid w:val="007A03FB"/>
    <w:rsid w:val="007A0713"/>
    <w:rsid w:val="007A0A07"/>
    <w:rsid w:val="007A0A4A"/>
    <w:rsid w:val="007A0AE5"/>
    <w:rsid w:val="007A0C78"/>
    <w:rsid w:val="007A0EC1"/>
    <w:rsid w:val="007A1011"/>
    <w:rsid w:val="007A14C7"/>
    <w:rsid w:val="007A1569"/>
    <w:rsid w:val="007A156F"/>
    <w:rsid w:val="007A16CD"/>
    <w:rsid w:val="007A1F31"/>
    <w:rsid w:val="007A1F76"/>
    <w:rsid w:val="007A1F98"/>
    <w:rsid w:val="007A20AB"/>
    <w:rsid w:val="007A2B61"/>
    <w:rsid w:val="007A2C75"/>
    <w:rsid w:val="007A2EF6"/>
    <w:rsid w:val="007A2F66"/>
    <w:rsid w:val="007A32C0"/>
    <w:rsid w:val="007A34E1"/>
    <w:rsid w:val="007A3B6A"/>
    <w:rsid w:val="007A3D48"/>
    <w:rsid w:val="007A4BFE"/>
    <w:rsid w:val="007A4D79"/>
    <w:rsid w:val="007A505F"/>
    <w:rsid w:val="007A5AC2"/>
    <w:rsid w:val="007A6373"/>
    <w:rsid w:val="007A65CD"/>
    <w:rsid w:val="007A6A45"/>
    <w:rsid w:val="007A6F35"/>
    <w:rsid w:val="007A792D"/>
    <w:rsid w:val="007B0093"/>
    <w:rsid w:val="007B0157"/>
    <w:rsid w:val="007B020C"/>
    <w:rsid w:val="007B0218"/>
    <w:rsid w:val="007B074A"/>
    <w:rsid w:val="007B07A3"/>
    <w:rsid w:val="007B0DA9"/>
    <w:rsid w:val="007B1005"/>
    <w:rsid w:val="007B1158"/>
    <w:rsid w:val="007B124E"/>
    <w:rsid w:val="007B1E95"/>
    <w:rsid w:val="007B220F"/>
    <w:rsid w:val="007B24EC"/>
    <w:rsid w:val="007B251A"/>
    <w:rsid w:val="007B258E"/>
    <w:rsid w:val="007B29DA"/>
    <w:rsid w:val="007B2D75"/>
    <w:rsid w:val="007B2FEB"/>
    <w:rsid w:val="007B30A6"/>
    <w:rsid w:val="007B3104"/>
    <w:rsid w:val="007B3287"/>
    <w:rsid w:val="007B343C"/>
    <w:rsid w:val="007B38C0"/>
    <w:rsid w:val="007B3D5A"/>
    <w:rsid w:val="007B3F67"/>
    <w:rsid w:val="007B4148"/>
    <w:rsid w:val="007B43BE"/>
    <w:rsid w:val="007B4530"/>
    <w:rsid w:val="007B4577"/>
    <w:rsid w:val="007B464C"/>
    <w:rsid w:val="007B4683"/>
    <w:rsid w:val="007B4F8F"/>
    <w:rsid w:val="007B4F93"/>
    <w:rsid w:val="007B5616"/>
    <w:rsid w:val="007B5BFC"/>
    <w:rsid w:val="007B5C6A"/>
    <w:rsid w:val="007B5E0F"/>
    <w:rsid w:val="007B5F9E"/>
    <w:rsid w:val="007B5FC5"/>
    <w:rsid w:val="007B6546"/>
    <w:rsid w:val="007B6601"/>
    <w:rsid w:val="007B6683"/>
    <w:rsid w:val="007B675E"/>
    <w:rsid w:val="007B67B7"/>
    <w:rsid w:val="007B681B"/>
    <w:rsid w:val="007B6919"/>
    <w:rsid w:val="007B6EAA"/>
    <w:rsid w:val="007B750C"/>
    <w:rsid w:val="007B78A6"/>
    <w:rsid w:val="007B7CB9"/>
    <w:rsid w:val="007C0376"/>
    <w:rsid w:val="007C043F"/>
    <w:rsid w:val="007C07CF"/>
    <w:rsid w:val="007C094D"/>
    <w:rsid w:val="007C09FF"/>
    <w:rsid w:val="007C0A55"/>
    <w:rsid w:val="007C0C6D"/>
    <w:rsid w:val="007C0DCB"/>
    <w:rsid w:val="007C0DCF"/>
    <w:rsid w:val="007C12FE"/>
    <w:rsid w:val="007C183B"/>
    <w:rsid w:val="007C1BF6"/>
    <w:rsid w:val="007C1DAD"/>
    <w:rsid w:val="007C2124"/>
    <w:rsid w:val="007C2280"/>
    <w:rsid w:val="007C249B"/>
    <w:rsid w:val="007C24DF"/>
    <w:rsid w:val="007C24FE"/>
    <w:rsid w:val="007C2503"/>
    <w:rsid w:val="007C26BB"/>
    <w:rsid w:val="007C28C3"/>
    <w:rsid w:val="007C2B5E"/>
    <w:rsid w:val="007C2E36"/>
    <w:rsid w:val="007C306B"/>
    <w:rsid w:val="007C319E"/>
    <w:rsid w:val="007C32B2"/>
    <w:rsid w:val="007C3356"/>
    <w:rsid w:val="007C35A6"/>
    <w:rsid w:val="007C383D"/>
    <w:rsid w:val="007C3F80"/>
    <w:rsid w:val="007C40FB"/>
    <w:rsid w:val="007C42DD"/>
    <w:rsid w:val="007C4813"/>
    <w:rsid w:val="007C49E6"/>
    <w:rsid w:val="007C4AAF"/>
    <w:rsid w:val="007C4FA3"/>
    <w:rsid w:val="007C54A4"/>
    <w:rsid w:val="007C5679"/>
    <w:rsid w:val="007C56F9"/>
    <w:rsid w:val="007C599A"/>
    <w:rsid w:val="007C5D5F"/>
    <w:rsid w:val="007C5D67"/>
    <w:rsid w:val="007C5F00"/>
    <w:rsid w:val="007C60E7"/>
    <w:rsid w:val="007C6193"/>
    <w:rsid w:val="007C63FD"/>
    <w:rsid w:val="007C66D7"/>
    <w:rsid w:val="007C66E3"/>
    <w:rsid w:val="007C67ED"/>
    <w:rsid w:val="007C6839"/>
    <w:rsid w:val="007C6CEE"/>
    <w:rsid w:val="007C6F4C"/>
    <w:rsid w:val="007C703C"/>
    <w:rsid w:val="007C7049"/>
    <w:rsid w:val="007C715E"/>
    <w:rsid w:val="007C7179"/>
    <w:rsid w:val="007C7268"/>
    <w:rsid w:val="007C75CE"/>
    <w:rsid w:val="007C7822"/>
    <w:rsid w:val="007C7A73"/>
    <w:rsid w:val="007C7B2C"/>
    <w:rsid w:val="007C7CE4"/>
    <w:rsid w:val="007C7DEC"/>
    <w:rsid w:val="007C7E08"/>
    <w:rsid w:val="007C7E75"/>
    <w:rsid w:val="007C7FBB"/>
    <w:rsid w:val="007D00E4"/>
    <w:rsid w:val="007D0D1C"/>
    <w:rsid w:val="007D0E5F"/>
    <w:rsid w:val="007D12D2"/>
    <w:rsid w:val="007D167A"/>
    <w:rsid w:val="007D17B2"/>
    <w:rsid w:val="007D1A4B"/>
    <w:rsid w:val="007D1D69"/>
    <w:rsid w:val="007D2124"/>
    <w:rsid w:val="007D2482"/>
    <w:rsid w:val="007D28C3"/>
    <w:rsid w:val="007D2B24"/>
    <w:rsid w:val="007D2D71"/>
    <w:rsid w:val="007D302F"/>
    <w:rsid w:val="007D329A"/>
    <w:rsid w:val="007D341B"/>
    <w:rsid w:val="007D347F"/>
    <w:rsid w:val="007D36F1"/>
    <w:rsid w:val="007D38A2"/>
    <w:rsid w:val="007D3A19"/>
    <w:rsid w:val="007D3C43"/>
    <w:rsid w:val="007D3C4F"/>
    <w:rsid w:val="007D3DD4"/>
    <w:rsid w:val="007D41B1"/>
    <w:rsid w:val="007D4406"/>
    <w:rsid w:val="007D444E"/>
    <w:rsid w:val="007D459F"/>
    <w:rsid w:val="007D479D"/>
    <w:rsid w:val="007D47EB"/>
    <w:rsid w:val="007D482C"/>
    <w:rsid w:val="007D4889"/>
    <w:rsid w:val="007D48AA"/>
    <w:rsid w:val="007D4D73"/>
    <w:rsid w:val="007D4F75"/>
    <w:rsid w:val="007D517F"/>
    <w:rsid w:val="007D5383"/>
    <w:rsid w:val="007D5499"/>
    <w:rsid w:val="007D58F1"/>
    <w:rsid w:val="007D59F5"/>
    <w:rsid w:val="007D5A9F"/>
    <w:rsid w:val="007D5D5D"/>
    <w:rsid w:val="007D612B"/>
    <w:rsid w:val="007D6715"/>
    <w:rsid w:val="007D6740"/>
    <w:rsid w:val="007D677A"/>
    <w:rsid w:val="007D6BC7"/>
    <w:rsid w:val="007D70C9"/>
    <w:rsid w:val="007D733F"/>
    <w:rsid w:val="007D74D3"/>
    <w:rsid w:val="007D74D4"/>
    <w:rsid w:val="007D77F8"/>
    <w:rsid w:val="007D78BF"/>
    <w:rsid w:val="007D7B0B"/>
    <w:rsid w:val="007D7B4C"/>
    <w:rsid w:val="007D7D24"/>
    <w:rsid w:val="007E0053"/>
    <w:rsid w:val="007E0377"/>
    <w:rsid w:val="007E065D"/>
    <w:rsid w:val="007E067A"/>
    <w:rsid w:val="007E0837"/>
    <w:rsid w:val="007E086F"/>
    <w:rsid w:val="007E0BB5"/>
    <w:rsid w:val="007E0D29"/>
    <w:rsid w:val="007E12A9"/>
    <w:rsid w:val="007E1880"/>
    <w:rsid w:val="007E20D9"/>
    <w:rsid w:val="007E223B"/>
    <w:rsid w:val="007E22B7"/>
    <w:rsid w:val="007E2939"/>
    <w:rsid w:val="007E2998"/>
    <w:rsid w:val="007E2A2B"/>
    <w:rsid w:val="007E2EB4"/>
    <w:rsid w:val="007E3254"/>
    <w:rsid w:val="007E3594"/>
    <w:rsid w:val="007E3821"/>
    <w:rsid w:val="007E3875"/>
    <w:rsid w:val="007E3BA5"/>
    <w:rsid w:val="007E4022"/>
    <w:rsid w:val="007E4168"/>
    <w:rsid w:val="007E445B"/>
    <w:rsid w:val="007E4C16"/>
    <w:rsid w:val="007E4D5D"/>
    <w:rsid w:val="007E4DD1"/>
    <w:rsid w:val="007E5147"/>
    <w:rsid w:val="007E52A2"/>
    <w:rsid w:val="007E53BA"/>
    <w:rsid w:val="007E5535"/>
    <w:rsid w:val="007E5C97"/>
    <w:rsid w:val="007E6C8B"/>
    <w:rsid w:val="007E701F"/>
    <w:rsid w:val="007E741E"/>
    <w:rsid w:val="007E7463"/>
    <w:rsid w:val="007E770A"/>
    <w:rsid w:val="007F0052"/>
    <w:rsid w:val="007F0453"/>
    <w:rsid w:val="007F0C0C"/>
    <w:rsid w:val="007F1097"/>
    <w:rsid w:val="007F10C1"/>
    <w:rsid w:val="007F1869"/>
    <w:rsid w:val="007F18B7"/>
    <w:rsid w:val="007F19B7"/>
    <w:rsid w:val="007F1E37"/>
    <w:rsid w:val="007F21E3"/>
    <w:rsid w:val="007F224F"/>
    <w:rsid w:val="007F2479"/>
    <w:rsid w:val="007F29A9"/>
    <w:rsid w:val="007F2AF5"/>
    <w:rsid w:val="007F2F5B"/>
    <w:rsid w:val="007F2FB1"/>
    <w:rsid w:val="007F31F7"/>
    <w:rsid w:val="007F3293"/>
    <w:rsid w:val="007F3432"/>
    <w:rsid w:val="007F35C4"/>
    <w:rsid w:val="007F39AC"/>
    <w:rsid w:val="007F3A34"/>
    <w:rsid w:val="007F3DEF"/>
    <w:rsid w:val="007F3E2F"/>
    <w:rsid w:val="007F4067"/>
    <w:rsid w:val="007F4485"/>
    <w:rsid w:val="007F4684"/>
    <w:rsid w:val="007F4687"/>
    <w:rsid w:val="007F46D9"/>
    <w:rsid w:val="007F48DD"/>
    <w:rsid w:val="007F4E8A"/>
    <w:rsid w:val="007F5924"/>
    <w:rsid w:val="007F598F"/>
    <w:rsid w:val="007F5AE6"/>
    <w:rsid w:val="007F5D5B"/>
    <w:rsid w:val="007F644C"/>
    <w:rsid w:val="007F64D3"/>
    <w:rsid w:val="007F6B32"/>
    <w:rsid w:val="007F6F56"/>
    <w:rsid w:val="007F6FBC"/>
    <w:rsid w:val="007F71D5"/>
    <w:rsid w:val="007F721E"/>
    <w:rsid w:val="007F7364"/>
    <w:rsid w:val="007F7B77"/>
    <w:rsid w:val="007F7CC8"/>
    <w:rsid w:val="007F7D82"/>
    <w:rsid w:val="007F7EAE"/>
    <w:rsid w:val="007F7F05"/>
    <w:rsid w:val="00800029"/>
    <w:rsid w:val="008006EC"/>
    <w:rsid w:val="00800D79"/>
    <w:rsid w:val="00800EC1"/>
    <w:rsid w:val="00800FEA"/>
    <w:rsid w:val="008010CF"/>
    <w:rsid w:val="008014DB"/>
    <w:rsid w:val="00801537"/>
    <w:rsid w:val="00801999"/>
    <w:rsid w:val="00801AC2"/>
    <w:rsid w:val="00801D5A"/>
    <w:rsid w:val="00801D74"/>
    <w:rsid w:val="00801E16"/>
    <w:rsid w:val="008022B1"/>
    <w:rsid w:val="008024DA"/>
    <w:rsid w:val="0080267F"/>
    <w:rsid w:val="00802766"/>
    <w:rsid w:val="00802925"/>
    <w:rsid w:val="00802991"/>
    <w:rsid w:val="00802A33"/>
    <w:rsid w:val="00802A49"/>
    <w:rsid w:val="00802B90"/>
    <w:rsid w:val="00802F3F"/>
    <w:rsid w:val="00802F86"/>
    <w:rsid w:val="0080313C"/>
    <w:rsid w:val="008034DC"/>
    <w:rsid w:val="00803563"/>
    <w:rsid w:val="008035A4"/>
    <w:rsid w:val="008037C8"/>
    <w:rsid w:val="008038EE"/>
    <w:rsid w:val="00803A51"/>
    <w:rsid w:val="00803ABC"/>
    <w:rsid w:val="00803D04"/>
    <w:rsid w:val="00803FBD"/>
    <w:rsid w:val="0080412E"/>
    <w:rsid w:val="00804346"/>
    <w:rsid w:val="00804680"/>
    <w:rsid w:val="00804AEC"/>
    <w:rsid w:val="00804CEA"/>
    <w:rsid w:val="008051AD"/>
    <w:rsid w:val="0080527B"/>
    <w:rsid w:val="00805370"/>
    <w:rsid w:val="008054CC"/>
    <w:rsid w:val="00805586"/>
    <w:rsid w:val="0080585C"/>
    <w:rsid w:val="00805957"/>
    <w:rsid w:val="008059E7"/>
    <w:rsid w:val="00806380"/>
    <w:rsid w:val="008064A5"/>
    <w:rsid w:val="008066A2"/>
    <w:rsid w:val="008068B8"/>
    <w:rsid w:val="00806A8D"/>
    <w:rsid w:val="00806B7B"/>
    <w:rsid w:val="00806C9B"/>
    <w:rsid w:val="00806D14"/>
    <w:rsid w:val="00806E66"/>
    <w:rsid w:val="0080718C"/>
    <w:rsid w:val="00807199"/>
    <w:rsid w:val="00807252"/>
    <w:rsid w:val="008075D9"/>
    <w:rsid w:val="008075F0"/>
    <w:rsid w:val="00807DE9"/>
    <w:rsid w:val="00807E0B"/>
    <w:rsid w:val="00807F77"/>
    <w:rsid w:val="008100DE"/>
    <w:rsid w:val="008108B6"/>
    <w:rsid w:val="00810C56"/>
    <w:rsid w:val="00811040"/>
    <w:rsid w:val="00811185"/>
    <w:rsid w:val="008116A0"/>
    <w:rsid w:val="00811729"/>
    <w:rsid w:val="008118EA"/>
    <w:rsid w:val="008125FC"/>
    <w:rsid w:val="00812796"/>
    <w:rsid w:val="00812A33"/>
    <w:rsid w:val="00812B8B"/>
    <w:rsid w:val="00812D57"/>
    <w:rsid w:val="00812F32"/>
    <w:rsid w:val="00813734"/>
    <w:rsid w:val="00813741"/>
    <w:rsid w:val="008138CA"/>
    <w:rsid w:val="00813EE8"/>
    <w:rsid w:val="00813F5A"/>
    <w:rsid w:val="00814056"/>
    <w:rsid w:val="00814161"/>
    <w:rsid w:val="00814394"/>
    <w:rsid w:val="008148D2"/>
    <w:rsid w:val="00814A18"/>
    <w:rsid w:val="00814FC1"/>
    <w:rsid w:val="00815324"/>
    <w:rsid w:val="0081538C"/>
    <w:rsid w:val="0081543C"/>
    <w:rsid w:val="00815678"/>
    <w:rsid w:val="0081575F"/>
    <w:rsid w:val="008158CD"/>
    <w:rsid w:val="00815A32"/>
    <w:rsid w:val="00815AF8"/>
    <w:rsid w:val="00815C22"/>
    <w:rsid w:val="00815F89"/>
    <w:rsid w:val="00816275"/>
    <w:rsid w:val="008165BF"/>
    <w:rsid w:val="00817047"/>
    <w:rsid w:val="0081718F"/>
    <w:rsid w:val="00817481"/>
    <w:rsid w:val="00817A01"/>
    <w:rsid w:val="00817A6A"/>
    <w:rsid w:val="00817AD0"/>
    <w:rsid w:val="00817F7D"/>
    <w:rsid w:val="00820324"/>
    <w:rsid w:val="008204EA"/>
    <w:rsid w:val="008207CE"/>
    <w:rsid w:val="00820806"/>
    <w:rsid w:val="008208F1"/>
    <w:rsid w:val="008213CC"/>
    <w:rsid w:val="00821610"/>
    <w:rsid w:val="00821741"/>
    <w:rsid w:val="008220C1"/>
    <w:rsid w:val="008222EB"/>
    <w:rsid w:val="0082248A"/>
    <w:rsid w:val="00822545"/>
    <w:rsid w:val="008225BC"/>
    <w:rsid w:val="00822817"/>
    <w:rsid w:val="00822A68"/>
    <w:rsid w:val="00822CB1"/>
    <w:rsid w:val="00822F56"/>
    <w:rsid w:val="00823174"/>
    <w:rsid w:val="00823287"/>
    <w:rsid w:val="00823748"/>
    <w:rsid w:val="00823854"/>
    <w:rsid w:val="00823AA0"/>
    <w:rsid w:val="00823B34"/>
    <w:rsid w:val="00823C71"/>
    <w:rsid w:val="00823F3D"/>
    <w:rsid w:val="008244F0"/>
    <w:rsid w:val="00824A5C"/>
    <w:rsid w:val="00824B0E"/>
    <w:rsid w:val="00824BEE"/>
    <w:rsid w:val="00824DA9"/>
    <w:rsid w:val="00825344"/>
    <w:rsid w:val="0082548E"/>
    <w:rsid w:val="00825B31"/>
    <w:rsid w:val="00825D1C"/>
    <w:rsid w:val="00826108"/>
    <w:rsid w:val="00826159"/>
    <w:rsid w:val="008264B1"/>
    <w:rsid w:val="008265B0"/>
    <w:rsid w:val="00826847"/>
    <w:rsid w:val="0082690A"/>
    <w:rsid w:val="00826E21"/>
    <w:rsid w:val="008273CA"/>
    <w:rsid w:val="0082772D"/>
    <w:rsid w:val="00827BCA"/>
    <w:rsid w:val="00827C37"/>
    <w:rsid w:val="00827D35"/>
    <w:rsid w:val="00827E61"/>
    <w:rsid w:val="00827F81"/>
    <w:rsid w:val="008303EC"/>
    <w:rsid w:val="00830551"/>
    <w:rsid w:val="008305A9"/>
    <w:rsid w:val="00830AB5"/>
    <w:rsid w:val="0083153C"/>
    <w:rsid w:val="008315A1"/>
    <w:rsid w:val="00831625"/>
    <w:rsid w:val="008316B8"/>
    <w:rsid w:val="00831B1F"/>
    <w:rsid w:val="00831CD9"/>
    <w:rsid w:val="00831E3B"/>
    <w:rsid w:val="00831E48"/>
    <w:rsid w:val="0083232E"/>
    <w:rsid w:val="008323A1"/>
    <w:rsid w:val="008327B3"/>
    <w:rsid w:val="0083291F"/>
    <w:rsid w:val="008329E2"/>
    <w:rsid w:val="00832C6A"/>
    <w:rsid w:val="00832EAB"/>
    <w:rsid w:val="0083305F"/>
    <w:rsid w:val="008335AD"/>
    <w:rsid w:val="00833667"/>
    <w:rsid w:val="0083398F"/>
    <w:rsid w:val="00833F93"/>
    <w:rsid w:val="008342B2"/>
    <w:rsid w:val="00834450"/>
    <w:rsid w:val="00834A3E"/>
    <w:rsid w:val="00834F05"/>
    <w:rsid w:val="008351B1"/>
    <w:rsid w:val="0083521B"/>
    <w:rsid w:val="00835918"/>
    <w:rsid w:val="00835AB9"/>
    <w:rsid w:val="00835F9D"/>
    <w:rsid w:val="008360B8"/>
    <w:rsid w:val="0083617D"/>
    <w:rsid w:val="00836706"/>
    <w:rsid w:val="00836D25"/>
    <w:rsid w:val="008370A4"/>
    <w:rsid w:val="0083718E"/>
    <w:rsid w:val="008372E4"/>
    <w:rsid w:val="008374C6"/>
    <w:rsid w:val="00837669"/>
    <w:rsid w:val="00837999"/>
    <w:rsid w:val="00837D51"/>
    <w:rsid w:val="00837D65"/>
    <w:rsid w:val="00837E38"/>
    <w:rsid w:val="00837F14"/>
    <w:rsid w:val="00840721"/>
    <w:rsid w:val="00840A78"/>
    <w:rsid w:val="0084109D"/>
    <w:rsid w:val="008416BF"/>
    <w:rsid w:val="00841961"/>
    <w:rsid w:val="00842128"/>
    <w:rsid w:val="008426A2"/>
    <w:rsid w:val="008426F1"/>
    <w:rsid w:val="00842A07"/>
    <w:rsid w:val="00842AEB"/>
    <w:rsid w:val="00842B48"/>
    <w:rsid w:val="00842CED"/>
    <w:rsid w:val="00842DCE"/>
    <w:rsid w:val="00843172"/>
    <w:rsid w:val="00843341"/>
    <w:rsid w:val="00843AEE"/>
    <w:rsid w:val="00843B00"/>
    <w:rsid w:val="00843DB3"/>
    <w:rsid w:val="00843E0A"/>
    <w:rsid w:val="00843F64"/>
    <w:rsid w:val="008440DF"/>
    <w:rsid w:val="00844229"/>
    <w:rsid w:val="008442BB"/>
    <w:rsid w:val="0084436B"/>
    <w:rsid w:val="0084445A"/>
    <w:rsid w:val="00844A66"/>
    <w:rsid w:val="00844AC6"/>
    <w:rsid w:val="00844CA2"/>
    <w:rsid w:val="008451E1"/>
    <w:rsid w:val="00845B5C"/>
    <w:rsid w:val="00845BF1"/>
    <w:rsid w:val="00845C53"/>
    <w:rsid w:val="00845D36"/>
    <w:rsid w:val="00845DE3"/>
    <w:rsid w:val="00845E97"/>
    <w:rsid w:val="00845EC7"/>
    <w:rsid w:val="00846321"/>
    <w:rsid w:val="0084655B"/>
    <w:rsid w:val="00846587"/>
    <w:rsid w:val="00846965"/>
    <w:rsid w:val="00846E5E"/>
    <w:rsid w:val="00847070"/>
    <w:rsid w:val="0084716A"/>
    <w:rsid w:val="008473B4"/>
    <w:rsid w:val="008473BC"/>
    <w:rsid w:val="008473E0"/>
    <w:rsid w:val="008474DF"/>
    <w:rsid w:val="008477AA"/>
    <w:rsid w:val="008479EF"/>
    <w:rsid w:val="00847A01"/>
    <w:rsid w:val="00847A30"/>
    <w:rsid w:val="00847BA9"/>
    <w:rsid w:val="00847C15"/>
    <w:rsid w:val="00847C62"/>
    <w:rsid w:val="00847E1F"/>
    <w:rsid w:val="008507D3"/>
    <w:rsid w:val="0085093A"/>
    <w:rsid w:val="00850A74"/>
    <w:rsid w:val="00850B27"/>
    <w:rsid w:val="008511C0"/>
    <w:rsid w:val="00851215"/>
    <w:rsid w:val="00851646"/>
    <w:rsid w:val="008517FB"/>
    <w:rsid w:val="00851ABC"/>
    <w:rsid w:val="00851AFB"/>
    <w:rsid w:val="00851CE5"/>
    <w:rsid w:val="00851F5E"/>
    <w:rsid w:val="00851FAF"/>
    <w:rsid w:val="008521FB"/>
    <w:rsid w:val="00852504"/>
    <w:rsid w:val="008528A5"/>
    <w:rsid w:val="00852A18"/>
    <w:rsid w:val="00852EBA"/>
    <w:rsid w:val="00853196"/>
    <w:rsid w:val="008531BE"/>
    <w:rsid w:val="0085323F"/>
    <w:rsid w:val="0085328D"/>
    <w:rsid w:val="0085330D"/>
    <w:rsid w:val="00853355"/>
    <w:rsid w:val="008534A1"/>
    <w:rsid w:val="00853682"/>
    <w:rsid w:val="008536CD"/>
    <w:rsid w:val="00853B61"/>
    <w:rsid w:val="00853E4C"/>
    <w:rsid w:val="00854646"/>
    <w:rsid w:val="0085499D"/>
    <w:rsid w:val="008549D6"/>
    <w:rsid w:val="00854BB3"/>
    <w:rsid w:val="00854D21"/>
    <w:rsid w:val="00855875"/>
    <w:rsid w:val="008558A6"/>
    <w:rsid w:val="00855A16"/>
    <w:rsid w:val="00855CAC"/>
    <w:rsid w:val="00855D24"/>
    <w:rsid w:val="008564CE"/>
    <w:rsid w:val="00856637"/>
    <w:rsid w:val="0085669F"/>
    <w:rsid w:val="00856797"/>
    <w:rsid w:val="0085694A"/>
    <w:rsid w:val="008569DF"/>
    <w:rsid w:val="00856A56"/>
    <w:rsid w:val="00857025"/>
    <w:rsid w:val="008574B6"/>
    <w:rsid w:val="0085750D"/>
    <w:rsid w:val="008577BF"/>
    <w:rsid w:val="0085781F"/>
    <w:rsid w:val="008578D1"/>
    <w:rsid w:val="00857BCE"/>
    <w:rsid w:val="00857CBC"/>
    <w:rsid w:val="00860AB9"/>
    <w:rsid w:val="00860B6B"/>
    <w:rsid w:val="00860CCD"/>
    <w:rsid w:val="00860D70"/>
    <w:rsid w:val="0086104A"/>
    <w:rsid w:val="008614A7"/>
    <w:rsid w:val="00861629"/>
    <w:rsid w:val="008617E0"/>
    <w:rsid w:val="00861A72"/>
    <w:rsid w:val="00861CB4"/>
    <w:rsid w:val="00861D5C"/>
    <w:rsid w:val="0086217D"/>
    <w:rsid w:val="008621D9"/>
    <w:rsid w:val="00862545"/>
    <w:rsid w:val="00862BF1"/>
    <w:rsid w:val="00862C6A"/>
    <w:rsid w:val="008630ED"/>
    <w:rsid w:val="0086342A"/>
    <w:rsid w:val="00863472"/>
    <w:rsid w:val="00863814"/>
    <w:rsid w:val="00863839"/>
    <w:rsid w:val="00863B59"/>
    <w:rsid w:val="00863C54"/>
    <w:rsid w:val="0086411E"/>
    <w:rsid w:val="008644F1"/>
    <w:rsid w:val="00864C41"/>
    <w:rsid w:val="00864F05"/>
    <w:rsid w:val="00864FAB"/>
    <w:rsid w:val="00865207"/>
    <w:rsid w:val="008652D2"/>
    <w:rsid w:val="0086549F"/>
    <w:rsid w:val="008654CC"/>
    <w:rsid w:val="0086594E"/>
    <w:rsid w:val="00865BB2"/>
    <w:rsid w:val="00865E8E"/>
    <w:rsid w:val="0086600F"/>
    <w:rsid w:val="00866261"/>
    <w:rsid w:val="00866710"/>
    <w:rsid w:val="00866EDE"/>
    <w:rsid w:val="00866F03"/>
    <w:rsid w:val="0086711A"/>
    <w:rsid w:val="00867E5B"/>
    <w:rsid w:val="00870009"/>
    <w:rsid w:val="008703CC"/>
    <w:rsid w:val="0087049C"/>
    <w:rsid w:val="008704E7"/>
    <w:rsid w:val="008706D9"/>
    <w:rsid w:val="00870940"/>
    <w:rsid w:val="00871059"/>
    <w:rsid w:val="00871433"/>
    <w:rsid w:val="00871693"/>
    <w:rsid w:val="00871D67"/>
    <w:rsid w:val="00872060"/>
    <w:rsid w:val="008720F9"/>
    <w:rsid w:val="00872240"/>
    <w:rsid w:val="00872303"/>
    <w:rsid w:val="00872589"/>
    <w:rsid w:val="0087261A"/>
    <w:rsid w:val="00872C0B"/>
    <w:rsid w:val="0087392C"/>
    <w:rsid w:val="00873A1A"/>
    <w:rsid w:val="00873AEB"/>
    <w:rsid w:val="00874331"/>
    <w:rsid w:val="008743C9"/>
    <w:rsid w:val="00874502"/>
    <w:rsid w:val="00874727"/>
    <w:rsid w:val="00874771"/>
    <w:rsid w:val="008749B5"/>
    <w:rsid w:val="00874B67"/>
    <w:rsid w:val="00874B86"/>
    <w:rsid w:val="00874BDC"/>
    <w:rsid w:val="008751B6"/>
    <w:rsid w:val="008752CB"/>
    <w:rsid w:val="008753F0"/>
    <w:rsid w:val="00875A34"/>
    <w:rsid w:val="00875A3E"/>
    <w:rsid w:val="00875A93"/>
    <w:rsid w:val="00875E51"/>
    <w:rsid w:val="00876058"/>
    <w:rsid w:val="008762BA"/>
    <w:rsid w:val="0087659A"/>
    <w:rsid w:val="008765C6"/>
    <w:rsid w:val="008767AB"/>
    <w:rsid w:val="00876840"/>
    <w:rsid w:val="0087690A"/>
    <w:rsid w:val="008769C1"/>
    <w:rsid w:val="008769DC"/>
    <w:rsid w:val="00876B35"/>
    <w:rsid w:val="00876B9A"/>
    <w:rsid w:val="00876F8B"/>
    <w:rsid w:val="008775B5"/>
    <w:rsid w:val="00877813"/>
    <w:rsid w:val="008778A4"/>
    <w:rsid w:val="00877931"/>
    <w:rsid w:val="00877E65"/>
    <w:rsid w:val="00877EC8"/>
    <w:rsid w:val="00880144"/>
    <w:rsid w:val="00880F46"/>
    <w:rsid w:val="00881502"/>
    <w:rsid w:val="00881609"/>
    <w:rsid w:val="008816AA"/>
    <w:rsid w:val="00881915"/>
    <w:rsid w:val="00881DFA"/>
    <w:rsid w:val="00881F78"/>
    <w:rsid w:val="008821E5"/>
    <w:rsid w:val="00882212"/>
    <w:rsid w:val="008825FA"/>
    <w:rsid w:val="00882633"/>
    <w:rsid w:val="00882766"/>
    <w:rsid w:val="00882C27"/>
    <w:rsid w:val="00882D76"/>
    <w:rsid w:val="00882F15"/>
    <w:rsid w:val="008830D7"/>
    <w:rsid w:val="0088341F"/>
    <w:rsid w:val="00883579"/>
    <w:rsid w:val="008838C8"/>
    <w:rsid w:val="00883BA4"/>
    <w:rsid w:val="00883BC0"/>
    <w:rsid w:val="008840F4"/>
    <w:rsid w:val="00884833"/>
    <w:rsid w:val="00884897"/>
    <w:rsid w:val="008848FB"/>
    <w:rsid w:val="00884A81"/>
    <w:rsid w:val="00884B4B"/>
    <w:rsid w:val="00884B4F"/>
    <w:rsid w:val="00884C17"/>
    <w:rsid w:val="00885063"/>
    <w:rsid w:val="008856B7"/>
    <w:rsid w:val="0088573E"/>
    <w:rsid w:val="008857DB"/>
    <w:rsid w:val="00885C02"/>
    <w:rsid w:val="00885C9C"/>
    <w:rsid w:val="00885E9E"/>
    <w:rsid w:val="00885ED1"/>
    <w:rsid w:val="00885F3E"/>
    <w:rsid w:val="00885FBB"/>
    <w:rsid w:val="0088613F"/>
    <w:rsid w:val="0088617A"/>
    <w:rsid w:val="0088688F"/>
    <w:rsid w:val="00886B54"/>
    <w:rsid w:val="00886E3E"/>
    <w:rsid w:val="00886F3C"/>
    <w:rsid w:val="00887023"/>
    <w:rsid w:val="00887445"/>
    <w:rsid w:val="008874D9"/>
    <w:rsid w:val="0088751C"/>
    <w:rsid w:val="008875E2"/>
    <w:rsid w:val="00887694"/>
    <w:rsid w:val="00887716"/>
    <w:rsid w:val="0088777C"/>
    <w:rsid w:val="0088785A"/>
    <w:rsid w:val="008879AB"/>
    <w:rsid w:val="00887A67"/>
    <w:rsid w:val="00887B78"/>
    <w:rsid w:val="00887C2A"/>
    <w:rsid w:val="00887F20"/>
    <w:rsid w:val="008905E6"/>
    <w:rsid w:val="008907CC"/>
    <w:rsid w:val="00890B16"/>
    <w:rsid w:val="00891047"/>
    <w:rsid w:val="008911C1"/>
    <w:rsid w:val="0089167F"/>
    <w:rsid w:val="0089192C"/>
    <w:rsid w:val="008921BD"/>
    <w:rsid w:val="008921D4"/>
    <w:rsid w:val="008927C7"/>
    <w:rsid w:val="008929D1"/>
    <w:rsid w:val="00892A63"/>
    <w:rsid w:val="00892D0F"/>
    <w:rsid w:val="00892D2E"/>
    <w:rsid w:val="00892D55"/>
    <w:rsid w:val="00892EFB"/>
    <w:rsid w:val="0089318A"/>
    <w:rsid w:val="008931BA"/>
    <w:rsid w:val="00893637"/>
    <w:rsid w:val="008937B5"/>
    <w:rsid w:val="00893AD2"/>
    <w:rsid w:val="00893EE1"/>
    <w:rsid w:val="00894032"/>
    <w:rsid w:val="0089410E"/>
    <w:rsid w:val="008945ED"/>
    <w:rsid w:val="00894875"/>
    <w:rsid w:val="00894BF2"/>
    <w:rsid w:val="00894D36"/>
    <w:rsid w:val="0089505C"/>
    <w:rsid w:val="008950D5"/>
    <w:rsid w:val="0089547A"/>
    <w:rsid w:val="00895CCC"/>
    <w:rsid w:val="00895DB0"/>
    <w:rsid w:val="008962DA"/>
    <w:rsid w:val="008964E4"/>
    <w:rsid w:val="0089650C"/>
    <w:rsid w:val="00896698"/>
    <w:rsid w:val="00896758"/>
    <w:rsid w:val="008967C4"/>
    <w:rsid w:val="008967F4"/>
    <w:rsid w:val="0089680E"/>
    <w:rsid w:val="00896919"/>
    <w:rsid w:val="00896A10"/>
    <w:rsid w:val="00896A58"/>
    <w:rsid w:val="00896D6F"/>
    <w:rsid w:val="0089780B"/>
    <w:rsid w:val="00897956"/>
    <w:rsid w:val="00897AD9"/>
    <w:rsid w:val="00897AF4"/>
    <w:rsid w:val="00897B93"/>
    <w:rsid w:val="00897C9F"/>
    <w:rsid w:val="008A0462"/>
    <w:rsid w:val="008A0862"/>
    <w:rsid w:val="008A08B0"/>
    <w:rsid w:val="008A10BC"/>
    <w:rsid w:val="008A13FF"/>
    <w:rsid w:val="008A19DF"/>
    <w:rsid w:val="008A1BEB"/>
    <w:rsid w:val="008A1C5C"/>
    <w:rsid w:val="008A1D92"/>
    <w:rsid w:val="008A2166"/>
    <w:rsid w:val="008A235E"/>
    <w:rsid w:val="008A25B9"/>
    <w:rsid w:val="008A2CAD"/>
    <w:rsid w:val="008A2F94"/>
    <w:rsid w:val="008A317B"/>
    <w:rsid w:val="008A3335"/>
    <w:rsid w:val="008A34E8"/>
    <w:rsid w:val="008A3660"/>
    <w:rsid w:val="008A367C"/>
    <w:rsid w:val="008A3806"/>
    <w:rsid w:val="008A3858"/>
    <w:rsid w:val="008A385F"/>
    <w:rsid w:val="008A3BCA"/>
    <w:rsid w:val="008A3DF6"/>
    <w:rsid w:val="008A3F41"/>
    <w:rsid w:val="008A41FF"/>
    <w:rsid w:val="008A4304"/>
    <w:rsid w:val="008A460E"/>
    <w:rsid w:val="008A480E"/>
    <w:rsid w:val="008A4A3D"/>
    <w:rsid w:val="008A4B62"/>
    <w:rsid w:val="008A4BE1"/>
    <w:rsid w:val="008A4E8F"/>
    <w:rsid w:val="008A521A"/>
    <w:rsid w:val="008A5483"/>
    <w:rsid w:val="008A561E"/>
    <w:rsid w:val="008A56D6"/>
    <w:rsid w:val="008A5789"/>
    <w:rsid w:val="008A57E4"/>
    <w:rsid w:val="008A5825"/>
    <w:rsid w:val="008A5C07"/>
    <w:rsid w:val="008A5D44"/>
    <w:rsid w:val="008A62A2"/>
    <w:rsid w:val="008A638A"/>
    <w:rsid w:val="008A6425"/>
    <w:rsid w:val="008A65B2"/>
    <w:rsid w:val="008A6914"/>
    <w:rsid w:val="008A761B"/>
    <w:rsid w:val="008A7745"/>
    <w:rsid w:val="008A7D05"/>
    <w:rsid w:val="008A7D08"/>
    <w:rsid w:val="008A7FC7"/>
    <w:rsid w:val="008B0098"/>
    <w:rsid w:val="008B035D"/>
    <w:rsid w:val="008B0445"/>
    <w:rsid w:val="008B04DE"/>
    <w:rsid w:val="008B083C"/>
    <w:rsid w:val="008B126E"/>
    <w:rsid w:val="008B13A3"/>
    <w:rsid w:val="008B19D7"/>
    <w:rsid w:val="008B1BFF"/>
    <w:rsid w:val="008B1C00"/>
    <w:rsid w:val="008B1CD7"/>
    <w:rsid w:val="008B1E7B"/>
    <w:rsid w:val="008B2088"/>
    <w:rsid w:val="008B2217"/>
    <w:rsid w:val="008B2236"/>
    <w:rsid w:val="008B244A"/>
    <w:rsid w:val="008B24D9"/>
    <w:rsid w:val="008B2719"/>
    <w:rsid w:val="008B2A83"/>
    <w:rsid w:val="008B37B3"/>
    <w:rsid w:val="008B3811"/>
    <w:rsid w:val="008B38D4"/>
    <w:rsid w:val="008B39BE"/>
    <w:rsid w:val="008B3C02"/>
    <w:rsid w:val="008B3D56"/>
    <w:rsid w:val="008B426E"/>
    <w:rsid w:val="008B451D"/>
    <w:rsid w:val="008B4637"/>
    <w:rsid w:val="008B4798"/>
    <w:rsid w:val="008B4B2E"/>
    <w:rsid w:val="008B4C9D"/>
    <w:rsid w:val="008B4EE5"/>
    <w:rsid w:val="008B5655"/>
    <w:rsid w:val="008B5D2F"/>
    <w:rsid w:val="008B5D92"/>
    <w:rsid w:val="008B5DCE"/>
    <w:rsid w:val="008B5F70"/>
    <w:rsid w:val="008B60DE"/>
    <w:rsid w:val="008B6346"/>
    <w:rsid w:val="008B63B8"/>
    <w:rsid w:val="008B6594"/>
    <w:rsid w:val="008B6AF8"/>
    <w:rsid w:val="008B6B3F"/>
    <w:rsid w:val="008B6D54"/>
    <w:rsid w:val="008B6E64"/>
    <w:rsid w:val="008B6F98"/>
    <w:rsid w:val="008B7160"/>
    <w:rsid w:val="008B72D1"/>
    <w:rsid w:val="008B739C"/>
    <w:rsid w:val="008B7476"/>
    <w:rsid w:val="008B766C"/>
    <w:rsid w:val="008B7711"/>
    <w:rsid w:val="008B7973"/>
    <w:rsid w:val="008B7978"/>
    <w:rsid w:val="008B7A70"/>
    <w:rsid w:val="008B7AC0"/>
    <w:rsid w:val="008B7BBE"/>
    <w:rsid w:val="008B7C73"/>
    <w:rsid w:val="008B7D2E"/>
    <w:rsid w:val="008B7D8F"/>
    <w:rsid w:val="008C0274"/>
    <w:rsid w:val="008C031C"/>
    <w:rsid w:val="008C0677"/>
    <w:rsid w:val="008C0960"/>
    <w:rsid w:val="008C0984"/>
    <w:rsid w:val="008C0CA7"/>
    <w:rsid w:val="008C0CD5"/>
    <w:rsid w:val="008C0EB1"/>
    <w:rsid w:val="008C0EB9"/>
    <w:rsid w:val="008C1428"/>
    <w:rsid w:val="008C1844"/>
    <w:rsid w:val="008C1D67"/>
    <w:rsid w:val="008C1EA4"/>
    <w:rsid w:val="008C1ED0"/>
    <w:rsid w:val="008C238F"/>
    <w:rsid w:val="008C2497"/>
    <w:rsid w:val="008C264C"/>
    <w:rsid w:val="008C2654"/>
    <w:rsid w:val="008C283E"/>
    <w:rsid w:val="008C28E2"/>
    <w:rsid w:val="008C2B08"/>
    <w:rsid w:val="008C3205"/>
    <w:rsid w:val="008C364D"/>
    <w:rsid w:val="008C3B5F"/>
    <w:rsid w:val="008C3C44"/>
    <w:rsid w:val="008C3EA3"/>
    <w:rsid w:val="008C3F2D"/>
    <w:rsid w:val="008C3F33"/>
    <w:rsid w:val="008C4020"/>
    <w:rsid w:val="008C4333"/>
    <w:rsid w:val="008C4379"/>
    <w:rsid w:val="008C43D9"/>
    <w:rsid w:val="008C478A"/>
    <w:rsid w:val="008C49CC"/>
    <w:rsid w:val="008C4A76"/>
    <w:rsid w:val="008C4B1E"/>
    <w:rsid w:val="008C4D96"/>
    <w:rsid w:val="008C51D5"/>
    <w:rsid w:val="008C5420"/>
    <w:rsid w:val="008C5643"/>
    <w:rsid w:val="008C56DB"/>
    <w:rsid w:val="008C59E0"/>
    <w:rsid w:val="008C5B3C"/>
    <w:rsid w:val="008C5D08"/>
    <w:rsid w:val="008C5FD3"/>
    <w:rsid w:val="008C608F"/>
    <w:rsid w:val="008C60CB"/>
    <w:rsid w:val="008C619E"/>
    <w:rsid w:val="008C674A"/>
    <w:rsid w:val="008C6BDA"/>
    <w:rsid w:val="008C6C1D"/>
    <w:rsid w:val="008C6CEA"/>
    <w:rsid w:val="008C7131"/>
    <w:rsid w:val="008C720E"/>
    <w:rsid w:val="008C73E4"/>
    <w:rsid w:val="008C7468"/>
    <w:rsid w:val="008C75AE"/>
    <w:rsid w:val="008C75BF"/>
    <w:rsid w:val="008C786C"/>
    <w:rsid w:val="008C7A00"/>
    <w:rsid w:val="008C7E2C"/>
    <w:rsid w:val="008D01E3"/>
    <w:rsid w:val="008D0280"/>
    <w:rsid w:val="008D03F0"/>
    <w:rsid w:val="008D046E"/>
    <w:rsid w:val="008D098E"/>
    <w:rsid w:val="008D0A28"/>
    <w:rsid w:val="008D0B05"/>
    <w:rsid w:val="008D0CC3"/>
    <w:rsid w:val="008D0D48"/>
    <w:rsid w:val="008D1095"/>
    <w:rsid w:val="008D10F4"/>
    <w:rsid w:val="008D13FE"/>
    <w:rsid w:val="008D1437"/>
    <w:rsid w:val="008D15BA"/>
    <w:rsid w:val="008D1850"/>
    <w:rsid w:val="008D1875"/>
    <w:rsid w:val="008D1A1F"/>
    <w:rsid w:val="008D1B19"/>
    <w:rsid w:val="008D1CE1"/>
    <w:rsid w:val="008D1E12"/>
    <w:rsid w:val="008D1FF4"/>
    <w:rsid w:val="008D2290"/>
    <w:rsid w:val="008D2314"/>
    <w:rsid w:val="008D2803"/>
    <w:rsid w:val="008D284E"/>
    <w:rsid w:val="008D2A29"/>
    <w:rsid w:val="008D2FB3"/>
    <w:rsid w:val="008D3233"/>
    <w:rsid w:val="008D34A0"/>
    <w:rsid w:val="008D34B1"/>
    <w:rsid w:val="008D3714"/>
    <w:rsid w:val="008D3A04"/>
    <w:rsid w:val="008D3B1A"/>
    <w:rsid w:val="008D4103"/>
    <w:rsid w:val="008D4110"/>
    <w:rsid w:val="008D45D1"/>
    <w:rsid w:val="008D45F0"/>
    <w:rsid w:val="008D4AB5"/>
    <w:rsid w:val="008D5199"/>
    <w:rsid w:val="008D5268"/>
    <w:rsid w:val="008D5576"/>
    <w:rsid w:val="008D57C1"/>
    <w:rsid w:val="008D5A08"/>
    <w:rsid w:val="008D5AF4"/>
    <w:rsid w:val="008D5C3F"/>
    <w:rsid w:val="008D5DF7"/>
    <w:rsid w:val="008D67E5"/>
    <w:rsid w:val="008D6928"/>
    <w:rsid w:val="008D6987"/>
    <w:rsid w:val="008D69F6"/>
    <w:rsid w:val="008D7210"/>
    <w:rsid w:val="008D72DC"/>
    <w:rsid w:val="008D74B1"/>
    <w:rsid w:val="008D791F"/>
    <w:rsid w:val="008E0124"/>
    <w:rsid w:val="008E0409"/>
    <w:rsid w:val="008E0646"/>
    <w:rsid w:val="008E09E2"/>
    <w:rsid w:val="008E0B14"/>
    <w:rsid w:val="008E0BD3"/>
    <w:rsid w:val="008E0DF1"/>
    <w:rsid w:val="008E0E07"/>
    <w:rsid w:val="008E0E84"/>
    <w:rsid w:val="008E0E9D"/>
    <w:rsid w:val="008E0EDD"/>
    <w:rsid w:val="008E0F8B"/>
    <w:rsid w:val="008E1168"/>
    <w:rsid w:val="008E1679"/>
    <w:rsid w:val="008E19AF"/>
    <w:rsid w:val="008E1B60"/>
    <w:rsid w:val="008E1C98"/>
    <w:rsid w:val="008E1CAF"/>
    <w:rsid w:val="008E1DB8"/>
    <w:rsid w:val="008E30AF"/>
    <w:rsid w:val="008E31FD"/>
    <w:rsid w:val="008E3536"/>
    <w:rsid w:val="008E3B03"/>
    <w:rsid w:val="008E3FC6"/>
    <w:rsid w:val="008E4148"/>
    <w:rsid w:val="008E4557"/>
    <w:rsid w:val="008E4856"/>
    <w:rsid w:val="008E4925"/>
    <w:rsid w:val="008E4DEB"/>
    <w:rsid w:val="008E500C"/>
    <w:rsid w:val="008E50C9"/>
    <w:rsid w:val="008E5267"/>
    <w:rsid w:val="008E55BB"/>
    <w:rsid w:val="008E587E"/>
    <w:rsid w:val="008E5DDA"/>
    <w:rsid w:val="008E621B"/>
    <w:rsid w:val="008E6306"/>
    <w:rsid w:val="008E6332"/>
    <w:rsid w:val="008E6D14"/>
    <w:rsid w:val="008E6EFF"/>
    <w:rsid w:val="008E7324"/>
    <w:rsid w:val="008E74A9"/>
    <w:rsid w:val="008E77BA"/>
    <w:rsid w:val="008E77F4"/>
    <w:rsid w:val="008E7866"/>
    <w:rsid w:val="008F0268"/>
    <w:rsid w:val="008F0352"/>
    <w:rsid w:val="008F04FA"/>
    <w:rsid w:val="008F08A5"/>
    <w:rsid w:val="008F09F6"/>
    <w:rsid w:val="008F0B53"/>
    <w:rsid w:val="008F0E59"/>
    <w:rsid w:val="008F1060"/>
    <w:rsid w:val="008F146D"/>
    <w:rsid w:val="008F14B3"/>
    <w:rsid w:val="008F167F"/>
    <w:rsid w:val="008F197A"/>
    <w:rsid w:val="008F1AD4"/>
    <w:rsid w:val="008F1B26"/>
    <w:rsid w:val="008F1B9A"/>
    <w:rsid w:val="008F1CA9"/>
    <w:rsid w:val="008F1FEA"/>
    <w:rsid w:val="008F2044"/>
    <w:rsid w:val="008F2111"/>
    <w:rsid w:val="008F21A2"/>
    <w:rsid w:val="008F24FE"/>
    <w:rsid w:val="008F293C"/>
    <w:rsid w:val="008F2ABD"/>
    <w:rsid w:val="008F2BFB"/>
    <w:rsid w:val="008F2EF7"/>
    <w:rsid w:val="008F310C"/>
    <w:rsid w:val="008F3117"/>
    <w:rsid w:val="008F360B"/>
    <w:rsid w:val="008F39C3"/>
    <w:rsid w:val="008F3C43"/>
    <w:rsid w:val="008F3DB3"/>
    <w:rsid w:val="008F3EA9"/>
    <w:rsid w:val="008F40F1"/>
    <w:rsid w:val="008F410D"/>
    <w:rsid w:val="008F45D0"/>
    <w:rsid w:val="008F46CE"/>
    <w:rsid w:val="008F474B"/>
    <w:rsid w:val="008F475E"/>
    <w:rsid w:val="008F47DB"/>
    <w:rsid w:val="008F4856"/>
    <w:rsid w:val="008F4B3B"/>
    <w:rsid w:val="008F4E10"/>
    <w:rsid w:val="008F51A6"/>
    <w:rsid w:val="008F5308"/>
    <w:rsid w:val="008F54C6"/>
    <w:rsid w:val="008F551E"/>
    <w:rsid w:val="008F571C"/>
    <w:rsid w:val="008F57E7"/>
    <w:rsid w:val="008F58CF"/>
    <w:rsid w:val="008F59EE"/>
    <w:rsid w:val="008F5B6A"/>
    <w:rsid w:val="008F5E6D"/>
    <w:rsid w:val="008F63A5"/>
    <w:rsid w:val="008F64CE"/>
    <w:rsid w:val="008F65C6"/>
    <w:rsid w:val="008F6711"/>
    <w:rsid w:val="008F7028"/>
    <w:rsid w:val="008F70B8"/>
    <w:rsid w:val="008F71A0"/>
    <w:rsid w:val="008F72C9"/>
    <w:rsid w:val="008F740B"/>
    <w:rsid w:val="008F7732"/>
    <w:rsid w:val="008F7BC2"/>
    <w:rsid w:val="008F7E01"/>
    <w:rsid w:val="008FBE03"/>
    <w:rsid w:val="00900077"/>
    <w:rsid w:val="009000B8"/>
    <w:rsid w:val="009000F3"/>
    <w:rsid w:val="00900202"/>
    <w:rsid w:val="00900408"/>
    <w:rsid w:val="00900840"/>
    <w:rsid w:val="00900CAF"/>
    <w:rsid w:val="00900EC4"/>
    <w:rsid w:val="00901214"/>
    <w:rsid w:val="0090157B"/>
    <w:rsid w:val="009016FD"/>
    <w:rsid w:val="00901C83"/>
    <w:rsid w:val="00901D02"/>
    <w:rsid w:val="00901D9D"/>
    <w:rsid w:val="00901DC8"/>
    <w:rsid w:val="00902086"/>
    <w:rsid w:val="0090252E"/>
    <w:rsid w:val="009027C6"/>
    <w:rsid w:val="00902C2A"/>
    <w:rsid w:val="00902E04"/>
    <w:rsid w:val="00902F4A"/>
    <w:rsid w:val="009033C9"/>
    <w:rsid w:val="0090340A"/>
    <w:rsid w:val="00903543"/>
    <w:rsid w:val="00903583"/>
    <w:rsid w:val="00903ADB"/>
    <w:rsid w:val="00903F4C"/>
    <w:rsid w:val="00903F8F"/>
    <w:rsid w:val="00904621"/>
    <w:rsid w:val="00904C1F"/>
    <w:rsid w:val="00904EBF"/>
    <w:rsid w:val="00904EE7"/>
    <w:rsid w:val="00904EED"/>
    <w:rsid w:val="00904F6E"/>
    <w:rsid w:val="009051A8"/>
    <w:rsid w:val="00905505"/>
    <w:rsid w:val="00905CEE"/>
    <w:rsid w:val="00905FE6"/>
    <w:rsid w:val="00906042"/>
    <w:rsid w:val="0090606C"/>
    <w:rsid w:val="009060E5"/>
    <w:rsid w:val="00906344"/>
    <w:rsid w:val="00906569"/>
    <w:rsid w:val="00906990"/>
    <w:rsid w:val="00906B55"/>
    <w:rsid w:val="00906B9D"/>
    <w:rsid w:val="00906D27"/>
    <w:rsid w:val="00906DE8"/>
    <w:rsid w:val="00906F0D"/>
    <w:rsid w:val="009070F5"/>
    <w:rsid w:val="009072D6"/>
    <w:rsid w:val="0090742C"/>
    <w:rsid w:val="00907459"/>
    <w:rsid w:val="009077C1"/>
    <w:rsid w:val="00907A6D"/>
    <w:rsid w:val="00907D17"/>
    <w:rsid w:val="00910606"/>
    <w:rsid w:val="009106A5"/>
    <w:rsid w:val="0091086C"/>
    <w:rsid w:val="0091117C"/>
    <w:rsid w:val="009116F6"/>
    <w:rsid w:val="009117BF"/>
    <w:rsid w:val="0091194B"/>
    <w:rsid w:val="00911B6A"/>
    <w:rsid w:val="009120A3"/>
    <w:rsid w:val="009121E2"/>
    <w:rsid w:val="009124B9"/>
    <w:rsid w:val="009125FE"/>
    <w:rsid w:val="0091277B"/>
    <w:rsid w:val="00912857"/>
    <w:rsid w:val="00912A60"/>
    <w:rsid w:val="00912FD6"/>
    <w:rsid w:val="009133B2"/>
    <w:rsid w:val="00913565"/>
    <w:rsid w:val="00913626"/>
    <w:rsid w:val="009136EF"/>
    <w:rsid w:val="00913933"/>
    <w:rsid w:val="00913CA9"/>
    <w:rsid w:val="0091410A"/>
    <w:rsid w:val="009144C1"/>
    <w:rsid w:val="00914800"/>
    <w:rsid w:val="00914901"/>
    <w:rsid w:val="009149CA"/>
    <w:rsid w:val="00914DA9"/>
    <w:rsid w:val="00914F25"/>
    <w:rsid w:val="009150CA"/>
    <w:rsid w:val="0091538D"/>
    <w:rsid w:val="0091557B"/>
    <w:rsid w:val="0091557F"/>
    <w:rsid w:val="009156DB"/>
    <w:rsid w:val="009157D4"/>
    <w:rsid w:val="0091599F"/>
    <w:rsid w:val="00915DC4"/>
    <w:rsid w:val="00915DC5"/>
    <w:rsid w:val="009161A2"/>
    <w:rsid w:val="009164A6"/>
    <w:rsid w:val="009167B1"/>
    <w:rsid w:val="009167DC"/>
    <w:rsid w:val="00916898"/>
    <w:rsid w:val="00916A0D"/>
    <w:rsid w:val="00916A40"/>
    <w:rsid w:val="00916BE5"/>
    <w:rsid w:val="00916D2B"/>
    <w:rsid w:val="00917008"/>
    <w:rsid w:val="009176C3"/>
    <w:rsid w:val="00917A0F"/>
    <w:rsid w:val="00917B18"/>
    <w:rsid w:val="00917DD8"/>
    <w:rsid w:val="00917DF6"/>
    <w:rsid w:val="00917E35"/>
    <w:rsid w:val="00917E58"/>
    <w:rsid w:val="00917EF4"/>
    <w:rsid w:val="00917F03"/>
    <w:rsid w:val="0092081F"/>
    <w:rsid w:val="00920C31"/>
    <w:rsid w:val="00920CA4"/>
    <w:rsid w:val="00920DDD"/>
    <w:rsid w:val="00920E48"/>
    <w:rsid w:val="00920F51"/>
    <w:rsid w:val="00920F9E"/>
    <w:rsid w:val="009212B2"/>
    <w:rsid w:val="00921494"/>
    <w:rsid w:val="00921A82"/>
    <w:rsid w:val="00921AB7"/>
    <w:rsid w:val="00921B30"/>
    <w:rsid w:val="00921CF9"/>
    <w:rsid w:val="009223A0"/>
    <w:rsid w:val="00922BBA"/>
    <w:rsid w:val="009236FE"/>
    <w:rsid w:val="009237DC"/>
    <w:rsid w:val="00923BCE"/>
    <w:rsid w:val="009244D0"/>
    <w:rsid w:val="0092454D"/>
    <w:rsid w:val="009245EB"/>
    <w:rsid w:val="00924798"/>
    <w:rsid w:val="00924807"/>
    <w:rsid w:val="00924832"/>
    <w:rsid w:val="00924D6E"/>
    <w:rsid w:val="00925018"/>
    <w:rsid w:val="00925022"/>
    <w:rsid w:val="00925307"/>
    <w:rsid w:val="0092568A"/>
    <w:rsid w:val="00925DE9"/>
    <w:rsid w:val="00926464"/>
    <w:rsid w:val="00926527"/>
    <w:rsid w:val="009266CE"/>
    <w:rsid w:val="00926870"/>
    <w:rsid w:val="00926B81"/>
    <w:rsid w:val="00926C69"/>
    <w:rsid w:val="00926C86"/>
    <w:rsid w:val="00926DC8"/>
    <w:rsid w:val="00926F76"/>
    <w:rsid w:val="009271B4"/>
    <w:rsid w:val="0092725C"/>
    <w:rsid w:val="009272D4"/>
    <w:rsid w:val="009276EC"/>
    <w:rsid w:val="00927722"/>
    <w:rsid w:val="00927AD7"/>
    <w:rsid w:val="00927AF3"/>
    <w:rsid w:val="00927DBB"/>
    <w:rsid w:val="00930696"/>
    <w:rsid w:val="009306D6"/>
    <w:rsid w:val="0093077E"/>
    <w:rsid w:val="009308C9"/>
    <w:rsid w:val="0093095F"/>
    <w:rsid w:val="009309A9"/>
    <w:rsid w:val="00930A14"/>
    <w:rsid w:val="00931247"/>
    <w:rsid w:val="00931545"/>
    <w:rsid w:val="009316FB"/>
    <w:rsid w:val="0093177E"/>
    <w:rsid w:val="009317DD"/>
    <w:rsid w:val="00931848"/>
    <w:rsid w:val="00931900"/>
    <w:rsid w:val="00931EF5"/>
    <w:rsid w:val="00931FE9"/>
    <w:rsid w:val="00932159"/>
    <w:rsid w:val="00932611"/>
    <w:rsid w:val="00932856"/>
    <w:rsid w:val="00932A93"/>
    <w:rsid w:val="00932D34"/>
    <w:rsid w:val="0093311F"/>
    <w:rsid w:val="00933320"/>
    <w:rsid w:val="00933ACB"/>
    <w:rsid w:val="00933BA5"/>
    <w:rsid w:val="00933BBE"/>
    <w:rsid w:val="0093418F"/>
    <w:rsid w:val="009341DD"/>
    <w:rsid w:val="0093427E"/>
    <w:rsid w:val="009343B5"/>
    <w:rsid w:val="009345A9"/>
    <w:rsid w:val="0093499F"/>
    <w:rsid w:val="00934C14"/>
    <w:rsid w:val="00934D6C"/>
    <w:rsid w:val="009351A1"/>
    <w:rsid w:val="0093531F"/>
    <w:rsid w:val="009353D5"/>
    <w:rsid w:val="009353DC"/>
    <w:rsid w:val="009354D0"/>
    <w:rsid w:val="00935646"/>
    <w:rsid w:val="00935A88"/>
    <w:rsid w:val="00935C7F"/>
    <w:rsid w:val="00935FE4"/>
    <w:rsid w:val="009361D0"/>
    <w:rsid w:val="00936273"/>
    <w:rsid w:val="009363DB"/>
    <w:rsid w:val="0093657A"/>
    <w:rsid w:val="009367F0"/>
    <w:rsid w:val="00936857"/>
    <w:rsid w:val="009368C9"/>
    <w:rsid w:val="009368D0"/>
    <w:rsid w:val="009368E9"/>
    <w:rsid w:val="0093699E"/>
    <w:rsid w:val="00936E7F"/>
    <w:rsid w:val="00936F4E"/>
    <w:rsid w:val="00937076"/>
    <w:rsid w:val="00937116"/>
    <w:rsid w:val="00937325"/>
    <w:rsid w:val="0093774E"/>
    <w:rsid w:val="00937A4B"/>
    <w:rsid w:val="00937BB5"/>
    <w:rsid w:val="00937E43"/>
    <w:rsid w:val="00937F8D"/>
    <w:rsid w:val="0093CD74"/>
    <w:rsid w:val="0094003B"/>
    <w:rsid w:val="0094012C"/>
    <w:rsid w:val="009403FA"/>
    <w:rsid w:val="009404C2"/>
    <w:rsid w:val="00940FAE"/>
    <w:rsid w:val="0094106B"/>
    <w:rsid w:val="00941530"/>
    <w:rsid w:val="0094178B"/>
    <w:rsid w:val="009418B7"/>
    <w:rsid w:val="00941A08"/>
    <w:rsid w:val="00941B67"/>
    <w:rsid w:val="00941E2C"/>
    <w:rsid w:val="009421A5"/>
    <w:rsid w:val="00942249"/>
    <w:rsid w:val="0094229E"/>
    <w:rsid w:val="009426D1"/>
    <w:rsid w:val="00942FD4"/>
    <w:rsid w:val="0094310B"/>
    <w:rsid w:val="0094311D"/>
    <w:rsid w:val="009436EB"/>
    <w:rsid w:val="00943921"/>
    <w:rsid w:val="009439F1"/>
    <w:rsid w:val="00943AFB"/>
    <w:rsid w:val="00943DA2"/>
    <w:rsid w:val="00943DB7"/>
    <w:rsid w:val="00944005"/>
    <w:rsid w:val="009440E9"/>
    <w:rsid w:val="00944189"/>
    <w:rsid w:val="009442D1"/>
    <w:rsid w:val="00944586"/>
    <w:rsid w:val="009447A3"/>
    <w:rsid w:val="00944B73"/>
    <w:rsid w:val="00944C1F"/>
    <w:rsid w:val="00944E66"/>
    <w:rsid w:val="00944EFA"/>
    <w:rsid w:val="0094509A"/>
    <w:rsid w:val="0094509B"/>
    <w:rsid w:val="00945F58"/>
    <w:rsid w:val="00946264"/>
    <w:rsid w:val="009468BC"/>
    <w:rsid w:val="009468EC"/>
    <w:rsid w:val="00946944"/>
    <w:rsid w:val="00946ABF"/>
    <w:rsid w:val="00946F43"/>
    <w:rsid w:val="009476BC"/>
    <w:rsid w:val="009476F5"/>
    <w:rsid w:val="00947756"/>
    <w:rsid w:val="009478A8"/>
    <w:rsid w:val="00947AC4"/>
    <w:rsid w:val="009504AF"/>
    <w:rsid w:val="00950D62"/>
    <w:rsid w:val="009510D3"/>
    <w:rsid w:val="0095130E"/>
    <w:rsid w:val="009513AD"/>
    <w:rsid w:val="0095199E"/>
    <w:rsid w:val="00951AA6"/>
    <w:rsid w:val="00951BC9"/>
    <w:rsid w:val="00951D0E"/>
    <w:rsid w:val="0095235A"/>
    <w:rsid w:val="00952AA5"/>
    <w:rsid w:val="00952CEF"/>
    <w:rsid w:val="00952DBA"/>
    <w:rsid w:val="00953075"/>
    <w:rsid w:val="009530B0"/>
    <w:rsid w:val="009532D4"/>
    <w:rsid w:val="0095336D"/>
    <w:rsid w:val="009534CE"/>
    <w:rsid w:val="0095368A"/>
    <w:rsid w:val="00953E25"/>
    <w:rsid w:val="00953F6C"/>
    <w:rsid w:val="009546DE"/>
    <w:rsid w:val="00955D7C"/>
    <w:rsid w:val="00955F37"/>
    <w:rsid w:val="009561A0"/>
    <w:rsid w:val="0095669A"/>
    <w:rsid w:val="009566E5"/>
    <w:rsid w:val="00956967"/>
    <w:rsid w:val="00956BB0"/>
    <w:rsid w:val="00956E47"/>
    <w:rsid w:val="00956EE9"/>
    <w:rsid w:val="00956F7A"/>
    <w:rsid w:val="00957123"/>
    <w:rsid w:val="009571AD"/>
    <w:rsid w:val="00957983"/>
    <w:rsid w:val="00957D6A"/>
    <w:rsid w:val="00957D98"/>
    <w:rsid w:val="00960285"/>
    <w:rsid w:val="009606AD"/>
    <w:rsid w:val="00960B44"/>
    <w:rsid w:val="0096120F"/>
    <w:rsid w:val="009613E6"/>
    <w:rsid w:val="009614D4"/>
    <w:rsid w:val="00961614"/>
    <w:rsid w:val="0096165A"/>
    <w:rsid w:val="009616BB"/>
    <w:rsid w:val="009617BF"/>
    <w:rsid w:val="00961A3E"/>
    <w:rsid w:val="00961B7B"/>
    <w:rsid w:val="00961B9D"/>
    <w:rsid w:val="00961C07"/>
    <w:rsid w:val="00961F41"/>
    <w:rsid w:val="00961F7A"/>
    <w:rsid w:val="00962326"/>
    <w:rsid w:val="0096239D"/>
    <w:rsid w:val="00962448"/>
    <w:rsid w:val="009624BE"/>
    <w:rsid w:val="0096272E"/>
    <w:rsid w:val="00962891"/>
    <w:rsid w:val="009628BA"/>
    <w:rsid w:val="009629B1"/>
    <w:rsid w:val="00962CB6"/>
    <w:rsid w:val="00962FDD"/>
    <w:rsid w:val="0096304C"/>
    <w:rsid w:val="00963478"/>
    <w:rsid w:val="0096370B"/>
    <w:rsid w:val="00963A8B"/>
    <w:rsid w:val="00963AEB"/>
    <w:rsid w:val="00963F0A"/>
    <w:rsid w:val="00964267"/>
    <w:rsid w:val="00964345"/>
    <w:rsid w:val="009644B9"/>
    <w:rsid w:val="009647B6"/>
    <w:rsid w:val="00964A8D"/>
    <w:rsid w:val="00964C36"/>
    <w:rsid w:val="00965002"/>
    <w:rsid w:val="00965C31"/>
    <w:rsid w:val="00965DC1"/>
    <w:rsid w:val="00966388"/>
    <w:rsid w:val="009668C7"/>
    <w:rsid w:val="00966949"/>
    <w:rsid w:val="00966BB4"/>
    <w:rsid w:val="00966D28"/>
    <w:rsid w:val="00966D2C"/>
    <w:rsid w:val="00966DEC"/>
    <w:rsid w:val="00966E5D"/>
    <w:rsid w:val="00966FF4"/>
    <w:rsid w:val="0096706B"/>
    <w:rsid w:val="009670B5"/>
    <w:rsid w:val="00967557"/>
    <w:rsid w:val="00967564"/>
    <w:rsid w:val="00967598"/>
    <w:rsid w:val="009675D3"/>
    <w:rsid w:val="00967A37"/>
    <w:rsid w:val="00967D1E"/>
    <w:rsid w:val="0097016A"/>
    <w:rsid w:val="0097026C"/>
    <w:rsid w:val="009703EC"/>
    <w:rsid w:val="0097052C"/>
    <w:rsid w:val="0097057A"/>
    <w:rsid w:val="00970818"/>
    <w:rsid w:val="00970BB4"/>
    <w:rsid w:val="00970BD7"/>
    <w:rsid w:val="00970E88"/>
    <w:rsid w:val="009711F3"/>
    <w:rsid w:val="009718B6"/>
    <w:rsid w:val="00971FA9"/>
    <w:rsid w:val="00971FC5"/>
    <w:rsid w:val="009720E1"/>
    <w:rsid w:val="0097227E"/>
    <w:rsid w:val="009722B2"/>
    <w:rsid w:val="00972318"/>
    <w:rsid w:val="009725BA"/>
    <w:rsid w:val="00972CFA"/>
    <w:rsid w:val="00972D1D"/>
    <w:rsid w:val="00973332"/>
    <w:rsid w:val="00973861"/>
    <w:rsid w:val="00973983"/>
    <w:rsid w:val="00973D92"/>
    <w:rsid w:val="00973E34"/>
    <w:rsid w:val="00973E64"/>
    <w:rsid w:val="00973EBD"/>
    <w:rsid w:val="009740DA"/>
    <w:rsid w:val="00974211"/>
    <w:rsid w:val="009746FE"/>
    <w:rsid w:val="00974D39"/>
    <w:rsid w:val="00975084"/>
    <w:rsid w:val="00975271"/>
    <w:rsid w:val="009754C1"/>
    <w:rsid w:val="00975798"/>
    <w:rsid w:val="009757CB"/>
    <w:rsid w:val="00975BD7"/>
    <w:rsid w:val="00975FB1"/>
    <w:rsid w:val="00975FF6"/>
    <w:rsid w:val="00976399"/>
    <w:rsid w:val="00976523"/>
    <w:rsid w:val="0097690C"/>
    <w:rsid w:val="0097709E"/>
    <w:rsid w:val="0097720A"/>
    <w:rsid w:val="009772E6"/>
    <w:rsid w:val="009773F3"/>
    <w:rsid w:val="00977515"/>
    <w:rsid w:val="009776CA"/>
    <w:rsid w:val="0097788B"/>
    <w:rsid w:val="009778B3"/>
    <w:rsid w:val="009779DD"/>
    <w:rsid w:val="009779E0"/>
    <w:rsid w:val="00977CF7"/>
    <w:rsid w:val="00977E1B"/>
    <w:rsid w:val="00977E99"/>
    <w:rsid w:val="00980622"/>
    <w:rsid w:val="009809ED"/>
    <w:rsid w:val="00980BB4"/>
    <w:rsid w:val="00981003"/>
    <w:rsid w:val="00981019"/>
    <w:rsid w:val="00981972"/>
    <w:rsid w:val="00981B46"/>
    <w:rsid w:val="00981D66"/>
    <w:rsid w:val="00981DC3"/>
    <w:rsid w:val="00981FDA"/>
    <w:rsid w:val="0098246F"/>
    <w:rsid w:val="009829BA"/>
    <w:rsid w:val="009829EF"/>
    <w:rsid w:val="009829F6"/>
    <w:rsid w:val="00982CE9"/>
    <w:rsid w:val="0098336B"/>
    <w:rsid w:val="00983689"/>
    <w:rsid w:val="00983BCA"/>
    <w:rsid w:val="009845DE"/>
    <w:rsid w:val="009846B8"/>
    <w:rsid w:val="00984CC0"/>
    <w:rsid w:val="00984E50"/>
    <w:rsid w:val="0098505D"/>
    <w:rsid w:val="009852F0"/>
    <w:rsid w:val="0098566B"/>
    <w:rsid w:val="00985AEB"/>
    <w:rsid w:val="00985C4E"/>
    <w:rsid w:val="00985E20"/>
    <w:rsid w:val="00985F39"/>
    <w:rsid w:val="00986681"/>
    <w:rsid w:val="009868BB"/>
    <w:rsid w:val="009869E6"/>
    <w:rsid w:val="00986A21"/>
    <w:rsid w:val="00986AB3"/>
    <w:rsid w:val="00986B1E"/>
    <w:rsid w:val="0098707D"/>
    <w:rsid w:val="009870F2"/>
    <w:rsid w:val="0098744B"/>
    <w:rsid w:val="0098775D"/>
    <w:rsid w:val="0098776B"/>
    <w:rsid w:val="009879C4"/>
    <w:rsid w:val="00987AC4"/>
    <w:rsid w:val="00987DD2"/>
    <w:rsid w:val="0099007F"/>
    <w:rsid w:val="009902D8"/>
    <w:rsid w:val="009903F4"/>
    <w:rsid w:val="00990556"/>
    <w:rsid w:val="009909BF"/>
    <w:rsid w:val="00990ABD"/>
    <w:rsid w:val="00990B20"/>
    <w:rsid w:val="00990E51"/>
    <w:rsid w:val="00990FD9"/>
    <w:rsid w:val="00991062"/>
    <w:rsid w:val="009910D3"/>
    <w:rsid w:val="00991233"/>
    <w:rsid w:val="0099178C"/>
    <w:rsid w:val="00991F1A"/>
    <w:rsid w:val="009922B2"/>
    <w:rsid w:val="0099233D"/>
    <w:rsid w:val="0099266F"/>
    <w:rsid w:val="009927ED"/>
    <w:rsid w:val="00992BC7"/>
    <w:rsid w:val="00992C71"/>
    <w:rsid w:val="009931B0"/>
    <w:rsid w:val="0099329A"/>
    <w:rsid w:val="009933B5"/>
    <w:rsid w:val="009933BC"/>
    <w:rsid w:val="0099350E"/>
    <w:rsid w:val="009937FD"/>
    <w:rsid w:val="00993F16"/>
    <w:rsid w:val="009941FF"/>
    <w:rsid w:val="009944C1"/>
    <w:rsid w:val="009944EA"/>
    <w:rsid w:val="00994578"/>
    <w:rsid w:val="009949F9"/>
    <w:rsid w:val="009951D7"/>
    <w:rsid w:val="00995512"/>
    <w:rsid w:val="00995965"/>
    <w:rsid w:val="00995AD1"/>
    <w:rsid w:val="00995AFC"/>
    <w:rsid w:val="00995C42"/>
    <w:rsid w:val="00995E2B"/>
    <w:rsid w:val="00996554"/>
    <w:rsid w:val="0099745D"/>
    <w:rsid w:val="0099769C"/>
    <w:rsid w:val="00997AEF"/>
    <w:rsid w:val="009A043A"/>
    <w:rsid w:val="009A043C"/>
    <w:rsid w:val="009A0792"/>
    <w:rsid w:val="009A0CC6"/>
    <w:rsid w:val="009A0E58"/>
    <w:rsid w:val="009A17A0"/>
    <w:rsid w:val="009A1A1D"/>
    <w:rsid w:val="009A1D29"/>
    <w:rsid w:val="009A1F7E"/>
    <w:rsid w:val="009A23DB"/>
    <w:rsid w:val="009A2879"/>
    <w:rsid w:val="009A2E15"/>
    <w:rsid w:val="009A2FB9"/>
    <w:rsid w:val="009A310E"/>
    <w:rsid w:val="009A34E8"/>
    <w:rsid w:val="009A3AAF"/>
    <w:rsid w:val="009A3EB1"/>
    <w:rsid w:val="009A4488"/>
    <w:rsid w:val="009A48E8"/>
    <w:rsid w:val="009A492C"/>
    <w:rsid w:val="009A4D61"/>
    <w:rsid w:val="009A501C"/>
    <w:rsid w:val="009A56EA"/>
    <w:rsid w:val="009A5C75"/>
    <w:rsid w:val="009A5CBD"/>
    <w:rsid w:val="009A5DC4"/>
    <w:rsid w:val="009A5FCC"/>
    <w:rsid w:val="009A60EC"/>
    <w:rsid w:val="009A610C"/>
    <w:rsid w:val="009A6849"/>
    <w:rsid w:val="009A6A32"/>
    <w:rsid w:val="009A6AF1"/>
    <w:rsid w:val="009A6F1F"/>
    <w:rsid w:val="009A7048"/>
    <w:rsid w:val="009A7188"/>
    <w:rsid w:val="009A7247"/>
    <w:rsid w:val="009A756C"/>
    <w:rsid w:val="009A783D"/>
    <w:rsid w:val="009A7D71"/>
    <w:rsid w:val="009A7F44"/>
    <w:rsid w:val="009B04E9"/>
    <w:rsid w:val="009B0556"/>
    <w:rsid w:val="009B091B"/>
    <w:rsid w:val="009B0C18"/>
    <w:rsid w:val="009B0DD8"/>
    <w:rsid w:val="009B0E8F"/>
    <w:rsid w:val="009B0ECA"/>
    <w:rsid w:val="009B1359"/>
    <w:rsid w:val="009B16F3"/>
    <w:rsid w:val="009B17F8"/>
    <w:rsid w:val="009B18B6"/>
    <w:rsid w:val="009B1A0D"/>
    <w:rsid w:val="009B1CFA"/>
    <w:rsid w:val="009B1D00"/>
    <w:rsid w:val="009B1D6E"/>
    <w:rsid w:val="009B23CA"/>
    <w:rsid w:val="009B2A44"/>
    <w:rsid w:val="009B2EB2"/>
    <w:rsid w:val="009B340C"/>
    <w:rsid w:val="009B3593"/>
    <w:rsid w:val="009B37AD"/>
    <w:rsid w:val="009B3C7F"/>
    <w:rsid w:val="009B3DDA"/>
    <w:rsid w:val="009B3EF9"/>
    <w:rsid w:val="009B3F99"/>
    <w:rsid w:val="009B4399"/>
    <w:rsid w:val="009B4600"/>
    <w:rsid w:val="009B464A"/>
    <w:rsid w:val="009B48C8"/>
    <w:rsid w:val="009B4990"/>
    <w:rsid w:val="009B4B46"/>
    <w:rsid w:val="009B4C0D"/>
    <w:rsid w:val="009B4F11"/>
    <w:rsid w:val="009B50E5"/>
    <w:rsid w:val="009B515E"/>
    <w:rsid w:val="009B5651"/>
    <w:rsid w:val="009B583E"/>
    <w:rsid w:val="009B5D05"/>
    <w:rsid w:val="009B604B"/>
    <w:rsid w:val="009B60FA"/>
    <w:rsid w:val="009B65A4"/>
    <w:rsid w:val="009B663C"/>
    <w:rsid w:val="009B7257"/>
    <w:rsid w:val="009B74E0"/>
    <w:rsid w:val="009B76CF"/>
    <w:rsid w:val="009B785D"/>
    <w:rsid w:val="009B7AF9"/>
    <w:rsid w:val="009B7F6C"/>
    <w:rsid w:val="009C00AA"/>
    <w:rsid w:val="009C01BC"/>
    <w:rsid w:val="009C01DE"/>
    <w:rsid w:val="009C02C2"/>
    <w:rsid w:val="009C030C"/>
    <w:rsid w:val="009C07A5"/>
    <w:rsid w:val="009C08C3"/>
    <w:rsid w:val="009C090F"/>
    <w:rsid w:val="009C091F"/>
    <w:rsid w:val="009C0AD5"/>
    <w:rsid w:val="009C0CD5"/>
    <w:rsid w:val="009C1396"/>
    <w:rsid w:val="009C1411"/>
    <w:rsid w:val="009C1685"/>
    <w:rsid w:val="009C1A07"/>
    <w:rsid w:val="009C1BA9"/>
    <w:rsid w:val="009C1DD7"/>
    <w:rsid w:val="009C1E40"/>
    <w:rsid w:val="009C25AF"/>
    <w:rsid w:val="009C28B2"/>
    <w:rsid w:val="009C29BF"/>
    <w:rsid w:val="009C2B3E"/>
    <w:rsid w:val="009C2C88"/>
    <w:rsid w:val="009C2D59"/>
    <w:rsid w:val="009C2FA5"/>
    <w:rsid w:val="009C3298"/>
    <w:rsid w:val="009C3528"/>
    <w:rsid w:val="009C36E2"/>
    <w:rsid w:val="009C373C"/>
    <w:rsid w:val="009C397B"/>
    <w:rsid w:val="009C3C50"/>
    <w:rsid w:val="009C3D6B"/>
    <w:rsid w:val="009C3F44"/>
    <w:rsid w:val="009C4175"/>
    <w:rsid w:val="009C4200"/>
    <w:rsid w:val="009C4507"/>
    <w:rsid w:val="009C4844"/>
    <w:rsid w:val="009C4B47"/>
    <w:rsid w:val="009C4E86"/>
    <w:rsid w:val="009C50F8"/>
    <w:rsid w:val="009C513C"/>
    <w:rsid w:val="009C51B5"/>
    <w:rsid w:val="009C5310"/>
    <w:rsid w:val="009C566F"/>
    <w:rsid w:val="009C570B"/>
    <w:rsid w:val="009C5808"/>
    <w:rsid w:val="009C5931"/>
    <w:rsid w:val="009C5C18"/>
    <w:rsid w:val="009C5CAE"/>
    <w:rsid w:val="009C5EAE"/>
    <w:rsid w:val="009C659A"/>
    <w:rsid w:val="009C6654"/>
    <w:rsid w:val="009C6B7A"/>
    <w:rsid w:val="009C6D17"/>
    <w:rsid w:val="009C6E64"/>
    <w:rsid w:val="009C6F53"/>
    <w:rsid w:val="009C7003"/>
    <w:rsid w:val="009C704A"/>
    <w:rsid w:val="009C705D"/>
    <w:rsid w:val="009C7065"/>
    <w:rsid w:val="009C71E9"/>
    <w:rsid w:val="009C71EC"/>
    <w:rsid w:val="009C7440"/>
    <w:rsid w:val="009C745B"/>
    <w:rsid w:val="009C7474"/>
    <w:rsid w:val="009C7C67"/>
    <w:rsid w:val="009C7E3C"/>
    <w:rsid w:val="009D00CF"/>
    <w:rsid w:val="009D04A3"/>
    <w:rsid w:val="009D0535"/>
    <w:rsid w:val="009D0A41"/>
    <w:rsid w:val="009D0A53"/>
    <w:rsid w:val="009D0CC7"/>
    <w:rsid w:val="009D104B"/>
    <w:rsid w:val="009D147C"/>
    <w:rsid w:val="009D1993"/>
    <w:rsid w:val="009D19F3"/>
    <w:rsid w:val="009D1AA9"/>
    <w:rsid w:val="009D1C34"/>
    <w:rsid w:val="009D1C87"/>
    <w:rsid w:val="009D222D"/>
    <w:rsid w:val="009D2290"/>
    <w:rsid w:val="009D22BF"/>
    <w:rsid w:val="009D2302"/>
    <w:rsid w:val="009D2412"/>
    <w:rsid w:val="009D2719"/>
    <w:rsid w:val="009D28E9"/>
    <w:rsid w:val="009D2922"/>
    <w:rsid w:val="009D2DFC"/>
    <w:rsid w:val="009D2FB4"/>
    <w:rsid w:val="009D36F4"/>
    <w:rsid w:val="009D3770"/>
    <w:rsid w:val="009D3787"/>
    <w:rsid w:val="009D3C0F"/>
    <w:rsid w:val="009D3DC0"/>
    <w:rsid w:val="009D40A7"/>
    <w:rsid w:val="009D4232"/>
    <w:rsid w:val="009D44FE"/>
    <w:rsid w:val="009D4AEA"/>
    <w:rsid w:val="009D4B2D"/>
    <w:rsid w:val="009D4C86"/>
    <w:rsid w:val="009D4E09"/>
    <w:rsid w:val="009D5367"/>
    <w:rsid w:val="009D568A"/>
    <w:rsid w:val="009D684D"/>
    <w:rsid w:val="009D688B"/>
    <w:rsid w:val="009D6B5C"/>
    <w:rsid w:val="009D7367"/>
    <w:rsid w:val="009D772A"/>
    <w:rsid w:val="009D7850"/>
    <w:rsid w:val="009D7930"/>
    <w:rsid w:val="009D7B75"/>
    <w:rsid w:val="009E0096"/>
    <w:rsid w:val="009E00C7"/>
    <w:rsid w:val="009E08B7"/>
    <w:rsid w:val="009E0994"/>
    <w:rsid w:val="009E0AD5"/>
    <w:rsid w:val="009E0B72"/>
    <w:rsid w:val="009E0C46"/>
    <w:rsid w:val="009E0F16"/>
    <w:rsid w:val="009E0F1A"/>
    <w:rsid w:val="009E0FCE"/>
    <w:rsid w:val="009E107B"/>
    <w:rsid w:val="009E110B"/>
    <w:rsid w:val="009E1321"/>
    <w:rsid w:val="009E13C2"/>
    <w:rsid w:val="009E14C1"/>
    <w:rsid w:val="009E1560"/>
    <w:rsid w:val="009E15E7"/>
    <w:rsid w:val="009E1879"/>
    <w:rsid w:val="009E1B5E"/>
    <w:rsid w:val="009E1C75"/>
    <w:rsid w:val="009E1D7B"/>
    <w:rsid w:val="009E1F42"/>
    <w:rsid w:val="009E20F1"/>
    <w:rsid w:val="009E22B7"/>
    <w:rsid w:val="009E2307"/>
    <w:rsid w:val="009E234E"/>
    <w:rsid w:val="009E236A"/>
    <w:rsid w:val="009E255B"/>
    <w:rsid w:val="009E2A13"/>
    <w:rsid w:val="009E2E87"/>
    <w:rsid w:val="009E31F4"/>
    <w:rsid w:val="009E36CE"/>
    <w:rsid w:val="009E38AF"/>
    <w:rsid w:val="009E39F8"/>
    <w:rsid w:val="009E3A5C"/>
    <w:rsid w:val="009E3A68"/>
    <w:rsid w:val="009E3E95"/>
    <w:rsid w:val="009E3F8F"/>
    <w:rsid w:val="009E42F4"/>
    <w:rsid w:val="009E46B3"/>
    <w:rsid w:val="009E4F30"/>
    <w:rsid w:val="009E511C"/>
    <w:rsid w:val="009E5238"/>
    <w:rsid w:val="009E54AD"/>
    <w:rsid w:val="009E54DE"/>
    <w:rsid w:val="009E5761"/>
    <w:rsid w:val="009E5785"/>
    <w:rsid w:val="009E58D1"/>
    <w:rsid w:val="009E5B71"/>
    <w:rsid w:val="009E5ED5"/>
    <w:rsid w:val="009E6284"/>
    <w:rsid w:val="009E629B"/>
    <w:rsid w:val="009E62E5"/>
    <w:rsid w:val="009E6428"/>
    <w:rsid w:val="009E6459"/>
    <w:rsid w:val="009E664B"/>
    <w:rsid w:val="009E669E"/>
    <w:rsid w:val="009E67B4"/>
    <w:rsid w:val="009E6FF9"/>
    <w:rsid w:val="009E7168"/>
    <w:rsid w:val="009E7A21"/>
    <w:rsid w:val="009E7E03"/>
    <w:rsid w:val="009F04BA"/>
    <w:rsid w:val="009F05FF"/>
    <w:rsid w:val="009F0613"/>
    <w:rsid w:val="009F07A0"/>
    <w:rsid w:val="009F095D"/>
    <w:rsid w:val="009F0D31"/>
    <w:rsid w:val="009F0E84"/>
    <w:rsid w:val="009F1009"/>
    <w:rsid w:val="009F1055"/>
    <w:rsid w:val="009F1197"/>
    <w:rsid w:val="009F1238"/>
    <w:rsid w:val="009F1548"/>
    <w:rsid w:val="009F17AC"/>
    <w:rsid w:val="009F19F6"/>
    <w:rsid w:val="009F1EC9"/>
    <w:rsid w:val="009F2070"/>
    <w:rsid w:val="009F20DF"/>
    <w:rsid w:val="009F213B"/>
    <w:rsid w:val="009F2774"/>
    <w:rsid w:val="009F2890"/>
    <w:rsid w:val="009F2BAE"/>
    <w:rsid w:val="009F2C50"/>
    <w:rsid w:val="009F2F83"/>
    <w:rsid w:val="009F32A8"/>
    <w:rsid w:val="009F3369"/>
    <w:rsid w:val="009F337E"/>
    <w:rsid w:val="009F369D"/>
    <w:rsid w:val="009F3C9C"/>
    <w:rsid w:val="009F3E64"/>
    <w:rsid w:val="009F3EEB"/>
    <w:rsid w:val="009F3F80"/>
    <w:rsid w:val="009F4150"/>
    <w:rsid w:val="009F446C"/>
    <w:rsid w:val="009F44E3"/>
    <w:rsid w:val="009F47A5"/>
    <w:rsid w:val="009F47BF"/>
    <w:rsid w:val="009F4BE3"/>
    <w:rsid w:val="009F4C2B"/>
    <w:rsid w:val="009F4D83"/>
    <w:rsid w:val="009F51D2"/>
    <w:rsid w:val="009F52CE"/>
    <w:rsid w:val="009F54ED"/>
    <w:rsid w:val="009F562D"/>
    <w:rsid w:val="009F5D80"/>
    <w:rsid w:val="009F5E49"/>
    <w:rsid w:val="009F5F94"/>
    <w:rsid w:val="009F6386"/>
    <w:rsid w:val="009F65E4"/>
    <w:rsid w:val="009F6ABD"/>
    <w:rsid w:val="009F704C"/>
    <w:rsid w:val="009F7109"/>
    <w:rsid w:val="009F7112"/>
    <w:rsid w:val="009F7DB0"/>
    <w:rsid w:val="009F7FA1"/>
    <w:rsid w:val="00A001F0"/>
    <w:rsid w:val="00A0032C"/>
    <w:rsid w:val="00A0043D"/>
    <w:rsid w:val="00A008BD"/>
    <w:rsid w:val="00A00FB3"/>
    <w:rsid w:val="00A01007"/>
    <w:rsid w:val="00A01A20"/>
    <w:rsid w:val="00A01A96"/>
    <w:rsid w:val="00A01B59"/>
    <w:rsid w:val="00A021AE"/>
    <w:rsid w:val="00A02320"/>
    <w:rsid w:val="00A02483"/>
    <w:rsid w:val="00A02BA8"/>
    <w:rsid w:val="00A02F08"/>
    <w:rsid w:val="00A0315A"/>
    <w:rsid w:val="00A039BB"/>
    <w:rsid w:val="00A03B78"/>
    <w:rsid w:val="00A04307"/>
    <w:rsid w:val="00A0444E"/>
    <w:rsid w:val="00A045BE"/>
    <w:rsid w:val="00A04600"/>
    <w:rsid w:val="00A047BC"/>
    <w:rsid w:val="00A047C3"/>
    <w:rsid w:val="00A04B1F"/>
    <w:rsid w:val="00A04CD8"/>
    <w:rsid w:val="00A04E80"/>
    <w:rsid w:val="00A051B9"/>
    <w:rsid w:val="00A052A0"/>
    <w:rsid w:val="00A052AB"/>
    <w:rsid w:val="00A052C2"/>
    <w:rsid w:val="00A05718"/>
    <w:rsid w:val="00A05728"/>
    <w:rsid w:val="00A057DF"/>
    <w:rsid w:val="00A058B2"/>
    <w:rsid w:val="00A05A91"/>
    <w:rsid w:val="00A05C0D"/>
    <w:rsid w:val="00A05C3B"/>
    <w:rsid w:val="00A05E80"/>
    <w:rsid w:val="00A05FDF"/>
    <w:rsid w:val="00A060FB"/>
    <w:rsid w:val="00A06182"/>
    <w:rsid w:val="00A062D4"/>
    <w:rsid w:val="00A0645D"/>
    <w:rsid w:val="00A0654E"/>
    <w:rsid w:val="00A06BC1"/>
    <w:rsid w:val="00A06C34"/>
    <w:rsid w:val="00A073A7"/>
    <w:rsid w:val="00A07704"/>
    <w:rsid w:val="00A07926"/>
    <w:rsid w:val="00A07B12"/>
    <w:rsid w:val="00A07C31"/>
    <w:rsid w:val="00A07D60"/>
    <w:rsid w:val="00A07FAD"/>
    <w:rsid w:val="00A102A3"/>
    <w:rsid w:val="00A103C4"/>
    <w:rsid w:val="00A104D3"/>
    <w:rsid w:val="00A10506"/>
    <w:rsid w:val="00A1066C"/>
    <w:rsid w:val="00A10EA8"/>
    <w:rsid w:val="00A1100E"/>
    <w:rsid w:val="00A11107"/>
    <w:rsid w:val="00A11312"/>
    <w:rsid w:val="00A1142C"/>
    <w:rsid w:val="00A116FA"/>
    <w:rsid w:val="00A117ED"/>
    <w:rsid w:val="00A11B5D"/>
    <w:rsid w:val="00A12719"/>
    <w:rsid w:val="00A128B8"/>
    <w:rsid w:val="00A12961"/>
    <w:rsid w:val="00A12C03"/>
    <w:rsid w:val="00A13096"/>
    <w:rsid w:val="00A134B5"/>
    <w:rsid w:val="00A138CB"/>
    <w:rsid w:val="00A13A97"/>
    <w:rsid w:val="00A1426D"/>
    <w:rsid w:val="00A14682"/>
    <w:rsid w:val="00A14936"/>
    <w:rsid w:val="00A14956"/>
    <w:rsid w:val="00A14B22"/>
    <w:rsid w:val="00A14C04"/>
    <w:rsid w:val="00A14D55"/>
    <w:rsid w:val="00A14D66"/>
    <w:rsid w:val="00A14DA6"/>
    <w:rsid w:val="00A14DD5"/>
    <w:rsid w:val="00A14EC0"/>
    <w:rsid w:val="00A15441"/>
    <w:rsid w:val="00A15497"/>
    <w:rsid w:val="00A15545"/>
    <w:rsid w:val="00A157C6"/>
    <w:rsid w:val="00A158F7"/>
    <w:rsid w:val="00A15D5B"/>
    <w:rsid w:val="00A15F7F"/>
    <w:rsid w:val="00A15F9A"/>
    <w:rsid w:val="00A1627C"/>
    <w:rsid w:val="00A1688F"/>
    <w:rsid w:val="00A16A68"/>
    <w:rsid w:val="00A16D96"/>
    <w:rsid w:val="00A16E08"/>
    <w:rsid w:val="00A16E50"/>
    <w:rsid w:val="00A16FD1"/>
    <w:rsid w:val="00A16FF8"/>
    <w:rsid w:val="00A170A9"/>
    <w:rsid w:val="00A17108"/>
    <w:rsid w:val="00A173EF"/>
    <w:rsid w:val="00A1749E"/>
    <w:rsid w:val="00A17927"/>
    <w:rsid w:val="00A17ACB"/>
    <w:rsid w:val="00A17C52"/>
    <w:rsid w:val="00A201A0"/>
    <w:rsid w:val="00A20632"/>
    <w:rsid w:val="00A207CE"/>
    <w:rsid w:val="00A20F54"/>
    <w:rsid w:val="00A213C0"/>
    <w:rsid w:val="00A21A10"/>
    <w:rsid w:val="00A21B6E"/>
    <w:rsid w:val="00A21EA1"/>
    <w:rsid w:val="00A2204A"/>
    <w:rsid w:val="00A22336"/>
    <w:rsid w:val="00A227F4"/>
    <w:rsid w:val="00A2283C"/>
    <w:rsid w:val="00A229BB"/>
    <w:rsid w:val="00A22C73"/>
    <w:rsid w:val="00A23117"/>
    <w:rsid w:val="00A23391"/>
    <w:rsid w:val="00A23589"/>
    <w:rsid w:val="00A2363E"/>
    <w:rsid w:val="00A244A4"/>
    <w:rsid w:val="00A247E5"/>
    <w:rsid w:val="00A250E2"/>
    <w:rsid w:val="00A2518B"/>
    <w:rsid w:val="00A253BB"/>
    <w:rsid w:val="00A25543"/>
    <w:rsid w:val="00A258F4"/>
    <w:rsid w:val="00A25C95"/>
    <w:rsid w:val="00A25EAD"/>
    <w:rsid w:val="00A25F2E"/>
    <w:rsid w:val="00A260B5"/>
    <w:rsid w:val="00A2621B"/>
    <w:rsid w:val="00A262C4"/>
    <w:rsid w:val="00A26329"/>
    <w:rsid w:val="00A2655B"/>
    <w:rsid w:val="00A26734"/>
    <w:rsid w:val="00A26EBD"/>
    <w:rsid w:val="00A2704A"/>
    <w:rsid w:val="00A27182"/>
    <w:rsid w:val="00A27292"/>
    <w:rsid w:val="00A27CEB"/>
    <w:rsid w:val="00A27E37"/>
    <w:rsid w:val="00A3001D"/>
    <w:rsid w:val="00A301FA"/>
    <w:rsid w:val="00A3094B"/>
    <w:rsid w:val="00A30F05"/>
    <w:rsid w:val="00A31141"/>
    <w:rsid w:val="00A313BF"/>
    <w:rsid w:val="00A313E8"/>
    <w:rsid w:val="00A315CB"/>
    <w:rsid w:val="00A315D0"/>
    <w:rsid w:val="00A31746"/>
    <w:rsid w:val="00A317A4"/>
    <w:rsid w:val="00A31852"/>
    <w:rsid w:val="00A31ADC"/>
    <w:rsid w:val="00A31C72"/>
    <w:rsid w:val="00A31D53"/>
    <w:rsid w:val="00A32081"/>
    <w:rsid w:val="00A323C4"/>
    <w:rsid w:val="00A32477"/>
    <w:rsid w:val="00A32BB4"/>
    <w:rsid w:val="00A32E3C"/>
    <w:rsid w:val="00A32F0C"/>
    <w:rsid w:val="00A330B8"/>
    <w:rsid w:val="00A33536"/>
    <w:rsid w:val="00A3379A"/>
    <w:rsid w:val="00A33FA4"/>
    <w:rsid w:val="00A343C2"/>
    <w:rsid w:val="00A345FE"/>
    <w:rsid w:val="00A3481E"/>
    <w:rsid w:val="00A34B7F"/>
    <w:rsid w:val="00A34CF0"/>
    <w:rsid w:val="00A34CFB"/>
    <w:rsid w:val="00A34F5D"/>
    <w:rsid w:val="00A34FCF"/>
    <w:rsid w:val="00A35552"/>
    <w:rsid w:val="00A3559D"/>
    <w:rsid w:val="00A358A6"/>
    <w:rsid w:val="00A3593F"/>
    <w:rsid w:val="00A35C5D"/>
    <w:rsid w:val="00A35CD4"/>
    <w:rsid w:val="00A35E87"/>
    <w:rsid w:val="00A3603C"/>
    <w:rsid w:val="00A3638B"/>
    <w:rsid w:val="00A365BF"/>
    <w:rsid w:val="00A3669F"/>
    <w:rsid w:val="00A36830"/>
    <w:rsid w:val="00A3686C"/>
    <w:rsid w:val="00A36DC1"/>
    <w:rsid w:val="00A3711F"/>
    <w:rsid w:val="00A371C6"/>
    <w:rsid w:val="00A3738D"/>
    <w:rsid w:val="00A3755F"/>
    <w:rsid w:val="00A375DA"/>
    <w:rsid w:val="00A3772E"/>
    <w:rsid w:val="00A379F7"/>
    <w:rsid w:val="00A37D80"/>
    <w:rsid w:val="00A4052A"/>
    <w:rsid w:val="00A405A6"/>
    <w:rsid w:val="00A4074B"/>
    <w:rsid w:val="00A40A7F"/>
    <w:rsid w:val="00A40E76"/>
    <w:rsid w:val="00A4106D"/>
    <w:rsid w:val="00A416B2"/>
    <w:rsid w:val="00A41A67"/>
    <w:rsid w:val="00A41AD5"/>
    <w:rsid w:val="00A41C88"/>
    <w:rsid w:val="00A41D52"/>
    <w:rsid w:val="00A41F0E"/>
    <w:rsid w:val="00A42328"/>
    <w:rsid w:val="00A42B10"/>
    <w:rsid w:val="00A42D82"/>
    <w:rsid w:val="00A42F5D"/>
    <w:rsid w:val="00A430F9"/>
    <w:rsid w:val="00A432A9"/>
    <w:rsid w:val="00A4344E"/>
    <w:rsid w:val="00A43707"/>
    <w:rsid w:val="00A43EC0"/>
    <w:rsid w:val="00A4420D"/>
    <w:rsid w:val="00A442B6"/>
    <w:rsid w:val="00A442E2"/>
    <w:rsid w:val="00A4445B"/>
    <w:rsid w:val="00A4494D"/>
    <w:rsid w:val="00A44B44"/>
    <w:rsid w:val="00A44B47"/>
    <w:rsid w:val="00A44EBF"/>
    <w:rsid w:val="00A45100"/>
    <w:rsid w:val="00A451E4"/>
    <w:rsid w:val="00A45231"/>
    <w:rsid w:val="00A45537"/>
    <w:rsid w:val="00A45572"/>
    <w:rsid w:val="00A4575C"/>
    <w:rsid w:val="00A4578E"/>
    <w:rsid w:val="00A458BF"/>
    <w:rsid w:val="00A45921"/>
    <w:rsid w:val="00A46209"/>
    <w:rsid w:val="00A46253"/>
    <w:rsid w:val="00A463EF"/>
    <w:rsid w:val="00A46B69"/>
    <w:rsid w:val="00A46D1B"/>
    <w:rsid w:val="00A46E11"/>
    <w:rsid w:val="00A46E54"/>
    <w:rsid w:val="00A46F97"/>
    <w:rsid w:val="00A47087"/>
    <w:rsid w:val="00A470F7"/>
    <w:rsid w:val="00A47239"/>
    <w:rsid w:val="00A47337"/>
    <w:rsid w:val="00A475B6"/>
    <w:rsid w:val="00A476A3"/>
    <w:rsid w:val="00A479CF"/>
    <w:rsid w:val="00A50138"/>
    <w:rsid w:val="00A504F1"/>
    <w:rsid w:val="00A50C1F"/>
    <w:rsid w:val="00A5105A"/>
    <w:rsid w:val="00A5123B"/>
    <w:rsid w:val="00A5124B"/>
    <w:rsid w:val="00A515EE"/>
    <w:rsid w:val="00A516E2"/>
    <w:rsid w:val="00A51AC0"/>
    <w:rsid w:val="00A51D0C"/>
    <w:rsid w:val="00A51E99"/>
    <w:rsid w:val="00A52008"/>
    <w:rsid w:val="00A52214"/>
    <w:rsid w:val="00A5223F"/>
    <w:rsid w:val="00A525AE"/>
    <w:rsid w:val="00A525D2"/>
    <w:rsid w:val="00A52B3B"/>
    <w:rsid w:val="00A52E39"/>
    <w:rsid w:val="00A53033"/>
    <w:rsid w:val="00A53333"/>
    <w:rsid w:val="00A53789"/>
    <w:rsid w:val="00A53A27"/>
    <w:rsid w:val="00A53A5A"/>
    <w:rsid w:val="00A53ADF"/>
    <w:rsid w:val="00A53BA6"/>
    <w:rsid w:val="00A53DC1"/>
    <w:rsid w:val="00A53FEF"/>
    <w:rsid w:val="00A54003"/>
    <w:rsid w:val="00A54393"/>
    <w:rsid w:val="00A5446E"/>
    <w:rsid w:val="00A54868"/>
    <w:rsid w:val="00A54D84"/>
    <w:rsid w:val="00A54F06"/>
    <w:rsid w:val="00A54FB9"/>
    <w:rsid w:val="00A5559B"/>
    <w:rsid w:val="00A557D6"/>
    <w:rsid w:val="00A559C1"/>
    <w:rsid w:val="00A55B23"/>
    <w:rsid w:val="00A55C16"/>
    <w:rsid w:val="00A55D94"/>
    <w:rsid w:val="00A55DF2"/>
    <w:rsid w:val="00A55FEB"/>
    <w:rsid w:val="00A56340"/>
    <w:rsid w:val="00A56502"/>
    <w:rsid w:val="00A567F5"/>
    <w:rsid w:val="00A5685B"/>
    <w:rsid w:val="00A56B47"/>
    <w:rsid w:val="00A56BD2"/>
    <w:rsid w:val="00A56F37"/>
    <w:rsid w:val="00A571BB"/>
    <w:rsid w:val="00A5766E"/>
    <w:rsid w:val="00A5788A"/>
    <w:rsid w:val="00A57AD3"/>
    <w:rsid w:val="00A57B17"/>
    <w:rsid w:val="00A57C10"/>
    <w:rsid w:val="00A57F43"/>
    <w:rsid w:val="00A601DD"/>
    <w:rsid w:val="00A60845"/>
    <w:rsid w:val="00A608A3"/>
    <w:rsid w:val="00A60949"/>
    <w:rsid w:val="00A60AF3"/>
    <w:rsid w:val="00A60B64"/>
    <w:rsid w:val="00A6115E"/>
    <w:rsid w:val="00A611AA"/>
    <w:rsid w:val="00A614F8"/>
    <w:rsid w:val="00A61505"/>
    <w:rsid w:val="00A61719"/>
    <w:rsid w:val="00A61926"/>
    <w:rsid w:val="00A61930"/>
    <w:rsid w:val="00A61DBD"/>
    <w:rsid w:val="00A62129"/>
    <w:rsid w:val="00A621BF"/>
    <w:rsid w:val="00A6269B"/>
    <w:rsid w:val="00A62C01"/>
    <w:rsid w:val="00A62E03"/>
    <w:rsid w:val="00A62F64"/>
    <w:rsid w:val="00A63230"/>
    <w:rsid w:val="00A6324A"/>
    <w:rsid w:val="00A63485"/>
    <w:rsid w:val="00A634F3"/>
    <w:rsid w:val="00A63638"/>
    <w:rsid w:val="00A639CD"/>
    <w:rsid w:val="00A63A84"/>
    <w:rsid w:val="00A63B6F"/>
    <w:rsid w:val="00A63EBF"/>
    <w:rsid w:val="00A64158"/>
    <w:rsid w:val="00A64C6A"/>
    <w:rsid w:val="00A65294"/>
    <w:rsid w:val="00A65306"/>
    <w:rsid w:val="00A6531C"/>
    <w:rsid w:val="00A65EC7"/>
    <w:rsid w:val="00A66291"/>
    <w:rsid w:val="00A663FF"/>
    <w:rsid w:val="00A66717"/>
    <w:rsid w:val="00A668C9"/>
    <w:rsid w:val="00A66B35"/>
    <w:rsid w:val="00A66ED7"/>
    <w:rsid w:val="00A66F8F"/>
    <w:rsid w:val="00A67038"/>
    <w:rsid w:val="00A6726B"/>
    <w:rsid w:val="00A67558"/>
    <w:rsid w:val="00A67BF5"/>
    <w:rsid w:val="00A67D69"/>
    <w:rsid w:val="00A70009"/>
    <w:rsid w:val="00A701E0"/>
    <w:rsid w:val="00A702BA"/>
    <w:rsid w:val="00A70513"/>
    <w:rsid w:val="00A705D2"/>
    <w:rsid w:val="00A70701"/>
    <w:rsid w:val="00A70919"/>
    <w:rsid w:val="00A70A65"/>
    <w:rsid w:val="00A70D6C"/>
    <w:rsid w:val="00A71212"/>
    <w:rsid w:val="00A712F5"/>
    <w:rsid w:val="00A7138E"/>
    <w:rsid w:val="00A713AA"/>
    <w:rsid w:val="00A713AE"/>
    <w:rsid w:val="00A714BC"/>
    <w:rsid w:val="00A71812"/>
    <w:rsid w:val="00A71B23"/>
    <w:rsid w:val="00A71EBE"/>
    <w:rsid w:val="00A72736"/>
    <w:rsid w:val="00A728CA"/>
    <w:rsid w:val="00A7299A"/>
    <w:rsid w:val="00A72C9D"/>
    <w:rsid w:val="00A72D22"/>
    <w:rsid w:val="00A72F55"/>
    <w:rsid w:val="00A73429"/>
    <w:rsid w:val="00A73E0B"/>
    <w:rsid w:val="00A74022"/>
    <w:rsid w:val="00A742AF"/>
    <w:rsid w:val="00A74787"/>
    <w:rsid w:val="00A74A56"/>
    <w:rsid w:val="00A74AAF"/>
    <w:rsid w:val="00A74E15"/>
    <w:rsid w:val="00A74E3F"/>
    <w:rsid w:val="00A74F31"/>
    <w:rsid w:val="00A75123"/>
    <w:rsid w:val="00A7522C"/>
    <w:rsid w:val="00A754C8"/>
    <w:rsid w:val="00A75607"/>
    <w:rsid w:val="00A758FB"/>
    <w:rsid w:val="00A75A17"/>
    <w:rsid w:val="00A7656F"/>
    <w:rsid w:val="00A76770"/>
    <w:rsid w:val="00A767A8"/>
    <w:rsid w:val="00A7688E"/>
    <w:rsid w:val="00A76980"/>
    <w:rsid w:val="00A769B0"/>
    <w:rsid w:val="00A76A7E"/>
    <w:rsid w:val="00A76A8F"/>
    <w:rsid w:val="00A76A9B"/>
    <w:rsid w:val="00A76F97"/>
    <w:rsid w:val="00A76FDF"/>
    <w:rsid w:val="00A7743F"/>
    <w:rsid w:val="00A77B7D"/>
    <w:rsid w:val="00A77DFE"/>
    <w:rsid w:val="00A77F63"/>
    <w:rsid w:val="00A8034D"/>
    <w:rsid w:val="00A805AB"/>
    <w:rsid w:val="00A807B3"/>
    <w:rsid w:val="00A80B0E"/>
    <w:rsid w:val="00A80D8A"/>
    <w:rsid w:val="00A80E21"/>
    <w:rsid w:val="00A81054"/>
    <w:rsid w:val="00A8118A"/>
    <w:rsid w:val="00A8129C"/>
    <w:rsid w:val="00A812D6"/>
    <w:rsid w:val="00A8145E"/>
    <w:rsid w:val="00A815AC"/>
    <w:rsid w:val="00A81754"/>
    <w:rsid w:val="00A81D3D"/>
    <w:rsid w:val="00A81ED5"/>
    <w:rsid w:val="00A81F81"/>
    <w:rsid w:val="00A822AB"/>
    <w:rsid w:val="00A824F4"/>
    <w:rsid w:val="00A829C7"/>
    <w:rsid w:val="00A82B01"/>
    <w:rsid w:val="00A82D60"/>
    <w:rsid w:val="00A830A0"/>
    <w:rsid w:val="00A83118"/>
    <w:rsid w:val="00A835D8"/>
    <w:rsid w:val="00A83750"/>
    <w:rsid w:val="00A83A0B"/>
    <w:rsid w:val="00A83ACA"/>
    <w:rsid w:val="00A84091"/>
    <w:rsid w:val="00A842BF"/>
    <w:rsid w:val="00A8459E"/>
    <w:rsid w:val="00A846F7"/>
    <w:rsid w:val="00A849FE"/>
    <w:rsid w:val="00A84F02"/>
    <w:rsid w:val="00A85049"/>
    <w:rsid w:val="00A85E4F"/>
    <w:rsid w:val="00A86064"/>
    <w:rsid w:val="00A860F8"/>
    <w:rsid w:val="00A863A0"/>
    <w:rsid w:val="00A86401"/>
    <w:rsid w:val="00A8653D"/>
    <w:rsid w:val="00A86622"/>
    <w:rsid w:val="00A867B0"/>
    <w:rsid w:val="00A86864"/>
    <w:rsid w:val="00A868C8"/>
    <w:rsid w:val="00A86915"/>
    <w:rsid w:val="00A86A79"/>
    <w:rsid w:val="00A86F69"/>
    <w:rsid w:val="00A86FDC"/>
    <w:rsid w:val="00A874FD"/>
    <w:rsid w:val="00A87518"/>
    <w:rsid w:val="00A8776E"/>
    <w:rsid w:val="00A8777D"/>
    <w:rsid w:val="00A877CE"/>
    <w:rsid w:val="00A87AE3"/>
    <w:rsid w:val="00A87B6A"/>
    <w:rsid w:val="00A901DF"/>
    <w:rsid w:val="00A904EB"/>
    <w:rsid w:val="00A907E2"/>
    <w:rsid w:val="00A909AB"/>
    <w:rsid w:val="00A91375"/>
    <w:rsid w:val="00A9141C"/>
    <w:rsid w:val="00A914F0"/>
    <w:rsid w:val="00A915DF"/>
    <w:rsid w:val="00A91930"/>
    <w:rsid w:val="00A919F2"/>
    <w:rsid w:val="00A91DBF"/>
    <w:rsid w:val="00A91F39"/>
    <w:rsid w:val="00A9240E"/>
    <w:rsid w:val="00A92618"/>
    <w:rsid w:val="00A92816"/>
    <w:rsid w:val="00A9284F"/>
    <w:rsid w:val="00A9289C"/>
    <w:rsid w:val="00A92D12"/>
    <w:rsid w:val="00A933E8"/>
    <w:rsid w:val="00A93525"/>
    <w:rsid w:val="00A936A3"/>
    <w:rsid w:val="00A93974"/>
    <w:rsid w:val="00A93AC6"/>
    <w:rsid w:val="00A94198"/>
    <w:rsid w:val="00A94545"/>
    <w:rsid w:val="00A946DD"/>
    <w:rsid w:val="00A94733"/>
    <w:rsid w:val="00A947F6"/>
    <w:rsid w:val="00A94A30"/>
    <w:rsid w:val="00A94AE6"/>
    <w:rsid w:val="00A94BB9"/>
    <w:rsid w:val="00A9516B"/>
    <w:rsid w:val="00A951E3"/>
    <w:rsid w:val="00A95366"/>
    <w:rsid w:val="00A9585E"/>
    <w:rsid w:val="00A958C7"/>
    <w:rsid w:val="00A959DE"/>
    <w:rsid w:val="00A95C01"/>
    <w:rsid w:val="00A95C3B"/>
    <w:rsid w:val="00A95D38"/>
    <w:rsid w:val="00A95DE3"/>
    <w:rsid w:val="00A96111"/>
    <w:rsid w:val="00A9653A"/>
    <w:rsid w:val="00A96677"/>
    <w:rsid w:val="00A96827"/>
    <w:rsid w:val="00A96850"/>
    <w:rsid w:val="00A96867"/>
    <w:rsid w:val="00A96BFF"/>
    <w:rsid w:val="00A96C09"/>
    <w:rsid w:val="00A96DA0"/>
    <w:rsid w:val="00A96EA5"/>
    <w:rsid w:val="00A96F76"/>
    <w:rsid w:val="00A97570"/>
    <w:rsid w:val="00A975B0"/>
    <w:rsid w:val="00A976DE"/>
    <w:rsid w:val="00A977A0"/>
    <w:rsid w:val="00A979E9"/>
    <w:rsid w:val="00A97A12"/>
    <w:rsid w:val="00A97C64"/>
    <w:rsid w:val="00A97D3B"/>
    <w:rsid w:val="00A97E45"/>
    <w:rsid w:val="00A97F37"/>
    <w:rsid w:val="00AA00E6"/>
    <w:rsid w:val="00AA0349"/>
    <w:rsid w:val="00AA0465"/>
    <w:rsid w:val="00AA0667"/>
    <w:rsid w:val="00AA07E2"/>
    <w:rsid w:val="00AA08A9"/>
    <w:rsid w:val="00AA0987"/>
    <w:rsid w:val="00AA09E5"/>
    <w:rsid w:val="00AA0B12"/>
    <w:rsid w:val="00AA10EF"/>
    <w:rsid w:val="00AA1245"/>
    <w:rsid w:val="00AA1A25"/>
    <w:rsid w:val="00AA1A54"/>
    <w:rsid w:val="00AA1AE2"/>
    <w:rsid w:val="00AA1DB1"/>
    <w:rsid w:val="00AA2087"/>
    <w:rsid w:val="00AA2247"/>
    <w:rsid w:val="00AA251C"/>
    <w:rsid w:val="00AA27E2"/>
    <w:rsid w:val="00AA2BB9"/>
    <w:rsid w:val="00AA2DDE"/>
    <w:rsid w:val="00AA2E7B"/>
    <w:rsid w:val="00AA2F05"/>
    <w:rsid w:val="00AA3024"/>
    <w:rsid w:val="00AA319E"/>
    <w:rsid w:val="00AA31AD"/>
    <w:rsid w:val="00AA31AF"/>
    <w:rsid w:val="00AA361F"/>
    <w:rsid w:val="00AA3A0D"/>
    <w:rsid w:val="00AA3C8B"/>
    <w:rsid w:val="00AA3DD9"/>
    <w:rsid w:val="00AA3EB4"/>
    <w:rsid w:val="00AA3F71"/>
    <w:rsid w:val="00AA40E1"/>
    <w:rsid w:val="00AA4123"/>
    <w:rsid w:val="00AA439E"/>
    <w:rsid w:val="00AA4580"/>
    <w:rsid w:val="00AA45CC"/>
    <w:rsid w:val="00AA4A40"/>
    <w:rsid w:val="00AA5087"/>
    <w:rsid w:val="00AA542D"/>
    <w:rsid w:val="00AA546D"/>
    <w:rsid w:val="00AA5877"/>
    <w:rsid w:val="00AA5919"/>
    <w:rsid w:val="00AA5CEB"/>
    <w:rsid w:val="00AA5D12"/>
    <w:rsid w:val="00AA5D55"/>
    <w:rsid w:val="00AA5D89"/>
    <w:rsid w:val="00AA658D"/>
    <w:rsid w:val="00AA698B"/>
    <w:rsid w:val="00AA6AC3"/>
    <w:rsid w:val="00AA6BEB"/>
    <w:rsid w:val="00AA7124"/>
    <w:rsid w:val="00AA7316"/>
    <w:rsid w:val="00AA7449"/>
    <w:rsid w:val="00AA75A7"/>
    <w:rsid w:val="00AA76A0"/>
    <w:rsid w:val="00AA76B3"/>
    <w:rsid w:val="00AA782C"/>
    <w:rsid w:val="00AA7B90"/>
    <w:rsid w:val="00AA7C70"/>
    <w:rsid w:val="00AA7CE0"/>
    <w:rsid w:val="00AA7DA3"/>
    <w:rsid w:val="00AA7EED"/>
    <w:rsid w:val="00AB04CD"/>
    <w:rsid w:val="00AB0A6A"/>
    <w:rsid w:val="00AB0A73"/>
    <w:rsid w:val="00AB0C10"/>
    <w:rsid w:val="00AB0CE0"/>
    <w:rsid w:val="00AB0E20"/>
    <w:rsid w:val="00AB1128"/>
    <w:rsid w:val="00AB1392"/>
    <w:rsid w:val="00AB17CD"/>
    <w:rsid w:val="00AB1DB8"/>
    <w:rsid w:val="00AB1DFF"/>
    <w:rsid w:val="00AB2748"/>
    <w:rsid w:val="00AB2AE2"/>
    <w:rsid w:val="00AB2C90"/>
    <w:rsid w:val="00AB2E0C"/>
    <w:rsid w:val="00AB32C2"/>
    <w:rsid w:val="00AB3A87"/>
    <w:rsid w:val="00AB4416"/>
    <w:rsid w:val="00AB4545"/>
    <w:rsid w:val="00AB4C87"/>
    <w:rsid w:val="00AB506A"/>
    <w:rsid w:val="00AB566A"/>
    <w:rsid w:val="00AB579D"/>
    <w:rsid w:val="00AB584F"/>
    <w:rsid w:val="00AB5C74"/>
    <w:rsid w:val="00AB5D82"/>
    <w:rsid w:val="00AB5D8C"/>
    <w:rsid w:val="00AB5ECD"/>
    <w:rsid w:val="00AB6000"/>
    <w:rsid w:val="00AB6617"/>
    <w:rsid w:val="00AB6A52"/>
    <w:rsid w:val="00AB6C2F"/>
    <w:rsid w:val="00AB6E37"/>
    <w:rsid w:val="00AB6E48"/>
    <w:rsid w:val="00AB6FD6"/>
    <w:rsid w:val="00AB7656"/>
    <w:rsid w:val="00AB7C99"/>
    <w:rsid w:val="00AC010B"/>
    <w:rsid w:val="00AC02AA"/>
    <w:rsid w:val="00AC0B2A"/>
    <w:rsid w:val="00AC0B3E"/>
    <w:rsid w:val="00AC0EC9"/>
    <w:rsid w:val="00AC1493"/>
    <w:rsid w:val="00AC1652"/>
    <w:rsid w:val="00AC1B6A"/>
    <w:rsid w:val="00AC20C4"/>
    <w:rsid w:val="00AC20E4"/>
    <w:rsid w:val="00AC23B9"/>
    <w:rsid w:val="00AC240D"/>
    <w:rsid w:val="00AC25AA"/>
    <w:rsid w:val="00AC2660"/>
    <w:rsid w:val="00AC28DF"/>
    <w:rsid w:val="00AC2B73"/>
    <w:rsid w:val="00AC2C10"/>
    <w:rsid w:val="00AC2DCD"/>
    <w:rsid w:val="00AC3075"/>
    <w:rsid w:val="00AC343A"/>
    <w:rsid w:val="00AC3784"/>
    <w:rsid w:val="00AC3B97"/>
    <w:rsid w:val="00AC3DD8"/>
    <w:rsid w:val="00AC43F6"/>
    <w:rsid w:val="00AC484A"/>
    <w:rsid w:val="00AC4C35"/>
    <w:rsid w:val="00AC4C70"/>
    <w:rsid w:val="00AC4EEC"/>
    <w:rsid w:val="00AC4FAB"/>
    <w:rsid w:val="00AC50E6"/>
    <w:rsid w:val="00AC51AD"/>
    <w:rsid w:val="00AC55EE"/>
    <w:rsid w:val="00AC5AFF"/>
    <w:rsid w:val="00AC603A"/>
    <w:rsid w:val="00AC62D4"/>
    <w:rsid w:val="00AC63F4"/>
    <w:rsid w:val="00AC66B5"/>
    <w:rsid w:val="00AC6CB3"/>
    <w:rsid w:val="00AC6F0A"/>
    <w:rsid w:val="00AC6FAD"/>
    <w:rsid w:val="00AC6FC2"/>
    <w:rsid w:val="00AC7861"/>
    <w:rsid w:val="00AC7876"/>
    <w:rsid w:val="00AC7DB1"/>
    <w:rsid w:val="00AC7F60"/>
    <w:rsid w:val="00AD010F"/>
    <w:rsid w:val="00AD0230"/>
    <w:rsid w:val="00AD0C86"/>
    <w:rsid w:val="00AD0F0E"/>
    <w:rsid w:val="00AD0F70"/>
    <w:rsid w:val="00AD1857"/>
    <w:rsid w:val="00AD18F7"/>
    <w:rsid w:val="00AD1B52"/>
    <w:rsid w:val="00AD1D96"/>
    <w:rsid w:val="00AD2516"/>
    <w:rsid w:val="00AD27B8"/>
    <w:rsid w:val="00AD2F4B"/>
    <w:rsid w:val="00AD3043"/>
    <w:rsid w:val="00AD320A"/>
    <w:rsid w:val="00AD3587"/>
    <w:rsid w:val="00AD3EDB"/>
    <w:rsid w:val="00AD4653"/>
    <w:rsid w:val="00AD47A2"/>
    <w:rsid w:val="00AD49ED"/>
    <w:rsid w:val="00AD4B8C"/>
    <w:rsid w:val="00AD4DFB"/>
    <w:rsid w:val="00AD4E2A"/>
    <w:rsid w:val="00AD4FF2"/>
    <w:rsid w:val="00AD5204"/>
    <w:rsid w:val="00AD52A9"/>
    <w:rsid w:val="00AD5377"/>
    <w:rsid w:val="00AD56B9"/>
    <w:rsid w:val="00AD5BD6"/>
    <w:rsid w:val="00AD5ED1"/>
    <w:rsid w:val="00AD5FAC"/>
    <w:rsid w:val="00AD610A"/>
    <w:rsid w:val="00AD621D"/>
    <w:rsid w:val="00AD62BB"/>
    <w:rsid w:val="00AD6751"/>
    <w:rsid w:val="00AD6B44"/>
    <w:rsid w:val="00AD6C37"/>
    <w:rsid w:val="00AD6CB7"/>
    <w:rsid w:val="00AD6E15"/>
    <w:rsid w:val="00AD7BE9"/>
    <w:rsid w:val="00AD7C5A"/>
    <w:rsid w:val="00AD7DEC"/>
    <w:rsid w:val="00AE0081"/>
    <w:rsid w:val="00AE00E6"/>
    <w:rsid w:val="00AE02B8"/>
    <w:rsid w:val="00AE035F"/>
    <w:rsid w:val="00AE0464"/>
    <w:rsid w:val="00AE05DA"/>
    <w:rsid w:val="00AE0847"/>
    <w:rsid w:val="00AE107F"/>
    <w:rsid w:val="00AE11B2"/>
    <w:rsid w:val="00AE122A"/>
    <w:rsid w:val="00AE1277"/>
    <w:rsid w:val="00AE1337"/>
    <w:rsid w:val="00AE1403"/>
    <w:rsid w:val="00AE15B0"/>
    <w:rsid w:val="00AE15CF"/>
    <w:rsid w:val="00AE162F"/>
    <w:rsid w:val="00AE17DA"/>
    <w:rsid w:val="00AE1804"/>
    <w:rsid w:val="00AE1A02"/>
    <w:rsid w:val="00AE1D87"/>
    <w:rsid w:val="00AE2095"/>
    <w:rsid w:val="00AE20D7"/>
    <w:rsid w:val="00AE21D9"/>
    <w:rsid w:val="00AE228B"/>
    <w:rsid w:val="00AE23D9"/>
    <w:rsid w:val="00AE249B"/>
    <w:rsid w:val="00AE25BD"/>
    <w:rsid w:val="00AE262A"/>
    <w:rsid w:val="00AE269A"/>
    <w:rsid w:val="00AE2A80"/>
    <w:rsid w:val="00AE2CD7"/>
    <w:rsid w:val="00AE3055"/>
    <w:rsid w:val="00AE310B"/>
    <w:rsid w:val="00AE31B0"/>
    <w:rsid w:val="00AE3385"/>
    <w:rsid w:val="00AE33A4"/>
    <w:rsid w:val="00AE393C"/>
    <w:rsid w:val="00AE3BD9"/>
    <w:rsid w:val="00AE4412"/>
    <w:rsid w:val="00AE4475"/>
    <w:rsid w:val="00AE4563"/>
    <w:rsid w:val="00AE4A04"/>
    <w:rsid w:val="00AE4E34"/>
    <w:rsid w:val="00AE5135"/>
    <w:rsid w:val="00AE533B"/>
    <w:rsid w:val="00AE588D"/>
    <w:rsid w:val="00AE5C79"/>
    <w:rsid w:val="00AE5E4E"/>
    <w:rsid w:val="00AE61D3"/>
    <w:rsid w:val="00AE6214"/>
    <w:rsid w:val="00AE6406"/>
    <w:rsid w:val="00AE64FE"/>
    <w:rsid w:val="00AE6776"/>
    <w:rsid w:val="00AE67E9"/>
    <w:rsid w:val="00AE67F2"/>
    <w:rsid w:val="00AE68F4"/>
    <w:rsid w:val="00AE6BCE"/>
    <w:rsid w:val="00AE6C36"/>
    <w:rsid w:val="00AE6D4B"/>
    <w:rsid w:val="00AE6D6C"/>
    <w:rsid w:val="00AE6E68"/>
    <w:rsid w:val="00AE6FF8"/>
    <w:rsid w:val="00AE7207"/>
    <w:rsid w:val="00AE739A"/>
    <w:rsid w:val="00AE7617"/>
    <w:rsid w:val="00AE793A"/>
    <w:rsid w:val="00AE7991"/>
    <w:rsid w:val="00AE7B6D"/>
    <w:rsid w:val="00AF0288"/>
    <w:rsid w:val="00AF0290"/>
    <w:rsid w:val="00AF05C8"/>
    <w:rsid w:val="00AF0886"/>
    <w:rsid w:val="00AF0AE9"/>
    <w:rsid w:val="00AF0D3C"/>
    <w:rsid w:val="00AF0EC2"/>
    <w:rsid w:val="00AF0EC4"/>
    <w:rsid w:val="00AF0FE3"/>
    <w:rsid w:val="00AF115C"/>
    <w:rsid w:val="00AF12F0"/>
    <w:rsid w:val="00AF1438"/>
    <w:rsid w:val="00AF1594"/>
    <w:rsid w:val="00AF1A27"/>
    <w:rsid w:val="00AF1E82"/>
    <w:rsid w:val="00AF1FD1"/>
    <w:rsid w:val="00AF220C"/>
    <w:rsid w:val="00AF277F"/>
    <w:rsid w:val="00AF284D"/>
    <w:rsid w:val="00AF2B99"/>
    <w:rsid w:val="00AF2CF6"/>
    <w:rsid w:val="00AF2E2F"/>
    <w:rsid w:val="00AF332B"/>
    <w:rsid w:val="00AF356A"/>
    <w:rsid w:val="00AF35FC"/>
    <w:rsid w:val="00AF397B"/>
    <w:rsid w:val="00AF3BEE"/>
    <w:rsid w:val="00AF3C32"/>
    <w:rsid w:val="00AF3DCD"/>
    <w:rsid w:val="00AF40B0"/>
    <w:rsid w:val="00AF45BF"/>
    <w:rsid w:val="00AF4655"/>
    <w:rsid w:val="00AF4875"/>
    <w:rsid w:val="00AF4E3E"/>
    <w:rsid w:val="00AF4E6D"/>
    <w:rsid w:val="00AF506B"/>
    <w:rsid w:val="00AF528A"/>
    <w:rsid w:val="00AF551A"/>
    <w:rsid w:val="00AF5724"/>
    <w:rsid w:val="00AF5AB5"/>
    <w:rsid w:val="00AF5B47"/>
    <w:rsid w:val="00AF5BBA"/>
    <w:rsid w:val="00AF5C82"/>
    <w:rsid w:val="00AF5D9D"/>
    <w:rsid w:val="00AF658E"/>
    <w:rsid w:val="00AF66EA"/>
    <w:rsid w:val="00AF67E6"/>
    <w:rsid w:val="00AF6AAD"/>
    <w:rsid w:val="00AF6CCF"/>
    <w:rsid w:val="00AF758D"/>
    <w:rsid w:val="00AF7A97"/>
    <w:rsid w:val="00AF7AB8"/>
    <w:rsid w:val="00AF7B49"/>
    <w:rsid w:val="00AF7DBC"/>
    <w:rsid w:val="00AF7E43"/>
    <w:rsid w:val="00AF7EBC"/>
    <w:rsid w:val="00AF7F48"/>
    <w:rsid w:val="00AF7FDD"/>
    <w:rsid w:val="00B00173"/>
    <w:rsid w:val="00B00408"/>
    <w:rsid w:val="00B0040F"/>
    <w:rsid w:val="00B0094F"/>
    <w:rsid w:val="00B013D4"/>
    <w:rsid w:val="00B01551"/>
    <w:rsid w:val="00B01BB9"/>
    <w:rsid w:val="00B01BE5"/>
    <w:rsid w:val="00B01D89"/>
    <w:rsid w:val="00B02532"/>
    <w:rsid w:val="00B027E2"/>
    <w:rsid w:val="00B02857"/>
    <w:rsid w:val="00B02A8D"/>
    <w:rsid w:val="00B02AA6"/>
    <w:rsid w:val="00B035F9"/>
    <w:rsid w:val="00B03615"/>
    <w:rsid w:val="00B03723"/>
    <w:rsid w:val="00B03A2A"/>
    <w:rsid w:val="00B03A9F"/>
    <w:rsid w:val="00B03C47"/>
    <w:rsid w:val="00B03D71"/>
    <w:rsid w:val="00B03E44"/>
    <w:rsid w:val="00B040ED"/>
    <w:rsid w:val="00B04396"/>
    <w:rsid w:val="00B04AA3"/>
    <w:rsid w:val="00B04CAA"/>
    <w:rsid w:val="00B04F6F"/>
    <w:rsid w:val="00B05156"/>
    <w:rsid w:val="00B055F7"/>
    <w:rsid w:val="00B05604"/>
    <w:rsid w:val="00B056A7"/>
    <w:rsid w:val="00B05978"/>
    <w:rsid w:val="00B059C9"/>
    <w:rsid w:val="00B05CAB"/>
    <w:rsid w:val="00B0644C"/>
    <w:rsid w:val="00B0647A"/>
    <w:rsid w:val="00B0658C"/>
    <w:rsid w:val="00B065CE"/>
    <w:rsid w:val="00B066B5"/>
    <w:rsid w:val="00B0671B"/>
    <w:rsid w:val="00B06813"/>
    <w:rsid w:val="00B06A46"/>
    <w:rsid w:val="00B06AFE"/>
    <w:rsid w:val="00B06BC8"/>
    <w:rsid w:val="00B06CFA"/>
    <w:rsid w:val="00B06DD8"/>
    <w:rsid w:val="00B06F97"/>
    <w:rsid w:val="00B0708C"/>
    <w:rsid w:val="00B07D61"/>
    <w:rsid w:val="00B07D68"/>
    <w:rsid w:val="00B07EEA"/>
    <w:rsid w:val="00B101D0"/>
    <w:rsid w:val="00B103DB"/>
    <w:rsid w:val="00B10513"/>
    <w:rsid w:val="00B10A7D"/>
    <w:rsid w:val="00B10D78"/>
    <w:rsid w:val="00B1147F"/>
    <w:rsid w:val="00B11A5D"/>
    <w:rsid w:val="00B11CB1"/>
    <w:rsid w:val="00B11DE0"/>
    <w:rsid w:val="00B12283"/>
    <w:rsid w:val="00B124AA"/>
    <w:rsid w:val="00B12944"/>
    <w:rsid w:val="00B12C4A"/>
    <w:rsid w:val="00B12EC4"/>
    <w:rsid w:val="00B130B8"/>
    <w:rsid w:val="00B13291"/>
    <w:rsid w:val="00B133B1"/>
    <w:rsid w:val="00B13544"/>
    <w:rsid w:val="00B13A6A"/>
    <w:rsid w:val="00B13CB4"/>
    <w:rsid w:val="00B13E2B"/>
    <w:rsid w:val="00B13ED8"/>
    <w:rsid w:val="00B14163"/>
    <w:rsid w:val="00B14300"/>
    <w:rsid w:val="00B14308"/>
    <w:rsid w:val="00B1449C"/>
    <w:rsid w:val="00B149DC"/>
    <w:rsid w:val="00B14B05"/>
    <w:rsid w:val="00B15409"/>
    <w:rsid w:val="00B1554F"/>
    <w:rsid w:val="00B156CF"/>
    <w:rsid w:val="00B158FD"/>
    <w:rsid w:val="00B15981"/>
    <w:rsid w:val="00B1627E"/>
    <w:rsid w:val="00B164F3"/>
    <w:rsid w:val="00B168E6"/>
    <w:rsid w:val="00B173F0"/>
    <w:rsid w:val="00B176E9"/>
    <w:rsid w:val="00B17787"/>
    <w:rsid w:val="00B178DB"/>
    <w:rsid w:val="00B17A81"/>
    <w:rsid w:val="00B17FE7"/>
    <w:rsid w:val="00B20121"/>
    <w:rsid w:val="00B20149"/>
    <w:rsid w:val="00B201CC"/>
    <w:rsid w:val="00B20852"/>
    <w:rsid w:val="00B208D1"/>
    <w:rsid w:val="00B20AC3"/>
    <w:rsid w:val="00B20BCF"/>
    <w:rsid w:val="00B20DD9"/>
    <w:rsid w:val="00B21143"/>
    <w:rsid w:val="00B2130A"/>
    <w:rsid w:val="00B2144E"/>
    <w:rsid w:val="00B21501"/>
    <w:rsid w:val="00B21674"/>
    <w:rsid w:val="00B21F99"/>
    <w:rsid w:val="00B225D6"/>
    <w:rsid w:val="00B229AF"/>
    <w:rsid w:val="00B22A3E"/>
    <w:rsid w:val="00B23089"/>
    <w:rsid w:val="00B2346C"/>
    <w:rsid w:val="00B23591"/>
    <w:rsid w:val="00B236A5"/>
    <w:rsid w:val="00B2391D"/>
    <w:rsid w:val="00B245C4"/>
    <w:rsid w:val="00B24794"/>
    <w:rsid w:val="00B248FC"/>
    <w:rsid w:val="00B24A25"/>
    <w:rsid w:val="00B24A7C"/>
    <w:rsid w:val="00B24B81"/>
    <w:rsid w:val="00B24DB4"/>
    <w:rsid w:val="00B2501A"/>
    <w:rsid w:val="00B256C4"/>
    <w:rsid w:val="00B258F6"/>
    <w:rsid w:val="00B25BDE"/>
    <w:rsid w:val="00B25CCC"/>
    <w:rsid w:val="00B25D26"/>
    <w:rsid w:val="00B26434"/>
    <w:rsid w:val="00B268D9"/>
    <w:rsid w:val="00B27101"/>
    <w:rsid w:val="00B27186"/>
    <w:rsid w:val="00B273A7"/>
    <w:rsid w:val="00B273BC"/>
    <w:rsid w:val="00B279CE"/>
    <w:rsid w:val="00B30697"/>
    <w:rsid w:val="00B3090D"/>
    <w:rsid w:val="00B3091F"/>
    <w:rsid w:val="00B30A74"/>
    <w:rsid w:val="00B30AC2"/>
    <w:rsid w:val="00B30C69"/>
    <w:rsid w:val="00B30DD6"/>
    <w:rsid w:val="00B30E9D"/>
    <w:rsid w:val="00B31945"/>
    <w:rsid w:val="00B31CF2"/>
    <w:rsid w:val="00B31D9C"/>
    <w:rsid w:val="00B31DDD"/>
    <w:rsid w:val="00B31F3E"/>
    <w:rsid w:val="00B31F5A"/>
    <w:rsid w:val="00B32557"/>
    <w:rsid w:val="00B32574"/>
    <w:rsid w:val="00B328C9"/>
    <w:rsid w:val="00B32A51"/>
    <w:rsid w:val="00B33024"/>
    <w:rsid w:val="00B33161"/>
    <w:rsid w:val="00B3319E"/>
    <w:rsid w:val="00B332D3"/>
    <w:rsid w:val="00B33414"/>
    <w:rsid w:val="00B334E6"/>
    <w:rsid w:val="00B3374E"/>
    <w:rsid w:val="00B338D7"/>
    <w:rsid w:val="00B3392C"/>
    <w:rsid w:val="00B33CE3"/>
    <w:rsid w:val="00B33DB3"/>
    <w:rsid w:val="00B33EB1"/>
    <w:rsid w:val="00B342D9"/>
    <w:rsid w:val="00B34362"/>
    <w:rsid w:val="00B34A02"/>
    <w:rsid w:val="00B35767"/>
    <w:rsid w:val="00B359B6"/>
    <w:rsid w:val="00B35C12"/>
    <w:rsid w:val="00B35C59"/>
    <w:rsid w:val="00B360BE"/>
    <w:rsid w:val="00B362C6"/>
    <w:rsid w:val="00B36678"/>
    <w:rsid w:val="00B367D6"/>
    <w:rsid w:val="00B3686B"/>
    <w:rsid w:val="00B36DDC"/>
    <w:rsid w:val="00B37581"/>
    <w:rsid w:val="00B37599"/>
    <w:rsid w:val="00B37F15"/>
    <w:rsid w:val="00B40288"/>
    <w:rsid w:val="00B40548"/>
    <w:rsid w:val="00B40E94"/>
    <w:rsid w:val="00B40F81"/>
    <w:rsid w:val="00B40FBF"/>
    <w:rsid w:val="00B41164"/>
    <w:rsid w:val="00B41723"/>
    <w:rsid w:val="00B41765"/>
    <w:rsid w:val="00B41815"/>
    <w:rsid w:val="00B4189E"/>
    <w:rsid w:val="00B41A57"/>
    <w:rsid w:val="00B41FE5"/>
    <w:rsid w:val="00B421C4"/>
    <w:rsid w:val="00B42982"/>
    <w:rsid w:val="00B42A1B"/>
    <w:rsid w:val="00B42AEF"/>
    <w:rsid w:val="00B43505"/>
    <w:rsid w:val="00B43690"/>
    <w:rsid w:val="00B43FE9"/>
    <w:rsid w:val="00B44320"/>
    <w:rsid w:val="00B443FE"/>
    <w:rsid w:val="00B4448A"/>
    <w:rsid w:val="00B444D3"/>
    <w:rsid w:val="00B446ED"/>
    <w:rsid w:val="00B44908"/>
    <w:rsid w:val="00B44B15"/>
    <w:rsid w:val="00B450C3"/>
    <w:rsid w:val="00B452F4"/>
    <w:rsid w:val="00B45337"/>
    <w:rsid w:val="00B4557E"/>
    <w:rsid w:val="00B455C7"/>
    <w:rsid w:val="00B456A3"/>
    <w:rsid w:val="00B45825"/>
    <w:rsid w:val="00B45B1A"/>
    <w:rsid w:val="00B45D74"/>
    <w:rsid w:val="00B45D7A"/>
    <w:rsid w:val="00B468A0"/>
    <w:rsid w:val="00B46D40"/>
    <w:rsid w:val="00B46E5A"/>
    <w:rsid w:val="00B46E8C"/>
    <w:rsid w:val="00B470C9"/>
    <w:rsid w:val="00B475B7"/>
    <w:rsid w:val="00B47A90"/>
    <w:rsid w:val="00B47F8A"/>
    <w:rsid w:val="00B5009C"/>
    <w:rsid w:val="00B5022D"/>
    <w:rsid w:val="00B506AC"/>
    <w:rsid w:val="00B50A09"/>
    <w:rsid w:val="00B50E71"/>
    <w:rsid w:val="00B510A2"/>
    <w:rsid w:val="00B51309"/>
    <w:rsid w:val="00B51627"/>
    <w:rsid w:val="00B517FE"/>
    <w:rsid w:val="00B51C22"/>
    <w:rsid w:val="00B51E8E"/>
    <w:rsid w:val="00B5270B"/>
    <w:rsid w:val="00B52790"/>
    <w:rsid w:val="00B52914"/>
    <w:rsid w:val="00B529DC"/>
    <w:rsid w:val="00B52B5E"/>
    <w:rsid w:val="00B52BA2"/>
    <w:rsid w:val="00B52C9C"/>
    <w:rsid w:val="00B52D36"/>
    <w:rsid w:val="00B52E54"/>
    <w:rsid w:val="00B53588"/>
    <w:rsid w:val="00B535BA"/>
    <w:rsid w:val="00B539FF"/>
    <w:rsid w:val="00B53C0C"/>
    <w:rsid w:val="00B53EBE"/>
    <w:rsid w:val="00B5479F"/>
    <w:rsid w:val="00B54B10"/>
    <w:rsid w:val="00B54B8F"/>
    <w:rsid w:val="00B54B95"/>
    <w:rsid w:val="00B54D45"/>
    <w:rsid w:val="00B54E4D"/>
    <w:rsid w:val="00B54FE3"/>
    <w:rsid w:val="00B5510D"/>
    <w:rsid w:val="00B55B57"/>
    <w:rsid w:val="00B55F53"/>
    <w:rsid w:val="00B55FAF"/>
    <w:rsid w:val="00B57108"/>
    <w:rsid w:val="00B571A7"/>
    <w:rsid w:val="00B575D0"/>
    <w:rsid w:val="00B57764"/>
    <w:rsid w:val="00B57B5C"/>
    <w:rsid w:val="00B57C10"/>
    <w:rsid w:val="00B57C16"/>
    <w:rsid w:val="00B57C65"/>
    <w:rsid w:val="00B57F70"/>
    <w:rsid w:val="00B6033D"/>
    <w:rsid w:val="00B60540"/>
    <w:rsid w:val="00B60547"/>
    <w:rsid w:val="00B6054C"/>
    <w:rsid w:val="00B606F3"/>
    <w:rsid w:val="00B60707"/>
    <w:rsid w:val="00B608BD"/>
    <w:rsid w:val="00B608E8"/>
    <w:rsid w:val="00B6093F"/>
    <w:rsid w:val="00B6115F"/>
    <w:rsid w:val="00B6184E"/>
    <w:rsid w:val="00B61AF1"/>
    <w:rsid w:val="00B61BDD"/>
    <w:rsid w:val="00B61C56"/>
    <w:rsid w:val="00B622AB"/>
    <w:rsid w:val="00B62402"/>
    <w:rsid w:val="00B62512"/>
    <w:rsid w:val="00B62A9E"/>
    <w:rsid w:val="00B62B88"/>
    <w:rsid w:val="00B63042"/>
    <w:rsid w:val="00B630D3"/>
    <w:rsid w:val="00B6331F"/>
    <w:rsid w:val="00B635AD"/>
    <w:rsid w:val="00B639A8"/>
    <w:rsid w:val="00B63D1B"/>
    <w:rsid w:val="00B63D39"/>
    <w:rsid w:val="00B63D48"/>
    <w:rsid w:val="00B64288"/>
    <w:rsid w:val="00B6439A"/>
    <w:rsid w:val="00B643AF"/>
    <w:rsid w:val="00B64678"/>
    <w:rsid w:val="00B646F7"/>
    <w:rsid w:val="00B64986"/>
    <w:rsid w:val="00B64D7F"/>
    <w:rsid w:val="00B65009"/>
    <w:rsid w:val="00B654A6"/>
    <w:rsid w:val="00B6609F"/>
    <w:rsid w:val="00B66B8F"/>
    <w:rsid w:val="00B66C7B"/>
    <w:rsid w:val="00B66D8B"/>
    <w:rsid w:val="00B670D3"/>
    <w:rsid w:val="00B69B2A"/>
    <w:rsid w:val="00B70362"/>
    <w:rsid w:val="00B70776"/>
    <w:rsid w:val="00B70D59"/>
    <w:rsid w:val="00B71057"/>
    <w:rsid w:val="00B711F5"/>
    <w:rsid w:val="00B7165D"/>
    <w:rsid w:val="00B71687"/>
    <w:rsid w:val="00B71B8F"/>
    <w:rsid w:val="00B71E01"/>
    <w:rsid w:val="00B72121"/>
    <w:rsid w:val="00B722A0"/>
    <w:rsid w:val="00B72371"/>
    <w:rsid w:val="00B723E7"/>
    <w:rsid w:val="00B72464"/>
    <w:rsid w:val="00B7247F"/>
    <w:rsid w:val="00B7248C"/>
    <w:rsid w:val="00B727E3"/>
    <w:rsid w:val="00B72B41"/>
    <w:rsid w:val="00B730BC"/>
    <w:rsid w:val="00B73308"/>
    <w:rsid w:val="00B7336A"/>
    <w:rsid w:val="00B73435"/>
    <w:rsid w:val="00B7393C"/>
    <w:rsid w:val="00B73BED"/>
    <w:rsid w:val="00B73F78"/>
    <w:rsid w:val="00B73FFF"/>
    <w:rsid w:val="00B744FC"/>
    <w:rsid w:val="00B748CB"/>
    <w:rsid w:val="00B74998"/>
    <w:rsid w:val="00B74AE3"/>
    <w:rsid w:val="00B74D05"/>
    <w:rsid w:val="00B74DA5"/>
    <w:rsid w:val="00B74DDB"/>
    <w:rsid w:val="00B75293"/>
    <w:rsid w:val="00B752A7"/>
    <w:rsid w:val="00B752DB"/>
    <w:rsid w:val="00B75856"/>
    <w:rsid w:val="00B75886"/>
    <w:rsid w:val="00B758D5"/>
    <w:rsid w:val="00B75E04"/>
    <w:rsid w:val="00B76118"/>
    <w:rsid w:val="00B762AF"/>
    <w:rsid w:val="00B765ED"/>
    <w:rsid w:val="00B766FF"/>
    <w:rsid w:val="00B76822"/>
    <w:rsid w:val="00B76F49"/>
    <w:rsid w:val="00B771D4"/>
    <w:rsid w:val="00B7735A"/>
    <w:rsid w:val="00B774A8"/>
    <w:rsid w:val="00B777E4"/>
    <w:rsid w:val="00B80061"/>
    <w:rsid w:val="00B801D2"/>
    <w:rsid w:val="00B802F8"/>
    <w:rsid w:val="00B80555"/>
    <w:rsid w:val="00B8056A"/>
    <w:rsid w:val="00B807AB"/>
    <w:rsid w:val="00B809E4"/>
    <w:rsid w:val="00B80CB2"/>
    <w:rsid w:val="00B80CDD"/>
    <w:rsid w:val="00B80EE0"/>
    <w:rsid w:val="00B81014"/>
    <w:rsid w:val="00B814E6"/>
    <w:rsid w:val="00B81925"/>
    <w:rsid w:val="00B81C3B"/>
    <w:rsid w:val="00B81C66"/>
    <w:rsid w:val="00B81E82"/>
    <w:rsid w:val="00B81ECF"/>
    <w:rsid w:val="00B81FA8"/>
    <w:rsid w:val="00B8280D"/>
    <w:rsid w:val="00B828EF"/>
    <w:rsid w:val="00B8290C"/>
    <w:rsid w:val="00B82916"/>
    <w:rsid w:val="00B82AD8"/>
    <w:rsid w:val="00B82C76"/>
    <w:rsid w:val="00B82FE9"/>
    <w:rsid w:val="00B83363"/>
    <w:rsid w:val="00B83459"/>
    <w:rsid w:val="00B834FD"/>
    <w:rsid w:val="00B8352D"/>
    <w:rsid w:val="00B83CAB"/>
    <w:rsid w:val="00B84069"/>
    <w:rsid w:val="00B84171"/>
    <w:rsid w:val="00B844C5"/>
    <w:rsid w:val="00B845C6"/>
    <w:rsid w:val="00B8475A"/>
    <w:rsid w:val="00B8498C"/>
    <w:rsid w:val="00B84F36"/>
    <w:rsid w:val="00B84FA2"/>
    <w:rsid w:val="00B8534B"/>
    <w:rsid w:val="00B85836"/>
    <w:rsid w:val="00B85D02"/>
    <w:rsid w:val="00B85FA3"/>
    <w:rsid w:val="00B85FAA"/>
    <w:rsid w:val="00B86113"/>
    <w:rsid w:val="00B86611"/>
    <w:rsid w:val="00B86802"/>
    <w:rsid w:val="00B8695A"/>
    <w:rsid w:val="00B86974"/>
    <w:rsid w:val="00B86B3A"/>
    <w:rsid w:val="00B86D4B"/>
    <w:rsid w:val="00B873B1"/>
    <w:rsid w:val="00B877AB"/>
    <w:rsid w:val="00B87A5D"/>
    <w:rsid w:val="00B87D07"/>
    <w:rsid w:val="00B90340"/>
    <w:rsid w:val="00B906CA"/>
    <w:rsid w:val="00B90942"/>
    <w:rsid w:val="00B90B9D"/>
    <w:rsid w:val="00B90C07"/>
    <w:rsid w:val="00B90E36"/>
    <w:rsid w:val="00B90E51"/>
    <w:rsid w:val="00B911B3"/>
    <w:rsid w:val="00B91458"/>
    <w:rsid w:val="00B916F1"/>
    <w:rsid w:val="00B917AE"/>
    <w:rsid w:val="00B917BF"/>
    <w:rsid w:val="00B9188A"/>
    <w:rsid w:val="00B918D3"/>
    <w:rsid w:val="00B91AA8"/>
    <w:rsid w:val="00B91B9B"/>
    <w:rsid w:val="00B91CA5"/>
    <w:rsid w:val="00B91CFC"/>
    <w:rsid w:val="00B91F7B"/>
    <w:rsid w:val="00B92243"/>
    <w:rsid w:val="00B92978"/>
    <w:rsid w:val="00B92E5E"/>
    <w:rsid w:val="00B93190"/>
    <w:rsid w:val="00B9340B"/>
    <w:rsid w:val="00B936BB"/>
    <w:rsid w:val="00B936BC"/>
    <w:rsid w:val="00B93B0E"/>
    <w:rsid w:val="00B94123"/>
    <w:rsid w:val="00B94342"/>
    <w:rsid w:val="00B947DF"/>
    <w:rsid w:val="00B94841"/>
    <w:rsid w:val="00B9493B"/>
    <w:rsid w:val="00B9493C"/>
    <w:rsid w:val="00B95214"/>
    <w:rsid w:val="00B95854"/>
    <w:rsid w:val="00B95924"/>
    <w:rsid w:val="00B9616A"/>
    <w:rsid w:val="00B96234"/>
    <w:rsid w:val="00B96400"/>
    <w:rsid w:val="00B96737"/>
    <w:rsid w:val="00B967FD"/>
    <w:rsid w:val="00B96F6A"/>
    <w:rsid w:val="00B973B6"/>
    <w:rsid w:val="00B97457"/>
    <w:rsid w:val="00B9749E"/>
    <w:rsid w:val="00B97D59"/>
    <w:rsid w:val="00BA01BF"/>
    <w:rsid w:val="00BA0410"/>
    <w:rsid w:val="00BA076C"/>
    <w:rsid w:val="00BA097A"/>
    <w:rsid w:val="00BA0A1B"/>
    <w:rsid w:val="00BA0B2D"/>
    <w:rsid w:val="00BA0BF6"/>
    <w:rsid w:val="00BA11D7"/>
    <w:rsid w:val="00BA1393"/>
    <w:rsid w:val="00BA139E"/>
    <w:rsid w:val="00BA1C04"/>
    <w:rsid w:val="00BA1ED6"/>
    <w:rsid w:val="00BA2415"/>
    <w:rsid w:val="00BA2555"/>
    <w:rsid w:val="00BA25A3"/>
    <w:rsid w:val="00BA282C"/>
    <w:rsid w:val="00BA2D56"/>
    <w:rsid w:val="00BA2D59"/>
    <w:rsid w:val="00BA2F49"/>
    <w:rsid w:val="00BA2F95"/>
    <w:rsid w:val="00BA36A3"/>
    <w:rsid w:val="00BA3B16"/>
    <w:rsid w:val="00BA420B"/>
    <w:rsid w:val="00BA450C"/>
    <w:rsid w:val="00BA4E9C"/>
    <w:rsid w:val="00BA52CC"/>
    <w:rsid w:val="00BA559C"/>
    <w:rsid w:val="00BA59F6"/>
    <w:rsid w:val="00BA5A9C"/>
    <w:rsid w:val="00BA5BCE"/>
    <w:rsid w:val="00BA5CAB"/>
    <w:rsid w:val="00BA5F50"/>
    <w:rsid w:val="00BA5FA9"/>
    <w:rsid w:val="00BA67FB"/>
    <w:rsid w:val="00BA6B96"/>
    <w:rsid w:val="00BA6D28"/>
    <w:rsid w:val="00BA7071"/>
    <w:rsid w:val="00BA7361"/>
    <w:rsid w:val="00BA74BF"/>
    <w:rsid w:val="00BA78CA"/>
    <w:rsid w:val="00BA78CC"/>
    <w:rsid w:val="00BA7934"/>
    <w:rsid w:val="00BA7CAF"/>
    <w:rsid w:val="00BA7E16"/>
    <w:rsid w:val="00BA7E3B"/>
    <w:rsid w:val="00BA7F83"/>
    <w:rsid w:val="00BB0121"/>
    <w:rsid w:val="00BB0217"/>
    <w:rsid w:val="00BB0490"/>
    <w:rsid w:val="00BB0578"/>
    <w:rsid w:val="00BB0720"/>
    <w:rsid w:val="00BB0794"/>
    <w:rsid w:val="00BB0D3F"/>
    <w:rsid w:val="00BB1075"/>
    <w:rsid w:val="00BB16A3"/>
    <w:rsid w:val="00BB1BA1"/>
    <w:rsid w:val="00BB1BDB"/>
    <w:rsid w:val="00BB1C7F"/>
    <w:rsid w:val="00BB1F70"/>
    <w:rsid w:val="00BB2146"/>
    <w:rsid w:val="00BB2548"/>
    <w:rsid w:val="00BB2729"/>
    <w:rsid w:val="00BB274D"/>
    <w:rsid w:val="00BB2960"/>
    <w:rsid w:val="00BB2AFC"/>
    <w:rsid w:val="00BB2E67"/>
    <w:rsid w:val="00BB2E95"/>
    <w:rsid w:val="00BB2EF1"/>
    <w:rsid w:val="00BB2EF9"/>
    <w:rsid w:val="00BB2F10"/>
    <w:rsid w:val="00BB2FBE"/>
    <w:rsid w:val="00BB37AE"/>
    <w:rsid w:val="00BB37D7"/>
    <w:rsid w:val="00BB3830"/>
    <w:rsid w:val="00BB3C73"/>
    <w:rsid w:val="00BB42D1"/>
    <w:rsid w:val="00BB443F"/>
    <w:rsid w:val="00BB49FB"/>
    <w:rsid w:val="00BB4CCC"/>
    <w:rsid w:val="00BB4D44"/>
    <w:rsid w:val="00BB4DEA"/>
    <w:rsid w:val="00BB4FAF"/>
    <w:rsid w:val="00BB5220"/>
    <w:rsid w:val="00BB524F"/>
    <w:rsid w:val="00BB53B0"/>
    <w:rsid w:val="00BB5EBE"/>
    <w:rsid w:val="00BB5FA8"/>
    <w:rsid w:val="00BB60D2"/>
    <w:rsid w:val="00BB6281"/>
    <w:rsid w:val="00BB63BA"/>
    <w:rsid w:val="00BB63CC"/>
    <w:rsid w:val="00BB646C"/>
    <w:rsid w:val="00BB67A5"/>
    <w:rsid w:val="00BB6868"/>
    <w:rsid w:val="00BB71B3"/>
    <w:rsid w:val="00BB76AE"/>
    <w:rsid w:val="00BB79A7"/>
    <w:rsid w:val="00BB7C6D"/>
    <w:rsid w:val="00BB7D0A"/>
    <w:rsid w:val="00BB7F55"/>
    <w:rsid w:val="00BC07C4"/>
    <w:rsid w:val="00BC0BBA"/>
    <w:rsid w:val="00BC0C1F"/>
    <w:rsid w:val="00BC0C32"/>
    <w:rsid w:val="00BC0E0E"/>
    <w:rsid w:val="00BC10D5"/>
    <w:rsid w:val="00BC115D"/>
    <w:rsid w:val="00BC1C2E"/>
    <w:rsid w:val="00BC1CDE"/>
    <w:rsid w:val="00BC1FBC"/>
    <w:rsid w:val="00BC1FEC"/>
    <w:rsid w:val="00BC20AC"/>
    <w:rsid w:val="00BC245C"/>
    <w:rsid w:val="00BC246D"/>
    <w:rsid w:val="00BC2531"/>
    <w:rsid w:val="00BC2ACF"/>
    <w:rsid w:val="00BC2CA4"/>
    <w:rsid w:val="00BC2D87"/>
    <w:rsid w:val="00BC3052"/>
    <w:rsid w:val="00BC3871"/>
    <w:rsid w:val="00BC3FD9"/>
    <w:rsid w:val="00BC4215"/>
    <w:rsid w:val="00BC4243"/>
    <w:rsid w:val="00BC475A"/>
    <w:rsid w:val="00BC4792"/>
    <w:rsid w:val="00BC49FC"/>
    <w:rsid w:val="00BC4B0B"/>
    <w:rsid w:val="00BC4BFC"/>
    <w:rsid w:val="00BC5796"/>
    <w:rsid w:val="00BC5DD7"/>
    <w:rsid w:val="00BC5EA0"/>
    <w:rsid w:val="00BC5F78"/>
    <w:rsid w:val="00BC5F9E"/>
    <w:rsid w:val="00BC636D"/>
    <w:rsid w:val="00BC64A4"/>
    <w:rsid w:val="00BC72EA"/>
    <w:rsid w:val="00BC753C"/>
    <w:rsid w:val="00BC76ED"/>
    <w:rsid w:val="00BC775C"/>
    <w:rsid w:val="00BC7886"/>
    <w:rsid w:val="00BC796E"/>
    <w:rsid w:val="00BC7BF0"/>
    <w:rsid w:val="00BC7C05"/>
    <w:rsid w:val="00BC7F72"/>
    <w:rsid w:val="00BD007F"/>
    <w:rsid w:val="00BD0464"/>
    <w:rsid w:val="00BD076E"/>
    <w:rsid w:val="00BD0819"/>
    <w:rsid w:val="00BD097F"/>
    <w:rsid w:val="00BD0B5D"/>
    <w:rsid w:val="00BD15BE"/>
    <w:rsid w:val="00BD165F"/>
    <w:rsid w:val="00BD1DC2"/>
    <w:rsid w:val="00BD20A2"/>
    <w:rsid w:val="00BD20AD"/>
    <w:rsid w:val="00BD2410"/>
    <w:rsid w:val="00BD2549"/>
    <w:rsid w:val="00BD25FD"/>
    <w:rsid w:val="00BD2683"/>
    <w:rsid w:val="00BD2808"/>
    <w:rsid w:val="00BD2993"/>
    <w:rsid w:val="00BD2ACC"/>
    <w:rsid w:val="00BD2ED9"/>
    <w:rsid w:val="00BD2F25"/>
    <w:rsid w:val="00BD2F9D"/>
    <w:rsid w:val="00BD3165"/>
    <w:rsid w:val="00BD34A2"/>
    <w:rsid w:val="00BD389C"/>
    <w:rsid w:val="00BD38B6"/>
    <w:rsid w:val="00BD38D9"/>
    <w:rsid w:val="00BD3D29"/>
    <w:rsid w:val="00BD4210"/>
    <w:rsid w:val="00BD4371"/>
    <w:rsid w:val="00BD4442"/>
    <w:rsid w:val="00BD4747"/>
    <w:rsid w:val="00BD492A"/>
    <w:rsid w:val="00BD49A8"/>
    <w:rsid w:val="00BD4A32"/>
    <w:rsid w:val="00BD4ADC"/>
    <w:rsid w:val="00BD4B88"/>
    <w:rsid w:val="00BD4DBD"/>
    <w:rsid w:val="00BD4E0C"/>
    <w:rsid w:val="00BD5047"/>
    <w:rsid w:val="00BD5098"/>
    <w:rsid w:val="00BD526D"/>
    <w:rsid w:val="00BD567F"/>
    <w:rsid w:val="00BD5928"/>
    <w:rsid w:val="00BD5AA4"/>
    <w:rsid w:val="00BD5C7F"/>
    <w:rsid w:val="00BD5CAA"/>
    <w:rsid w:val="00BD6282"/>
    <w:rsid w:val="00BD62B6"/>
    <w:rsid w:val="00BD6404"/>
    <w:rsid w:val="00BD68A7"/>
    <w:rsid w:val="00BD6B03"/>
    <w:rsid w:val="00BD77A1"/>
    <w:rsid w:val="00BD7985"/>
    <w:rsid w:val="00BD79D3"/>
    <w:rsid w:val="00BD7D3A"/>
    <w:rsid w:val="00BD7E76"/>
    <w:rsid w:val="00BD7EB2"/>
    <w:rsid w:val="00BD7F10"/>
    <w:rsid w:val="00BE0195"/>
    <w:rsid w:val="00BE01D1"/>
    <w:rsid w:val="00BE01DA"/>
    <w:rsid w:val="00BE01E1"/>
    <w:rsid w:val="00BE0303"/>
    <w:rsid w:val="00BE0395"/>
    <w:rsid w:val="00BE06EC"/>
    <w:rsid w:val="00BE06F8"/>
    <w:rsid w:val="00BE090E"/>
    <w:rsid w:val="00BE0BF3"/>
    <w:rsid w:val="00BE127E"/>
    <w:rsid w:val="00BE143A"/>
    <w:rsid w:val="00BE1541"/>
    <w:rsid w:val="00BE17B6"/>
    <w:rsid w:val="00BE1881"/>
    <w:rsid w:val="00BE19F1"/>
    <w:rsid w:val="00BE19FC"/>
    <w:rsid w:val="00BE1D5B"/>
    <w:rsid w:val="00BE26E1"/>
    <w:rsid w:val="00BE26EE"/>
    <w:rsid w:val="00BE294C"/>
    <w:rsid w:val="00BE2950"/>
    <w:rsid w:val="00BE2F17"/>
    <w:rsid w:val="00BE3160"/>
    <w:rsid w:val="00BE31B2"/>
    <w:rsid w:val="00BE32C6"/>
    <w:rsid w:val="00BE3338"/>
    <w:rsid w:val="00BE371C"/>
    <w:rsid w:val="00BE3A05"/>
    <w:rsid w:val="00BE3C2D"/>
    <w:rsid w:val="00BE4ADA"/>
    <w:rsid w:val="00BE4BFD"/>
    <w:rsid w:val="00BE4D8E"/>
    <w:rsid w:val="00BE52F6"/>
    <w:rsid w:val="00BE586E"/>
    <w:rsid w:val="00BE58E3"/>
    <w:rsid w:val="00BE5D1C"/>
    <w:rsid w:val="00BE5D5A"/>
    <w:rsid w:val="00BE5F76"/>
    <w:rsid w:val="00BE629C"/>
    <w:rsid w:val="00BE6AB5"/>
    <w:rsid w:val="00BE6B1D"/>
    <w:rsid w:val="00BE6E8D"/>
    <w:rsid w:val="00BE71C2"/>
    <w:rsid w:val="00BE7435"/>
    <w:rsid w:val="00BE75FB"/>
    <w:rsid w:val="00BE7660"/>
    <w:rsid w:val="00BE7917"/>
    <w:rsid w:val="00BE7A70"/>
    <w:rsid w:val="00BE7D18"/>
    <w:rsid w:val="00BE7F7E"/>
    <w:rsid w:val="00BF02BE"/>
    <w:rsid w:val="00BF0430"/>
    <w:rsid w:val="00BF0476"/>
    <w:rsid w:val="00BF06C7"/>
    <w:rsid w:val="00BF06E4"/>
    <w:rsid w:val="00BF083A"/>
    <w:rsid w:val="00BF0A0D"/>
    <w:rsid w:val="00BF1314"/>
    <w:rsid w:val="00BF1867"/>
    <w:rsid w:val="00BF1B05"/>
    <w:rsid w:val="00BF1C12"/>
    <w:rsid w:val="00BF1E6D"/>
    <w:rsid w:val="00BF2311"/>
    <w:rsid w:val="00BF28EB"/>
    <w:rsid w:val="00BF2AC7"/>
    <w:rsid w:val="00BF2C69"/>
    <w:rsid w:val="00BF2D2C"/>
    <w:rsid w:val="00BF2E04"/>
    <w:rsid w:val="00BF3041"/>
    <w:rsid w:val="00BF3F70"/>
    <w:rsid w:val="00BF42C2"/>
    <w:rsid w:val="00BF45A4"/>
    <w:rsid w:val="00BF45DF"/>
    <w:rsid w:val="00BF474E"/>
    <w:rsid w:val="00BF4E73"/>
    <w:rsid w:val="00BF4F5D"/>
    <w:rsid w:val="00BF5116"/>
    <w:rsid w:val="00BF55F1"/>
    <w:rsid w:val="00BF5648"/>
    <w:rsid w:val="00BF5A29"/>
    <w:rsid w:val="00BF5A87"/>
    <w:rsid w:val="00BF5BFB"/>
    <w:rsid w:val="00BF5C42"/>
    <w:rsid w:val="00BF5EC8"/>
    <w:rsid w:val="00BF5ED1"/>
    <w:rsid w:val="00BF5FF1"/>
    <w:rsid w:val="00BF6086"/>
    <w:rsid w:val="00BF67E0"/>
    <w:rsid w:val="00BF6C70"/>
    <w:rsid w:val="00BF6F58"/>
    <w:rsid w:val="00BF724D"/>
    <w:rsid w:val="00BF7293"/>
    <w:rsid w:val="00BF735A"/>
    <w:rsid w:val="00BF7AEA"/>
    <w:rsid w:val="00BFF808"/>
    <w:rsid w:val="00C00178"/>
    <w:rsid w:val="00C001B3"/>
    <w:rsid w:val="00C0056C"/>
    <w:rsid w:val="00C00749"/>
    <w:rsid w:val="00C00791"/>
    <w:rsid w:val="00C007FF"/>
    <w:rsid w:val="00C0093E"/>
    <w:rsid w:val="00C00971"/>
    <w:rsid w:val="00C009ED"/>
    <w:rsid w:val="00C01583"/>
    <w:rsid w:val="00C015E4"/>
    <w:rsid w:val="00C016CE"/>
    <w:rsid w:val="00C016ED"/>
    <w:rsid w:val="00C0175E"/>
    <w:rsid w:val="00C01931"/>
    <w:rsid w:val="00C019A8"/>
    <w:rsid w:val="00C02009"/>
    <w:rsid w:val="00C02469"/>
    <w:rsid w:val="00C029EE"/>
    <w:rsid w:val="00C02AEF"/>
    <w:rsid w:val="00C02D93"/>
    <w:rsid w:val="00C02F3A"/>
    <w:rsid w:val="00C02F55"/>
    <w:rsid w:val="00C034A1"/>
    <w:rsid w:val="00C036A7"/>
    <w:rsid w:val="00C03739"/>
    <w:rsid w:val="00C037C5"/>
    <w:rsid w:val="00C03FE7"/>
    <w:rsid w:val="00C041C8"/>
    <w:rsid w:val="00C04279"/>
    <w:rsid w:val="00C04296"/>
    <w:rsid w:val="00C05178"/>
    <w:rsid w:val="00C053C6"/>
    <w:rsid w:val="00C0546C"/>
    <w:rsid w:val="00C058AE"/>
    <w:rsid w:val="00C059FB"/>
    <w:rsid w:val="00C05E74"/>
    <w:rsid w:val="00C0622C"/>
    <w:rsid w:val="00C0635B"/>
    <w:rsid w:val="00C06419"/>
    <w:rsid w:val="00C06BA8"/>
    <w:rsid w:val="00C06C44"/>
    <w:rsid w:val="00C06D5B"/>
    <w:rsid w:val="00C07162"/>
    <w:rsid w:val="00C0736A"/>
    <w:rsid w:val="00C078D5"/>
    <w:rsid w:val="00C10039"/>
    <w:rsid w:val="00C101C6"/>
    <w:rsid w:val="00C102E3"/>
    <w:rsid w:val="00C103C5"/>
    <w:rsid w:val="00C10805"/>
    <w:rsid w:val="00C11163"/>
    <w:rsid w:val="00C1131A"/>
    <w:rsid w:val="00C116D5"/>
    <w:rsid w:val="00C11BF4"/>
    <w:rsid w:val="00C11BFC"/>
    <w:rsid w:val="00C1206F"/>
    <w:rsid w:val="00C12171"/>
    <w:rsid w:val="00C122B6"/>
    <w:rsid w:val="00C123A8"/>
    <w:rsid w:val="00C125EF"/>
    <w:rsid w:val="00C12661"/>
    <w:rsid w:val="00C12857"/>
    <w:rsid w:val="00C129C0"/>
    <w:rsid w:val="00C12AA8"/>
    <w:rsid w:val="00C12C4E"/>
    <w:rsid w:val="00C12CF7"/>
    <w:rsid w:val="00C12CF8"/>
    <w:rsid w:val="00C12DE9"/>
    <w:rsid w:val="00C12E8F"/>
    <w:rsid w:val="00C1307A"/>
    <w:rsid w:val="00C1336F"/>
    <w:rsid w:val="00C133BD"/>
    <w:rsid w:val="00C13441"/>
    <w:rsid w:val="00C13442"/>
    <w:rsid w:val="00C134E0"/>
    <w:rsid w:val="00C13542"/>
    <w:rsid w:val="00C135AF"/>
    <w:rsid w:val="00C1360C"/>
    <w:rsid w:val="00C1392A"/>
    <w:rsid w:val="00C1398B"/>
    <w:rsid w:val="00C13B90"/>
    <w:rsid w:val="00C13CF6"/>
    <w:rsid w:val="00C13D41"/>
    <w:rsid w:val="00C13D70"/>
    <w:rsid w:val="00C13F44"/>
    <w:rsid w:val="00C144EE"/>
    <w:rsid w:val="00C1483E"/>
    <w:rsid w:val="00C14D34"/>
    <w:rsid w:val="00C14FC9"/>
    <w:rsid w:val="00C151B2"/>
    <w:rsid w:val="00C1534E"/>
    <w:rsid w:val="00C154A4"/>
    <w:rsid w:val="00C15BD6"/>
    <w:rsid w:val="00C15E6B"/>
    <w:rsid w:val="00C15F29"/>
    <w:rsid w:val="00C15F42"/>
    <w:rsid w:val="00C160A2"/>
    <w:rsid w:val="00C16248"/>
    <w:rsid w:val="00C162DD"/>
    <w:rsid w:val="00C165F6"/>
    <w:rsid w:val="00C16613"/>
    <w:rsid w:val="00C166D6"/>
    <w:rsid w:val="00C16CC2"/>
    <w:rsid w:val="00C16E5C"/>
    <w:rsid w:val="00C16ED0"/>
    <w:rsid w:val="00C17048"/>
    <w:rsid w:val="00C17432"/>
    <w:rsid w:val="00C17589"/>
    <w:rsid w:val="00C17A93"/>
    <w:rsid w:val="00C17BE8"/>
    <w:rsid w:val="00C17CC7"/>
    <w:rsid w:val="00C203B8"/>
    <w:rsid w:val="00C20513"/>
    <w:rsid w:val="00C20765"/>
    <w:rsid w:val="00C20EDC"/>
    <w:rsid w:val="00C20F2F"/>
    <w:rsid w:val="00C2157B"/>
    <w:rsid w:val="00C219B2"/>
    <w:rsid w:val="00C219BA"/>
    <w:rsid w:val="00C21A8C"/>
    <w:rsid w:val="00C21DCA"/>
    <w:rsid w:val="00C2208A"/>
    <w:rsid w:val="00C2218C"/>
    <w:rsid w:val="00C22675"/>
    <w:rsid w:val="00C226AB"/>
    <w:rsid w:val="00C22DE5"/>
    <w:rsid w:val="00C22EF7"/>
    <w:rsid w:val="00C2309F"/>
    <w:rsid w:val="00C23E99"/>
    <w:rsid w:val="00C244EE"/>
    <w:rsid w:val="00C24583"/>
    <w:rsid w:val="00C246D2"/>
    <w:rsid w:val="00C24799"/>
    <w:rsid w:val="00C24877"/>
    <w:rsid w:val="00C2527A"/>
    <w:rsid w:val="00C2540B"/>
    <w:rsid w:val="00C2542F"/>
    <w:rsid w:val="00C2545F"/>
    <w:rsid w:val="00C255A3"/>
    <w:rsid w:val="00C259B4"/>
    <w:rsid w:val="00C25A69"/>
    <w:rsid w:val="00C25C4A"/>
    <w:rsid w:val="00C25D47"/>
    <w:rsid w:val="00C260ED"/>
    <w:rsid w:val="00C26143"/>
    <w:rsid w:val="00C262DD"/>
    <w:rsid w:val="00C26B72"/>
    <w:rsid w:val="00C26BFF"/>
    <w:rsid w:val="00C27088"/>
    <w:rsid w:val="00C27191"/>
    <w:rsid w:val="00C27220"/>
    <w:rsid w:val="00C27288"/>
    <w:rsid w:val="00C2783F"/>
    <w:rsid w:val="00C27E35"/>
    <w:rsid w:val="00C302ED"/>
    <w:rsid w:val="00C309BF"/>
    <w:rsid w:val="00C30D46"/>
    <w:rsid w:val="00C314D4"/>
    <w:rsid w:val="00C316AE"/>
    <w:rsid w:val="00C316E7"/>
    <w:rsid w:val="00C31753"/>
    <w:rsid w:val="00C31793"/>
    <w:rsid w:val="00C318FD"/>
    <w:rsid w:val="00C31D1B"/>
    <w:rsid w:val="00C31F71"/>
    <w:rsid w:val="00C3235A"/>
    <w:rsid w:val="00C3264D"/>
    <w:rsid w:val="00C3268D"/>
    <w:rsid w:val="00C326E8"/>
    <w:rsid w:val="00C32800"/>
    <w:rsid w:val="00C32E6D"/>
    <w:rsid w:val="00C33039"/>
    <w:rsid w:val="00C33059"/>
    <w:rsid w:val="00C331E6"/>
    <w:rsid w:val="00C33245"/>
    <w:rsid w:val="00C33276"/>
    <w:rsid w:val="00C333C6"/>
    <w:rsid w:val="00C33450"/>
    <w:rsid w:val="00C33854"/>
    <w:rsid w:val="00C33D21"/>
    <w:rsid w:val="00C33D80"/>
    <w:rsid w:val="00C33E80"/>
    <w:rsid w:val="00C33F61"/>
    <w:rsid w:val="00C34022"/>
    <w:rsid w:val="00C3458A"/>
    <w:rsid w:val="00C3466F"/>
    <w:rsid w:val="00C35002"/>
    <w:rsid w:val="00C351A3"/>
    <w:rsid w:val="00C3532B"/>
    <w:rsid w:val="00C3536A"/>
    <w:rsid w:val="00C356F9"/>
    <w:rsid w:val="00C357B8"/>
    <w:rsid w:val="00C35A79"/>
    <w:rsid w:val="00C35D4F"/>
    <w:rsid w:val="00C36460"/>
    <w:rsid w:val="00C365D4"/>
    <w:rsid w:val="00C369E9"/>
    <w:rsid w:val="00C36E64"/>
    <w:rsid w:val="00C375FD"/>
    <w:rsid w:val="00C376B7"/>
    <w:rsid w:val="00C376F4"/>
    <w:rsid w:val="00C37873"/>
    <w:rsid w:val="00C379A6"/>
    <w:rsid w:val="00C37A6F"/>
    <w:rsid w:val="00C400EC"/>
    <w:rsid w:val="00C4016F"/>
    <w:rsid w:val="00C401DF"/>
    <w:rsid w:val="00C402EB"/>
    <w:rsid w:val="00C403D9"/>
    <w:rsid w:val="00C4041D"/>
    <w:rsid w:val="00C4056E"/>
    <w:rsid w:val="00C40607"/>
    <w:rsid w:val="00C40622"/>
    <w:rsid w:val="00C40794"/>
    <w:rsid w:val="00C40831"/>
    <w:rsid w:val="00C4095D"/>
    <w:rsid w:val="00C409C2"/>
    <w:rsid w:val="00C41073"/>
    <w:rsid w:val="00C41105"/>
    <w:rsid w:val="00C41227"/>
    <w:rsid w:val="00C4123E"/>
    <w:rsid w:val="00C41892"/>
    <w:rsid w:val="00C41B11"/>
    <w:rsid w:val="00C41C54"/>
    <w:rsid w:val="00C4206D"/>
    <w:rsid w:val="00C422FA"/>
    <w:rsid w:val="00C42808"/>
    <w:rsid w:val="00C42A76"/>
    <w:rsid w:val="00C42C20"/>
    <w:rsid w:val="00C42C23"/>
    <w:rsid w:val="00C42C6E"/>
    <w:rsid w:val="00C42CC6"/>
    <w:rsid w:val="00C42DC0"/>
    <w:rsid w:val="00C42DE9"/>
    <w:rsid w:val="00C42EAD"/>
    <w:rsid w:val="00C43483"/>
    <w:rsid w:val="00C434AA"/>
    <w:rsid w:val="00C43B48"/>
    <w:rsid w:val="00C43B55"/>
    <w:rsid w:val="00C43DCD"/>
    <w:rsid w:val="00C43F53"/>
    <w:rsid w:val="00C45ABD"/>
    <w:rsid w:val="00C45AD8"/>
    <w:rsid w:val="00C45BBE"/>
    <w:rsid w:val="00C45C15"/>
    <w:rsid w:val="00C4621B"/>
    <w:rsid w:val="00C462B5"/>
    <w:rsid w:val="00C463A5"/>
    <w:rsid w:val="00C465F3"/>
    <w:rsid w:val="00C4667F"/>
    <w:rsid w:val="00C46760"/>
    <w:rsid w:val="00C46965"/>
    <w:rsid w:val="00C46B24"/>
    <w:rsid w:val="00C470C8"/>
    <w:rsid w:val="00C50003"/>
    <w:rsid w:val="00C5015C"/>
    <w:rsid w:val="00C50427"/>
    <w:rsid w:val="00C50667"/>
    <w:rsid w:val="00C50715"/>
    <w:rsid w:val="00C50A52"/>
    <w:rsid w:val="00C50BFD"/>
    <w:rsid w:val="00C50C1B"/>
    <w:rsid w:val="00C50CC4"/>
    <w:rsid w:val="00C50E46"/>
    <w:rsid w:val="00C50F69"/>
    <w:rsid w:val="00C511DD"/>
    <w:rsid w:val="00C51342"/>
    <w:rsid w:val="00C51827"/>
    <w:rsid w:val="00C5190F"/>
    <w:rsid w:val="00C5199D"/>
    <w:rsid w:val="00C51AC3"/>
    <w:rsid w:val="00C52278"/>
    <w:rsid w:val="00C522CA"/>
    <w:rsid w:val="00C5261D"/>
    <w:rsid w:val="00C52B95"/>
    <w:rsid w:val="00C53295"/>
    <w:rsid w:val="00C53B91"/>
    <w:rsid w:val="00C54105"/>
    <w:rsid w:val="00C546C7"/>
    <w:rsid w:val="00C546FB"/>
    <w:rsid w:val="00C54A5B"/>
    <w:rsid w:val="00C54B11"/>
    <w:rsid w:val="00C54D86"/>
    <w:rsid w:val="00C54F53"/>
    <w:rsid w:val="00C5518E"/>
    <w:rsid w:val="00C55523"/>
    <w:rsid w:val="00C55BCF"/>
    <w:rsid w:val="00C55BEE"/>
    <w:rsid w:val="00C55DD1"/>
    <w:rsid w:val="00C55DE5"/>
    <w:rsid w:val="00C56277"/>
    <w:rsid w:val="00C562C8"/>
    <w:rsid w:val="00C56330"/>
    <w:rsid w:val="00C56361"/>
    <w:rsid w:val="00C56653"/>
    <w:rsid w:val="00C566C0"/>
    <w:rsid w:val="00C56755"/>
    <w:rsid w:val="00C56756"/>
    <w:rsid w:val="00C5681E"/>
    <w:rsid w:val="00C5694E"/>
    <w:rsid w:val="00C5697A"/>
    <w:rsid w:val="00C56C93"/>
    <w:rsid w:val="00C56D80"/>
    <w:rsid w:val="00C57040"/>
    <w:rsid w:val="00C573DA"/>
    <w:rsid w:val="00C57472"/>
    <w:rsid w:val="00C5776B"/>
    <w:rsid w:val="00C60806"/>
    <w:rsid w:val="00C60E32"/>
    <w:rsid w:val="00C60FFA"/>
    <w:rsid w:val="00C612CF"/>
    <w:rsid w:val="00C615AC"/>
    <w:rsid w:val="00C619B1"/>
    <w:rsid w:val="00C61BDA"/>
    <w:rsid w:val="00C61C15"/>
    <w:rsid w:val="00C61CE6"/>
    <w:rsid w:val="00C61E05"/>
    <w:rsid w:val="00C61E67"/>
    <w:rsid w:val="00C62207"/>
    <w:rsid w:val="00C62593"/>
    <w:rsid w:val="00C62BFD"/>
    <w:rsid w:val="00C62C17"/>
    <w:rsid w:val="00C62C79"/>
    <w:rsid w:val="00C62CAA"/>
    <w:rsid w:val="00C62F44"/>
    <w:rsid w:val="00C63198"/>
    <w:rsid w:val="00C6373A"/>
    <w:rsid w:val="00C63806"/>
    <w:rsid w:val="00C6389A"/>
    <w:rsid w:val="00C63A13"/>
    <w:rsid w:val="00C63AC9"/>
    <w:rsid w:val="00C63DD0"/>
    <w:rsid w:val="00C6441D"/>
    <w:rsid w:val="00C6446F"/>
    <w:rsid w:val="00C646B2"/>
    <w:rsid w:val="00C647D7"/>
    <w:rsid w:val="00C64A13"/>
    <w:rsid w:val="00C64BB8"/>
    <w:rsid w:val="00C64C7F"/>
    <w:rsid w:val="00C64F7D"/>
    <w:rsid w:val="00C65331"/>
    <w:rsid w:val="00C6547E"/>
    <w:rsid w:val="00C65617"/>
    <w:rsid w:val="00C65702"/>
    <w:rsid w:val="00C6575A"/>
    <w:rsid w:val="00C658E3"/>
    <w:rsid w:val="00C659F2"/>
    <w:rsid w:val="00C65AFA"/>
    <w:rsid w:val="00C65D17"/>
    <w:rsid w:val="00C66095"/>
    <w:rsid w:val="00C660A2"/>
    <w:rsid w:val="00C66313"/>
    <w:rsid w:val="00C66386"/>
    <w:rsid w:val="00C66607"/>
    <w:rsid w:val="00C6668E"/>
    <w:rsid w:val="00C66CFC"/>
    <w:rsid w:val="00C66F7B"/>
    <w:rsid w:val="00C6720D"/>
    <w:rsid w:val="00C67842"/>
    <w:rsid w:val="00C678FA"/>
    <w:rsid w:val="00C679DA"/>
    <w:rsid w:val="00C67AC8"/>
    <w:rsid w:val="00C67C44"/>
    <w:rsid w:val="00C67D9F"/>
    <w:rsid w:val="00C7019A"/>
    <w:rsid w:val="00C701B8"/>
    <w:rsid w:val="00C704AA"/>
    <w:rsid w:val="00C706AF"/>
    <w:rsid w:val="00C7085F"/>
    <w:rsid w:val="00C70946"/>
    <w:rsid w:val="00C70C55"/>
    <w:rsid w:val="00C70E99"/>
    <w:rsid w:val="00C7124A"/>
    <w:rsid w:val="00C7136F"/>
    <w:rsid w:val="00C71668"/>
    <w:rsid w:val="00C71C43"/>
    <w:rsid w:val="00C71FEA"/>
    <w:rsid w:val="00C72055"/>
    <w:rsid w:val="00C72066"/>
    <w:rsid w:val="00C7213B"/>
    <w:rsid w:val="00C722B2"/>
    <w:rsid w:val="00C722E1"/>
    <w:rsid w:val="00C72319"/>
    <w:rsid w:val="00C72441"/>
    <w:rsid w:val="00C724BC"/>
    <w:rsid w:val="00C727D4"/>
    <w:rsid w:val="00C72823"/>
    <w:rsid w:val="00C72DC3"/>
    <w:rsid w:val="00C72F51"/>
    <w:rsid w:val="00C73282"/>
    <w:rsid w:val="00C7368B"/>
    <w:rsid w:val="00C737D9"/>
    <w:rsid w:val="00C73823"/>
    <w:rsid w:val="00C73DE7"/>
    <w:rsid w:val="00C74157"/>
    <w:rsid w:val="00C74442"/>
    <w:rsid w:val="00C74459"/>
    <w:rsid w:val="00C74555"/>
    <w:rsid w:val="00C74B5F"/>
    <w:rsid w:val="00C74B9E"/>
    <w:rsid w:val="00C74C41"/>
    <w:rsid w:val="00C74D14"/>
    <w:rsid w:val="00C74D28"/>
    <w:rsid w:val="00C754CC"/>
    <w:rsid w:val="00C754ED"/>
    <w:rsid w:val="00C75535"/>
    <w:rsid w:val="00C7577B"/>
    <w:rsid w:val="00C7584A"/>
    <w:rsid w:val="00C7589F"/>
    <w:rsid w:val="00C7631D"/>
    <w:rsid w:val="00C76405"/>
    <w:rsid w:val="00C76E4B"/>
    <w:rsid w:val="00C76F96"/>
    <w:rsid w:val="00C7708D"/>
    <w:rsid w:val="00C771EB"/>
    <w:rsid w:val="00C775CB"/>
    <w:rsid w:val="00C776C3"/>
    <w:rsid w:val="00C77BC3"/>
    <w:rsid w:val="00C77CF1"/>
    <w:rsid w:val="00C77E2F"/>
    <w:rsid w:val="00C77EE4"/>
    <w:rsid w:val="00C80091"/>
    <w:rsid w:val="00C804DD"/>
    <w:rsid w:val="00C8050F"/>
    <w:rsid w:val="00C809E7"/>
    <w:rsid w:val="00C80C16"/>
    <w:rsid w:val="00C80D48"/>
    <w:rsid w:val="00C80EDE"/>
    <w:rsid w:val="00C8173A"/>
    <w:rsid w:val="00C8189E"/>
    <w:rsid w:val="00C819AB"/>
    <w:rsid w:val="00C81F4A"/>
    <w:rsid w:val="00C82002"/>
    <w:rsid w:val="00C821B3"/>
    <w:rsid w:val="00C821EB"/>
    <w:rsid w:val="00C8261D"/>
    <w:rsid w:val="00C82984"/>
    <w:rsid w:val="00C82FAA"/>
    <w:rsid w:val="00C83386"/>
    <w:rsid w:val="00C83D9A"/>
    <w:rsid w:val="00C83DCF"/>
    <w:rsid w:val="00C8411C"/>
    <w:rsid w:val="00C84242"/>
    <w:rsid w:val="00C84766"/>
    <w:rsid w:val="00C84781"/>
    <w:rsid w:val="00C8482D"/>
    <w:rsid w:val="00C84B2C"/>
    <w:rsid w:val="00C85277"/>
    <w:rsid w:val="00C857F2"/>
    <w:rsid w:val="00C858B3"/>
    <w:rsid w:val="00C85965"/>
    <w:rsid w:val="00C85BD1"/>
    <w:rsid w:val="00C8608E"/>
    <w:rsid w:val="00C861F0"/>
    <w:rsid w:val="00C86268"/>
    <w:rsid w:val="00C86D64"/>
    <w:rsid w:val="00C87340"/>
    <w:rsid w:val="00C873C4"/>
    <w:rsid w:val="00C876A3"/>
    <w:rsid w:val="00C876E7"/>
    <w:rsid w:val="00C87B1B"/>
    <w:rsid w:val="00C87C14"/>
    <w:rsid w:val="00C901B9"/>
    <w:rsid w:val="00C90609"/>
    <w:rsid w:val="00C90623"/>
    <w:rsid w:val="00C907E9"/>
    <w:rsid w:val="00C90892"/>
    <w:rsid w:val="00C90AA1"/>
    <w:rsid w:val="00C90DD0"/>
    <w:rsid w:val="00C9142B"/>
    <w:rsid w:val="00C91461"/>
    <w:rsid w:val="00C9165B"/>
    <w:rsid w:val="00C917E6"/>
    <w:rsid w:val="00C91A8C"/>
    <w:rsid w:val="00C91B4A"/>
    <w:rsid w:val="00C91C3C"/>
    <w:rsid w:val="00C91C61"/>
    <w:rsid w:val="00C91F7B"/>
    <w:rsid w:val="00C92067"/>
    <w:rsid w:val="00C9212A"/>
    <w:rsid w:val="00C9216F"/>
    <w:rsid w:val="00C921EF"/>
    <w:rsid w:val="00C92257"/>
    <w:rsid w:val="00C92B4E"/>
    <w:rsid w:val="00C93283"/>
    <w:rsid w:val="00C93645"/>
    <w:rsid w:val="00C936AD"/>
    <w:rsid w:val="00C939A3"/>
    <w:rsid w:val="00C93B20"/>
    <w:rsid w:val="00C94041"/>
    <w:rsid w:val="00C941F0"/>
    <w:rsid w:val="00C942E6"/>
    <w:rsid w:val="00C94791"/>
    <w:rsid w:val="00C947B1"/>
    <w:rsid w:val="00C94C39"/>
    <w:rsid w:val="00C94D4B"/>
    <w:rsid w:val="00C94E7B"/>
    <w:rsid w:val="00C94E8D"/>
    <w:rsid w:val="00C950C4"/>
    <w:rsid w:val="00C95104"/>
    <w:rsid w:val="00C95251"/>
    <w:rsid w:val="00C9532D"/>
    <w:rsid w:val="00C95566"/>
    <w:rsid w:val="00C95A94"/>
    <w:rsid w:val="00C95BD2"/>
    <w:rsid w:val="00C95BD7"/>
    <w:rsid w:val="00C961CD"/>
    <w:rsid w:val="00C963FD"/>
    <w:rsid w:val="00C9644D"/>
    <w:rsid w:val="00C968AB"/>
    <w:rsid w:val="00C96B6E"/>
    <w:rsid w:val="00C972B3"/>
    <w:rsid w:val="00C978BF"/>
    <w:rsid w:val="00C978C7"/>
    <w:rsid w:val="00C97A12"/>
    <w:rsid w:val="00C97E1E"/>
    <w:rsid w:val="00CA0816"/>
    <w:rsid w:val="00CA09A6"/>
    <w:rsid w:val="00CA10C4"/>
    <w:rsid w:val="00CA13E2"/>
    <w:rsid w:val="00CA1440"/>
    <w:rsid w:val="00CA17BF"/>
    <w:rsid w:val="00CA198B"/>
    <w:rsid w:val="00CA1BAB"/>
    <w:rsid w:val="00CA2819"/>
    <w:rsid w:val="00CA2C7D"/>
    <w:rsid w:val="00CA31D3"/>
    <w:rsid w:val="00CA33BE"/>
    <w:rsid w:val="00CA348E"/>
    <w:rsid w:val="00CA3F08"/>
    <w:rsid w:val="00CA3F8C"/>
    <w:rsid w:val="00CA44FB"/>
    <w:rsid w:val="00CA4669"/>
    <w:rsid w:val="00CA49A1"/>
    <w:rsid w:val="00CA4E3B"/>
    <w:rsid w:val="00CA56FB"/>
    <w:rsid w:val="00CA5915"/>
    <w:rsid w:val="00CA59BB"/>
    <w:rsid w:val="00CA59DE"/>
    <w:rsid w:val="00CA5AF7"/>
    <w:rsid w:val="00CA5C45"/>
    <w:rsid w:val="00CA625C"/>
    <w:rsid w:val="00CA6748"/>
    <w:rsid w:val="00CA6A72"/>
    <w:rsid w:val="00CA6ABD"/>
    <w:rsid w:val="00CA6E6C"/>
    <w:rsid w:val="00CA6E98"/>
    <w:rsid w:val="00CA7369"/>
    <w:rsid w:val="00CA763A"/>
    <w:rsid w:val="00CA7647"/>
    <w:rsid w:val="00CA77E3"/>
    <w:rsid w:val="00CA78CB"/>
    <w:rsid w:val="00CA7A66"/>
    <w:rsid w:val="00CA7C5F"/>
    <w:rsid w:val="00CA7C9E"/>
    <w:rsid w:val="00CA7E38"/>
    <w:rsid w:val="00CA7F06"/>
    <w:rsid w:val="00CA7F9D"/>
    <w:rsid w:val="00CB00F0"/>
    <w:rsid w:val="00CB07AF"/>
    <w:rsid w:val="00CB1244"/>
    <w:rsid w:val="00CB14FD"/>
    <w:rsid w:val="00CB1796"/>
    <w:rsid w:val="00CB17A6"/>
    <w:rsid w:val="00CB1A2E"/>
    <w:rsid w:val="00CB1FA6"/>
    <w:rsid w:val="00CB2263"/>
    <w:rsid w:val="00CB2424"/>
    <w:rsid w:val="00CB2F72"/>
    <w:rsid w:val="00CB32C9"/>
    <w:rsid w:val="00CB334A"/>
    <w:rsid w:val="00CB33DB"/>
    <w:rsid w:val="00CB389A"/>
    <w:rsid w:val="00CB39AB"/>
    <w:rsid w:val="00CB3A9A"/>
    <w:rsid w:val="00CB3ABD"/>
    <w:rsid w:val="00CB44E2"/>
    <w:rsid w:val="00CB457D"/>
    <w:rsid w:val="00CB47D0"/>
    <w:rsid w:val="00CB4893"/>
    <w:rsid w:val="00CB4A2B"/>
    <w:rsid w:val="00CB4BA2"/>
    <w:rsid w:val="00CB4C2A"/>
    <w:rsid w:val="00CB4D56"/>
    <w:rsid w:val="00CB4F0A"/>
    <w:rsid w:val="00CB5124"/>
    <w:rsid w:val="00CB5142"/>
    <w:rsid w:val="00CB57D7"/>
    <w:rsid w:val="00CB58A9"/>
    <w:rsid w:val="00CB595B"/>
    <w:rsid w:val="00CB59EC"/>
    <w:rsid w:val="00CB5A0A"/>
    <w:rsid w:val="00CB5B92"/>
    <w:rsid w:val="00CB5E63"/>
    <w:rsid w:val="00CB603F"/>
    <w:rsid w:val="00CB616F"/>
    <w:rsid w:val="00CB63F1"/>
    <w:rsid w:val="00CB664B"/>
    <w:rsid w:val="00CB6968"/>
    <w:rsid w:val="00CB69C4"/>
    <w:rsid w:val="00CB6ACB"/>
    <w:rsid w:val="00CB6E7C"/>
    <w:rsid w:val="00CB70D9"/>
    <w:rsid w:val="00CB72CB"/>
    <w:rsid w:val="00CB7477"/>
    <w:rsid w:val="00CB78FF"/>
    <w:rsid w:val="00CB7994"/>
    <w:rsid w:val="00CB7C36"/>
    <w:rsid w:val="00CB7C74"/>
    <w:rsid w:val="00CB7FF1"/>
    <w:rsid w:val="00CC027B"/>
    <w:rsid w:val="00CC04A6"/>
    <w:rsid w:val="00CC0614"/>
    <w:rsid w:val="00CC076E"/>
    <w:rsid w:val="00CC08F8"/>
    <w:rsid w:val="00CC0BD8"/>
    <w:rsid w:val="00CC1485"/>
    <w:rsid w:val="00CC1718"/>
    <w:rsid w:val="00CC1746"/>
    <w:rsid w:val="00CC1839"/>
    <w:rsid w:val="00CC18E8"/>
    <w:rsid w:val="00CC1A88"/>
    <w:rsid w:val="00CC1C63"/>
    <w:rsid w:val="00CC2609"/>
    <w:rsid w:val="00CC2765"/>
    <w:rsid w:val="00CC2A0D"/>
    <w:rsid w:val="00CC2CDF"/>
    <w:rsid w:val="00CC30C3"/>
    <w:rsid w:val="00CC332E"/>
    <w:rsid w:val="00CC34D2"/>
    <w:rsid w:val="00CC35C9"/>
    <w:rsid w:val="00CC367D"/>
    <w:rsid w:val="00CC3899"/>
    <w:rsid w:val="00CC3A41"/>
    <w:rsid w:val="00CC3CAC"/>
    <w:rsid w:val="00CC3E70"/>
    <w:rsid w:val="00CC41B5"/>
    <w:rsid w:val="00CC4554"/>
    <w:rsid w:val="00CC45A3"/>
    <w:rsid w:val="00CC4D64"/>
    <w:rsid w:val="00CC4E88"/>
    <w:rsid w:val="00CC4F44"/>
    <w:rsid w:val="00CC50A9"/>
    <w:rsid w:val="00CC5294"/>
    <w:rsid w:val="00CC5525"/>
    <w:rsid w:val="00CC5703"/>
    <w:rsid w:val="00CC585E"/>
    <w:rsid w:val="00CC5B3A"/>
    <w:rsid w:val="00CC5D81"/>
    <w:rsid w:val="00CC6185"/>
    <w:rsid w:val="00CC648A"/>
    <w:rsid w:val="00CC6DA1"/>
    <w:rsid w:val="00CC6E0D"/>
    <w:rsid w:val="00CC7626"/>
    <w:rsid w:val="00CC7A19"/>
    <w:rsid w:val="00CC7D58"/>
    <w:rsid w:val="00CD00A7"/>
    <w:rsid w:val="00CD031C"/>
    <w:rsid w:val="00CD034B"/>
    <w:rsid w:val="00CD0845"/>
    <w:rsid w:val="00CD0A98"/>
    <w:rsid w:val="00CD0CF0"/>
    <w:rsid w:val="00CD0CFC"/>
    <w:rsid w:val="00CD0FB2"/>
    <w:rsid w:val="00CD0FF3"/>
    <w:rsid w:val="00CD19AB"/>
    <w:rsid w:val="00CD1C83"/>
    <w:rsid w:val="00CD1F52"/>
    <w:rsid w:val="00CD22C0"/>
    <w:rsid w:val="00CD2797"/>
    <w:rsid w:val="00CD364B"/>
    <w:rsid w:val="00CD37F8"/>
    <w:rsid w:val="00CD3BAF"/>
    <w:rsid w:val="00CD415C"/>
    <w:rsid w:val="00CD44CD"/>
    <w:rsid w:val="00CD4B0E"/>
    <w:rsid w:val="00CD513E"/>
    <w:rsid w:val="00CD5147"/>
    <w:rsid w:val="00CD515B"/>
    <w:rsid w:val="00CD51AA"/>
    <w:rsid w:val="00CD537D"/>
    <w:rsid w:val="00CD574F"/>
    <w:rsid w:val="00CD59BB"/>
    <w:rsid w:val="00CD5AC2"/>
    <w:rsid w:val="00CD5F2B"/>
    <w:rsid w:val="00CD5F4C"/>
    <w:rsid w:val="00CD60B0"/>
    <w:rsid w:val="00CD6160"/>
    <w:rsid w:val="00CD620B"/>
    <w:rsid w:val="00CD622B"/>
    <w:rsid w:val="00CD678C"/>
    <w:rsid w:val="00CD68DD"/>
    <w:rsid w:val="00CD6D7E"/>
    <w:rsid w:val="00CD6D8F"/>
    <w:rsid w:val="00CD7091"/>
    <w:rsid w:val="00CD70DB"/>
    <w:rsid w:val="00CD7852"/>
    <w:rsid w:val="00CD7CB0"/>
    <w:rsid w:val="00CE0174"/>
    <w:rsid w:val="00CE03A5"/>
    <w:rsid w:val="00CE060E"/>
    <w:rsid w:val="00CE0B6D"/>
    <w:rsid w:val="00CE0CB9"/>
    <w:rsid w:val="00CE0E6F"/>
    <w:rsid w:val="00CE1406"/>
    <w:rsid w:val="00CE15B7"/>
    <w:rsid w:val="00CE189E"/>
    <w:rsid w:val="00CE1AAF"/>
    <w:rsid w:val="00CE2057"/>
    <w:rsid w:val="00CE2077"/>
    <w:rsid w:val="00CE2132"/>
    <w:rsid w:val="00CE2E6B"/>
    <w:rsid w:val="00CE2F8A"/>
    <w:rsid w:val="00CE355D"/>
    <w:rsid w:val="00CE3768"/>
    <w:rsid w:val="00CE3C01"/>
    <w:rsid w:val="00CE41A2"/>
    <w:rsid w:val="00CE4334"/>
    <w:rsid w:val="00CE43EA"/>
    <w:rsid w:val="00CE4487"/>
    <w:rsid w:val="00CE4639"/>
    <w:rsid w:val="00CE47CA"/>
    <w:rsid w:val="00CE4A9A"/>
    <w:rsid w:val="00CE4EBA"/>
    <w:rsid w:val="00CE5113"/>
    <w:rsid w:val="00CE550F"/>
    <w:rsid w:val="00CE5515"/>
    <w:rsid w:val="00CE559A"/>
    <w:rsid w:val="00CE55AB"/>
    <w:rsid w:val="00CE55D6"/>
    <w:rsid w:val="00CE583A"/>
    <w:rsid w:val="00CE60FD"/>
    <w:rsid w:val="00CE610E"/>
    <w:rsid w:val="00CE6146"/>
    <w:rsid w:val="00CE6196"/>
    <w:rsid w:val="00CE672A"/>
    <w:rsid w:val="00CE690E"/>
    <w:rsid w:val="00CE69E6"/>
    <w:rsid w:val="00CE7033"/>
    <w:rsid w:val="00CE703B"/>
    <w:rsid w:val="00CE7252"/>
    <w:rsid w:val="00CE725A"/>
    <w:rsid w:val="00CE7395"/>
    <w:rsid w:val="00CE7559"/>
    <w:rsid w:val="00CE759A"/>
    <w:rsid w:val="00CE76A7"/>
    <w:rsid w:val="00CE7886"/>
    <w:rsid w:val="00CE7B6E"/>
    <w:rsid w:val="00CE7D8B"/>
    <w:rsid w:val="00CE7F48"/>
    <w:rsid w:val="00CE7FB0"/>
    <w:rsid w:val="00CF020D"/>
    <w:rsid w:val="00CF04EF"/>
    <w:rsid w:val="00CF071C"/>
    <w:rsid w:val="00CF0D8D"/>
    <w:rsid w:val="00CF1193"/>
    <w:rsid w:val="00CF192B"/>
    <w:rsid w:val="00CF1BCD"/>
    <w:rsid w:val="00CF20EB"/>
    <w:rsid w:val="00CF2227"/>
    <w:rsid w:val="00CF2519"/>
    <w:rsid w:val="00CF25E7"/>
    <w:rsid w:val="00CF271A"/>
    <w:rsid w:val="00CF2774"/>
    <w:rsid w:val="00CF290E"/>
    <w:rsid w:val="00CF2A3A"/>
    <w:rsid w:val="00CF3002"/>
    <w:rsid w:val="00CF3344"/>
    <w:rsid w:val="00CF3859"/>
    <w:rsid w:val="00CF38F6"/>
    <w:rsid w:val="00CF3A76"/>
    <w:rsid w:val="00CF3A93"/>
    <w:rsid w:val="00CF3AC0"/>
    <w:rsid w:val="00CF3C16"/>
    <w:rsid w:val="00CF3E7F"/>
    <w:rsid w:val="00CF3E90"/>
    <w:rsid w:val="00CF3F44"/>
    <w:rsid w:val="00CF3FD4"/>
    <w:rsid w:val="00CF4140"/>
    <w:rsid w:val="00CF46D5"/>
    <w:rsid w:val="00CF4B1C"/>
    <w:rsid w:val="00CF4B8D"/>
    <w:rsid w:val="00CF4C86"/>
    <w:rsid w:val="00CF4F02"/>
    <w:rsid w:val="00CF55C5"/>
    <w:rsid w:val="00CF586B"/>
    <w:rsid w:val="00CF5A92"/>
    <w:rsid w:val="00CF5C25"/>
    <w:rsid w:val="00CF5C74"/>
    <w:rsid w:val="00CF5FA6"/>
    <w:rsid w:val="00CF6094"/>
    <w:rsid w:val="00CF628E"/>
    <w:rsid w:val="00CF67CE"/>
    <w:rsid w:val="00CF68FB"/>
    <w:rsid w:val="00CF6D1A"/>
    <w:rsid w:val="00CF6D6F"/>
    <w:rsid w:val="00CF6DA8"/>
    <w:rsid w:val="00CF6F78"/>
    <w:rsid w:val="00CF7A57"/>
    <w:rsid w:val="00CF7E68"/>
    <w:rsid w:val="00D00492"/>
    <w:rsid w:val="00D00810"/>
    <w:rsid w:val="00D0093C"/>
    <w:rsid w:val="00D00C8B"/>
    <w:rsid w:val="00D00CBC"/>
    <w:rsid w:val="00D00E68"/>
    <w:rsid w:val="00D00F5F"/>
    <w:rsid w:val="00D0169B"/>
    <w:rsid w:val="00D01744"/>
    <w:rsid w:val="00D0188D"/>
    <w:rsid w:val="00D019A1"/>
    <w:rsid w:val="00D01B27"/>
    <w:rsid w:val="00D0216C"/>
    <w:rsid w:val="00D021F9"/>
    <w:rsid w:val="00D02280"/>
    <w:rsid w:val="00D0264D"/>
    <w:rsid w:val="00D0281D"/>
    <w:rsid w:val="00D03084"/>
    <w:rsid w:val="00D031BC"/>
    <w:rsid w:val="00D036C7"/>
    <w:rsid w:val="00D038DA"/>
    <w:rsid w:val="00D03912"/>
    <w:rsid w:val="00D039F5"/>
    <w:rsid w:val="00D03E4E"/>
    <w:rsid w:val="00D03F30"/>
    <w:rsid w:val="00D04023"/>
    <w:rsid w:val="00D0403E"/>
    <w:rsid w:val="00D04104"/>
    <w:rsid w:val="00D046F9"/>
    <w:rsid w:val="00D0495B"/>
    <w:rsid w:val="00D049FA"/>
    <w:rsid w:val="00D04A80"/>
    <w:rsid w:val="00D04AD1"/>
    <w:rsid w:val="00D04BBE"/>
    <w:rsid w:val="00D0540F"/>
    <w:rsid w:val="00D055F5"/>
    <w:rsid w:val="00D05776"/>
    <w:rsid w:val="00D057C5"/>
    <w:rsid w:val="00D05854"/>
    <w:rsid w:val="00D05B88"/>
    <w:rsid w:val="00D05C37"/>
    <w:rsid w:val="00D0642A"/>
    <w:rsid w:val="00D06476"/>
    <w:rsid w:val="00D067CA"/>
    <w:rsid w:val="00D06D9D"/>
    <w:rsid w:val="00D07174"/>
    <w:rsid w:val="00D0730C"/>
    <w:rsid w:val="00D0743D"/>
    <w:rsid w:val="00D0752F"/>
    <w:rsid w:val="00D0773C"/>
    <w:rsid w:val="00D07757"/>
    <w:rsid w:val="00D07CDF"/>
    <w:rsid w:val="00D07FE9"/>
    <w:rsid w:val="00D101D3"/>
    <w:rsid w:val="00D109D3"/>
    <w:rsid w:val="00D109EE"/>
    <w:rsid w:val="00D10C6E"/>
    <w:rsid w:val="00D10E5A"/>
    <w:rsid w:val="00D10E7C"/>
    <w:rsid w:val="00D10FC3"/>
    <w:rsid w:val="00D110EA"/>
    <w:rsid w:val="00D111B5"/>
    <w:rsid w:val="00D11307"/>
    <w:rsid w:val="00D1185C"/>
    <w:rsid w:val="00D11C02"/>
    <w:rsid w:val="00D11C36"/>
    <w:rsid w:val="00D1203E"/>
    <w:rsid w:val="00D12B01"/>
    <w:rsid w:val="00D12DDF"/>
    <w:rsid w:val="00D132D6"/>
    <w:rsid w:val="00D134A6"/>
    <w:rsid w:val="00D1360B"/>
    <w:rsid w:val="00D137E0"/>
    <w:rsid w:val="00D13842"/>
    <w:rsid w:val="00D138BA"/>
    <w:rsid w:val="00D139B8"/>
    <w:rsid w:val="00D13A09"/>
    <w:rsid w:val="00D13D31"/>
    <w:rsid w:val="00D13D65"/>
    <w:rsid w:val="00D13E5A"/>
    <w:rsid w:val="00D13FEB"/>
    <w:rsid w:val="00D14080"/>
    <w:rsid w:val="00D14224"/>
    <w:rsid w:val="00D14390"/>
    <w:rsid w:val="00D14A94"/>
    <w:rsid w:val="00D1525C"/>
    <w:rsid w:val="00D15A55"/>
    <w:rsid w:val="00D15BAA"/>
    <w:rsid w:val="00D15D1C"/>
    <w:rsid w:val="00D1617F"/>
    <w:rsid w:val="00D1621A"/>
    <w:rsid w:val="00D16315"/>
    <w:rsid w:val="00D16405"/>
    <w:rsid w:val="00D164E3"/>
    <w:rsid w:val="00D16735"/>
    <w:rsid w:val="00D16A34"/>
    <w:rsid w:val="00D16A82"/>
    <w:rsid w:val="00D16D95"/>
    <w:rsid w:val="00D16EC6"/>
    <w:rsid w:val="00D173DB"/>
    <w:rsid w:val="00D17551"/>
    <w:rsid w:val="00D175D5"/>
    <w:rsid w:val="00D1762F"/>
    <w:rsid w:val="00D17AFA"/>
    <w:rsid w:val="00D17C97"/>
    <w:rsid w:val="00D17FB5"/>
    <w:rsid w:val="00D20058"/>
    <w:rsid w:val="00D2011E"/>
    <w:rsid w:val="00D2042D"/>
    <w:rsid w:val="00D20AFB"/>
    <w:rsid w:val="00D20C70"/>
    <w:rsid w:val="00D20E97"/>
    <w:rsid w:val="00D21074"/>
    <w:rsid w:val="00D213F2"/>
    <w:rsid w:val="00D214FE"/>
    <w:rsid w:val="00D21910"/>
    <w:rsid w:val="00D21989"/>
    <w:rsid w:val="00D21B18"/>
    <w:rsid w:val="00D21B6B"/>
    <w:rsid w:val="00D21F00"/>
    <w:rsid w:val="00D220A5"/>
    <w:rsid w:val="00D221E3"/>
    <w:rsid w:val="00D222BC"/>
    <w:rsid w:val="00D2271D"/>
    <w:rsid w:val="00D227E8"/>
    <w:rsid w:val="00D22BC3"/>
    <w:rsid w:val="00D22F9C"/>
    <w:rsid w:val="00D230AB"/>
    <w:rsid w:val="00D230E5"/>
    <w:rsid w:val="00D23262"/>
    <w:rsid w:val="00D23395"/>
    <w:rsid w:val="00D23470"/>
    <w:rsid w:val="00D235EB"/>
    <w:rsid w:val="00D238B8"/>
    <w:rsid w:val="00D24518"/>
    <w:rsid w:val="00D2468B"/>
    <w:rsid w:val="00D24A78"/>
    <w:rsid w:val="00D24B1E"/>
    <w:rsid w:val="00D24DA4"/>
    <w:rsid w:val="00D25775"/>
    <w:rsid w:val="00D25C44"/>
    <w:rsid w:val="00D25CBC"/>
    <w:rsid w:val="00D261FE"/>
    <w:rsid w:val="00D26970"/>
    <w:rsid w:val="00D26B49"/>
    <w:rsid w:val="00D26B5C"/>
    <w:rsid w:val="00D26D40"/>
    <w:rsid w:val="00D26FA0"/>
    <w:rsid w:val="00D270E7"/>
    <w:rsid w:val="00D272E5"/>
    <w:rsid w:val="00D27322"/>
    <w:rsid w:val="00D273C3"/>
    <w:rsid w:val="00D27AA7"/>
    <w:rsid w:val="00D27D3B"/>
    <w:rsid w:val="00D305B4"/>
    <w:rsid w:val="00D30672"/>
    <w:rsid w:val="00D30C91"/>
    <w:rsid w:val="00D31550"/>
    <w:rsid w:val="00D31727"/>
    <w:rsid w:val="00D317AD"/>
    <w:rsid w:val="00D317E1"/>
    <w:rsid w:val="00D319FB"/>
    <w:rsid w:val="00D322FE"/>
    <w:rsid w:val="00D3251C"/>
    <w:rsid w:val="00D32562"/>
    <w:rsid w:val="00D3263A"/>
    <w:rsid w:val="00D326D9"/>
    <w:rsid w:val="00D327C7"/>
    <w:rsid w:val="00D32922"/>
    <w:rsid w:val="00D32A16"/>
    <w:rsid w:val="00D32B0A"/>
    <w:rsid w:val="00D32FB1"/>
    <w:rsid w:val="00D33126"/>
    <w:rsid w:val="00D331CD"/>
    <w:rsid w:val="00D331DE"/>
    <w:rsid w:val="00D333CF"/>
    <w:rsid w:val="00D33427"/>
    <w:rsid w:val="00D335C0"/>
    <w:rsid w:val="00D33C2D"/>
    <w:rsid w:val="00D33FF2"/>
    <w:rsid w:val="00D34263"/>
    <w:rsid w:val="00D342D2"/>
    <w:rsid w:val="00D343B4"/>
    <w:rsid w:val="00D346C3"/>
    <w:rsid w:val="00D34D3B"/>
    <w:rsid w:val="00D34DBA"/>
    <w:rsid w:val="00D34E5D"/>
    <w:rsid w:val="00D34F11"/>
    <w:rsid w:val="00D3501E"/>
    <w:rsid w:val="00D35172"/>
    <w:rsid w:val="00D3552A"/>
    <w:rsid w:val="00D35564"/>
    <w:rsid w:val="00D357C6"/>
    <w:rsid w:val="00D35A16"/>
    <w:rsid w:val="00D35EF5"/>
    <w:rsid w:val="00D36159"/>
    <w:rsid w:val="00D3662E"/>
    <w:rsid w:val="00D366F2"/>
    <w:rsid w:val="00D36CA7"/>
    <w:rsid w:val="00D36ED8"/>
    <w:rsid w:val="00D3706A"/>
    <w:rsid w:val="00D3714B"/>
    <w:rsid w:val="00D374D9"/>
    <w:rsid w:val="00D37888"/>
    <w:rsid w:val="00D4049C"/>
    <w:rsid w:val="00D404FC"/>
    <w:rsid w:val="00D40639"/>
    <w:rsid w:val="00D40800"/>
    <w:rsid w:val="00D409C0"/>
    <w:rsid w:val="00D40C54"/>
    <w:rsid w:val="00D410FC"/>
    <w:rsid w:val="00D413B8"/>
    <w:rsid w:val="00D414DD"/>
    <w:rsid w:val="00D41958"/>
    <w:rsid w:val="00D41C28"/>
    <w:rsid w:val="00D41D5C"/>
    <w:rsid w:val="00D41E65"/>
    <w:rsid w:val="00D421A7"/>
    <w:rsid w:val="00D423D3"/>
    <w:rsid w:val="00D42494"/>
    <w:rsid w:val="00D4250C"/>
    <w:rsid w:val="00D425C4"/>
    <w:rsid w:val="00D42D20"/>
    <w:rsid w:val="00D42E38"/>
    <w:rsid w:val="00D42F87"/>
    <w:rsid w:val="00D43386"/>
    <w:rsid w:val="00D43839"/>
    <w:rsid w:val="00D4396F"/>
    <w:rsid w:val="00D439AC"/>
    <w:rsid w:val="00D43B9D"/>
    <w:rsid w:val="00D44938"/>
    <w:rsid w:val="00D44E03"/>
    <w:rsid w:val="00D451A5"/>
    <w:rsid w:val="00D4521A"/>
    <w:rsid w:val="00D45A05"/>
    <w:rsid w:val="00D45B57"/>
    <w:rsid w:val="00D45C8B"/>
    <w:rsid w:val="00D463DE"/>
    <w:rsid w:val="00D46645"/>
    <w:rsid w:val="00D46A3B"/>
    <w:rsid w:val="00D46C6F"/>
    <w:rsid w:val="00D46D37"/>
    <w:rsid w:val="00D46FE4"/>
    <w:rsid w:val="00D4734F"/>
    <w:rsid w:val="00D473B0"/>
    <w:rsid w:val="00D473EC"/>
    <w:rsid w:val="00D477DB"/>
    <w:rsid w:val="00D4786A"/>
    <w:rsid w:val="00D479E1"/>
    <w:rsid w:val="00D47E36"/>
    <w:rsid w:val="00D5009A"/>
    <w:rsid w:val="00D50150"/>
    <w:rsid w:val="00D5017E"/>
    <w:rsid w:val="00D50501"/>
    <w:rsid w:val="00D50697"/>
    <w:rsid w:val="00D50712"/>
    <w:rsid w:val="00D50ADE"/>
    <w:rsid w:val="00D50C07"/>
    <w:rsid w:val="00D5120A"/>
    <w:rsid w:val="00D5132C"/>
    <w:rsid w:val="00D513BF"/>
    <w:rsid w:val="00D51513"/>
    <w:rsid w:val="00D517D4"/>
    <w:rsid w:val="00D51B2A"/>
    <w:rsid w:val="00D51BC9"/>
    <w:rsid w:val="00D51BD2"/>
    <w:rsid w:val="00D51FC6"/>
    <w:rsid w:val="00D5204C"/>
    <w:rsid w:val="00D5239D"/>
    <w:rsid w:val="00D53069"/>
    <w:rsid w:val="00D5333B"/>
    <w:rsid w:val="00D53352"/>
    <w:rsid w:val="00D5353A"/>
    <w:rsid w:val="00D537C4"/>
    <w:rsid w:val="00D537E1"/>
    <w:rsid w:val="00D53AB4"/>
    <w:rsid w:val="00D53C4B"/>
    <w:rsid w:val="00D53DC9"/>
    <w:rsid w:val="00D540D2"/>
    <w:rsid w:val="00D543CD"/>
    <w:rsid w:val="00D54508"/>
    <w:rsid w:val="00D549F9"/>
    <w:rsid w:val="00D54AA5"/>
    <w:rsid w:val="00D54D7F"/>
    <w:rsid w:val="00D55097"/>
    <w:rsid w:val="00D555DA"/>
    <w:rsid w:val="00D556D0"/>
    <w:rsid w:val="00D55CBD"/>
    <w:rsid w:val="00D560CE"/>
    <w:rsid w:val="00D5629D"/>
    <w:rsid w:val="00D56340"/>
    <w:rsid w:val="00D563BD"/>
    <w:rsid w:val="00D563FD"/>
    <w:rsid w:val="00D56ACD"/>
    <w:rsid w:val="00D56B32"/>
    <w:rsid w:val="00D56DE0"/>
    <w:rsid w:val="00D56F8A"/>
    <w:rsid w:val="00D573D2"/>
    <w:rsid w:val="00D574C6"/>
    <w:rsid w:val="00D57559"/>
    <w:rsid w:val="00D57655"/>
    <w:rsid w:val="00D57C02"/>
    <w:rsid w:val="00D57D2A"/>
    <w:rsid w:val="00D5E6FA"/>
    <w:rsid w:val="00D60198"/>
    <w:rsid w:val="00D6063A"/>
    <w:rsid w:val="00D60926"/>
    <w:rsid w:val="00D6097E"/>
    <w:rsid w:val="00D60F85"/>
    <w:rsid w:val="00D6182F"/>
    <w:rsid w:val="00D61845"/>
    <w:rsid w:val="00D61A15"/>
    <w:rsid w:val="00D61B53"/>
    <w:rsid w:val="00D621CF"/>
    <w:rsid w:val="00D628C8"/>
    <w:rsid w:val="00D62950"/>
    <w:rsid w:val="00D62A6B"/>
    <w:rsid w:val="00D62AF9"/>
    <w:rsid w:val="00D62B26"/>
    <w:rsid w:val="00D62BF5"/>
    <w:rsid w:val="00D62EED"/>
    <w:rsid w:val="00D63062"/>
    <w:rsid w:val="00D630A1"/>
    <w:rsid w:val="00D63746"/>
    <w:rsid w:val="00D63778"/>
    <w:rsid w:val="00D6390C"/>
    <w:rsid w:val="00D639E2"/>
    <w:rsid w:val="00D63C9B"/>
    <w:rsid w:val="00D640E4"/>
    <w:rsid w:val="00D643B1"/>
    <w:rsid w:val="00D646A3"/>
    <w:rsid w:val="00D64713"/>
    <w:rsid w:val="00D6485B"/>
    <w:rsid w:val="00D64FF4"/>
    <w:rsid w:val="00D6508E"/>
    <w:rsid w:val="00D6537D"/>
    <w:rsid w:val="00D6561E"/>
    <w:rsid w:val="00D657F9"/>
    <w:rsid w:val="00D65D40"/>
    <w:rsid w:val="00D65E0B"/>
    <w:rsid w:val="00D660AC"/>
    <w:rsid w:val="00D66813"/>
    <w:rsid w:val="00D6686E"/>
    <w:rsid w:val="00D66B22"/>
    <w:rsid w:val="00D66CC9"/>
    <w:rsid w:val="00D66D65"/>
    <w:rsid w:val="00D67012"/>
    <w:rsid w:val="00D67093"/>
    <w:rsid w:val="00D67375"/>
    <w:rsid w:val="00D674F4"/>
    <w:rsid w:val="00D6751C"/>
    <w:rsid w:val="00D675DD"/>
    <w:rsid w:val="00D67714"/>
    <w:rsid w:val="00D679F2"/>
    <w:rsid w:val="00D67F44"/>
    <w:rsid w:val="00D7000C"/>
    <w:rsid w:val="00D70051"/>
    <w:rsid w:val="00D70378"/>
    <w:rsid w:val="00D703E9"/>
    <w:rsid w:val="00D70572"/>
    <w:rsid w:val="00D70A6A"/>
    <w:rsid w:val="00D70B75"/>
    <w:rsid w:val="00D70BE7"/>
    <w:rsid w:val="00D711AA"/>
    <w:rsid w:val="00D7122D"/>
    <w:rsid w:val="00D71360"/>
    <w:rsid w:val="00D71D42"/>
    <w:rsid w:val="00D71DBB"/>
    <w:rsid w:val="00D71E12"/>
    <w:rsid w:val="00D71FA1"/>
    <w:rsid w:val="00D72453"/>
    <w:rsid w:val="00D72625"/>
    <w:rsid w:val="00D727E4"/>
    <w:rsid w:val="00D72DE2"/>
    <w:rsid w:val="00D72DE9"/>
    <w:rsid w:val="00D72FBC"/>
    <w:rsid w:val="00D72FCA"/>
    <w:rsid w:val="00D730F6"/>
    <w:rsid w:val="00D738F8"/>
    <w:rsid w:val="00D73E9A"/>
    <w:rsid w:val="00D73F51"/>
    <w:rsid w:val="00D73FA7"/>
    <w:rsid w:val="00D7444A"/>
    <w:rsid w:val="00D74853"/>
    <w:rsid w:val="00D74AA7"/>
    <w:rsid w:val="00D74D88"/>
    <w:rsid w:val="00D7563E"/>
    <w:rsid w:val="00D75CD4"/>
    <w:rsid w:val="00D75D42"/>
    <w:rsid w:val="00D75EBE"/>
    <w:rsid w:val="00D760B5"/>
    <w:rsid w:val="00D7626C"/>
    <w:rsid w:val="00D766A6"/>
    <w:rsid w:val="00D76721"/>
    <w:rsid w:val="00D76BE1"/>
    <w:rsid w:val="00D76C31"/>
    <w:rsid w:val="00D76C56"/>
    <w:rsid w:val="00D76CD1"/>
    <w:rsid w:val="00D76D2F"/>
    <w:rsid w:val="00D76E32"/>
    <w:rsid w:val="00D76EBC"/>
    <w:rsid w:val="00D770BD"/>
    <w:rsid w:val="00D770E3"/>
    <w:rsid w:val="00D7722B"/>
    <w:rsid w:val="00D774D2"/>
    <w:rsid w:val="00D776E3"/>
    <w:rsid w:val="00D77F32"/>
    <w:rsid w:val="00D803C4"/>
    <w:rsid w:val="00D80735"/>
    <w:rsid w:val="00D80D19"/>
    <w:rsid w:val="00D80D68"/>
    <w:rsid w:val="00D80E3B"/>
    <w:rsid w:val="00D810BF"/>
    <w:rsid w:val="00D8139A"/>
    <w:rsid w:val="00D813BC"/>
    <w:rsid w:val="00D818DF"/>
    <w:rsid w:val="00D81AA3"/>
    <w:rsid w:val="00D81EB6"/>
    <w:rsid w:val="00D81EF2"/>
    <w:rsid w:val="00D8274F"/>
    <w:rsid w:val="00D82C3F"/>
    <w:rsid w:val="00D82C9D"/>
    <w:rsid w:val="00D82E2D"/>
    <w:rsid w:val="00D83408"/>
    <w:rsid w:val="00D83504"/>
    <w:rsid w:val="00D836B0"/>
    <w:rsid w:val="00D839A9"/>
    <w:rsid w:val="00D83C4D"/>
    <w:rsid w:val="00D8424B"/>
    <w:rsid w:val="00D845C4"/>
    <w:rsid w:val="00D849F1"/>
    <w:rsid w:val="00D84A80"/>
    <w:rsid w:val="00D84C8D"/>
    <w:rsid w:val="00D84D0B"/>
    <w:rsid w:val="00D84F85"/>
    <w:rsid w:val="00D85242"/>
    <w:rsid w:val="00D85827"/>
    <w:rsid w:val="00D858AF"/>
    <w:rsid w:val="00D859CA"/>
    <w:rsid w:val="00D85E4A"/>
    <w:rsid w:val="00D85EBD"/>
    <w:rsid w:val="00D86251"/>
    <w:rsid w:val="00D86286"/>
    <w:rsid w:val="00D863C4"/>
    <w:rsid w:val="00D866BA"/>
    <w:rsid w:val="00D86B7B"/>
    <w:rsid w:val="00D86B8A"/>
    <w:rsid w:val="00D86CE0"/>
    <w:rsid w:val="00D86DAC"/>
    <w:rsid w:val="00D87015"/>
    <w:rsid w:val="00D87025"/>
    <w:rsid w:val="00D87039"/>
    <w:rsid w:val="00D8712D"/>
    <w:rsid w:val="00D87309"/>
    <w:rsid w:val="00D87526"/>
    <w:rsid w:val="00D8766B"/>
    <w:rsid w:val="00D878FE"/>
    <w:rsid w:val="00D87981"/>
    <w:rsid w:val="00D9006E"/>
    <w:rsid w:val="00D9024A"/>
    <w:rsid w:val="00D9025A"/>
    <w:rsid w:val="00D90269"/>
    <w:rsid w:val="00D903C9"/>
    <w:rsid w:val="00D90636"/>
    <w:rsid w:val="00D90894"/>
    <w:rsid w:val="00D911CC"/>
    <w:rsid w:val="00D9147D"/>
    <w:rsid w:val="00D91491"/>
    <w:rsid w:val="00D91701"/>
    <w:rsid w:val="00D91914"/>
    <w:rsid w:val="00D91A3A"/>
    <w:rsid w:val="00D91A40"/>
    <w:rsid w:val="00D91E85"/>
    <w:rsid w:val="00D91FE8"/>
    <w:rsid w:val="00D924DE"/>
    <w:rsid w:val="00D925F7"/>
    <w:rsid w:val="00D926D3"/>
    <w:rsid w:val="00D92A75"/>
    <w:rsid w:val="00D92BC0"/>
    <w:rsid w:val="00D9320E"/>
    <w:rsid w:val="00D936A3"/>
    <w:rsid w:val="00D93709"/>
    <w:rsid w:val="00D93E28"/>
    <w:rsid w:val="00D93E34"/>
    <w:rsid w:val="00D94267"/>
    <w:rsid w:val="00D942EC"/>
    <w:rsid w:val="00D94328"/>
    <w:rsid w:val="00D9480F"/>
    <w:rsid w:val="00D9495C"/>
    <w:rsid w:val="00D949E6"/>
    <w:rsid w:val="00D94A63"/>
    <w:rsid w:val="00D94C3F"/>
    <w:rsid w:val="00D94DBE"/>
    <w:rsid w:val="00D94DC3"/>
    <w:rsid w:val="00D94F68"/>
    <w:rsid w:val="00D9524B"/>
    <w:rsid w:val="00D9539A"/>
    <w:rsid w:val="00D95449"/>
    <w:rsid w:val="00D9557F"/>
    <w:rsid w:val="00D95586"/>
    <w:rsid w:val="00D9561D"/>
    <w:rsid w:val="00D9580D"/>
    <w:rsid w:val="00D95811"/>
    <w:rsid w:val="00D967AE"/>
    <w:rsid w:val="00D967B3"/>
    <w:rsid w:val="00D967BD"/>
    <w:rsid w:val="00D967DB"/>
    <w:rsid w:val="00D96CA2"/>
    <w:rsid w:val="00D96D13"/>
    <w:rsid w:val="00D96E5B"/>
    <w:rsid w:val="00D9700A"/>
    <w:rsid w:val="00D974AE"/>
    <w:rsid w:val="00D97CD8"/>
    <w:rsid w:val="00DA025D"/>
    <w:rsid w:val="00DA0A7F"/>
    <w:rsid w:val="00DA0C1C"/>
    <w:rsid w:val="00DA134E"/>
    <w:rsid w:val="00DA170A"/>
    <w:rsid w:val="00DA1C42"/>
    <w:rsid w:val="00DA1CD0"/>
    <w:rsid w:val="00DA1DF3"/>
    <w:rsid w:val="00DA1F1E"/>
    <w:rsid w:val="00DA2339"/>
    <w:rsid w:val="00DA2699"/>
    <w:rsid w:val="00DA288C"/>
    <w:rsid w:val="00DA28D5"/>
    <w:rsid w:val="00DA2903"/>
    <w:rsid w:val="00DA2D33"/>
    <w:rsid w:val="00DA2E0D"/>
    <w:rsid w:val="00DA2E23"/>
    <w:rsid w:val="00DA2E96"/>
    <w:rsid w:val="00DA30A9"/>
    <w:rsid w:val="00DA315A"/>
    <w:rsid w:val="00DA31A6"/>
    <w:rsid w:val="00DA3354"/>
    <w:rsid w:val="00DA36FE"/>
    <w:rsid w:val="00DA372D"/>
    <w:rsid w:val="00DA381B"/>
    <w:rsid w:val="00DA3D02"/>
    <w:rsid w:val="00DA4A5F"/>
    <w:rsid w:val="00DA4DE0"/>
    <w:rsid w:val="00DA4E25"/>
    <w:rsid w:val="00DA4EC7"/>
    <w:rsid w:val="00DA532C"/>
    <w:rsid w:val="00DA54D2"/>
    <w:rsid w:val="00DA57F4"/>
    <w:rsid w:val="00DA58F7"/>
    <w:rsid w:val="00DA59E8"/>
    <w:rsid w:val="00DA5A0B"/>
    <w:rsid w:val="00DA5A0F"/>
    <w:rsid w:val="00DA5C95"/>
    <w:rsid w:val="00DA5F1D"/>
    <w:rsid w:val="00DA6146"/>
    <w:rsid w:val="00DA61D7"/>
    <w:rsid w:val="00DA6A9E"/>
    <w:rsid w:val="00DA6B7E"/>
    <w:rsid w:val="00DA782D"/>
    <w:rsid w:val="00DA7B22"/>
    <w:rsid w:val="00DA7DE3"/>
    <w:rsid w:val="00DB04A5"/>
    <w:rsid w:val="00DB04E0"/>
    <w:rsid w:val="00DB078E"/>
    <w:rsid w:val="00DB0846"/>
    <w:rsid w:val="00DB0A13"/>
    <w:rsid w:val="00DB10AB"/>
    <w:rsid w:val="00DB10C1"/>
    <w:rsid w:val="00DB12BC"/>
    <w:rsid w:val="00DB166D"/>
    <w:rsid w:val="00DB1C59"/>
    <w:rsid w:val="00DB1D0E"/>
    <w:rsid w:val="00DB1E09"/>
    <w:rsid w:val="00DB201D"/>
    <w:rsid w:val="00DB207F"/>
    <w:rsid w:val="00DB215E"/>
    <w:rsid w:val="00DB217A"/>
    <w:rsid w:val="00DB22DF"/>
    <w:rsid w:val="00DB23F7"/>
    <w:rsid w:val="00DB28FA"/>
    <w:rsid w:val="00DB2A5D"/>
    <w:rsid w:val="00DB2C4F"/>
    <w:rsid w:val="00DB2D2F"/>
    <w:rsid w:val="00DB303C"/>
    <w:rsid w:val="00DB338A"/>
    <w:rsid w:val="00DB387D"/>
    <w:rsid w:val="00DB38A2"/>
    <w:rsid w:val="00DB3938"/>
    <w:rsid w:val="00DB3CAF"/>
    <w:rsid w:val="00DB42C6"/>
    <w:rsid w:val="00DB4317"/>
    <w:rsid w:val="00DB4431"/>
    <w:rsid w:val="00DB45E2"/>
    <w:rsid w:val="00DB4D54"/>
    <w:rsid w:val="00DB51C4"/>
    <w:rsid w:val="00DB51C7"/>
    <w:rsid w:val="00DB51F8"/>
    <w:rsid w:val="00DB5287"/>
    <w:rsid w:val="00DB5A98"/>
    <w:rsid w:val="00DB5B91"/>
    <w:rsid w:val="00DB5E31"/>
    <w:rsid w:val="00DB6442"/>
    <w:rsid w:val="00DB67E6"/>
    <w:rsid w:val="00DB6875"/>
    <w:rsid w:val="00DB694B"/>
    <w:rsid w:val="00DB6B1B"/>
    <w:rsid w:val="00DB7155"/>
    <w:rsid w:val="00DB735B"/>
    <w:rsid w:val="00DB7611"/>
    <w:rsid w:val="00DB7B88"/>
    <w:rsid w:val="00DB7C50"/>
    <w:rsid w:val="00DB7D40"/>
    <w:rsid w:val="00DB7D74"/>
    <w:rsid w:val="00DB7E49"/>
    <w:rsid w:val="00DC0524"/>
    <w:rsid w:val="00DC072A"/>
    <w:rsid w:val="00DC0981"/>
    <w:rsid w:val="00DC0A53"/>
    <w:rsid w:val="00DC0D29"/>
    <w:rsid w:val="00DC107A"/>
    <w:rsid w:val="00DC10FA"/>
    <w:rsid w:val="00DC1940"/>
    <w:rsid w:val="00DC1AF0"/>
    <w:rsid w:val="00DC1B17"/>
    <w:rsid w:val="00DC2078"/>
    <w:rsid w:val="00DC281C"/>
    <w:rsid w:val="00DC2A76"/>
    <w:rsid w:val="00DC2A77"/>
    <w:rsid w:val="00DC2B87"/>
    <w:rsid w:val="00DC2BEE"/>
    <w:rsid w:val="00DC2E36"/>
    <w:rsid w:val="00DC2F14"/>
    <w:rsid w:val="00DC312A"/>
    <w:rsid w:val="00DC3237"/>
    <w:rsid w:val="00DC3273"/>
    <w:rsid w:val="00DC32DC"/>
    <w:rsid w:val="00DC35D9"/>
    <w:rsid w:val="00DC376B"/>
    <w:rsid w:val="00DC37D4"/>
    <w:rsid w:val="00DC3AFA"/>
    <w:rsid w:val="00DC3D6C"/>
    <w:rsid w:val="00DC3DD9"/>
    <w:rsid w:val="00DC4440"/>
    <w:rsid w:val="00DC45E4"/>
    <w:rsid w:val="00DC4A2A"/>
    <w:rsid w:val="00DC4A3E"/>
    <w:rsid w:val="00DC4E98"/>
    <w:rsid w:val="00DC502E"/>
    <w:rsid w:val="00DC5146"/>
    <w:rsid w:val="00DC5985"/>
    <w:rsid w:val="00DC5A94"/>
    <w:rsid w:val="00DC5DE9"/>
    <w:rsid w:val="00DC5FD3"/>
    <w:rsid w:val="00DC6105"/>
    <w:rsid w:val="00DC62FD"/>
    <w:rsid w:val="00DC6A2F"/>
    <w:rsid w:val="00DC6E03"/>
    <w:rsid w:val="00DC6FA1"/>
    <w:rsid w:val="00DC7164"/>
    <w:rsid w:val="00DC722C"/>
    <w:rsid w:val="00DC7354"/>
    <w:rsid w:val="00DC7F8D"/>
    <w:rsid w:val="00DD0043"/>
    <w:rsid w:val="00DD011C"/>
    <w:rsid w:val="00DD06BF"/>
    <w:rsid w:val="00DD0AEC"/>
    <w:rsid w:val="00DD0D54"/>
    <w:rsid w:val="00DD0DAE"/>
    <w:rsid w:val="00DD0EC3"/>
    <w:rsid w:val="00DD1286"/>
    <w:rsid w:val="00DD1331"/>
    <w:rsid w:val="00DD152B"/>
    <w:rsid w:val="00DD156C"/>
    <w:rsid w:val="00DD15B7"/>
    <w:rsid w:val="00DD1E5B"/>
    <w:rsid w:val="00DD2101"/>
    <w:rsid w:val="00DD25F3"/>
    <w:rsid w:val="00DD2744"/>
    <w:rsid w:val="00DD324A"/>
    <w:rsid w:val="00DD33A3"/>
    <w:rsid w:val="00DD37F2"/>
    <w:rsid w:val="00DD3960"/>
    <w:rsid w:val="00DD39B4"/>
    <w:rsid w:val="00DD39E4"/>
    <w:rsid w:val="00DD3FB8"/>
    <w:rsid w:val="00DD3FDF"/>
    <w:rsid w:val="00DD41C7"/>
    <w:rsid w:val="00DD4528"/>
    <w:rsid w:val="00DD474E"/>
    <w:rsid w:val="00DD47ED"/>
    <w:rsid w:val="00DD493F"/>
    <w:rsid w:val="00DD49A6"/>
    <w:rsid w:val="00DD4F0A"/>
    <w:rsid w:val="00DD50F5"/>
    <w:rsid w:val="00DD5295"/>
    <w:rsid w:val="00DD5410"/>
    <w:rsid w:val="00DD551A"/>
    <w:rsid w:val="00DD5631"/>
    <w:rsid w:val="00DD573B"/>
    <w:rsid w:val="00DD590A"/>
    <w:rsid w:val="00DD591F"/>
    <w:rsid w:val="00DD5E39"/>
    <w:rsid w:val="00DD6278"/>
    <w:rsid w:val="00DD658A"/>
    <w:rsid w:val="00DD65D8"/>
    <w:rsid w:val="00DD67B3"/>
    <w:rsid w:val="00DD6CB8"/>
    <w:rsid w:val="00DD6CF5"/>
    <w:rsid w:val="00DD73F5"/>
    <w:rsid w:val="00DD78FD"/>
    <w:rsid w:val="00DD7994"/>
    <w:rsid w:val="00DD7B02"/>
    <w:rsid w:val="00DD7B4E"/>
    <w:rsid w:val="00DD7C87"/>
    <w:rsid w:val="00DE056C"/>
    <w:rsid w:val="00DE06AC"/>
    <w:rsid w:val="00DE0BDF"/>
    <w:rsid w:val="00DE0C9E"/>
    <w:rsid w:val="00DE0E4F"/>
    <w:rsid w:val="00DE0ED9"/>
    <w:rsid w:val="00DE11AE"/>
    <w:rsid w:val="00DE13E8"/>
    <w:rsid w:val="00DE164A"/>
    <w:rsid w:val="00DE1795"/>
    <w:rsid w:val="00DE1B5B"/>
    <w:rsid w:val="00DE1EFC"/>
    <w:rsid w:val="00DE20ED"/>
    <w:rsid w:val="00DE260A"/>
    <w:rsid w:val="00DE291D"/>
    <w:rsid w:val="00DE2D39"/>
    <w:rsid w:val="00DE30FA"/>
    <w:rsid w:val="00DE322D"/>
    <w:rsid w:val="00DE346A"/>
    <w:rsid w:val="00DE39FB"/>
    <w:rsid w:val="00DE3BC7"/>
    <w:rsid w:val="00DE3F52"/>
    <w:rsid w:val="00DE4290"/>
    <w:rsid w:val="00DE45FD"/>
    <w:rsid w:val="00DE4793"/>
    <w:rsid w:val="00DE4FE7"/>
    <w:rsid w:val="00DE5182"/>
    <w:rsid w:val="00DE5B3B"/>
    <w:rsid w:val="00DE5C6B"/>
    <w:rsid w:val="00DE5C95"/>
    <w:rsid w:val="00DE5D45"/>
    <w:rsid w:val="00DE5E77"/>
    <w:rsid w:val="00DE5F37"/>
    <w:rsid w:val="00DE6219"/>
    <w:rsid w:val="00DE6468"/>
    <w:rsid w:val="00DE68F9"/>
    <w:rsid w:val="00DE6A07"/>
    <w:rsid w:val="00DE6A16"/>
    <w:rsid w:val="00DE6CB1"/>
    <w:rsid w:val="00DE6E84"/>
    <w:rsid w:val="00DE6E93"/>
    <w:rsid w:val="00DE70F0"/>
    <w:rsid w:val="00DE7180"/>
    <w:rsid w:val="00DE73CF"/>
    <w:rsid w:val="00DE74FE"/>
    <w:rsid w:val="00DE763B"/>
    <w:rsid w:val="00DE7854"/>
    <w:rsid w:val="00DF051D"/>
    <w:rsid w:val="00DF0581"/>
    <w:rsid w:val="00DF0AFD"/>
    <w:rsid w:val="00DF0E6C"/>
    <w:rsid w:val="00DF0F6B"/>
    <w:rsid w:val="00DF1013"/>
    <w:rsid w:val="00DF1454"/>
    <w:rsid w:val="00DF1549"/>
    <w:rsid w:val="00DF1578"/>
    <w:rsid w:val="00DF17B1"/>
    <w:rsid w:val="00DF1928"/>
    <w:rsid w:val="00DF1D55"/>
    <w:rsid w:val="00DF1E35"/>
    <w:rsid w:val="00DF2A89"/>
    <w:rsid w:val="00DF3175"/>
    <w:rsid w:val="00DF35FC"/>
    <w:rsid w:val="00DF3675"/>
    <w:rsid w:val="00DF380A"/>
    <w:rsid w:val="00DF398D"/>
    <w:rsid w:val="00DF3AEC"/>
    <w:rsid w:val="00DF3F5C"/>
    <w:rsid w:val="00DF3F82"/>
    <w:rsid w:val="00DF401A"/>
    <w:rsid w:val="00DF40BA"/>
    <w:rsid w:val="00DF4617"/>
    <w:rsid w:val="00DF484A"/>
    <w:rsid w:val="00DF48E2"/>
    <w:rsid w:val="00DF49D7"/>
    <w:rsid w:val="00DF4CCE"/>
    <w:rsid w:val="00DF4D41"/>
    <w:rsid w:val="00DF4D98"/>
    <w:rsid w:val="00DF4E69"/>
    <w:rsid w:val="00DF504A"/>
    <w:rsid w:val="00DF508A"/>
    <w:rsid w:val="00DF50B0"/>
    <w:rsid w:val="00DF5425"/>
    <w:rsid w:val="00DF55CE"/>
    <w:rsid w:val="00DF588A"/>
    <w:rsid w:val="00DF59DA"/>
    <w:rsid w:val="00DF5D9F"/>
    <w:rsid w:val="00DF5FAE"/>
    <w:rsid w:val="00DF61CE"/>
    <w:rsid w:val="00DF6346"/>
    <w:rsid w:val="00DF649B"/>
    <w:rsid w:val="00DF71B7"/>
    <w:rsid w:val="00DF7335"/>
    <w:rsid w:val="00DF733E"/>
    <w:rsid w:val="00DF7726"/>
    <w:rsid w:val="00DF772C"/>
    <w:rsid w:val="00DF7900"/>
    <w:rsid w:val="00DF7A7C"/>
    <w:rsid w:val="00DF7B41"/>
    <w:rsid w:val="00DF7D67"/>
    <w:rsid w:val="00E00019"/>
    <w:rsid w:val="00E00106"/>
    <w:rsid w:val="00E005AB"/>
    <w:rsid w:val="00E00607"/>
    <w:rsid w:val="00E00667"/>
    <w:rsid w:val="00E008E1"/>
    <w:rsid w:val="00E008FB"/>
    <w:rsid w:val="00E00BB4"/>
    <w:rsid w:val="00E00D29"/>
    <w:rsid w:val="00E01009"/>
    <w:rsid w:val="00E010D2"/>
    <w:rsid w:val="00E019A4"/>
    <w:rsid w:val="00E01C8D"/>
    <w:rsid w:val="00E02787"/>
    <w:rsid w:val="00E02A43"/>
    <w:rsid w:val="00E02E26"/>
    <w:rsid w:val="00E03021"/>
    <w:rsid w:val="00E0352B"/>
    <w:rsid w:val="00E035C6"/>
    <w:rsid w:val="00E03BDB"/>
    <w:rsid w:val="00E03EA8"/>
    <w:rsid w:val="00E04143"/>
    <w:rsid w:val="00E04149"/>
    <w:rsid w:val="00E0436A"/>
    <w:rsid w:val="00E04385"/>
    <w:rsid w:val="00E04698"/>
    <w:rsid w:val="00E048A6"/>
    <w:rsid w:val="00E04A81"/>
    <w:rsid w:val="00E05446"/>
    <w:rsid w:val="00E05537"/>
    <w:rsid w:val="00E056AE"/>
    <w:rsid w:val="00E0571F"/>
    <w:rsid w:val="00E05A80"/>
    <w:rsid w:val="00E05CD8"/>
    <w:rsid w:val="00E05CDD"/>
    <w:rsid w:val="00E0638D"/>
    <w:rsid w:val="00E06451"/>
    <w:rsid w:val="00E0661E"/>
    <w:rsid w:val="00E06835"/>
    <w:rsid w:val="00E06896"/>
    <w:rsid w:val="00E068FB"/>
    <w:rsid w:val="00E07327"/>
    <w:rsid w:val="00E07475"/>
    <w:rsid w:val="00E077FD"/>
    <w:rsid w:val="00E07906"/>
    <w:rsid w:val="00E079AB"/>
    <w:rsid w:val="00E079B6"/>
    <w:rsid w:val="00E07C55"/>
    <w:rsid w:val="00E07C8C"/>
    <w:rsid w:val="00E07D3B"/>
    <w:rsid w:val="00E07EA6"/>
    <w:rsid w:val="00E1002D"/>
    <w:rsid w:val="00E1078B"/>
    <w:rsid w:val="00E108C0"/>
    <w:rsid w:val="00E10A80"/>
    <w:rsid w:val="00E10D7F"/>
    <w:rsid w:val="00E11083"/>
    <w:rsid w:val="00E11961"/>
    <w:rsid w:val="00E11A44"/>
    <w:rsid w:val="00E11C3A"/>
    <w:rsid w:val="00E11CDF"/>
    <w:rsid w:val="00E11FF7"/>
    <w:rsid w:val="00E120A3"/>
    <w:rsid w:val="00E122C9"/>
    <w:rsid w:val="00E1251D"/>
    <w:rsid w:val="00E12A60"/>
    <w:rsid w:val="00E12D97"/>
    <w:rsid w:val="00E12DE2"/>
    <w:rsid w:val="00E12F96"/>
    <w:rsid w:val="00E1308A"/>
    <w:rsid w:val="00E1312D"/>
    <w:rsid w:val="00E133B0"/>
    <w:rsid w:val="00E13420"/>
    <w:rsid w:val="00E1361D"/>
    <w:rsid w:val="00E137E1"/>
    <w:rsid w:val="00E1395B"/>
    <w:rsid w:val="00E13C3A"/>
    <w:rsid w:val="00E13CB1"/>
    <w:rsid w:val="00E13CD8"/>
    <w:rsid w:val="00E145A6"/>
    <w:rsid w:val="00E148C9"/>
    <w:rsid w:val="00E1491A"/>
    <w:rsid w:val="00E149C1"/>
    <w:rsid w:val="00E14C2A"/>
    <w:rsid w:val="00E14D44"/>
    <w:rsid w:val="00E15029"/>
    <w:rsid w:val="00E15156"/>
    <w:rsid w:val="00E154C5"/>
    <w:rsid w:val="00E1583E"/>
    <w:rsid w:val="00E158F8"/>
    <w:rsid w:val="00E15C09"/>
    <w:rsid w:val="00E1625A"/>
    <w:rsid w:val="00E16396"/>
    <w:rsid w:val="00E16633"/>
    <w:rsid w:val="00E16E3D"/>
    <w:rsid w:val="00E16FAF"/>
    <w:rsid w:val="00E17056"/>
    <w:rsid w:val="00E17357"/>
    <w:rsid w:val="00E174BC"/>
    <w:rsid w:val="00E17760"/>
    <w:rsid w:val="00E17820"/>
    <w:rsid w:val="00E179D9"/>
    <w:rsid w:val="00E17A62"/>
    <w:rsid w:val="00E17A74"/>
    <w:rsid w:val="00E17C95"/>
    <w:rsid w:val="00E17E38"/>
    <w:rsid w:val="00E17E40"/>
    <w:rsid w:val="00E201BF"/>
    <w:rsid w:val="00E20567"/>
    <w:rsid w:val="00E209FA"/>
    <w:rsid w:val="00E20CCA"/>
    <w:rsid w:val="00E20E8A"/>
    <w:rsid w:val="00E21180"/>
    <w:rsid w:val="00E21211"/>
    <w:rsid w:val="00E2139A"/>
    <w:rsid w:val="00E21955"/>
    <w:rsid w:val="00E21A7B"/>
    <w:rsid w:val="00E21B2E"/>
    <w:rsid w:val="00E21B5E"/>
    <w:rsid w:val="00E21C59"/>
    <w:rsid w:val="00E21CF4"/>
    <w:rsid w:val="00E21E7F"/>
    <w:rsid w:val="00E22118"/>
    <w:rsid w:val="00E22123"/>
    <w:rsid w:val="00E223A5"/>
    <w:rsid w:val="00E2255E"/>
    <w:rsid w:val="00E2287B"/>
    <w:rsid w:val="00E22A94"/>
    <w:rsid w:val="00E23152"/>
    <w:rsid w:val="00E2317A"/>
    <w:rsid w:val="00E2345A"/>
    <w:rsid w:val="00E2347B"/>
    <w:rsid w:val="00E234E8"/>
    <w:rsid w:val="00E236CE"/>
    <w:rsid w:val="00E237E9"/>
    <w:rsid w:val="00E24072"/>
    <w:rsid w:val="00E24179"/>
    <w:rsid w:val="00E24362"/>
    <w:rsid w:val="00E243A6"/>
    <w:rsid w:val="00E24597"/>
    <w:rsid w:val="00E246CD"/>
    <w:rsid w:val="00E25208"/>
    <w:rsid w:val="00E252B3"/>
    <w:rsid w:val="00E25347"/>
    <w:rsid w:val="00E25544"/>
    <w:rsid w:val="00E2584E"/>
    <w:rsid w:val="00E25D8D"/>
    <w:rsid w:val="00E25EC4"/>
    <w:rsid w:val="00E263D0"/>
    <w:rsid w:val="00E26722"/>
    <w:rsid w:val="00E26A41"/>
    <w:rsid w:val="00E27269"/>
    <w:rsid w:val="00E2730A"/>
    <w:rsid w:val="00E27338"/>
    <w:rsid w:val="00E27572"/>
    <w:rsid w:val="00E279D0"/>
    <w:rsid w:val="00E27B8A"/>
    <w:rsid w:val="00E27E74"/>
    <w:rsid w:val="00E27F02"/>
    <w:rsid w:val="00E27F75"/>
    <w:rsid w:val="00E30288"/>
    <w:rsid w:val="00E308F9"/>
    <w:rsid w:val="00E30B70"/>
    <w:rsid w:val="00E31401"/>
    <w:rsid w:val="00E319B3"/>
    <w:rsid w:val="00E31E88"/>
    <w:rsid w:val="00E32429"/>
    <w:rsid w:val="00E324F7"/>
    <w:rsid w:val="00E32760"/>
    <w:rsid w:val="00E327BB"/>
    <w:rsid w:val="00E328AC"/>
    <w:rsid w:val="00E3299B"/>
    <w:rsid w:val="00E32AF6"/>
    <w:rsid w:val="00E32EA7"/>
    <w:rsid w:val="00E32F46"/>
    <w:rsid w:val="00E33498"/>
    <w:rsid w:val="00E33E7C"/>
    <w:rsid w:val="00E33F37"/>
    <w:rsid w:val="00E3432A"/>
    <w:rsid w:val="00E346C1"/>
    <w:rsid w:val="00E34798"/>
    <w:rsid w:val="00E34823"/>
    <w:rsid w:val="00E34CE2"/>
    <w:rsid w:val="00E34D90"/>
    <w:rsid w:val="00E350B9"/>
    <w:rsid w:val="00E35A6B"/>
    <w:rsid w:val="00E35F02"/>
    <w:rsid w:val="00E36209"/>
    <w:rsid w:val="00E3620A"/>
    <w:rsid w:val="00E36505"/>
    <w:rsid w:val="00E36763"/>
    <w:rsid w:val="00E369E8"/>
    <w:rsid w:val="00E36B94"/>
    <w:rsid w:val="00E36CBB"/>
    <w:rsid w:val="00E37124"/>
    <w:rsid w:val="00E372EF"/>
    <w:rsid w:val="00E37466"/>
    <w:rsid w:val="00E37518"/>
    <w:rsid w:val="00E37627"/>
    <w:rsid w:val="00E3778D"/>
    <w:rsid w:val="00E37854"/>
    <w:rsid w:val="00E37A2F"/>
    <w:rsid w:val="00E37EF0"/>
    <w:rsid w:val="00E37FC4"/>
    <w:rsid w:val="00E38202"/>
    <w:rsid w:val="00E40108"/>
    <w:rsid w:val="00E405D4"/>
    <w:rsid w:val="00E40969"/>
    <w:rsid w:val="00E40BD1"/>
    <w:rsid w:val="00E41330"/>
    <w:rsid w:val="00E4145F"/>
    <w:rsid w:val="00E4194B"/>
    <w:rsid w:val="00E41DE6"/>
    <w:rsid w:val="00E4203A"/>
    <w:rsid w:val="00E423A4"/>
    <w:rsid w:val="00E42668"/>
    <w:rsid w:val="00E426C3"/>
    <w:rsid w:val="00E4273B"/>
    <w:rsid w:val="00E42989"/>
    <w:rsid w:val="00E42A6B"/>
    <w:rsid w:val="00E42AAC"/>
    <w:rsid w:val="00E42DEA"/>
    <w:rsid w:val="00E42F1B"/>
    <w:rsid w:val="00E43189"/>
    <w:rsid w:val="00E431FF"/>
    <w:rsid w:val="00E43815"/>
    <w:rsid w:val="00E43C03"/>
    <w:rsid w:val="00E43E86"/>
    <w:rsid w:val="00E447FF"/>
    <w:rsid w:val="00E44D04"/>
    <w:rsid w:val="00E44E05"/>
    <w:rsid w:val="00E44E98"/>
    <w:rsid w:val="00E45027"/>
    <w:rsid w:val="00E45120"/>
    <w:rsid w:val="00E4538E"/>
    <w:rsid w:val="00E4545A"/>
    <w:rsid w:val="00E45810"/>
    <w:rsid w:val="00E458C2"/>
    <w:rsid w:val="00E459C6"/>
    <w:rsid w:val="00E45D9F"/>
    <w:rsid w:val="00E45E59"/>
    <w:rsid w:val="00E45FEB"/>
    <w:rsid w:val="00E46008"/>
    <w:rsid w:val="00E46083"/>
    <w:rsid w:val="00E461A0"/>
    <w:rsid w:val="00E4651D"/>
    <w:rsid w:val="00E465B1"/>
    <w:rsid w:val="00E46635"/>
    <w:rsid w:val="00E46832"/>
    <w:rsid w:val="00E46AC6"/>
    <w:rsid w:val="00E46C49"/>
    <w:rsid w:val="00E46C74"/>
    <w:rsid w:val="00E46F87"/>
    <w:rsid w:val="00E46F94"/>
    <w:rsid w:val="00E47198"/>
    <w:rsid w:val="00E471C8"/>
    <w:rsid w:val="00E4725D"/>
    <w:rsid w:val="00E4759D"/>
    <w:rsid w:val="00E47E08"/>
    <w:rsid w:val="00E47E99"/>
    <w:rsid w:val="00E47ED8"/>
    <w:rsid w:val="00E47FDB"/>
    <w:rsid w:val="00E50128"/>
    <w:rsid w:val="00E502DE"/>
    <w:rsid w:val="00E50BBF"/>
    <w:rsid w:val="00E513F1"/>
    <w:rsid w:val="00E51488"/>
    <w:rsid w:val="00E51633"/>
    <w:rsid w:val="00E51808"/>
    <w:rsid w:val="00E51AC1"/>
    <w:rsid w:val="00E51C0C"/>
    <w:rsid w:val="00E51C55"/>
    <w:rsid w:val="00E51D36"/>
    <w:rsid w:val="00E51F0B"/>
    <w:rsid w:val="00E52168"/>
    <w:rsid w:val="00E521C9"/>
    <w:rsid w:val="00E5251B"/>
    <w:rsid w:val="00E528C3"/>
    <w:rsid w:val="00E52FC9"/>
    <w:rsid w:val="00E531C1"/>
    <w:rsid w:val="00E53231"/>
    <w:rsid w:val="00E5362C"/>
    <w:rsid w:val="00E53679"/>
    <w:rsid w:val="00E53D8A"/>
    <w:rsid w:val="00E53FB8"/>
    <w:rsid w:val="00E540EE"/>
    <w:rsid w:val="00E542B5"/>
    <w:rsid w:val="00E54471"/>
    <w:rsid w:val="00E5453C"/>
    <w:rsid w:val="00E54701"/>
    <w:rsid w:val="00E5486B"/>
    <w:rsid w:val="00E54B0F"/>
    <w:rsid w:val="00E54C55"/>
    <w:rsid w:val="00E54F23"/>
    <w:rsid w:val="00E552DD"/>
    <w:rsid w:val="00E5544B"/>
    <w:rsid w:val="00E554BB"/>
    <w:rsid w:val="00E55A6C"/>
    <w:rsid w:val="00E55C5F"/>
    <w:rsid w:val="00E55DA6"/>
    <w:rsid w:val="00E55E90"/>
    <w:rsid w:val="00E55FD8"/>
    <w:rsid w:val="00E56014"/>
    <w:rsid w:val="00E563B9"/>
    <w:rsid w:val="00E56490"/>
    <w:rsid w:val="00E56794"/>
    <w:rsid w:val="00E5691F"/>
    <w:rsid w:val="00E56C84"/>
    <w:rsid w:val="00E56CAA"/>
    <w:rsid w:val="00E56FE3"/>
    <w:rsid w:val="00E571A1"/>
    <w:rsid w:val="00E57351"/>
    <w:rsid w:val="00E576A2"/>
    <w:rsid w:val="00E579CD"/>
    <w:rsid w:val="00E57B76"/>
    <w:rsid w:val="00E57CC2"/>
    <w:rsid w:val="00E6004E"/>
    <w:rsid w:val="00E601B3"/>
    <w:rsid w:val="00E6068D"/>
    <w:rsid w:val="00E607A0"/>
    <w:rsid w:val="00E608B3"/>
    <w:rsid w:val="00E60B6C"/>
    <w:rsid w:val="00E60CE7"/>
    <w:rsid w:val="00E60E79"/>
    <w:rsid w:val="00E6127A"/>
    <w:rsid w:val="00E6129A"/>
    <w:rsid w:val="00E619E9"/>
    <w:rsid w:val="00E61A77"/>
    <w:rsid w:val="00E61B30"/>
    <w:rsid w:val="00E61DA8"/>
    <w:rsid w:val="00E61F63"/>
    <w:rsid w:val="00E62185"/>
    <w:rsid w:val="00E624BE"/>
    <w:rsid w:val="00E627BA"/>
    <w:rsid w:val="00E62A4D"/>
    <w:rsid w:val="00E63015"/>
    <w:rsid w:val="00E633D0"/>
    <w:rsid w:val="00E63569"/>
    <w:rsid w:val="00E63641"/>
    <w:rsid w:val="00E63748"/>
    <w:rsid w:val="00E63E97"/>
    <w:rsid w:val="00E63F0F"/>
    <w:rsid w:val="00E64351"/>
    <w:rsid w:val="00E6448C"/>
    <w:rsid w:val="00E6505F"/>
    <w:rsid w:val="00E6557A"/>
    <w:rsid w:val="00E6599B"/>
    <w:rsid w:val="00E65D5D"/>
    <w:rsid w:val="00E6612A"/>
    <w:rsid w:val="00E665F7"/>
    <w:rsid w:val="00E66715"/>
    <w:rsid w:val="00E66762"/>
    <w:rsid w:val="00E66C6D"/>
    <w:rsid w:val="00E66E2B"/>
    <w:rsid w:val="00E66E67"/>
    <w:rsid w:val="00E66E6F"/>
    <w:rsid w:val="00E670D7"/>
    <w:rsid w:val="00E67299"/>
    <w:rsid w:val="00E6737E"/>
    <w:rsid w:val="00E67662"/>
    <w:rsid w:val="00E6766E"/>
    <w:rsid w:val="00E67F0C"/>
    <w:rsid w:val="00E70048"/>
    <w:rsid w:val="00E70141"/>
    <w:rsid w:val="00E70557"/>
    <w:rsid w:val="00E707EB"/>
    <w:rsid w:val="00E70D76"/>
    <w:rsid w:val="00E71068"/>
    <w:rsid w:val="00E710D9"/>
    <w:rsid w:val="00E71224"/>
    <w:rsid w:val="00E71554"/>
    <w:rsid w:val="00E71A84"/>
    <w:rsid w:val="00E71A99"/>
    <w:rsid w:val="00E71A9F"/>
    <w:rsid w:val="00E71D5B"/>
    <w:rsid w:val="00E71DFF"/>
    <w:rsid w:val="00E72099"/>
    <w:rsid w:val="00E721EB"/>
    <w:rsid w:val="00E72290"/>
    <w:rsid w:val="00E722D3"/>
    <w:rsid w:val="00E72623"/>
    <w:rsid w:val="00E726E0"/>
    <w:rsid w:val="00E7279C"/>
    <w:rsid w:val="00E727C9"/>
    <w:rsid w:val="00E72893"/>
    <w:rsid w:val="00E728FC"/>
    <w:rsid w:val="00E730DF"/>
    <w:rsid w:val="00E73264"/>
    <w:rsid w:val="00E7355E"/>
    <w:rsid w:val="00E736AC"/>
    <w:rsid w:val="00E736C6"/>
    <w:rsid w:val="00E74373"/>
    <w:rsid w:val="00E7437D"/>
    <w:rsid w:val="00E74760"/>
    <w:rsid w:val="00E74868"/>
    <w:rsid w:val="00E7489C"/>
    <w:rsid w:val="00E74913"/>
    <w:rsid w:val="00E74E9D"/>
    <w:rsid w:val="00E75276"/>
    <w:rsid w:val="00E75289"/>
    <w:rsid w:val="00E755CA"/>
    <w:rsid w:val="00E75674"/>
    <w:rsid w:val="00E75851"/>
    <w:rsid w:val="00E75B75"/>
    <w:rsid w:val="00E75CF3"/>
    <w:rsid w:val="00E75D97"/>
    <w:rsid w:val="00E75FA9"/>
    <w:rsid w:val="00E76132"/>
    <w:rsid w:val="00E7625B"/>
    <w:rsid w:val="00E7629C"/>
    <w:rsid w:val="00E763F9"/>
    <w:rsid w:val="00E76490"/>
    <w:rsid w:val="00E7653C"/>
    <w:rsid w:val="00E76646"/>
    <w:rsid w:val="00E766A4"/>
    <w:rsid w:val="00E76B21"/>
    <w:rsid w:val="00E76FE0"/>
    <w:rsid w:val="00E770E3"/>
    <w:rsid w:val="00E777B0"/>
    <w:rsid w:val="00E77A0F"/>
    <w:rsid w:val="00E77ACF"/>
    <w:rsid w:val="00E77AD1"/>
    <w:rsid w:val="00E77AE4"/>
    <w:rsid w:val="00E77B02"/>
    <w:rsid w:val="00E77BB8"/>
    <w:rsid w:val="00E77DCA"/>
    <w:rsid w:val="00E77DFD"/>
    <w:rsid w:val="00E77E92"/>
    <w:rsid w:val="00E802A1"/>
    <w:rsid w:val="00E804B7"/>
    <w:rsid w:val="00E8064E"/>
    <w:rsid w:val="00E806F5"/>
    <w:rsid w:val="00E8072D"/>
    <w:rsid w:val="00E80A90"/>
    <w:rsid w:val="00E80CFE"/>
    <w:rsid w:val="00E80E3F"/>
    <w:rsid w:val="00E80E5D"/>
    <w:rsid w:val="00E8109A"/>
    <w:rsid w:val="00E8121D"/>
    <w:rsid w:val="00E815DB"/>
    <w:rsid w:val="00E81783"/>
    <w:rsid w:val="00E817AE"/>
    <w:rsid w:val="00E8194F"/>
    <w:rsid w:val="00E81BF1"/>
    <w:rsid w:val="00E82276"/>
    <w:rsid w:val="00E82281"/>
    <w:rsid w:val="00E82398"/>
    <w:rsid w:val="00E8266B"/>
    <w:rsid w:val="00E8298A"/>
    <w:rsid w:val="00E82A53"/>
    <w:rsid w:val="00E82D39"/>
    <w:rsid w:val="00E82E33"/>
    <w:rsid w:val="00E82F99"/>
    <w:rsid w:val="00E8302E"/>
    <w:rsid w:val="00E8322D"/>
    <w:rsid w:val="00E8346F"/>
    <w:rsid w:val="00E8353B"/>
    <w:rsid w:val="00E83607"/>
    <w:rsid w:val="00E837F7"/>
    <w:rsid w:val="00E838C3"/>
    <w:rsid w:val="00E83973"/>
    <w:rsid w:val="00E83DA1"/>
    <w:rsid w:val="00E83EE9"/>
    <w:rsid w:val="00E84549"/>
    <w:rsid w:val="00E847DE"/>
    <w:rsid w:val="00E848D9"/>
    <w:rsid w:val="00E84D12"/>
    <w:rsid w:val="00E84DC0"/>
    <w:rsid w:val="00E850CE"/>
    <w:rsid w:val="00E8543A"/>
    <w:rsid w:val="00E85675"/>
    <w:rsid w:val="00E8569F"/>
    <w:rsid w:val="00E85F68"/>
    <w:rsid w:val="00E861D1"/>
    <w:rsid w:val="00E86401"/>
    <w:rsid w:val="00E8652B"/>
    <w:rsid w:val="00E8655B"/>
    <w:rsid w:val="00E866F4"/>
    <w:rsid w:val="00E8692D"/>
    <w:rsid w:val="00E86A5E"/>
    <w:rsid w:val="00E86A70"/>
    <w:rsid w:val="00E86ED4"/>
    <w:rsid w:val="00E86F2D"/>
    <w:rsid w:val="00E87841"/>
    <w:rsid w:val="00E87A22"/>
    <w:rsid w:val="00E9040C"/>
    <w:rsid w:val="00E90440"/>
    <w:rsid w:val="00E909C6"/>
    <w:rsid w:val="00E90C8B"/>
    <w:rsid w:val="00E91073"/>
    <w:rsid w:val="00E91495"/>
    <w:rsid w:val="00E91A23"/>
    <w:rsid w:val="00E91FF5"/>
    <w:rsid w:val="00E9232D"/>
    <w:rsid w:val="00E923D1"/>
    <w:rsid w:val="00E926AC"/>
    <w:rsid w:val="00E928D6"/>
    <w:rsid w:val="00E9291B"/>
    <w:rsid w:val="00E929CF"/>
    <w:rsid w:val="00E92D25"/>
    <w:rsid w:val="00E93828"/>
    <w:rsid w:val="00E938AE"/>
    <w:rsid w:val="00E93A7E"/>
    <w:rsid w:val="00E93E66"/>
    <w:rsid w:val="00E94047"/>
    <w:rsid w:val="00E94745"/>
    <w:rsid w:val="00E94805"/>
    <w:rsid w:val="00E948F2"/>
    <w:rsid w:val="00E94937"/>
    <w:rsid w:val="00E94A1E"/>
    <w:rsid w:val="00E94AE5"/>
    <w:rsid w:val="00E94B85"/>
    <w:rsid w:val="00E94C81"/>
    <w:rsid w:val="00E95097"/>
    <w:rsid w:val="00E9539B"/>
    <w:rsid w:val="00E953C1"/>
    <w:rsid w:val="00E95467"/>
    <w:rsid w:val="00E954DA"/>
    <w:rsid w:val="00E954DF"/>
    <w:rsid w:val="00E95548"/>
    <w:rsid w:val="00E957E1"/>
    <w:rsid w:val="00E95834"/>
    <w:rsid w:val="00E95994"/>
    <w:rsid w:val="00E959F6"/>
    <w:rsid w:val="00E95B48"/>
    <w:rsid w:val="00E95B89"/>
    <w:rsid w:val="00E966E7"/>
    <w:rsid w:val="00E9685E"/>
    <w:rsid w:val="00E96882"/>
    <w:rsid w:val="00E969DE"/>
    <w:rsid w:val="00E96F2A"/>
    <w:rsid w:val="00E9711B"/>
    <w:rsid w:val="00E973E3"/>
    <w:rsid w:val="00E9742D"/>
    <w:rsid w:val="00E97818"/>
    <w:rsid w:val="00E978E9"/>
    <w:rsid w:val="00E97C01"/>
    <w:rsid w:val="00E97E70"/>
    <w:rsid w:val="00E97E92"/>
    <w:rsid w:val="00E97FD1"/>
    <w:rsid w:val="00EA0184"/>
    <w:rsid w:val="00EA022B"/>
    <w:rsid w:val="00EA031F"/>
    <w:rsid w:val="00EA03D3"/>
    <w:rsid w:val="00EA0401"/>
    <w:rsid w:val="00EA04E4"/>
    <w:rsid w:val="00EA0669"/>
    <w:rsid w:val="00EA0935"/>
    <w:rsid w:val="00EA0B8A"/>
    <w:rsid w:val="00EA0BE4"/>
    <w:rsid w:val="00EA1319"/>
    <w:rsid w:val="00EA1835"/>
    <w:rsid w:val="00EA1B60"/>
    <w:rsid w:val="00EA1BC0"/>
    <w:rsid w:val="00EA1C28"/>
    <w:rsid w:val="00EA1EE0"/>
    <w:rsid w:val="00EA25F8"/>
    <w:rsid w:val="00EA2734"/>
    <w:rsid w:val="00EA2955"/>
    <w:rsid w:val="00EA2A2F"/>
    <w:rsid w:val="00EA2D54"/>
    <w:rsid w:val="00EA2D6B"/>
    <w:rsid w:val="00EA2E44"/>
    <w:rsid w:val="00EA2F80"/>
    <w:rsid w:val="00EA30D6"/>
    <w:rsid w:val="00EA3135"/>
    <w:rsid w:val="00EA3183"/>
    <w:rsid w:val="00EA319F"/>
    <w:rsid w:val="00EA31D4"/>
    <w:rsid w:val="00EA33FA"/>
    <w:rsid w:val="00EA347B"/>
    <w:rsid w:val="00EA4194"/>
    <w:rsid w:val="00EA4575"/>
    <w:rsid w:val="00EA4898"/>
    <w:rsid w:val="00EA4A13"/>
    <w:rsid w:val="00EA4A1E"/>
    <w:rsid w:val="00EA4C5B"/>
    <w:rsid w:val="00EA4E00"/>
    <w:rsid w:val="00EA4EAF"/>
    <w:rsid w:val="00EA503F"/>
    <w:rsid w:val="00EA52D8"/>
    <w:rsid w:val="00EA538F"/>
    <w:rsid w:val="00EA54F4"/>
    <w:rsid w:val="00EA590F"/>
    <w:rsid w:val="00EA59BD"/>
    <w:rsid w:val="00EA5B15"/>
    <w:rsid w:val="00EA5BC9"/>
    <w:rsid w:val="00EA5BCC"/>
    <w:rsid w:val="00EA5DA4"/>
    <w:rsid w:val="00EA5ED5"/>
    <w:rsid w:val="00EA649F"/>
    <w:rsid w:val="00EA677B"/>
    <w:rsid w:val="00EA693D"/>
    <w:rsid w:val="00EA6B0B"/>
    <w:rsid w:val="00EA6F34"/>
    <w:rsid w:val="00EA7131"/>
    <w:rsid w:val="00EA729D"/>
    <w:rsid w:val="00EA74F8"/>
    <w:rsid w:val="00EA7841"/>
    <w:rsid w:val="00EA7C8B"/>
    <w:rsid w:val="00EA7E1F"/>
    <w:rsid w:val="00EB001F"/>
    <w:rsid w:val="00EB015A"/>
    <w:rsid w:val="00EB0AAE"/>
    <w:rsid w:val="00EB0C3B"/>
    <w:rsid w:val="00EB0C9B"/>
    <w:rsid w:val="00EB0DA0"/>
    <w:rsid w:val="00EB0F1C"/>
    <w:rsid w:val="00EB0F60"/>
    <w:rsid w:val="00EB10E6"/>
    <w:rsid w:val="00EB11D4"/>
    <w:rsid w:val="00EB147D"/>
    <w:rsid w:val="00EB1840"/>
    <w:rsid w:val="00EB1A04"/>
    <w:rsid w:val="00EB2351"/>
    <w:rsid w:val="00EB23E6"/>
    <w:rsid w:val="00EB2553"/>
    <w:rsid w:val="00EB27F8"/>
    <w:rsid w:val="00EB2EDB"/>
    <w:rsid w:val="00EB2EEE"/>
    <w:rsid w:val="00EB3396"/>
    <w:rsid w:val="00EB33B6"/>
    <w:rsid w:val="00EB3A12"/>
    <w:rsid w:val="00EB3D2A"/>
    <w:rsid w:val="00EB40BE"/>
    <w:rsid w:val="00EB413F"/>
    <w:rsid w:val="00EB46A0"/>
    <w:rsid w:val="00EB47B9"/>
    <w:rsid w:val="00EB486F"/>
    <w:rsid w:val="00EB4955"/>
    <w:rsid w:val="00EB4B76"/>
    <w:rsid w:val="00EB50E3"/>
    <w:rsid w:val="00EB5312"/>
    <w:rsid w:val="00EB5422"/>
    <w:rsid w:val="00EB57BA"/>
    <w:rsid w:val="00EB580C"/>
    <w:rsid w:val="00EB5C6A"/>
    <w:rsid w:val="00EB5EAD"/>
    <w:rsid w:val="00EB60DD"/>
    <w:rsid w:val="00EB62EB"/>
    <w:rsid w:val="00EB654C"/>
    <w:rsid w:val="00EB6598"/>
    <w:rsid w:val="00EB7243"/>
    <w:rsid w:val="00EB74C6"/>
    <w:rsid w:val="00EB7A14"/>
    <w:rsid w:val="00EB7AD0"/>
    <w:rsid w:val="00EB7B5B"/>
    <w:rsid w:val="00EB7CCD"/>
    <w:rsid w:val="00EB7D85"/>
    <w:rsid w:val="00EB7DC3"/>
    <w:rsid w:val="00EB7ED2"/>
    <w:rsid w:val="00EC0293"/>
    <w:rsid w:val="00EC02F7"/>
    <w:rsid w:val="00EC0CC0"/>
    <w:rsid w:val="00EC0EEA"/>
    <w:rsid w:val="00EC10BA"/>
    <w:rsid w:val="00EC123E"/>
    <w:rsid w:val="00EC1621"/>
    <w:rsid w:val="00EC184F"/>
    <w:rsid w:val="00EC1F54"/>
    <w:rsid w:val="00EC1FC4"/>
    <w:rsid w:val="00EC2008"/>
    <w:rsid w:val="00EC246E"/>
    <w:rsid w:val="00EC253D"/>
    <w:rsid w:val="00EC27F6"/>
    <w:rsid w:val="00EC2A2E"/>
    <w:rsid w:val="00EC2D0F"/>
    <w:rsid w:val="00EC2E0A"/>
    <w:rsid w:val="00EC317D"/>
    <w:rsid w:val="00EC31B5"/>
    <w:rsid w:val="00EC3399"/>
    <w:rsid w:val="00EC364F"/>
    <w:rsid w:val="00EC391A"/>
    <w:rsid w:val="00EC3D46"/>
    <w:rsid w:val="00EC3F04"/>
    <w:rsid w:val="00EC4253"/>
    <w:rsid w:val="00EC4442"/>
    <w:rsid w:val="00EC4587"/>
    <w:rsid w:val="00EC4782"/>
    <w:rsid w:val="00EC49BC"/>
    <w:rsid w:val="00EC49C4"/>
    <w:rsid w:val="00EC4C18"/>
    <w:rsid w:val="00EC4C1C"/>
    <w:rsid w:val="00EC4DD3"/>
    <w:rsid w:val="00EC50A1"/>
    <w:rsid w:val="00EC532A"/>
    <w:rsid w:val="00EC55DD"/>
    <w:rsid w:val="00EC5933"/>
    <w:rsid w:val="00EC61BB"/>
    <w:rsid w:val="00EC6239"/>
    <w:rsid w:val="00EC648A"/>
    <w:rsid w:val="00EC64BF"/>
    <w:rsid w:val="00EC6525"/>
    <w:rsid w:val="00EC68AC"/>
    <w:rsid w:val="00EC69BB"/>
    <w:rsid w:val="00EC6C9F"/>
    <w:rsid w:val="00EC6F3A"/>
    <w:rsid w:val="00EC73B5"/>
    <w:rsid w:val="00EC7509"/>
    <w:rsid w:val="00EC78F3"/>
    <w:rsid w:val="00EC7CF0"/>
    <w:rsid w:val="00ED000E"/>
    <w:rsid w:val="00ED0212"/>
    <w:rsid w:val="00ED0642"/>
    <w:rsid w:val="00ED08EA"/>
    <w:rsid w:val="00ED0E2C"/>
    <w:rsid w:val="00ED1142"/>
    <w:rsid w:val="00ED18AC"/>
    <w:rsid w:val="00ED1E0F"/>
    <w:rsid w:val="00ED1E3F"/>
    <w:rsid w:val="00ED1EE5"/>
    <w:rsid w:val="00ED1F0B"/>
    <w:rsid w:val="00ED23D0"/>
    <w:rsid w:val="00ED28A2"/>
    <w:rsid w:val="00ED2ADD"/>
    <w:rsid w:val="00ED2B59"/>
    <w:rsid w:val="00ED2BCA"/>
    <w:rsid w:val="00ED2C55"/>
    <w:rsid w:val="00ED2FB4"/>
    <w:rsid w:val="00ED399A"/>
    <w:rsid w:val="00ED39EE"/>
    <w:rsid w:val="00ED3BDE"/>
    <w:rsid w:val="00ED3D38"/>
    <w:rsid w:val="00ED3DE7"/>
    <w:rsid w:val="00ED3E62"/>
    <w:rsid w:val="00ED3FC5"/>
    <w:rsid w:val="00ED4127"/>
    <w:rsid w:val="00ED4945"/>
    <w:rsid w:val="00ED4A0D"/>
    <w:rsid w:val="00ED4C5E"/>
    <w:rsid w:val="00ED5637"/>
    <w:rsid w:val="00ED5F0F"/>
    <w:rsid w:val="00ED60A2"/>
    <w:rsid w:val="00ED62D1"/>
    <w:rsid w:val="00ED68B1"/>
    <w:rsid w:val="00ED6D10"/>
    <w:rsid w:val="00ED6E02"/>
    <w:rsid w:val="00ED72E1"/>
    <w:rsid w:val="00ED7450"/>
    <w:rsid w:val="00ED7D05"/>
    <w:rsid w:val="00EDFBF7"/>
    <w:rsid w:val="00EE0098"/>
    <w:rsid w:val="00EE08F4"/>
    <w:rsid w:val="00EE0CB0"/>
    <w:rsid w:val="00EE0DA8"/>
    <w:rsid w:val="00EE0E69"/>
    <w:rsid w:val="00EE1075"/>
    <w:rsid w:val="00EE1086"/>
    <w:rsid w:val="00EE14B0"/>
    <w:rsid w:val="00EE14C5"/>
    <w:rsid w:val="00EE1594"/>
    <w:rsid w:val="00EE16B6"/>
    <w:rsid w:val="00EE17E3"/>
    <w:rsid w:val="00EE1956"/>
    <w:rsid w:val="00EE1994"/>
    <w:rsid w:val="00EE1A3A"/>
    <w:rsid w:val="00EE1CA3"/>
    <w:rsid w:val="00EE1E7E"/>
    <w:rsid w:val="00EE1F33"/>
    <w:rsid w:val="00EE1FB6"/>
    <w:rsid w:val="00EE2057"/>
    <w:rsid w:val="00EE215C"/>
    <w:rsid w:val="00EE2483"/>
    <w:rsid w:val="00EE256A"/>
    <w:rsid w:val="00EE2761"/>
    <w:rsid w:val="00EE2BC9"/>
    <w:rsid w:val="00EE2CB4"/>
    <w:rsid w:val="00EE2EAC"/>
    <w:rsid w:val="00EE3624"/>
    <w:rsid w:val="00EE3AA5"/>
    <w:rsid w:val="00EE3B92"/>
    <w:rsid w:val="00EE3B99"/>
    <w:rsid w:val="00EE3BBC"/>
    <w:rsid w:val="00EE3CE9"/>
    <w:rsid w:val="00EE3E8D"/>
    <w:rsid w:val="00EE42BE"/>
    <w:rsid w:val="00EE42C7"/>
    <w:rsid w:val="00EE4736"/>
    <w:rsid w:val="00EE4B06"/>
    <w:rsid w:val="00EE4C49"/>
    <w:rsid w:val="00EE4D6F"/>
    <w:rsid w:val="00EE4DC1"/>
    <w:rsid w:val="00EE4DD4"/>
    <w:rsid w:val="00EE5432"/>
    <w:rsid w:val="00EE5A0E"/>
    <w:rsid w:val="00EE5AF6"/>
    <w:rsid w:val="00EE5DC5"/>
    <w:rsid w:val="00EE5F27"/>
    <w:rsid w:val="00EE65DE"/>
    <w:rsid w:val="00EE67DA"/>
    <w:rsid w:val="00EE6B02"/>
    <w:rsid w:val="00EE6D44"/>
    <w:rsid w:val="00EE71EC"/>
    <w:rsid w:val="00EE7A18"/>
    <w:rsid w:val="00EE7ABA"/>
    <w:rsid w:val="00EE7B92"/>
    <w:rsid w:val="00EE7EA3"/>
    <w:rsid w:val="00EF0468"/>
    <w:rsid w:val="00EF05BC"/>
    <w:rsid w:val="00EF069B"/>
    <w:rsid w:val="00EF0755"/>
    <w:rsid w:val="00EF0FBE"/>
    <w:rsid w:val="00EF1223"/>
    <w:rsid w:val="00EF12D4"/>
    <w:rsid w:val="00EF162E"/>
    <w:rsid w:val="00EF1940"/>
    <w:rsid w:val="00EF1F39"/>
    <w:rsid w:val="00EF25ED"/>
    <w:rsid w:val="00EF2A02"/>
    <w:rsid w:val="00EF2A18"/>
    <w:rsid w:val="00EF2A3D"/>
    <w:rsid w:val="00EF2CF3"/>
    <w:rsid w:val="00EF2DF1"/>
    <w:rsid w:val="00EF2E8C"/>
    <w:rsid w:val="00EF2F4D"/>
    <w:rsid w:val="00EF2FA1"/>
    <w:rsid w:val="00EF3254"/>
    <w:rsid w:val="00EF33CF"/>
    <w:rsid w:val="00EF363C"/>
    <w:rsid w:val="00EF3EF2"/>
    <w:rsid w:val="00EF3FCE"/>
    <w:rsid w:val="00EF41FF"/>
    <w:rsid w:val="00EF43DC"/>
    <w:rsid w:val="00EF43F5"/>
    <w:rsid w:val="00EF44A0"/>
    <w:rsid w:val="00EF466C"/>
    <w:rsid w:val="00EF4896"/>
    <w:rsid w:val="00EF49C7"/>
    <w:rsid w:val="00EF532D"/>
    <w:rsid w:val="00EF5472"/>
    <w:rsid w:val="00EF5A49"/>
    <w:rsid w:val="00EF5AB8"/>
    <w:rsid w:val="00EF5CD4"/>
    <w:rsid w:val="00EF605C"/>
    <w:rsid w:val="00EF635E"/>
    <w:rsid w:val="00EF63DF"/>
    <w:rsid w:val="00EF6559"/>
    <w:rsid w:val="00EF676D"/>
    <w:rsid w:val="00EF6972"/>
    <w:rsid w:val="00EF6D7E"/>
    <w:rsid w:val="00EF7401"/>
    <w:rsid w:val="00EF7474"/>
    <w:rsid w:val="00EF7645"/>
    <w:rsid w:val="00EF78DD"/>
    <w:rsid w:val="00EF7930"/>
    <w:rsid w:val="00EF79FB"/>
    <w:rsid w:val="00EF7A11"/>
    <w:rsid w:val="00EF7D3A"/>
    <w:rsid w:val="00EF7E40"/>
    <w:rsid w:val="00EF7FBE"/>
    <w:rsid w:val="00EFC8BB"/>
    <w:rsid w:val="00F0001B"/>
    <w:rsid w:val="00F00AA0"/>
    <w:rsid w:val="00F00CF7"/>
    <w:rsid w:val="00F012CC"/>
    <w:rsid w:val="00F01722"/>
    <w:rsid w:val="00F0174D"/>
    <w:rsid w:val="00F01B95"/>
    <w:rsid w:val="00F01EE6"/>
    <w:rsid w:val="00F02658"/>
    <w:rsid w:val="00F029B9"/>
    <w:rsid w:val="00F02D3B"/>
    <w:rsid w:val="00F02FA8"/>
    <w:rsid w:val="00F030E1"/>
    <w:rsid w:val="00F033BD"/>
    <w:rsid w:val="00F0343D"/>
    <w:rsid w:val="00F03484"/>
    <w:rsid w:val="00F035E2"/>
    <w:rsid w:val="00F03879"/>
    <w:rsid w:val="00F03A0D"/>
    <w:rsid w:val="00F03FFD"/>
    <w:rsid w:val="00F040FF"/>
    <w:rsid w:val="00F04280"/>
    <w:rsid w:val="00F044A2"/>
    <w:rsid w:val="00F048DE"/>
    <w:rsid w:val="00F04C04"/>
    <w:rsid w:val="00F05105"/>
    <w:rsid w:val="00F065C3"/>
    <w:rsid w:val="00F065EF"/>
    <w:rsid w:val="00F0667E"/>
    <w:rsid w:val="00F0670B"/>
    <w:rsid w:val="00F067F1"/>
    <w:rsid w:val="00F068CC"/>
    <w:rsid w:val="00F06927"/>
    <w:rsid w:val="00F06D9E"/>
    <w:rsid w:val="00F06F02"/>
    <w:rsid w:val="00F06F39"/>
    <w:rsid w:val="00F06FD4"/>
    <w:rsid w:val="00F07101"/>
    <w:rsid w:val="00F07374"/>
    <w:rsid w:val="00F0793E"/>
    <w:rsid w:val="00F079C6"/>
    <w:rsid w:val="00F07A70"/>
    <w:rsid w:val="00F07B63"/>
    <w:rsid w:val="00F07D62"/>
    <w:rsid w:val="00F10093"/>
    <w:rsid w:val="00F100FA"/>
    <w:rsid w:val="00F10142"/>
    <w:rsid w:val="00F10642"/>
    <w:rsid w:val="00F10796"/>
    <w:rsid w:val="00F1083B"/>
    <w:rsid w:val="00F10845"/>
    <w:rsid w:val="00F108F3"/>
    <w:rsid w:val="00F109A0"/>
    <w:rsid w:val="00F10B36"/>
    <w:rsid w:val="00F10CFD"/>
    <w:rsid w:val="00F10F9E"/>
    <w:rsid w:val="00F110E6"/>
    <w:rsid w:val="00F1147D"/>
    <w:rsid w:val="00F1158D"/>
    <w:rsid w:val="00F11BA9"/>
    <w:rsid w:val="00F11D20"/>
    <w:rsid w:val="00F12360"/>
    <w:rsid w:val="00F123F7"/>
    <w:rsid w:val="00F12526"/>
    <w:rsid w:val="00F12697"/>
    <w:rsid w:val="00F1275E"/>
    <w:rsid w:val="00F128C3"/>
    <w:rsid w:val="00F129AC"/>
    <w:rsid w:val="00F13516"/>
    <w:rsid w:val="00F13A6F"/>
    <w:rsid w:val="00F13BAB"/>
    <w:rsid w:val="00F13CC1"/>
    <w:rsid w:val="00F13F91"/>
    <w:rsid w:val="00F14502"/>
    <w:rsid w:val="00F1477A"/>
    <w:rsid w:val="00F148FB"/>
    <w:rsid w:val="00F1499F"/>
    <w:rsid w:val="00F14CF1"/>
    <w:rsid w:val="00F1512E"/>
    <w:rsid w:val="00F15138"/>
    <w:rsid w:val="00F1524B"/>
    <w:rsid w:val="00F159B7"/>
    <w:rsid w:val="00F15B5B"/>
    <w:rsid w:val="00F15E0C"/>
    <w:rsid w:val="00F16192"/>
    <w:rsid w:val="00F16218"/>
    <w:rsid w:val="00F1670B"/>
    <w:rsid w:val="00F16749"/>
    <w:rsid w:val="00F16AEB"/>
    <w:rsid w:val="00F16FEC"/>
    <w:rsid w:val="00F17053"/>
    <w:rsid w:val="00F1713A"/>
    <w:rsid w:val="00F17206"/>
    <w:rsid w:val="00F1777B"/>
    <w:rsid w:val="00F17B91"/>
    <w:rsid w:val="00F17CE7"/>
    <w:rsid w:val="00F17D1A"/>
    <w:rsid w:val="00F17F09"/>
    <w:rsid w:val="00F20110"/>
    <w:rsid w:val="00F2065E"/>
    <w:rsid w:val="00F21121"/>
    <w:rsid w:val="00F21123"/>
    <w:rsid w:val="00F211D3"/>
    <w:rsid w:val="00F21600"/>
    <w:rsid w:val="00F21A72"/>
    <w:rsid w:val="00F21CD5"/>
    <w:rsid w:val="00F22177"/>
    <w:rsid w:val="00F2231C"/>
    <w:rsid w:val="00F22357"/>
    <w:rsid w:val="00F229DB"/>
    <w:rsid w:val="00F22AE6"/>
    <w:rsid w:val="00F23079"/>
    <w:rsid w:val="00F235A1"/>
    <w:rsid w:val="00F2378E"/>
    <w:rsid w:val="00F23AA5"/>
    <w:rsid w:val="00F23BC2"/>
    <w:rsid w:val="00F23DAE"/>
    <w:rsid w:val="00F2409C"/>
    <w:rsid w:val="00F2426A"/>
    <w:rsid w:val="00F242AD"/>
    <w:rsid w:val="00F242CA"/>
    <w:rsid w:val="00F24701"/>
    <w:rsid w:val="00F25523"/>
    <w:rsid w:val="00F25A64"/>
    <w:rsid w:val="00F25FB8"/>
    <w:rsid w:val="00F26057"/>
    <w:rsid w:val="00F2609D"/>
    <w:rsid w:val="00F26596"/>
    <w:rsid w:val="00F26910"/>
    <w:rsid w:val="00F269AA"/>
    <w:rsid w:val="00F27043"/>
    <w:rsid w:val="00F271D4"/>
    <w:rsid w:val="00F279F2"/>
    <w:rsid w:val="00F27B20"/>
    <w:rsid w:val="00F27B53"/>
    <w:rsid w:val="00F27CC1"/>
    <w:rsid w:val="00F27DBB"/>
    <w:rsid w:val="00F27F15"/>
    <w:rsid w:val="00F3019C"/>
    <w:rsid w:val="00F3043C"/>
    <w:rsid w:val="00F30545"/>
    <w:rsid w:val="00F305BB"/>
    <w:rsid w:val="00F30648"/>
    <w:rsid w:val="00F30790"/>
    <w:rsid w:val="00F30870"/>
    <w:rsid w:val="00F30A6C"/>
    <w:rsid w:val="00F30D15"/>
    <w:rsid w:val="00F30DE0"/>
    <w:rsid w:val="00F30E28"/>
    <w:rsid w:val="00F30F40"/>
    <w:rsid w:val="00F30F79"/>
    <w:rsid w:val="00F31156"/>
    <w:rsid w:val="00F31281"/>
    <w:rsid w:val="00F313F8"/>
    <w:rsid w:val="00F3163C"/>
    <w:rsid w:val="00F31825"/>
    <w:rsid w:val="00F318B9"/>
    <w:rsid w:val="00F31B64"/>
    <w:rsid w:val="00F31BED"/>
    <w:rsid w:val="00F31CE3"/>
    <w:rsid w:val="00F323EB"/>
    <w:rsid w:val="00F32540"/>
    <w:rsid w:val="00F3287F"/>
    <w:rsid w:val="00F32D96"/>
    <w:rsid w:val="00F32D9F"/>
    <w:rsid w:val="00F33096"/>
    <w:rsid w:val="00F330E3"/>
    <w:rsid w:val="00F33295"/>
    <w:rsid w:val="00F3343E"/>
    <w:rsid w:val="00F335ED"/>
    <w:rsid w:val="00F33BE3"/>
    <w:rsid w:val="00F33C9C"/>
    <w:rsid w:val="00F33E5C"/>
    <w:rsid w:val="00F343A7"/>
    <w:rsid w:val="00F34470"/>
    <w:rsid w:val="00F3451E"/>
    <w:rsid w:val="00F34735"/>
    <w:rsid w:val="00F347B3"/>
    <w:rsid w:val="00F34AF4"/>
    <w:rsid w:val="00F34BE7"/>
    <w:rsid w:val="00F35078"/>
    <w:rsid w:val="00F353D5"/>
    <w:rsid w:val="00F3554B"/>
    <w:rsid w:val="00F35692"/>
    <w:rsid w:val="00F359E3"/>
    <w:rsid w:val="00F35B12"/>
    <w:rsid w:val="00F35C7E"/>
    <w:rsid w:val="00F35D3A"/>
    <w:rsid w:val="00F36010"/>
    <w:rsid w:val="00F360EE"/>
    <w:rsid w:val="00F36200"/>
    <w:rsid w:val="00F36640"/>
    <w:rsid w:val="00F368E5"/>
    <w:rsid w:val="00F3693E"/>
    <w:rsid w:val="00F37952"/>
    <w:rsid w:val="00F379C8"/>
    <w:rsid w:val="00F37E80"/>
    <w:rsid w:val="00F40085"/>
    <w:rsid w:val="00F4024E"/>
    <w:rsid w:val="00F40739"/>
    <w:rsid w:val="00F40C4C"/>
    <w:rsid w:val="00F40C5E"/>
    <w:rsid w:val="00F40D5D"/>
    <w:rsid w:val="00F4114C"/>
    <w:rsid w:val="00F416C3"/>
    <w:rsid w:val="00F41715"/>
    <w:rsid w:val="00F41A2D"/>
    <w:rsid w:val="00F420F4"/>
    <w:rsid w:val="00F421F8"/>
    <w:rsid w:val="00F42366"/>
    <w:rsid w:val="00F4274C"/>
    <w:rsid w:val="00F42CB4"/>
    <w:rsid w:val="00F42E91"/>
    <w:rsid w:val="00F43207"/>
    <w:rsid w:val="00F43501"/>
    <w:rsid w:val="00F43502"/>
    <w:rsid w:val="00F435A3"/>
    <w:rsid w:val="00F4367F"/>
    <w:rsid w:val="00F436A6"/>
    <w:rsid w:val="00F4391D"/>
    <w:rsid w:val="00F43958"/>
    <w:rsid w:val="00F43FC7"/>
    <w:rsid w:val="00F440A3"/>
    <w:rsid w:val="00F44113"/>
    <w:rsid w:val="00F4427E"/>
    <w:rsid w:val="00F44576"/>
    <w:rsid w:val="00F44913"/>
    <w:rsid w:val="00F44992"/>
    <w:rsid w:val="00F44A3F"/>
    <w:rsid w:val="00F44A52"/>
    <w:rsid w:val="00F4504E"/>
    <w:rsid w:val="00F45CCB"/>
    <w:rsid w:val="00F45FBA"/>
    <w:rsid w:val="00F463B8"/>
    <w:rsid w:val="00F4643B"/>
    <w:rsid w:val="00F46522"/>
    <w:rsid w:val="00F46693"/>
    <w:rsid w:val="00F46A33"/>
    <w:rsid w:val="00F46B7C"/>
    <w:rsid w:val="00F473BC"/>
    <w:rsid w:val="00F476FC"/>
    <w:rsid w:val="00F47B6C"/>
    <w:rsid w:val="00F47C75"/>
    <w:rsid w:val="00F47D9F"/>
    <w:rsid w:val="00F47E08"/>
    <w:rsid w:val="00F47FB2"/>
    <w:rsid w:val="00F47FC6"/>
    <w:rsid w:val="00F501D1"/>
    <w:rsid w:val="00F505A6"/>
    <w:rsid w:val="00F507AF"/>
    <w:rsid w:val="00F50F29"/>
    <w:rsid w:val="00F510E3"/>
    <w:rsid w:val="00F5149B"/>
    <w:rsid w:val="00F516D8"/>
    <w:rsid w:val="00F517F3"/>
    <w:rsid w:val="00F51B95"/>
    <w:rsid w:val="00F51DCE"/>
    <w:rsid w:val="00F51DCF"/>
    <w:rsid w:val="00F51ECE"/>
    <w:rsid w:val="00F52517"/>
    <w:rsid w:val="00F52733"/>
    <w:rsid w:val="00F5276E"/>
    <w:rsid w:val="00F52806"/>
    <w:rsid w:val="00F52BE8"/>
    <w:rsid w:val="00F52CF2"/>
    <w:rsid w:val="00F52D6B"/>
    <w:rsid w:val="00F52E5C"/>
    <w:rsid w:val="00F52F62"/>
    <w:rsid w:val="00F5327B"/>
    <w:rsid w:val="00F53313"/>
    <w:rsid w:val="00F534AC"/>
    <w:rsid w:val="00F53541"/>
    <w:rsid w:val="00F53744"/>
    <w:rsid w:val="00F53AD9"/>
    <w:rsid w:val="00F53D9A"/>
    <w:rsid w:val="00F53EF9"/>
    <w:rsid w:val="00F53FD1"/>
    <w:rsid w:val="00F54ADF"/>
    <w:rsid w:val="00F54B75"/>
    <w:rsid w:val="00F54B9D"/>
    <w:rsid w:val="00F54D78"/>
    <w:rsid w:val="00F55345"/>
    <w:rsid w:val="00F553EE"/>
    <w:rsid w:val="00F555DE"/>
    <w:rsid w:val="00F559A1"/>
    <w:rsid w:val="00F55C1C"/>
    <w:rsid w:val="00F560E1"/>
    <w:rsid w:val="00F5619A"/>
    <w:rsid w:val="00F566F0"/>
    <w:rsid w:val="00F56ADA"/>
    <w:rsid w:val="00F56CAA"/>
    <w:rsid w:val="00F5733E"/>
    <w:rsid w:val="00F5740A"/>
    <w:rsid w:val="00F57836"/>
    <w:rsid w:val="00F57900"/>
    <w:rsid w:val="00F57A0F"/>
    <w:rsid w:val="00F57C48"/>
    <w:rsid w:val="00F57DEA"/>
    <w:rsid w:val="00F57EB9"/>
    <w:rsid w:val="00F601F9"/>
    <w:rsid w:val="00F6038B"/>
    <w:rsid w:val="00F603B8"/>
    <w:rsid w:val="00F60544"/>
    <w:rsid w:val="00F6067A"/>
    <w:rsid w:val="00F607B0"/>
    <w:rsid w:val="00F607E3"/>
    <w:rsid w:val="00F609C4"/>
    <w:rsid w:val="00F610BC"/>
    <w:rsid w:val="00F611CD"/>
    <w:rsid w:val="00F6122B"/>
    <w:rsid w:val="00F6124F"/>
    <w:rsid w:val="00F617C8"/>
    <w:rsid w:val="00F61ABC"/>
    <w:rsid w:val="00F6207F"/>
    <w:rsid w:val="00F620E1"/>
    <w:rsid w:val="00F623E8"/>
    <w:rsid w:val="00F62608"/>
    <w:rsid w:val="00F62733"/>
    <w:rsid w:val="00F6279C"/>
    <w:rsid w:val="00F62910"/>
    <w:rsid w:val="00F62B75"/>
    <w:rsid w:val="00F62E3D"/>
    <w:rsid w:val="00F62FE5"/>
    <w:rsid w:val="00F63051"/>
    <w:rsid w:val="00F63514"/>
    <w:rsid w:val="00F63819"/>
    <w:rsid w:val="00F63862"/>
    <w:rsid w:val="00F63983"/>
    <w:rsid w:val="00F63CF1"/>
    <w:rsid w:val="00F643E7"/>
    <w:rsid w:val="00F645BB"/>
    <w:rsid w:val="00F645DF"/>
    <w:rsid w:val="00F64AE3"/>
    <w:rsid w:val="00F64FB1"/>
    <w:rsid w:val="00F652B7"/>
    <w:rsid w:val="00F652F0"/>
    <w:rsid w:val="00F65417"/>
    <w:rsid w:val="00F658BB"/>
    <w:rsid w:val="00F6593F"/>
    <w:rsid w:val="00F662E0"/>
    <w:rsid w:val="00F66359"/>
    <w:rsid w:val="00F665EC"/>
    <w:rsid w:val="00F666AE"/>
    <w:rsid w:val="00F66CE8"/>
    <w:rsid w:val="00F66EDE"/>
    <w:rsid w:val="00F66FD4"/>
    <w:rsid w:val="00F6712C"/>
    <w:rsid w:val="00F67460"/>
    <w:rsid w:val="00F6788C"/>
    <w:rsid w:val="00F67DB7"/>
    <w:rsid w:val="00F67FDB"/>
    <w:rsid w:val="00F700E9"/>
    <w:rsid w:val="00F701A2"/>
    <w:rsid w:val="00F7065A"/>
    <w:rsid w:val="00F70809"/>
    <w:rsid w:val="00F70A05"/>
    <w:rsid w:val="00F70A53"/>
    <w:rsid w:val="00F70A7D"/>
    <w:rsid w:val="00F70AD0"/>
    <w:rsid w:val="00F70D40"/>
    <w:rsid w:val="00F71013"/>
    <w:rsid w:val="00F71044"/>
    <w:rsid w:val="00F71380"/>
    <w:rsid w:val="00F71455"/>
    <w:rsid w:val="00F717AE"/>
    <w:rsid w:val="00F71C0D"/>
    <w:rsid w:val="00F71C8D"/>
    <w:rsid w:val="00F71F37"/>
    <w:rsid w:val="00F71F43"/>
    <w:rsid w:val="00F7229C"/>
    <w:rsid w:val="00F7233C"/>
    <w:rsid w:val="00F72436"/>
    <w:rsid w:val="00F7243E"/>
    <w:rsid w:val="00F72447"/>
    <w:rsid w:val="00F72734"/>
    <w:rsid w:val="00F728D9"/>
    <w:rsid w:val="00F72E1D"/>
    <w:rsid w:val="00F72F52"/>
    <w:rsid w:val="00F73644"/>
    <w:rsid w:val="00F73645"/>
    <w:rsid w:val="00F737A6"/>
    <w:rsid w:val="00F7387D"/>
    <w:rsid w:val="00F73AF5"/>
    <w:rsid w:val="00F73B77"/>
    <w:rsid w:val="00F73C03"/>
    <w:rsid w:val="00F73E04"/>
    <w:rsid w:val="00F73E38"/>
    <w:rsid w:val="00F740F1"/>
    <w:rsid w:val="00F7434D"/>
    <w:rsid w:val="00F7435F"/>
    <w:rsid w:val="00F7488C"/>
    <w:rsid w:val="00F74E7C"/>
    <w:rsid w:val="00F74F1E"/>
    <w:rsid w:val="00F750FA"/>
    <w:rsid w:val="00F752C2"/>
    <w:rsid w:val="00F7558F"/>
    <w:rsid w:val="00F758C8"/>
    <w:rsid w:val="00F75A35"/>
    <w:rsid w:val="00F75B72"/>
    <w:rsid w:val="00F75BEE"/>
    <w:rsid w:val="00F75C9E"/>
    <w:rsid w:val="00F75F5E"/>
    <w:rsid w:val="00F763E9"/>
    <w:rsid w:val="00F76776"/>
    <w:rsid w:val="00F76BC1"/>
    <w:rsid w:val="00F76FB1"/>
    <w:rsid w:val="00F773AD"/>
    <w:rsid w:val="00F77535"/>
    <w:rsid w:val="00F77586"/>
    <w:rsid w:val="00F778AE"/>
    <w:rsid w:val="00F77C2A"/>
    <w:rsid w:val="00F77C4B"/>
    <w:rsid w:val="00F80019"/>
    <w:rsid w:val="00F801AA"/>
    <w:rsid w:val="00F8077D"/>
    <w:rsid w:val="00F8087A"/>
    <w:rsid w:val="00F80884"/>
    <w:rsid w:val="00F80F15"/>
    <w:rsid w:val="00F80F30"/>
    <w:rsid w:val="00F81025"/>
    <w:rsid w:val="00F811DE"/>
    <w:rsid w:val="00F813E0"/>
    <w:rsid w:val="00F81697"/>
    <w:rsid w:val="00F817AE"/>
    <w:rsid w:val="00F818A9"/>
    <w:rsid w:val="00F81BD8"/>
    <w:rsid w:val="00F81F1D"/>
    <w:rsid w:val="00F81F63"/>
    <w:rsid w:val="00F820FD"/>
    <w:rsid w:val="00F8236D"/>
    <w:rsid w:val="00F825B7"/>
    <w:rsid w:val="00F829B1"/>
    <w:rsid w:val="00F82A11"/>
    <w:rsid w:val="00F82B5C"/>
    <w:rsid w:val="00F82BB5"/>
    <w:rsid w:val="00F82DB8"/>
    <w:rsid w:val="00F83666"/>
    <w:rsid w:val="00F8367C"/>
    <w:rsid w:val="00F8375C"/>
    <w:rsid w:val="00F83BE3"/>
    <w:rsid w:val="00F83EE0"/>
    <w:rsid w:val="00F83EF0"/>
    <w:rsid w:val="00F8420A"/>
    <w:rsid w:val="00F84430"/>
    <w:rsid w:val="00F844FC"/>
    <w:rsid w:val="00F84561"/>
    <w:rsid w:val="00F84641"/>
    <w:rsid w:val="00F847E9"/>
    <w:rsid w:val="00F849D1"/>
    <w:rsid w:val="00F84A79"/>
    <w:rsid w:val="00F84B5C"/>
    <w:rsid w:val="00F84B5F"/>
    <w:rsid w:val="00F84E21"/>
    <w:rsid w:val="00F84E4B"/>
    <w:rsid w:val="00F85043"/>
    <w:rsid w:val="00F8509D"/>
    <w:rsid w:val="00F850F4"/>
    <w:rsid w:val="00F851B0"/>
    <w:rsid w:val="00F851B8"/>
    <w:rsid w:val="00F85355"/>
    <w:rsid w:val="00F85660"/>
    <w:rsid w:val="00F85702"/>
    <w:rsid w:val="00F8570C"/>
    <w:rsid w:val="00F85A72"/>
    <w:rsid w:val="00F85B20"/>
    <w:rsid w:val="00F86310"/>
    <w:rsid w:val="00F8665A"/>
    <w:rsid w:val="00F86873"/>
    <w:rsid w:val="00F86A30"/>
    <w:rsid w:val="00F876B3"/>
    <w:rsid w:val="00F876BD"/>
    <w:rsid w:val="00F878D0"/>
    <w:rsid w:val="00F87B1F"/>
    <w:rsid w:val="00F87BF0"/>
    <w:rsid w:val="00F87ED1"/>
    <w:rsid w:val="00F90053"/>
    <w:rsid w:val="00F90700"/>
    <w:rsid w:val="00F9090D"/>
    <w:rsid w:val="00F90CA2"/>
    <w:rsid w:val="00F91295"/>
    <w:rsid w:val="00F916A7"/>
    <w:rsid w:val="00F91A04"/>
    <w:rsid w:val="00F91C0D"/>
    <w:rsid w:val="00F91C98"/>
    <w:rsid w:val="00F91F11"/>
    <w:rsid w:val="00F92366"/>
    <w:rsid w:val="00F92394"/>
    <w:rsid w:val="00F924BF"/>
    <w:rsid w:val="00F92662"/>
    <w:rsid w:val="00F9275E"/>
    <w:rsid w:val="00F928AC"/>
    <w:rsid w:val="00F92921"/>
    <w:rsid w:val="00F9296D"/>
    <w:rsid w:val="00F92BF5"/>
    <w:rsid w:val="00F92DEB"/>
    <w:rsid w:val="00F931B1"/>
    <w:rsid w:val="00F93737"/>
    <w:rsid w:val="00F93889"/>
    <w:rsid w:val="00F93A0D"/>
    <w:rsid w:val="00F93D21"/>
    <w:rsid w:val="00F93DD8"/>
    <w:rsid w:val="00F93FD2"/>
    <w:rsid w:val="00F941A7"/>
    <w:rsid w:val="00F94897"/>
    <w:rsid w:val="00F94AE5"/>
    <w:rsid w:val="00F94B46"/>
    <w:rsid w:val="00F94C00"/>
    <w:rsid w:val="00F94D79"/>
    <w:rsid w:val="00F94E30"/>
    <w:rsid w:val="00F94F25"/>
    <w:rsid w:val="00F95035"/>
    <w:rsid w:val="00F950D9"/>
    <w:rsid w:val="00F951F7"/>
    <w:rsid w:val="00F952C3"/>
    <w:rsid w:val="00F9535C"/>
    <w:rsid w:val="00F954B4"/>
    <w:rsid w:val="00F954B9"/>
    <w:rsid w:val="00F95AE2"/>
    <w:rsid w:val="00F95E78"/>
    <w:rsid w:val="00F95F48"/>
    <w:rsid w:val="00F96385"/>
    <w:rsid w:val="00F96F5F"/>
    <w:rsid w:val="00F971CA"/>
    <w:rsid w:val="00F973AF"/>
    <w:rsid w:val="00F975EA"/>
    <w:rsid w:val="00F9767B"/>
    <w:rsid w:val="00F978F6"/>
    <w:rsid w:val="00F97BA1"/>
    <w:rsid w:val="00FA0159"/>
    <w:rsid w:val="00FA029F"/>
    <w:rsid w:val="00FA03D3"/>
    <w:rsid w:val="00FA06BF"/>
    <w:rsid w:val="00FA0A60"/>
    <w:rsid w:val="00FA0AD5"/>
    <w:rsid w:val="00FA0FBF"/>
    <w:rsid w:val="00FA119D"/>
    <w:rsid w:val="00FA12C0"/>
    <w:rsid w:val="00FA135F"/>
    <w:rsid w:val="00FA1495"/>
    <w:rsid w:val="00FA1628"/>
    <w:rsid w:val="00FA1BD5"/>
    <w:rsid w:val="00FA1F25"/>
    <w:rsid w:val="00FA20AE"/>
    <w:rsid w:val="00FA2731"/>
    <w:rsid w:val="00FA29EC"/>
    <w:rsid w:val="00FA2B94"/>
    <w:rsid w:val="00FA2EC4"/>
    <w:rsid w:val="00FA313D"/>
    <w:rsid w:val="00FA325B"/>
    <w:rsid w:val="00FA32B7"/>
    <w:rsid w:val="00FA39B4"/>
    <w:rsid w:val="00FA3E19"/>
    <w:rsid w:val="00FA3F87"/>
    <w:rsid w:val="00FA4581"/>
    <w:rsid w:val="00FA4599"/>
    <w:rsid w:val="00FA46C5"/>
    <w:rsid w:val="00FA46DB"/>
    <w:rsid w:val="00FA4B00"/>
    <w:rsid w:val="00FA52BE"/>
    <w:rsid w:val="00FA54CD"/>
    <w:rsid w:val="00FA5994"/>
    <w:rsid w:val="00FA603A"/>
    <w:rsid w:val="00FA62AD"/>
    <w:rsid w:val="00FA6419"/>
    <w:rsid w:val="00FA6587"/>
    <w:rsid w:val="00FA69E1"/>
    <w:rsid w:val="00FA70EC"/>
    <w:rsid w:val="00FA714E"/>
    <w:rsid w:val="00FA7177"/>
    <w:rsid w:val="00FA71E2"/>
    <w:rsid w:val="00FA72F8"/>
    <w:rsid w:val="00FA7812"/>
    <w:rsid w:val="00FA7872"/>
    <w:rsid w:val="00FA7930"/>
    <w:rsid w:val="00FA7C7B"/>
    <w:rsid w:val="00FA7FE2"/>
    <w:rsid w:val="00FB0024"/>
    <w:rsid w:val="00FB0094"/>
    <w:rsid w:val="00FB0216"/>
    <w:rsid w:val="00FB044E"/>
    <w:rsid w:val="00FB06C9"/>
    <w:rsid w:val="00FB0802"/>
    <w:rsid w:val="00FB108A"/>
    <w:rsid w:val="00FB130D"/>
    <w:rsid w:val="00FB13E3"/>
    <w:rsid w:val="00FB161F"/>
    <w:rsid w:val="00FB166A"/>
    <w:rsid w:val="00FB1B59"/>
    <w:rsid w:val="00FB1B81"/>
    <w:rsid w:val="00FB1CBD"/>
    <w:rsid w:val="00FB1D70"/>
    <w:rsid w:val="00FB2540"/>
    <w:rsid w:val="00FB275C"/>
    <w:rsid w:val="00FB2F3E"/>
    <w:rsid w:val="00FB3145"/>
    <w:rsid w:val="00FB33A1"/>
    <w:rsid w:val="00FB35BD"/>
    <w:rsid w:val="00FB3719"/>
    <w:rsid w:val="00FB37E8"/>
    <w:rsid w:val="00FB3A64"/>
    <w:rsid w:val="00FB3AB9"/>
    <w:rsid w:val="00FB3C52"/>
    <w:rsid w:val="00FB3CA4"/>
    <w:rsid w:val="00FB3CDD"/>
    <w:rsid w:val="00FB412A"/>
    <w:rsid w:val="00FB422A"/>
    <w:rsid w:val="00FB42F6"/>
    <w:rsid w:val="00FB45E6"/>
    <w:rsid w:val="00FB49F1"/>
    <w:rsid w:val="00FB4A91"/>
    <w:rsid w:val="00FB4B30"/>
    <w:rsid w:val="00FB4B6E"/>
    <w:rsid w:val="00FB4BE8"/>
    <w:rsid w:val="00FB4DB7"/>
    <w:rsid w:val="00FB50DD"/>
    <w:rsid w:val="00FB50E8"/>
    <w:rsid w:val="00FB5415"/>
    <w:rsid w:val="00FB5730"/>
    <w:rsid w:val="00FB5B51"/>
    <w:rsid w:val="00FB5BA8"/>
    <w:rsid w:val="00FB5C78"/>
    <w:rsid w:val="00FB5CC6"/>
    <w:rsid w:val="00FB62FB"/>
    <w:rsid w:val="00FB670A"/>
    <w:rsid w:val="00FB673B"/>
    <w:rsid w:val="00FB6782"/>
    <w:rsid w:val="00FB6985"/>
    <w:rsid w:val="00FB6A56"/>
    <w:rsid w:val="00FB6AAC"/>
    <w:rsid w:val="00FB6DFB"/>
    <w:rsid w:val="00FB6E6D"/>
    <w:rsid w:val="00FB76E6"/>
    <w:rsid w:val="00FB78C6"/>
    <w:rsid w:val="00FB7AE3"/>
    <w:rsid w:val="00FB7B92"/>
    <w:rsid w:val="00FB7C8A"/>
    <w:rsid w:val="00FB7D3F"/>
    <w:rsid w:val="00FB7D55"/>
    <w:rsid w:val="00FB7E07"/>
    <w:rsid w:val="00FC001E"/>
    <w:rsid w:val="00FC00AF"/>
    <w:rsid w:val="00FC042D"/>
    <w:rsid w:val="00FC0627"/>
    <w:rsid w:val="00FC0C8C"/>
    <w:rsid w:val="00FC12D1"/>
    <w:rsid w:val="00FC15CA"/>
    <w:rsid w:val="00FC166E"/>
    <w:rsid w:val="00FC193C"/>
    <w:rsid w:val="00FC1C4A"/>
    <w:rsid w:val="00FC2058"/>
    <w:rsid w:val="00FC20A4"/>
    <w:rsid w:val="00FC2598"/>
    <w:rsid w:val="00FC2B21"/>
    <w:rsid w:val="00FC305F"/>
    <w:rsid w:val="00FC3643"/>
    <w:rsid w:val="00FC366F"/>
    <w:rsid w:val="00FC388A"/>
    <w:rsid w:val="00FC38E8"/>
    <w:rsid w:val="00FC3C01"/>
    <w:rsid w:val="00FC3CE5"/>
    <w:rsid w:val="00FC427C"/>
    <w:rsid w:val="00FC459A"/>
    <w:rsid w:val="00FC45C6"/>
    <w:rsid w:val="00FC4942"/>
    <w:rsid w:val="00FC4A23"/>
    <w:rsid w:val="00FC4B8D"/>
    <w:rsid w:val="00FC4D26"/>
    <w:rsid w:val="00FC4D7E"/>
    <w:rsid w:val="00FC4D7F"/>
    <w:rsid w:val="00FC4D99"/>
    <w:rsid w:val="00FC505A"/>
    <w:rsid w:val="00FC528D"/>
    <w:rsid w:val="00FC591B"/>
    <w:rsid w:val="00FC5C16"/>
    <w:rsid w:val="00FC5D19"/>
    <w:rsid w:val="00FC5DB3"/>
    <w:rsid w:val="00FC6C69"/>
    <w:rsid w:val="00FC6E61"/>
    <w:rsid w:val="00FC71E2"/>
    <w:rsid w:val="00FC73BB"/>
    <w:rsid w:val="00FC749E"/>
    <w:rsid w:val="00FC78FC"/>
    <w:rsid w:val="00FC7979"/>
    <w:rsid w:val="00FC7B03"/>
    <w:rsid w:val="00FD0711"/>
    <w:rsid w:val="00FD075F"/>
    <w:rsid w:val="00FD08F3"/>
    <w:rsid w:val="00FD0986"/>
    <w:rsid w:val="00FD0AB8"/>
    <w:rsid w:val="00FD0D5F"/>
    <w:rsid w:val="00FD0E40"/>
    <w:rsid w:val="00FD10C5"/>
    <w:rsid w:val="00FD146C"/>
    <w:rsid w:val="00FD1968"/>
    <w:rsid w:val="00FD1B11"/>
    <w:rsid w:val="00FD1BC8"/>
    <w:rsid w:val="00FD1C72"/>
    <w:rsid w:val="00FD2170"/>
    <w:rsid w:val="00FD24A3"/>
    <w:rsid w:val="00FD2772"/>
    <w:rsid w:val="00FD286A"/>
    <w:rsid w:val="00FD2C0C"/>
    <w:rsid w:val="00FD2D26"/>
    <w:rsid w:val="00FD306B"/>
    <w:rsid w:val="00FD30D7"/>
    <w:rsid w:val="00FD320A"/>
    <w:rsid w:val="00FD32F7"/>
    <w:rsid w:val="00FD3479"/>
    <w:rsid w:val="00FD3919"/>
    <w:rsid w:val="00FD3A13"/>
    <w:rsid w:val="00FD3E31"/>
    <w:rsid w:val="00FD4201"/>
    <w:rsid w:val="00FD4254"/>
    <w:rsid w:val="00FD4631"/>
    <w:rsid w:val="00FD471C"/>
    <w:rsid w:val="00FD48EC"/>
    <w:rsid w:val="00FD4C88"/>
    <w:rsid w:val="00FD4D9E"/>
    <w:rsid w:val="00FD4E1E"/>
    <w:rsid w:val="00FD5200"/>
    <w:rsid w:val="00FD5329"/>
    <w:rsid w:val="00FD5577"/>
    <w:rsid w:val="00FD5A08"/>
    <w:rsid w:val="00FD5BEE"/>
    <w:rsid w:val="00FD5C45"/>
    <w:rsid w:val="00FD6235"/>
    <w:rsid w:val="00FD65DF"/>
    <w:rsid w:val="00FD6628"/>
    <w:rsid w:val="00FD678F"/>
    <w:rsid w:val="00FD6A15"/>
    <w:rsid w:val="00FD6DE0"/>
    <w:rsid w:val="00FD6E93"/>
    <w:rsid w:val="00FD7235"/>
    <w:rsid w:val="00FD7347"/>
    <w:rsid w:val="00FD7475"/>
    <w:rsid w:val="00FD7629"/>
    <w:rsid w:val="00FD76E7"/>
    <w:rsid w:val="00FD7AB9"/>
    <w:rsid w:val="00FD7C2E"/>
    <w:rsid w:val="00FD7C63"/>
    <w:rsid w:val="00FD7FDA"/>
    <w:rsid w:val="00FE0089"/>
    <w:rsid w:val="00FE043E"/>
    <w:rsid w:val="00FE04D0"/>
    <w:rsid w:val="00FE0555"/>
    <w:rsid w:val="00FE0560"/>
    <w:rsid w:val="00FE07F5"/>
    <w:rsid w:val="00FE0A06"/>
    <w:rsid w:val="00FE0BC8"/>
    <w:rsid w:val="00FE1185"/>
    <w:rsid w:val="00FE19BE"/>
    <w:rsid w:val="00FE1D8D"/>
    <w:rsid w:val="00FE1E43"/>
    <w:rsid w:val="00FE1E73"/>
    <w:rsid w:val="00FE1F90"/>
    <w:rsid w:val="00FE2011"/>
    <w:rsid w:val="00FE21D1"/>
    <w:rsid w:val="00FE22AD"/>
    <w:rsid w:val="00FE2491"/>
    <w:rsid w:val="00FE2647"/>
    <w:rsid w:val="00FE2AF9"/>
    <w:rsid w:val="00FE2BEE"/>
    <w:rsid w:val="00FE35E2"/>
    <w:rsid w:val="00FE3759"/>
    <w:rsid w:val="00FE3832"/>
    <w:rsid w:val="00FE388A"/>
    <w:rsid w:val="00FE38C3"/>
    <w:rsid w:val="00FE3979"/>
    <w:rsid w:val="00FE3FDF"/>
    <w:rsid w:val="00FE4369"/>
    <w:rsid w:val="00FE4937"/>
    <w:rsid w:val="00FE50C8"/>
    <w:rsid w:val="00FE5227"/>
    <w:rsid w:val="00FE58D3"/>
    <w:rsid w:val="00FE596D"/>
    <w:rsid w:val="00FE59B4"/>
    <w:rsid w:val="00FE5B8F"/>
    <w:rsid w:val="00FE5BFB"/>
    <w:rsid w:val="00FE5C55"/>
    <w:rsid w:val="00FE5EA3"/>
    <w:rsid w:val="00FE5F3D"/>
    <w:rsid w:val="00FE5F58"/>
    <w:rsid w:val="00FE6166"/>
    <w:rsid w:val="00FE620D"/>
    <w:rsid w:val="00FE6948"/>
    <w:rsid w:val="00FE6C23"/>
    <w:rsid w:val="00FE72E3"/>
    <w:rsid w:val="00FE736A"/>
    <w:rsid w:val="00FE75E5"/>
    <w:rsid w:val="00FE7AE5"/>
    <w:rsid w:val="00FE7DE2"/>
    <w:rsid w:val="00FE7DF9"/>
    <w:rsid w:val="00FE7E6C"/>
    <w:rsid w:val="00FF0071"/>
    <w:rsid w:val="00FF008C"/>
    <w:rsid w:val="00FF0502"/>
    <w:rsid w:val="00FF075A"/>
    <w:rsid w:val="00FF0BA0"/>
    <w:rsid w:val="00FF0C1C"/>
    <w:rsid w:val="00FF0C6C"/>
    <w:rsid w:val="00FF0D5D"/>
    <w:rsid w:val="00FF0DB6"/>
    <w:rsid w:val="00FF0F15"/>
    <w:rsid w:val="00FF0F4B"/>
    <w:rsid w:val="00FF136E"/>
    <w:rsid w:val="00FF17B3"/>
    <w:rsid w:val="00FF17EF"/>
    <w:rsid w:val="00FF1B44"/>
    <w:rsid w:val="00FF203D"/>
    <w:rsid w:val="00FF292C"/>
    <w:rsid w:val="00FF2B04"/>
    <w:rsid w:val="00FF2D48"/>
    <w:rsid w:val="00FF2D4C"/>
    <w:rsid w:val="00FF3308"/>
    <w:rsid w:val="00FF3A13"/>
    <w:rsid w:val="00FF42F2"/>
    <w:rsid w:val="00FF4461"/>
    <w:rsid w:val="00FF4722"/>
    <w:rsid w:val="00FF49C4"/>
    <w:rsid w:val="00FF4A17"/>
    <w:rsid w:val="00FF4A7F"/>
    <w:rsid w:val="00FF4D44"/>
    <w:rsid w:val="00FF4DFB"/>
    <w:rsid w:val="00FF5601"/>
    <w:rsid w:val="00FF5641"/>
    <w:rsid w:val="00FF572C"/>
    <w:rsid w:val="00FF57C8"/>
    <w:rsid w:val="00FF5F59"/>
    <w:rsid w:val="00FF62A1"/>
    <w:rsid w:val="00FF64BD"/>
    <w:rsid w:val="00FF6627"/>
    <w:rsid w:val="00FF66D6"/>
    <w:rsid w:val="00FF694F"/>
    <w:rsid w:val="00FF69D6"/>
    <w:rsid w:val="00FF6A17"/>
    <w:rsid w:val="00FF6B8E"/>
    <w:rsid w:val="00FF7042"/>
    <w:rsid w:val="00FF71B3"/>
    <w:rsid w:val="00FF727E"/>
    <w:rsid w:val="00FF74B6"/>
    <w:rsid w:val="00FF770D"/>
    <w:rsid w:val="00FF78AE"/>
    <w:rsid w:val="00FF78E2"/>
    <w:rsid w:val="00FF7F0B"/>
    <w:rsid w:val="01097E5F"/>
    <w:rsid w:val="010A68E6"/>
    <w:rsid w:val="0112390A"/>
    <w:rsid w:val="0116B746"/>
    <w:rsid w:val="01177A30"/>
    <w:rsid w:val="011C486D"/>
    <w:rsid w:val="011E2190"/>
    <w:rsid w:val="011EDAB2"/>
    <w:rsid w:val="0121F665"/>
    <w:rsid w:val="01258A30"/>
    <w:rsid w:val="012FC914"/>
    <w:rsid w:val="01348327"/>
    <w:rsid w:val="013AC12F"/>
    <w:rsid w:val="013F6289"/>
    <w:rsid w:val="0144661B"/>
    <w:rsid w:val="0145AE61"/>
    <w:rsid w:val="0148B0F2"/>
    <w:rsid w:val="0148D35F"/>
    <w:rsid w:val="01494E6E"/>
    <w:rsid w:val="0149DFC5"/>
    <w:rsid w:val="014A8DAB"/>
    <w:rsid w:val="0150AF25"/>
    <w:rsid w:val="0151B6D7"/>
    <w:rsid w:val="0151D34F"/>
    <w:rsid w:val="015455E4"/>
    <w:rsid w:val="0155E4D3"/>
    <w:rsid w:val="015731BA"/>
    <w:rsid w:val="0157F386"/>
    <w:rsid w:val="015839A1"/>
    <w:rsid w:val="015F278C"/>
    <w:rsid w:val="015F88E7"/>
    <w:rsid w:val="016251A6"/>
    <w:rsid w:val="01669655"/>
    <w:rsid w:val="016C1384"/>
    <w:rsid w:val="01722D3D"/>
    <w:rsid w:val="01738348"/>
    <w:rsid w:val="0182A62F"/>
    <w:rsid w:val="01856054"/>
    <w:rsid w:val="01872AA5"/>
    <w:rsid w:val="018DDC6C"/>
    <w:rsid w:val="018E28BE"/>
    <w:rsid w:val="018F87AB"/>
    <w:rsid w:val="0192975C"/>
    <w:rsid w:val="01971CC5"/>
    <w:rsid w:val="01A2760C"/>
    <w:rsid w:val="01A34820"/>
    <w:rsid w:val="01A4AAD7"/>
    <w:rsid w:val="01A63CC6"/>
    <w:rsid w:val="01AB384D"/>
    <w:rsid w:val="01B11546"/>
    <w:rsid w:val="01B23860"/>
    <w:rsid w:val="01B3414C"/>
    <w:rsid w:val="01B589A1"/>
    <w:rsid w:val="01BA0538"/>
    <w:rsid w:val="01BDFC34"/>
    <w:rsid w:val="01C549DF"/>
    <w:rsid w:val="01DA59AB"/>
    <w:rsid w:val="01E290A0"/>
    <w:rsid w:val="01E376E5"/>
    <w:rsid w:val="01EC575C"/>
    <w:rsid w:val="01EDE5D6"/>
    <w:rsid w:val="01F086D7"/>
    <w:rsid w:val="01F97C5B"/>
    <w:rsid w:val="01FB0DEA"/>
    <w:rsid w:val="01FD918F"/>
    <w:rsid w:val="020D8412"/>
    <w:rsid w:val="0214B675"/>
    <w:rsid w:val="02199201"/>
    <w:rsid w:val="021C4AB2"/>
    <w:rsid w:val="0220AAFA"/>
    <w:rsid w:val="0228FAA5"/>
    <w:rsid w:val="022ADBD1"/>
    <w:rsid w:val="022D9B33"/>
    <w:rsid w:val="02308CD4"/>
    <w:rsid w:val="024AE920"/>
    <w:rsid w:val="024E452E"/>
    <w:rsid w:val="0253C921"/>
    <w:rsid w:val="0260FD4C"/>
    <w:rsid w:val="026AB70B"/>
    <w:rsid w:val="026FD243"/>
    <w:rsid w:val="0277A944"/>
    <w:rsid w:val="0278EA9B"/>
    <w:rsid w:val="027CCA9A"/>
    <w:rsid w:val="029047AE"/>
    <w:rsid w:val="0292D058"/>
    <w:rsid w:val="029301A2"/>
    <w:rsid w:val="029BF4B3"/>
    <w:rsid w:val="02A17B8E"/>
    <w:rsid w:val="02AA36C7"/>
    <w:rsid w:val="02AB56DF"/>
    <w:rsid w:val="02B367AB"/>
    <w:rsid w:val="02BC407B"/>
    <w:rsid w:val="02C441CF"/>
    <w:rsid w:val="02CE1C13"/>
    <w:rsid w:val="02D1F6FE"/>
    <w:rsid w:val="02E3ABF3"/>
    <w:rsid w:val="02EA29EF"/>
    <w:rsid w:val="02F20ACD"/>
    <w:rsid w:val="02F9BC39"/>
    <w:rsid w:val="02FDDA5D"/>
    <w:rsid w:val="0301DAE9"/>
    <w:rsid w:val="0314C243"/>
    <w:rsid w:val="0318E129"/>
    <w:rsid w:val="03193D8A"/>
    <w:rsid w:val="031976C4"/>
    <w:rsid w:val="031AB78B"/>
    <w:rsid w:val="0322BCAB"/>
    <w:rsid w:val="03261590"/>
    <w:rsid w:val="03280134"/>
    <w:rsid w:val="032E8D9C"/>
    <w:rsid w:val="033016E1"/>
    <w:rsid w:val="033B2538"/>
    <w:rsid w:val="033B53DE"/>
    <w:rsid w:val="0341EB5B"/>
    <w:rsid w:val="03525429"/>
    <w:rsid w:val="0366CC5D"/>
    <w:rsid w:val="0367A533"/>
    <w:rsid w:val="036A95EF"/>
    <w:rsid w:val="036C2396"/>
    <w:rsid w:val="03729188"/>
    <w:rsid w:val="0379C7FB"/>
    <w:rsid w:val="037F4746"/>
    <w:rsid w:val="038219C1"/>
    <w:rsid w:val="03866CE1"/>
    <w:rsid w:val="0388FA39"/>
    <w:rsid w:val="03941D1C"/>
    <w:rsid w:val="039D8DB9"/>
    <w:rsid w:val="03A361C8"/>
    <w:rsid w:val="03AAC576"/>
    <w:rsid w:val="03AE3927"/>
    <w:rsid w:val="03AF1569"/>
    <w:rsid w:val="03B4FB9C"/>
    <w:rsid w:val="03B8D9CA"/>
    <w:rsid w:val="03BC55DA"/>
    <w:rsid w:val="03BE3101"/>
    <w:rsid w:val="03BEF0B6"/>
    <w:rsid w:val="03C82170"/>
    <w:rsid w:val="03D41F84"/>
    <w:rsid w:val="03D56E01"/>
    <w:rsid w:val="03D99A3E"/>
    <w:rsid w:val="03E77CE7"/>
    <w:rsid w:val="03E9681D"/>
    <w:rsid w:val="03EE77EB"/>
    <w:rsid w:val="03F20D51"/>
    <w:rsid w:val="03F2BDC0"/>
    <w:rsid w:val="03FAA41E"/>
    <w:rsid w:val="04151C74"/>
    <w:rsid w:val="042528FF"/>
    <w:rsid w:val="042536C0"/>
    <w:rsid w:val="042BB8E2"/>
    <w:rsid w:val="042D745E"/>
    <w:rsid w:val="043D344F"/>
    <w:rsid w:val="043D624C"/>
    <w:rsid w:val="043F9996"/>
    <w:rsid w:val="04411F21"/>
    <w:rsid w:val="04512DFD"/>
    <w:rsid w:val="0451A431"/>
    <w:rsid w:val="0454B54D"/>
    <w:rsid w:val="045C56C9"/>
    <w:rsid w:val="0470317D"/>
    <w:rsid w:val="0475151C"/>
    <w:rsid w:val="04795AE4"/>
    <w:rsid w:val="047A2514"/>
    <w:rsid w:val="047BC10D"/>
    <w:rsid w:val="047D0962"/>
    <w:rsid w:val="048300B7"/>
    <w:rsid w:val="04840CDD"/>
    <w:rsid w:val="04915D33"/>
    <w:rsid w:val="04AE9E81"/>
    <w:rsid w:val="04B04C42"/>
    <w:rsid w:val="04B3E01A"/>
    <w:rsid w:val="04B5988A"/>
    <w:rsid w:val="04B85906"/>
    <w:rsid w:val="04C10952"/>
    <w:rsid w:val="04D21AAC"/>
    <w:rsid w:val="04D4B2FC"/>
    <w:rsid w:val="04DDAFDF"/>
    <w:rsid w:val="04F2C660"/>
    <w:rsid w:val="04F3287E"/>
    <w:rsid w:val="04F432FB"/>
    <w:rsid w:val="04F54ED4"/>
    <w:rsid w:val="04F55CF6"/>
    <w:rsid w:val="04FA8417"/>
    <w:rsid w:val="04FC36F2"/>
    <w:rsid w:val="04FD1153"/>
    <w:rsid w:val="05037859"/>
    <w:rsid w:val="05055258"/>
    <w:rsid w:val="05064260"/>
    <w:rsid w:val="05128071"/>
    <w:rsid w:val="05183B68"/>
    <w:rsid w:val="05197673"/>
    <w:rsid w:val="0519926E"/>
    <w:rsid w:val="05337082"/>
    <w:rsid w:val="05371140"/>
    <w:rsid w:val="053D1D08"/>
    <w:rsid w:val="054E39BC"/>
    <w:rsid w:val="05504854"/>
    <w:rsid w:val="0550BF4A"/>
    <w:rsid w:val="0553F32B"/>
    <w:rsid w:val="056DA141"/>
    <w:rsid w:val="056E6B3B"/>
    <w:rsid w:val="0570E2C4"/>
    <w:rsid w:val="057EA4EE"/>
    <w:rsid w:val="05810070"/>
    <w:rsid w:val="058229C1"/>
    <w:rsid w:val="0582C570"/>
    <w:rsid w:val="0590F1FC"/>
    <w:rsid w:val="0592F1C8"/>
    <w:rsid w:val="0594491D"/>
    <w:rsid w:val="059D2140"/>
    <w:rsid w:val="05B6B2B1"/>
    <w:rsid w:val="05BCFEF2"/>
    <w:rsid w:val="05CCC11E"/>
    <w:rsid w:val="05D30D3A"/>
    <w:rsid w:val="05E22448"/>
    <w:rsid w:val="05EE0F2B"/>
    <w:rsid w:val="05EF969C"/>
    <w:rsid w:val="05F1EB1F"/>
    <w:rsid w:val="05F47292"/>
    <w:rsid w:val="05F53BC8"/>
    <w:rsid w:val="05F97DC5"/>
    <w:rsid w:val="05FBB3E6"/>
    <w:rsid w:val="05FCF98A"/>
    <w:rsid w:val="0604354B"/>
    <w:rsid w:val="060AC778"/>
    <w:rsid w:val="061912F7"/>
    <w:rsid w:val="061BB64D"/>
    <w:rsid w:val="061BB80F"/>
    <w:rsid w:val="062BC561"/>
    <w:rsid w:val="0636D556"/>
    <w:rsid w:val="0636FE99"/>
    <w:rsid w:val="0643237A"/>
    <w:rsid w:val="064935AF"/>
    <w:rsid w:val="064F0B31"/>
    <w:rsid w:val="0659348B"/>
    <w:rsid w:val="06597BD5"/>
    <w:rsid w:val="065B3FCE"/>
    <w:rsid w:val="06665978"/>
    <w:rsid w:val="066E0808"/>
    <w:rsid w:val="06762FFE"/>
    <w:rsid w:val="067B4CC5"/>
    <w:rsid w:val="067CFF2E"/>
    <w:rsid w:val="06803C18"/>
    <w:rsid w:val="068A3021"/>
    <w:rsid w:val="068AA3E6"/>
    <w:rsid w:val="06A46D58"/>
    <w:rsid w:val="06AA6257"/>
    <w:rsid w:val="06AB3BD2"/>
    <w:rsid w:val="06B38FE4"/>
    <w:rsid w:val="06B5C1AA"/>
    <w:rsid w:val="06B90A70"/>
    <w:rsid w:val="06BAEE80"/>
    <w:rsid w:val="06BAFC69"/>
    <w:rsid w:val="06BE30D0"/>
    <w:rsid w:val="06BF5D83"/>
    <w:rsid w:val="06C722C8"/>
    <w:rsid w:val="06CF22D6"/>
    <w:rsid w:val="06D1A915"/>
    <w:rsid w:val="06DB9720"/>
    <w:rsid w:val="06DC66AC"/>
    <w:rsid w:val="06DE544E"/>
    <w:rsid w:val="06E303C6"/>
    <w:rsid w:val="06EC96AB"/>
    <w:rsid w:val="06F224A2"/>
    <w:rsid w:val="06F45015"/>
    <w:rsid w:val="06F580F0"/>
    <w:rsid w:val="06F8AEAC"/>
    <w:rsid w:val="06FB320B"/>
    <w:rsid w:val="06FF8AB2"/>
    <w:rsid w:val="070C6ABB"/>
    <w:rsid w:val="070E8C73"/>
    <w:rsid w:val="07184DA4"/>
    <w:rsid w:val="071F35A2"/>
    <w:rsid w:val="07256626"/>
    <w:rsid w:val="0728C04C"/>
    <w:rsid w:val="072BA1FC"/>
    <w:rsid w:val="072BFEC9"/>
    <w:rsid w:val="072C0BA3"/>
    <w:rsid w:val="072FC9E3"/>
    <w:rsid w:val="073803A7"/>
    <w:rsid w:val="07388263"/>
    <w:rsid w:val="07390DF0"/>
    <w:rsid w:val="073CE832"/>
    <w:rsid w:val="0747E056"/>
    <w:rsid w:val="074B49B3"/>
    <w:rsid w:val="074E6F70"/>
    <w:rsid w:val="076165E1"/>
    <w:rsid w:val="0767CA36"/>
    <w:rsid w:val="076C9299"/>
    <w:rsid w:val="077287DC"/>
    <w:rsid w:val="078049A7"/>
    <w:rsid w:val="07860659"/>
    <w:rsid w:val="0790E983"/>
    <w:rsid w:val="07960555"/>
    <w:rsid w:val="079B8EC2"/>
    <w:rsid w:val="07ACAB8E"/>
    <w:rsid w:val="07B1F9E1"/>
    <w:rsid w:val="07BDC6A9"/>
    <w:rsid w:val="07BEE0A0"/>
    <w:rsid w:val="07C23C9E"/>
    <w:rsid w:val="07C3E3CC"/>
    <w:rsid w:val="07C92D85"/>
    <w:rsid w:val="07D27D69"/>
    <w:rsid w:val="07D8D26E"/>
    <w:rsid w:val="07E239E8"/>
    <w:rsid w:val="07E50C51"/>
    <w:rsid w:val="07E6B5BA"/>
    <w:rsid w:val="07E866F2"/>
    <w:rsid w:val="07EFF384"/>
    <w:rsid w:val="07F72C2C"/>
    <w:rsid w:val="07FDFDB1"/>
    <w:rsid w:val="08018535"/>
    <w:rsid w:val="0801AF8A"/>
    <w:rsid w:val="0809377F"/>
    <w:rsid w:val="081A418C"/>
    <w:rsid w:val="08207435"/>
    <w:rsid w:val="082D8AA3"/>
    <w:rsid w:val="083C6309"/>
    <w:rsid w:val="08476747"/>
    <w:rsid w:val="08509863"/>
    <w:rsid w:val="08536D01"/>
    <w:rsid w:val="085E262E"/>
    <w:rsid w:val="085E32C9"/>
    <w:rsid w:val="085F70D1"/>
    <w:rsid w:val="0862A9B9"/>
    <w:rsid w:val="08674F9D"/>
    <w:rsid w:val="086951D0"/>
    <w:rsid w:val="086E0064"/>
    <w:rsid w:val="08897739"/>
    <w:rsid w:val="088ACA5C"/>
    <w:rsid w:val="089ADAE6"/>
    <w:rsid w:val="08A2695F"/>
    <w:rsid w:val="08AE2233"/>
    <w:rsid w:val="08BD1F62"/>
    <w:rsid w:val="08C53A02"/>
    <w:rsid w:val="08C975FA"/>
    <w:rsid w:val="08CB7DD1"/>
    <w:rsid w:val="08D44CD0"/>
    <w:rsid w:val="08DA4A22"/>
    <w:rsid w:val="08DC9F68"/>
    <w:rsid w:val="08DCA1D4"/>
    <w:rsid w:val="08DD1736"/>
    <w:rsid w:val="08E1D32A"/>
    <w:rsid w:val="08E50509"/>
    <w:rsid w:val="08E75DAE"/>
    <w:rsid w:val="08EE5373"/>
    <w:rsid w:val="08EE7896"/>
    <w:rsid w:val="08F57198"/>
    <w:rsid w:val="08F5DBFB"/>
    <w:rsid w:val="08F833D1"/>
    <w:rsid w:val="0904E710"/>
    <w:rsid w:val="0906B5B1"/>
    <w:rsid w:val="0910A313"/>
    <w:rsid w:val="0924097B"/>
    <w:rsid w:val="092B0CBD"/>
    <w:rsid w:val="092DAA6D"/>
    <w:rsid w:val="0933066E"/>
    <w:rsid w:val="09375AAB"/>
    <w:rsid w:val="0944E59D"/>
    <w:rsid w:val="094742A8"/>
    <w:rsid w:val="09496852"/>
    <w:rsid w:val="095B0054"/>
    <w:rsid w:val="095B610C"/>
    <w:rsid w:val="0967A61F"/>
    <w:rsid w:val="096E7618"/>
    <w:rsid w:val="0973D932"/>
    <w:rsid w:val="0976C245"/>
    <w:rsid w:val="097ABE03"/>
    <w:rsid w:val="097B13DE"/>
    <w:rsid w:val="097C577B"/>
    <w:rsid w:val="0981E781"/>
    <w:rsid w:val="0985F994"/>
    <w:rsid w:val="098CD436"/>
    <w:rsid w:val="098FB23E"/>
    <w:rsid w:val="09940F48"/>
    <w:rsid w:val="09996568"/>
    <w:rsid w:val="099F6B29"/>
    <w:rsid w:val="09A293B9"/>
    <w:rsid w:val="09AFC38D"/>
    <w:rsid w:val="09B04D1E"/>
    <w:rsid w:val="09B19111"/>
    <w:rsid w:val="09B57E38"/>
    <w:rsid w:val="09B6ED52"/>
    <w:rsid w:val="09B7619C"/>
    <w:rsid w:val="09BD41D9"/>
    <w:rsid w:val="09C59B6A"/>
    <w:rsid w:val="09CF95AE"/>
    <w:rsid w:val="09D57AC8"/>
    <w:rsid w:val="09DE1A81"/>
    <w:rsid w:val="09DF6398"/>
    <w:rsid w:val="09E90D4D"/>
    <w:rsid w:val="09F1FEC2"/>
    <w:rsid w:val="09F8B3DB"/>
    <w:rsid w:val="09FBC815"/>
    <w:rsid w:val="09FF6E25"/>
    <w:rsid w:val="0A00B109"/>
    <w:rsid w:val="0A021B30"/>
    <w:rsid w:val="0A037789"/>
    <w:rsid w:val="0A0BF07D"/>
    <w:rsid w:val="0A0EA3DD"/>
    <w:rsid w:val="0A127335"/>
    <w:rsid w:val="0A186FAB"/>
    <w:rsid w:val="0A1B2605"/>
    <w:rsid w:val="0A1B3DC1"/>
    <w:rsid w:val="0A1C1BC2"/>
    <w:rsid w:val="0A202331"/>
    <w:rsid w:val="0A21AADF"/>
    <w:rsid w:val="0A22867B"/>
    <w:rsid w:val="0A23CFA7"/>
    <w:rsid w:val="0A287713"/>
    <w:rsid w:val="0A2A66F7"/>
    <w:rsid w:val="0A2F53FC"/>
    <w:rsid w:val="0A311003"/>
    <w:rsid w:val="0A3860C1"/>
    <w:rsid w:val="0A3FDCD9"/>
    <w:rsid w:val="0A49ADBF"/>
    <w:rsid w:val="0A49B697"/>
    <w:rsid w:val="0A4AF4B3"/>
    <w:rsid w:val="0A51CEDD"/>
    <w:rsid w:val="0A5648F4"/>
    <w:rsid w:val="0A5BC76A"/>
    <w:rsid w:val="0A662048"/>
    <w:rsid w:val="0A69CD68"/>
    <w:rsid w:val="0A70DB0D"/>
    <w:rsid w:val="0A7230B8"/>
    <w:rsid w:val="0A767EFF"/>
    <w:rsid w:val="0A7C3E06"/>
    <w:rsid w:val="0A87F34B"/>
    <w:rsid w:val="0A885B9D"/>
    <w:rsid w:val="0A9B3C9F"/>
    <w:rsid w:val="0A9C912B"/>
    <w:rsid w:val="0ABDDC0B"/>
    <w:rsid w:val="0ACBAB46"/>
    <w:rsid w:val="0ACE5FB8"/>
    <w:rsid w:val="0AD52955"/>
    <w:rsid w:val="0ADEF8F3"/>
    <w:rsid w:val="0AE8F4F2"/>
    <w:rsid w:val="0AF11E1C"/>
    <w:rsid w:val="0AF12746"/>
    <w:rsid w:val="0B00123D"/>
    <w:rsid w:val="0B02286E"/>
    <w:rsid w:val="0B0454A3"/>
    <w:rsid w:val="0B06ED39"/>
    <w:rsid w:val="0B0DEF84"/>
    <w:rsid w:val="0B10AA0E"/>
    <w:rsid w:val="0B158CF0"/>
    <w:rsid w:val="0B1B989B"/>
    <w:rsid w:val="0B1E567C"/>
    <w:rsid w:val="0B1FA616"/>
    <w:rsid w:val="0B200458"/>
    <w:rsid w:val="0B209597"/>
    <w:rsid w:val="0B248A03"/>
    <w:rsid w:val="0B2735DC"/>
    <w:rsid w:val="0B2AF10D"/>
    <w:rsid w:val="0B2B63F7"/>
    <w:rsid w:val="0B2D85FA"/>
    <w:rsid w:val="0B31EC38"/>
    <w:rsid w:val="0B32E283"/>
    <w:rsid w:val="0B3D7879"/>
    <w:rsid w:val="0B40E5D3"/>
    <w:rsid w:val="0B4A34D7"/>
    <w:rsid w:val="0B4A67F9"/>
    <w:rsid w:val="0B5CD12D"/>
    <w:rsid w:val="0B5D1902"/>
    <w:rsid w:val="0B6CEB3D"/>
    <w:rsid w:val="0B6E5B32"/>
    <w:rsid w:val="0B746F48"/>
    <w:rsid w:val="0B74BA05"/>
    <w:rsid w:val="0B7C6CEA"/>
    <w:rsid w:val="0B7D68B2"/>
    <w:rsid w:val="0B8B7DF5"/>
    <w:rsid w:val="0B8E0939"/>
    <w:rsid w:val="0B8ED2EC"/>
    <w:rsid w:val="0B9679D8"/>
    <w:rsid w:val="0B9C9627"/>
    <w:rsid w:val="0BA540FF"/>
    <w:rsid w:val="0BBDE070"/>
    <w:rsid w:val="0BBF8956"/>
    <w:rsid w:val="0BC25E77"/>
    <w:rsid w:val="0BC32E80"/>
    <w:rsid w:val="0BCC4347"/>
    <w:rsid w:val="0BD34746"/>
    <w:rsid w:val="0BD3DC6F"/>
    <w:rsid w:val="0BD6E7D3"/>
    <w:rsid w:val="0BE18A22"/>
    <w:rsid w:val="0BEAF873"/>
    <w:rsid w:val="0BFDB6D2"/>
    <w:rsid w:val="0C00129C"/>
    <w:rsid w:val="0C015D5C"/>
    <w:rsid w:val="0C0AF8BD"/>
    <w:rsid w:val="0C0D23CC"/>
    <w:rsid w:val="0C116898"/>
    <w:rsid w:val="0C2319CA"/>
    <w:rsid w:val="0C2779AE"/>
    <w:rsid w:val="0C287169"/>
    <w:rsid w:val="0C2B942D"/>
    <w:rsid w:val="0C2DA307"/>
    <w:rsid w:val="0C38D7CA"/>
    <w:rsid w:val="0C3A1F4C"/>
    <w:rsid w:val="0C427948"/>
    <w:rsid w:val="0C472E40"/>
    <w:rsid w:val="0C491945"/>
    <w:rsid w:val="0C4E68C5"/>
    <w:rsid w:val="0C5477A0"/>
    <w:rsid w:val="0C5CBD3B"/>
    <w:rsid w:val="0C5E713A"/>
    <w:rsid w:val="0C6AD053"/>
    <w:rsid w:val="0C6B9A58"/>
    <w:rsid w:val="0C6D606F"/>
    <w:rsid w:val="0C70CCBA"/>
    <w:rsid w:val="0C726B65"/>
    <w:rsid w:val="0C7D8869"/>
    <w:rsid w:val="0C80A02E"/>
    <w:rsid w:val="0C83F593"/>
    <w:rsid w:val="0C846B40"/>
    <w:rsid w:val="0C847942"/>
    <w:rsid w:val="0C8F8DBF"/>
    <w:rsid w:val="0C9738CD"/>
    <w:rsid w:val="0C97A922"/>
    <w:rsid w:val="0C9F860A"/>
    <w:rsid w:val="0CAE0110"/>
    <w:rsid w:val="0CB0B7A4"/>
    <w:rsid w:val="0CB60BE0"/>
    <w:rsid w:val="0CB90B54"/>
    <w:rsid w:val="0CB92B39"/>
    <w:rsid w:val="0CB9BD4D"/>
    <w:rsid w:val="0CBB1F2B"/>
    <w:rsid w:val="0CCF241D"/>
    <w:rsid w:val="0CD14426"/>
    <w:rsid w:val="0CDAA4B1"/>
    <w:rsid w:val="0CDB035B"/>
    <w:rsid w:val="0CDCE3F5"/>
    <w:rsid w:val="0CE42D15"/>
    <w:rsid w:val="0CF116DB"/>
    <w:rsid w:val="0CF2CC3E"/>
    <w:rsid w:val="0CF61F37"/>
    <w:rsid w:val="0D049DA2"/>
    <w:rsid w:val="0D04BB6E"/>
    <w:rsid w:val="0D04E1C3"/>
    <w:rsid w:val="0D066C84"/>
    <w:rsid w:val="0D0FD822"/>
    <w:rsid w:val="0D116865"/>
    <w:rsid w:val="0D1B4983"/>
    <w:rsid w:val="0D1D77EF"/>
    <w:rsid w:val="0D2A40D3"/>
    <w:rsid w:val="0D2C219C"/>
    <w:rsid w:val="0D2CB3CF"/>
    <w:rsid w:val="0D338C76"/>
    <w:rsid w:val="0D338D4A"/>
    <w:rsid w:val="0D376003"/>
    <w:rsid w:val="0D3A28C4"/>
    <w:rsid w:val="0D4329A4"/>
    <w:rsid w:val="0D4A40A9"/>
    <w:rsid w:val="0D4BD73D"/>
    <w:rsid w:val="0D55672F"/>
    <w:rsid w:val="0D569BBE"/>
    <w:rsid w:val="0D5806C6"/>
    <w:rsid w:val="0D58750A"/>
    <w:rsid w:val="0D685A79"/>
    <w:rsid w:val="0D6A3396"/>
    <w:rsid w:val="0D73E287"/>
    <w:rsid w:val="0D7547F6"/>
    <w:rsid w:val="0D7CBE8D"/>
    <w:rsid w:val="0D9256D1"/>
    <w:rsid w:val="0D98F7DE"/>
    <w:rsid w:val="0D994D52"/>
    <w:rsid w:val="0DB96573"/>
    <w:rsid w:val="0DCA44F8"/>
    <w:rsid w:val="0DD149E1"/>
    <w:rsid w:val="0DD2F873"/>
    <w:rsid w:val="0DD5F0D8"/>
    <w:rsid w:val="0DD89BC7"/>
    <w:rsid w:val="0DDC625B"/>
    <w:rsid w:val="0DDC821C"/>
    <w:rsid w:val="0DDCBB84"/>
    <w:rsid w:val="0DE0FA01"/>
    <w:rsid w:val="0DE3A2CC"/>
    <w:rsid w:val="0DF394C4"/>
    <w:rsid w:val="0DF55E29"/>
    <w:rsid w:val="0DF59C87"/>
    <w:rsid w:val="0DF79B12"/>
    <w:rsid w:val="0DFAD1F7"/>
    <w:rsid w:val="0DFBD0E4"/>
    <w:rsid w:val="0E000F8B"/>
    <w:rsid w:val="0E055F94"/>
    <w:rsid w:val="0E0880F6"/>
    <w:rsid w:val="0E147D09"/>
    <w:rsid w:val="0E15EA1F"/>
    <w:rsid w:val="0E164C9A"/>
    <w:rsid w:val="0E1746E1"/>
    <w:rsid w:val="0E1B8016"/>
    <w:rsid w:val="0E1F8868"/>
    <w:rsid w:val="0E257850"/>
    <w:rsid w:val="0E28A166"/>
    <w:rsid w:val="0E28BEDE"/>
    <w:rsid w:val="0E2AD90D"/>
    <w:rsid w:val="0E2E3F70"/>
    <w:rsid w:val="0E32D492"/>
    <w:rsid w:val="0E3495B7"/>
    <w:rsid w:val="0E367282"/>
    <w:rsid w:val="0E3A8801"/>
    <w:rsid w:val="0E3E327D"/>
    <w:rsid w:val="0E5049DD"/>
    <w:rsid w:val="0E50CAF1"/>
    <w:rsid w:val="0E524B3E"/>
    <w:rsid w:val="0E536F98"/>
    <w:rsid w:val="0E70F6C6"/>
    <w:rsid w:val="0E7484B6"/>
    <w:rsid w:val="0E81EDD2"/>
    <w:rsid w:val="0E88F0A4"/>
    <w:rsid w:val="0E9DF38C"/>
    <w:rsid w:val="0EA35613"/>
    <w:rsid w:val="0EA9A5C9"/>
    <w:rsid w:val="0EAC7A87"/>
    <w:rsid w:val="0EAD9A03"/>
    <w:rsid w:val="0EB1D073"/>
    <w:rsid w:val="0EB2E9AB"/>
    <w:rsid w:val="0EBDCFBF"/>
    <w:rsid w:val="0EBFDC30"/>
    <w:rsid w:val="0EC15F57"/>
    <w:rsid w:val="0ECA2329"/>
    <w:rsid w:val="0ECAB2E8"/>
    <w:rsid w:val="0ECD8049"/>
    <w:rsid w:val="0ED41955"/>
    <w:rsid w:val="0ED72ED1"/>
    <w:rsid w:val="0ED98D83"/>
    <w:rsid w:val="0EDDA9AD"/>
    <w:rsid w:val="0EE3737C"/>
    <w:rsid w:val="0EE965C7"/>
    <w:rsid w:val="0EEB3E0A"/>
    <w:rsid w:val="0EFC3E55"/>
    <w:rsid w:val="0F07BB25"/>
    <w:rsid w:val="0F0B321F"/>
    <w:rsid w:val="0F100A55"/>
    <w:rsid w:val="0F153E0E"/>
    <w:rsid w:val="0F1ABB21"/>
    <w:rsid w:val="0F1D6714"/>
    <w:rsid w:val="0F24283E"/>
    <w:rsid w:val="0F2B087C"/>
    <w:rsid w:val="0F2BDF1F"/>
    <w:rsid w:val="0F2C9D67"/>
    <w:rsid w:val="0F32577C"/>
    <w:rsid w:val="0F341F48"/>
    <w:rsid w:val="0F3D9162"/>
    <w:rsid w:val="0F467FC6"/>
    <w:rsid w:val="0F51D2A1"/>
    <w:rsid w:val="0F528A17"/>
    <w:rsid w:val="0F5B53D5"/>
    <w:rsid w:val="0F6912DF"/>
    <w:rsid w:val="0F6E5164"/>
    <w:rsid w:val="0F7286B4"/>
    <w:rsid w:val="0F73CA11"/>
    <w:rsid w:val="0F77CF82"/>
    <w:rsid w:val="0F80CF84"/>
    <w:rsid w:val="0F86E4A1"/>
    <w:rsid w:val="0F8A55E2"/>
    <w:rsid w:val="0F8A83AB"/>
    <w:rsid w:val="0F9292BC"/>
    <w:rsid w:val="0F9A9229"/>
    <w:rsid w:val="0F9E2D9E"/>
    <w:rsid w:val="0FA5D2DA"/>
    <w:rsid w:val="0FAFD8B0"/>
    <w:rsid w:val="0FB5A6C7"/>
    <w:rsid w:val="0FB9EE88"/>
    <w:rsid w:val="0FC0B3F3"/>
    <w:rsid w:val="0FC23DD5"/>
    <w:rsid w:val="0FC2B6EC"/>
    <w:rsid w:val="0FC48F3F"/>
    <w:rsid w:val="0FC668EF"/>
    <w:rsid w:val="0FC7893C"/>
    <w:rsid w:val="0FC9F8BF"/>
    <w:rsid w:val="0FD0A564"/>
    <w:rsid w:val="0FD60594"/>
    <w:rsid w:val="0FDDD83F"/>
    <w:rsid w:val="0FDF0A84"/>
    <w:rsid w:val="0FE7D4ED"/>
    <w:rsid w:val="0FF6B020"/>
    <w:rsid w:val="0FF75848"/>
    <w:rsid w:val="1018BA89"/>
    <w:rsid w:val="101C77EE"/>
    <w:rsid w:val="101CEEA7"/>
    <w:rsid w:val="1022BB81"/>
    <w:rsid w:val="1023C2C8"/>
    <w:rsid w:val="102582B4"/>
    <w:rsid w:val="102D27B5"/>
    <w:rsid w:val="102F763E"/>
    <w:rsid w:val="1035087A"/>
    <w:rsid w:val="103B163F"/>
    <w:rsid w:val="1040C40A"/>
    <w:rsid w:val="10449B07"/>
    <w:rsid w:val="104A93C0"/>
    <w:rsid w:val="104F6C86"/>
    <w:rsid w:val="1051ED5F"/>
    <w:rsid w:val="1054A5B9"/>
    <w:rsid w:val="1057CEF9"/>
    <w:rsid w:val="1059C1A5"/>
    <w:rsid w:val="1070F080"/>
    <w:rsid w:val="10712873"/>
    <w:rsid w:val="107B9E7D"/>
    <w:rsid w:val="10806DC8"/>
    <w:rsid w:val="1084374F"/>
    <w:rsid w:val="108B8305"/>
    <w:rsid w:val="10979CB4"/>
    <w:rsid w:val="109B0BE3"/>
    <w:rsid w:val="109F278D"/>
    <w:rsid w:val="10A54100"/>
    <w:rsid w:val="10A82D38"/>
    <w:rsid w:val="10BF7354"/>
    <w:rsid w:val="10C2E074"/>
    <w:rsid w:val="10C34FE0"/>
    <w:rsid w:val="10C56C1A"/>
    <w:rsid w:val="10C841E3"/>
    <w:rsid w:val="10CEE8C7"/>
    <w:rsid w:val="10D4AEB3"/>
    <w:rsid w:val="10E53ECF"/>
    <w:rsid w:val="10EA6CE0"/>
    <w:rsid w:val="10EFEDDD"/>
    <w:rsid w:val="10F08D99"/>
    <w:rsid w:val="10F1D77F"/>
    <w:rsid w:val="1101FDF9"/>
    <w:rsid w:val="11046DEF"/>
    <w:rsid w:val="1105D493"/>
    <w:rsid w:val="1107FEC7"/>
    <w:rsid w:val="1108B9C6"/>
    <w:rsid w:val="110A73E5"/>
    <w:rsid w:val="11203296"/>
    <w:rsid w:val="1124C2CB"/>
    <w:rsid w:val="11262D61"/>
    <w:rsid w:val="11310D06"/>
    <w:rsid w:val="113228AC"/>
    <w:rsid w:val="113233F4"/>
    <w:rsid w:val="11348442"/>
    <w:rsid w:val="113A2D67"/>
    <w:rsid w:val="113C5618"/>
    <w:rsid w:val="113F6E75"/>
    <w:rsid w:val="11408440"/>
    <w:rsid w:val="11637D08"/>
    <w:rsid w:val="1165CC42"/>
    <w:rsid w:val="11746F79"/>
    <w:rsid w:val="1174E76C"/>
    <w:rsid w:val="1175C08D"/>
    <w:rsid w:val="1177B42A"/>
    <w:rsid w:val="117EB797"/>
    <w:rsid w:val="1182FDF6"/>
    <w:rsid w:val="118928DA"/>
    <w:rsid w:val="118CC5B9"/>
    <w:rsid w:val="1193D359"/>
    <w:rsid w:val="1194ED2F"/>
    <w:rsid w:val="119ACA61"/>
    <w:rsid w:val="11A1B6D4"/>
    <w:rsid w:val="11A3B015"/>
    <w:rsid w:val="11A62753"/>
    <w:rsid w:val="11B11C60"/>
    <w:rsid w:val="11B6625C"/>
    <w:rsid w:val="11B6AA01"/>
    <w:rsid w:val="11B951A2"/>
    <w:rsid w:val="11BBA054"/>
    <w:rsid w:val="11C64DA7"/>
    <w:rsid w:val="11C6AB65"/>
    <w:rsid w:val="11D52130"/>
    <w:rsid w:val="11D72865"/>
    <w:rsid w:val="11DB2063"/>
    <w:rsid w:val="11DBDE66"/>
    <w:rsid w:val="11DDF7C4"/>
    <w:rsid w:val="11E04227"/>
    <w:rsid w:val="11E53AC5"/>
    <w:rsid w:val="11E83845"/>
    <w:rsid w:val="11EAC29F"/>
    <w:rsid w:val="11EBAC17"/>
    <w:rsid w:val="11EE2384"/>
    <w:rsid w:val="11EEA039"/>
    <w:rsid w:val="1203B761"/>
    <w:rsid w:val="1208EB4A"/>
    <w:rsid w:val="120DCA6A"/>
    <w:rsid w:val="12196959"/>
    <w:rsid w:val="121A0AF8"/>
    <w:rsid w:val="121F2335"/>
    <w:rsid w:val="12213A86"/>
    <w:rsid w:val="1223BB96"/>
    <w:rsid w:val="1228175E"/>
    <w:rsid w:val="122AFB02"/>
    <w:rsid w:val="122BB855"/>
    <w:rsid w:val="1233C5E6"/>
    <w:rsid w:val="1239B392"/>
    <w:rsid w:val="123AD012"/>
    <w:rsid w:val="123B113F"/>
    <w:rsid w:val="123F1CE5"/>
    <w:rsid w:val="1240AECF"/>
    <w:rsid w:val="124195D6"/>
    <w:rsid w:val="1241B66E"/>
    <w:rsid w:val="12496E17"/>
    <w:rsid w:val="124E7468"/>
    <w:rsid w:val="124F3194"/>
    <w:rsid w:val="125EC032"/>
    <w:rsid w:val="12604F46"/>
    <w:rsid w:val="1261E05D"/>
    <w:rsid w:val="1268A21C"/>
    <w:rsid w:val="12706970"/>
    <w:rsid w:val="1272D4B3"/>
    <w:rsid w:val="1287DB25"/>
    <w:rsid w:val="1289E3DF"/>
    <w:rsid w:val="128FEB7F"/>
    <w:rsid w:val="1297DD48"/>
    <w:rsid w:val="129B2E39"/>
    <w:rsid w:val="129CB4DA"/>
    <w:rsid w:val="12A08BEB"/>
    <w:rsid w:val="12A41D57"/>
    <w:rsid w:val="12C45990"/>
    <w:rsid w:val="12C45BD9"/>
    <w:rsid w:val="12CB81D5"/>
    <w:rsid w:val="12CF7E43"/>
    <w:rsid w:val="12D00C03"/>
    <w:rsid w:val="12D0AC61"/>
    <w:rsid w:val="12D3D027"/>
    <w:rsid w:val="12D6A3B3"/>
    <w:rsid w:val="12E6D795"/>
    <w:rsid w:val="12EC1A93"/>
    <w:rsid w:val="12EEF9D1"/>
    <w:rsid w:val="12F3516F"/>
    <w:rsid w:val="12F72EB4"/>
    <w:rsid w:val="12F80D36"/>
    <w:rsid w:val="13097EC3"/>
    <w:rsid w:val="130C4E7C"/>
    <w:rsid w:val="130E7CF4"/>
    <w:rsid w:val="130F4F6F"/>
    <w:rsid w:val="131F48BA"/>
    <w:rsid w:val="13214271"/>
    <w:rsid w:val="132AF4AA"/>
    <w:rsid w:val="132E11E4"/>
    <w:rsid w:val="132E7432"/>
    <w:rsid w:val="13330C61"/>
    <w:rsid w:val="1333CC1A"/>
    <w:rsid w:val="133A5245"/>
    <w:rsid w:val="133AF1BE"/>
    <w:rsid w:val="133ED93A"/>
    <w:rsid w:val="1345C609"/>
    <w:rsid w:val="135E90C5"/>
    <w:rsid w:val="13662142"/>
    <w:rsid w:val="136ABC55"/>
    <w:rsid w:val="136B4E04"/>
    <w:rsid w:val="13707864"/>
    <w:rsid w:val="1370C034"/>
    <w:rsid w:val="137D43A3"/>
    <w:rsid w:val="137FBDC7"/>
    <w:rsid w:val="13802695"/>
    <w:rsid w:val="1389CC22"/>
    <w:rsid w:val="1389EEEE"/>
    <w:rsid w:val="1390EFCF"/>
    <w:rsid w:val="1397030D"/>
    <w:rsid w:val="1397DF46"/>
    <w:rsid w:val="1399BE37"/>
    <w:rsid w:val="13AA414A"/>
    <w:rsid w:val="13AC9954"/>
    <w:rsid w:val="13AE24AD"/>
    <w:rsid w:val="13B15C64"/>
    <w:rsid w:val="13BB9AB7"/>
    <w:rsid w:val="13BBA7FA"/>
    <w:rsid w:val="13BFE62B"/>
    <w:rsid w:val="13C12C67"/>
    <w:rsid w:val="13C94E44"/>
    <w:rsid w:val="13CA7B95"/>
    <w:rsid w:val="13E5C346"/>
    <w:rsid w:val="13F09302"/>
    <w:rsid w:val="13F0FD6E"/>
    <w:rsid w:val="13F3E125"/>
    <w:rsid w:val="13F78933"/>
    <w:rsid w:val="13F7DA29"/>
    <w:rsid w:val="13FADA39"/>
    <w:rsid w:val="13FFECFA"/>
    <w:rsid w:val="140A88BB"/>
    <w:rsid w:val="141B7551"/>
    <w:rsid w:val="1428143B"/>
    <w:rsid w:val="14327836"/>
    <w:rsid w:val="1434D361"/>
    <w:rsid w:val="14423B36"/>
    <w:rsid w:val="14425079"/>
    <w:rsid w:val="14481F0C"/>
    <w:rsid w:val="1450A42F"/>
    <w:rsid w:val="1451056C"/>
    <w:rsid w:val="145A54E8"/>
    <w:rsid w:val="146DCE40"/>
    <w:rsid w:val="147A0278"/>
    <w:rsid w:val="148A698F"/>
    <w:rsid w:val="148D5150"/>
    <w:rsid w:val="149A9018"/>
    <w:rsid w:val="149B3783"/>
    <w:rsid w:val="149C5422"/>
    <w:rsid w:val="149FBFCB"/>
    <w:rsid w:val="14A5C2D5"/>
    <w:rsid w:val="14A7DEBE"/>
    <w:rsid w:val="14AD1FA9"/>
    <w:rsid w:val="14B89B88"/>
    <w:rsid w:val="14C08682"/>
    <w:rsid w:val="14C617E3"/>
    <w:rsid w:val="14CA1A2D"/>
    <w:rsid w:val="14CC1BCB"/>
    <w:rsid w:val="14CCD86E"/>
    <w:rsid w:val="14D0B8B5"/>
    <w:rsid w:val="14D46862"/>
    <w:rsid w:val="14D72E5F"/>
    <w:rsid w:val="14D78993"/>
    <w:rsid w:val="14DE6618"/>
    <w:rsid w:val="14DF0FBF"/>
    <w:rsid w:val="14E2B66B"/>
    <w:rsid w:val="14E754F5"/>
    <w:rsid w:val="14EC1930"/>
    <w:rsid w:val="14EEA1CF"/>
    <w:rsid w:val="14EEFCF2"/>
    <w:rsid w:val="14FF3792"/>
    <w:rsid w:val="15062212"/>
    <w:rsid w:val="1506D412"/>
    <w:rsid w:val="150BA0B0"/>
    <w:rsid w:val="150BE5A1"/>
    <w:rsid w:val="150FEA9D"/>
    <w:rsid w:val="1510E8F6"/>
    <w:rsid w:val="1516E18C"/>
    <w:rsid w:val="151B5EBA"/>
    <w:rsid w:val="152FFAFD"/>
    <w:rsid w:val="15362D21"/>
    <w:rsid w:val="15373D67"/>
    <w:rsid w:val="15386D76"/>
    <w:rsid w:val="15408324"/>
    <w:rsid w:val="1546324C"/>
    <w:rsid w:val="154A1E14"/>
    <w:rsid w:val="155407CA"/>
    <w:rsid w:val="15565D34"/>
    <w:rsid w:val="1557AEFE"/>
    <w:rsid w:val="155A0D6C"/>
    <w:rsid w:val="155F5961"/>
    <w:rsid w:val="1564A069"/>
    <w:rsid w:val="156DB4B7"/>
    <w:rsid w:val="157AE2D0"/>
    <w:rsid w:val="157B7EF4"/>
    <w:rsid w:val="157E9688"/>
    <w:rsid w:val="157F825B"/>
    <w:rsid w:val="1587766E"/>
    <w:rsid w:val="158FAD0E"/>
    <w:rsid w:val="15945E4D"/>
    <w:rsid w:val="15954116"/>
    <w:rsid w:val="1595BDD0"/>
    <w:rsid w:val="15987CB3"/>
    <w:rsid w:val="1598FA81"/>
    <w:rsid w:val="15B29716"/>
    <w:rsid w:val="15BFCF9B"/>
    <w:rsid w:val="15C0BF9D"/>
    <w:rsid w:val="15CD6328"/>
    <w:rsid w:val="15D3B38B"/>
    <w:rsid w:val="15DD0EB3"/>
    <w:rsid w:val="15EB4F74"/>
    <w:rsid w:val="15FD2C23"/>
    <w:rsid w:val="15FE47D3"/>
    <w:rsid w:val="1606AE00"/>
    <w:rsid w:val="160B16E2"/>
    <w:rsid w:val="160F7244"/>
    <w:rsid w:val="16163537"/>
    <w:rsid w:val="161B0090"/>
    <w:rsid w:val="1621ABEC"/>
    <w:rsid w:val="16228409"/>
    <w:rsid w:val="1623C236"/>
    <w:rsid w:val="162485EC"/>
    <w:rsid w:val="1632349E"/>
    <w:rsid w:val="16375B22"/>
    <w:rsid w:val="16382483"/>
    <w:rsid w:val="164C86AA"/>
    <w:rsid w:val="16519031"/>
    <w:rsid w:val="16554778"/>
    <w:rsid w:val="16577D17"/>
    <w:rsid w:val="1662F81F"/>
    <w:rsid w:val="16668B1A"/>
    <w:rsid w:val="166EFAEF"/>
    <w:rsid w:val="167D00DF"/>
    <w:rsid w:val="167D5606"/>
    <w:rsid w:val="167ED4B0"/>
    <w:rsid w:val="16834F86"/>
    <w:rsid w:val="16923DF0"/>
    <w:rsid w:val="16965B5D"/>
    <w:rsid w:val="1699B433"/>
    <w:rsid w:val="169C8A3C"/>
    <w:rsid w:val="169CE852"/>
    <w:rsid w:val="169D08AF"/>
    <w:rsid w:val="169EFC1B"/>
    <w:rsid w:val="16A03F5D"/>
    <w:rsid w:val="16B5DBDC"/>
    <w:rsid w:val="16B72FB2"/>
    <w:rsid w:val="16BB4CDE"/>
    <w:rsid w:val="16BBF1F3"/>
    <w:rsid w:val="16BC6CA3"/>
    <w:rsid w:val="16C164DD"/>
    <w:rsid w:val="16C605C0"/>
    <w:rsid w:val="16D53B08"/>
    <w:rsid w:val="16DD7E60"/>
    <w:rsid w:val="16E7DB60"/>
    <w:rsid w:val="16EC3100"/>
    <w:rsid w:val="16F4076B"/>
    <w:rsid w:val="16F4EF2A"/>
    <w:rsid w:val="16F61AC1"/>
    <w:rsid w:val="16F71B21"/>
    <w:rsid w:val="170BE90D"/>
    <w:rsid w:val="170D89F4"/>
    <w:rsid w:val="1710AB9F"/>
    <w:rsid w:val="1710CC66"/>
    <w:rsid w:val="17198D03"/>
    <w:rsid w:val="171A3685"/>
    <w:rsid w:val="1720D19F"/>
    <w:rsid w:val="1727D6F5"/>
    <w:rsid w:val="172F8A26"/>
    <w:rsid w:val="17362C08"/>
    <w:rsid w:val="1742578C"/>
    <w:rsid w:val="17484503"/>
    <w:rsid w:val="17532FB1"/>
    <w:rsid w:val="175605E1"/>
    <w:rsid w:val="17563456"/>
    <w:rsid w:val="175ADC5C"/>
    <w:rsid w:val="1774C679"/>
    <w:rsid w:val="17752245"/>
    <w:rsid w:val="17757569"/>
    <w:rsid w:val="177A04F0"/>
    <w:rsid w:val="177F0528"/>
    <w:rsid w:val="1783DDC1"/>
    <w:rsid w:val="17887C9B"/>
    <w:rsid w:val="178A79D8"/>
    <w:rsid w:val="178AD4E4"/>
    <w:rsid w:val="178FC756"/>
    <w:rsid w:val="17917AC0"/>
    <w:rsid w:val="1791E5B8"/>
    <w:rsid w:val="179AC6FD"/>
    <w:rsid w:val="179B6944"/>
    <w:rsid w:val="179DE8DD"/>
    <w:rsid w:val="17A32147"/>
    <w:rsid w:val="17A49AF7"/>
    <w:rsid w:val="17AE9418"/>
    <w:rsid w:val="17B52FD7"/>
    <w:rsid w:val="17B98714"/>
    <w:rsid w:val="17BD07FB"/>
    <w:rsid w:val="17BD589C"/>
    <w:rsid w:val="17C36937"/>
    <w:rsid w:val="17CB1807"/>
    <w:rsid w:val="17D30736"/>
    <w:rsid w:val="17DB0849"/>
    <w:rsid w:val="17E2E4F9"/>
    <w:rsid w:val="17E9971A"/>
    <w:rsid w:val="17F08265"/>
    <w:rsid w:val="17F34377"/>
    <w:rsid w:val="17F67F53"/>
    <w:rsid w:val="17F9CF31"/>
    <w:rsid w:val="17FC3135"/>
    <w:rsid w:val="17FC3434"/>
    <w:rsid w:val="17FD51CE"/>
    <w:rsid w:val="1805E100"/>
    <w:rsid w:val="1811549A"/>
    <w:rsid w:val="18199CB1"/>
    <w:rsid w:val="181D95FA"/>
    <w:rsid w:val="181EBB3E"/>
    <w:rsid w:val="181F4CE7"/>
    <w:rsid w:val="18231C62"/>
    <w:rsid w:val="1824DF61"/>
    <w:rsid w:val="182A6846"/>
    <w:rsid w:val="182C709B"/>
    <w:rsid w:val="182CB50E"/>
    <w:rsid w:val="182F5811"/>
    <w:rsid w:val="182FF887"/>
    <w:rsid w:val="1835B09D"/>
    <w:rsid w:val="183F8A04"/>
    <w:rsid w:val="184106B3"/>
    <w:rsid w:val="1857890B"/>
    <w:rsid w:val="1858A588"/>
    <w:rsid w:val="1863F433"/>
    <w:rsid w:val="186425EC"/>
    <w:rsid w:val="18686D94"/>
    <w:rsid w:val="186B2445"/>
    <w:rsid w:val="186DE18D"/>
    <w:rsid w:val="1874078A"/>
    <w:rsid w:val="18740CD3"/>
    <w:rsid w:val="187510BB"/>
    <w:rsid w:val="187613C4"/>
    <w:rsid w:val="18771E35"/>
    <w:rsid w:val="1877EF18"/>
    <w:rsid w:val="1878D8C6"/>
    <w:rsid w:val="187A0265"/>
    <w:rsid w:val="187DC196"/>
    <w:rsid w:val="187EBDBF"/>
    <w:rsid w:val="188285D2"/>
    <w:rsid w:val="18880A9B"/>
    <w:rsid w:val="188A41F5"/>
    <w:rsid w:val="188B6B7B"/>
    <w:rsid w:val="18900678"/>
    <w:rsid w:val="18921A54"/>
    <w:rsid w:val="1893B0C1"/>
    <w:rsid w:val="1897617F"/>
    <w:rsid w:val="189958D7"/>
    <w:rsid w:val="189BF50E"/>
    <w:rsid w:val="18A200BD"/>
    <w:rsid w:val="18A65496"/>
    <w:rsid w:val="18B4AAB2"/>
    <w:rsid w:val="18BA3688"/>
    <w:rsid w:val="18D20EC8"/>
    <w:rsid w:val="18DD161B"/>
    <w:rsid w:val="18DF7746"/>
    <w:rsid w:val="18E0EE1A"/>
    <w:rsid w:val="18E23908"/>
    <w:rsid w:val="18EFFE4A"/>
    <w:rsid w:val="18F252EA"/>
    <w:rsid w:val="18F80D18"/>
    <w:rsid w:val="18F9CEE0"/>
    <w:rsid w:val="19043032"/>
    <w:rsid w:val="19161753"/>
    <w:rsid w:val="191BA122"/>
    <w:rsid w:val="1921AEF2"/>
    <w:rsid w:val="192B625B"/>
    <w:rsid w:val="192B77EE"/>
    <w:rsid w:val="192E0AC8"/>
    <w:rsid w:val="192E6E54"/>
    <w:rsid w:val="19330492"/>
    <w:rsid w:val="19331832"/>
    <w:rsid w:val="1937D14E"/>
    <w:rsid w:val="193CE6AF"/>
    <w:rsid w:val="193F0782"/>
    <w:rsid w:val="19469A5A"/>
    <w:rsid w:val="1947F5ED"/>
    <w:rsid w:val="194DC7C4"/>
    <w:rsid w:val="195276A3"/>
    <w:rsid w:val="1963D8A0"/>
    <w:rsid w:val="19665274"/>
    <w:rsid w:val="196F9A86"/>
    <w:rsid w:val="19775794"/>
    <w:rsid w:val="198FCE7F"/>
    <w:rsid w:val="19992BD4"/>
    <w:rsid w:val="199D8FD1"/>
    <w:rsid w:val="19AE766E"/>
    <w:rsid w:val="19B77692"/>
    <w:rsid w:val="19B7B644"/>
    <w:rsid w:val="19D1929C"/>
    <w:rsid w:val="19D4F503"/>
    <w:rsid w:val="19DD6F83"/>
    <w:rsid w:val="19DD90FA"/>
    <w:rsid w:val="19DFC3D5"/>
    <w:rsid w:val="19E21604"/>
    <w:rsid w:val="19E53C35"/>
    <w:rsid w:val="19EA8A33"/>
    <w:rsid w:val="19EE196A"/>
    <w:rsid w:val="19EEC8D0"/>
    <w:rsid w:val="19FBBCCB"/>
    <w:rsid w:val="19FEF2E5"/>
    <w:rsid w:val="1A05967F"/>
    <w:rsid w:val="1A0B8A63"/>
    <w:rsid w:val="1A15A7FD"/>
    <w:rsid w:val="1A184003"/>
    <w:rsid w:val="1A245523"/>
    <w:rsid w:val="1A262601"/>
    <w:rsid w:val="1A37FBB1"/>
    <w:rsid w:val="1A41F679"/>
    <w:rsid w:val="1A42A52E"/>
    <w:rsid w:val="1A43FF7E"/>
    <w:rsid w:val="1A46A29D"/>
    <w:rsid w:val="1A4AFE8F"/>
    <w:rsid w:val="1A4B1561"/>
    <w:rsid w:val="1A5670C1"/>
    <w:rsid w:val="1A5B02B3"/>
    <w:rsid w:val="1A5B1F7A"/>
    <w:rsid w:val="1A614A74"/>
    <w:rsid w:val="1A614B10"/>
    <w:rsid w:val="1A741787"/>
    <w:rsid w:val="1A80D982"/>
    <w:rsid w:val="1A832332"/>
    <w:rsid w:val="1A839A0A"/>
    <w:rsid w:val="1A856232"/>
    <w:rsid w:val="1A8A0A0F"/>
    <w:rsid w:val="1A8E1015"/>
    <w:rsid w:val="1A8EADCB"/>
    <w:rsid w:val="1A94614B"/>
    <w:rsid w:val="1A954884"/>
    <w:rsid w:val="1AA0479E"/>
    <w:rsid w:val="1AA25F10"/>
    <w:rsid w:val="1AA6B4B1"/>
    <w:rsid w:val="1AA8A6D2"/>
    <w:rsid w:val="1AB20C62"/>
    <w:rsid w:val="1AB54CB9"/>
    <w:rsid w:val="1AB6B91B"/>
    <w:rsid w:val="1AB903C5"/>
    <w:rsid w:val="1ABE7E74"/>
    <w:rsid w:val="1AD3D43A"/>
    <w:rsid w:val="1AD9D445"/>
    <w:rsid w:val="1ADA5231"/>
    <w:rsid w:val="1ADEB35A"/>
    <w:rsid w:val="1AE0ACEC"/>
    <w:rsid w:val="1AE49222"/>
    <w:rsid w:val="1AE4A967"/>
    <w:rsid w:val="1AE5AED8"/>
    <w:rsid w:val="1AEAC085"/>
    <w:rsid w:val="1AEBBF6D"/>
    <w:rsid w:val="1AED148C"/>
    <w:rsid w:val="1AEF36FF"/>
    <w:rsid w:val="1AEFE887"/>
    <w:rsid w:val="1AF83CB6"/>
    <w:rsid w:val="1AF997D1"/>
    <w:rsid w:val="1AFD64CC"/>
    <w:rsid w:val="1AFE2B1E"/>
    <w:rsid w:val="1B040952"/>
    <w:rsid w:val="1B0B5420"/>
    <w:rsid w:val="1B0DD153"/>
    <w:rsid w:val="1B19C71A"/>
    <w:rsid w:val="1B1A7768"/>
    <w:rsid w:val="1B21B586"/>
    <w:rsid w:val="1B264D3C"/>
    <w:rsid w:val="1B3B9323"/>
    <w:rsid w:val="1B4104D7"/>
    <w:rsid w:val="1B45E81B"/>
    <w:rsid w:val="1B4AE08C"/>
    <w:rsid w:val="1B503CCB"/>
    <w:rsid w:val="1B51551F"/>
    <w:rsid w:val="1B562B8F"/>
    <w:rsid w:val="1B62C783"/>
    <w:rsid w:val="1B62FA3A"/>
    <w:rsid w:val="1B631821"/>
    <w:rsid w:val="1B66604B"/>
    <w:rsid w:val="1B6B416F"/>
    <w:rsid w:val="1B6FF39E"/>
    <w:rsid w:val="1B7449BC"/>
    <w:rsid w:val="1B79B934"/>
    <w:rsid w:val="1B7CF94C"/>
    <w:rsid w:val="1B7D9508"/>
    <w:rsid w:val="1B7F6FF2"/>
    <w:rsid w:val="1B837279"/>
    <w:rsid w:val="1B87EFD3"/>
    <w:rsid w:val="1B8879B6"/>
    <w:rsid w:val="1B9C4F10"/>
    <w:rsid w:val="1BA753ED"/>
    <w:rsid w:val="1BABDB7F"/>
    <w:rsid w:val="1BB47FFB"/>
    <w:rsid w:val="1BB811BB"/>
    <w:rsid w:val="1BB88337"/>
    <w:rsid w:val="1BB9074A"/>
    <w:rsid w:val="1BC15276"/>
    <w:rsid w:val="1BC26C2E"/>
    <w:rsid w:val="1BC34C93"/>
    <w:rsid w:val="1BCFF25D"/>
    <w:rsid w:val="1BD1B8B1"/>
    <w:rsid w:val="1BD27271"/>
    <w:rsid w:val="1BD37D1F"/>
    <w:rsid w:val="1BDE5274"/>
    <w:rsid w:val="1BE0C6E5"/>
    <w:rsid w:val="1BE29CE9"/>
    <w:rsid w:val="1BECC6F5"/>
    <w:rsid w:val="1BF761C3"/>
    <w:rsid w:val="1BFFC224"/>
    <w:rsid w:val="1BFFF52A"/>
    <w:rsid w:val="1C045BBB"/>
    <w:rsid w:val="1C0590A1"/>
    <w:rsid w:val="1C12C117"/>
    <w:rsid w:val="1C282EDB"/>
    <w:rsid w:val="1C348067"/>
    <w:rsid w:val="1C3ABFBC"/>
    <w:rsid w:val="1C3F7CFF"/>
    <w:rsid w:val="1C49F3D7"/>
    <w:rsid w:val="1C5A8A7F"/>
    <w:rsid w:val="1C62CDD6"/>
    <w:rsid w:val="1C66CAF9"/>
    <w:rsid w:val="1C693846"/>
    <w:rsid w:val="1C71E8E0"/>
    <w:rsid w:val="1C720955"/>
    <w:rsid w:val="1C7288F0"/>
    <w:rsid w:val="1C72ACC9"/>
    <w:rsid w:val="1C7A0459"/>
    <w:rsid w:val="1C7DEB09"/>
    <w:rsid w:val="1C80C755"/>
    <w:rsid w:val="1C848994"/>
    <w:rsid w:val="1C9D17D8"/>
    <w:rsid w:val="1C9F377D"/>
    <w:rsid w:val="1CA3D45D"/>
    <w:rsid w:val="1CAD18CE"/>
    <w:rsid w:val="1CB13912"/>
    <w:rsid w:val="1CB3A703"/>
    <w:rsid w:val="1CB4B41A"/>
    <w:rsid w:val="1CB5977B"/>
    <w:rsid w:val="1CC1DBB9"/>
    <w:rsid w:val="1CC5076E"/>
    <w:rsid w:val="1CC569A9"/>
    <w:rsid w:val="1CD04AA7"/>
    <w:rsid w:val="1CD4A379"/>
    <w:rsid w:val="1CD5B29B"/>
    <w:rsid w:val="1CDEFEAC"/>
    <w:rsid w:val="1CE4CE03"/>
    <w:rsid w:val="1CEAE308"/>
    <w:rsid w:val="1CF1FBF0"/>
    <w:rsid w:val="1CF2C055"/>
    <w:rsid w:val="1CF70F42"/>
    <w:rsid w:val="1CFC3941"/>
    <w:rsid w:val="1D03B4A4"/>
    <w:rsid w:val="1D098DC7"/>
    <w:rsid w:val="1D0B8C54"/>
    <w:rsid w:val="1D0BC6C7"/>
    <w:rsid w:val="1D0DF91D"/>
    <w:rsid w:val="1D1016FD"/>
    <w:rsid w:val="1D1296A9"/>
    <w:rsid w:val="1D140C6E"/>
    <w:rsid w:val="1D1588A4"/>
    <w:rsid w:val="1D1FEAF9"/>
    <w:rsid w:val="1D230A02"/>
    <w:rsid w:val="1D30EB37"/>
    <w:rsid w:val="1D32E23F"/>
    <w:rsid w:val="1D36D263"/>
    <w:rsid w:val="1D389A43"/>
    <w:rsid w:val="1D4232C4"/>
    <w:rsid w:val="1D4AD8B1"/>
    <w:rsid w:val="1D4EF4E7"/>
    <w:rsid w:val="1D53DB7A"/>
    <w:rsid w:val="1D53E21C"/>
    <w:rsid w:val="1D5B34B7"/>
    <w:rsid w:val="1D5C2B9D"/>
    <w:rsid w:val="1D617A2B"/>
    <w:rsid w:val="1D649FF9"/>
    <w:rsid w:val="1D668A6C"/>
    <w:rsid w:val="1D68037E"/>
    <w:rsid w:val="1D703A04"/>
    <w:rsid w:val="1D746173"/>
    <w:rsid w:val="1D7AE66C"/>
    <w:rsid w:val="1D7FCC91"/>
    <w:rsid w:val="1D814243"/>
    <w:rsid w:val="1D89BC9B"/>
    <w:rsid w:val="1D915674"/>
    <w:rsid w:val="1D9295CC"/>
    <w:rsid w:val="1DA15ED4"/>
    <w:rsid w:val="1DA248C0"/>
    <w:rsid w:val="1DA702CA"/>
    <w:rsid w:val="1DA92F3A"/>
    <w:rsid w:val="1DA963D2"/>
    <w:rsid w:val="1DADA813"/>
    <w:rsid w:val="1DB09FA7"/>
    <w:rsid w:val="1DB8503B"/>
    <w:rsid w:val="1DC143AF"/>
    <w:rsid w:val="1DC43C19"/>
    <w:rsid w:val="1DCCF46F"/>
    <w:rsid w:val="1DCE018A"/>
    <w:rsid w:val="1DD2D24E"/>
    <w:rsid w:val="1DD83581"/>
    <w:rsid w:val="1DDA11C3"/>
    <w:rsid w:val="1DDA5A37"/>
    <w:rsid w:val="1DDF6362"/>
    <w:rsid w:val="1DE678A1"/>
    <w:rsid w:val="1DFDDC3F"/>
    <w:rsid w:val="1E07B117"/>
    <w:rsid w:val="1E082BF9"/>
    <w:rsid w:val="1E0A38B6"/>
    <w:rsid w:val="1E0F1873"/>
    <w:rsid w:val="1E11BB5D"/>
    <w:rsid w:val="1E11F673"/>
    <w:rsid w:val="1E15A60F"/>
    <w:rsid w:val="1E1631F2"/>
    <w:rsid w:val="1E24576E"/>
    <w:rsid w:val="1E251221"/>
    <w:rsid w:val="1E294D53"/>
    <w:rsid w:val="1E3D917B"/>
    <w:rsid w:val="1E400E6E"/>
    <w:rsid w:val="1E435845"/>
    <w:rsid w:val="1E4C937F"/>
    <w:rsid w:val="1E574952"/>
    <w:rsid w:val="1E58F57A"/>
    <w:rsid w:val="1E5ABFAE"/>
    <w:rsid w:val="1E5CDB1F"/>
    <w:rsid w:val="1E68945D"/>
    <w:rsid w:val="1E6E0D50"/>
    <w:rsid w:val="1E71277D"/>
    <w:rsid w:val="1E7279AB"/>
    <w:rsid w:val="1E75D769"/>
    <w:rsid w:val="1E76265B"/>
    <w:rsid w:val="1E7A7B04"/>
    <w:rsid w:val="1E816A42"/>
    <w:rsid w:val="1E8D5316"/>
    <w:rsid w:val="1E923C4D"/>
    <w:rsid w:val="1E99A826"/>
    <w:rsid w:val="1EB01B24"/>
    <w:rsid w:val="1EB59FC6"/>
    <w:rsid w:val="1EB74B6B"/>
    <w:rsid w:val="1EB7FD68"/>
    <w:rsid w:val="1EBEAEA8"/>
    <w:rsid w:val="1EC8FA97"/>
    <w:rsid w:val="1ED0F032"/>
    <w:rsid w:val="1EDF08C6"/>
    <w:rsid w:val="1EE221EA"/>
    <w:rsid w:val="1EE558BA"/>
    <w:rsid w:val="1EE7A1E9"/>
    <w:rsid w:val="1EE970BE"/>
    <w:rsid w:val="1EE9C674"/>
    <w:rsid w:val="1EF06F41"/>
    <w:rsid w:val="1EFE7167"/>
    <w:rsid w:val="1F01D98A"/>
    <w:rsid w:val="1F043571"/>
    <w:rsid w:val="1F05C8DC"/>
    <w:rsid w:val="1F089ABC"/>
    <w:rsid w:val="1F0C41EF"/>
    <w:rsid w:val="1F0EA795"/>
    <w:rsid w:val="1F115B64"/>
    <w:rsid w:val="1F1212AC"/>
    <w:rsid w:val="1F135BA4"/>
    <w:rsid w:val="1F18EA0D"/>
    <w:rsid w:val="1F1FB039"/>
    <w:rsid w:val="1F344B8B"/>
    <w:rsid w:val="1F40F28B"/>
    <w:rsid w:val="1F438B1B"/>
    <w:rsid w:val="1F53A0DC"/>
    <w:rsid w:val="1F56E6F3"/>
    <w:rsid w:val="1F581142"/>
    <w:rsid w:val="1F5CE0DA"/>
    <w:rsid w:val="1F6196E5"/>
    <w:rsid w:val="1F628A6C"/>
    <w:rsid w:val="1F62D653"/>
    <w:rsid w:val="1F771CE3"/>
    <w:rsid w:val="1F77DF1F"/>
    <w:rsid w:val="1F78BBAD"/>
    <w:rsid w:val="1F7AE0E6"/>
    <w:rsid w:val="1F7D5AFB"/>
    <w:rsid w:val="1F7E7523"/>
    <w:rsid w:val="1F838B42"/>
    <w:rsid w:val="1F83CF40"/>
    <w:rsid w:val="1FAC9C96"/>
    <w:rsid w:val="1FBA01F1"/>
    <w:rsid w:val="1FBD82E2"/>
    <w:rsid w:val="1FBD8C9B"/>
    <w:rsid w:val="1FBE287D"/>
    <w:rsid w:val="1FC12FEA"/>
    <w:rsid w:val="1FCB79E0"/>
    <w:rsid w:val="1FCB8C20"/>
    <w:rsid w:val="1FCC9052"/>
    <w:rsid w:val="1FD9F453"/>
    <w:rsid w:val="1FDD5993"/>
    <w:rsid w:val="1FE4B990"/>
    <w:rsid w:val="1FF3D028"/>
    <w:rsid w:val="1FF3D7FB"/>
    <w:rsid w:val="1FF87C38"/>
    <w:rsid w:val="1FFBB836"/>
    <w:rsid w:val="1FFDCCAB"/>
    <w:rsid w:val="200261FD"/>
    <w:rsid w:val="2007EB69"/>
    <w:rsid w:val="200CB794"/>
    <w:rsid w:val="201005E0"/>
    <w:rsid w:val="201E6540"/>
    <w:rsid w:val="202B87BB"/>
    <w:rsid w:val="202CE502"/>
    <w:rsid w:val="2031E78D"/>
    <w:rsid w:val="2032D4D3"/>
    <w:rsid w:val="20364569"/>
    <w:rsid w:val="203D9887"/>
    <w:rsid w:val="203DF703"/>
    <w:rsid w:val="203FD58E"/>
    <w:rsid w:val="2045728F"/>
    <w:rsid w:val="204665D1"/>
    <w:rsid w:val="20477A30"/>
    <w:rsid w:val="205EA64C"/>
    <w:rsid w:val="205EB4B4"/>
    <w:rsid w:val="20619DDE"/>
    <w:rsid w:val="2067974B"/>
    <w:rsid w:val="2071B220"/>
    <w:rsid w:val="2072E36E"/>
    <w:rsid w:val="2075100A"/>
    <w:rsid w:val="207900ED"/>
    <w:rsid w:val="2087BFAA"/>
    <w:rsid w:val="2091791D"/>
    <w:rsid w:val="20931113"/>
    <w:rsid w:val="209776B9"/>
    <w:rsid w:val="209AEED0"/>
    <w:rsid w:val="209CD346"/>
    <w:rsid w:val="20A2F5F9"/>
    <w:rsid w:val="20A68ACD"/>
    <w:rsid w:val="20AF11C7"/>
    <w:rsid w:val="20B2D9DE"/>
    <w:rsid w:val="20C34154"/>
    <w:rsid w:val="20C6B4A7"/>
    <w:rsid w:val="20CF92AC"/>
    <w:rsid w:val="20D08CC0"/>
    <w:rsid w:val="20D86138"/>
    <w:rsid w:val="20E76B88"/>
    <w:rsid w:val="20E8B6E9"/>
    <w:rsid w:val="20ECDA28"/>
    <w:rsid w:val="20F62ABB"/>
    <w:rsid w:val="20FC9245"/>
    <w:rsid w:val="210834BC"/>
    <w:rsid w:val="210C24CE"/>
    <w:rsid w:val="210EA4E5"/>
    <w:rsid w:val="2111E5EA"/>
    <w:rsid w:val="21123B8C"/>
    <w:rsid w:val="21167BE3"/>
    <w:rsid w:val="2118841A"/>
    <w:rsid w:val="211C12C4"/>
    <w:rsid w:val="211D8481"/>
    <w:rsid w:val="211EB756"/>
    <w:rsid w:val="211EC9FA"/>
    <w:rsid w:val="211EF0DE"/>
    <w:rsid w:val="211F1B78"/>
    <w:rsid w:val="2120C3F9"/>
    <w:rsid w:val="21269646"/>
    <w:rsid w:val="21278C66"/>
    <w:rsid w:val="212BDEF8"/>
    <w:rsid w:val="2130AF14"/>
    <w:rsid w:val="2134B12B"/>
    <w:rsid w:val="21367B8A"/>
    <w:rsid w:val="213719D2"/>
    <w:rsid w:val="213BD9CB"/>
    <w:rsid w:val="213C3BD0"/>
    <w:rsid w:val="2140379C"/>
    <w:rsid w:val="2152B7E7"/>
    <w:rsid w:val="2156A7E9"/>
    <w:rsid w:val="2159CA94"/>
    <w:rsid w:val="215FECDB"/>
    <w:rsid w:val="2162B0E2"/>
    <w:rsid w:val="216584DF"/>
    <w:rsid w:val="216AD5DB"/>
    <w:rsid w:val="2175F7B1"/>
    <w:rsid w:val="21784DC5"/>
    <w:rsid w:val="217D7F69"/>
    <w:rsid w:val="2181D0A8"/>
    <w:rsid w:val="2189F146"/>
    <w:rsid w:val="21976336"/>
    <w:rsid w:val="219BFC91"/>
    <w:rsid w:val="219F1A9D"/>
    <w:rsid w:val="21A23C30"/>
    <w:rsid w:val="21A3A65F"/>
    <w:rsid w:val="21A84873"/>
    <w:rsid w:val="21AD3915"/>
    <w:rsid w:val="21B4210D"/>
    <w:rsid w:val="21B62A7A"/>
    <w:rsid w:val="21BC857E"/>
    <w:rsid w:val="21BF0B70"/>
    <w:rsid w:val="21C46F93"/>
    <w:rsid w:val="21C5B4D1"/>
    <w:rsid w:val="21CD477E"/>
    <w:rsid w:val="21CF1A66"/>
    <w:rsid w:val="21D0E270"/>
    <w:rsid w:val="21D47A7D"/>
    <w:rsid w:val="21DBD08B"/>
    <w:rsid w:val="21DE714E"/>
    <w:rsid w:val="21E55B75"/>
    <w:rsid w:val="21E6EE4D"/>
    <w:rsid w:val="21F111BA"/>
    <w:rsid w:val="21F2EAF9"/>
    <w:rsid w:val="2205628A"/>
    <w:rsid w:val="22056AEF"/>
    <w:rsid w:val="2208DB7A"/>
    <w:rsid w:val="2216FE5C"/>
    <w:rsid w:val="221C1A04"/>
    <w:rsid w:val="2228DB86"/>
    <w:rsid w:val="222B75A9"/>
    <w:rsid w:val="2230B695"/>
    <w:rsid w:val="22318FCC"/>
    <w:rsid w:val="223290EC"/>
    <w:rsid w:val="2234BC85"/>
    <w:rsid w:val="22395257"/>
    <w:rsid w:val="223F5DF5"/>
    <w:rsid w:val="224B2BAF"/>
    <w:rsid w:val="22543D1F"/>
    <w:rsid w:val="225B1175"/>
    <w:rsid w:val="22618BBD"/>
    <w:rsid w:val="2261A2CE"/>
    <w:rsid w:val="226BF4BF"/>
    <w:rsid w:val="226D0D2B"/>
    <w:rsid w:val="226DD2C9"/>
    <w:rsid w:val="2274A36D"/>
    <w:rsid w:val="2276FC9A"/>
    <w:rsid w:val="22772A22"/>
    <w:rsid w:val="227917A7"/>
    <w:rsid w:val="2282FAD0"/>
    <w:rsid w:val="228E2E9C"/>
    <w:rsid w:val="229468E2"/>
    <w:rsid w:val="229CF2B5"/>
    <w:rsid w:val="22A1FE41"/>
    <w:rsid w:val="22A99929"/>
    <w:rsid w:val="22B1C830"/>
    <w:rsid w:val="22B5E30A"/>
    <w:rsid w:val="22B823C7"/>
    <w:rsid w:val="22BA94AB"/>
    <w:rsid w:val="22C8B128"/>
    <w:rsid w:val="22CDED70"/>
    <w:rsid w:val="22D4D6D2"/>
    <w:rsid w:val="22D4DD04"/>
    <w:rsid w:val="22D5FCA5"/>
    <w:rsid w:val="22DB7EE0"/>
    <w:rsid w:val="22DC9F02"/>
    <w:rsid w:val="22F1BC39"/>
    <w:rsid w:val="22F99D53"/>
    <w:rsid w:val="22FF95AC"/>
    <w:rsid w:val="2302E568"/>
    <w:rsid w:val="230536A1"/>
    <w:rsid w:val="230A5FA8"/>
    <w:rsid w:val="230DBDF9"/>
    <w:rsid w:val="2317D3F6"/>
    <w:rsid w:val="2318801E"/>
    <w:rsid w:val="231962F8"/>
    <w:rsid w:val="231C25E7"/>
    <w:rsid w:val="231CD16D"/>
    <w:rsid w:val="231D1CFE"/>
    <w:rsid w:val="23230A8C"/>
    <w:rsid w:val="2327E9E3"/>
    <w:rsid w:val="23298336"/>
    <w:rsid w:val="232A654B"/>
    <w:rsid w:val="2339C3C2"/>
    <w:rsid w:val="233F26C7"/>
    <w:rsid w:val="235180D9"/>
    <w:rsid w:val="235675BF"/>
    <w:rsid w:val="2360F627"/>
    <w:rsid w:val="23618790"/>
    <w:rsid w:val="23660436"/>
    <w:rsid w:val="23698522"/>
    <w:rsid w:val="237008C6"/>
    <w:rsid w:val="23799E40"/>
    <w:rsid w:val="237FA4D3"/>
    <w:rsid w:val="2385F419"/>
    <w:rsid w:val="2388292B"/>
    <w:rsid w:val="238E4FD7"/>
    <w:rsid w:val="23A2A333"/>
    <w:rsid w:val="23AC804B"/>
    <w:rsid w:val="23B3660C"/>
    <w:rsid w:val="23BFC716"/>
    <w:rsid w:val="23C077FA"/>
    <w:rsid w:val="23C13351"/>
    <w:rsid w:val="23CA707A"/>
    <w:rsid w:val="23D53FBD"/>
    <w:rsid w:val="23D6D9AD"/>
    <w:rsid w:val="23D9F274"/>
    <w:rsid w:val="23E342BB"/>
    <w:rsid w:val="23E72F4A"/>
    <w:rsid w:val="23E8DB31"/>
    <w:rsid w:val="23F11B3F"/>
    <w:rsid w:val="23F4229F"/>
    <w:rsid w:val="24006D4C"/>
    <w:rsid w:val="240616BE"/>
    <w:rsid w:val="24092064"/>
    <w:rsid w:val="240E4B62"/>
    <w:rsid w:val="2414B660"/>
    <w:rsid w:val="241DF24C"/>
    <w:rsid w:val="242393BE"/>
    <w:rsid w:val="2425ABB2"/>
    <w:rsid w:val="24264A3C"/>
    <w:rsid w:val="24275B31"/>
    <w:rsid w:val="24280D8D"/>
    <w:rsid w:val="24318E87"/>
    <w:rsid w:val="2432664A"/>
    <w:rsid w:val="24381921"/>
    <w:rsid w:val="24388F66"/>
    <w:rsid w:val="24459FEF"/>
    <w:rsid w:val="244660D6"/>
    <w:rsid w:val="24535D97"/>
    <w:rsid w:val="24562A9F"/>
    <w:rsid w:val="245F2AA9"/>
    <w:rsid w:val="2463F9A1"/>
    <w:rsid w:val="24742D27"/>
    <w:rsid w:val="247AAB1B"/>
    <w:rsid w:val="247F7EBA"/>
    <w:rsid w:val="2482BA9D"/>
    <w:rsid w:val="2486E9E7"/>
    <w:rsid w:val="248BD2C0"/>
    <w:rsid w:val="249C9B88"/>
    <w:rsid w:val="249CC432"/>
    <w:rsid w:val="249CEB2A"/>
    <w:rsid w:val="249F0B96"/>
    <w:rsid w:val="24A9F670"/>
    <w:rsid w:val="24AFD0B6"/>
    <w:rsid w:val="24B3191E"/>
    <w:rsid w:val="24B84201"/>
    <w:rsid w:val="24B8A076"/>
    <w:rsid w:val="24B96A47"/>
    <w:rsid w:val="24C6A51E"/>
    <w:rsid w:val="24E06FE4"/>
    <w:rsid w:val="24E0AF07"/>
    <w:rsid w:val="24E73D32"/>
    <w:rsid w:val="24E9A0ED"/>
    <w:rsid w:val="24ED0655"/>
    <w:rsid w:val="24F41D7C"/>
    <w:rsid w:val="2501CCD0"/>
    <w:rsid w:val="2506F399"/>
    <w:rsid w:val="250BD0A7"/>
    <w:rsid w:val="25189621"/>
    <w:rsid w:val="251F0296"/>
    <w:rsid w:val="252D942B"/>
    <w:rsid w:val="2530723D"/>
    <w:rsid w:val="2531C0BB"/>
    <w:rsid w:val="253413B0"/>
    <w:rsid w:val="253D30CF"/>
    <w:rsid w:val="25434CA9"/>
    <w:rsid w:val="25436A19"/>
    <w:rsid w:val="2547CD20"/>
    <w:rsid w:val="254E9F1E"/>
    <w:rsid w:val="254F7A37"/>
    <w:rsid w:val="255EAFB0"/>
    <w:rsid w:val="256310FD"/>
    <w:rsid w:val="2563D072"/>
    <w:rsid w:val="25697E7D"/>
    <w:rsid w:val="257716C7"/>
    <w:rsid w:val="257C7861"/>
    <w:rsid w:val="258525CA"/>
    <w:rsid w:val="258F1841"/>
    <w:rsid w:val="2596B3A8"/>
    <w:rsid w:val="25990BD5"/>
    <w:rsid w:val="259FCC29"/>
    <w:rsid w:val="25A51E75"/>
    <w:rsid w:val="25A5531C"/>
    <w:rsid w:val="25A951AB"/>
    <w:rsid w:val="25ABB30A"/>
    <w:rsid w:val="25B2C29E"/>
    <w:rsid w:val="25B9969A"/>
    <w:rsid w:val="25C38BF2"/>
    <w:rsid w:val="25CC1D0E"/>
    <w:rsid w:val="25CD4C8E"/>
    <w:rsid w:val="25D8CD60"/>
    <w:rsid w:val="25DBB413"/>
    <w:rsid w:val="25DF6565"/>
    <w:rsid w:val="25E1218A"/>
    <w:rsid w:val="25E585C5"/>
    <w:rsid w:val="25E73289"/>
    <w:rsid w:val="25E87583"/>
    <w:rsid w:val="25E98B55"/>
    <w:rsid w:val="25ECFEDB"/>
    <w:rsid w:val="25EF6AC2"/>
    <w:rsid w:val="25EF741A"/>
    <w:rsid w:val="25F3B0F7"/>
    <w:rsid w:val="25F3FB0C"/>
    <w:rsid w:val="25F6335D"/>
    <w:rsid w:val="25FBC3C2"/>
    <w:rsid w:val="26083B13"/>
    <w:rsid w:val="260D343D"/>
    <w:rsid w:val="260D42D5"/>
    <w:rsid w:val="260F40F2"/>
    <w:rsid w:val="260FF975"/>
    <w:rsid w:val="261C8E5A"/>
    <w:rsid w:val="261FD672"/>
    <w:rsid w:val="26243D28"/>
    <w:rsid w:val="26259EA0"/>
    <w:rsid w:val="262EB9DC"/>
    <w:rsid w:val="2630F1AB"/>
    <w:rsid w:val="26379242"/>
    <w:rsid w:val="263795EF"/>
    <w:rsid w:val="263AC56A"/>
    <w:rsid w:val="263D83A4"/>
    <w:rsid w:val="263FB3C5"/>
    <w:rsid w:val="263FF363"/>
    <w:rsid w:val="2646C0A2"/>
    <w:rsid w:val="265E581D"/>
    <w:rsid w:val="265F9B38"/>
    <w:rsid w:val="2660828D"/>
    <w:rsid w:val="26633255"/>
    <w:rsid w:val="2663D7E1"/>
    <w:rsid w:val="266A9403"/>
    <w:rsid w:val="266C5B0F"/>
    <w:rsid w:val="266CE663"/>
    <w:rsid w:val="266F02F9"/>
    <w:rsid w:val="2675B83D"/>
    <w:rsid w:val="267BD04E"/>
    <w:rsid w:val="2683DA5B"/>
    <w:rsid w:val="26851FFC"/>
    <w:rsid w:val="2698547D"/>
    <w:rsid w:val="26A46C7E"/>
    <w:rsid w:val="26AB4455"/>
    <w:rsid w:val="26ABCF52"/>
    <w:rsid w:val="26ABD541"/>
    <w:rsid w:val="26AD193E"/>
    <w:rsid w:val="26B13F6E"/>
    <w:rsid w:val="26B4AA97"/>
    <w:rsid w:val="26BEBE68"/>
    <w:rsid w:val="26C6E6E4"/>
    <w:rsid w:val="26C76033"/>
    <w:rsid w:val="26CD8631"/>
    <w:rsid w:val="26D37977"/>
    <w:rsid w:val="26D3DD34"/>
    <w:rsid w:val="26D6BA22"/>
    <w:rsid w:val="26DE03B5"/>
    <w:rsid w:val="26EC27B6"/>
    <w:rsid w:val="26F767D8"/>
    <w:rsid w:val="26F9CF69"/>
    <w:rsid w:val="2704E8AF"/>
    <w:rsid w:val="270D2E4B"/>
    <w:rsid w:val="271B001C"/>
    <w:rsid w:val="271B1F9D"/>
    <w:rsid w:val="2720FA06"/>
    <w:rsid w:val="272115E7"/>
    <w:rsid w:val="272831B5"/>
    <w:rsid w:val="27337FD7"/>
    <w:rsid w:val="273AFE9D"/>
    <w:rsid w:val="274A2020"/>
    <w:rsid w:val="274ACD48"/>
    <w:rsid w:val="274BD370"/>
    <w:rsid w:val="2752A368"/>
    <w:rsid w:val="2754DDE2"/>
    <w:rsid w:val="2755C354"/>
    <w:rsid w:val="275BC931"/>
    <w:rsid w:val="2764F2DA"/>
    <w:rsid w:val="27686357"/>
    <w:rsid w:val="2771808E"/>
    <w:rsid w:val="2771A4D3"/>
    <w:rsid w:val="27731E5A"/>
    <w:rsid w:val="2774EB35"/>
    <w:rsid w:val="2778EB24"/>
    <w:rsid w:val="277F37AF"/>
    <w:rsid w:val="278B4EEF"/>
    <w:rsid w:val="278D0B11"/>
    <w:rsid w:val="27900898"/>
    <w:rsid w:val="279F1545"/>
    <w:rsid w:val="279F6948"/>
    <w:rsid w:val="279F98FD"/>
    <w:rsid w:val="27A18C70"/>
    <w:rsid w:val="27A19971"/>
    <w:rsid w:val="27A43226"/>
    <w:rsid w:val="27A8E737"/>
    <w:rsid w:val="27AE77AB"/>
    <w:rsid w:val="27B4ED5C"/>
    <w:rsid w:val="27B5602F"/>
    <w:rsid w:val="27C2785D"/>
    <w:rsid w:val="27C4F6FD"/>
    <w:rsid w:val="27CD0F40"/>
    <w:rsid w:val="27D3437A"/>
    <w:rsid w:val="27D9A58B"/>
    <w:rsid w:val="27E9FCEE"/>
    <w:rsid w:val="27EA821E"/>
    <w:rsid w:val="27F0D06D"/>
    <w:rsid w:val="27F9DBE5"/>
    <w:rsid w:val="28016276"/>
    <w:rsid w:val="28066B0C"/>
    <w:rsid w:val="280B018F"/>
    <w:rsid w:val="2814E723"/>
    <w:rsid w:val="28188395"/>
    <w:rsid w:val="28188D78"/>
    <w:rsid w:val="281CE606"/>
    <w:rsid w:val="282D95AF"/>
    <w:rsid w:val="28304CFC"/>
    <w:rsid w:val="28329C78"/>
    <w:rsid w:val="2832B659"/>
    <w:rsid w:val="28394707"/>
    <w:rsid w:val="283D461C"/>
    <w:rsid w:val="28446CE3"/>
    <w:rsid w:val="284A38A6"/>
    <w:rsid w:val="284CF536"/>
    <w:rsid w:val="2850F803"/>
    <w:rsid w:val="285D2ED2"/>
    <w:rsid w:val="285F8748"/>
    <w:rsid w:val="28680305"/>
    <w:rsid w:val="286D5D7C"/>
    <w:rsid w:val="286D6CBF"/>
    <w:rsid w:val="286DFB52"/>
    <w:rsid w:val="2877CB69"/>
    <w:rsid w:val="28796B20"/>
    <w:rsid w:val="287A9BF3"/>
    <w:rsid w:val="287B3141"/>
    <w:rsid w:val="287B5C18"/>
    <w:rsid w:val="28847EBA"/>
    <w:rsid w:val="28849A3D"/>
    <w:rsid w:val="2886828D"/>
    <w:rsid w:val="289C07D7"/>
    <w:rsid w:val="28A6AEB6"/>
    <w:rsid w:val="28AD9578"/>
    <w:rsid w:val="28AFEEBB"/>
    <w:rsid w:val="28B1FF4D"/>
    <w:rsid w:val="28B57516"/>
    <w:rsid w:val="28BC6DAD"/>
    <w:rsid w:val="28C79663"/>
    <w:rsid w:val="28D0693C"/>
    <w:rsid w:val="28D95C7A"/>
    <w:rsid w:val="28D99769"/>
    <w:rsid w:val="28DB8BFF"/>
    <w:rsid w:val="28DBCD62"/>
    <w:rsid w:val="28DCD472"/>
    <w:rsid w:val="28DE09B0"/>
    <w:rsid w:val="28E94D22"/>
    <w:rsid w:val="28EED70D"/>
    <w:rsid w:val="28EF4AF0"/>
    <w:rsid w:val="28EFDBA8"/>
    <w:rsid w:val="28F18071"/>
    <w:rsid w:val="28F1C065"/>
    <w:rsid w:val="28F6862F"/>
    <w:rsid w:val="28F7DA58"/>
    <w:rsid w:val="28FFE56C"/>
    <w:rsid w:val="29026985"/>
    <w:rsid w:val="29040AC9"/>
    <w:rsid w:val="29058A8D"/>
    <w:rsid w:val="29074AF0"/>
    <w:rsid w:val="290756AF"/>
    <w:rsid w:val="290BDE0E"/>
    <w:rsid w:val="290BEEF2"/>
    <w:rsid w:val="2911640B"/>
    <w:rsid w:val="29126E34"/>
    <w:rsid w:val="2926B9A2"/>
    <w:rsid w:val="2927B1A9"/>
    <w:rsid w:val="292CDE3D"/>
    <w:rsid w:val="2934FD72"/>
    <w:rsid w:val="293D991C"/>
    <w:rsid w:val="2944C652"/>
    <w:rsid w:val="2944DA62"/>
    <w:rsid w:val="294DFBA5"/>
    <w:rsid w:val="294F7063"/>
    <w:rsid w:val="29515427"/>
    <w:rsid w:val="29716880"/>
    <w:rsid w:val="29782A80"/>
    <w:rsid w:val="297B7372"/>
    <w:rsid w:val="297E8039"/>
    <w:rsid w:val="29808855"/>
    <w:rsid w:val="298758E0"/>
    <w:rsid w:val="298AAFEC"/>
    <w:rsid w:val="2990A4D0"/>
    <w:rsid w:val="2991C0C2"/>
    <w:rsid w:val="29942362"/>
    <w:rsid w:val="299491F9"/>
    <w:rsid w:val="299C26D6"/>
    <w:rsid w:val="29A5B0C5"/>
    <w:rsid w:val="29A9D80C"/>
    <w:rsid w:val="29AB0408"/>
    <w:rsid w:val="29ADB24E"/>
    <w:rsid w:val="29BE40A5"/>
    <w:rsid w:val="29C7C166"/>
    <w:rsid w:val="29D3DC32"/>
    <w:rsid w:val="29D420DD"/>
    <w:rsid w:val="29DFA4D4"/>
    <w:rsid w:val="29EED435"/>
    <w:rsid w:val="29EEE324"/>
    <w:rsid w:val="29F24993"/>
    <w:rsid w:val="29F51AB7"/>
    <w:rsid w:val="29F9EC35"/>
    <w:rsid w:val="29FB4AD2"/>
    <w:rsid w:val="2A01D672"/>
    <w:rsid w:val="2A05DBD4"/>
    <w:rsid w:val="2A08C0D4"/>
    <w:rsid w:val="2A0B0336"/>
    <w:rsid w:val="2A0B35B4"/>
    <w:rsid w:val="2A25D857"/>
    <w:rsid w:val="2A28A464"/>
    <w:rsid w:val="2A33F6F4"/>
    <w:rsid w:val="2A3C26D5"/>
    <w:rsid w:val="2A3F1D1F"/>
    <w:rsid w:val="2A423725"/>
    <w:rsid w:val="2A43AC2D"/>
    <w:rsid w:val="2A4A57EA"/>
    <w:rsid w:val="2A4CAE9E"/>
    <w:rsid w:val="2A4D5D86"/>
    <w:rsid w:val="2A5564CE"/>
    <w:rsid w:val="2A55BFA6"/>
    <w:rsid w:val="2A5A6167"/>
    <w:rsid w:val="2A6083A5"/>
    <w:rsid w:val="2A6111A1"/>
    <w:rsid w:val="2A6263B6"/>
    <w:rsid w:val="2A6A14B1"/>
    <w:rsid w:val="2A70A1AA"/>
    <w:rsid w:val="2A77DAF0"/>
    <w:rsid w:val="2A7B0CC2"/>
    <w:rsid w:val="2A816B28"/>
    <w:rsid w:val="2A8B17FE"/>
    <w:rsid w:val="2A8EB25B"/>
    <w:rsid w:val="2A931E18"/>
    <w:rsid w:val="2A958E8B"/>
    <w:rsid w:val="2A95EA5E"/>
    <w:rsid w:val="2AA98399"/>
    <w:rsid w:val="2AAAC7DD"/>
    <w:rsid w:val="2AACDD46"/>
    <w:rsid w:val="2AAD11CC"/>
    <w:rsid w:val="2AAE696A"/>
    <w:rsid w:val="2AB3B5B8"/>
    <w:rsid w:val="2AC27158"/>
    <w:rsid w:val="2AC98CCF"/>
    <w:rsid w:val="2ACABC87"/>
    <w:rsid w:val="2AD5F326"/>
    <w:rsid w:val="2AD7F45E"/>
    <w:rsid w:val="2AD81A8D"/>
    <w:rsid w:val="2AD9697D"/>
    <w:rsid w:val="2ADAFA44"/>
    <w:rsid w:val="2AE87D73"/>
    <w:rsid w:val="2AF61962"/>
    <w:rsid w:val="2AF9542E"/>
    <w:rsid w:val="2B011720"/>
    <w:rsid w:val="2B0468BD"/>
    <w:rsid w:val="2B064A01"/>
    <w:rsid w:val="2B22B3E8"/>
    <w:rsid w:val="2B253ABC"/>
    <w:rsid w:val="2B2E9E75"/>
    <w:rsid w:val="2B356A7B"/>
    <w:rsid w:val="2B36E4B8"/>
    <w:rsid w:val="2B42121E"/>
    <w:rsid w:val="2B485E11"/>
    <w:rsid w:val="2B539030"/>
    <w:rsid w:val="2B59316F"/>
    <w:rsid w:val="2B5A5A39"/>
    <w:rsid w:val="2B5F48C6"/>
    <w:rsid w:val="2B60BC75"/>
    <w:rsid w:val="2B6119CB"/>
    <w:rsid w:val="2B62D17C"/>
    <w:rsid w:val="2B669B58"/>
    <w:rsid w:val="2B6C2B42"/>
    <w:rsid w:val="2B6EA48A"/>
    <w:rsid w:val="2B6ED3D8"/>
    <w:rsid w:val="2B75B527"/>
    <w:rsid w:val="2B760BE7"/>
    <w:rsid w:val="2B776E62"/>
    <w:rsid w:val="2B7BDB5B"/>
    <w:rsid w:val="2B7D882D"/>
    <w:rsid w:val="2B846823"/>
    <w:rsid w:val="2B8F730D"/>
    <w:rsid w:val="2B8FFD98"/>
    <w:rsid w:val="2B902EC5"/>
    <w:rsid w:val="2B924D36"/>
    <w:rsid w:val="2B97F038"/>
    <w:rsid w:val="2B988ACB"/>
    <w:rsid w:val="2BA4CC55"/>
    <w:rsid w:val="2BB11A1B"/>
    <w:rsid w:val="2BB49E46"/>
    <w:rsid w:val="2BCBE823"/>
    <w:rsid w:val="2BCCE5E1"/>
    <w:rsid w:val="2BCEBF68"/>
    <w:rsid w:val="2BD3AB0F"/>
    <w:rsid w:val="2BD49E83"/>
    <w:rsid w:val="2BD93AF6"/>
    <w:rsid w:val="2BE5687C"/>
    <w:rsid w:val="2BE8966F"/>
    <w:rsid w:val="2BEACBA4"/>
    <w:rsid w:val="2BEB4BF7"/>
    <w:rsid w:val="2BEBD7B6"/>
    <w:rsid w:val="2BF0419B"/>
    <w:rsid w:val="2BF2093E"/>
    <w:rsid w:val="2BF306E4"/>
    <w:rsid w:val="2C072B84"/>
    <w:rsid w:val="2C095F78"/>
    <w:rsid w:val="2C0E3446"/>
    <w:rsid w:val="2C22F383"/>
    <w:rsid w:val="2C2E897D"/>
    <w:rsid w:val="2C3C522F"/>
    <w:rsid w:val="2C3E81D4"/>
    <w:rsid w:val="2C43BC03"/>
    <w:rsid w:val="2C47E76C"/>
    <w:rsid w:val="2C4A51C1"/>
    <w:rsid w:val="2C522F40"/>
    <w:rsid w:val="2C5824C6"/>
    <w:rsid w:val="2C5A024C"/>
    <w:rsid w:val="2C61A2C3"/>
    <w:rsid w:val="2C7539DE"/>
    <w:rsid w:val="2C760595"/>
    <w:rsid w:val="2C7FBE58"/>
    <w:rsid w:val="2C842ADB"/>
    <w:rsid w:val="2C8E91F3"/>
    <w:rsid w:val="2C979AD4"/>
    <w:rsid w:val="2C9928DB"/>
    <w:rsid w:val="2CA18159"/>
    <w:rsid w:val="2CA3E112"/>
    <w:rsid w:val="2CAA422B"/>
    <w:rsid w:val="2CAC8EC1"/>
    <w:rsid w:val="2CAEF43C"/>
    <w:rsid w:val="2CB2787B"/>
    <w:rsid w:val="2CBAFF76"/>
    <w:rsid w:val="2CBBBB58"/>
    <w:rsid w:val="2CBE60B8"/>
    <w:rsid w:val="2CBF4347"/>
    <w:rsid w:val="2CC1E720"/>
    <w:rsid w:val="2CC1F4B8"/>
    <w:rsid w:val="2CC352ED"/>
    <w:rsid w:val="2CC3B34D"/>
    <w:rsid w:val="2CE5098C"/>
    <w:rsid w:val="2CE61CC9"/>
    <w:rsid w:val="2CEA7DBC"/>
    <w:rsid w:val="2CEAE8BD"/>
    <w:rsid w:val="2CEC6352"/>
    <w:rsid w:val="2CF1E30B"/>
    <w:rsid w:val="2CF4C89C"/>
    <w:rsid w:val="2CF7AC06"/>
    <w:rsid w:val="2CFA4732"/>
    <w:rsid w:val="2D00A3E1"/>
    <w:rsid w:val="2D0300B8"/>
    <w:rsid w:val="2D0888E4"/>
    <w:rsid w:val="2D0B5A9D"/>
    <w:rsid w:val="2D0CE1C0"/>
    <w:rsid w:val="2D1339AB"/>
    <w:rsid w:val="2D13701F"/>
    <w:rsid w:val="2D2A7825"/>
    <w:rsid w:val="2D32F4E9"/>
    <w:rsid w:val="2D368915"/>
    <w:rsid w:val="2D3BBACC"/>
    <w:rsid w:val="2D3C3CC9"/>
    <w:rsid w:val="2D44DEAB"/>
    <w:rsid w:val="2D4799FD"/>
    <w:rsid w:val="2D492BFC"/>
    <w:rsid w:val="2D4E0E0C"/>
    <w:rsid w:val="2D58278C"/>
    <w:rsid w:val="2D5B3DD6"/>
    <w:rsid w:val="2D6AA421"/>
    <w:rsid w:val="2D6B6DB3"/>
    <w:rsid w:val="2D6CFEF2"/>
    <w:rsid w:val="2D752228"/>
    <w:rsid w:val="2D7F2FD8"/>
    <w:rsid w:val="2D82E356"/>
    <w:rsid w:val="2D8782C4"/>
    <w:rsid w:val="2D886E5D"/>
    <w:rsid w:val="2D8B81D9"/>
    <w:rsid w:val="2D8E7202"/>
    <w:rsid w:val="2D9262FE"/>
    <w:rsid w:val="2DA0FC77"/>
    <w:rsid w:val="2DA417F5"/>
    <w:rsid w:val="2DA5C2C1"/>
    <w:rsid w:val="2DAA3852"/>
    <w:rsid w:val="2DAF7D8A"/>
    <w:rsid w:val="2DB3DF1F"/>
    <w:rsid w:val="2DB65BE3"/>
    <w:rsid w:val="2DBB8FE0"/>
    <w:rsid w:val="2DBFB0C4"/>
    <w:rsid w:val="2DC62815"/>
    <w:rsid w:val="2DCABC43"/>
    <w:rsid w:val="2DCBF2CF"/>
    <w:rsid w:val="2DD3009B"/>
    <w:rsid w:val="2DDAA3DA"/>
    <w:rsid w:val="2DE1B9D1"/>
    <w:rsid w:val="2DE42B6E"/>
    <w:rsid w:val="2DE86E61"/>
    <w:rsid w:val="2DEAE80E"/>
    <w:rsid w:val="2DEC2F41"/>
    <w:rsid w:val="2DECC5BA"/>
    <w:rsid w:val="2DF453AF"/>
    <w:rsid w:val="2DFF1932"/>
    <w:rsid w:val="2E09F5C9"/>
    <w:rsid w:val="2E17B46D"/>
    <w:rsid w:val="2E197B5E"/>
    <w:rsid w:val="2E1D507A"/>
    <w:rsid w:val="2E1EDAF9"/>
    <w:rsid w:val="2E20D0BE"/>
    <w:rsid w:val="2E21C6BD"/>
    <w:rsid w:val="2E228C8D"/>
    <w:rsid w:val="2E243D67"/>
    <w:rsid w:val="2E269DDF"/>
    <w:rsid w:val="2E29147D"/>
    <w:rsid w:val="2E30D2EE"/>
    <w:rsid w:val="2E31CB7A"/>
    <w:rsid w:val="2E33793E"/>
    <w:rsid w:val="2E3F27C5"/>
    <w:rsid w:val="2E419CD3"/>
    <w:rsid w:val="2E49FCE0"/>
    <w:rsid w:val="2E4B4DF5"/>
    <w:rsid w:val="2E5C2B2C"/>
    <w:rsid w:val="2E5E0DC0"/>
    <w:rsid w:val="2E65DB19"/>
    <w:rsid w:val="2E6639A1"/>
    <w:rsid w:val="2E7552B3"/>
    <w:rsid w:val="2E7FB168"/>
    <w:rsid w:val="2E823B6B"/>
    <w:rsid w:val="2E845981"/>
    <w:rsid w:val="2E84D437"/>
    <w:rsid w:val="2E91645D"/>
    <w:rsid w:val="2E9791F0"/>
    <w:rsid w:val="2E98DE3A"/>
    <w:rsid w:val="2E9AEDF5"/>
    <w:rsid w:val="2EA6754D"/>
    <w:rsid w:val="2EAE77AC"/>
    <w:rsid w:val="2EB011D6"/>
    <w:rsid w:val="2EB359C3"/>
    <w:rsid w:val="2EB5F57C"/>
    <w:rsid w:val="2ECA5EF0"/>
    <w:rsid w:val="2ECE487E"/>
    <w:rsid w:val="2ED512A9"/>
    <w:rsid w:val="2EDA34A4"/>
    <w:rsid w:val="2EECD079"/>
    <w:rsid w:val="2EED364B"/>
    <w:rsid w:val="2EFBF951"/>
    <w:rsid w:val="2EFF260C"/>
    <w:rsid w:val="2F01A565"/>
    <w:rsid w:val="2F07816C"/>
    <w:rsid w:val="2F08F56B"/>
    <w:rsid w:val="2F0BA82F"/>
    <w:rsid w:val="2F0FF5CC"/>
    <w:rsid w:val="2F10506D"/>
    <w:rsid w:val="2F1529DA"/>
    <w:rsid w:val="2F167902"/>
    <w:rsid w:val="2F1A0137"/>
    <w:rsid w:val="2F221107"/>
    <w:rsid w:val="2F27560E"/>
    <w:rsid w:val="2F2774C9"/>
    <w:rsid w:val="2F2CF872"/>
    <w:rsid w:val="2F32688D"/>
    <w:rsid w:val="2F3AF4EF"/>
    <w:rsid w:val="2F3FC6DD"/>
    <w:rsid w:val="2F4A1A49"/>
    <w:rsid w:val="2F4B35C2"/>
    <w:rsid w:val="2F513FE3"/>
    <w:rsid w:val="2F580E6B"/>
    <w:rsid w:val="2F5EA059"/>
    <w:rsid w:val="2F62225D"/>
    <w:rsid w:val="2F65E823"/>
    <w:rsid w:val="2F66A925"/>
    <w:rsid w:val="2F671CAC"/>
    <w:rsid w:val="2F717C72"/>
    <w:rsid w:val="2F7264DF"/>
    <w:rsid w:val="2F7304E8"/>
    <w:rsid w:val="2F74C524"/>
    <w:rsid w:val="2F8322FB"/>
    <w:rsid w:val="2F864FEB"/>
    <w:rsid w:val="2F8651C1"/>
    <w:rsid w:val="2F88D6E0"/>
    <w:rsid w:val="2F8C3553"/>
    <w:rsid w:val="2F933451"/>
    <w:rsid w:val="2F9BF0F2"/>
    <w:rsid w:val="2F9E05FE"/>
    <w:rsid w:val="2FA211EC"/>
    <w:rsid w:val="2FA99022"/>
    <w:rsid w:val="2FAD2602"/>
    <w:rsid w:val="2FAF4AB3"/>
    <w:rsid w:val="2FB1AA4C"/>
    <w:rsid w:val="2FB1E461"/>
    <w:rsid w:val="2FBD2714"/>
    <w:rsid w:val="2FCD7E49"/>
    <w:rsid w:val="2FCDB89A"/>
    <w:rsid w:val="2FD4AF81"/>
    <w:rsid w:val="2FD980B1"/>
    <w:rsid w:val="2FEE5A22"/>
    <w:rsid w:val="2FFF8C2F"/>
    <w:rsid w:val="3001A34B"/>
    <w:rsid w:val="30119C86"/>
    <w:rsid w:val="3013F809"/>
    <w:rsid w:val="302BE909"/>
    <w:rsid w:val="302FF009"/>
    <w:rsid w:val="3030BA23"/>
    <w:rsid w:val="30339971"/>
    <w:rsid w:val="30376FCD"/>
    <w:rsid w:val="3038749A"/>
    <w:rsid w:val="303B11B4"/>
    <w:rsid w:val="303D2A83"/>
    <w:rsid w:val="304659FA"/>
    <w:rsid w:val="304A4D80"/>
    <w:rsid w:val="304DED6E"/>
    <w:rsid w:val="304E3ED2"/>
    <w:rsid w:val="3059ED32"/>
    <w:rsid w:val="3062A4D5"/>
    <w:rsid w:val="3067EFF2"/>
    <w:rsid w:val="306F5CF4"/>
    <w:rsid w:val="307048D9"/>
    <w:rsid w:val="3070E43A"/>
    <w:rsid w:val="307135AD"/>
    <w:rsid w:val="30724DA4"/>
    <w:rsid w:val="30735B8E"/>
    <w:rsid w:val="30744589"/>
    <w:rsid w:val="3077DE37"/>
    <w:rsid w:val="3078035D"/>
    <w:rsid w:val="30783A46"/>
    <w:rsid w:val="30796E83"/>
    <w:rsid w:val="307E6979"/>
    <w:rsid w:val="30818792"/>
    <w:rsid w:val="308E5C43"/>
    <w:rsid w:val="30912625"/>
    <w:rsid w:val="309FC5F8"/>
    <w:rsid w:val="30AA30CA"/>
    <w:rsid w:val="30AA3E3E"/>
    <w:rsid w:val="30AA9608"/>
    <w:rsid w:val="30AC14A4"/>
    <w:rsid w:val="30AF2296"/>
    <w:rsid w:val="30B3E3D6"/>
    <w:rsid w:val="30B81E3D"/>
    <w:rsid w:val="30BA07CF"/>
    <w:rsid w:val="30BA58A0"/>
    <w:rsid w:val="30C7DA7A"/>
    <w:rsid w:val="30D9F017"/>
    <w:rsid w:val="30DCB9DB"/>
    <w:rsid w:val="30E4BC17"/>
    <w:rsid w:val="30EC520E"/>
    <w:rsid w:val="30F05DEA"/>
    <w:rsid w:val="30F082C8"/>
    <w:rsid w:val="30F08A40"/>
    <w:rsid w:val="30F38DEE"/>
    <w:rsid w:val="30F7B775"/>
    <w:rsid w:val="30F860C4"/>
    <w:rsid w:val="30FCA8D7"/>
    <w:rsid w:val="310BABC4"/>
    <w:rsid w:val="310DCBAC"/>
    <w:rsid w:val="310E92BE"/>
    <w:rsid w:val="3116C61B"/>
    <w:rsid w:val="311B9613"/>
    <w:rsid w:val="311E2122"/>
    <w:rsid w:val="31208395"/>
    <w:rsid w:val="3121FFAE"/>
    <w:rsid w:val="312A976C"/>
    <w:rsid w:val="312B2812"/>
    <w:rsid w:val="31310D64"/>
    <w:rsid w:val="3138EC46"/>
    <w:rsid w:val="3144FE93"/>
    <w:rsid w:val="31479BAC"/>
    <w:rsid w:val="314F79E0"/>
    <w:rsid w:val="31512DF2"/>
    <w:rsid w:val="31523C49"/>
    <w:rsid w:val="315CF4D9"/>
    <w:rsid w:val="315DE117"/>
    <w:rsid w:val="315FA3DD"/>
    <w:rsid w:val="3167D9EE"/>
    <w:rsid w:val="31724B28"/>
    <w:rsid w:val="317F945C"/>
    <w:rsid w:val="31835B5C"/>
    <w:rsid w:val="318B0110"/>
    <w:rsid w:val="3197C1A1"/>
    <w:rsid w:val="319A5A5F"/>
    <w:rsid w:val="319AA7B3"/>
    <w:rsid w:val="319E02AE"/>
    <w:rsid w:val="319FFE22"/>
    <w:rsid w:val="31A0898E"/>
    <w:rsid w:val="31A2A0A4"/>
    <w:rsid w:val="31A456C5"/>
    <w:rsid w:val="31A82B4D"/>
    <w:rsid w:val="31AAB21D"/>
    <w:rsid w:val="31B6B047"/>
    <w:rsid w:val="31B92FB9"/>
    <w:rsid w:val="31B9322E"/>
    <w:rsid w:val="31CA8FEE"/>
    <w:rsid w:val="31CED280"/>
    <w:rsid w:val="31D68A32"/>
    <w:rsid w:val="31D846B0"/>
    <w:rsid w:val="31E3B671"/>
    <w:rsid w:val="31E7C1DA"/>
    <w:rsid w:val="31ED06BF"/>
    <w:rsid w:val="31F53AFA"/>
    <w:rsid w:val="31FA62F6"/>
    <w:rsid w:val="31FADA74"/>
    <w:rsid w:val="31FC630F"/>
    <w:rsid w:val="321971DC"/>
    <w:rsid w:val="32274F0E"/>
    <w:rsid w:val="322E3470"/>
    <w:rsid w:val="3232B70E"/>
    <w:rsid w:val="323B008E"/>
    <w:rsid w:val="323EB795"/>
    <w:rsid w:val="324032E9"/>
    <w:rsid w:val="3248A319"/>
    <w:rsid w:val="326329C6"/>
    <w:rsid w:val="32682DD6"/>
    <w:rsid w:val="3269D856"/>
    <w:rsid w:val="326B435D"/>
    <w:rsid w:val="327F15FA"/>
    <w:rsid w:val="327F276E"/>
    <w:rsid w:val="3281B0EC"/>
    <w:rsid w:val="328923D3"/>
    <w:rsid w:val="32894050"/>
    <w:rsid w:val="328A049C"/>
    <w:rsid w:val="328B1517"/>
    <w:rsid w:val="3294DF5A"/>
    <w:rsid w:val="3295B953"/>
    <w:rsid w:val="3298BDA3"/>
    <w:rsid w:val="329C67B0"/>
    <w:rsid w:val="329E800E"/>
    <w:rsid w:val="329F07D4"/>
    <w:rsid w:val="32A0E583"/>
    <w:rsid w:val="32A1EE21"/>
    <w:rsid w:val="32A5BDBD"/>
    <w:rsid w:val="32B2E775"/>
    <w:rsid w:val="32B92310"/>
    <w:rsid w:val="32BA97BC"/>
    <w:rsid w:val="32C05885"/>
    <w:rsid w:val="32D288FF"/>
    <w:rsid w:val="32D4F8B7"/>
    <w:rsid w:val="32DC9747"/>
    <w:rsid w:val="32DCC708"/>
    <w:rsid w:val="32E0F1AF"/>
    <w:rsid w:val="32E30257"/>
    <w:rsid w:val="32E39430"/>
    <w:rsid w:val="32E4124C"/>
    <w:rsid w:val="32E4E621"/>
    <w:rsid w:val="32E4EE25"/>
    <w:rsid w:val="32F1B00E"/>
    <w:rsid w:val="32F2B850"/>
    <w:rsid w:val="32F2CAF0"/>
    <w:rsid w:val="32F8291A"/>
    <w:rsid w:val="32F87F13"/>
    <w:rsid w:val="32F9AED6"/>
    <w:rsid w:val="3300523D"/>
    <w:rsid w:val="3302CD24"/>
    <w:rsid w:val="33086A5F"/>
    <w:rsid w:val="3309B44E"/>
    <w:rsid w:val="3309D062"/>
    <w:rsid w:val="3309E8BC"/>
    <w:rsid w:val="330CC913"/>
    <w:rsid w:val="3314AC98"/>
    <w:rsid w:val="331C5BC7"/>
    <w:rsid w:val="33260860"/>
    <w:rsid w:val="3329C080"/>
    <w:rsid w:val="332F209C"/>
    <w:rsid w:val="333AA651"/>
    <w:rsid w:val="333B7695"/>
    <w:rsid w:val="333EA5AB"/>
    <w:rsid w:val="3345440D"/>
    <w:rsid w:val="334C9A63"/>
    <w:rsid w:val="336086AA"/>
    <w:rsid w:val="33632285"/>
    <w:rsid w:val="336BC532"/>
    <w:rsid w:val="336CF28D"/>
    <w:rsid w:val="336D1015"/>
    <w:rsid w:val="336EB1E4"/>
    <w:rsid w:val="3372E709"/>
    <w:rsid w:val="337440A9"/>
    <w:rsid w:val="3379592C"/>
    <w:rsid w:val="337B884B"/>
    <w:rsid w:val="337D27A2"/>
    <w:rsid w:val="3380ED96"/>
    <w:rsid w:val="3382383B"/>
    <w:rsid w:val="3384B233"/>
    <w:rsid w:val="338A764A"/>
    <w:rsid w:val="338BAF15"/>
    <w:rsid w:val="33955364"/>
    <w:rsid w:val="33A41CAE"/>
    <w:rsid w:val="33B07B90"/>
    <w:rsid w:val="33B22BB4"/>
    <w:rsid w:val="33B32846"/>
    <w:rsid w:val="33B4E3A2"/>
    <w:rsid w:val="33BEA764"/>
    <w:rsid w:val="33D207F6"/>
    <w:rsid w:val="33D4C021"/>
    <w:rsid w:val="33D765E2"/>
    <w:rsid w:val="33E02DEE"/>
    <w:rsid w:val="33E03376"/>
    <w:rsid w:val="33E4C548"/>
    <w:rsid w:val="33E95012"/>
    <w:rsid w:val="33EA001A"/>
    <w:rsid w:val="33ECAF25"/>
    <w:rsid w:val="33F2D0E7"/>
    <w:rsid w:val="33F6CF82"/>
    <w:rsid w:val="33FDA781"/>
    <w:rsid w:val="340A8475"/>
    <w:rsid w:val="340EA499"/>
    <w:rsid w:val="34151B5F"/>
    <w:rsid w:val="34186DD8"/>
    <w:rsid w:val="341B9597"/>
    <w:rsid w:val="342048B8"/>
    <w:rsid w:val="342653C7"/>
    <w:rsid w:val="34283578"/>
    <w:rsid w:val="34301DA9"/>
    <w:rsid w:val="3430F31F"/>
    <w:rsid w:val="3435A582"/>
    <w:rsid w:val="343A51FA"/>
    <w:rsid w:val="343FC2FA"/>
    <w:rsid w:val="34428507"/>
    <w:rsid w:val="344AC282"/>
    <w:rsid w:val="3464DEA5"/>
    <w:rsid w:val="346BC1A5"/>
    <w:rsid w:val="34769191"/>
    <w:rsid w:val="34780F46"/>
    <w:rsid w:val="34829030"/>
    <w:rsid w:val="348F72BD"/>
    <w:rsid w:val="349295E7"/>
    <w:rsid w:val="3496337C"/>
    <w:rsid w:val="349B511B"/>
    <w:rsid w:val="349D1323"/>
    <w:rsid w:val="34A4DD19"/>
    <w:rsid w:val="34A8EEA6"/>
    <w:rsid w:val="34B1F8C8"/>
    <w:rsid w:val="34B510F0"/>
    <w:rsid w:val="34B60D0F"/>
    <w:rsid w:val="34BB660C"/>
    <w:rsid w:val="34BD7D83"/>
    <w:rsid w:val="34C2DA64"/>
    <w:rsid w:val="34C338BA"/>
    <w:rsid w:val="34C6E0B7"/>
    <w:rsid w:val="34C88ECE"/>
    <w:rsid w:val="34D0D6A8"/>
    <w:rsid w:val="34D3D82B"/>
    <w:rsid w:val="34E45F6E"/>
    <w:rsid w:val="34E56220"/>
    <w:rsid w:val="34E82547"/>
    <w:rsid w:val="34F21C87"/>
    <w:rsid w:val="34FAA41D"/>
    <w:rsid w:val="34FE2F6D"/>
    <w:rsid w:val="34FF1DCD"/>
    <w:rsid w:val="35004AD5"/>
    <w:rsid w:val="3504EA5F"/>
    <w:rsid w:val="350DC7D4"/>
    <w:rsid w:val="35107611"/>
    <w:rsid w:val="3519A1D3"/>
    <w:rsid w:val="351F25FA"/>
    <w:rsid w:val="3523E136"/>
    <w:rsid w:val="352ACC39"/>
    <w:rsid w:val="352F8465"/>
    <w:rsid w:val="3544EDC0"/>
    <w:rsid w:val="354A20E2"/>
    <w:rsid w:val="354EF8A7"/>
    <w:rsid w:val="355205F7"/>
    <w:rsid w:val="3559A941"/>
    <w:rsid w:val="3561CD19"/>
    <w:rsid w:val="3561E1D5"/>
    <w:rsid w:val="35679549"/>
    <w:rsid w:val="356ABD0E"/>
    <w:rsid w:val="356E19DE"/>
    <w:rsid w:val="356EB475"/>
    <w:rsid w:val="35742B86"/>
    <w:rsid w:val="3575AF43"/>
    <w:rsid w:val="3576B815"/>
    <w:rsid w:val="3576CE4D"/>
    <w:rsid w:val="35802ED2"/>
    <w:rsid w:val="3587A0D5"/>
    <w:rsid w:val="358CDA85"/>
    <w:rsid w:val="35957418"/>
    <w:rsid w:val="359AE04C"/>
    <w:rsid w:val="35A23610"/>
    <w:rsid w:val="35A32667"/>
    <w:rsid w:val="35A39B06"/>
    <w:rsid w:val="35A7E1F8"/>
    <w:rsid w:val="35AAE761"/>
    <w:rsid w:val="35AD6153"/>
    <w:rsid w:val="35BCEBFD"/>
    <w:rsid w:val="35C1FB45"/>
    <w:rsid w:val="35CD99A9"/>
    <w:rsid w:val="35D08BDB"/>
    <w:rsid w:val="35E38F59"/>
    <w:rsid w:val="35EC4209"/>
    <w:rsid w:val="35EDFCD8"/>
    <w:rsid w:val="35F09C10"/>
    <w:rsid w:val="35FED8A0"/>
    <w:rsid w:val="360D15CC"/>
    <w:rsid w:val="36102733"/>
    <w:rsid w:val="36163D39"/>
    <w:rsid w:val="3619FB3B"/>
    <w:rsid w:val="361C18BE"/>
    <w:rsid w:val="361E50A3"/>
    <w:rsid w:val="362C6E77"/>
    <w:rsid w:val="3631DE34"/>
    <w:rsid w:val="363614FC"/>
    <w:rsid w:val="3636C244"/>
    <w:rsid w:val="363EDBB1"/>
    <w:rsid w:val="363F1523"/>
    <w:rsid w:val="36428809"/>
    <w:rsid w:val="36465F16"/>
    <w:rsid w:val="364C2B8F"/>
    <w:rsid w:val="365119F9"/>
    <w:rsid w:val="36549A72"/>
    <w:rsid w:val="36576B1B"/>
    <w:rsid w:val="365D58C1"/>
    <w:rsid w:val="36648C61"/>
    <w:rsid w:val="3668B73A"/>
    <w:rsid w:val="3669E85B"/>
    <w:rsid w:val="367E675C"/>
    <w:rsid w:val="3686A4AC"/>
    <w:rsid w:val="3691B3F8"/>
    <w:rsid w:val="3693383B"/>
    <w:rsid w:val="369361D7"/>
    <w:rsid w:val="36941421"/>
    <w:rsid w:val="3695C0E8"/>
    <w:rsid w:val="369AEB34"/>
    <w:rsid w:val="369EE6F8"/>
    <w:rsid w:val="36A2E469"/>
    <w:rsid w:val="36A6892D"/>
    <w:rsid w:val="36A9DBD6"/>
    <w:rsid w:val="36AC319E"/>
    <w:rsid w:val="36ACFE37"/>
    <w:rsid w:val="36C309A8"/>
    <w:rsid w:val="36C3BDD8"/>
    <w:rsid w:val="36D78F8B"/>
    <w:rsid w:val="36E0364F"/>
    <w:rsid w:val="36E74F2F"/>
    <w:rsid w:val="36ECB8AA"/>
    <w:rsid w:val="36F2149B"/>
    <w:rsid w:val="36F38DF3"/>
    <w:rsid w:val="36F534DC"/>
    <w:rsid w:val="36F5A4A3"/>
    <w:rsid w:val="36F5B6A8"/>
    <w:rsid w:val="36FB6C37"/>
    <w:rsid w:val="370042C2"/>
    <w:rsid w:val="37012D97"/>
    <w:rsid w:val="3704B7F9"/>
    <w:rsid w:val="37057D1F"/>
    <w:rsid w:val="370C32B7"/>
    <w:rsid w:val="370EB8BD"/>
    <w:rsid w:val="37101A56"/>
    <w:rsid w:val="3716A9A8"/>
    <w:rsid w:val="3719101E"/>
    <w:rsid w:val="371B2F21"/>
    <w:rsid w:val="37229B1F"/>
    <w:rsid w:val="372EBADD"/>
    <w:rsid w:val="372EE86A"/>
    <w:rsid w:val="3733FE86"/>
    <w:rsid w:val="3735400C"/>
    <w:rsid w:val="373BAE20"/>
    <w:rsid w:val="37402284"/>
    <w:rsid w:val="374090B9"/>
    <w:rsid w:val="3740F050"/>
    <w:rsid w:val="3742A073"/>
    <w:rsid w:val="3747E09F"/>
    <w:rsid w:val="374A322A"/>
    <w:rsid w:val="3757D895"/>
    <w:rsid w:val="3758746A"/>
    <w:rsid w:val="3759C534"/>
    <w:rsid w:val="375BE3A7"/>
    <w:rsid w:val="375C4842"/>
    <w:rsid w:val="375D06B8"/>
    <w:rsid w:val="37659E53"/>
    <w:rsid w:val="3768F9A1"/>
    <w:rsid w:val="3772DD3A"/>
    <w:rsid w:val="377A4B5B"/>
    <w:rsid w:val="37805911"/>
    <w:rsid w:val="3792EAE2"/>
    <w:rsid w:val="3796359D"/>
    <w:rsid w:val="3797A981"/>
    <w:rsid w:val="379AB194"/>
    <w:rsid w:val="37A6F90B"/>
    <w:rsid w:val="37AB9495"/>
    <w:rsid w:val="37ACB0BB"/>
    <w:rsid w:val="37B3A142"/>
    <w:rsid w:val="37BA0C64"/>
    <w:rsid w:val="37BAA835"/>
    <w:rsid w:val="37C02A46"/>
    <w:rsid w:val="37C23A5A"/>
    <w:rsid w:val="37CB351A"/>
    <w:rsid w:val="37CB8EE1"/>
    <w:rsid w:val="37D1C7F3"/>
    <w:rsid w:val="37D5E538"/>
    <w:rsid w:val="37DB2DDF"/>
    <w:rsid w:val="37E15042"/>
    <w:rsid w:val="37E80132"/>
    <w:rsid w:val="37E89FFE"/>
    <w:rsid w:val="37EDFD3E"/>
    <w:rsid w:val="37EEDD87"/>
    <w:rsid w:val="37F9CB57"/>
    <w:rsid w:val="37FC496C"/>
    <w:rsid w:val="37FD1353"/>
    <w:rsid w:val="3801E89D"/>
    <w:rsid w:val="3804AD88"/>
    <w:rsid w:val="38083AB2"/>
    <w:rsid w:val="3812F09E"/>
    <w:rsid w:val="3814976A"/>
    <w:rsid w:val="381560B0"/>
    <w:rsid w:val="3817E009"/>
    <w:rsid w:val="381AAB53"/>
    <w:rsid w:val="381D2B6C"/>
    <w:rsid w:val="3827B1FB"/>
    <w:rsid w:val="382DC996"/>
    <w:rsid w:val="38368D1C"/>
    <w:rsid w:val="38426B28"/>
    <w:rsid w:val="38429609"/>
    <w:rsid w:val="38495941"/>
    <w:rsid w:val="384A33C5"/>
    <w:rsid w:val="384E334B"/>
    <w:rsid w:val="3852F597"/>
    <w:rsid w:val="385FDD95"/>
    <w:rsid w:val="38651068"/>
    <w:rsid w:val="386531E8"/>
    <w:rsid w:val="387A96A3"/>
    <w:rsid w:val="387C93DD"/>
    <w:rsid w:val="387DFAA1"/>
    <w:rsid w:val="3880F287"/>
    <w:rsid w:val="38815D9A"/>
    <w:rsid w:val="38862F8A"/>
    <w:rsid w:val="38866D1F"/>
    <w:rsid w:val="388A68D0"/>
    <w:rsid w:val="388BB3C2"/>
    <w:rsid w:val="388FD26E"/>
    <w:rsid w:val="389371AD"/>
    <w:rsid w:val="38984932"/>
    <w:rsid w:val="389FB038"/>
    <w:rsid w:val="38A084DC"/>
    <w:rsid w:val="38B057D7"/>
    <w:rsid w:val="38B072B7"/>
    <w:rsid w:val="38B26AE1"/>
    <w:rsid w:val="38C25122"/>
    <w:rsid w:val="38C5DA99"/>
    <w:rsid w:val="38CA3EA3"/>
    <w:rsid w:val="38CF91DD"/>
    <w:rsid w:val="38DAC544"/>
    <w:rsid w:val="38DFAA5C"/>
    <w:rsid w:val="38E0E372"/>
    <w:rsid w:val="38E1CDA6"/>
    <w:rsid w:val="38E39D53"/>
    <w:rsid w:val="38E78D3F"/>
    <w:rsid w:val="38F0BD8E"/>
    <w:rsid w:val="38F471BD"/>
    <w:rsid w:val="38F4C466"/>
    <w:rsid w:val="390579CF"/>
    <w:rsid w:val="3906E31A"/>
    <w:rsid w:val="390B721C"/>
    <w:rsid w:val="3910E37B"/>
    <w:rsid w:val="3919B8B6"/>
    <w:rsid w:val="39217CE5"/>
    <w:rsid w:val="39219423"/>
    <w:rsid w:val="3921A257"/>
    <w:rsid w:val="393769BD"/>
    <w:rsid w:val="3939C19C"/>
    <w:rsid w:val="3939C29E"/>
    <w:rsid w:val="394BBB66"/>
    <w:rsid w:val="39640217"/>
    <w:rsid w:val="3965DE0D"/>
    <w:rsid w:val="39660CEE"/>
    <w:rsid w:val="396E77F2"/>
    <w:rsid w:val="3978CC65"/>
    <w:rsid w:val="3986FE17"/>
    <w:rsid w:val="3987ACB6"/>
    <w:rsid w:val="399232A8"/>
    <w:rsid w:val="3996C7CF"/>
    <w:rsid w:val="39990775"/>
    <w:rsid w:val="399CDEB3"/>
    <w:rsid w:val="399FDF09"/>
    <w:rsid w:val="39A1779F"/>
    <w:rsid w:val="39A39F28"/>
    <w:rsid w:val="39A6F8DD"/>
    <w:rsid w:val="39A7C7A1"/>
    <w:rsid w:val="39AF7FCB"/>
    <w:rsid w:val="39C38746"/>
    <w:rsid w:val="39CA5634"/>
    <w:rsid w:val="39DAE11F"/>
    <w:rsid w:val="39DB6EFD"/>
    <w:rsid w:val="39E1B244"/>
    <w:rsid w:val="39E6FBF8"/>
    <w:rsid w:val="39E97904"/>
    <w:rsid w:val="39ED38EF"/>
    <w:rsid w:val="39F5C0FB"/>
    <w:rsid w:val="39F6853E"/>
    <w:rsid w:val="39FA1E90"/>
    <w:rsid w:val="39FCE01C"/>
    <w:rsid w:val="3A050536"/>
    <w:rsid w:val="3A05EC59"/>
    <w:rsid w:val="3A0DBC88"/>
    <w:rsid w:val="3A0E0AAA"/>
    <w:rsid w:val="3A0F5D70"/>
    <w:rsid w:val="3A0FA37A"/>
    <w:rsid w:val="3A1D8D45"/>
    <w:rsid w:val="3A1F14B6"/>
    <w:rsid w:val="3A2A65E6"/>
    <w:rsid w:val="3A37A719"/>
    <w:rsid w:val="3A3F9CB0"/>
    <w:rsid w:val="3A41C449"/>
    <w:rsid w:val="3A449B3A"/>
    <w:rsid w:val="3A49AB94"/>
    <w:rsid w:val="3A599D37"/>
    <w:rsid w:val="3A5C968F"/>
    <w:rsid w:val="3A5FAE81"/>
    <w:rsid w:val="3A651087"/>
    <w:rsid w:val="3A696374"/>
    <w:rsid w:val="3A773C43"/>
    <w:rsid w:val="3A7962DC"/>
    <w:rsid w:val="3A7A4135"/>
    <w:rsid w:val="3A866D9D"/>
    <w:rsid w:val="3A96CF03"/>
    <w:rsid w:val="3AAF9578"/>
    <w:rsid w:val="3AB307B9"/>
    <w:rsid w:val="3AB4D2B5"/>
    <w:rsid w:val="3AB631D9"/>
    <w:rsid w:val="3ABE0CF2"/>
    <w:rsid w:val="3AC53BC7"/>
    <w:rsid w:val="3AC6D829"/>
    <w:rsid w:val="3ACC3377"/>
    <w:rsid w:val="3ACDDAF3"/>
    <w:rsid w:val="3AD32854"/>
    <w:rsid w:val="3AD60D20"/>
    <w:rsid w:val="3ADDC7EE"/>
    <w:rsid w:val="3AEE1D86"/>
    <w:rsid w:val="3AF46B8B"/>
    <w:rsid w:val="3AF68649"/>
    <w:rsid w:val="3AF8F8A6"/>
    <w:rsid w:val="3AFEB76E"/>
    <w:rsid w:val="3B056858"/>
    <w:rsid w:val="3B133509"/>
    <w:rsid w:val="3B1959B7"/>
    <w:rsid w:val="3B1D7A6E"/>
    <w:rsid w:val="3B1FDDF1"/>
    <w:rsid w:val="3B241101"/>
    <w:rsid w:val="3B2FDBE1"/>
    <w:rsid w:val="3B3322DA"/>
    <w:rsid w:val="3B403695"/>
    <w:rsid w:val="3B41F1F9"/>
    <w:rsid w:val="3B475D0F"/>
    <w:rsid w:val="3B4DA77B"/>
    <w:rsid w:val="3B566BD7"/>
    <w:rsid w:val="3B57F4B6"/>
    <w:rsid w:val="3B60C6A3"/>
    <w:rsid w:val="3B66A4FB"/>
    <w:rsid w:val="3B7012D3"/>
    <w:rsid w:val="3B70C476"/>
    <w:rsid w:val="3B71DF6D"/>
    <w:rsid w:val="3B750734"/>
    <w:rsid w:val="3B7FF406"/>
    <w:rsid w:val="3B8043B4"/>
    <w:rsid w:val="3B84D93D"/>
    <w:rsid w:val="3B88C5F5"/>
    <w:rsid w:val="3B8CB03C"/>
    <w:rsid w:val="3B8E3C71"/>
    <w:rsid w:val="3B900BF2"/>
    <w:rsid w:val="3BA3178E"/>
    <w:rsid w:val="3BB53821"/>
    <w:rsid w:val="3BB8A2A4"/>
    <w:rsid w:val="3BB9E954"/>
    <w:rsid w:val="3BC5F39B"/>
    <w:rsid w:val="3BD12485"/>
    <w:rsid w:val="3BD19150"/>
    <w:rsid w:val="3BD3F019"/>
    <w:rsid w:val="3BD431BA"/>
    <w:rsid w:val="3BD5750C"/>
    <w:rsid w:val="3BDF6E5B"/>
    <w:rsid w:val="3BE0FCC5"/>
    <w:rsid w:val="3BE1BE2B"/>
    <w:rsid w:val="3BEA374F"/>
    <w:rsid w:val="3BEA4816"/>
    <w:rsid w:val="3BFB87DC"/>
    <w:rsid w:val="3C030D73"/>
    <w:rsid w:val="3C034328"/>
    <w:rsid w:val="3C0A6203"/>
    <w:rsid w:val="3C14B8FE"/>
    <w:rsid w:val="3C162478"/>
    <w:rsid w:val="3C169226"/>
    <w:rsid w:val="3C16B1A4"/>
    <w:rsid w:val="3C182A97"/>
    <w:rsid w:val="3C194530"/>
    <w:rsid w:val="3C1A7CEE"/>
    <w:rsid w:val="3C21F7A5"/>
    <w:rsid w:val="3C243B9C"/>
    <w:rsid w:val="3C252D27"/>
    <w:rsid w:val="3C261B47"/>
    <w:rsid w:val="3C2AB506"/>
    <w:rsid w:val="3C2C82D7"/>
    <w:rsid w:val="3C2DA268"/>
    <w:rsid w:val="3C37F09A"/>
    <w:rsid w:val="3C3D17CE"/>
    <w:rsid w:val="3C50D3B8"/>
    <w:rsid w:val="3C527E31"/>
    <w:rsid w:val="3C545A22"/>
    <w:rsid w:val="3C5495B3"/>
    <w:rsid w:val="3C593971"/>
    <w:rsid w:val="3C5EBB74"/>
    <w:rsid w:val="3C5F216A"/>
    <w:rsid w:val="3C78B7DE"/>
    <w:rsid w:val="3C7C44F9"/>
    <w:rsid w:val="3C93E0CC"/>
    <w:rsid w:val="3C95B323"/>
    <w:rsid w:val="3C96EA31"/>
    <w:rsid w:val="3C9EDD7A"/>
    <w:rsid w:val="3C9F043C"/>
    <w:rsid w:val="3CAA98FD"/>
    <w:rsid w:val="3CACAF5A"/>
    <w:rsid w:val="3CB3D7F2"/>
    <w:rsid w:val="3CBFE4B3"/>
    <w:rsid w:val="3CCA052B"/>
    <w:rsid w:val="3CCA4157"/>
    <w:rsid w:val="3CCAB381"/>
    <w:rsid w:val="3CCB22C5"/>
    <w:rsid w:val="3CCEA555"/>
    <w:rsid w:val="3CCEAB42"/>
    <w:rsid w:val="3CD6EC2F"/>
    <w:rsid w:val="3CDB00E2"/>
    <w:rsid w:val="3CDF5DE4"/>
    <w:rsid w:val="3CE400B1"/>
    <w:rsid w:val="3CE83052"/>
    <w:rsid w:val="3CE977DC"/>
    <w:rsid w:val="3CF743F2"/>
    <w:rsid w:val="3CFA94A9"/>
    <w:rsid w:val="3D0478D4"/>
    <w:rsid w:val="3D07340B"/>
    <w:rsid w:val="3D0AB6CA"/>
    <w:rsid w:val="3D1196DF"/>
    <w:rsid w:val="3D1986DA"/>
    <w:rsid w:val="3D1BB438"/>
    <w:rsid w:val="3D1BC80F"/>
    <w:rsid w:val="3D208DE7"/>
    <w:rsid w:val="3D23902E"/>
    <w:rsid w:val="3D290045"/>
    <w:rsid w:val="3D2F56DA"/>
    <w:rsid w:val="3D2FB275"/>
    <w:rsid w:val="3D302012"/>
    <w:rsid w:val="3D327BED"/>
    <w:rsid w:val="3D341405"/>
    <w:rsid w:val="3D34AAF5"/>
    <w:rsid w:val="3D3A4A01"/>
    <w:rsid w:val="3D4EFFC1"/>
    <w:rsid w:val="3D505776"/>
    <w:rsid w:val="3D543CDB"/>
    <w:rsid w:val="3D5C2068"/>
    <w:rsid w:val="3D6BE5CA"/>
    <w:rsid w:val="3D759414"/>
    <w:rsid w:val="3D760C6F"/>
    <w:rsid w:val="3D79C254"/>
    <w:rsid w:val="3D8593C6"/>
    <w:rsid w:val="3D86B6AF"/>
    <w:rsid w:val="3DA14D56"/>
    <w:rsid w:val="3DA1DADD"/>
    <w:rsid w:val="3DAB25FA"/>
    <w:rsid w:val="3DC45F91"/>
    <w:rsid w:val="3DD0E37A"/>
    <w:rsid w:val="3DD4D63A"/>
    <w:rsid w:val="3DD66FD7"/>
    <w:rsid w:val="3DD835BB"/>
    <w:rsid w:val="3DDD0FCB"/>
    <w:rsid w:val="3DE3DE1F"/>
    <w:rsid w:val="3DE6C09F"/>
    <w:rsid w:val="3DE7B121"/>
    <w:rsid w:val="3DECFBB8"/>
    <w:rsid w:val="3DFF5002"/>
    <w:rsid w:val="3E0D5C13"/>
    <w:rsid w:val="3E0F9309"/>
    <w:rsid w:val="3E116F0A"/>
    <w:rsid w:val="3E12812E"/>
    <w:rsid w:val="3E1827B1"/>
    <w:rsid w:val="3E1D1639"/>
    <w:rsid w:val="3E1D94BF"/>
    <w:rsid w:val="3E1D9829"/>
    <w:rsid w:val="3E1F8F7B"/>
    <w:rsid w:val="3E2E417F"/>
    <w:rsid w:val="3E362999"/>
    <w:rsid w:val="3E3A37EA"/>
    <w:rsid w:val="3E3D9959"/>
    <w:rsid w:val="3E3EAEDE"/>
    <w:rsid w:val="3E437624"/>
    <w:rsid w:val="3E46CFB1"/>
    <w:rsid w:val="3E4BA14B"/>
    <w:rsid w:val="3E54BF44"/>
    <w:rsid w:val="3E683EC2"/>
    <w:rsid w:val="3E6B54BA"/>
    <w:rsid w:val="3E704195"/>
    <w:rsid w:val="3E7398BF"/>
    <w:rsid w:val="3E79DDF3"/>
    <w:rsid w:val="3E7F36ED"/>
    <w:rsid w:val="3E7F7A6F"/>
    <w:rsid w:val="3E8B462F"/>
    <w:rsid w:val="3E92A38A"/>
    <w:rsid w:val="3E961E38"/>
    <w:rsid w:val="3E9A4BFB"/>
    <w:rsid w:val="3EAD24D9"/>
    <w:rsid w:val="3EB191D6"/>
    <w:rsid w:val="3EB5E889"/>
    <w:rsid w:val="3EB9B4ED"/>
    <w:rsid w:val="3EBE1D03"/>
    <w:rsid w:val="3EC31488"/>
    <w:rsid w:val="3ECD4FEC"/>
    <w:rsid w:val="3ED82385"/>
    <w:rsid w:val="3EDE6C85"/>
    <w:rsid w:val="3EE2C967"/>
    <w:rsid w:val="3EE32EA2"/>
    <w:rsid w:val="3EE51089"/>
    <w:rsid w:val="3EE639EB"/>
    <w:rsid w:val="3EE97781"/>
    <w:rsid w:val="3EEA0904"/>
    <w:rsid w:val="3EEA3CCB"/>
    <w:rsid w:val="3F0E947C"/>
    <w:rsid w:val="3F10AA3B"/>
    <w:rsid w:val="3F146BDC"/>
    <w:rsid w:val="3F15FF95"/>
    <w:rsid w:val="3F208FC3"/>
    <w:rsid w:val="3F213816"/>
    <w:rsid w:val="3F219434"/>
    <w:rsid w:val="3F22E7F2"/>
    <w:rsid w:val="3F2ED8AA"/>
    <w:rsid w:val="3F3071C6"/>
    <w:rsid w:val="3F37F4C3"/>
    <w:rsid w:val="3F42C364"/>
    <w:rsid w:val="3F449D8F"/>
    <w:rsid w:val="3F49F909"/>
    <w:rsid w:val="3F4B91E1"/>
    <w:rsid w:val="3F53FA69"/>
    <w:rsid w:val="3F55CE8A"/>
    <w:rsid w:val="3F6CB24D"/>
    <w:rsid w:val="3F6FFC5B"/>
    <w:rsid w:val="3F725546"/>
    <w:rsid w:val="3F7286E3"/>
    <w:rsid w:val="3F786C55"/>
    <w:rsid w:val="3F79227B"/>
    <w:rsid w:val="3F7FCA52"/>
    <w:rsid w:val="3F8117DC"/>
    <w:rsid w:val="3F83DE65"/>
    <w:rsid w:val="3F843892"/>
    <w:rsid w:val="3F85CA27"/>
    <w:rsid w:val="3F88F940"/>
    <w:rsid w:val="3F9E8993"/>
    <w:rsid w:val="3FA077AE"/>
    <w:rsid w:val="3FAC4D8F"/>
    <w:rsid w:val="3FC0B306"/>
    <w:rsid w:val="3FC3FE02"/>
    <w:rsid w:val="3FC4077F"/>
    <w:rsid w:val="3FC55471"/>
    <w:rsid w:val="3FCDADA5"/>
    <w:rsid w:val="3FCFCE1C"/>
    <w:rsid w:val="3FD02F40"/>
    <w:rsid w:val="3FD485BB"/>
    <w:rsid w:val="3FDE4869"/>
    <w:rsid w:val="3FE5193D"/>
    <w:rsid w:val="3FE6F1F5"/>
    <w:rsid w:val="3FEEB6E4"/>
    <w:rsid w:val="3FEF630E"/>
    <w:rsid w:val="3FF4CD74"/>
    <w:rsid w:val="3FFDE527"/>
    <w:rsid w:val="40072D0E"/>
    <w:rsid w:val="4008EC1B"/>
    <w:rsid w:val="400D2A51"/>
    <w:rsid w:val="401D9097"/>
    <w:rsid w:val="4020CB42"/>
    <w:rsid w:val="402512A9"/>
    <w:rsid w:val="40286C6C"/>
    <w:rsid w:val="402A31F5"/>
    <w:rsid w:val="402A61AB"/>
    <w:rsid w:val="402BCBDD"/>
    <w:rsid w:val="40307AE2"/>
    <w:rsid w:val="4030E324"/>
    <w:rsid w:val="40348AFC"/>
    <w:rsid w:val="4038B826"/>
    <w:rsid w:val="403B77DF"/>
    <w:rsid w:val="40401C20"/>
    <w:rsid w:val="404254F8"/>
    <w:rsid w:val="4047415F"/>
    <w:rsid w:val="40497206"/>
    <w:rsid w:val="404A68FE"/>
    <w:rsid w:val="404E7019"/>
    <w:rsid w:val="406428C4"/>
    <w:rsid w:val="40749C17"/>
    <w:rsid w:val="407A4E7A"/>
    <w:rsid w:val="407AE779"/>
    <w:rsid w:val="4084B42D"/>
    <w:rsid w:val="408DC4AD"/>
    <w:rsid w:val="4096EF7A"/>
    <w:rsid w:val="40A0F217"/>
    <w:rsid w:val="40A30F35"/>
    <w:rsid w:val="40A33311"/>
    <w:rsid w:val="40A4F907"/>
    <w:rsid w:val="40AEF649"/>
    <w:rsid w:val="40BCE0BF"/>
    <w:rsid w:val="40BDB21D"/>
    <w:rsid w:val="40BEF406"/>
    <w:rsid w:val="40C32C7A"/>
    <w:rsid w:val="40C82CB8"/>
    <w:rsid w:val="40CC5F73"/>
    <w:rsid w:val="40CE2647"/>
    <w:rsid w:val="40CF0FC1"/>
    <w:rsid w:val="40D5669F"/>
    <w:rsid w:val="40D5C6D0"/>
    <w:rsid w:val="40D84191"/>
    <w:rsid w:val="40DB1F99"/>
    <w:rsid w:val="40DBDE4F"/>
    <w:rsid w:val="40DFB03F"/>
    <w:rsid w:val="40E59D2D"/>
    <w:rsid w:val="40E7B27A"/>
    <w:rsid w:val="40EDD679"/>
    <w:rsid w:val="40F0E78F"/>
    <w:rsid w:val="40F51686"/>
    <w:rsid w:val="40F892FE"/>
    <w:rsid w:val="40FA6EB3"/>
    <w:rsid w:val="41012122"/>
    <w:rsid w:val="41055862"/>
    <w:rsid w:val="4106698A"/>
    <w:rsid w:val="4109FE2F"/>
    <w:rsid w:val="410EE996"/>
    <w:rsid w:val="4110CCB5"/>
    <w:rsid w:val="41175BF8"/>
    <w:rsid w:val="41183D2B"/>
    <w:rsid w:val="411CA09D"/>
    <w:rsid w:val="411D6AE9"/>
    <w:rsid w:val="41265953"/>
    <w:rsid w:val="413B5EB6"/>
    <w:rsid w:val="41411DAD"/>
    <w:rsid w:val="414285C9"/>
    <w:rsid w:val="41453E4E"/>
    <w:rsid w:val="414A48DE"/>
    <w:rsid w:val="414FC873"/>
    <w:rsid w:val="41571F0A"/>
    <w:rsid w:val="41668E33"/>
    <w:rsid w:val="41669676"/>
    <w:rsid w:val="416B7DBB"/>
    <w:rsid w:val="416EEC8C"/>
    <w:rsid w:val="416F723D"/>
    <w:rsid w:val="41781492"/>
    <w:rsid w:val="417A09FB"/>
    <w:rsid w:val="417FC8EE"/>
    <w:rsid w:val="4182C5B6"/>
    <w:rsid w:val="4183C041"/>
    <w:rsid w:val="418F242E"/>
    <w:rsid w:val="419166CE"/>
    <w:rsid w:val="41958ADB"/>
    <w:rsid w:val="4197BBEA"/>
    <w:rsid w:val="41982BDF"/>
    <w:rsid w:val="4199B7AA"/>
    <w:rsid w:val="419AFFBB"/>
    <w:rsid w:val="41A35A68"/>
    <w:rsid w:val="41A6AFAB"/>
    <w:rsid w:val="41A77570"/>
    <w:rsid w:val="41B235B1"/>
    <w:rsid w:val="41B5A9A5"/>
    <w:rsid w:val="41B81C3F"/>
    <w:rsid w:val="41BCE8FF"/>
    <w:rsid w:val="41BD9FE5"/>
    <w:rsid w:val="41BDB60E"/>
    <w:rsid w:val="41BE8186"/>
    <w:rsid w:val="41BF1990"/>
    <w:rsid w:val="41D6B224"/>
    <w:rsid w:val="41D91936"/>
    <w:rsid w:val="41E0101C"/>
    <w:rsid w:val="41E23E92"/>
    <w:rsid w:val="41E859DA"/>
    <w:rsid w:val="41ECF582"/>
    <w:rsid w:val="41F18D7F"/>
    <w:rsid w:val="41F3912D"/>
    <w:rsid w:val="41F61037"/>
    <w:rsid w:val="41F776FE"/>
    <w:rsid w:val="41F83681"/>
    <w:rsid w:val="41FAC490"/>
    <w:rsid w:val="41FD8002"/>
    <w:rsid w:val="4200DABA"/>
    <w:rsid w:val="42010195"/>
    <w:rsid w:val="420B03FB"/>
    <w:rsid w:val="420C2541"/>
    <w:rsid w:val="4212BC9B"/>
    <w:rsid w:val="42217AE8"/>
    <w:rsid w:val="42221B68"/>
    <w:rsid w:val="422BE201"/>
    <w:rsid w:val="42321F29"/>
    <w:rsid w:val="423921CD"/>
    <w:rsid w:val="425FEB06"/>
    <w:rsid w:val="42610926"/>
    <w:rsid w:val="428933A2"/>
    <w:rsid w:val="428FC60B"/>
    <w:rsid w:val="42923C43"/>
    <w:rsid w:val="4294E1E4"/>
    <w:rsid w:val="429A285D"/>
    <w:rsid w:val="42A8E5E2"/>
    <w:rsid w:val="42B07C95"/>
    <w:rsid w:val="42B8AB53"/>
    <w:rsid w:val="42C3C8DC"/>
    <w:rsid w:val="42C9ADD5"/>
    <w:rsid w:val="42CCED77"/>
    <w:rsid w:val="42DB98AE"/>
    <w:rsid w:val="42DD5780"/>
    <w:rsid w:val="42E160D7"/>
    <w:rsid w:val="42E1663E"/>
    <w:rsid w:val="42E8EE04"/>
    <w:rsid w:val="42EC5B10"/>
    <w:rsid w:val="42EFAA9C"/>
    <w:rsid w:val="42F31F30"/>
    <w:rsid w:val="42F52B46"/>
    <w:rsid w:val="42F6A01D"/>
    <w:rsid w:val="42FFD95B"/>
    <w:rsid w:val="4306D96D"/>
    <w:rsid w:val="430B46B9"/>
    <w:rsid w:val="430E9E6B"/>
    <w:rsid w:val="4312DD5E"/>
    <w:rsid w:val="4315A484"/>
    <w:rsid w:val="4316B54D"/>
    <w:rsid w:val="431ECAFF"/>
    <w:rsid w:val="4321AF06"/>
    <w:rsid w:val="43229266"/>
    <w:rsid w:val="4323A846"/>
    <w:rsid w:val="4323ED19"/>
    <w:rsid w:val="43254F3F"/>
    <w:rsid w:val="432F10E2"/>
    <w:rsid w:val="432FCC2C"/>
    <w:rsid w:val="433123F0"/>
    <w:rsid w:val="4332DB12"/>
    <w:rsid w:val="43350671"/>
    <w:rsid w:val="43370268"/>
    <w:rsid w:val="433F469B"/>
    <w:rsid w:val="4345883B"/>
    <w:rsid w:val="4346BF1E"/>
    <w:rsid w:val="435078A8"/>
    <w:rsid w:val="43591F72"/>
    <w:rsid w:val="43597A56"/>
    <w:rsid w:val="4360FA05"/>
    <w:rsid w:val="4361798F"/>
    <w:rsid w:val="4362182B"/>
    <w:rsid w:val="4364333A"/>
    <w:rsid w:val="43686D58"/>
    <w:rsid w:val="436C60CC"/>
    <w:rsid w:val="436D0798"/>
    <w:rsid w:val="4370FF2E"/>
    <w:rsid w:val="43755EA0"/>
    <w:rsid w:val="4377E0CC"/>
    <w:rsid w:val="437A70E3"/>
    <w:rsid w:val="437CBCD0"/>
    <w:rsid w:val="437FBC87"/>
    <w:rsid w:val="438460D7"/>
    <w:rsid w:val="438E3F3A"/>
    <w:rsid w:val="4398D562"/>
    <w:rsid w:val="439EEB96"/>
    <w:rsid w:val="43A11589"/>
    <w:rsid w:val="43A62501"/>
    <w:rsid w:val="43A8A2B9"/>
    <w:rsid w:val="43AA5648"/>
    <w:rsid w:val="43AD9D59"/>
    <w:rsid w:val="43B59905"/>
    <w:rsid w:val="43BA7BC5"/>
    <w:rsid w:val="43BB259E"/>
    <w:rsid w:val="43C6E737"/>
    <w:rsid w:val="43C8C055"/>
    <w:rsid w:val="43CD275C"/>
    <w:rsid w:val="43CFC066"/>
    <w:rsid w:val="43D1D53E"/>
    <w:rsid w:val="43DB99A6"/>
    <w:rsid w:val="43EAA925"/>
    <w:rsid w:val="43EC1D36"/>
    <w:rsid w:val="43EF5F45"/>
    <w:rsid w:val="43F4905A"/>
    <w:rsid w:val="43FA0FBD"/>
    <w:rsid w:val="43FB869F"/>
    <w:rsid w:val="44077154"/>
    <w:rsid w:val="440908A2"/>
    <w:rsid w:val="440984E3"/>
    <w:rsid w:val="4409C24C"/>
    <w:rsid w:val="440B2DDF"/>
    <w:rsid w:val="441CB971"/>
    <w:rsid w:val="4424166F"/>
    <w:rsid w:val="442FAE43"/>
    <w:rsid w:val="44399653"/>
    <w:rsid w:val="443AF6C9"/>
    <w:rsid w:val="443DB80A"/>
    <w:rsid w:val="443DCA0C"/>
    <w:rsid w:val="44467070"/>
    <w:rsid w:val="445581A3"/>
    <w:rsid w:val="4457875A"/>
    <w:rsid w:val="445CF362"/>
    <w:rsid w:val="445EA0E8"/>
    <w:rsid w:val="446208D5"/>
    <w:rsid w:val="4464E3BB"/>
    <w:rsid w:val="446B602D"/>
    <w:rsid w:val="4475267A"/>
    <w:rsid w:val="447A3CE6"/>
    <w:rsid w:val="447E9D80"/>
    <w:rsid w:val="4480432D"/>
    <w:rsid w:val="4481EEEA"/>
    <w:rsid w:val="44838082"/>
    <w:rsid w:val="4485C63E"/>
    <w:rsid w:val="448745A9"/>
    <w:rsid w:val="448C8A12"/>
    <w:rsid w:val="4490ED78"/>
    <w:rsid w:val="44943F76"/>
    <w:rsid w:val="449CC007"/>
    <w:rsid w:val="449D1A9A"/>
    <w:rsid w:val="44A29A4C"/>
    <w:rsid w:val="44A6E118"/>
    <w:rsid w:val="44AD571D"/>
    <w:rsid w:val="44AFDF33"/>
    <w:rsid w:val="44B8E890"/>
    <w:rsid w:val="44BFBF57"/>
    <w:rsid w:val="44C6D7FC"/>
    <w:rsid w:val="44CC31E8"/>
    <w:rsid w:val="44CD2246"/>
    <w:rsid w:val="44D3DE1D"/>
    <w:rsid w:val="44D48682"/>
    <w:rsid w:val="44D55EDE"/>
    <w:rsid w:val="44E8EDA1"/>
    <w:rsid w:val="44ECAEAA"/>
    <w:rsid w:val="44EF98BE"/>
    <w:rsid w:val="44F171A4"/>
    <w:rsid w:val="44F36DAF"/>
    <w:rsid w:val="44FA32AF"/>
    <w:rsid w:val="44FC93B9"/>
    <w:rsid w:val="44FCB9B9"/>
    <w:rsid w:val="4505AAB7"/>
    <w:rsid w:val="4505BE29"/>
    <w:rsid w:val="450E005B"/>
    <w:rsid w:val="450EC588"/>
    <w:rsid w:val="4514230F"/>
    <w:rsid w:val="4514EE65"/>
    <w:rsid w:val="4518E20C"/>
    <w:rsid w:val="4519942E"/>
    <w:rsid w:val="452364F6"/>
    <w:rsid w:val="45269084"/>
    <w:rsid w:val="453503C8"/>
    <w:rsid w:val="453AE856"/>
    <w:rsid w:val="453D93A6"/>
    <w:rsid w:val="454925DC"/>
    <w:rsid w:val="4549E3C2"/>
    <w:rsid w:val="454A10FC"/>
    <w:rsid w:val="454AD69F"/>
    <w:rsid w:val="454AE555"/>
    <w:rsid w:val="454DD867"/>
    <w:rsid w:val="454DF49C"/>
    <w:rsid w:val="45505CCE"/>
    <w:rsid w:val="455F813D"/>
    <w:rsid w:val="456F3D40"/>
    <w:rsid w:val="4570550A"/>
    <w:rsid w:val="45715A07"/>
    <w:rsid w:val="4574A748"/>
    <w:rsid w:val="457B5773"/>
    <w:rsid w:val="457E275A"/>
    <w:rsid w:val="457FC23A"/>
    <w:rsid w:val="45844C03"/>
    <w:rsid w:val="458FF77A"/>
    <w:rsid w:val="459C14E9"/>
    <w:rsid w:val="45AA991F"/>
    <w:rsid w:val="45AC1C94"/>
    <w:rsid w:val="45B3D3E5"/>
    <w:rsid w:val="45C4E3D8"/>
    <w:rsid w:val="45CCBEAB"/>
    <w:rsid w:val="45D3CE59"/>
    <w:rsid w:val="45E7CC87"/>
    <w:rsid w:val="45F1B44F"/>
    <w:rsid w:val="45F83E4A"/>
    <w:rsid w:val="45FE8292"/>
    <w:rsid w:val="460071F3"/>
    <w:rsid w:val="46050C52"/>
    <w:rsid w:val="4607ECF1"/>
    <w:rsid w:val="4638CAAD"/>
    <w:rsid w:val="463B61DE"/>
    <w:rsid w:val="464BF1EC"/>
    <w:rsid w:val="46521D3F"/>
    <w:rsid w:val="46543ADD"/>
    <w:rsid w:val="4658EFEC"/>
    <w:rsid w:val="4659048F"/>
    <w:rsid w:val="4659771B"/>
    <w:rsid w:val="465ACE67"/>
    <w:rsid w:val="465AF663"/>
    <w:rsid w:val="4662A1FF"/>
    <w:rsid w:val="46644D2C"/>
    <w:rsid w:val="466E9D32"/>
    <w:rsid w:val="46770B57"/>
    <w:rsid w:val="467A714E"/>
    <w:rsid w:val="467F1E81"/>
    <w:rsid w:val="467F4FB7"/>
    <w:rsid w:val="4681A980"/>
    <w:rsid w:val="468B5601"/>
    <w:rsid w:val="468C07F4"/>
    <w:rsid w:val="469375A6"/>
    <w:rsid w:val="469DD830"/>
    <w:rsid w:val="469EABDD"/>
    <w:rsid w:val="46A122A5"/>
    <w:rsid w:val="46A848A7"/>
    <w:rsid w:val="46A86B4C"/>
    <w:rsid w:val="46AEDE80"/>
    <w:rsid w:val="46B277F4"/>
    <w:rsid w:val="46B37447"/>
    <w:rsid w:val="46B3D5BC"/>
    <w:rsid w:val="46BE1DFF"/>
    <w:rsid w:val="46C2F135"/>
    <w:rsid w:val="46C6721B"/>
    <w:rsid w:val="46D57B70"/>
    <w:rsid w:val="46DA7023"/>
    <w:rsid w:val="46E07354"/>
    <w:rsid w:val="46E7901C"/>
    <w:rsid w:val="46EBC7D9"/>
    <w:rsid w:val="46F06655"/>
    <w:rsid w:val="46F852F1"/>
    <w:rsid w:val="46F908C0"/>
    <w:rsid w:val="46FE506E"/>
    <w:rsid w:val="46FE8247"/>
    <w:rsid w:val="47027904"/>
    <w:rsid w:val="470545A9"/>
    <w:rsid w:val="47074B99"/>
    <w:rsid w:val="4708F289"/>
    <w:rsid w:val="4708FD93"/>
    <w:rsid w:val="470C81AC"/>
    <w:rsid w:val="4710F274"/>
    <w:rsid w:val="47204B25"/>
    <w:rsid w:val="472C2745"/>
    <w:rsid w:val="4735A80C"/>
    <w:rsid w:val="47362F63"/>
    <w:rsid w:val="473D4684"/>
    <w:rsid w:val="47534EEA"/>
    <w:rsid w:val="47545A52"/>
    <w:rsid w:val="47560676"/>
    <w:rsid w:val="4756A4D3"/>
    <w:rsid w:val="4758B6EA"/>
    <w:rsid w:val="4759502B"/>
    <w:rsid w:val="475FA6EA"/>
    <w:rsid w:val="47712DBB"/>
    <w:rsid w:val="47723817"/>
    <w:rsid w:val="477A7B35"/>
    <w:rsid w:val="477B7285"/>
    <w:rsid w:val="477BDFF6"/>
    <w:rsid w:val="4780FE6E"/>
    <w:rsid w:val="47883594"/>
    <w:rsid w:val="47890950"/>
    <w:rsid w:val="478A600C"/>
    <w:rsid w:val="4795AB0B"/>
    <w:rsid w:val="479B417F"/>
    <w:rsid w:val="479CFC76"/>
    <w:rsid w:val="47A34481"/>
    <w:rsid w:val="47A41C4C"/>
    <w:rsid w:val="47A4A454"/>
    <w:rsid w:val="47AA4DA4"/>
    <w:rsid w:val="47B4AD34"/>
    <w:rsid w:val="47B894F8"/>
    <w:rsid w:val="47B8B1CB"/>
    <w:rsid w:val="47BFCED6"/>
    <w:rsid w:val="47C55893"/>
    <w:rsid w:val="47C57433"/>
    <w:rsid w:val="47CD3656"/>
    <w:rsid w:val="47CE25DB"/>
    <w:rsid w:val="47D155C3"/>
    <w:rsid w:val="47D77FC6"/>
    <w:rsid w:val="47E17A5F"/>
    <w:rsid w:val="47E540EC"/>
    <w:rsid w:val="47E7ABF4"/>
    <w:rsid w:val="480920DB"/>
    <w:rsid w:val="480BC6BC"/>
    <w:rsid w:val="480C15EA"/>
    <w:rsid w:val="4816916E"/>
    <w:rsid w:val="4818D3A3"/>
    <w:rsid w:val="481ED858"/>
    <w:rsid w:val="48267BD4"/>
    <w:rsid w:val="482ED621"/>
    <w:rsid w:val="48314E0F"/>
    <w:rsid w:val="4835C9E3"/>
    <w:rsid w:val="48374D4D"/>
    <w:rsid w:val="483F879B"/>
    <w:rsid w:val="48444167"/>
    <w:rsid w:val="484BBDAD"/>
    <w:rsid w:val="48528F4B"/>
    <w:rsid w:val="4859E8D6"/>
    <w:rsid w:val="485BEA8C"/>
    <w:rsid w:val="485D9839"/>
    <w:rsid w:val="485ED6C4"/>
    <w:rsid w:val="4862722B"/>
    <w:rsid w:val="4869DC35"/>
    <w:rsid w:val="486B07A5"/>
    <w:rsid w:val="486C01F9"/>
    <w:rsid w:val="4873AA73"/>
    <w:rsid w:val="48769592"/>
    <w:rsid w:val="4877940F"/>
    <w:rsid w:val="48808270"/>
    <w:rsid w:val="4882FBB5"/>
    <w:rsid w:val="4884A627"/>
    <w:rsid w:val="488AE688"/>
    <w:rsid w:val="488C49EB"/>
    <w:rsid w:val="488F8FF9"/>
    <w:rsid w:val="48935F3C"/>
    <w:rsid w:val="4893E59C"/>
    <w:rsid w:val="48A7E932"/>
    <w:rsid w:val="48B1F270"/>
    <w:rsid w:val="48B4975E"/>
    <w:rsid w:val="48C29CC0"/>
    <w:rsid w:val="48C863BC"/>
    <w:rsid w:val="48C9AF97"/>
    <w:rsid w:val="48CEDB46"/>
    <w:rsid w:val="48D25CBE"/>
    <w:rsid w:val="48DC73F3"/>
    <w:rsid w:val="48E120B9"/>
    <w:rsid w:val="48E3A2C8"/>
    <w:rsid w:val="48EC5A35"/>
    <w:rsid w:val="48ECB53E"/>
    <w:rsid w:val="48F4C875"/>
    <w:rsid w:val="48FBB0F8"/>
    <w:rsid w:val="48FBFC01"/>
    <w:rsid w:val="4901121F"/>
    <w:rsid w:val="49012F41"/>
    <w:rsid w:val="49151CA6"/>
    <w:rsid w:val="49303DCE"/>
    <w:rsid w:val="4931017E"/>
    <w:rsid w:val="4934B95C"/>
    <w:rsid w:val="493E5753"/>
    <w:rsid w:val="494EFCDF"/>
    <w:rsid w:val="4951E172"/>
    <w:rsid w:val="4954ABD7"/>
    <w:rsid w:val="4962E3A6"/>
    <w:rsid w:val="496B1A43"/>
    <w:rsid w:val="496DEC3A"/>
    <w:rsid w:val="496E192D"/>
    <w:rsid w:val="4973F412"/>
    <w:rsid w:val="497D66A8"/>
    <w:rsid w:val="498356C6"/>
    <w:rsid w:val="4987D010"/>
    <w:rsid w:val="4988E5DA"/>
    <w:rsid w:val="498F1CBC"/>
    <w:rsid w:val="49916835"/>
    <w:rsid w:val="499B2CBC"/>
    <w:rsid w:val="49A8191C"/>
    <w:rsid w:val="49AB5EFB"/>
    <w:rsid w:val="49AC7E66"/>
    <w:rsid w:val="49B216DB"/>
    <w:rsid w:val="49B6399B"/>
    <w:rsid w:val="49B958AC"/>
    <w:rsid w:val="49B97AEF"/>
    <w:rsid w:val="49C0F668"/>
    <w:rsid w:val="49C35F81"/>
    <w:rsid w:val="49C3DF98"/>
    <w:rsid w:val="49C78A43"/>
    <w:rsid w:val="49CDE655"/>
    <w:rsid w:val="49D047B4"/>
    <w:rsid w:val="49D3658B"/>
    <w:rsid w:val="49D45B82"/>
    <w:rsid w:val="49D7D13A"/>
    <w:rsid w:val="49DE8479"/>
    <w:rsid w:val="49E02D88"/>
    <w:rsid w:val="49E0D748"/>
    <w:rsid w:val="49E23B0B"/>
    <w:rsid w:val="49F63B22"/>
    <w:rsid w:val="4A0644B2"/>
    <w:rsid w:val="4A103912"/>
    <w:rsid w:val="4A224827"/>
    <w:rsid w:val="4A25ACFA"/>
    <w:rsid w:val="4A272BA9"/>
    <w:rsid w:val="4A2A9D31"/>
    <w:rsid w:val="4A352C94"/>
    <w:rsid w:val="4A36BE71"/>
    <w:rsid w:val="4A3B19D9"/>
    <w:rsid w:val="4A3C297C"/>
    <w:rsid w:val="4A43B576"/>
    <w:rsid w:val="4A494C2E"/>
    <w:rsid w:val="4A4CAEFB"/>
    <w:rsid w:val="4A598C18"/>
    <w:rsid w:val="4A647D2E"/>
    <w:rsid w:val="4A67F5A2"/>
    <w:rsid w:val="4A6BE431"/>
    <w:rsid w:val="4A6CB283"/>
    <w:rsid w:val="4A6E7ABA"/>
    <w:rsid w:val="4A7504DA"/>
    <w:rsid w:val="4A77F3E1"/>
    <w:rsid w:val="4A7A000F"/>
    <w:rsid w:val="4A7CA308"/>
    <w:rsid w:val="4A8577CA"/>
    <w:rsid w:val="4A8A009D"/>
    <w:rsid w:val="4A8DBFAC"/>
    <w:rsid w:val="4A909922"/>
    <w:rsid w:val="4A90D41B"/>
    <w:rsid w:val="4AA43139"/>
    <w:rsid w:val="4AA5D614"/>
    <w:rsid w:val="4AA8B5FF"/>
    <w:rsid w:val="4AA9929A"/>
    <w:rsid w:val="4AAA0AF6"/>
    <w:rsid w:val="4AACF873"/>
    <w:rsid w:val="4AB75656"/>
    <w:rsid w:val="4AC8C876"/>
    <w:rsid w:val="4AD67B9B"/>
    <w:rsid w:val="4ADA5A54"/>
    <w:rsid w:val="4AE5FA55"/>
    <w:rsid w:val="4AEFEDEA"/>
    <w:rsid w:val="4AF936FC"/>
    <w:rsid w:val="4AFB752A"/>
    <w:rsid w:val="4B0ADC97"/>
    <w:rsid w:val="4B0E867F"/>
    <w:rsid w:val="4B10B144"/>
    <w:rsid w:val="4B1438A5"/>
    <w:rsid w:val="4B30532B"/>
    <w:rsid w:val="4B350985"/>
    <w:rsid w:val="4B376B93"/>
    <w:rsid w:val="4B37CB71"/>
    <w:rsid w:val="4B476400"/>
    <w:rsid w:val="4B495BF0"/>
    <w:rsid w:val="4B50C751"/>
    <w:rsid w:val="4B529B44"/>
    <w:rsid w:val="4B5E284A"/>
    <w:rsid w:val="4B5FCE82"/>
    <w:rsid w:val="4B636017"/>
    <w:rsid w:val="4B65F046"/>
    <w:rsid w:val="4B68F870"/>
    <w:rsid w:val="4B69BEF7"/>
    <w:rsid w:val="4B73D7E4"/>
    <w:rsid w:val="4B7E00D4"/>
    <w:rsid w:val="4B828472"/>
    <w:rsid w:val="4B87BC8F"/>
    <w:rsid w:val="4B8ACA0E"/>
    <w:rsid w:val="4B8ED022"/>
    <w:rsid w:val="4B98F2BC"/>
    <w:rsid w:val="4B99B7C1"/>
    <w:rsid w:val="4BA1E83D"/>
    <w:rsid w:val="4BA2D904"/>
    <w:rsid w:val="4BA35E16"/>
    <w:rsid w:val="4BAA98C8"/>
    <w:rsid w:val="4BB0037A"/>
    <w:rsid w:val="4BB2616D"/>
    <w:rsid w:val="4BB74072"/>
    <w:rsid w:val="4BB7E084"/>
    <w:rsid w:val="4BC48FA1"/>
    <w:rsid w:val="4BC53802"/>
    <w:rsid w:val="4BC671C0"/>
    <w:rsid w:val="4BCF29C9"/>
    <w:rsid w:val="4BD193CD"/>
    <w:rsid w:val="4BD1B115"/>
    <w:rsid w:val="4BD469B2"/>
    <w:rsid w:val="4BE039F5"/>
    <w:rsid w:val="4BE073EE"/>
    <w:rsid w:val="4BE07941"/>
    <w:rsid w:val="4BE70EC7"/>
    <w:rsid w:val="4BF20EA4"/>
    <w:rsid w:val="4BF70752"/>
    <w:rsid w:val="4BFED856"/>
    <w:rsid w:val="4BFFEDC6"/>
    <w:rsid w:val="4C078A34"/>
    <w:rsid w:val="4C1CC96E"/>
    <w:rsid w:val="4C1EB849"/>
    <w:rsid w:val="4C1FA1C7"/>
    <w:rsid w:val="4C25A688"/>
    <w:rsid w:val="4C2CAC99"/>
    <w:rsid w:val="4C2EBD34"/>
    <w:rsid w:val="4C2F9613"/>
    <w:rsid w:val="4C30651A"/>
    <w:rsid w:val="4C3C3DB3"/>
    <w:rsid w:val="4C4028B7"/>
    <w:rsid w:val="4C4BB4FD"/>
    <w:rsid w:val="4C4FEACE"/>
    <w:rsid w:val="4C53ED58"/>
    <w:rsid w:val="4C546A3F"/>
    <w:rsid w:val="4C561BDC"/>
    <w:rsid w:val="4C56CFAC"/>
    <w:rsid w:val="4C631048"/>
    <w:rsid w:val="4C651C55"/>
    <w:rsid w:val="4C6A84A3"/>
    <w:rsid w:val="4C6D0C7C"/>
    <w:rsid w:val="4C6F6947"/>
    <w:rsid w:val="4C7028F7"/>
    <w:rsid w:val="4C70BC34"/>
    <w:rsid w:val="4C75462A"/>
    <w:rsid w:val="4C762F15"/>
    <w:rsid w:val="4C8862C8"/>
    <w:rsid w:val="4C8A6242"/>
    <w:rsid w:val="4C8A776E"/>
    <w:rsid w:val="4C8EAF00"/>
    <w:rsid w:val="4C98FC23"/>
    <w:rsid w:val="4CA2FC36"/>
    <w:rsid w:val="4CA6CC95"/>
    <w:rsid w:val="4CACE0BF"/>
    <w:rsid w:val="4CB49802"/>
    <w:rsid w:val="4CB6E4B3"/>
    <w:rsid w:val="4CC01CC1"/>
    <w:rsid w:val="4CC49281"/>
    <w:rsid w:val="4CCE1D27"/>
    <w:rsid w:val="4CD04768"/>
    <w:rsid w:val="4CD6A4D3"/>
    <w:rsid w:val="4CDAAE40"/>
    <w:rsid w:val="4CDACE93"/>
    <w:rsid w:val="4CDE268F"/>
    <w:rsid w:val="4CE79960"/>
    <w:rsid w:val="4CE79C19"/>
    <w:rsid w:val="4CE9E33A"/>
    <w:rsid w:val="4CEA4B7C"/>
    <w:rsid w:val="4CECCCAC"/>
    <w:rsid w:val="4CF2D3A8"/>
    <w:rsid w:val="4CF56FD7"/>
    <w:rsid w:val="4D0092C0"/>
    <w:rsid w:val="4D03A66A"/>
    <w:rsid w:val="4D176399"/>
    <w:rsid w:val="4D19839E"/>
    <w:rsid w:val="4D232C77"/>
    <w:rsid w:val="4D2BB454"/>
    <w:rsid w:val="4D32B730"/>
    <w:rsid w:val="4D3703C2"/>
    <w:rsid w:val="4D42B380"/>
    <w:rsid w:val="4D42BB35"/>
    <w:rsid w:val="4D437916"/>
    <w:rsid w:val="4D47F432"/>
    <w:rsid w:val="4D49AC4A"/>
    <w:rsid w:val="4D4D4903"/>
    <w:rsid w:val="4D5B5F89"/>
    <w:rsid w:val="4D5F788F"/>
    <w:rsid w:val="4D67AD86"/>
    <w:rsid w:val="4D6E34D3"/>
    <w:rsid w:val="4D6F8B71"/>
    <w:rsid w:val="4D72FBCE"/>
    <w:rsid w:val="4D781F0E"/>
    <w:rsid w:val="4D7E24A1"/>
    <w:rsid w:val="4D8A6CEB"/>
    <w:rsid w:val="4D8A9F4C"/>
    <w:rsid w:val="4D8BF95F"/>
    <w:rsid w:val="4D9AE9AA"/>
    <w:rsid w:val="4DA66E55"/>
    <w:rsid w:val="4DB01873"/>
    <w:rsid w:val="4DB04E0F"/>
    <w:rsid w:val="4DB2C1A9"/>
    <w:rsid w:val="4DB7D2FD"/>
    <w:rsid w:val="4DBFA224"/>
    <w:rsid w:val="4DC61AAD"/>
    <w:rsid w:val="4DC774DD"/>
    <w:rsid w:val="4DD426E8"/>
    <w:rsid w:val="4DD45AE1"/>
    <w:rsid w:val="4DD518DE"/>
    <w:rsid w:val="4DDD0515"/>
    <w:rsid w:val="4DDECD7A"/>
    <w:rsid w:val="4DE42DDB"/>
    <w:rsid w:val="4DEB2F7C"/>
    <w:rsid w:val="4DEE29B5"/>
    <w:rsid w:val="4DF2822A"/>
    <w:rsid w:val="4DF79AFC"/>
    <w:rsid w:val="4DFDC4AF"/>
    <w:rsid w:val="4E0D0165"/>
    <w:rsid w:val="4E10BF9D"/>
    <w:rsid w:val="4E13FDD6"/>
    <w:rsid w:val="4E167856"/>
    <w:rsid w:val="4E18472F"/>
    <w:rsid w:val="4E23AEA9"/>
    <w:rsid w:val="4E277A37"/>
    <w:rsid w:val="4E28B785"/>
    <w:rsid w:val="4E2BE9CD"/>
    <w:rsid w:val="4E308A39"/>
    <w:rsid w:val="4E318C52"/>
    <w:rsid w:val="4E39E78F"/>
    <w:rsid w:val="4E3E4D93"/>
    <w:rsid w:val="4E42235B"/>
    <w:rsid w:val="4E452C82"/>
    <w:rsid w:val="4E52C30B"/>
    <w:rsid w:val="4E5492AB"/>
    <w:rsid w:val="4E68A5A6"/>
    <w:rsid w:val="4E6F04FA"/>
    <w:rsid w:val="4E6FB9DB"/>
    <w:rsid w:val="4E70F824"/>
    <w:rsid w:val="4E76AE0E"/>
    <w:rsid w:val="4E7EDD57"/>
    <w:rsid w:val="4E7F84D0"/>
    <w:rsid w:val="4E9C8B30"/>
    <w:rsid w:val="4E9E8E51"/>
    <w:rsid w:val="4EA2A057"/>
    <w:rsid w:val="4EA77AD4"/>
    <w:rsid w:val="4EA8C45C"/>
    <w:rsid w:val="4EAAFE46"/>
    <w:rsid w:val="4EAF533A"/>
    <w:rsid w:val="4EB001FD"/>
    <w:rsid w:val="4EB42E0F"/>
    <w:rsid w:val="4EB7E035"/>
    <w:rsid w:val="4EBCCD0D"/>
    <w:rsid w:val="4EBF9D2A"/>
    <w:rsid w:val="4ED01ADB"/>
    <w:rsid w:val="4ED13A06"/>
    <w:rsid w:val="4EE151D5"/>
    <w:rsid w:val="4EE1B154"/>
    <w:rsid w:val="4EEF3A8A"/>
    <w:rsid w:val="4F0228FF"/>
    <w:rsid w:val="4F0359F1"/>
    <w:rsid w:val="4F0BFEA6"/>
    <w:rsid w:val="4F0FD75B"/>
    <w:rsid w:val="4F116327"/>
    <w:rsid w:val="4F11B68E"/>
    <w:rsid w:val="4F14A828"/>
    <w:rsid w:val="4F155A95"/>
    <w:rsid w:val="4F1F6DB9"/>
    <w:rsid w:val="4F24375D"/>
    <w:rsid w:val="4F26A98B"/>
    <w:rsid w:val="4F27B995"/>
    <w:rsid w:val="4F28068B"/>
    <w:rsid w:val="4F2A9C9D"/>
    <w:rsid w:val="4F2C8196"/>
    <w:rsid w:val="4F325B44"/>
    <w:rsid w:val="4F38D9AB"/>
    <w:rsid w:val="4F3ABDF0"/>
    <w:rsid w:val="4F4C9B85"/>
    <w:rsid w:val="4F5804E8"/>
    <w:rsid w:val="4F5CD7EA"/>
    <w:rsid w:val="4F5E6D21"/>
    <w:rsid w:val="4F650B4A"/>
    <w:rsid w:val="4F65C95E"/>
    <w:rsid w:val="4F662873"/>
    <w:rsid w:val="4F6DDCA9"/>
    <w:rsid w:val="4F6DE936"/>
    <w:rsid w:val="4F6ED36D"/>
    <w:rsid w:val="4F7126B5"/>
    <w:rsid w:val="4F7624F4"/>
    <w:rsid w:val="4F7A22E1"/>
    <w:rsid w:val="4F7C56B5"/>
    <w:rsid w:val="4F80F192"/>
    <w:rsid w:val="4F84E657"/>
    <w:rsid w:val="4F9A7CA5"/>
    <w:rsid w:val="4F9F68AD"/>
    <w:rsid w:val="4FAB1823"/>
    <w:rsid w:val="4FADD176"/>
    <w:rsid w:val="4FB3B8ED"/>
    <w:rsid w:val="4FB9E73A"/>
    <w:rsid w:val="4FBD9A52"/>
    <w:rsid w:val="4FBDCC13"/>
    <w:rsid w:val="4FC5897D"/>
    <w:rsid w:val="4FC64CD8"/>
    <w:rsid w:val="4FCB8FE4"/>
    <w:rsid w:val="4FD854E3"/>
    <w:rsid w:val="4FD9D708"/>
    <w:rsid w:val="4FDBC4B7"/>
    <w:rsid w:val="4FE8D2E4"/>
    <w:rsid w:val="4FEDA287"/>
    <w:rsid w:val="4FF1434C"/>
    <w:rsid w:val="4FF3E5D8"/>
    <w:rsid w:val="4FFAB351"/>
    <w:rsid w:val="5006B833"/>
    <w:rsid w:val="500D0C05"/>
    <w:rsid w:val="501423AF"/>
    <w:rsid w:val="501B559B"/>
    <w:rsid w:val="502092C1"/>
    <w:rsid w:val="502171A1"/>
    <w:rsid w:val="5022B0AB"/>
    <w:rsid w:val="5025B99A"/>
    <w:rsid w:val="502AC44E"/>
    <w:rsid w:val="502C9759"/>
    <w:rsid w:val="503A956C"/>
    <w:rsid w:val="504C0494"/>
    <w:rsid w:val="504C08D7"/>
    <w:rsid w:val="504DD414"/>
    <w:rsid w:val="5051A02F"/>
    <w:rsid w:val="5051D5F5"/>
    <w:rsid w:val="50589D6E"/>
    <w:rsid w:val="505ACD39"/>
    <w:rsid w:val="505ADE40"/>
    <w:rsid w:val="505E1DAB"/>
    <w:rsid w:val="5060E7CB"/>
    <w:rsid w:val="5060E996"/>
    <w:rsid w:val="506C4415"/>
    <w:rsid w:val="506DAA6C"/>
    <w:rsid w:val="506E6A9D"/>
    <w:rsid w:val="507CF210"/>
    <w:rsid w:val="507F131E"/>
    <w:rsid w:val="50868C03"/>
    <w:rsid w:val="508D0490"/>
    <w:rsid w:val="508E013F"/>
    <w:rsid w:val="50A31804"/>
    <w:rsid w:val="50A6992A"/>
    <w:rsid w:val="50B26FA2"/>
    <w:rsid w:val="50B81101"/>
    <w:rsid w:val="50C130A3"/>
    <w:rsid w:val="50CDA487"/>
    <w:rsid w:val="50D650E0"/>
    <w:rsid w:val="50E3CC74"/>
    <w:rsid w:val="50E5C251"/>
    <w:rsid w:val="50E8B455"/>
    <w:rsid w:val="50F2CA04"/>
    <w:rsid w:val="50F7668B"/>
    <w:rsid w:val="50FFB2E5"/>
    <w:rsid w:val="510554BA"/>
    <w:rsid w:val="5111071E"/>
    <w:rsid w:val="51151BFD"/>
    <w:rsid w:val="51182775"/>
    <w:rsid w:val="5119E100"/>
    <w:rsid w:val="512C11DA"/>
    <w:rsid w:val="512D4413"/>
    <w:rsid w:val="512EE0E7"/>
    <w:rsid w:val="51310AF3"/>
    <w:rsid w:val="5140EB7F"/>
    <w:rsid w:val="51411318"/>
    <w:rsid w:val="5151DBC1"/>
    <w:rsid w:val="51643018"/>
    <w:rsid w:val="51660C9F"/>
    <w:rsid w:val="51670EFA"/>
    <w:rsid w:val="516A6CE1"/>
    <w:rsid w:val="516F822D"/>
    <w:rsid w:val="517B22E1"/>
    <w:rsid w:val="517C1C77"/>
    <w:rsid w:val="517C9E2E"/>
    <w:rsid w:val="5182A311"/>
    <w:rsid w:val="518ABF97"/>
    <w:rsid w:val="518ACDE9"/>
    <w:rsid w:val="518BFAF3"/>
    <w:rsid w:val="518D04EF"/>
    <w:rsid w:val="518D2ACA"/>
    <w:rsid w:val="519255CD"/>
    <w:rsid w:val="5199FE5E"/>
    <w:rsid w:val="519FAEF0"/>
    <w:rsid w:val="51A02175"/>
    <w:rsid w:val="51A04693"/>
    <w:rsid w:val="51A5E683"/>
    <w:rsid w:val="51A68E43"/>
    <w:rsid w:val="51A72AB9"/>
    <w:rsid w:val="51AB1777"/>
    <w:rsid w:val="51AF614B"/>
    <w:rsid w:val="51AFF425"/>
    <w:rsid w:val="51BE08B0"/>
    <w:rsid w:val="51BF3582"/>
    <w:rsid w:val="51C847A3"/>
    <w:rsid w:val="51CA38D6"/>
    <w:rsid w:val="51CBEC3B"/>
    <w:rsid w:val="51D15159"/>
    <w:rsid w:val="51E22FEC"/>
    <w:rsid w:val="51E4AFE5"/>
    <w:rsid w:val="51E59EF0"/>
    <w:rsid w:val="51E69F72"/>
    <w:rsid w:val="51ED57F5"/>
    <w:rsid w:val="51F64A4B"/>
    <w:rsid w:val="51F79856"/>
    <w:rsid w:val="51FD17CD"/>
    <w:rsid w:val="52006FA0"/>
    <w:rsid w:val="52026600"/>
    <w:rsid w:val="5204D7BE"/>
    <w:rsid w:val="52057C40"/>
    <w:rsid w:val="52080293"/>
    <w:rsid w:val="521400AB"/>
    <w:rsid w:val="5214A59C"/>
    <w:rsid w:val="5221EBC5"/>
    <w:rsid w:val="52247E0C"/>
    <w:rsid w:val="522579DB"/>
    <w:rsid w:val="522FFA0E"/>
    <w:rsid w:val="52332F7E"/>
    <w:rsid w:val="5252467E"/>
    <w:rsid w:val="5253CD35"/>
    <w:rsid w:val="525B0635"/>
    <w:rsid w:val="52641C91"/>
    <w:rsid w:val="52698499"/>
    <w:rsid w:val="526AFBB9"/>
    <w:rsid w:val="52729A46"/>
    <w:rsid w:val="527351A6"/>
    <w:rsid w:val="5274D48B"/>
    <w:rsid w:val="5289622B"/>
    <w:rsid w:val="528C48EB"/>
    <w:rsid w:val="529191E6"/>
    <w:rsid w:val="52925C74"/>
    <w:rsid w:val="5293A7BE"/>
    <w:rsid w:val="52A0BB55"/>
    <w:rsid w:val="52AB7BB2"/>
    <w:rsid w:val="52ACFBD7"/>
    <w:rsid w:val="52AE9E06"/>
    <w:rsid w:val="52B385F6"/>
    <w:rsid w:val="52BC2B6C"/>
    <w:rsid w:val="52BF3A82"/>
    <w:rsid w:val="52C57A70"/>
    <w:rsid w:val="52C7FE5C"/>
    <w:rsid w:val="52CA5D6A"/>
    <w:rsid w:val="52CB8978"/>
    <w:rsid w:val="52CC6C21"/>
    <w:rsid w:val="52CDB714"/>
    <w:rsid w:val="52CE01F1"/>
    <w:rsid w:val="52D7096F"/>
    <w:rsid w:val="52DCAE8E"/>
    <w:rsid w:val="52DD0222"/>
    <w:rsid w:val="52DE9FEF"/>
    <w:rsid w:val="52DEDA7D"/>
    <w:rsid w:val="52DF18C6"/>
    <w:rsid w:val="52E26CB9"/>
    <w:rsid w:val="52ECAC2A"/>
    <w:rsid w:val="52ED32FE"/>
    <w:rsid w:val="52F6D7EF"/>
    <w:rsid w:val="52FD5389"/>
    <w:rsid w:val="530B52EB"/>
    <w:rsid w:val="530BE510"/>
    <w:rsid w:val="53172063"/>
    <w:rsid w:val="5326A062"/>
    <w:rsid w:val="5327AF87"/>
    <w:rsid w:val="5334520D"/>
    <w:rsid w:val="5334C210"/>
    <w:rsid w:val="533677A4"/>
    <w:rsid w:val="5337C8EC"/>
    <w:rsid w:val="5339B091"/>
    <w:rsid w:val="533F5BF4"/>
    <w:rsid w:val="53427112"/>
    <w:rsid w:val="534696C1"/>
    <w:rsid w:val="5347BFE5"/>
    <w:rsid w:val="5352094E"/>
    <w:rsid w:val="535445B4"/>
    <w:rsid w:val="535867C5"/>
    <w:rsid w:val="5359423F"/>
    <w:rsid w:val="5359BDEB"/>
    <w:rsid w:val="535CD82E"/>
    <w:rsid w:val="535CFC95"/>
    <w:rsid w:val="53861C41"/>
    <w:rsid w:val="53894D38"/>
    <w:rsid w:val="538C389B"/>
    <w:rsid w:val="538F603F"/>
    <w:rsid w:val="53956B08"/>
    <w:rsid w:val="5396957E"/>
    <w:rsid w:val="5398DDF7"/>
    <w:rsid w:val="53A4B087"/>
    <w:rsid w:val="53B190DD"/>
    <w:rsid w:val="53BC2AA5"/>
    <w:rsid w:val="53C5E7C5"/>
    <w:rsid w:val="53D5AE05"/>
    <w:rsid w:val="53E32A25"/>
    <w:rsid w:val="53E3B032"/>
    <w:rsid w:val="53EB5CF9"/>
    <w:rsid w:val="53F5CCF9"/>
    <w:rsid w:val="53F915DA"/>
    <w:rsid w:val="53FF1F73"/>
    <w:rsid w:val="5402612F"/>
    <w:rsid w:val="54089BED"/>
    <w:rsid w:val="5408C624"/>
    <w:rsid w:val="540EBF87"/>
    <w:rsid w:val="541039EA"/>
    <w:rsid w:val="5411B93E"/>
    <w:rsid w:val="54160F34"/>
    <w:rsid w:val="541C89E0"/>
    <w:rsid w:val="541E0554"/>
    <w:rsid w:val="5420F03E"/>
    <w:rsid w:val="542184FD"/>
    <w:rsid w:val="54260E43"/>
    <w:rsid w:val="542AA389"/>
    <w:rsid w:val="542E4595"/>
    <w:rsid w:val="54300519"/>
    <w:rsid w:val="5430D1AB"/>
    <w:rsid w:val="5437DFC9"/>
    <w:rsid w:val="54464CB9"/>
    <w:rsid w:val="54524633"/>
    <w:rsid w:val="545960C9"/>
    <w:rsid w:val="546582A7"/>
    <w:rsid w:val="546A2F45"/>
    <w:rsid w:val="546BDDF1"/>
    <w:rsid w:val="546D9913"/>
    <w:rsid w:val="547139A2"/>
    <w:rsid w:val="54715393"/>
    <w:rsid w:val="54775243"/>
    <w:rsid w:val="54777FBF"/>
    <w:rsid w:val="54785CCB"/>
    <w:rsid w:val="547A55E5"/>
    <w:rsid w:val="547A943A"/>
    <w:rsid w:val="547ECEAC"/>
    <w:rsid w:val="548A2D66"/>
    <w:rsid w:val="548A5ED3"/>
    <w:rsid w:val="549134FD"/>
    <w:rsid w:val="54954F4C"/>
    <w:rsid w:val="549F8F2E"/>
    <w:rsid w:val="54A42DB9"/>
    <w:rsid w:val="54A7234C"/>
    <w:rsid w:val="54AF3899"/>
    <w:rsid w:val="54B286BC"/>
    <w:rsid w:val="54B4FFDA"/>
    <w:rsid w:val="54B76CF8"/>
    <w:rsid w:val="54C7D0BE"/>
    <w:rsid w:val="54CD1F42"/>
    <w:rsid w:val="54CDEDB2"/>
    <w:rsid w:val="54D997DD"/>
    <w:rsid w:val="54DFFEE4"/>
    <w:rsid w:val="54E69DF5"/>
    <w:rsid w:val="54EA8F3B"/>
    <w:rsid w:val="54FC75D4"/>
    <w:rsid w:val="54FCD747"/>
    <w:rsid w:val="550273A4"/>
    <w:rsid w:val="550A685C"/>
    <w:rsid w:val="550EB0A6"/>
    <w:rsid w:val="55115A26"/>
    <w:rsid w:val="5513558E"/>
    <w:rsid w:val="55164C9B"/>
    <w:rsid w:val="551F6C53"/>
    <w:rsid w:val="55265366"/>
    <w:rsid w:val="5529A2CE"/>
    <w:rsid w:val="552DC979"/>
    <w:rsid w:val="5531A2E0"/>
    <w:rsid w:val="55330E5F"/>
    <w:rsid w:val="5535C319"/>
    <w:rsid w:val="5538667F"/>
    <w:rsid w:val="5541618A"/>
    <w:rsid w:val="5542F6FD"/>
    <w:rsid w:val="554E0DAC"/>
    <w:rsid w:val="5550BF3D"/>
    <w:rsid w:val="55510540"/>
    <w:rsid w:val="5551148E"/>
    <w:rsid w:val="555484F0"/>
    <w:rsid w:val="5555E5D0"/>
    <w:rsid w:val="555CC6C6"/>
    <w:rsid w:val="556585C0"/>
    <w:rsid w:val="5569269B"/>
    <w:rsid w:val="5569F154"/>
    <w:rsid w:val="5570ED2B"/>
    <w:rsid w:val="5571B84C"/>
    <w:rsid w:val="557500F0"/>
    <w:rsid w:val="55782BFA"/>
    <w:rsid w:val="55788686"/>
    <w:rsid w:val="557B1AA0"/>
    <w:rsid w:val="557E67F7"/>
    <w:rsid w:val="55895225"/>
    <w:rsid w:val="55915A10"/>
    <w:rsid w:val="559366D2"/>
    <w:rsid w:val="5599372B"/>
    <w:rsid w:val="559BD84F"/>
    <w:rsid w:val="55A32DF3"/>
    <w:rsid w:val="55A40D96"/>
    <w:rsid w:val="55A9CA5A"/>
    <w:rsid w:val="55AAB843"/>
    <w:rsid w:val="55AB7622"/>
    <w:rsid w:val="55B1BD3C"/>
    <w:rsid w:val="55B71AD9"/>
    <w:rsid w:val="55B76549"/>
    <w:rsid w:val="55BD0CB9"/>
    <w:rsid w:val="55BFE34F"/>
    <w:rsid w:val="55C40165"/>
    <w:rsid w:val="55CE6105"/>
    <w:rsid w:val="55DA6CCA"/>
    <w:rsid w:val="55E5BED6"/>
    <w:rsid w:val="55EB4D11"/>
    <w:rsid w:val="55EE3A6D"/>
    <w:rsid w:val="55F08A52"/>
    <w:rsid w:val="55F28FD8"/>
    <w:rsid w:val="55F8AF2D"/>
    <w:rsid w:val="56026A6F"/>
    <w:rsid w:val="56063E1B"/>
    <w:rsid w:val="560AF643"/>
    <w:rsid w:val="560C1E56"/>
    <w:rsid w:val="560E8BC7"/>
    <w:rsid w:val="5615AB5F"/>
    <w:rsid w:val="561765CD"/>
    <w:rsid w:val="561EEDC5"/>
    <w:rsid w:val="5625AC0C"/>
    <w:rsid w:val="563335F4"/>
    <w:rsid w:val="563755CD"/>
    <w:rsid w:val="563E74C8"/>
    <w:rsid w:val="563ECDF1"/>
    <w:rsid w:val="56401F7D"/>
    <w:rsid w:val="56405152"/>
    <w:rsid w:val="5642F3AD"/>
    <w:rsid w:val="564E2769"/>
    <w:rsid w:val="56526D84"/>
    <w:rsid w:val="56535D29"/>
    <w:rsid w:val="56621BE6"/>
    <w:rsid w:val="5667D55B"/>
    <w:rsid w:val="566964B7"/>
    <w:rsid w:val="5671593E"/>
    <w:rsid w:val="567392E4"/>
    <w:rsid w:val="56798B20"/>
    <w:rsid w:val="5683D061"/>
    <w:rsid w:val="56840A6A"/>
    <w:rsid w:val="5689F167"/>
    <w:rsid w:val="568F077C"/>
    <w:rsid w:val="5696B239"/>
    <w:rsid w:val="569D38EF"/>
    <w:rsid w:val="56A56AFB"/>
    <w:rsid w:val="56A63090"/>
    <w:rsid w:val="56AFB60D"/>
    <w:rsid w:val="56B1970B"/>
    <w:rsid w:val="56B2B051"/>
    <w:rsid w:val="56B86DFB"/>
    <w:rsid w:val="56C2EDFC"/>
    <w:rsid w:val="56C3D5ED"/>
    <w:rsid w:val="56C4C00C"/>
    <w:rsid w:val="56D48869"/>
    <w:rsid w:val="56E15176"/>
    <w:rsid w:val="56E27A06"/>
    <w:rsid w:val="56E560D9"/>
    <w:rsid w:val="56F15DF6"/>
    <w:rsid w:val="56F66347"/>
    <w:rsid w:val="56F87C0B"/>
    <w:rsid w:val="56FBCEE3"/>
    <w:rsid w:val="56FD71FB"/>
    <w:rsid w:val="56FF88AD"/>
    <w:rsid w:val="5702B2E3"/>
    <w:rsid w:val="5704DFA9"/>
    <w:rsid w:val="57089C89"/>
    <w:rsid w:val="570E06FE"/>
    <w:rsid w:val="5710A70B"/>
    <w:rsid w:val="57167305"/>
    <w:rsid w:val="57192B99"/>
    <w:rsid w:val="571A5862"/>
    <w:rsid w:val="571BA338"/>
    <w:rsid w:val="571F125F"/>
    <w:rsid w:val="5723F8F0"/>
    <w:rsid w:val="57262F0F"/>
    <w:rsid w:val="57271619"/>
    <w:rsid w:val="57303196"/>
    <w:rsid w:val="5734A3DD"/>
    <w:rsid w:val="5738DF73"/>
    <w:rsid w:val="5748D5EB"/>
    <w:rsid w:val="574A3E11"/>
    <w:rsid w:val="574FA274"/>
    <w:rsid w:val="57506A8B"/>
    <w:rsid w:val="575211F2"/>
    <w:rsid w:val="5759FC49"/>
    <w:rsid w:val="575AF912"/>
    <w:rsid w:val="575F82D3"/>
    <w:rsid w:val="57632C63"/>
    <w:rsid w:val="576B3A47"/>
    <w:rsid w:val="576F8515"/>
    <w:rsid w:val="576FBF46"/>
    <w:rsid w:val="57805F6A"/>
    <w:rsid w:val="578A10AE"/>
    <w:rsid w:val="578C1F18"/>
    <w:rsid w:val="579DAD97"/>
    <w:rsid w:val="579EAF21"/>
    <w:rsid w:val="579F3638"/>
    <w:rsid w:val="57A5A314"/>
    <w:rsid w:val="57AA057D"/>
    <w:rsid w:val="57B87E5A"/>
    <w:rsid w:val="57B90811"/>
    <w:rsid w:val="57BAD524"/>
    <w:rsid w:val="57BD0027"/>
    <w:rsid w:val="57C80332"/>
    <w:rsid w:val="57CA2CC6"/>
    <w:rsid w:val="57D46565"/>
    <w:rsid w:val="57D6052D"/>
    <w:rsid w:val="57D7F90B"/>
    <w:rsid w:val="57D991FD"/>
    <w:rsid w:val="57DA8E1C"/>
    <w:rsid w:val="57EC5E18"/>
    <w:rsid w:val="57F6F9D0"/>
    <w:rsid w:val="57FB0B8C"/>
    <w:rsid w:val="58033F08"/>
    <w:rsid w:val="58059A64"/>
    <w:rsid w:val="5808AF3E"/>
    <w:rsid w:val="580CEFB3"/>
    <w:rsid w:val="580D5583"/>
    <w:rsid w:val="580E530D"/>
    <w:rsid w:val="5810CC0C"/>
    <w:rsid w:val="581D2762"/>
    <w:rsid w:val="581F6309"/>
    <w:rsid w:val="5826620F"/>
    <w:rsid w:val="58267117"/>
    <w:rsid w:val="58269E83"/>
    <w:rsid w:val="582DCB80"/>
    <w:rsid w:val="58449EC4"/>
    <w:rsid w:val="585A29B4"/>
    <w:rsid w:val="585B628F"/>
    <w:rsid w:val="586A0C04"/>
    <w:rsid w:val="586AF194"/>
    <w:rsid w:val="586B9DAC"/>
    <w:rsid w:val="5871786B"/>
    <w:rsid w:val="58745491"/>
    <w:rsid w:val="587A6A07"/>
    <w:rsid w:val="587AB301"/>
    <w:rsid w:val="5889535F"/>
    <w:rsid w:val="588C482C"/>
    <w:rsid w:val="588F75C9"/>
    <w:rsid w:val="5891FB79"/>
    <w:rsid w:val="58934EC0"/>
    <w:rsid w:val="58948834"/>
    <w:rsid w:val="589A20B4"/>
    <w:rsid w:val="589BD4D7"/>
    <w:rsid w:val="589CB7F9"/>
    <w:rsid w:val="589EAE4B"/>
    <w:rsid w:val="58A7C16A"/>
    <w:rsid w:val="58A8D0E1"/>
    <w:rsid w:val="58B532D6"/>
    <w:rsid w:val="58B53565"/>
    <w:rsid w:val="58B5DD96"/>
    <w:rsid w:val="58BFFA24"/>
    <w:rsid w:val="58C0152D"/>
    <w:rsid w:val="58C721D4"/>
    <w:rsid w:val="58C80418"/>
    <w:rsid w:val="58C99912"/>
    <w:rsid w:val="58D45EC5"/>
    <w:rsid w:val="58D730DD"/>
    <w:rsid w:val="58D7940B"/>
    <w:rsid w:val="58DA9531"/>
    <w:rsid w:val="58E06BDF"/>
    <w:rsid w:val="58E22419"/>
    <w:rsid w:val="58E44F41"/>
    <w:rsid w:val="58E95881"/>
    <w:rsid w:val="58EE0DE5"/>
    <w:rsid w:val="58F0D697"/>
    <w:rsid w:val="58F78A53"/>
    <w:rsid w:val="58F81DF1"/>
    <w:rsid w:val="58FAE8EF"/>
    <w:rsid w:val="58FDC046"/>
    <w:rsid w:val="590244C5"/>
    <w:rsid w:val="590442CE"/>
    <w:rsid w:val="5908A377"/>
    <w:rsid w:val="5908B0F2"/>
    <w:rsid w:val="5908C691"/>
    <w:rsid w:val="590C4F77"/>
    <w:rsid w:val="590FC205"/>
    <w:rsid w:val="590FEB02"/>
    <w:rsid w:val="5913F727"/>
    <w:rsid w:val="591AA179"/>
    <w:rsid w:val="591EECDE"/>
    <w:rsid w:val="5930CF51"/>
    <w:rsid w:val="5933D826"/>
    <w:rsid w:val="5934EE5D"/>
    <w:rsid w:val="593A2DB5"/>
    <w:rsid w:val="593E8176"/>
    <w:rsid w:val="594079B4"/>
    <w:rsid w:val="5945A056"/>
    <w:rsid w:val="5953B936"/>
    <w:rsid w:val="5957C93D"/>
    <w:rsid w:val="595AE958"/>
    <w:rsid w:val="595B6A65"/>
    <w:rsid w:val="5961FE16"/>
    <w:rsid w:val="596F1D1B"/>
    <w:rsid w:val="5978F3BC"/>
    <w:rsid w:val="5982E344"/>
    <w:rsid w:val="59943E2F"/>
    <w:rsid w:val="59957CE9"/>
    <w:rsid w:val="59A54BA8"/>
    <w:rsid w:val="59AA1636"/>
    <w:rsid w:val="59AA7D6D"/>
    <w:rsid w:val="59BA02B1"/>
    <w:rsid w:val="59BB021C"/>
    <w:rsid w:val="59BBEB68"/>
    <w:rsid w:val="59C2B3D3"/>
    <w:rsid w:val="59C50B83"/>
    <w:rsid w:val="59D06026"/>
    <w:rsid w:val="59D72C9A"/>
    <w:rsid w:val="59D747EB"/>
    <w:rsid w:val="59DFC49A"/>
    <w:rsid w:val="59E1A577"/>
    <w:rsid w:val="59E552FE"/>
    <w:rsid w:val="59EA2084"/>
    <w:rsid w:val="59ED5EA6"/>
    <w:rsid w:val="59F1C8BB"/>
    <w:rsid w:val="59F26437"/>
    <w:rsid w:val="59F51B90"/>
    <w:rsid w:val="59F8CE19"/>
    <w:rsid w:val="59F97D0A"/>
    <w:rsid w:val="59FEE284"/>
    <w:rsid w:val="5A0AD334"/>
    <w:rsid w:val="5A0E4213"/>
    <w:rsid w:val="5A128F09"/>
    <w:rsid w:val="5A3573C4"/>
    <w:rsid w:val="5A3BE20D"/>
    <w:rsid w:val="5A459A13"/>
    <w:rsid w:val="5A5485E0"/>
    <w:rsid w:val="5A54B51B"/>
    <w:rsid w:val="5A6B03E7"/>
    <w:rsid w:val="5A6D489E"/>
    <w:rsid w:val="5A7FDE13"/>
    <w:rsid w:val="5A948D67"/>
    <w:rsid w:val="5A9833CE"/>
    <w:rsid w:val="5A98500B"/>
    <w:rsid w:val="5AA37E5F"/>
    <w:rsid w:val="5AAC645F"/>
    <w:rsid w:val="5ABD94ED"/>
    <w:rsid w:val="5ABEBE34"/>
    <w:rsid w:val="5AC212E4"/>
    <w:rsid w:val="5ACA10EC"/>
    <w:rsid w:val="5AD292C2"/>
    <w:rsid w:val="5AE66FF7"/>
    <w:rsid w:val="5AEDD0EF"/>
    <w:rsid w:val="5AF0258F"/>
    <w:rsid w:val="5AF342A7"/>
    <w:rsid w:val="5B0312D0"/>
    <w:rsid w:val="5B064294"/>
    <w:rsid w:val="5B09DCEE"/>
    <w:rsid w:val="5B0CB380"/>
    <w:rsid w:val="5B0EF1A1"/>
    <w:rsid w:val="5B1BAE90"/>
    <w:rsid w:val="5B24B9D2"/>
    <w:rsid w:val="5B2804AB"/>
    <w:rsid w:val="5B30248F"/>
    <w:rsid w:val="5B3C241C"/>
    <w:rsid w:val="5B46B444"/>
    <w:rsid w:val="5B4FE3F7"/>
    <w:rsid w:val="5B5034F4"/>
    <w:rsid w:val="5B545396"/>
    <w:rsid w:val="5B584DE8"/>
    <w:rsid w:val="5B633010"/>
    <w:rsid w:val="5B67B9C7"/>
    <w:rsid w:val="5B79FB03"/>
    <w:rsid w:val="5B7CF666"/>
    <w:rsid w:val="5B7ED74A"/>
    <w:rsid w:val="5B8763BD"/>
    <w:rsid w:val="5B87C817"/>
    <w:rsid w:val="5B8F446B"/>
    <w:rsid w:val="5B9040D5"/>
    <w:rsid w:val="5B9A60C9"/>
    <w:rsid w:val="5BA5D918"/>
    <w:rsid w:val="5BADE0E3"/>
    <w:rsid w:val="5BAE6C9F"/>
    <w:rsid w:val="5BB7F00D"/>
    <w:rsid w:val="5BBBC94A"/>
    <w:rsid w:val="5BCBD6B3"/>
    <w:rsid w:val="5BCE7EF9"/>
    <w:rsid w:val="5BDBC7A6"/>
    <w:rsid w:val="5BEC95C6"/>
    <w:rsid w:val="5BF2398F"/>
    <w:rsid w:val="5BF571B0"/>
    <w:rsid w:val="5BF933E5"/>
    <w:rsid w:val="5C05A5C8"/>
    <w:rsid w:val="5C0C96EC"/>
    <w:rsid w:val="5C11F0AF"/>
    <w:rsid w:val="5C13C443"/>
    <w:rsid w:val="5C14E2F1"/>
    <w:rsid w:val="5C1C2734"/>
    <w:rsid w:val="5C1FCB76"/>
    <w:rsid w:val="5C203CD1"/>
    <w:rsid w:val="5C3384A9"/>
    <w:rsid w:val="5C373B86"/>
    <w:rsid w:val="5C3AC8B8"/>
    <w:rsid w:val="5C3D720F"/>
    <w:rsid w:val="5C4D2C57"/>
    <w:rsid w:val="5C53A4D1"/>
    <w:rsid w:val="5C5489A5"/>
    <w:rsid w:val="5C5FADA5"/>
    <w:rsid w:val="5C6AD51C"/>
    <w:rsid w:val="5C6DB30C"/>
    <w:rsid w:val="5C72E314"/>
    <w:rsid w:val="5C74CE15"/>
    <w:rsid w:val="5C7E3D7C"/>
    <w:rsid w:val="5C7E6D08"/>
    <w:rsid w:val="5C823F59"/>
    <w:rsid w:val="5C838734"/>
    <w:rsid w:val="5C852419"/>
    <w:rsid w:val="5C8C62FC"/>
    <w:rsid w:val="5C927C0F"/>
    <w:rsid w:val="5CA1BC15"/>
    <w:rsid w:val="5CA2116B"/>
    <w:rsid w:val="5CA856B8"/>
    <w:rsid w:val="5CAD3E5E"/>
    <w:rsid w:val="5CAE50B3"/>
    <w:rsid w:val="5CAEA8C8"/>
    <w:rsid w:val="5CB92BE0"/>
    <w:rsid w:val="5CB96F99"/>
    <w:rsid w:val="5CC8202F"/>
    <w:rsid w:val="5CCB5D78"/>
    <w:rsid w:val="5CD163A5"/>
    <w:rsid w:val="5CD19BDE"/>
    <w:rsid w:val="5CD7BD4C"/>
    <w:rsid w:val="5CDA3369"/>
    <w:rsid w:val="5CE26544"/>
    <w:rsid w:val="5CF19723"/>
    <w:rsid w:val="5CFEED16"/>
    <w:rsid w:val="5D0271F6"/>
    <w:rsid w:val="5D02B81F"/>
    <w:rsid w:val="5D09B878"/>
    <w:rsid w:val="5D0C8166"/>
    <w:rsid w:val="5D11A5E4"/>
    <w:rsid w:val="5D13E81F"/>
    <w:rsid w:val="5D15DD79"/>
    <w:rsid w:val="5D198D90"/>
    <w:rsid w:val="5D1AA7AB"/>
    <w:rsid w:val="5D253B20"/>
    <w:rsid w:val="5D306CD4"/>
    <w:rsid w:val="5D3B2BD9"/>
    <w:rsid w:val="5D3FFD36"/>
    <w:rsid w:val="5D42D8AA"/>
    <w:rsid w:val="5D4B0D5F"/>
    <w:rsid w:val="5D593C71"/>
    <w:rsid w:val="5D5AA292"/>
    <w:rsid w:val="5D5FF7D2"/>
    <w:rsid w:val="5D607302"/>
    <w:rsid w:val="5D679040"/>
    <w:rsid w:val="5D67A259"/>
    <w:rsid w:val="5D6AE580"/>
    <w:rsid w:val="5D6B0E24"/>
    <w:rsid w:val="5D6BF9FE"/>
    <w:rsid w:val="5D6F1E80"/>
    <w:rsid w:val="5D794500"/>
    <w:rsid w:val="5D7BA343"/>
    <w:rsid w:val="5D7F19B3"/>
    <w:rsid w:val="5D8572F7"/>
    <w:rsid w:val="5D8610DC"/>
    <w:rsid w:val="5D8A04E0"/>
    <w:rsid w:val="5D916E29"/>
    <w:rsid w:val="5DB8B3ED"/>
    <w:rsid w:val="5DC2582A"/>
    <w:rsid w:val="5DCAB841"/>
    <w:rsid w:val="5DCD2B3C"/>
    <w:rsid w:val="5DCEA30E"/>
    <w:rsid w:val="5DDA9765"/>
    <w:rsid w:val="5DDEF2DC"/>
    <w:rsid w:val="5DE11E7A"/>
    <w:rsid w:val="5DE83049"/>
    <w:rsid w:val="5DF09200"/>
    <w:rsid w:val="5DFC00E0"/>
    <w:rsid w:val="5E010851"/>
    <w:rsid w:val="5E023FDC"/>
    <w:rsid w:val="5E062F22"/>
    <w:rsid w:val="5E063FAF"/>
    <w:rsid w:val="5E089E0D"/>
    <w:rsid w:val="5E0B9227"/>
    <w:rsid w:val="5E11F299"/>
    <w:rsid w:val="5E12AD9F"/>
    <w:rsid w:val="5E1493AB"/>
    <w:rsid w:val="5E1C4876"/>
    <w:rsid w:val="5E1CBE12"/>
    <w:rsid w:val="5E1D5CCC"/>
    <w:rsid w:val="5E1D6938"/>
    <w:rsid w:val="5E1F440A"/>
    <w:rsid w:val="5E2743D8"/>
    <w:rsid w:val="5E2F59CE"/>
    <w:rsid w:val="5E379F35"/>
    <w:rsid w:val="5E42DEEE"/>
    <w:rsid w:val="5E457CF5"/>
    <w:rsid w:val="5E4E0E28"/>
    <w:rsid w:val="5E548D0D"/>
    <w:rsid w:val="5E589BBE"/>
    <w:rsid w:val="5E5DA760"/>
    <w:rsid w:val="5E61DAB6"/>
    <w:rsid w:val="5E6484BC"/>
    <w:rsid w:val="5E654440"/>
    <w:rsid w:val="5E7113E1"/>
    <w:rsid w:val="5E719748"/>
    <w:rsid w:val="5E721E47"/>
    <w:rsid w:val="5E79DB71"/>
    <w:rsid w:val="5E7A90A2"/>
    <w:rsid w:val="5E841222"/>
    <w:rsid w:val="5E88674A"/>
    <w:rsid w:val="5E961084"/>
    <w:rsid w:val="5EA62E2C"/>
    <w:rsid w:val="5EAE25BC"/>
    <w:rsid w:val="5EB37442"/>
    <w:rsid w:val="5EB5122E"/>
    <w:rsid w:val="5EBCF7D5"/>
    <w:rsid w:val="5EC2DCF0"/>
    <w:rsid w:val="5EC3E5CB"/>
    <w:rsid w:val="5EC454C7"/>
    <w:rsid w:val="5EC69FA3"/>
    <w:rsid w:val="5ED58258"/>
    <w:rsid w:val="5EDA0047"/>
    <w:rsid w:val="5EDAC743"/>
    <w:rsid w:val="5EDD4A96"/>
    <w:rsid w:val="5EE83BF1"/>
    <w:rsid w:val="5EEBCFAA"/>
    <w:rsid w:val="5EF4EA84"/>
    <w:rsid w:val="5EF5FADE"/>
    <w:rsid w:val="5F07455A"/>
    <w:rsid w:val="5F07C313"/>
    <w:rsid w:val="5F0DB126"/>
    <w:rsid w:val="5F11FD16"/>
    <w:rsid w:val="5F13C3DA"/>
    <w:rsid w:val="5F192D80"/>
    <w:rsid w:val="5F1AEA14"/>
    <w:rsid w:val="5F25AF9D"/>
    <w:rsid w:val="5F2DE568"/>
    <w:rsid w:val="5F346DF9"/>
    <w:rsid w:val="5F3AAE9C"/>
    <w:rsid w:val="5F3C8362"/>
    <w:rsid w:val="5F4422FB"/>
    <w:rsid w:val="5F478E5F"/>
    <w:rsid w:val="5F4AA085"/>
    <w:rsid w:val="5F5380A8"/>
    <w:rsid w:val="5F6983F1"/>
    <w:rsid w:val="5F704293"/>
    <w:rsid w:val="5F706A17"/>
    <w:rsid w:val="5F7175F6"/>
    <w:rsid w:val="5F730127"/>
    <w:rsid w:val="5F77F319"/>
    <w:rsid w:val="5F795281"/>
    <w:rsid w:val="5F7D3E8A"/>
    <w:rsid w:val="5F7DC715"/>
    <w:rsid w:val="5F7FAD5C"/>
    <w:rsid w:val="5F7FCC2D"/>
    <w:rsid w:val="5F8AE97C"/>
    <w:rsid w:val="5F97909D"/>
    <w:rsid w:val="5F979160"/>
    <w:rsid w:val="5F9E8061"/>
    <w:rsid w:val="5FAA4F04"/>
    <w:rsid w:val="5FAD02F2"/>
    <w:rsid w:val="5FB51FFA"/>
    <w:rsid w:val="5FB9FCF4"/>
    <w:rsid w:val="5FBA73CB"/>
    <w:rsid w:val="5FC55870"/>
    <w:rsid w:val="5FC89722"/>
    <w:rsid w:val="5FCA23C0"/>
    <w:rsid w:val="5FD704B0"/>
    <w:rsid w:val="5FD80741"/>
    <w:rsid w:val="5FD992F1"/>
    <w:rsid w:val="5FD9BC14"/>
    <w:rsid w:val="5FE594C7"/>
    <w:rsid w:val="5FE7CFA7"/>
    <w:rsid w:val="5FF08F94"/>
    <w:rsid w:val="5FF22013"/>
    <w:rsid w:val="5FF8FD4E"/>
    <w:rsid w:val="6000F9B2"/>
    <w:rsid w:val="6004E830"/>
    <w:rsid w:val="60128CFF"/>
    <w:rsid w:val="60155DD1"/>
    <w:rsid w:val="60163743"/>
    <w:rsid w:val="6016DC80"/>
    <w:rsid w:val="601CC028"/>
    <w:rsid w:val="601DA029"/>
    <w:rsid w:val="6025CCC2"/>
    <w:rsid w:val="602CB12B"/>
    <w:rsid w:val="6032FE60"/>
    <w:rsid w:val="60359A79"/>
    <w:rsid w:val="6037FAE7"/>
    <w:rsid w:val="603998DA"/>
    <w:rsid w:val="603A218A"/>
    <w:rsid w:val="603AC3FC"/>
    <w:rsid w:val="603C1B39"/>
    <w:rsid w:val="604B1DED"/>
    <w:rsid w:val="60510A32"/>
    <w:rsid w:val="6066C84A"/>
    <w:rsid w:val="606C6A4F"/>
    <w:rsid w:val="606D9E52"/>
    <w:rsid w:val="606EA307"/>
    <w:rsid w:val="606EC396"/>
    <w:rsid w:val="60764D8E"/>
    <w:rsid w:val="6076D3DE"/>
    <w:rsid w:val="607D9181"/>
    <w:rsid w:val="607E3900"/>
    <w:rsid w:val="608E3709"/>
    <w:rsid w:val="609211E8"/>
    <w:rsid w:val="609E41B4"/>
    <w:rsid w:val="60A2B184"/>
    <w:rsid w:val="60A8B9CF"/>
    <w:rsid w:val="60ADB724"/>
    <w:rsid w:val="60B35477"/>
    <w:rsid w:val="60B49DA1"/>
    <w:rsid w:val="60B6A9F7"/>
    <w:rsid w:val="60B8DA24"/>
    <w:rsid w:val="60C5DB10"/>
    <w:rsid w:val="60D4C531"/>
    <w:rsid w:val="60D7308D"/>
    <w:rsid w:val="60D90C7B"/>
    <w:rsid w:val="60D93B04"/>
    <w:rsid w:val="60D99D3D"/>
    <w:rsid w:val="60DE4A39"/>
    <w:rsid w:val="60EAC1AF"/>
    <w:rsid w:val="60F0F955"/>
    <w:rsid w:val="60F522A2"/>
    <w:rsid w:val="60F6D2E0"/>
    <w:rsid w:val="60FD0CB4"/>
    <w:rsid w:val="61059CB7"/>
    <w:rsid w:val="61060B7C"/>
    <w:rsid w:val="610A7319"/>
    <w:rsid w:val="610AD8D3"/>
    <w:rsid w:val="610B3915"/>
    <w:rsid w:val="610F0B21"/>
    <w:rsid w:val="6111A156"/>
    <w:rsid w:val="61129C95"/>
    <w:rsid w:val="611ECB3D"/>
    <w:rsid w:val="611FD55E"/>
    <w:rsid w:val="61238925"/>
    <w:rsid w:val="61240C3B"/>
    <w:rsid w:val="6124E666"/>
    <w:rsid w:val="6127D62B"/>
    <w:rsid w:val="6130ACFE"/>
    <w:rsid w:val="61361A2E"/>
    <w:rsid w:val="613EC67B"/>
    <w:rsid w:val="613F4737"/>
    <w:rsid w:val="61406188"/>
    <w:rsid w:val="6146F05E"/>
    <w:rsid w:val="61550573"/>
    <w:rsid w:val="6168229F"/>
    <w:rsid w:val="616FCC18"/>
    <w:rsid w:val="617629D8"/>
    <w:rsid w:val="6177CD90"/>
    <w:rsid w:val="617E0C1D"/>
    <w:rsid w:val="617FBDCE"/>
    <w:rsid w:val="61833269"/>
    <w:rsid w:val="61910941"/>
    <w:rsid w:val="6191EF65"/>
    <w:rsid w:val="61934B6B"/>
    <w:rsid w:val="6197A95A"/>
    <w:rsid w:val="6199775D"/>
    <w:rsid w:val="61A97EE6"/>
    <w:rsid w:val="61AB9BA8"/>
    <w:rsid w:val="61ADAF3A"/>
    <w:rsid w:val="61ADBEA1"/>
    <w:rsid w:val="61B2E23A"/>
    <w:rsid w:val="61B5B1A0"/>
    <w:rsid w:val="61BDE73E"/>
    <w:rsid w:val="61C0187E"/>
    <w:rsid w:val="61C74B5C"/>
    <w:rsid w:val="61C94D1E"/>
    <w:rsid w:val="61D0865C"/>
    <w:rsid w:val="61E38471"/>
    <w:rsid w:val="61E40711"/>
    <w:rsid w:val="61ECAD79"/>
    <w:rsid w:val="61FA6B6A"/>
    <w:rsid w:val="62086945"/>
    <w:rsid w:val="6223F728"/>
    <w:rsid w:val="62277BC0"/>
    <w:rsid w:val="622A3636"/>
    <w:rsid w:val="622DA755"/>
    <w:rsid w:val="6232E83C"/>
    <w:rsid w:val="623544B1"/>
    <w:rsid w:val="623C859B"/>
    <w:rsid w:val="623DA660"/>
    <w:rsid w:val="6243575B"/>
    <w:rsid w:val="62438004"/>
    <w:rsid w:val="624DF2EF"/>
    <w:rsid w:val="62528AD6"/>
    <w:rsid w:val="62536AE6"/>
    <w:rsid w:val="625B3296"/>
    <w:rsid w:val="625C1EC6"/>
    <w:rsid w:val="626A5059"/>
    <w:rsid w:val="626ADEBC"/>
    <w:rsid w:val="626B8A5D"/>
    <w:rsid w:val="626EF9D9"/>
    <w:rsid w:val="6270BE7C"/>
    <w:rsid w:val="6270C282"/>
    <w:rsid w:val="62756C7E"/>
    <w:rsid w:val="627688EF"/>
    <w:rsid w:val="6277C1F3"/>
    <w:rsid w:val="627C4687"/>
    <w:rsid w:val="627E4A1E"/>
    <w:rsid w:val="627F0006"/>
    <w:rsid w:val="6284431D"/>
    <w:rsid w:val="629A577A"/>
    <w:rsid w:val="629EB262"/>
    <w:rsid w:val="62AB78D2"/>
    <w:rsid w:val="62AE077A"/>
    <w:rsid w:val="62AF5297"/>
    <w:rsid w:val="62B329F3"/>
    <w:rsid w:val="62B500BE"/>
    <w:rsid w:val="62B908D0"/>
    <w:rsid w:val="62BC5D35"/>
    <w:rsid w:val="62BD4996"/>
    <w:rsid w:val="62BF78FB"/>
    <w:rsid w:val="62BFFBDD"/>
    <w:rsid w:val="62C558B2"/>
    <w:rsid w:val="62CCF97C"/>
    <w:rsid w:val="62D6D1FA"/>
    <w:rsid w:val="62DB6F35"/>
    <w:rsid w:val="62DDAF45"/>
    <w:rsid w:val="62DDF3D0"/>
    <w:rsid w:val="62DE12AA"/>
    <w:rsid w:val="62DE1CCE"/>
    <w:rsid w:val="62E19820"/>
    <w:rsid w:val="62E27925"/>
    <w:rsid w:val="62E61623"/>
    <w:rsid w:val="62EBEEB2"/>
    <w:rsid w:val="62EE4254"/>
    <w:rsid w:val="62F06B9B"/>
    <w:rsid w:val="62F9254A"/>
    <w:rsid w:val="62F95B3B"/>
    <w:rsid w:val="62FD36DA"/>
    <w:rsid w:val="63022767"/>
    <w:rsid w:val="6308A9EB"/>
    <w:rsid w:val="630A3C73"/>
    <w:rsid w:val="630BCB4E"/>
    <w:rsid w:val="630C129F"/>
    <w:rsid w:val="6310DB66"/>
    <w:rsid w:val="63119FA9"/>
    <w:rsid w:val="6311F99A"/>
    <w:rsid w:val="631356A9"/>
    <w:rsid w:val="63162DC9"/>
    <w:rsid w:val="631D2FE4"/>
    <w:rsid w:val="631FCDEE"/>
    <w:rsid w:val="63231EBB"/>
    <w:rsid w:val="6325BC11"/>
    <w:rsid w:val="63269BC2"/>
    <w:rsid w:val="632EC71A"/>
    <w:rsid w:val="632F3B11"/>
    <w:rsid w:val="6330315C"/>
    <w:rsid w:val="633294FA"/>
    <w:rsid w:val="63396408"/>
    <w:rsid w:val="633B1E9B"/>
    <w:rsid w:val="6341CF56"/>
    <w:rsid w:val="6342D55A"/>
    <w:rsid w:val="63431168"/>
    <w:rsid w:val="63446CE0"/>
    <w:rsid w:val="63523B75"/>
    <w:rsid w:val="63561EC5"/>
    <w:rsid w:val="635A5843"/>
    <w:rsid w:val="635EBF35"/>
    <w:rsid w:val="635FEB39"/>
    <w:rsid w:val="636B661F"/>
    <w:rsid w:val="636D9EB2"/>
    <w:rsid w:val="637FCE25"/>
    <w:rsid w:val="6384238C"/>
    <w:rsid w:val="6393BA12"/>
    <w:rsid w:val="6394FD0F"/>
    <w:rsid w:val="63966E7C"/>
    <w:rsid w:val="63981B53"/>
    <w:rsid w:val="63A21B74"/>
    <w:rsid w:val="63A29A51"/>
    <w:rsid w:val="63A4344A"/>
    <w:rsid w:val="63A4F064"/>
    <w:rsid w:val="63A53351"/>
    <w:rsid w:val="63A540B6"/>
    <w:rsid w:val="63A940FA"/>
    <w:rsid w:val="63AA5C76"/>
    <w:rsid w:val="63BA566E"/>
    <w:rsid w:val="63BAC78D"/>
    <w:rsid w:val="63BE5C35"/>
    <w:rsid w:val="63C06FA0"/>
    <w:rsid w:val="63C8E41B"/>
    <w:rsid w:val="63C91B32"/>
    <w:rsid w:val="63CAEC32"/>
    <w:rsid w:val="63CBDC54"/>
    <w:rsid w:val="63CBEC2A"/>
    <w:rsid w:val="63CCE6CD"/>
    <w:rsid w:val="63CF6D85"/>
    <w:rsid w:val="63CFDDFC"/>
    <w:rsid w:val="63D3135E"/>
    <w:rsid w:val="63D4FC3A"/>
    <w:rsid w:val="63D72916"/>
    <w:rsid w:val="63E444BD"/>
    <w:rsid w:val="63F2F305"/>
    <w:rsid w:val="63F3432C"/>
    <w:rsid w:val="63FBAF27"/>
    <w:rsid w:val="63FD989D"/>
    <w:rsid w:val="64000D5F"/>
    <w:rsid w:val="6405D559"/>
    <w:rsid w:val="6405E1BC"/>
    <w:rsid w:val="640B6F3D"/>
    <w:rsid w:val="640E3421"/>
    <w:rsid w:val="640F701F"/>
    <w:rsid w:val="6412060D"/>
    <w:rsid w:val="6413E7DA"/>
    <w:rsid w:val="64168B5F"/>
    <w:rsid w:val="641F9C2D"/>
    <w:rsid w:val="6422A9BD"/>
    <w:rsid w:val="6423238B"/>
    <w:rsid w:val="642C2BEC"/>
    <w:rsid w:val="642E3023"/>
    <w:rsid w:val="64342B4E"/>
    <w:rsid w:val="64358ECD"/>
    <w:rsid w:val="64383423"/>
    <w:rsid w:val="643879C6"/>
    <w:rsid w:val="643BA113"/>
    <w:rsid w:val="6442B300"/>
    <w:rsid w:val="6446C04F"/>
    <w:rsid w:val="644AED51"/>
    <w:rsid w:val="6452D07A"/>
    <w:rsid w:val="6458A736"/>
    <w:rsid w:val="645A7129"/>
    <w:rsid w:val="645DD7B3"/>
    <w:rsid w:val="64641B1D"/>
    <w:rsid w:val="64652363"/>
    <w:rsid w:val="646D1BEB"/>
    <w:rsid w:val="64714D08"/>
    <w:rsid w:val="6479F8CB"/>
    <w:rsid w:val="647B5B8D"/>
    <w:rsid w:val="649A960D"/>
    <w:rsid w:val="64A076EB"/>
    <w:rsid w:val="64A32626"/>
    <w:rsid w:val="64A38EA9"/>
    <w:rsid w:val="64A68A33"/>
    <w:rsid w:val="64A7E300"/>
    <w:rsid w:val="64A92531"/>
    <w:rsid w:val="64B43AFC"/>
    <w:rsid w:val="64B79C55"/>
    <w:rsid w:val="64BEA223"/>
    <w:rsid w:val="64C16A64"/>
    <w:rsid w:val="64C2CB99"/>
    <w:rsid w:val="64CA7B64"/>
    <w:rsid w:val="64D33710"/>
    <w:rsid w:val="64D5E445"/>
    <w:rsid w:val="64DB231D"/>
    <w:rsid w:val="64DB2682"/>
    <w:rsid w:val="64DEF091"/>
    <w:rsid w:val="64E1B5FD"/>
    <w:rsid w:val="64E97886"/>
    <w:rsid w:val="64F5A6FF"/>
    <w:rsid w:val="64FB10B9"/>
    <w:rsid w:val="65013D9C"/>
    <w:rsid w:val="651AE3E6"/>
    <w:rsid w:val="651B29D0"/>
    <w:rsid w:val="65241529"/>
    <w:rsid w:val="6525FA15"/>
    <w:rsid w:val="652C2EDB"/>
    <w:rsid w:val="652EC9C8"/>
    <w:rsid w:val="6536378B"/>
    <w:rsid w:val="653AAB99"/>
    <w:rsid w:val="65403055"/>
    <w:rsid w:val="65435A32"/>
    <w:rsid w:val="65504E4A"/>
    <w:rsid w:val="655079AE"/>
    <w:rsid w:val="65569C80"/>
    <w:rsid w:val="6556D743"/>
    <w:rsid w:val="65595A7E"/>
    <w:rsid w:val="655EE3C3"/>
    <w:rsid w:val="65653591"/>
    <w:rsid w:val="6565E075"/>
    <w:rsid w:val="656974F5"/>
    <w:rsid w:val="656D154F"/>
    <w:rsid w:val="656D7DF4"/>
    <w:rsid w:val="656EE3BF"/>
    <w:rsid w:val="657036F2"/>
    <w:rsid w:val="65710EC8"/>
    <w:rsid w:val="6576BB8D"/>
    <w:rsid w:val="65778F66"/>
    <w:rsid w:val="657B41A5"/>
    <w:rsid w:val="657D1155"/>
    <w:rsid w:val="65865C0E"/>
    <w:rsid w:val="6586A931"/>
    <w:rsid w:val="658E1F5B"/>
    <w:rsid w:val="658EBFCF"/>
    <w:rsid w:val="65A9481A"/>
    <w:rsid w:val="65BACCA3"/>
    <w:rsid w:val="65C154C5"/>
    <w:rsid w:val="65C8D51B"/>
    <w:rsid w:val="65D0256F"/>
    <w:rsid w:val="65D0C4C0"/>
    <w:rsid w:val="65D0EA52"/>
    <w:rsid w:val="65D29E1A"/>
    <w:rsid w:val="65E5DAD5"/>
    <w:rsid w:val="65E8F89F"/>
    <w:rsid w:val="65F0BA82"/>
    <w:rsid w:val="65F8068B"/>
    <w:rsid w:val="65FBDA1B"/>
    <w:rsid w:val="6605A785"/>
    <w:rsid w:val="660B2AD2"/>
    <w:rsid w:val="661DA541"/>
    <w:rsid w:val="661F74FE"/>
    <w:rsid w:val="66236ED8"/>
    <w:rsid w:val="6624CDFB"/>
    <w:rsid w:val="662A140B"/>
    <w:rsid w:val="662F7C32"/>
    <w:rsid w:val="66320320"/>
    <w:rsid w:val="6634D8D9"/>
    <w:rsid w:val="6636B417"/>
    <w:rsid w:val="663831E0"/>
    <w:rsid w:val="6638FCE2"/>
    <w:rsid w:val="663D4CBF"/>
    <w:rsid w:val="6640C130"/>
    <w:rsid w:val="6643B361"/>
    <w:rsid w:val="664A0DFD"/>
    <w:rsid w:val="664D18D4"/>
    <w:rsid w:val="6651C63E"/>
    <w:rsid w:val="6657D6A0"/>
    <w:rsid w:val="66622A8D"/>
    <w:rsid w:val="666497D4"/>
    <w:rsid w:val="666DBADF"/>
    <w:rsid w:val="66703620"/>
    <w:rsid w:val="6670A391"/>
    <w:rsid w:val="667A6981"/>
    <w:rsid w:val="667B07B0"/>
    <w:rsid w:val="667BD9B7"/>
    <w:rsid w:val="667C0FAD"/>
    <w:rsid w:val="668473AB"/>
    <w:rsid w:val="6691007E"/>
    <w:rsid w:val="669E5CC1"/>
    <w:rsid w:val="66A6F30C"/>
    <w:rsid w:val="66B98645"/>
    <w:rsid w:val="66D07292"/>
    <w:rsid w:val="66DB5513"/>
    <w:rsid w:val="66DC3CB0"/>
    <w:rsid w:val="66E232E1"/>
    <w:rsid w:val="66E48B0E"/>
    <w:rsid w:val="66E8E3D9"/>
    <w:rsid w:val="66EB4F11"/>
    <w:rsid w:val="66EBB2EC"/>
    <w:rsid w:val="66EC7849"/>
    <w:rsid w:val="66EE62D6"/>
    <w:rsid w:val="66FEED6F"/>
    <w:rsid w:val="67049340"/>
    <w:rsid w:val="670A21CC"/>
    <w:rsid w:val="670EBDE7"/>
    <w:rsid w:val="670EEDC2"/>
    <w:rsid w:val="670FA50A"/>
    <w:rsid w:val="67168F68"/>
    <w:rsid w:val="6717587A"/>
    <w:rsid w:val="6717BDD7"/>
    <w:rsid w:val="67180529"/>
    <w:rsid w:val="671A71AD"/>
    <w:rsid w:val="6722532D"/>
    <w:rsid w:val="6729220D"/>
    <w:rsid w:val="672C247A"/>
    <w:rsid w:val="67392AE5"/>
    <w:rsid w:val="673A0E84"/>
    <w:rsid w:val="673FD317"/>
    <w:rsid w:val="6743E151"/>
    <w:rsid w:val="674BE340"/>
    <w:rsid w:val="67507EE3"/>
    <w:rsid w:val="67537FAB"/>
    <w:rsid w:val="675641C8"/>
    <w:rsid w:val="67593F8D"/>
    <w:rsid w:val="675BD853"/>
    <w:rsid w:val="675DFEA7"/>
    <w:rsid w:val="676142BD"/>
    <w:rsid w:val="676450F8"/>
    <w:rsid w:val="67648433"/>
    <w:rsid w:val="676B65D1"/>
    <w:rsid w:val="676C22F0"/>
    <w:rsid w:val="6771B68E"/>
    <w:rsid w:val="67816E3D"/>
    <w:rsid w:val="67833873"/>
    <w:rsid w:val="678435B7"/>
    <w:rsid w:val="678A133A"/>
    <w:rsid w:val="678E976B"/>
    <w:rsid w:val="679678A0"/>
    <w:rsid w:val="6799FAEC"/>
    <w:rsid w:val="679A8195"/>
    <w:rsid w:val="67A1817B"/>
    <w:rsid w:val="67A98D96"/>
    <w:rsid w:val="67ADD3F8"/>
    <w:rsid w:val="67B3B307"/>
    <w:rsid w:val="67B76FA0"/>
    <w:rsid w:val="67BCFE26"/>
    <w:rsid w:val="67C5D051"/>
    <w:rsid w:val="67CD959B"/>
    <w:rsid w:val="67D3E65C"/>
    <w:rsid w:val="67D49CEE"/>
    <w:rsid w:val="67DD46E7"/>
    <w:rsid w:val="67DF516D"/>
    <w:rsid w:val="67E4846D"/>
    <w:rsid w:val="67E78FAA"/>
    <w:rsid w:val="67E9EA39"/>
    <w:rsid w:val="67EF1283"/>
    <w:rsid w:val="67F19081"/>
    <w:rsid w:val="67F1DAC9"/>
    <w:rsid w:val="67F2831B"/>
    <w:rsid w:val="67F6BD3E"/>
    <w:rsid w:val="67FB1544"/>
    <w:rsid w:val="6806CF27"/>
    <w:rsid w:val="6809A606"/>
    <w:rsid w:val="681E061D"/>
    <w:rsid w:val="682B9DC6"/>
    <w:rsid w:val="6837148A"/>
    <w:rsid w:val="683B819D"/>
    <w:rsid w:val="6841D7F7"/>
    <w:rsid w:val="68461E1A"/>
    <w:rsid w:val="684C8897"/>
    <w:rsid w:val="684D8DD0"/>
    <w:rsid w:val="68530978"/>
    <w:rsid w:val="685CCC16"/>
    <w:rsid w:val="6862F9EB"/>
    <w:rsid w:val="6863F046"/>
    <w:rsid w:val="6865E786"/>
    <w:rsid w:val="6867A39F"/>
    <w:rsid w:val="686ACDC0"/>
    <w:rsid w:val="6871D99C"/>
    <w:rsid w:val="6877A75D"/>
    <w:rsid w:val="687C18D0"/>
    <w:rsid w:val="688D51DA"/>
    <w:rsid w:val="68909AAE"/>
    <w:rsid w:val="6895EE7C"/>
    <w:rsid w:val="68979A35"/>
    <w:rsid w:val="689DC61E"/>
    <w:rsid w:val="68A9B080"/>
    <w:rsid w:val="68AE9CDB"/>
    <w:rsid w:val="68B540B5"/>
    <w:rsid w:val="68BA1E58"/>
    <w:rsid w:val="68BC6303"/>
    <w:rsid w:val="68C076EC"/>
    <w:rsid w:val="68CAFB65"/>
    <w:rsid w:val="68CE09C8"/>
    <w:rsid w:val="68D85753"/>
    <w:rsid w:val="68E6D839"/>
    <w:rsid w:val="68EB8888"/>
    <w:rsid w:val="68FDDE39"/>
    <w:rsid w:val="690C44D1"/>
    <w:rsid w:val="690CEC8A"/>
    <w:rsid w:val="6910BFC1"/>
    <w:rsid w:val="69150E5B"/>
    <w:rsid w:val="69157600"/>
    <w:rsid w:val="691BDD53"/>
    <w:rsid w:val="691FE22E"/>
    <w:rsid w:val="69228A2E"/>
    <w:rsid w:val="69260D6E"/>
    <w:rsid w:val="692B4957"/>
    <w:rsid w:val="693A9D29"/>
    <w:rsid w:val="693AF910"/>
    <w:rsid w:val="693BF14D"/>
    <w:rsid w:val="693F76C3"/>
    <w:rsid w:val="6944F7A8"/>
    <w:rsid w:val="6945868A"/>
    <w:rsid w:val="694A0E6C"/>
    <w:rsid w:val="694CF6FA"/>
    <w:rsid w:val="69624CE5"/>
    <w:rsid w:val="696C3FB5"/>
    <w:rsid w:val="696DB856"/>
    <w:rsid w:val="6970C119"/>
    <w:rsid w:val="697B5423"/>
    <w:rsid w:val="6997C561"/>
    <w:rsid w:val="699EB781"/>
    <w:rsid w:val="69A00A93"/>
    <w:rsid w:val="69A287D6"/>
    <w:rsid w:val="69A7230D"/>
    <w:rsid w:val="69A97E7A"/>
    <w:rsid w:val="69B0608A"/>
    <w:rsid w:val="69B68A56"/>
    <w:rsid w:val="69B6F013"/>
    <w:rsid w:val="69BB736F"/>
    <w:rsid w:val="69BCD75A"/>
    <w:rsid w:val="69BF9281"/>
    <w:rsid w:val="69CB922A"/>
    <w:rsid w:val="69CED4CE"/>
    <w:rsid w:val="69CEDBA3"/>
    <w:rsid w:val="69D40F0C"/>
    <w:rsid w:val="69E12F3E"/>
    <w:rsid w:val="69E3EC27"/>
    <w:rsid w:val="69E5C8D1"/>
    <w:rsid w:val="6A01781F"/>
    <w:rsid w:val="6A046E04"/>
    <w:rsid w:val="6A0843EB"/>
    <w:rsid w:val="6A09F722"/>
    <w:rsid w:val="6A0F86CB"/>
    <w:rsid w:val="6A1501FC"/>
    <w:rsid w:val="6A15FDA0"/>
    <w:rsid w:val="6A16C477"/>
    <w:rsid w:val="6A1BD58A"/>
    <w:rsid w:val="6A1FC95A"/>
    <w:rsid w:val="6A2AA4E9"/>
    <w:rsid w:val="6A3B4C82"/>
    <w:rsid w:val="6A3D9934"/>
    <w:rsid w:val="6A3DDE8F"/>
    <w:rsid w:val="6A403DBC"/>
    <w:rsid w:val="6A409121"/>
    <w:rsid w:val="6A40D422"/>
    <w:rsid w:val="6A4356BD"/>
    <w:rsid w:val="6A4F8B19"/>
    <w:rsid w:val="6A557C00"/>
    <w:rsid w:val="6A575790"/>
    <w:rsid w:val="6A580578"/>
    <w:rsid w:val="6A613317"/>
    <w:rsid w:val="6A7CF4D8"/>
    <w:rsid w:val="6A7F89AC"/>
    <w:rsid w:val="6A7F92E7"/>
    <w:rsid w:val="6A812164"/>
    <w:rsid w:val="6A8343C9"/>
    <w:rsid w:val="6A84731F"/>
    <w:rsid w:val="6A879ECD"/>
    <w:rsid w:val="6A8C355E"/>
    <w:rsid w:val="6A922D4F"/>
    <w:rsid w:val="6AA40456"/>
    <w:rsid w:val="6AABEB7F"/>
    <w:rsid w:val="6AB6A7A4"/>
    <w:rsid w:val="6ABAC1BC"/>
    <w:rsid w:val="6ABE9FDA"/>
    <w:rsid w:val="6AC2AB78"/>
    <w:rsid w:val="6AC681A1"/>
    <w:rsid w:val="6AD1775C"/>
    <w:rsid w:val="6AD3FC55"/>
    <w:rsid w:val="6ADC0229"/>
    <w:rsid w:val="6AE6DF98"/>
    <w:rsid w:val="6AE8A8DC"/>
    <w:rsid w:val="6AEB366A"/>
    <w:rsid w:val="6AED7428"/>
    <w:rsid w:val="6AEFFE25"/>
    <w:rsid w:val="6AF5D3DB"/>
    <w:rsid w:val="6AFD8D73"/>
    <w:rsid w:val="6B1CB9A9"/>
    <w:rsid w:val="6B1D66F3"/>
    <w:rsid w:val="6B209BEC"/>
    <w:rsid w:val="6B20C1CB"/>
    <w:rsid w:val="6B264E49"/>
    <w:rsid w:val="6B27861C"/>
    <w:rsid w:val="6B2CE354"/>
    <w:rsid w:val="6B3756F3"/>
    <w:rsid w:val="6B496072"/>
    <w:rsid w:val="6B4970A7"/>
    <w:rsid w:val="6B4C967F"/>
    <w:rsid w:val="6B568BCD"/>
    <w:rsid w:val="6B61AAF4"/>
    <w:rsid w:val="6B63DB9B"/>
    <w:rsid w:val="6B6D84AA"/>
    <w:rsid w:val="6B7335A6"/>
    <w:rsid w:val="6B773CBB"/>
    <w:rsid w:val="6B80C8DE"/>
    <w:rsid w:val="6B8771FB"/>
    <w:rsid w:val="6B87DB37"/>
    <w:rsid w:val="6B8B44B1"/>
    <w:rsid w:val="6B8FBED2"/>
    <w:rsid w:val="6BA4F3ED"/>
    <w:rsid w:val="6BA9766D"/>
    <w:rsid w:val="6BB04ACD"/>
    <w:rsid w:val="6BB0A2FB"/>
    <w:rsid w:val="6BB31C34"/>
    <w:rsid w:val="6BBEB055"/>
    <w:rsid w:val="6BC516B5"/>
    <w:rsid w:val="6BE20E68"/>
    <w:rsid w:val="6BF41BA3"/>
    <w:rsid w:val="6BF4FD1B"/>
    <w:rsid w:val="6BF898BB"/>
    <w:rsid w:val="6BF9D255"/>
    <w:rsid w:val="6C00513C"/>
    <w:rsid w:val="6C0E6D99"/>
    <w:rsid w:val="6C154828"/>
    <w:rsid w:val="6C19993D"/>
    <w:rsid w:val="6C1B1B6A"/>
    <w:rsid w:val="6C1BB174"/>
    <w:rsid w:val="6C25CEFA"/>
    <w:rsid w:val="6C2878B8"/>
    <w:rsid w:val="6C2AED3A"/>
    <w:rsid w:val="6C2CF1C0"/>
    <w:rsid w:val="6C2E8E2B"/>
    <w:rsid w:val="6C2E9E9E"/>
    <w:rsid w:val="6C32447B"/>
    <w:rsid w:val="6C3C11F3"/>
    <w:rsid w:val="6C3C6B06"/>
    <w:rsid w:val="6C439841"/>
    <w:rsid w:val="6C45DCDB"/>
    <w:rsid w:val="6C52F5D6"/>
    <w:rsid w:val="6C6AF48B"/>
    <w:rsid w:val="6C80EA2B"/>
    <w:rsid w:val="6C80F282"/>
    <w:rsid w:val="6C87E8AD"/>
    <w:rsid w:val="6C8CFF51"/>
    <w:rsid w:val="6C8E7E7E"/>
    <w:rsid w:val="6C91DA6D"/>
    <w:rsid w:val="6C968B95"/>
    <w:rsid w:val="6C981D2E"/>
    <w:rsid w:val="6CA12B23"/>
    <w:rsid w:val="6CA2744B"/>
    <w:rsid w:val="6CA52373"/>
    <w:rsid w:val="6CA62DE1"/>
    <w:rsid w:val="6CBA4D62"/>
    <w:rsid w:val="6CC26863"/>
    <w:rsid w:val="6CC29808"/>
    <w:rsid w:val="6CCB227C"/>
    <w:rsid w:val="6CCD8F5E"/>
    <w:rsid w:val="6CD3EA24"/>
    <w:rsid w:val="6CD7D179"/>
    <w:rsid w:val="6CDA1238"/>
    <w:rsid w:val="6CDBB17E"/>
    <w:rsid w:val="6CE5E997"/>
    <w:rsid w:val="6CE7E3A9"/>
    <w:rsid w:val="6CEAB104"/>
    <w:rsid w:val="6CF01B7A"/>
    <w:rsid w:val="6CF98FDD"/>
    <w:rsid w:val="6CF9C693"/>
    <w:rsid w:val="6D005546"/>
    <w:rsid w:val="6D0337BD"/>
    <w:rsid w:val="6D035F7B"/>
    <w:rsid w:val="6D0D165A"/>
    <w:rsid w:val="6D0FAAA5"/>
    <w:rsid w:val="6D0FC0F4"/>
    <w:rsid w:val="6D173D7B"/>
    <w:rsid w:val="6D1AC33B"/>
    <w:rsid w:val="6D1D693D"/>
    <w:rsid w:val="6D1EB383"/>
    <w:rsid w:val="6D1FFFFB"/>
    <w:rsid w:val="6D206004"/>
    <w:rsid w:val="6D29FA6B"/>
    <w:rsid w:val="6D2D9846"/>
    <w:rsid w:val="6D303FB4"/>
    <w:rsid w:val="6D389D78"/>
    <w:rsid w:val="6D3F8EAE"/>
    <w:rsid w:val="6D409258"/>
    <w:rsid w:val="6D466B8D"/>
    <w:rsid w:val="6D4F26AB"/>
    <w:rsid w:val="6D523B54"/>
    <w:rsid w:val="6D57267B"/>
    <w:rsid w:val="6D584F63"/>
    <w:rsid w:val="6D5C7976"/>
    <w:rsid w:val="6D7CC645"/>
    <w:rsid w:val="6D80A2B2"/>
    <w:rsid w:val="6D84CE0F"/>
    <w:rsid w:val="6D8CD8F3"/>
    <w:rsid w:val="6D8F1A07"/>
    <w:rsid w:val="6D959303"/>
    <w:rsid w:val="6D989259"/>
    <w:rsid w:val="6DA22C95"/>
    <w:rsid w:val="6DA314B2"/>
    <w:rsid w:val="6DA48D3B"/>
    <w:rsid w:val="6DA887ED"/>
    <w:rsid w:val="6DAADB25"/>
    <w:rsid w:val="6DAC9D35"/>
    <w:rsid w:val="6DADF4F9"/>
    <w:rsid w:val="6DBA2D4F"/>
    <w:rsid w:val="6DBC899E"/>
    <w:rsid w:val="6DBCA2C1"/>
    <w:rsid w:val="6DBFF29E"/>
    <w:rsid w:val="6DC0BA96"/>
    <w:rsid w:val="6DC483B8"/>
    <w:rsid w:val="6DCA73E6"/>
    <w:rsid w:val="6DCF1520"/>
    <w:rsid w:val="6DD1B3DF"/>
    <w:rsid w:val="6DD77400"/>
    <w:rsid w:val="6DD9970F"/>
    <w:rsid w:val="6DD99F0F"/>
    <w:rsid w:val="6DDACC50"/>
    <w:rsid w:val="6DE71758"/>
    <w:rsid w:val="6DEDAB04"/>
    <w:rsid w:val="6DEEEC96"/>
    <w:rsid w:val="6DFA3A64"/>
    <w:rsid w:val="6DFD561C"/>
    <w:rsid w:val="6E0DBFC0"/>
    <w:rsid w:val="6E15777B"/>
    <w:rsid w:val="6E1E9482"/>
    <w:rsid w:val="6E1F592D"/>
    <w:rsid w:val="6E20557C"/>
    <w:rsid w:val="6E232755"/>
    <w:rsid w:val="6E3ACB2E"/>
    <w:rsid w:val="6E4D0A5C"/>
    <w:rsid w:val="6E50585C"/>
    <w:rsid w:val="6E5516A0"/>
    <w:rsid w:val="6E570B3C"/>
    <w:rsid w:val="6E5B26F9"/>
    <w:rsid w:val="6E62A815"/>
    <w:rsid w:val="6E698D2A"/>
    <w:rsid w:val="6E7BF7BC"/>
    <w:rsid w:val="6E7F1262"/>
    <w:rsid w:val="6E8056FC"/>
    <w:rsid w:val="6E823055"/>
    <w:rsid w:val="6E85E6D6"/>
    <w:rsid w:val="6E912625"/>
    <w:rsid w:val="6E9DC08B"/>
    <w:rsid w:val="6EA125F4"/>
    <w:rsid w:val="6EAAF84F"/>
    <w:rsid w:val="6EB0CAB6"/>
    <w:rsid w:val="6EB0CDD8"/>
    <w:rsid w:val="6EBA1259"/>
    <w:rsid w:val="6EBE54C3"/>
    <w:rsid w:val="6EC2F890"/>
    <w:rsid w:val="6EC4E944"/>
    <w:rsid w:val="6ED15063"/>
    <w:rsid w:val="6ED3469F"/>
    <w:rsid w:val="6ED711DF"/>
    <w:rsid w:val="6EE4C560"/>
    <w:rsid w:val="6EF11A81"/>
    <w:rsid w:val="6EF14214"/>
    <w:rsid w:val="6EF700C9"/>
    <w:rsid w:val="6F12A6CB"/>
    <w:rsid w:val="6F14463F"/>
    <w:rsid w:val="6F151E85"/>
    <w:rsid w:val="6F16C698"/>
    <w:rsid w:val="6F189EE1"/>
    <w:rsid w:val="6F1A54AC"/>
    <w:rsid w:val="6F1CE476"/>
    <w:rsid w:val="6F1EEB57"/>
    <w:rsid w:val="6F2903DB"/>
    <w:rsid w:val="6F295FDC"/>
    <w:rsid w:val="6F2B1922"/>
    <w:rsid w:val="6F2B4EC0"/>
    <w:rsid w:val="6F2E5B8E"/>
    <w:rsid w:val="6F35EA98"/>
    <w:rsid w:val="6F36200E"/>
    <w:rsid w:val="6F3830DA"/>
    <w:rsid w:val="6F3A4785"/>
    <w:rsid w:val="6F3AD56F"/>
    <w:rsid w:val="6F3E2830"/>
    <w:rsid w:val="6F428839"/>
    <w:rsid w:val="6F50B5CE"/>
    <w:rsid w:val="6F52BC24"/>
    <w:rsid w:val="6F5363BC"/>
    <w:rsid w:val="6F5549F4"/>
    <w:rsid w:val="6F5D5188"/>
    <w:rsid w:val="6F5D7867"/>
    <w:rsid w:val="6F637282"/>
    <w:rsid w:val="6F655754"/>
    <w:rsid w:val="6F65F3B0"/>
    <w:rsid w:val="6F66CB0D"/>
    <w:rsid w:val="6F68735E"/>
    <w:rsid w:val="6F6C6B7E"/>
    <w:rsid w:val="6F6E67B4"/>
    <w:rsid w:val="6F6F2B5F"/>
    <w:rsid w:val="6F7634A1"/>
    <w:rsid w:val="6F7CA5C2"/>
    <w:rsid w:val="6F821966"/>
    <w:rsid w:val="6F855BE0"/>
    <w:rsid w:val="6F889275"/>
    <w:rsid w:val="6F8A3E3B"/>
    <w:rsid w:val="6F908012"/>
    <w:rsid w:val="6F9C5C75"/>
    <w:rsid w:val="6FAAA2B4"/>
    <w:rsid w:val="6FAAF115"/>
    <w:rsid w:val="6FABDEBE"/>
    <w:rsid w:val="6FBF3620"/>
    <w:rsid w:val="6FC4512F"/>
    <w:rsid w:val="6FC60DC1"/>
    <w:rsid w:val="6FC8156B"/>
    <w:rsid w:val="6FCC4CA5"/>
    <w:rsid w:val="6FCC6869"/>
    <w:rsid w:val="6FD35D3B"/>
    <w:rsid w:val="6FD6BAE1"/>
    <w:rsid w:val="6FD938EA"/>
    <w:rsid w:val="6FDEDAB2"/>
    <w:rsid w:val="6FE11D42"/>
    <w:rsid w:val="6FE1D6C3"/>
    <w:rsid w:val="6FF95D6E"/>
    <w:rsid w:val="6FFC0EA2"/>
    <w:rsid w:val="70043B2D"/>
    <w:rsid w:val="700C71C2"/>
    <w:rsid w:val="701C6F54"/>
    <w:rsid w:val="701D648B"/>
    <w:rsid w:val="701F966C"/>
    <w:rsid w:val="702622BD"/>
    <w:rsid w:val="70274E4D"/>
    <w:rsid w:val="702E0DCA"/>
    <w:rsid w:val="7030AD9F"/>
    <w:rsid w:val="70331BC6"/>
    <w:rsid w:val="70497D5C"/>
    <w:rsid w:val="7050DA12"/>
    <w:rsid w:val="70525008"/>
    <w:rsid w:val="7052DB89"/>
    <w:rsid w:val="70641523"/>
    <w:rsid w:val="70646DC3"/>
    <w:rsid w:val="7067F310"/>
    <w:rsid w:val="707E399F"/>
    <w:rsid w:val="7080B9F5"/>
    <w:rsid w:val="7087AC4E"/>
    <w:rsid w:val="70885C14"/>
    <w:rsid w:val="708997CA"/>
    <w:rsid w:val="7089DB2E"/>
    <w:rsid w:val="708B14F9"/>
    <w:rsid w:val="70938ED1"/>
    <w:rsid w:val="70A0840A"/>
    <w:rsid w:val="70A1B658"/>
    <w:rsid w:val="70A343D7"/>
    <w:rsid w:val="70AC5915"/>
    <w:rsid w:val="70AD8EC4"/>
    <w:rsid w:val="70B7B290"/>
    <w:rsid w:val="70BB4115"/>
    <w:rsid w:val="70BD2616"/>
    <w:rsid w:val="70E8B45B"/>
    <w:rsid w:val="70E95F36"/>
    <w:rsid w:val="70EBAF8F"/>
    <w:rsid w:val="70EC14CC"/>
    <w:rsid w:val="70F34DCD"/>
    <w:rsid w:val="70F7A3A6"/>
    <w:rsid w:val="70F8DA47"/>
    <w:rsid w:val="70FFF1F6"/>
    <w:rsid w:val="710BE74B"/>
    <w:rsid w:val="7110C0B0"/>
    <w:rsid w:val="711ACD5A"/>
    <w:rsid w:val="711B5C3C"/>
    <w:rsid w:val="711C44E4"/>
    <w:rsid w:val="711F1BED"/>
    <w:rsid w:val="712498C3"/>
    <w:rsid w:val="7127F31F"/>
    <w:rsid w:val="712F7C7E"/>
    <w:rsid w:val="71314F7A"/>
    <w:rsid w:val="713B0212"/>
    <w:rsid w:val="713D671D"/>
    <w:rsid w:val="714014AC"/>
    <w:rsid w:val="714AB512"/>
    <w:rsid w:val="714C5EFE"/>
    <w:rsid w:val="715030BF"/>
    <w:rsid w:val="7150E6AF"/>
    <w:rsid w:val="7151CA83"/>
    <w:rsid w:val="71540C77"/>
    <w:rsid w:val="71550A07"/>
    <w:rsid w:val="71571B16"/>
    <w:rsid w:val="71589285"/>
    <w:rsid w:val="7159E9C6"/>
    <w:rsid w:val="715F43D4"/>
    <w:rsid w:val="7165189F"/>
    <w:rsid w:val="71663B8D"/>
    <w:rsid w:val="7167E53A"/>
    <w:rsid w:val="716F12D2"/>
    <w:rsid w:val="71751923"/>
    <w:rsid w:val="71802E87"/>
    <w:rsid w:val="71961B6E"/>
    <w:rsid w:val="71988130"/>
    <w:rsid w:val="719CEAB0"/>
    <w:rsid w:val="71A18028"/>
    <w:rsid w:val="71A8EC14"/>
    <w:rsid w:val="71AE0301"/>
    <w:rsid w:val="71B01983"/>
    <w:rsid w:val="71C5F365"/>
    <w:rsid w:val="71C780B5"/>
    <w:rsid w:val="71CEC3A4"/>
    <w:rsid w:val="71D9398D"/>
    <w:rsid w:val="71DA82CD"/>
    <w:rsid w:val="71DF9B8C"/>
    <w:rsid w:val="71ED3FCA"/>
    <w:rsid w:val="71F887A9"/>
    <w:rsid w:val="71FAF7C4"/>
    <w:rsid w:val="71FCBAEE"/>
    <w:rsid w:val="7205AE2E"/>
    <w:rsid w:val="7207F23D"/>
    <w:rsid w:val="720885E4"/>
    <w:rsid w:val="720910EF"/>
    <w:rsid w:val="720EF18D"/>
    <w:rsid w:val="721E999D"/>
    <w:rsid w:val="721EBE18"/>
    <w:rsid w:val="72232F01"/>
    <w:rsid w:val="722408AB"/>
    <w:rsid w:val="72266E34"/>
    <w:rsid w:val="72289C2B"/>
    <w:rsid w:val="72383213"/>
    <w:rsid w:val="7238DC88"/>
    <w:rsid w:val="7239D974"/>
    <w:rsid w:val="72507058"/>
    <w:rsid w:val="7255623C"/>
    <w:rsid w:val="725B9390"/>
    <w:rsid w:val="725DE003"/>
    <w:rsid w:val="7261009E"/>
    <w:rsid w:val="7265DE42"/>
    <w:rsid w:val="726A78A3"/>
    <w:rsid w:val="726DC26D"/>
    <w:rsid w:val="72721C10"/>
    <w:rsid w:val="7274BBED"/>
    <w:rsid w:val="7277DF7D"/>
    <w:rsid w:val="727B499A"/>
    <w:rsid w:val="728187CA"/>
    <w:rsid w:val="7283163D"/>
    <w:rsid w:val="7285B528"/>
    <w:rsid w:val="728B460D"/>
    <w:rsid w:val="729E48B3"/>
    <w:rsid w:val="72A38CFA"/>
    <w:rsid w:val="72A74331"/>
    <w:rsid w:val="72AB23D3"/>
    <w:rsid w:val="72AD919B"/>
    <w:rsid w:val="72B05A0A"/>
    <w:rsid w:val="72B69C8B"/>
    <w:rsid w:val="72BAF2F3"/>
    <w:rsid w:val="72BF1E0F"/>
    <w:rsid w:val="72CCF964"/>
    <w:rsid w:val="72D8B833"/>
    <w:rsid w:val="72DD6E4B"/>
    <w:rsid w:val="72E99037"/>
    <w:rsid w:val="72EE1FA6"/>
    <w:rsid w:val="72F0664C"/>
    <w:rsid w:val="72F123B1"/>
    <w:rsid w:val="72F6B901"/>
    <w:rsid w:val="7305FA2C"/>
    <w:rsid w:val="7307D067"/>
    <w:rsid w:val="7310C71F"/>
    <w:rsid w:val="7311C4A7"/>
    <w:rsid w:val="73142D23"/>
    <w:rsid w:val="73152A1C"/>
    <w:rsid w:val="731AC1A5"/>
    <w:rsid w:val="731E3B23"/>
    <w:rsid w:val="73208517"/>
    <w:rsid w:val="73269B92"/>
    <w:rsid w:val="7334DD1B"/>
    <w:rsid w:val="73352F27"/>
    <w:rsid w:val="733842E0"/>
    <w:rsid w:val="733EF04A"/>
    <w:rsid w:val="734248A6"/>
    <w:rsid w:val="734B9500"/>
    <w:rsid w:val="7357CAB4"/>
    <w:rsid w:val="735DF078"/>
    <w:rsid w:val="736178C1"/>
    <w:rsid w:val="73692C44"/>
    <w:rsid w:val="736D56A2"/>
    <w:rsid w:val="7370B07C"/>
    <w:rsid w:val="7371C582"/>
    <w:rsid w:val="7373FDD9"/>
    <w:rsid w:val="7379EE7F"/>
    <w:rsid w:val="7388773D"/>
    <w:rsid w:val="738F7979"/>
    <w:rsid w:val="73913955"/>
    <w:rsid w:val="7391AB0C"/>
    <w:rsid w:val="7399C6E3"/>
    <w:rsid w:val="739B132C"/>
    <w:rsid w:val="73A0046B"/>
    <w:rsid w:val="73A55D3F"/>
    <w:rsid w:val="73B0D03E"/>
    <w:rsid w:val="73B348CC"/>
    <w:rsid w:val="73BA1CB3"/>
    <w:rsid w:val="73BA4907"/>
    <w:rsid w:val="73C037B4"/>
    <w:rsid w:val="73C0F7DF"/>
    <w:rsid w:val="73C66795"/>
    <w:rsid w:val="73D1DAB4"/>
    <w:rsid w:val="73E1E83E"/>
    <w:rsid w:val="73ECC5AA"/>
    <w:rsid w:val="73EF4A79"/>
    <w:rsid w:val="73F6EA46"/>
    <w:rsid w:val="73F9F4A2"/>
    <w:rsid w:val="73FAB446"/>
    <w:rsid w:val="74086DC4"/>
    <w:rsid w:val="740CD0D2"/>
    <w:rsid w:val="7412CED7"/>
    <w:rsid w:val="74194907"/>
    <w:rsid w:val="741C3C38"/>
    <w:rsid w:val="741F55F3"/>
    <w:rsid w:val="74233AE7"/>
    <w:rsid w:val="742A7B2E"/>
    <w:rsid w:val="742E158E"/>
    <w:rsid w:val="7432086D"/>
    <w:rsid w:val="74383DE1"/>
    <w:rsid w:val="7438CB13"/>
    <w:rsid w:val="743B7BFA"/>
    <w:rsid w:val="743F5E42"/>
    <w:rsid w:val="744CEB7D"/>
    <w:rsid w:val="7450DA2D"/>
    <w:rsid w:val="745196F2"/>
    <w:rsid w:val="746239D7"/>
    <w:rsid w:val="746A537C"/>
    <w:rsid w:val="746B5076"/>
    <w:rsid w:val="746C4998"/>
    <w:rsid w:val="746E2145"/>
    <w:rsid w:val="746F93E4"/>
    <w:rsid w:val="7470E49A"/>
    <w:rsid w:val="7473B3B3"/>
    <w:rsid w:val="74802094"/>
    <w:rsid w:val="74806CDF"/>
    <w:rsid w:val="74921B0B"/>
    <w:rsid w:val="74947219"/>
    <w:rsid w:val="7495CE2D"/>
    <w:rsid w:val="749C779B"/>
    <w:rsid w:val="749F49B7"/>
    <w:rsid w:val="74A2F2BD"/>
    <w:rsid w:val="74AEFECB"/>
    <w:rsid w:val="74B11638"/>
    <w:rsid w:val="74B1A999"/>
    <w:rsid w:val="74B69102"/>
    <w:rsid w:val="74B96214"/>
    <w:rsid w:val="74BDCF47"/>
    <w:rsid w:val="74BF41FD"/>
    <w:rsid w:val="74C3AC42"/>
    <w:rsid w:val="74C9AF73"/>
    <w:rsid w:val="74D2B06F"/>
    <w:rsid w:val="74D3B6BE"/>
    <w:rsid w:val="74D7E9D7"/>
    <w:rsid w:val="74DB09D1"/>
    <w:rsid w:val="74DD4317"/>
    <w:rsid w:val="74E72AB4"/>
    <w:rsid w:val="74EEDB32"/>
    <w:rsid w:val="74EF0C36"/>
    <w:rsid w:val="74F3EFDF"/>
    <w:rsid w:val="74F8269D"/>
    <w:rsid w:val="74F88BEA"/>
    <w:rsid w:val="74FBD512"/>
    <w:rsid w:val="74FCAB8D"/>
    <w:rsid w:val="750108F2"/>
    <w:rsid w:val="750973D1"/>
    <w:rsid w:val="7509C224"/>
    <w:rsid w:val="750C7883"/>
    <w:rsid w:val="751E1C39"/>
    <w:rsid w:val="751FD268"/>
    <w:rsid w:val="752AFAB5"/>
    <w:rsid w:val="752F95F0"/>
    <w:rsid w:val="7538951D"/>
    <w:rsid w:val="7539E0FF"/>
    <w:rsid w:val="753C95D8"/>
    <w:rsid w:val="754AD32E"/>
    <w:rsid w:val="75550C1D"/>
    <w:rsid w:val="7556744A"/>
    <w:rsid w:val="7557B5DF"/>
    <w:rsid w:val="7563EF9B"/>
    <w:rsid w:val="7565D4B4"/>
    <w:rsid w:val="75879325"/>
    <w:rsid w:val="758CC9B3"/>
    <w:rsid w:val="758DD8FE"/>
    <w:rsid w:val="7593396C"/>
    <w:rsid w:val="759355C1"/>
    <w:rsid w:val="75943C04"/>
    <w:rsid w:val="7594EF28"/>
    <w:rsid w:val="75A0DDE9"/>
    <w:rsid w:val="75A3CC23"/>
    <w:rsid w:val="75A99CEA"/>
    <w:rsid w:val="75B1A685"/>
    <w:rsid w:val="75CA1FB6"/>
    <w:rsid w:val="75CC96CF"/>
    <w:rsid w:val="75D3114A"/>
    <w:rsid w:val="75E6615B"/>
    <w:rsid w:val="75EADCAC"/>
    <w:rsid w:val="75EF5DEB"/>
    <w:rsid w:val="75EF7602"/>
    <w:rsid w:val="75F4E230"/>
    <w:rsid w:val="75FBE07E"/>
    <w:rsid w:val="760F18ED"/>
    <w:rsid w:val="761EE4D2"/>
    <w:rsid w:val="762AFCA6"/>
    <w:rsid w:val="7634E8C1"/>
    <w:rsid w:val="76381DB6"/>
    <w:rsid w:val="763D4A7A"/>
    <w:rsid w:val="763ED9B1"/>
    <w:rsid w:val="76414821"/>
    <w:rsid w:val="7642410F"/>
    <w:rsid w:val="764DE9EB"/>
    <w:rsid w:val="76569A4A"/>
    <w:rsid w:val="765A9994"/>
    <w:rsid w:val="76607F32"/>
    <w:rsid w:val="766703FB"/>
    <w:rsid w:val="7673D85A"/>
    <w:rsid w:val="76769232"/>
    <w:rsid w:val="76790D16"/>
    <w:rsid w:val="76861A1E"/>
    <w:rsid w:val="768AD081"/>
    <w:rsid w:val="7693D589"/>
    <w:rsid w:val="7697ECA6"/>
    <w:rsid w:val="769C7FBA"/>
    <w:rsid w:val="76A2EA8E"/>
    <w:rsid w:val="76A4976D"/>
    <w:rsid w:val="76B7EF2E"/>
    <w:rsid w:val="76BBEDCE"/>
    <w:rsid w:val="76BBF35D"/>
    <w:rsid w:val="76C7BE5E"/>
    <w:rsid w:val="76C7C283"/>
    <w:rsid w:val="76CBB554"/>
    <w:rsid w:val="76CBD0C9"/>
    <w:rsid w:val="76CDB7E6"/>
    <w:rsid w:val="76D04DFB"/>
    <w:rsid w:val="76D9649A"/>
    <w:rsid w:val="76DF50C3"/>
    <w:rsid w:val="76E5E8A2"/>
    <w:rsid w:val="76F0B3B9"/>
    <w:rsid w:val="76F222C8"/>
    <w:rsid w:val="76F6C3C1"/>
    <w:rsid w:val="76FB08DC"/>
    <w:rsid w:val="76FF54E4"/>
    <w:rsid w:val="7703B4D5"/>
    <w:rsid w:val="7703E998"/>
    <w:rsid w:val="770BA9DD"/>
    <w:rsid w:val="770DD305"/>
    <w:rsid w:val="770F4861"/>
    <w:rsid w:val="7714D4A4"/>
    <w:rsid w:val="7714F2FF"/>
    <w:rsid w:val="77158C5B"/>
    <w:rsid w:val="77223FD5"/>
    <w:rsid w:val="77273E0E"/>
    <w:rsid w:val="772B0E5C"/>
    <w:rsid w:val="772FD28D"/>
    <w:rsid w:val="7738EE51"/>
    <w:rsid w:val="773C5A4E"/>
    <w:rsid w:val="775B172B"/>
    <w:rsid w:val="7761D4E4"/>
    <w:rsid w:val="77629EDE"/>
    <w:rsid w:val="7765B694"/>
    <w:rsid w:val="7769C3F5"/>
    <w:rsid w:val="777136B1"/>
    <w:rsid w:val="77797634"/>
    <w:rsid w:val="777DA748"/>
    <w:rsid w:val="7785EB98"/>
    <w:rsid w:val="778BDE33"/>
    <w:rsid w:val="778D7410"/>
    <w:rsid w:val="7790E412"/>
    <w:rsid w:val="7792624D"/>
    <w:rsid w:val="7796EA1B"/>
    <w:rsid w:val="7797587F"/>
    <w:rsid w:val="779EA107"/>
    <w:rsid w:val="77A0C59E"/>
    <w:rsid w:val="77A69D9B"/>
    <w:rsid w:val="77A840D7"/>
    <w:rsid w:val="77B24851"/>
    <w:rsid w:val="77B415BB"/>
    <w:rsid w:val="77B4257E"/>
    <w:rsid w:val="77B61252"/>
    <w:rsid w:val="77BA1729"/>
    <w:rsid w:val="77BC3B1E"/>
    <w:rsid w:val="77BCD099"/>
    <w:rsid w:val="77C33484"/>
    <w:rsid w:val="77C5874F"/>
    <w:rsid w:val="77C59D8D"/>
    <w:rsid w:val="77D39EB8"/>
    <w:rsid w:val="77D90AF1"/>
    <w:rsid w:val="77E10D5D"/>
    <w:rsid w:val="77E92992"/>
    <w:rsid w:val="77EAE87B"/>
    <w:rsid w:val="77F1F7F3"/>
    <w:rsid w:val="77F76510"/>
    <w:rsid w:val="77F8A7BF"/>
    <w:rsid w:val="77FD9345"/>
    <w:rsid w:val="77FF5C94"/>
    <w:rsid w:val="780BCDDE"/>
    <w:rsid w:val="780F9937"/>
    <w:rsid w:val="781227F3"/>
    <w:rsid w:val="78128F3B"/>
    <w:rsid w:val="78133957"/>
    <w:rsid w:val="78143B88"/>
    <w:rsid w:val="7814DBA9"/>
    <w:rsid w:val="781523FC"/>
    <w:rsid w:val="781B448A"/>
    <w:rsid w:val="781BF8DF"/>
    <w:rsid w:val="7823E153"/>
    <w:rsid w:val="783C7B62"/>
    <w:rsid w:val="7840F736"/>
    <w:rsid w:val="78453A89"/>
    <w:rsid w:val="784DBAD5"/>
    <w:rsid w:val="784EAE47"/>
    <w:rsid w:val="78510635"/>
    <w:rsid w:val="78600102"/>
    <w:rsid w:val="7862B5B6"/>
    <w:rsid w:val="7867B517"/>
    <w:rsid w:val="7877AA2E"/>
    <w:rsid w:val="7882121C"/>
    <w:rsid w:val="788915CF"/>
    <w:rsid w:val="788A2FFE"/>
    <w:rsid w:val="788C639E"/>
    <w:rsid w:val="788DB660"/>
    <w:rsid w:val="78A2C1DC"/>
    <w:rsid w:val="78A36546"/>
    <w:rsid w:val="78A4E2F7"/>
    <w:rsid w:val="78AAFF0B"/>
    <w:rsid w:val="78B9D259"/>
    <w:rsid w:val="78BF3107"/>
    <w:rsid w:val="78C19CAE"/>
    <w:rsid w:val="78C5A74A"/>
    <w:rsid w:val="78C84399"/>
    <w:rsid w:val="78CEF08D"/>
    <w:rsid w:val="78D4BB48"/>
    <w:rsid w:val="78E75A49"/>
    <w:rsid w:val="78E8CAAA"/>
    <w:rsid w:val="78EC5C8D"/>
    <w:rsid w:val="78EF3F85"/>
    <w:rsid w:val="78F377F8"/>
    <w:rsid w:val="78F50649"/>
    <w:rsid w:val="79033480"/>
    <w:rsid w:val="7906DCFD"/>
    <w:rsid w:val="7916BB95"/>
    <w:rsid w:val="791E1533"/>
    <w:rsid w:val="79268EB6"/>
    <w:rsid w:val="7932E545"/>
    <w:rsid w:val="79378B90"/>
    <w:rsid w:val="793F3037"/>
    <w:rsid w:val="7944DB57"/>
    <w:rsid w:val="7949261E"/>
    <w:rsid w:val="794E857A"/>
    <w:rsid w:val="79591C33"/>
    <w:rsid w:val="795D2FFF"/>
    <w:rsid w:val="79617AB6"/>
    <w:rsid w:val="7962EA3E"/>
    <w:rsid w:val="7966C336"/>
    <w:rsid w:val="796BEA4F"/>
    <w:rsid w:val="796C3CC8"/>
    <w:rsid w:val="79727F03"/>
    <w:rsid w:val="79765BF7"/>
    <w:rsid w:val="7979B543"/>
    <w:rsid w:val="798F7FCD"/>
    <w:rsid w:val="79902124"/>
    <w:rsid w:val="7995A535"/>
    <w:rsid w:val="79978F5B"/>
    <w:rsid w:val="79A57449"/>
    <w:rsid w:val="79A81FB9"/>
    <w:rsid w:val="79A84C07"/>
    <w:rsid w:val="79B1B93D"/>
    <w:rsid w:val="79B68115"/>
    <w:rsid w:val="79B6F9EA"/>
    <w:rsid w:val="79B86D1C"/>
    <w:rsid w:val="79BD3F93"/>
    <w:rsid w:val="79C42AEE"/>
    <w:rsid w:val="79CD0F14"/>
    <w:rsid w:val="79D10CEF"/>
    <w:rsid w:val="79D4D0DE"/>
    <w:rsid w:val="79D6F277"/>
    <w:rsid w:val="79DA1C53"/>
    <w:rsid w:val="79DD2470"/>
    <w:rsid w:val="79E0F54E"/>
    <w:rsid w:val="79E56413"/>
    <w:rsid w:val="79E5EA9C"/>
    <w:rsid w:val="79E8ED4D"/>
    <w:rsid w:val="79EB52B2"/>
    <w:rsid w:val="79EBB66F"/>
    <w:rsid w:val="79F0F3C9"/>
    <w:rsid w:val="7A0493D7"/>
    <w:rsid w:val="7A0682F7"/>
    <w:rsid w:val="7A0A35B6"/>
    <w:rsid w:val="7A171C76"/>
    <w:rsid w:val="7A1AB9C8"/>
    <w:rsid w:val="7A27B755"/>
    <w:rsid w:val="7A27E375"/>
    <w:rsid w:val="7A29FBAA"/>
    <w:rsid w:val="7A330139"/>
    <w:rsid w:val="7A353940"/>
    <w:rsid w:val="7A383105"/>
    <w:rsid w:val="7A3D71BA"/>
    <w:rsid w:val="7A3E5792"/>
    <w:rsid w:val="7A412B86"/>
    <w:rsid w:val="7A44BA76"/>
    <w:rsid w:val="7A45AB54"/>
    <w:rsid w:val="7A483202"/>
    <w:rsid w:val="7A488784"/>
    <w:rsid w:val="7A4B5E20"/>
    <w:rsid w:val="7A532CD9"/>
    <w:rsid w:val="7A54305F"/>
    <w:rsid w:val="7A547E4D"/>
    <w:rsid w:val="7A59960A"/>
    <w:rsid w:val="7A618075"/>
    <w:rsid w:val="7A63202C"/>
    <w:rsid w:val="7A659DBE"/>
    <w:rsid w:val="7A67FFE6"/>
    <w:rsid w:val="7A6E2B4F"/>
    <w:rsid w:val="7A741F5A"/>
    <w:rsid w:val="7A7C9E37"/>
    <w:rsid w:val="7A7D8DE0"/>
    <w:rsid w:val="7A827959"/>
    <w:rsid w:val="7A83BEEA"/>
    <w:rsid w:val="7A88AFA1"/>
    <w:rsid w:val="7A94A32A"/>
    <w:rsid w:val="7A9541A1"/>
    <w:rsid w:val="7A96B3A5"/>
    <w:rsid w:val="7A99CF64"/>
    <w:rsid w:val="7AA32C2C"/>
    <w:rsid w:val="7AAB66C8"/>
    <w:rsid w:val="7AB0F6B1"/>
    <w:rsid w:val="7ABAA9E7"/>
    <w:rsid w:val="7AC84D2D"/>
    <w:rsid w:val="7ACF73D3"/>
    <w:rsid w:val="7AD245BD"/>
    <w:rsid w:val="7AD4BD1B"/>
    <w:rsid w:val="7AE7D59C"/>
    <w:rsid w:val="7AE8BF16"/>
    <w:rsid w:val="7AF0CAFB"/>
    <w:rsid w:val="7AF3FE38"/>
    <w:rsid w:val="7AFF3E4B"/>
    <w:rsid w:val="7B02EDEF"/>
    <w:rsid w:val="7B069154"/>
    <w:rsid w:val="7B0832B1"/>
    <w:rsid w:val="7B0D4B9C"/>
    <w:rsid w:val="7B0FE2FE"/>
    <w:rsid w:val="7B10566F"/>
    <w:rsid w:val="7B115744"/>
    <w:rsid w:val="7B13A361"/>
    <w:rsid w:val="7B1480B8"/>
    <w:rsid w:val="7B1655B3"/>
    <w:rsid w:val="7B16B672"/>
    <w:rsid w:val="7B1703D2"/>
    <w:rsid w:val="7B17A81B"/>
    <w:rsid w:val="7B2729C3"/>
    <w:rsid w:val="7B2F76A4"/>
    <w:rsid w:val="7B455DF0"/>
    <w:rsid w:val="7B4804EF"/>
    <w:rsid w:val="7B480DA9"/>
    <w:rsid w:val="7B4C3D71"/>
    <w:rsid w:val="7B4C9614"/>
    <w:rsid w:val="7B4D6047"/>
    <w:rsid w:val="7B4FD89D"/>
    <w:rsid w:val="7B5993C7"/>
    <w:rsid w:val="7B61622F"/>
    <w:rsid w:val="7B69BD80"/>
    <w:rsid w:val="7B6BC3DB"/>
    <w:rsid w:val="7B72B380"/>
    <w:rsid w:val="7B7E73E9"/>
    <w:rsid w:val="7B7EDD6D"/>
    <w:rsid w:val="7B80B7F5"/>
    <w:rsid w:val="7B8941D9"/>
    <w:rsid w:val="7B8B0658"/>
    <w:rsid w:val="7B8B0711"/>
    <w:rsid w:val="7B917666"/>
    <w:rsid w:val="7B91E6B6"/>
    <w:rsid w:val="7B94E94B"/>
    <w:rsid w:val="7B990BC0"/>
    <w:rsid w:val="7B9CCCF4"/>
    <w:rsid w:val="7BA83E34"/>
    <w:rsid w:val="7BAA1572"/>
    <w:rsid w:val="7BC3496E"/>
    <w:rsid w:val="7BC99ADB"/>
    <w:rsid w:val="7BD1339D"/>
    <w:rsid w:val="7BD9D5C4"/>
    <w:rsid w:val="7BDC8FDD"/>
    <w:rsid w:val="7BE2C6F0"/>
    <w:rsid w:val="7BE600FE"/>
    <w:rsid w:val="7BEB60A9"/>
    <w:rsid w:val="7BF9CAA3"/>
    <w:rsid w:val="7BFEE5BD"/>
    <w:rsid w:val="7C063DBD"/>
    <w:rsid w:val="7C0E3EB4"/>
    <w:rsid w:val="7C1C1905"/>
    <w:rsid w:val="7C20E05B"/>
    <w:rsid w:val="7C237357"/>
    <w:rsid w:val="7C24FA96"/>
    <w:rsid w:val="7C255829"/>
    <w:rsid w:val="7C2B972A"/>
    <w:rsid w:val="7C34D198"/>
    <w:rsid w:val="7C374F59"/>
    <w:rsid w:val="7C38847B"/>
    <w:rsid w:val="7C3B05D9"/>
    <w:rsid w:val="7C40BDB0"/>
    <w:rsid w:val="7C4EB002"/>
    <w:rsid w:val="7C503BB1"/>
    <w:rsid w:val="7C560699"/>
    <w:rsid w:val="7C5AB04A"/>
    <w:rsid w:val="7C5F9310"/>
    <w:rsid w:val="7C64766A"/>
    <w:rsid w:val="7C697F8B"/>
    <w:rsid w:val="7C6B8575"/>
    <w:rsid w:val="7C6E5D57"/>
    <w:rsid w:val="7C731D7B"/>
    <w:rsid w:val="7C7A2343"/>
    <w:rsid w:val="7C8C12DF"/>
    <w:rsid w:val="7C95587A"/>
    <w:rsid w:val="7C9ABE61"/>
    <w:rsid w:val="7C9E75F7"/>
    <w:rsid w:val="7CA7281A"/>
    <w:rsid w:val="7CAC8BFE"/>
    <w:rsid w:val="7CB4D98C"/>
    <w:rsid w:val="7CCB7268"/>
    <w:rsid w:val="7CCD0095"/>
    <w:rsid w:val="7CCE637C"/>
    <w:rsid w:val="7CD28BAE"/>
    <w:rsid w:val="7CD5E719"/>
    <w:rsid w:val="7CD5FDAF"/>
    <w:rsid w:val="7CDB515C"/>
    <w:rsid w:val="7CDCD7C6"/>
    <w:rsid w:val="7CE3C8A6"/>
    <w:rsid w:val="7CE75432"/>
    <w:rsid w:val="7CE7B320"/>
    <w:rsid w:val="7CEC09B1"/>
    <w:rsid w:val="7CED7693"/>
    <w:rsid w:val="7CFD9E8A"/>
    <w:rsid w:val="7D029CBE"/>
    <w:rsid w:val="7D060C89"/>
    <w:rsid w:val="7D06D666"/>
    <w:rsid w:val="7D0F92AB"/>
    <w:rsid w:val="7D118CBB"/>
    <w:rsid w:val="7D1499E2"/>
    <w:rsid w:val="7D22DD21"/>
    <w:rsid w:val="7D28BECB"/>
    <w:rsid w:val="7D2C554C"/>
    <w:rsid w:val="7D2FE9B7"/>
    <w:rsid w:val="7D33CD8D"/>
    <w:rsid w:val="7D340BE3"/>
    <w:rsid w:val="7D39B454"/>
    <w:rsid w:val="7D3DE86F"/>
    <w:rsid w:val="7D4D46E5"/>
    <w:rsid w:val="7D4DBC98"/>
    <w:rsid w:val="7D561AB7"/>
    <w:rsid w:val="7D57E990"/>
    <w:rsid w:val="7D607869"/>
    <w:rsid w:val="7D8479D4"/>
    <w:rsid w:val="7D894DAC"/>
    <w:rsid w:val="7D8DDA92"/>
    <w:rsid w:val="7D928520"/>
    <w:rsid w:val="7D982D9F"/>
    <w:rsid w:val="7D98E1BD"/>
    <w:rsid w:val="7D9B3E52"/>
    <w:rsid w:val="7D9DA6F5"/>
    <w:rsid w:val="7D9F4FD8"/>
    <w:rsid w:val="7DA86E0A"/>
    <w:rsid w:val="7DABC0EF"/>
    <w:rsid w:val="7DBB4BA5"/>
    <w:rsid w:val="7DBD1E11"/>
    <w:rsid w:val="7DC933CA"/>
    <w:rsid w:val="7DC9F696"/>
    <w:rsid w:val="7DD1C323"/>
    <w:rsid w:val="7DD29193"/>
    <w:rsid w:val="7DD394BB"/>
    <w:rsid w:val="7DD520ED"/>
    <w:rsid w:val="7DD72BC2"/>
    <w:rsid w:val="7DDBAC6D"/>
    <w:rsid w:val="7DE63CAA"/>
    <w:rsid w:val="7DED62DE"/>
    <w:rsid w:val="7DF320FF"/>
    <w:rsid w:val="7DFF136F"/>
    <w:rsid w:val="7E06C28E"/>
    <w:rsid w:val="7E0B66C3"/>
    <w:rsid w:val="7E0B8CDA"/>
    <w:rsid w:val="7E1141A3"/>
    <w:rsid w:val="7E1181C0"/>
    <w:rsid w:val="7E1B6042"/>
    <w:rsid w:val="7E216D92"/>
    <w:rsid w:val="7E263E58"/>
    <w:rsid w:val="7E27296E"/>
    <w:rsid w:val="7E29040D"/>
    <w:rsid w:val="7E2DDC71"/>
    <w:rsid w:val="7E2F2858"/>
    <w:rsid w:val="7E3688AD"/>
    <w:rsid w:val="7E392516"/>
    <w:rsid w:val="7E3F9968"/>
    <w:rsid w:val="7E3FD373"/>
    <w:rsid w:val="7E42FE61"/>
    <w:rsid w:val="7E434B20"/>
    <w:rsid w:val="7E43CC18"/>
    <w:rsid w:val="7E5720B7"/>
    <w:rsid w:val="7E5E8045"/>
    <w:rsid w:val="7E65466C"/>
    <w:rsid w:val="7E6B1884"/>
    <w:rsid w:val="7E6F0393"/>
    <w:rsid w:val="7E733037"/>
    <w:rsid w:val="7E75FF1F"/>
    <w:rsid w:val="7E771DEB"/>
    <w:rsid w:val="7E7C1160"/>
    <w:rsid w:val="7E817873"/>
    <w:rsid w:val="7E8DEB26"/>
    <w:rsid w:val="7E8E9809"/>
    <w:rsid w:val="7E936D76"/>
    <w:rsid w:val="7E985FCC"/>
    <w:rsid w:val="7E9E437C"/>
    <w:rsid w:val="7E9F05D4"/>
    <w:rsid w:val="7EA7B16F"/>
    <w:rsid w:val="7EAFFF4D"/>
    <w:rsid w:val="7EB073E4"/>
    <w:rsid w:val="7EC56DBE"/>
    <w:rsid w:val="7EC85B90"/>
    <w:rsid w:val="7ECBCBF4"/>
    <w:rsid w:val="7ECD1DDB"/>
    <w:rsid w:val="7ECD74C3"/>
    <w:rsid w:val="7ECD93BC"/>
    <w:rsid w:val="7ED06A37"/>
    <w:rsid w:val="7EDA633C"/>
    <w:rsid w:val="7EE46C00"/>
    <w:rsid w:val="7EED814D"/>
    <w:rsid w:val="7EF690EB"/>
    <w:rsid w:val="7F03682C"/>
    <w:rsid w:val="7F03DC88"/>
    <w:rsid w:val="7F1655F4"/>
    <w:rsid w:val="7F1A15BF"/>
    <w:rsid w:val="7F289E6B"/>
    <w:rsid w:val="7F34FAB6"/>
    <w:rsid w:val="7F3EDD79"/>
    <w:rsid w:val="7F440E6A"/>
    <w:rsid w:val="7F47712C"/>
    <w:rsid w:val="7F486BDB"/>
    <w:rsid w:val="7F495692"/>
    <w:rsid w:val="7F4E2C74"/>
    <w:rsid w:val="7F60121D"/>
    <w:rsid w:val="7F62B2A4"/>
    <w:rsid w:val="7F7D7D33"/>
    <w:rsid w:val="7F828C2E"/>
    <w:rsid w:val="7F89972B"/>
    <w:rsid w:val="7F8D9CE0"/>
    <w:rsid w:val="7F92018A"/>
    <w:rsid w:val="7F9360A2"/>
    <w:rsid w:val="7F97A597"/>
    <w:rsid w:val="7F9CD944"/>
    <w:rsid w:val="7FA18CB0"/>
    <w:rsid w:val="7FA2F443"/>
    <w:rsid w:val="7FA6FE2C"/>
    <w:rsid w:val="7FAE8FAB"/>
    <w:rsid w:val="7FB27E68"/>
    <w:rsid w:val="7FBBA7F1"/>
    <w:rsid w:val="7FCB879A"/>
    <w:rsid w:val="7FD6F72D"/>
    <w:rsid w:val="7FDF3D79"/>
    <w:rsid w:val="7FE271F1"/>
    <w:rsid w:val="7FE74D30"/>
    <w:rsid w:val="7FF23BB7"/>
    <w:rsid w:val="7FF55D15"/>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54C8D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0" w:qFormat="1"/>
    <w:lsdException w:name="heading 2" w:semiHidden="1" w:uiPriority="90" w:unhideWhenUsed="1" w:qFormat="1"/>
    <w:lsdException w:name="heading 3" w:semiHidden="1" w:uiPriority="90" w:unhideWhenUsed="1" w:qFormat="1"/>
    <w:lsdException w:name="heading 4" w:semiHidden="1" w:uiPriority="9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07F1"/>
    <w:pPr>
      <w:jc w:val="both"/>
    </w:pPr>
    <w:rPr>
      <w:rFonts w:ascii="Times New Roman" w:hAnsi="Times New Roman"/>
    </w:rPr>
  </w:style>
  <w:style w:type="paragraph" w:styleId="Heading1">
    <w:name w:val="heading 1"/>
    <w:basedOn w:val="Normal"/>
    <w:next w:val="Normal"/>
    <w:link w:val="Heading1Char"/>
    <w:uiPriority w:val="90"/>
    <w:qFormat/>
    <w:rsid w:val="00E6448C"/>
    <w:pPr>
      <w:keepNext/>
      <w:numPr>
        <w:numId w:val="11"/>
      </w:numPr>
      <w:spacing w:before="240" w:after="240" w:line="240" w:lineRule="auto"/>
      <w:outlineLvl w:val="0"/>
    </w:pPr>
    <w:rPr>
      <w:rFonts w:ascii="Calibri" w:eastAsia="Calibri" w:hAnsi="Calibri" w:cs="Calibri"/>
      <w:b/>
      <w:smallCaps/>
      <w:sz w:val="24"/>
    </w:rPr>
  </w:style>
  <w:style w:type="paragraph" w:styleId="Heading2">
    <w:name w:val="heading 2"/>
    <w:basedOn w:val="Normal"/>
    <w:next w:val="Normal"/>
    <w:link w:val="Heading2Char"/>
    <w:uiPriority w:val="90"/>
    <w:qFormat/>
    <w:rsid w:val="00E6448C"/>
    <w:pPr>
      <w:keepNext/>
      <w:numPr>
        <w:ilvl w:val="1"/>
        <w:numId w:val="11"/>
      </w:numPr>
      <w:spacing w:after="240" w:line="240" w:lineRule="auto"/>
      <w:outlineLvl w:val="1"/>
    </w:pPr>
    <w:rPr>
      <w:rFonts w:ascii="Calibri Light" w:eastAsia="Calibri Light" w:hAnsi="Calibri Light" w:cs="Calibri Light"/>
      <w:b/>
      <w:sz w:val="24"/>
    </w:rPr>
  </w:style>
  <w:style w:type="paragraph" w:styleId="Heading3">
    <w:name w:val="heading 3"/>
    <w:basedOn w:val="Normal"/>
    <w:next w:val="Normal"/>
    <w:link w:val="Heading3Char"/>
    <w:uiPriority w:val="90"/>
    <w:qFormat/>
    <w:rsid w:val="00E6448C"/>
    <w:pPr>
      <w:keepNext/>
      <w:numPr>
        <w:ilvl w:val="2"/>
        <w:numId w:val="11"/>
      </w:numPr>
      <w:tabs>
        <w:tab w:val="clear" w:pos="1922"/>
        <w:tab w:val="num" w:pos="360"/>
      </w:tabs>
      <w:spacing w:after="240" w:line="240" w:lineRule="auto"/>
      <w:ind w:left="0" w:firstLine="0"/>
      <w:outlineLvl w:val="2"/>
    </w:pPr>
    <w:rPr>
      <w:rFonts w:ascii="Calibri Light" w:eastAsia="Calibri Light" w:hAnsi="Calibri Light" w:cs="Calibri Light"/>
      <w:i/>
      <w:sz w:val="24"/>
    </w:rPr>
  </w:style>
  <w:style w:type="paragraph" w:styleId="Heading4">
    <w:name w:val="heading 4"/>
    <w:basedOn w:val="Normal"/>
    <w:next w:val="Normal"/>
    <w:link w:val="Heading4Char"/>
    <w:uiPriority w:val="90"/>
    <w:qFormat/>
    <w:rsid w:val="00E6448C"/>
    <w:pPr>
      <w:keepNext/>
      <w:numPr>
        <w:ilvl w:val="3"/>
        <w:numId w:val="11"/>
      </w:numPr>
      <w:tabs>
        <w:tab w:val="clear" w:pos="2880"/>
        <w:tab w:val="num" w:pos="360"/>
      </w:tabs>
      <w:spacing w:after="240" w:line="240" w:lineRule="auto"/>
      <w:ind w:left="0" w:firstLine="0"/>
      <w:outlineLvl w:val="3"/>
    </w:pPr>
    <w:rPr>
      <w:rFonts w:ascii="Calibri Light" w:eastAsia="Calibri Light" w:hAnsi="Calibri Light" w:cs="Calibri Light"/>
      <w:sz w:val="24"/>
    </w:rPr>
  </w:style>
  <w:style w:type="paragraph" w:styleId="Heading5">
    <w:name w:val="heading 5"/>
    <w:basedOn w:val="Normal"/>
    <w:next w:val="Normal"/>
    <w:link w:val="Heading5Char"/>
    <w:semiHidden/>
    <w:rsid w:val="00E6448C"/>
    <w:pPr>
      <w:keepNext/>
      <w:numPr>
        <w:ilvl w:val="4"/>
        <w:numId w:val="11"/>
      </w:numPr>
      <w:tabs>
        <w:tab w:val="clear" w:pos="2880"/>
        <w:tab w:val="num" w:pos="360"/>
      </w:tabs>
      <w:spacing w:after="240" w:line="240" w:lineRule="auto"/>
      <w:ind w:left="0" w:firstLine="0"/>
      <w:outlineLvl w:val="4"/>
    </w:pPr>
    <w:rPr>
      <w:rFonts w:ascii="Calibri Light" w:eastAsia="Calibri Light" w:hAnsi="Calibri Light" w:cs="Calibri Light"/>
      <w:sz w:val="24"/>
    </w:rPr>
  </w:style>
  <w:style w:type="paragraph" w:styleId="Heading6">
    <w:name w:val="heading 6"/>
    <w:basedOn w:val="Normal"/>
    <w:next w:val="Normal"/>
    <w:link w:val="Heading6Char"/>
    <w:semiHidden/>
    <w:rsid w:val="00E6448C"/>
    <w:pPr>
      <w:keepNext/>
      <w:numPr>
        <w:ilvl w:val="5"/>
        <w:numId w:val="11"/>
      </w:numPr>
      <w:tabs>
        <w:tab w:val="clear" w:pos="2880"/>
        <w:tab w:val="num" w:pos="360"/>
      </w:tabs>
      <w:spacing w:after="240" w:line="240" w:lineRule="auto"/>
      <w:ind w:left="0" w:firstLine="0"/>
      <w:outlineLvl w:val="5"/>
    </w:pPr>
    <w:rPr>
      <w:rFonts w:ascii="Calibri Light" w:eastAsia="Calibri Light" w:hAnsi="Calibri Light" w:cs="Calibri Light"/>
      <w:sz w:val="24"/>
    </w:rPr>
  </w:style>
  <w:style w:type="paragraph" w:styleId="Heading7">
    <w:name w:val="heading 7"/>
    <w:basedOn w:val="Normal"/>
    <w:next w:val="Normal"/>
    <w:link w:val="Heading7Char"/>
    <w:semiHidden/>
    <w:rsid w:val="00E6448C"/>
    <w:pPr>
      <w:keepNext/>
      <w:numPr>
        <w:ilvl w:val="6"/>
        <w:numId w:val="11"/>
      </w:numPr>
      <w:tabs>
        <w:tab w:val="clear" w:pos="2880"/>
        <w:tab w:val="num" w:pos="360"/>
      </w:tabs>
      <w:spacing w:after="240" w:line="240" w:lineRule="auto"/>
      <w:ind w:left="0" w:firstLine="0"/>
      <w:outlineLvl w:val="6"/>
    </w:pPr>
    <w:rPr>
      <w:rFonts w:ascii="Calibri Light" w:eastAsia="Calibri Light" w:hAnsi="Calibri Light" w:cs="Calibri Light"/>
      <w:sz w:val="24"/>
    </w:rPr>
  </w:style>
  <w:style w:type="paragraph" w:styleId="Heading8">
    <w:name w:val="heading 8"/>
    <w:basedOn w:val="Normal"/>
    <w:next w:val="Normal"/>
    <w:link w:val="Heading8Char"/>
    <w:semiHidden/>
    <w:rsid w:val="00E6448C"/>
    <w:pPr>
      <w:keepNext/>
      <w:numPr>
        <w:ilvl w:val="7"/>
        <w:numId w:val="11"/>
      </w:numPr>
      <w:tabs>
        <w:tab w:val="clear" w:pos="2880"/>
        <w:tab w:val="num" w:pos="360"/>
      </w:tabs>
      <w:spacing w:after="240" w:line="240" w:lineRule="auto"/>
      <w:ind w:left="0" w:firstLine="0"/>
      <w:outlineLvl w:val="7"/>
    </w:pPr>
    <w:rPr>
      <w:rFonts w:ascii="Calibri Light" w:eastAsia="Calibri Light" w:hAnsi="Calibri Light" w:cs="Calibri Light"/>
      <w:sz w:val="24"/>
    </w:rPr>
  </w:style>
  <w:style w:type="paragraph" w:styleId="Heading9">
    <w:name w:val="heading 9"/>
    <w:basedOn w:val="Normal"/>
    <w:next w:val="Normal"/>
    <w:link w:val="Heading9Char"/>
    <w:semiHidden/>
    <w:rsid w:val="00E6448C"/>
    <w:pPr>
      <w:keepNext/>
      <w:numPr>
        <w:ilvl w:val="8"/>
        <w:numId w:val="11"/>
      </w:numPr>
      <w:tabs>
        <w:tab w:val="clear" w:pos="2880"/>
        <w:tab w:val="num" w:pos="360"/>
      </w:tabs>
      <w:spacing w:after="240" w:line="240" w:lineRule="auto"/>
      <w:ind w:left="0" w:firstLine="0"/>
      <w:outlineLvl w:val="8"/>
    </w:pPr>
    <w:rPr>
      <w:rFonts w:ascii="Calibri Light" w:eastAsia="Calibri Light" w:hAnsi="Calibri Light" w:cs="Calibri Light"/>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ject">
    <w:name w:val="Subject"/>
    <w:basedOn w:val="Normal"/>
    <w:next w:val="Normal"/>
    <w:uiPriority w:val="99"/>
    <w:rsid w:val="00E6448C"/>
    <w:pPr>
      <w:spacing w:after="480" w:line="240" w:lineRule="auto"/>
      <w:ind w:left="1531" w:hanging="1531"/>
    </w:pPr>
    <w:rPr>
      <w:rFonts w:ascii="Calibri Light" w:eastAsia="Calibri Light" w:hAnsi="Calibri Light" w:cs="Calibri Light"/>
      <w:b/>
      <w:sz w:val="24"/>
    </w:rPr>
  </w:style>
  <w:style w:type="paragraph" w:customStyle="1" w:styleId="NoteHead">
    <w:name w:val="NoteHead"/>
    <w:basedOn w:val="Normal"/>
    <w:next w:val="Subject"/>
    <w:uiPriority w:val="99"/>
    <w:rsid w:val="00E6448C"/>
    <w:pPr>
      <w:spacing w:before="720" w:after="720" w:line="240" w:lineRule="auto"/>
      <w:jc w:val="center"/>
    </w:pPr>
    <w:rPr>
      <w:rFonts w:ascii="Calibri Light" w:eastAsia="Calibri Light" w:hAnsi="Calibri Light" w:cs="Calibri Light"/>
      <w:b/>
      <w:smallCaps/>
      <w:sz w:val="24"/>
    </w:rPr>
  </w:style>
  <w:style w:type="character" w:customStyle="1" w:styleId="Heading1Char">
    <w:name w:val="Heading 1 Char"/>
    <w:basedOn w:val="DefaultParagraphFont"/>
    <w:link w:val="Heading1"/>
    <w:uiPriority w:val="90"/>
    <w:rsid w:val="00E6448C"/>
    <w:rPr>
      <w:rFonts w:ascii="Calibri" w:eastAsia="Calibri" w:hAnsi="Calibri" w:cs="Calibri"/>
      <w:b/>
      <w:smallCaps/>
      <w:sz w:val="24"/>
    </w:rPr>
  </w:style>
  <w:style w:type="character" w:customStyle="1" w:styleId="Heading2Char">
    <w:name w:val="Heading 2 Char"/>
    <w:basedOn w:val="DefaultParagraphFont"/>
    <w:link w:val="Heading2"/>
    <w:uiPriority w:val="90"/>
    <w:rsid w:val="00E6448C"/>
    <w:rPr>
      <w:rFonts w:ascii="Calibri Light" w:eastAsia="Calibri Light" w:hAnsi="Calibri Light" w:cs="Calibri Light"/>
      <w:b/>
      <w:sz w:val="24"/>
    </w:rPr>
  </w:style>
  <w:style w:type="character" w:customStyle="1" w:styleId="Heading3Char">
    <w:name w:val="Heading 3 Char"/>
    <w:basedOn w:val="DefaultParagraphFont"/>
    <w:link w:val="Heading3"/>
    <w:uiPriority w:val="90"/>
    <w:rsid w:val="00E6448C"/>
    <w:rPr>
      <w:rFonts w:ascii="Calibri Light" w:eastAsia="Calibri Light" w:hAnsi="Calibri Light" w:cs="Calibri Light"/>
      <w:i/>
      <w:sz w:val="24"/>
    </w:rPr>
  </w:style>
  <w:style w:type="character" w:customStyle="1" w:styleId="Heading4Char">
    <w:name w:val="Heading 4 Char"/>
    <w:basedOn w:val="DefaultParagraphFont"/>
    <w:link w:val="Heading4"/>
    <w:uiPriority w:val="90"/>
    <w:rsid w:val="00E6448C"/>
    <w:rPr>
      <w:rFonts w:ascii="Calibri Light" w:eastAsia="Calibri Light" w:hAnsi="Calibri Light" w:cs="Calibri Light"/>
      <w:sz w:val="24"/>
    </w:rPr>
  </w:style>
  <w:style w:type="character" w:customStyle="1" w:styleId="Heading5Char">
    <w:name w:val="Heading 5 Char"/>
    <w:basedOn w:val="DefaultParagraphFont"/>
    <w:link w:val="Heading5"/>
    <w:semiHidden/>
    <w:rsid w:val="00E6448C"/>
    <w:rPr>
      <w:rFonts w:ascii="Calibri Light" w:eastAsia="Calibri Light" w:hAnsi="Calibri Light" w:cs="Calibri Light"/>
      <w:sz w:val="24"/>
    </w:rPr>
  </w:style>
  <w:style w:type="character" w:customStyle="1" w:styleId="Heading6Char">
    <w:name w:val="Heading 6 Char"/>
    <w:basedOn w:val="DefaultParagraphFont"/>
    <w:link w:val="Heading6"/>
    <w:semiHidden/>
    <w:rsid w:val="00E6448C"/>
    <w:rPr>
      <w:rFonts w:ascii="Calibri Light" w:eastAsia="Calibri Light" w:hAnsi="Calibri Light" w:cs="Calibri Light"/>
      <w:sz w:val="24"/>
    </w:rPr>
  </w:style>
  <w:style w:type="character" w:customStyle="1" w:styleId="Heading7Char">
    <w:name w:val="Heading 7 Char"/>
    <w:basedOn w:val="DefaultParagraphFont"/>
    <w:link w:val="Heading7"/>
    <w:semiHidden/>
    <w:rsid w:val="00E6448C"/>
    <w:rPr>
      <w:rFonts w:ascii="Calibri Light" w:eastAsia="Calibri Light" w:hAnsi="Calibri Light" w:cs="Calibri Light"/>
      <w:sz w:val="24"/>
    </w:rPr>
  </w:style>
  <w:style w:type="character" w:customStyle="1" w:styleId="Heading8Char">
    <w:name w:val="Heading 8 Char"/>
    <w:basedOn w:val="DefaultParagraphFont"/>
    <w:link w:val="Heading8"/>
    <w:semiHidden/>
    <w:rsid w:val="00E6448C"/>
    <w:rPr>
      <w:rFonts w:ascii="Calibri Light" w:eastAsia="Calibri Light" w:hAnsi="Calibri Light" w:cs="Calibri Light"/>
      <w:sz w:val="24"/>
    </w:rPr>
  </w:style>
  <w:style w:type="character" w:customStyle="1" w:styleId="Heading9Char">
    <w:name w:val="Heading 9 Char"/>
    <w:basedOn w:val="DefaultParagraphFont"/>
    <w:link w:val="Heading9"/>
    <w:semiHidden/>
    <w:rsid w:val="00E6448C"/>
    <w:rPr>
      <w:rFonts w:ascii="Calibri Light" w:eastAsia="Calibri Light" w:hAnsi="Calibri Light" w:cs="Calibri Light"/>
      <w:sz w:val="24"/>
    </w:rPr>
  </w:style>
  <w:style w:type="paragraph" w:styleId="FootnoteText">
    <w:name w:val="footnote text"/>
    <w:basedOn w:val="Normal"/>
    <w:link w:val="FootnoteTextChar"/>
    <w:autoRedefine/>
    <w:uiPriority w:val="99"/>
    <w:qFormat/>
    <w:rsid w:val="00C64A13"/>
    <w:pPr>
      <w:spacing w:after="0" w:line="240" w:lineRule="auto"/>
    </w:pPr>
    <w:rPr>
      <w:rFonts w:eastAsia="Calibri Light" w:cs="Times New Roman"/>
      <w:sz w:val="20"/>
    </w:rPr>
  </w:style>
  <w:style w:type="character" w:customStyle="1" w:styleId="FootnoteTextChar">
    <w:name w:val="Footnote Text Char"/>
    <w:basedOn w:val="DefaultParagraphFont"/>
    <w:link w:val="FootnoteText"/>
    <w:uiPriority w:val="99"/>
    <w:rsid w:val="00C64A13"/>
    <w:rPr>
      <w:rFonts w:ascii="Times New Roman" w:eastAsia="Calibri Light" w:hAnsi="Times New Roman" w:cs="Times New Roman"/>
      <w:sz w:val="20"/>
    </w:rPr>
  </w:style>
  <w:style w:type="character" w:styleId="FootnoteReference">
    <w:name w:val="footnote reference"/>
    <w:basedOn w:val="DefaultParagraphFont"/>
    <w:link w:val="16Point"/>
    <w:uiPriority w:val="99"/>
    <w:qFormat/>
    <w:rsid w:val="005C5F69"/>
    <w:rPr>
      <w:rFonts w:ascii="Times New Roman" w:hAnsi="Times New Roman"/>
      <w:sz w:val="20"/>
      <w:vertAlign w:val="superscript"/>
    </w:rPr>
  </w:style>
  <w:style w:type="paragraph" w:customStyle="1" w:styleId="16Point">
    <w:name w:val="16 Point"/>
    <w:basedOn w:val="Normal"/>
    <w:link w:val="FootnoteReference"/>
    <w:autoRedefine/>
    <w:uiPriority w:val="99"/>
    <w:qFormat/>
    <w:rsid w:val="005C5F69"/>
    <w:pPr>
      <w:spacing w:line="240" w:lineRule="exact"/>
    </w:pPr>
    <w:rPr>
      <w:sz w:val="20"/>
      <w:vertAlign w:val="superscript"/>
    </w:rPr>
  </w:style>
  <w:style w:type="character" w:styleId="Hyperlink">
    <w:name w:val="Hyperlink"/>
    <w:basedOn w:val="DefaultParagraphFont"/>
    <w:uiPriority w:val="99"/>
    <w:rsid w:val="00E6448C"/>
    <w:rPr>
      <w:color w:val="0563C1" w:themeColor="hyperlink"/>
      <w:u w:val="single"/>
    </w:rPr>
  </w:style>
  <w:style w:type="character" w:styleId="FollowedHyperlink">
    <w:name w:val="FollowedHyperlink"/>
    <w:basedOn w:val="DefaultParagraphFont"/>
    <w:uiPriority w:val="99"/>
    <w:semiHidden/>
    <w:unhideWhenUsed/>
    <w:rsid w:val="00E6448C"/>
    <w:rPr>
      <w:color w:val="954F72" w:themeColor="followedHyperlink"/>
      <w:u w:val="single"/>
    </w:rPr>
  </w:style>
  <w:style w:type="paragraph" w:styleId="ListParagraph">
    <w:name w:val="List Paragraph"/>
    <w:basedOn w:val="Normal"/>
    <w:link w:val="ListParagraphChar"/>
    <w:uiPriority w:val="34"/>
    <w:qFormat/>
    <w:rsid w:val="00B82AD8"/>
    <w:pPr>
      <w:spacing w:after="240" w:line="240" w:lineRule="auto"/>
      <w:ind w:left="720"/>
      <w:contextualSpacing/>
    </w:pPr>
    <w:rPr>
      <w:rFonts w:eastAsia="Calibri Light" w:cs="Calibri Light"/>
    </w:rPr>
  </w:style>
  <w:style w:type="table" w:styleId="TableGrid">
    <w:name w:val="Table Grid"/>
    <w:basedOn w:val="TableNormal"/>
    <w:uiPriority w:val="39"/>
    <w:rsid w:val="004411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next w:val="Normal"/>
    <w:link w:val="BodyTextChar"/>
    <w:autoRedefine/>
    <w:semiHidden/>
    <w:unhideWhenUsed/>
    <w:qFormat/>
    <w:rsid w:val="00E624BE"/>
    <w:pPr>
      <w:spacing w:before="240" w:after="120" w:line="276" w:lineRule="auto"/>
    </w:pPr>
    <w:rPr>
      <w:rFonts w:eastAsia="Calibri Light" w:cs="Yu Mincho"/>
    </w:rPr>
  </w:style>
  <w:style w:type="character" w:customStyle="1" w:styleId="BodyTextChar">
    <w:name w:val="Body Text Char"/>
    <w:basedOn w:val="DefaultParagraphFont"/>
    <w:link w:val="BodyText"/>
    <w:semiHidden/>
    <w:rsid w:val="00E624BE"/>
    <w:rPr>
      <w:rFonts w:ascii="Times New Roman" w:eastAsia="Calibri Light" w:hAnsi="Times New Roman" w:cs="Yu Mincho"/>
    </w:rPr>
  </w:style>
  <w:style w:type="paragraph" w:customStyle="1" w:styleId="paragraph">
    <w:name w:val="paragraph"/>
    <w:basedOn w:val="Normal"/>
    <w:rsid w:val="00BA2F49"/>
    <w:pPr>
      <w:spacing w:before="100" w:beforeAutospacing="1" w:after="100" w:afterAutospacing="1" w:line="240" w:lineRule="auto"/>
    </w:pPr>
    <w:rPr>
      <w:rFonts w:ascii="Calibri Light" w:eastAsia="Calibri Light" w:hAnsi="Calibri Light" w:cs="Calibri Light"/>
      <w:sz w:val="24"/>
    </w:rPr>
  </w:style>
  <w:style w:type="character" w:customStyle="1" w:styleId="normaltextrun">
    <w:name w:val="normaltextrun"/>
    <w:basedOn w:val="DefaultParagraphFont"/>
    <w:rsid w:val="00BA2F49"/>
  </w:style>
  <w:style w:type="character" w:customStyle="1" w:styleId="eop">
    <w:name w:val="eop"/>
    <w:basedOn w:val="DefaultParagraphFont"/>
    <w:rsid w:val="00BA2F49"/>
  </w:style>
  <w:style w:type="paragraph" w:styleId="NormalWeb">
    <w:name w:val="Normal (Web)"/>
    <w:basedOn w:val="Normal"/>
    <w:uiPriority w:val="99"/>
    <w:unhideWhenUsed/>
    <w:rsid w:val="00105BCE"/>
    <w:pPr>
      <w:spacing w:before="100" w:beforeAutospacing="1" w:after="100" w:afterAutospacing="1" w:line="240" w:lineRule="auto"/>
    </w:pPr>
    <w:rPr>
      <w:rFonts w:ascii="Calibri Light" w:eastAsia="Calibri Light" w:hAnsi="Calibri Light" w:cs="Calibri Light"/>
      <w:sz w:val="24"/>
    </w:rPr>
  </w:style>
  <w:style w:type="paragraph" w:styleId="Header">
    <w:name w:val="header"/>
    <w:basedOn w:val="Normal"/>
    <w:link w:val="HeaderChar"/>
    <w:uiPriority w:val="99"/>
    <w:unhideWhenUsed/>
    <w:rsid w:val="00AF14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1438"/>
  </w:style>
  <w:style w:type="paragraph" w:styleId="Footer">
    <w:name w:val="footer"/>
    <w:basedOn w:val="Normal"/>
    <w:link w:val="FooterChar"/>
    <w:uiPriority w:val="99"/>
    <w:unhideWhenUsed/>
    <w:rsid w:val="00AF14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1438"/>
  </w:style>
  <w:style w:type="paragraph" w:styleId="CommentText">
    <w:name w:val="annotation text"/>
    <w:basedOn w:val="Normal"/>
    <w:link w:val="CommentTextChar"/>
    <w:uiPriority w:val="99"/>
    <w:unhideWhenUsed/>
    <w:pPr>
      <w:spacing w:line="240" w:lineRule="auto"/>
    </w:pPr>
    <w:rPr>
      <w:sz w:val="20"/>
    </w:rPr>
  </w:style>
  <w:style w:type="character" w:customStyle="1" w:styleId="CommentTextChar">
    <w:name w:val="Comment Text Char"/>
    <w:basedOn w:val="DefaultParagraphFont"/>
    <w:link w:val="CommentText"/>
    <w:uiPriority w:val="99"/>
    <w:rPr>
      <w:sz w:val="20"/>
    </w:rPr>
  </w:style>
  <w:style w:type="character" w:styleId="CommentReference">
    <w:name w:val="annotation reference"/>
    <w:basedOn w:val="DefaultParagraphFont"/>
    <w:uiPriority w:val="99"/>
    <w:semiHidden/>
    <w:unhideWhenUsed/>
    <w:rPr>
      <w:sz w:val="16"/>
    </w:rPr>
  </w:style>
  <w:style w:type="paragraph" w:styleId="Revision">
    <w:name w:val="Revision"/>
    <w:hidden/>
    <w:uiPriority w:val="99"/>
    <w:semiHidden/>
    <w:rsid w:val="007A65CD"/>
    <w:pPr>
      <w:spacing w:after="0" w:line="240" w:lineRule="auto"/>
    </w:pPr>
  </w:style>
  <w:style w:type="paragraph" w:styleId="CommentSubject">
    <w:name w:val="annotation subject"/>
    <w:basedOn w:val="CommentText"/>
    <w:next w:val="CommentText"/>
    <w:link w:val="CommentSubjectChar"/>
    <w:uiPriority w:val="99"/>
    <w:semiHidden/>
    <w:unhideWhenUsed/>
    <w:rsid w:val="008A5483"/>
    <w:rPr>
      <w:b/>
    </w:rPr>
  </w:style>
  <w:style w:type="character" w:customStyle="1" w:styleId="CommentSubjectChar">
    <w:name w:val="Comment Subject Char"/>
    <w:basedOn w:val="CommentTextChar"/>
    <w:link w:val="CommentSubject"/>
    <w:uiPriority w:val="99"/>
    <w:semiHidden/>
    <w:rsid w:val="008A5483"/>
    <w:rPr>
      <w:b/>
      <w:sz w:val="20"/>
    </w:rPr>
  </w:style>
  <w:style w:type="character" w:customStyle="1" w:styleId="UnresolvedMention">
    <w:name w:val="Unresolved Mention"/>
    <w:basedOn w:val="DefaultParagraphFont"/>
    <w:uiPriority w:val="99"/>
    <w:unhideWhenUsed/>
    <w:rsid w:val="00802766"/>
    <w:rPr>
      <w:color w:val="605E5C"/>
      <w:shd w:val="clear" w:color="auto" w:fill="E1DFDD"/>
    </w:rPr>
  </w:style>
  <w:style w:type="character" w:customStyle="1" w:styleId="Mention">
    <w:name w:val="Mention"/>
    <w:basedOn w:val="DefaultParagraphFont"/>
    <w:uiPriority w:val="99"/>
    <w:unhideWhenUsed/>
    <w:rPr>
      <w:color w:val="2B579A"/>
      <w:shd w:val="clear" w:color="auto" w:fill="E6E6E6"/>
    </w:rPr>
  </w:style>
  <w:style w:type="character" w:styleId="Emphasis">
    <w:name w:val="Emphasis"/>
    <w:basedOn w:val="DefaultParagraphFont"/>
    <w:uiPriority w:val="20"/>
    <w:qFormat/>
    <w:rsid w:val="00785D55"/>
    <w:rPr>
      <w:i/>
    </w:rPr>
  </w:style>
  <w:style w:type="character" w:customStyle="1" w:styleId="ui-provider">
    <w:name w:val="ui-provider"/>
    <w:basedOn w:val="DefaultParagraphFont"/>
    <w:rsid w:val="001A7F21"/>
  </w:style>
  <w:style w:type="character" w:customStyle="1" w:styleId="EndnoteTextChar">
    <w:name w:val="Endnote Text Char"/>
    <w:basedOn w:val="DefaultParagraphFont"/>
    <w:link w:val="EndnoteText"/>
    <w:rPr>
      <w:sz w:val="20"/>
    </w:rPr>
  </w:style>
  <w:style w:type="paragraph" w:styleId="EndnoteText">
    <w:name w:val="endnote text"/>
    <w:basedOn w:val="Normal"/>
    <w:link w:val="EndnoteTextChar"/>
    <w:unhideWhenUsed/>
    <w:pPr>
      <w:spacing w:after="0" w:line="240" w:lineRule="auto"/>
    </w:pPr>
    <w:rPr>
      <w:sz w:val="20"/>
    </w:rPr>
  </w:style>
  <w:style w:type="character" w:customStyle="1" w:styleId="EndnoteTextChar1">
    <w:name w:val="Endnote Text Char1"/>
    <w:basedOn w:val="DefaultParagraphFont"/>
    <w:uiPriority w:val="99"/>
    <w:semiHidden/>
    <w:rsid w:val="008E6306"/>
    <w:rPr>
      <w:sz w:val="20"/>
    </w:rPr>
  </w:style>
  <w:style w:type="character" w:customStyle="1" w:styleId="ListParagraphChar">
    <w:name w:val="List Paragraph Char"/>
    <w:link w:val="ListParagraph"/>
    <w:uiPriority w:val="34"/>
    <w:qFormat/>
    <w:locked/>
    <w:rsid w:val="008F54C6"/>
    <w:rPr>
      <w:rFonts w:ascii="Times New Roman" w:eastAsia="Calibri Light" w:hAnsi="Times New Roman" w:cs="Calibri Light"/>
    </w:rPr>
  </w:style>
  <w:style w:type="character" w:styleId="EndnoteReference">
    <w:name w:val="endnote reference"/>
    <w:basedOn w:val="DefaultParagraphFont"/>
    <w:semiHidden/>
    <w:rsid w:val="008F54C6"/>
    <w:rPr>
      <w:vertAlign w:val="superscript"/>
    </w:rPr>
  </w:style>
  <w:style w:type="paragraph" w:customStyle="1" w:styleId="EASME-SMEFOOTNOTE">
    <w:name w:val="EASME-SME FOOTNOTE"/>
    <w:basedOn w:val="Normal"/>
    <w:uiPriority w:val="99"/>
    <w:rsid w:val="00C56277"/>
    <w:pPr>
      <w:spacing w:before="60" w:line="240" w:lineRule="exact"/>
    </w:pPr>
    <w:rPr>
      <w:rFonts w:eastAsia="Times New Roman" w:cs="Times New Roman"/>
      <w:sz w:val="24"/>
      <w:vertAlign w:val="superscript"/>
    </w:rPr>
  </w:style>
  <w:style w:type="character" w:styleId="Strong">
    <w:name w:val="Strong"/>
    <w:basedOn w:val="DefaultParagraphFont"/>
    <w:uiPriority w:val="22"/>
    <w:qFormat/>
    <w:rsid w:val="00A3711F"/>
    <w:rPr>
      <w:b/>
    </w:rPr>
  </w:style>
  <w:style w:type="paragraph" w:customStyle="1" w:styleId="References">
    <w:name w:val="References"/>
    <w:basedOn w:val="Normal"/>
    <w:next w:val="Normal"/>
    <w:rsid w:val="00376955"/>
    <w:pPr>
      <w:spacing w:after="120" w:line="240" w:lineRule="auto"/>
      <w:ind w:left="5102" w:right="-567"/>
      <w:jc w:val="left"/>
    </w:pPr>
    <w:rPr>
      <w:rFonts w:eastAsia="Times New Roman" w:cs="Times New Roman"/>
      <w:sz w:val="20"/>
    </w:rPr>
  </w:style>
  <w:style w:type="paragraph" w:styleId="Date">
    <w:name w:val="Date"/>
    <w:basedOn w:val="Normal"/>
    <w:next w:val="References"/>
    <w:link w:val="DateChar"/>
    <w:rsid w:val="00376955"/>
    <w:pPr>
      <w:spacing w:after="0" w:line="240" w:lineRule="auto"/>
      <w:ind w:left="5102" w:right="-567"/>
      <w:jc w:val="left"/>
    </w:pPr>
    <w:rPr>
      <w:rFonts w:eastAsia="Times New Roman" w:cs="Times New Roman"/>
      <w:sz w:val="24"/>
    </w:rPr>
  </w:style>
  <w:style w:type="character" w:customStyle="1" w:styleId="DateChar">
    <w:name w:val="Date Char"/>
    <w:basedOn w:val="DefaultParagraphFont"/>
    <w:link w:val="Date"/>
    <w:rsid w:val="00376955"/>
    <w:rPr>
      <w:rFonts w:ascii="Times New Roman" w:eastAsia="Times New Roman" w:hAnsi="Times New Roman" w:cs="Times New Roman"/>
      <w:sz w:val="24"/>
    </w:rPr>
  </w:style>
  <w:style w:type="paragraph" w:customStyle="1" w:styleId="ZDGName">
    <w:name w:val="Z_DGName"/>
    <w:basedOn w:val="Normal"/>
    <w:uiPriority w:val="99"/>
    <w:semiHidden/>
    <w:rsid w:val="00376955"/>
    <w:pPr>
      <w:widowControl w:val="0"/>
      <w:spacing w:after="0" w:line="240" w:lineRule="auto"/>
      <w:ind w:right="85"/>
      <w:jc w:val="left"/>
    </w:pPr>
    <w:rPr>
      <w:rFonts w:eastAsia="Times New Roman" w:cs="Times New Roman"/>
      <w:sz w:val="16"/>
    </w:rPr>
  </w:style>
  <w:style w:type="paragraph" w:customStyle="1" w:styleId="ZCom">
    <w:name w:val="Z_Com"/>
    <w:basedOn w:val="Normal"/>
    <w:next w:val="Normal"/>
    <w:uiPriority w:val="99"/>
    <w:semiHidden/>
    <w:rsid w:val="00376955"/>
    <w:pPr>
      <w:widowControl w:val="0"/>
      <w:spacing w:before="90" w:after="0" w:line="240" w:lineRule="auto"/>
      <w:ind w:right="85"/>
    </w:pPr>
    <w:rPr>
      <w:rFonts w:eastAsia="Times New Roman" w:cs="Times New Roman"/>
      <w:sz w:val="24"/>
    </w:rPr>
  </w:style>
  <w:style w:type="paragraph" w:customStyle="1" w:styleId="ZFlag">
    <w:name w:val="Z_Flag"/>
    <w:basedOn w:val="Normal"/>
    <w:next w:val="Normal"/>
    <w:uiPriority w:val="99"/>
    <w:semiHidden/>
    <w:rsid w:val="00376955"/>
    <w:pPr>
      <w:widowControl w:val="0"/>
      <w:spacing w:after="0" w:line="240" w:lineRule="auto"/>
      <w:ind w:right="85"/>
    </w:pPr>
    <w:rPr>
      <w:rFonts w:eastAsia="Times New Roman" w:cs="Times New Roman"/>
      <w:sz w:val="24"/>
    </w:rPr>
  </w:style>
  <w:style w:type="table" w:customStyle="1" w:styleId="TableLetterhead">
    <w:name w:val="Table Letterhead"/>
    <w:basedOn w:val="TableNormal"/>
    <w:uiPriority w:val="99"/>
    <w:rsid w:val="00376955"/>
    <w:pPr>
      <w:spacing w:after="0" w:line="240" w:lineRule="auto"/>
    </w:pPr>
    <w:rPr>
      <w:rFonts w:ascii="Times New Roman" w:eastAsia="Times New Roman" w:hAnsi="Times New Roman" w:cs="Times New Roman"/>
      <w:sz w:val="24"/>
    </w:rPr>
    <w:tblPr>
      <w:tblCellMar>
        <w:left w:w="0" w:type="dxa"/>
        <w:bottom w:w="340" w:type="dxa"/>
        <w:right w:w="0" w:type="dxa"/>
      </w:tblCellMar>
    </w:tblPr>
  </w:style>
  <w:style w:type="character" w:customStyle="1" w:styleId="Marker">
    <w:name w:val="Marker"/>
    <w:basedOn w:val="DefaultParagraphFont"/>
    <w:rsid w:val="00230B3F"/>
    <w:rPr>
      <w:color w:val="0000FF"/>
      <w:shd w:val="clear" w:color="auto" w:fill="auto"/>
    </w:rPr>
  </w:style>
  <w:style w:type="paragraph" w:customStyle="1" w:styleId="Pagedecouverture">
    <w:name w:val="Page de couverture"/>
    <w:basedOn w:val="Normal"/>
    <w:next w:val="Normal"/>
    <w:rsid w:val="004B1351"/>
    <w:pPr>
      <w:spacing w:after="0" w:line="240" w:lineRule="auto"/>
    </w:pPr>
    <w:rPr>
      <w:rFonts w:cs="Times New Roman"/>
      <w:sz w:val="24"/>
    </w:rPr>
  </w:style>
  <w:style w:type="paragraph" w:customStyle="1" w:styleId="FooterCoverPage">
    <w:name w:val="Footer Cover Page"/>
    <w:basedOn w:val="Normal"/>
    <w:link w:val="FooterCoverPageChar"/>
    <w:rsid w:val="004B1351"/>
    <w:pPr>
      <w:tabs>
        <w:tab w:val="center" w:pos="4535"/>
        <w:tab w:val="right" w:pos="9071"/>
        <w:tab w:val="right" w:pos="9921"/>
      </w:tabs>
      <w:spacing w:before="360" w:after="0" w:line="240" w:lineRule="auto"/>
      <w:ind w:left="-850" w:right="-850"/>
      <w:jc w:val="left"/>
    </w:pPr>
    <w:rPr>
      <w:sz w:val="24"/>
    </w:rPr>
  </w:style>
  <w:style w:type="character" w:customStyle="1" w:styleId="FooterCoverPageChar">
    <w:name w:val="Footer Cover Page Char"/>
    <w:basedOn w:val="DefaultParagraphFont"/>
    <w:link w:val="FooterCoverPage"/>
    <w:rsid w:val="004B1351"/>
    <w:rPr>
      <w:rFonts w:ascii="Times New Roman" w:hAnsi="Times New Roman"/>
      <w:sz w:val="24"/>
    </w:rPr>
  </w:style>
  <w:style w:type="paragraph" w:customStyle="1" w:styleId="FooterSensitivity">
    <w:name w:val="Footer Sensitivity"/>
    <w:basedOn w:val="Normal"/>
    <w:link w:val="FooterSensitivityChar"/>
    <w:rsid w:val="004B1351"/>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b/>
      <w:sz w:val="32"/>
    </w:rPr>
  </w:style>
  <w:style w:type="character" w:customStyle="1" w:styleId="FooterSensitivityChar">
    <w:name w:val="Footer Sensitivity Char"/>
    <w:basedOn w:val="DefaultParagraphFont"/>
    <w:link w:val="FooterSensitivity"/>
    <w:rsid w:val="004B1351"/>
    <w:rPr>
      <w:rFonts w:ascii="Times New Roman" w:hAnsi="Times New Roman"/>
      <w:b/>
      <w:sz w:val="32"/>
    </w:rPr>
  </w:style>
  <w:style w:type="paragraph" w:customStyle="1" w:styleId="HeaderCoverPage">
    <w:name w:val="Header Cover Page"/>
    <w:basedOn w:val="Normal"/>
    <w:link w:val="HeaderCoverPageChar"/>
    <w:rsid w:val="004B1351"/>
    <w:pPr>
      <w:tabs>
        <w:tab w:val="center" w:pos="4535"/>
        <w:tab w:val="right" w:pos="9071"/>
      </w:tabs>
      <w:spacing w:after="120" w:line="240" w:lineRule="auto"/>
    </w:pPr>
    <w:rPr>
      <w:sz w:val="24"/>
    </w:rPr>
  </w:style>
  <w:style w:type="character" w:customStyle="1" w:styleId="HeaderCoverPageChar">
    <w:name w:val="Header Cover Page Char"/>
    <w:basedOn w:val="DefaultParagraphFont"/>
    <w:link w:val="HeaderCoverPage"/>
    <w:rsid w:val="004B1351"/>
    <w:rPr>
      <w:rFonts w:ascii="Times New Roman" w:hAnsi="Times New Roman"/>
      <w:sz w:val="24"/>
    </w:rPr>
  </w:style>
  <w:style w:type="paragraph" w:customStyle="1" w:styleId="HeaderSensitivity">
    <w:name w:val="Header Sensitivity"/>
    <w:basedOn w:val="Normal"/>
    <w:link w:val="HeaderSensitivityChar"/>
    <w:rsid w:val="004B1351"/>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DefaultParagraphFont"/>
    <w:link w:val="HeaderSensitivity"/>
    <w:rsid w:val="004B1351"/>
    <w:rPr>
      <w:rFonts w:ascii="Times New Roman" w:hAnsi="Times New Roman"/>
      <w:b/>
      <w:sz w:val="32"/>
    </w:rPr>
  </w:style>
  <w:style w:type="paragraph" w:customStyle="1" w:styleId="HeaderSensitivityRight">
    <w:name w:val="Header Sensitivity Right"/>
    <w:basedOn w:val="Normal"/>
    <w:link w:val="HeaderSensitivityRightChar"/>
    <w:rsid w:val="004B1351"/>
    <w:pPr>
      <w:spacing w:after="120" w:line="240" w:lineRule="auto"/>
      <w:jc w:val="right"/>
    </w:pPr>
    <w:rPr>
      <w:sz w:val="28"/>
    </w:rPr>
  </w:style>
  <w:style w:type="character" w:customStyle="1" w:styleId="HeaderSensitivityRightChar">
    <w:name w:val="Header Sensitivity Right Char"/>
    <w:basedOn w:val="DefaultParagraphFont"/>
    <w:link w:val="HeaderSensitivityRight"/>
    <w:rsid w:val="004B1351"/>
    <w:rPr>
      <w:rFonts w:ascii="Times New Roman" w:hAnsi="Times New Roman"/>
      <w:sz w:val="28"/>
    </w:rPr>
  </w:style>
  <w:style w:type="character" w:customStyle="1" w:styleId="s2">
    <w:name w:val="s2"/>
    <w:basedOn w:val="DefaultParagraphFont"/>
    <w:rsid w:val="002E17E0"/>
  </w:style>
  <w:style w:type="character" w:customStyle="1" w:styleId="cf01">
    <w:name w:val="cf01"/>
    <w:basedOn w:val="DefaultParagraphFont"/>
    <w:rsid w:val="006024CB"/>
    <w:rPr>
      <w:rFonts w:ascii="Segoe UI" w:hAnsi="Segoe UI" w:cs="Segoe UI" w:hint="default"/>
      <w:color w:val="333333"/>
      <w:sz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17167">
      <w:bodyDiv w:val="1"/>
      <w:marLeft w:val="0"/>
      <w:marRight w:val="0"/>
      <w:marTop w:val="0"/>
      <w:marBottom w:val="0"/>
      <w:divBdr>
        <w:top w:val="none" w:sz="0" w:space="0" w:color="auto"/>
        <w:left w:val="none" w:sz="0" w:space="0" w:color="auto"/>
        <w:bottom w:val="none" w:sz="0" w:space="0" w:color="auto"/>
        <w:right w:val="none" w:sz="0" w:space="0" w:color="auto"/>
      </w:divBdr>
    </w:div>
    <w:div w:id="70585749">
      <w:bodyDiv w:val="1"/>
      <w:marLeft w:val="0"/>
      <w:marRight w:val="0"/>
      <w:marTop w:val="0"/>
      <w:marBottom w:val="0"/>
      <w:divBdr>
        <w:top w:val="none" w:sz="0" w:space="0" w:color="auto"/>
        <w:left w:val="none" w:sz="0" w:space="0" w:color="auto"/>
        <w:bottom w:val="none" w:sz="0" w:space="0" w:color="auto"/>
        <w:right w:val="none" w:sz="0" w:space="0" w:color="auto"/>
      </w:divBdr>
    </w:div>
    <w:div w:id="90245924">
      <w:bodyDiv w:val="1"/>
      <w:marLeft w:val="0"/>
      <w:marRight w:val="0"/>
      <w:marTop w:val="0"/>
      <w:marBottom w:val="0"/>
      <w:divBdr>
        <w:top w:val="none" w:sz="0" w:space="0" w:color="auto"/>
        <w:left w:val="none" w:sz="0" w:space="0" w:color="auto"/>
        <w:bottom w:val="none" w:sz="0" w:space="0" w:color="auto"/>
        <w:right w:val="none" w:sz="0" w:space="0" w:color="auto"/>
      </w:divBdr>
    </w:div>
    <w:div w:id="90325722">
      <w:bodyDiv w:val="1"/>
      <w:marLeft w:val="0"/>
      <w:marRight w:val="0"/>
      <w:marTop w:val="0"/>
      <w:marBottom w:val="0"/>
      <w:divBdr>
        <w:top w:val="none" w:sz="0" w:space="0" w:color="auto"/>
        <w:left w:val="none" w:sz="0" w:space="0" w:color="auto"/>
        <w:bottom w:val="none" w:sz="0" w:space="0" w:color="auto"/>
        <w:right w:val="none" w:sz="0" w:space="0" w:color="auto"/>
      </w:divBdr>
    </w:div>
    <w:div w:id="97335370">
      <w:bodyDiv w:val="1"/>
      <w:marLeft w:val="0"/>
      <w:marRight w:val="0"/>
      <w:marTop w:val="0"/>
      <w:marBottom w:val="0"/>
      <w:divBdr>
        <w:top w:val="none" w:sz="0" w:space="0" w:color="auto"/>
        <w:left w:val="none" w:sz="0" w:space="0" w:color="auto"/>
        <w:bottom w:val="none" w:sz="0" w:space="0" w:color="auto"/>
        <w:right w:val="none" w:sz="0" w:space="0" w:color="auto"/>
      </w:divBdr>
    </w:div>
    <w:div w:id="183402287">
      <w:bodyDiv w:val="1"/>
      <w:marLeft w:val="0"/>
      <w:marRight w:val="0"/>
      <w:marTop w:val="0"/>
      <w:marBottom w:val="0"/>
      <w:divBdr>
        <w:top w:val="none" w:sz="0" w:space="0" w:color="auto"/>
        <w:left w:val="none" w:sz="0" w:space="0" w:color="auto"/>
        <w:bottom w:val="none" w:sz="0" w:space="0" w:color="auto"/>
        <w:right w:val="none" w:sz="0" w:space="0" w:color="auto"/>
      </w:divBdr>
    </w:div>
    <w:div w:id="278412108">
      <w:bodyDiv w:val="1"/>
      <w:marLeft w:val="0"/>
      <w:marRight w:val="0"/>
      <w:marTop w:val="0"/>
      <w:marBottom w:val="0"/>
      <w:divBdr>
        <w:top w:val="none" w:sz="0" w:space="0" w:color="auto"/>
        <w:left w:val="none" w:sz="0" w:space="0" w:color="auto"/>
        <w:bottom w:val="none" w:sz="0" w:space="0" w:color="auto"/>
        <w:right w:val="none" w:sz="0" w:space="0" w:color="auto"/>
      </w:divBdr>
    </w:div>
    <w:div w:id="347487676">
      <w:bodyDiv w:val="1"/>
      <w:marLeft w:val="0"/>
      <w:marRight w:val="0"/>
      <w:marTop w:val="0"/>
      <w:marBottom w:val="0"/>
      <w:divBdr>
        <w:top w:val="none" w:sz="0" w:space="0" w:color="auto"/>
        <w:left w:val="none" w:sz="0" w:space="0" w:color="auto"/>
        <w:bottom w:val="none" w:sz="0" w:space="0" w:color="auto"/>
        <w:right w:val="none" w:sz="0" w:space="0" w:color="auto"/>
      </w:divBdr>
    </w:div>
    <w:div w:id="499469555">
      <w:bodyDiv w:val="1"/>
      <w:marLeft w:val="0"/>
      <w:marRight w:val="0"/>
      <w:marTop w:val="0"/>
      <w:marBottom w:val="0"/>
      <w:divBdr>
        <w:top w:val="none" w:sz="0" w:space="0" w:color="auto"/>
        <w:left w:val="none" w:sz="0" w:space="0" w:color="auto"/>
        <w:bottom w:val="none" w:sz="0" w:space="0" w:color="auto"/>
        <w:right w:val="none" w:sz="0" w:space="0" w:color="auto"/>
      </w:divBdr>
    </w:div>
    <w:div w:id="578977223">
      <w:bodyDiv w:val="1"/>
      <w:marLeft w:val="0"/>
      <w:marRight w:val="0"/>
      <w:marTop w:val="0"/>
      <w:marBottom w:val="0"/>
      <w:divBdr>
        <w:top w:val="none" w:sz="0" w:space="0" w:color="auto"/>
        <w:left w:val="none" w:sz="0" w:space="0" w:color="auto"/>
        <w:bottom w:val="none" w:sz="0" w:space="0" w:color="auto"/>
        <w:right w:val="none" w:sz="0" w:space="0" w:color="auto"/>
      </w:divBdr>
      <w:divsChild>
        <w:div w:id="1520241442">
          <w:marLeft w:val="0"/>
          <w:marRight w:val="0"/>
          <w:marTop w:val="0"/>
          <w:marBottom w:val="0"/>
          <w:divBdr>
            <w:top w:val="none" w:sz="0" w:space="0" w:color="auto"/>
            <w:left w:val="none" w:sz="0" w:space="0" w:color="auto"/>
            <w:bottom w:val="none" w:sz="0" w:space="0" w:color="auto"/>
            <w:right w:val="none" w:sz="0" w:space="0" w:color="auto"/>
          </w:divBdr>
        </w:div>
      </w:divsChild>
    </w:div>
    <w:div w:id="788620085">
      <w:bodyDiv w:val="1"/>
      <w:marLeft w:val="0"/>
      <w:marRight w:val="0"/>
      <w:marTop w:val="0"/>
      <w:marBottom w:val="0"/>
      <w:divBdr>
        <w:top w:val="none" w:sz="0" w:space="0" w:color="auto"/>
        <w:left w:val="none" w:sz="0" w:space="0" w:color="auto"/>
        <w:bottom w:val="none" w:sz="0" w:space="0" w:color="auto"/>
        <w:right w:val="none" w:sz="0" w:space="0" w:color="auto"/>
      </w:divBdr>
    </w:div>
    <w:div w:id="1025133906">
      <w:bodyDiv w:val="1"/>
      <w:marLeft w:val="0"/>
      <w:marRight w:val="0"/>
      <w:marTop w:val="0"/>
      <w:marBottom w:val="0"/>
      <w:divBdr>
        <w:top w:val="none" w:sz="0" w:space="0" w:color="auto"/>
        <w:left w:val="none" w:sz="0" w:space="0" w:color="auto"/>
        <w:bottom w:val="none" w:sz="0" w:space="0" w:color="auto"/>
        <w:right w:val="none" w:sz="0" w:space="0" w:color="auto"/>
      </w:divBdr>
    </w:div>
    <w:div w:id="1051349672">
      <w:bodyDiv w:val="1"/>
      <w:marLeft w:val="0"/>
      <w:marRight w:val="0"/>
      <w:marTop w:val="0"/>
      <w:marBottom w:val="0"/>
      <w:divBdr>
        <w:top w:val="none" w:sz="0" w:space="0" w:color="auto"/>
        <w:left w:val="none" w:sz="0" w:space="0" w:color="auto"/>
        <w:bottom w:val="none" w:sz="0" w:space="0" w:color="auto"/>
        <w:right w:val="none" w:sz="0" w:space="0" w:color="auto"/>
      </w:divBdr>
    </w:div>
    <w:div w:id="1087386486">
      <w:bodyDiv w:val="1"/>
      <w:marLeft w:val="0"/>
      <w:marRight w:val="0"/>
      <w:marTop w:val="0"/>
      <w:marBottom w:val="0"/>
      <w:divBdr>
        <w:top w:val="none" w:sz="0" w:space="0" w:color="auto"/>
        <w:left w:val="none" w:sz="0" w:space="0" w:color="auto"/>
        <w:bottom w:val="none" w:sz="0" w:space="0" w:color="auto"/>
        <w:right w:val="none" w:sz="0" w:space="0" w:color="auto"/>
      </w:divBdr>
    </w:div>
    <w:div w:id="1090271258">
      <w:bodyDiv w:val="1"/>
      <w:marLeft w:val="0"/>
      <w:marRight w:val="0"/>
      <w:marTop w:val="0"/>
      <w:marBottom w:val="0"/>
      <w:divBdr>
        <w:top w:val="none" w:sz="0" w:space="0" w:color="auto"/>
        <w:left w:val="none" w:sz="0" w:space="0" w:color="auto"/>
        <w:bottom w:val="none" w:sz="0" w:space="0" w:color="auto"/>
        <w:right w:val="none" w:sz="0" w:space="0" w:color="auto"/>
      </w:divBdr>
    </w:div>
    <w:div w:id="1494222787">
      <w:bodyDiv w:val="1"/>
      <w:marLeft w:val="0"/>
      <w:marRight w:val="0"/>
      <w:marTop w:val="0"/>
      <w:marBottom w:val="0"/>
      <w:divBdr>
        <w:top w:val="none" w:sz="0" w:space="0" w:color="auto"/>
        <w:left w:val="none" w:sz="0" w:space="0" w:color="auto"/>
        <w:bottom w:val="none" w:sz="0" w:space="0" w:color="auto"/>
        <w:right w:val="none" w:sz="0" w:space="0" w:color="auto"/>
      </w:divBdr>
    </w:div>
    <w:div w:id="1516575705">
      <w:bodyDiv w:val="1"/>
      <w:marLeft w:val="0"/>
      <w:marRight w:val="0"/>
      <w:marTop w:val="0"/>
      <w:marBottom w:val="0"/>
      <w:divBdr>
        <w:top w:val="none" w:sz="0" w:space="0" w:color="auto"/>
        <w:left w:val="none" w:sz="0" w:space="0" w:color="auto"/>
        <w:bottom w:val="none" w:sz="0" w:space="0" w:color="auto"/>
        <w:right w:val="none" w:sz="0" w:space="0" w:color="auto"/>
      </w:divBdr>
    </w:div>
    <w:div w:id="1573277885">
      <w:bodyDiv w:val="1"/>
      <w:marLeft w:val="0"/>
      <w:marRight w:val="0"/>
      <w:marTop w:val="0"/>
      <w:marBottom w:val="0"/>
      <w:divBdr>
        <w:top w:val="none" w:sz="0" w:space="0" w:color="auto"/>
        <w:left w:val="none" w:sz="0" w:space="0" w:color="auto"/>
        <w:bottom w:val="none" w:sz="0" w:space="0" w:color="auto"/>
        <w:right w:val="none" w:sz="0" w:space="0" w:color="auto"/>
      </w:divBdr>
    </w:div>
    <w:div w:id="1650404457">
      <w:bodyDiv w:val="1"/>
      <w:marLeft w:val="0"/>
      <w:marRight w:val="0"/>
      <w:marTop w:val="0"/>
      <w:marBottom w:val="0"/>
      <w:divBdr>
        <w:top w:val="none" w:sz="0" w:space="0" w:color="auto"/>
        <w:left w:val="none" w:sz="0" w:space="0" w:color="auto"/>
        <w:bottom w:val="none" w:sz="0" w:space="0" w:color="auto"/>
        <w:right w:val="none" w:sz="0" w:space="0" w:color="auto"/>
      </w:divBdr>
    </w:div>
    <w:div w:id="1792093939">
      <w:bodyDiv w:val="1"/>
      <w:marLeft w:val="0"/>
      <w:marRight w:val="0"/>
      <w:marTop w:val="0"/>
      <w:marBottom w:val="0"/>
      <w:divBdr>
        <w:top w:val="none" w:sz="0" w:space="0" w:color="auto"/>
        <w:left w:val="none" w:sz="0" w:space="0" w:color="auto"/>
        <w:bottom w:val="none" w:sz="0" w:space="0" w:color="auto"/>
        <w:right w:val="none" w:sz="0" w:space="0" w:color="auto"/>
      </w:divBdr>
    </w:div>
    <w:div w:id="1866670379">
      <w:bodyDiv w:val="1"/>
      <w:marLeft w:val="0"/>
      <w:marRight w:val="0"/>
      <w:marTop w:val="0"/>
      <w:marBottom w:val="0"/>
      <w:divBdr>
        <w:top w:val="none" w:sz="0" w:space="0" w:color="auto"/>
        <w:left w:val="none" w:sz="0" w:space="0" w:color="auto"/>
        <w:bottom w:val="none" w:sz="0" w:space="0" w:color="auto"/>
        <w:right w:val="none" w:sz="0" w:space="0" w:color="auto"/>
      </w:divBdr>
    </w:div>
    <w:div w:id="1873498939">
      <w:bodyDiv w:val="1"/>
      <w:marLeft w:val="0"/>
      <w:marRight w:val="0"/>
      <w:marTop w:val="0"/>
      <w:marBottom w:val="0"/>
      <w:divBdr>
        <w:top w:val="none" w:sz="0" w:space="0" w:color="auto"/>
        <w:left w:val="none" w:sz="0" w:space="0" w:color="auto"/>
        <w:bottom w:val="none" w:sz="0" w:space="0" w:color="auto"/>
        <w:right w:val="none" w:sz="0" w:space="0" w:color="auto"/>
      </w:divBdr>
    </w:div>
    <w:div w:id="1933010897">
      <w:bodyDiv w:val="1"/>
      <w:marLeft w:val="0"/>
      <w:marRight w:val="0"/>
      <w:marTop w:val="0"/>
      <w:marBottom w:val="0"/>
      <w:divBdr>
        <w:top w:val="none" w:sz="0" w:space="0" w:color="auto"/>
        <w:left w:val="none" w:sz="0" w:space="0" w:color="auto"/>
        <w:bottom w:val="none" w:sz="0" w:space="0" w:color="auto"/>
        <w:right w:val="none" w:sz="0" w:space="0" w:color="auto"/>
      </w:divBdr>
    </w:div>
    <w:div w:id="1970817576">
      <w:bodyDiv w:val="1"/>
      <w:marLeft w:val="0"/>
      <w:marRight w:val="0"/>
      <w:marTop w:val="0"/>
      <w:marBottom w:val="0"/>
      <w:divBdr>
        <w:top w:val="none" w:sz="0" w:space="0" w:color="auto"/>
        <w:left w:val="none" w:sz="0" w:space="0" w:color="auto"/>
        <w:bottom w:val="none" w:sz="0" w:space="0" w:color="auto"/>
        <w:right w:val="none" w:sz="0" w:space="0" w:color="auto"/>
      </w:divBdr>
      <w:divsChild>
        <w:div w:id="283074248">
          <w:marLeft w:val="0"/>
          <w:marRight w:val="0"/>
          <w:marTop w:val="0"/>
          <w:marBottom w:val="0"/>
          <w:divBdr>
            <w:top w:val="none" w:sz="0" w:space="0" w:color="auto"/>
            <w:left w:val="none" w:sz="0" w:space="0" w:color="auto"/>
            <w:bottom w:val="none" w:sz="0" w:space="0" w:color="auto"/>
            <w:right w:val="none" w:sz="0" w:space="0" w:color="auto"/>
          </w:divBdr>
        </w:div>
        <w:div w:id="542788535">
          <w:marLeft w:val="0"/>
          <w:marRight w:val="0"/>
          <w:marTop w:val="0"/>
          <w:marBottom w:val="0"/>
          <w:divBdr>
            <w:top w:val="none" w:sz="0" w:space="0" w:color="auto"/>
            <w:left w:val="none" w:sz="0" w:space="0" w:color="auto"/>
            <w:bottom w:val="none" w:sz="0" w:space="0" w:color="auto"/>
            <w:right w:val="none" w:sz="0" w:space="0" w:color="auto"/>
          </w:divBdr>
        </w:div>
        <w:div w:id="843934907">
          <w:marLeft w:val="0"/>
          <w:marRight w:val="0"/>
          <w:marTop w:val="0"/>
          <w:marBottom w:val="0"/>
          <w:divBdr>
            <w:top w:val="none" w:sz="0" w:space="0" w:color="auto"/>
            <w:left w:val="none" w:sz="0" w:space="0" w:color="auto"/>
            <w:bottom w:val="none" w:sz="0" w:space="0" w:color="auto"/>
            <w:right w:val="none" w:sz="0" w:space="0" w:color="auto"/>
          </w:divBdr>
        </w:div>
        <w:div w:id="1172645778">
          <w:marLeft w:val="0"/>
          <w:marRight w:val="0"/>
          <w:marTop w:val="0"/>
          <w:marBottom w:val="0"/>
          <w:divBdr>
            <w:top w:val="none" w:sz="0" w:space="0" w:color="auto"/>
            <w:left w:val="none" w:sz="0" w:space="0" w:color="auto"/>
            <w:bottom w:val="none" w:sz="0" w:space="0" w:color="auto"/>
            <w:right w:val="none" w:sz="0" w:space="0" w:color="auto"/>
          </w:divBdr>
        </w:div>
      </w:divsChild>
    </w:div>
    <w:div w:id="2009554724">
      <w:bodyDiv w:val="1"/>
      <w:marLeft w:val="0"/>
      <w:marRight w:val="0"/>
      <w:marTop w:val="0"/>
      <w:marBottom w:val="0"/>
      <w:divBdr>
        <w:top w:val="none" w:sz="0" w:space="0" w:color="auto"/>
        <w:left w:val="none" w:sz="0" w:space="0" w:color="auto"/>
        <w:bottom w:val="none" w:sz="0" w:space="0" w:color="auto"/>
        <w:right w:val="none" w:sz="0" w:space="0" w:color="auto"/>
      </w:divBdr>
    </w:div>
    <w:div w:id="206394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13" Type="http://schemas.openxmlformats.org/officeDocument/2006/relationships/hyperlink" Target="https://www.fsb.org/2023/09/enhancing-the-resilience-of-non-bank-financial-intermediation-progress-report-3/" TargetMode="External"/><Relationship Id="rId18" Type="http://schemas.openxmlformats.org/officeDocument/2006/relationships/hyperlink" Target="https://www.ecb.europa.eu/pub/financial-stability/fsr/focus/2022/html/ecb.fsrbox202211_06~1caf5f3bca.en.html" TargetMode="External"/><Relationship Id="rId26" Type="http://schemas.openxmlformats.org/officeDocument/2006/relationships/hyperlink" Target="https://finance.ec.europa.eu/regulation-and-supervision/consultations/finance-2022-money-market-funds_en" TargetMode="External"/><Relationship Id="rId39" Type="http://schemas.openxmlformats.org/officeDocument/2006/relationships/hyperlink" Target="https://www.ecb.europa.eu/pub/financial-stability/macroprudential-bulletin/html/ecb.mpbu201903_01~c307e09dd7.en.html" TargetMode="External"/><Relationship Id="rId21" Type="http://schemas.openxmlformats.org/officeDocument/2006/relationships/hyperlink" Target="https://www.banque-france.fr/index.php/en/publications-and-statistics/publications/non-bank-financial-intermediation-vulnerabilities-and-challenges" TargetMode="External"/><Relationship Id="rId34" Type="http://schemas.openxmlformats.org/officeDocument/2006/relationships/hyperlink" Target="https://www.ecb.europa.eu/pub/financial-stability/macroprudential-bulletin/html/ecb.mpbu202010_1~01c4f1a5f4.en.html" TargetMode="External"/><Relationship Id="rId42" Type="http://schemas.openxmlformats.org/officeDocument/2006/relationships/hyperlink" Target="https://www.ecb.europa.eu/pub/pdf/scpwps/ecb.wp2644~7d82c23abf.en.pdf?a6ea999a5302230189454d2464059287" TargetMode="External"/><Relationship Id="rId47" Type="http://schemas.openxmlformats.org/officeDocument/2006/relationships/hyperlink" Target="https://www.esrb.europa.eu/pub/pdf/reports/esrb.report190923_vulnerabilities_eea_countries~a4864b42bf.en.pdf" TargetMode="External"/><Relationship Id="rId50" Type="http://schemas.openxmlformats.org/officeDocument/2006/relationships/hyperlink" Target="https://www.esrb.europa.eu/pub/pdf/other/esrb.reviewmacropruframeworkcfa.220331~5d81cb2173.en.pdf?7263115b46a985b4481328afd3f2326d" TargetMode="External"/><Relationship Id="rId55" Type="http://schemas.openxmlformats.org/officeDocument/2006/relationships/hyperlink" Target="https://www.bankofengland.co.uk/speech/2023/september/andrew-hauser-speech-at-market-news-international-connect-event" TargetMode="External"/><Relationship Id="rId63" Type="http://schemas.openxmlformats.org/officeDocument/2006/relationships/hyperlink" Target="https://www.esma.europa.eu/press-news/esma-news/esma-publishes-ex-post-analysis-derivatives-risks-in-archegos" TargetMode="External"/><Relationship Id="rId7" Type="http://schemas.openxmlformats.org/officeDocument/2006/relationships/hyperlink" Target="https://ec.europa.eu/economy_finance/publications/pages/publication14527_en.pdf" TargetMode="External"/><Relationship Id="rId2" Type="http://schemas.openxmlformats.org/officeDocument/2006/relationships/hyperlink" Target="https://finance.ec.europa.eu/system/files/2022-06/2021-banking-macroprudential-framework-summary-of-responses_en.pdf" TargetMode="External"/><Relationship Id="rId16" Type="http://schemas.openxmlformats.org/officeDocument/2006/relationships/hyperlink" Target="https://www.esrb.europa.eu/pub/pdf/reports/nbfi_monitor/esrb.nbfi202306~58b19c8627.en.pdf" TargetMode="External"/><Relationship Id="rId20" Type="http://schemas.openxmlformats.org/officeDocument/2006/relationships/hyperlink" Target="https://www.banque-france.fr/index.php/en/publications-and-statistics/publications/non-bank-financial-intermediation-vulnerabilities-and-challenges" TargetMode="External"/><Relationship Id="rId29" Type="http://schemas.openxmlformats.org/officeDocument/2006/relationships/hyperlink" Target="https://www.eiopa.europa.eu/publications/opinion-2020-review-solvency-ii_en" TargetMode="External"/><Relationship Id="rId41" Type="http://schemas.openxmlformats.org/officeDocument/2006/relationships/hyperlink" Target="https://www.ecb.europa.eu/pub/financial-stability/fsr/special/html/ecb.fsrart202111_01~111d31fca7.en.html" TargetMode="External"/><Relationship Id="rId54" Type="http://schemas.openxmlformats.org/officeDocument/2006/relationships/hyperlink" Target="https://www.bankofengland.co.uk/-/media/boe/files/working-paper/2023/an-anatomy-of-the-2022-gilt-market-crisisC=WSEDSE" TargetMode="External"/><Relationship Id="rId62" Type="http://schemas.openxmlformats.org/officeDocument/2006/relationships/hyperlink" Target="https://www.fsb.org/wp-content/uploads/P101122.pdf" TargetMode="External"/><Relationship Id="rId1" Type="http://schemas.openxmlformats.org/officeDocument/2006/relationships/hyperlink" Target="https://finance.ec.europa.eu/system/files/2021-11/2021-banking-macroprudential-framework-consultation-document_en.pdf" TargetMode="External"/><Relationship Id="rId6" Type="http://schemas.openxmlformats.org/officeDocument/2006/relationships/hyperlink" Target="https://ec.europa.eu/economy_finance/publications/pages/publication14527_en.pdf" TargetMode="External"/><Relationship Id="rId11" Type="http://schemas.openxmlformats.org/officeDocument/2006/relationships/hyperlink" Target="https://www.fsb.org/2022/12/global-monitoring-report-on-non-bank-financial-intermediation-2022/=WSEDSE" TargetMode="External"/><Relationship Id="rId24" Type="http://schemas.openxmlformats.org/officeDocument/2006/relationships/hyperlink" Target="https://finance.ec.europa.eu/publications/capital-markets-union-commission-adopts-package-ensure-better-data-access-and-revamped-investment_en" TargetMode="External"/><Relationship Id="rId32" Type="http://schemas.openxmlformats.org/officeDocument/2006/relationships/hyperlink" Target="https://finance.ec.europa.eu/publications/capital-markets-union-clearing-insolvency-and-listing-package_en" TargetMode="External"/><Relationship Id="rId37" Type="http://schemas.openxmlformats.org/officeDocument/2006/relationships/hyperlink" Target="https://www.ecb.europa.eu/pub/pdf/scpops/ecb.op329~60b6f9aa26.en.pdf" TargetMode="External"/><Relationship Id="rId40" Type="http://schemas.openxmlformats.org/officeDocument/2006/relationships/hyperlink" Target="https://www.bis.org/bcbs/publ/d542.htm" TargetMode="External"/><Relationship Id="rId45" Type="http://schemas.openxmlformats.org/officeDocument/2006/relationships/hyperlink" Target="https://www.eba.europa.eu/sites/default/documents/files/document_library/Publications/Reports/2020/961796/EBA%20report%20on%20calibration%20of%20OSII%20buffer%20rates.pdf" TargetMode="External"/><Relationship Id="rId53" Type="http://schemas.openxmlformats.org/officeDocument/2006/relationships/hyperlink" Target="https://www.fsb.org/2020/11/holistic-review-of-the-march-market-turmoil/" TargetMode="External"/><Relationship Id="rId58" Type="http://schemas.openxmlformats.org/officeDocument/2006/relationships/hyperlink" Target="https://finance.ec.europa.eu/system/files/2023-07/230720-report-money-market-funds_en.pdf" TargetMode="External"/><Relationship Id="rId66" Type="http://schemas.openxmlformats.org/officeDocument/2006/relationships/hyperlink" Target="https://www.esrb.europa.eu/pub/pdf/reports/nbfi_monitor/esrb.NBFI_Monitor.20220715~a623f2329b.en.pdf" TargetMode="External"/><Relationship Id="rId5" Type="http://schemas.openxmlformats.org/officeDocument/2006/relationships/hyperlink" Target="https://ec.europa.eu/economy_finance/publications/pages/publication14527_en.pdf" TargetMode="External"/><Relationship Id="rId15" Type="http://schemas.openxmlformats.org/officeDocument/2006/relationships/hyperlink" Target="https://www.fsb.org/2022/12/global-monitoring-report-on-non-bank-financial-intermediation-2022/=WSEDSE" TargetMode="External"/><Relationship Id="rId23" Type="http://schemas.openxmlformats.org/officeDocument/2006/relationships/hyperlink" Target="https://finance.ec.europa.eu/publications/capital-markets-union-commission-adopts-package-ensure-better-data-access-and-revamped-investment_en" TargetMode="External"/><Relationship Id="rId28" Type="http://schemas.openxmlformats.org/officeDocument/2006/relationships/hyperlink" Target="https://ec.europa.eu/commission/presscorner/detail/ro/ip_21_4783" TargetMode="External"/><Relationship Id="rId36" Type="http://schemas.openxmlformats.org/officeDocument/2006/relationships/hyperlink" Target="https://www.ecb.europa.eu/pub/pdf/scpops/ecb.op329~60b6f9aa26.en.pdf" TargetMode="External"/><Relationship Id="rId49" Type="http://schemas.openxmlformats.org/officeDocument/2006/relationships/hyperlink" Target="https://www.esrb.europa.eu/pub/pdf/other/esrb.reviewmacropruframeworkcfa.220331~5d81cb2173.en.pdf?7263115b46a985b4481328afd3f2326d" TargetMode="External"/><Relationship Id="rId57" Type="http://schemas.openxmlformats.org/officeDocument/2006/relationships/hyperlink" Target="https://www.bankofengland.co.uk/speech/2023/september/andrew-hauser-speech-at-market-news-international-connect-event" TargetMode="External"/><Relationship Id="rId61" Type="http://schemas.openxmlformats.org/officeDocument/2006/relationships/hyperlink" Target="https://www.fsb.org/wp-content/uploads/P101122.pdf" TargetMode="External"/><Relationship Id="rId10" Type="http://schemas.openxmlformats.org/officeDocument/2006/relationships/hyperlink" Target="https://www.esrb.europa.eu/pub/pdf/reports/nbfi_monitor/esrb.nbfi202306~58b19c8627.en.pdf" TargetMode="External"/><Relationship Id="rId19" Type="http://schemas.openxmlformats.org/officeDocument/2006/relationships/hyperlink" Target="https://www.ecb.europa.eu/pub/financial-stability/fsr/html/ecb.fsr202311~bfe9d7c565.en.html" TargetMode="External"/><Relationship Id="rId31" Type="http://schemas.openxmlformats.org/officeDocument/2006/relationships/hyperlink" Target="https://www.esrb.europa.eu/pub/pdf/other/esrb.letter221116_on_solvencyii_review_ep~8def68c373.en.pdf?10eb1d148e7ac6732fb2a98139fe3118" TargetMode="External"/><Relationship Id="rId44" Type="http://schemas.openxmlformats.org/officeDocument/2006/relationships/hyperlink" Target="https://www.ecb.europa.eu/pub/pdf/scpwps/ecb.wp2644~7d82c23abf.en.pdf?a6ea999a5302230189454d2464059287" TargetMode="External"/><Relationship Id="rId52" Type="http://schemas.openxmlformats.org/officeDocument/2006/relationships/hyperlink" Target="https://www.bankingsupervision.europa.eu/press/pr/date/2024/html/ssm.pr240103~a26e1930b0.en.html" TargetMode="External"/><Relationship Id="rId60" Type="http://schemas.openxmlformats.org/officeDocument/2006/relationships/hyperlink" Target="https://www.esrb.europa.eu/pub/pdf/occasional/esrb.op.21~38d05c779d.en.pdf" TargetMode="External"/><Relationship Id="rId65" Type="http://schemas.openxmlformats.org/officeDocument/2006/relationships/hyperlink" Target="https://finance.ec.europa.eu/publications/strategy-supervisory-data-eu-financial-services_en" TargetMode="External"/><Relationship Id="rId4" Type="http://schemas.openxmlformats.org/officeDocument/2006/relationships/hyperlink" Target="https://ec.europa.eu/economy_finance/publications/pages/publication14527_en.pdf" TargetMode="External"/><Relationship Id="rId9" Type="http://schemas.openxmlformats.org/officeDocument/2006/relationships/hyperlink" Target="https://www.fsb.org/work-of-the-fsb/financial-innovation-and-structural-change/non-bank-financial-intermediation/" TargetMode="External"/><Relationship Id="rId14" Type="http://schemas.openxmlformats.org/officeDocument/2006/relationships/hyperlink" Target="https://www.fsb.org/2023/09/enhancing-the-resilience-of-non-bank-financial-intermediation-progress-report-3/" TargetMode="External"/><Relationship Id="rId22" Type="http://schemas.openxmlformats.org/officeDocument/2006/relationships/hyperlink" Target="https://www.centralbank.ie/docs/default-source/publications/discussion-papers/discussion-paper-11/dp-11-an-approach-to-macroprudential-policy-for-investment-funds.pdf?sfvrsn=23059f1d_3" TargetMode="External"/><Relationship Id="rId27" Type="http://schemas.openxmlformats.org/officeDocument/2006/relationships/hyperlink" Target="https://finance.ec.europa.eu/system/files/2023-07/230720-report-money-market-funds_en.pdf" TargetMode="External"/><Relationship Id="rId30" Type="http://schemas.openxmlformats.org/officeDocument/2006/relationships/hyperlink" Target="https://www.esrb.europa.eu/pub/pdf/other/esrb.letter220202_on_solvencyii~10566b70b1.en.pdf?460bb936fb9bf165e33120bf98d65ba1" TargetMode="External"/><Relationship Id="rId35" Type="http://schemas.openxmlformats.org/officeDocument/2006/relationships/hyperlink" Target="https://www.esrb.europa.eu/pub/pdf/reports/esrb.ATFreport211217_capitalbuffers~a1d4725ab0.en.pdf" TargetMode="External"/><Relationship Id="rId43" Type="http://schemas.openxmlformats.org/officeDocument/2006/relationships/hyperlink" Target="https://www.ecb.europa.eu/pub/pdf/scpwps/ecb.wp2644~7d82c23abf.en.pdf?a6ea999a5302230189454d2464059287" TargetMode="External"/><Relationship Id="rId48" Type="http://schemas.openxmlformats.org/officeDocument/2006/relationships/hyperlink" Target="https://www.esrb.europa.eu/pub/pdf/reports/esrb.report220211_vulnerabilities_eea_countries~27e571112b.en.pdf?cb8132dc3e0f0f53a4fce3292a690bd6" TargetMode="External"/><Relationship Id="rId56" Type="http://schemas.openxmlformats.org/officeDocument/2006/relationships/hyperlink" Target="https://www.bankofengland.co.uk/speech/2023/september/andrew-hauser-speech-at-market-news-international-connect-event" TargetMode="External"/><Relationship Id="rId64" Type="http://schemas.openxmlformats.org/officeDocument/2006/relationships/hyperlink" Target="https://www.fsb.org/2023/09/the-financial-stability-implications-of-leverage-in-non-bank-financial-intermediation/" TargetMode="External"/><Relationship Id="rId8" Type="http://schemas.openxmlformats.org/officeDocument/2006/relationships/hyperlink" Target="https://www.esrb.europa.eu/pub/pdf/reports/nbfi_monitor/esrb.nbfi202306~58b19c8627.en.pdf" TargetMode="External"/><Relationship Id="rId51" Type="http://schemas.openxmlformats.org/officeDocument/2006/relationships/hyperlink" Target="https://www.esrb.europa.eu/news/pr/date/2022/html/esrb.pr.220127~f1548f677e.en.html" TargetMode="External"/><Relationship Id="rId3" Type="http://schemas.openxmlformats.org/officeDocument/2006/relationships/hyperlink" Target="https://www.imf.org/external/np/pp/eng/2011/031411.pdf" TargetMode="External"/><Relationship Id="rId12" Type="http://schemas.openxmlformats.org/officeDocument/2006/relationships/hyperlink" Target="https://www.fsb.org/2022/12/global-monitoring-report-on-non-bank-financial-intermediation-2022/=WSEDSE" TargetMode="External"/><Relationship Id="rId17" Type="http://schemas.openxmlformats.org/officeDocument/2006/relationships/hyperlink" Target="https://www.ecb.europa.eu/pub/financial-stability/fsr/focus/2022/html/ecb.fsrbox202211_06~1caf5f3bca.en.html" TargetMode="External"/><Relationship Id="rId25" Type="http://schemas.openxmlformats.org/officeDocument/2006/relationships/hyperlink" Target="https://eur-lex.europa.eu/legal-content/RO/TXT/?uri=CELEX%3A02017R1131-20190101&amp;qid=1690881926273" TargetMode="External"/><Relationship Id="rId33" Type="http://schemas.openxmlformats.org/officeDocument/2006/relationships/hyperlink" Target="https://finance.ec.europa.eu/publications/capital-markets-union-clearing-insolvency-and-listing-package_en" TargetMode="External"/><Relationship Id="rId38" Type="http://schemas.openxmlformats.org/officeDocument/2006/relationships/hyperlink" Target="https://www.ecb.europa.eu/pub/financial-stability/macroprudential-bulletin/html/ecb.mpbu201903_01~c307e09dd7.en.html" TargetMode="External"/><Relationship Id="rId46" Type="http://schemas.openxmlformats.org/officeDocument/2006/relationships/hyperlink" Target="https://www.esrb.europa.eu/pub/pdf/reports/161128_vulnerabilities_eu_residential_real_estate_sector.en.pdf" TargetMode="External"/><Relationship Id="rId59" Type="http://schemas.openxmlformats.org/officeDocument/2006/relationships/hyperlink" Target="https://www.esrb.europa.eu/pub/pdf/occasional/esrb.op.21~38d05c779d.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fb6c068c-bc2d-4620-b517-6a4d82a7e161" xsi:nil="true"/>
    <DocStatus xmlns="fb6c068c-bc2d-4620-b517-6a4d82a7e161">Draft</DocStatus>
    <TaxCatchAll xmlns="604b4288-15a6-4b36-801c-a9875e40b072" xsi:nil="true"/>
    <lcf76f155ced4ddcb4097134ff3c332f xmlns="fb6c068c-bc2d-4620-b517-6a4d82a7e161">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20D94BF79903409A44EFD8C6ED4DE5" ma:contentTypeVersion="15" ma:contentTypeDescription="Create a new document." ma:contentTypeScope="" ma:versionID="4a76546f9012c7876847027e4927cd6c">
  <xsd:schema xmlns:xsd="http://www.w3.org/2001/XMLSchema" xmlns:xs="http://www.w3.org/2001/XMLSchema" xmlns:p="http://schemas.microsoft.com/office/2006/metadata/properties" xmlns:ns2="fb6c068c-bc2d-4620-b517-6a4d82a7e161" xmlns:ns3="604b4288-15a6-4b36-801c-a9875e40b072" targetNamespace="http://schemas.microsoft.com/office/2006/metadata/properties" ma:root="true" ma:fieldsID="5b0c22d888ac26bb2091344b5c5be8c6" ns2:_="" ns3:_="">
    <xsd:import namespace="fb6c068c-bc2d-4620-b517-6a4d82a7e161"/>
    <xsd:import namespace="604b4288-15a6-4b36-801c-a9875e40b072"/>
    <xsd:element name="properties">
      <xsd:complexType>
        <xsd:sequence>
          <xsd:element name="documentManagement">
            <xsd:complexType>
              <xsd:all>
                <xsd:element ref="ns2:MediaServiceMetadata" minOccurs="0"/>
                <xsd:element ref="ns2:MediaServiceFastMetadata" minOccurs="0"/>
                <xsd:element ref="ns2:Category" minOccurs="0"/>
                <xsd:element ref="ns2:MediaServiceAutoKeyPoints" minOccurs="0"/>
                <xsd:element ref="ns2:MediaServiceKeyPoints" minOccurs="0"/>
                <xsd:element ref="ns2:DocStatu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c068c-bc2d-4620-b517-6a4d82a7e1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ategory" ma:index="10" nillable="true" ma:displayName="Category" ma:format="Dropdown" ma:internalName="Category">
      <xsd:simpleType>
        <xsd:restriction base="dms:Choice">
          <xsd:enumeration value="Meeting minutes"/>
          <xsd:enumeration value="Template"/>
          <xsd:enumeration value="Note takers"/>
          <xsd:enumeration value="Other"/>
          <xsd:enumeration value="ESRB"/>
          <xsd:enumeration value="Training"/>
          <xsd:enumeration value="Mission"/>
          <xsd:enumeration value="National measures"/>
        </xsd:restrictio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DocStatus" ma:index="13" nillable="true" ma:displayName="Doc Status" ma:default="Draft" ma:format="Dropdown" ma:internalName="DocStatus">
      <xsd:simpleType>
        <xsd:restriction base="dms:Choice">
          <xsd:enumeration value="Draft"/>
          <xsd:enumeration value="Final"/>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4b4288-15a6-4b36-801c-a9875e40b07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2707a19-a31c-4344-937b-e77748b7d6ba}" ma:internalName="TaxCatchAll" ma:showField="CatchAllData" ma:web="604b4288-15a6-4b36-801c-a9875e40b0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720174-0835-430E-808C-CF178561FB7C}">
  <ds:schemaRefs>
    <ds:schemaRef ds:uri="http://schemas.microsoft.com/sharepoint/v3/contenttype/forms"/>
  </ds:schemaRefs>
</ds:datastoreItem>
</file>

<file path=customXml/itemProps2.xml><?xml version="1.0" encoding="utf-8"?>
<ds:datastoreItem xmlns:ds="http://schemas.openxmlformats.org/officeDocument/2006/customXml" ds:itemID="{73FFA7C2-4FC2-42EC-BD69-C568C667F885}">
  <ds:schemaRefs>
    <ds:schemaRef ds:uri="http://schemas.microsoft.com/office/2006/metadata/properties"/>
    <ds:schemaRef ds:uri="http://schemas.microsoft.com/office/infopath/2007/PartnerControls"/>
    <ds:schemaRef ds:uri="fb6c068c-bc2d-4620-b517-6a4d82a7e161"/>
    <ds:schemaRef ds:uri="604b4288-15a6-4b36-801c-a9875e40b072"/>
  </ds:schemaRefs>
</ds:datastoreItem>
</file>

<file path=customXml/itemProps3.xml><?xml version="1.0" encoding="utf-8"?>
<ds:datastoreItem xmlns:ds="http://schemas.openxmlformats.org/officeDocument/2006/customXml" ds:itemID="{F63E1DC0-1D66-414E-9A2A-5BB2347FD3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c068c-bc2d-4620-b517-6a4d82a7e161"/>
    <ds:schemaRef ds:uri="604b4288-15a6-4b36-801c-a9875e40b0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EC9D18-679A-4F93-8ED7-FC8A357AF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8570</Words>
  <Characters>48849</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57305</CharactersWithSpaces>
  <SharedDoc>false</SharedDoc>
  <HLinks>
    <vt:vector size="282" baseType="variant">
      <vt:variant>
        <vt:i4>1769478</vt:i4>
      </vt:variant>
      <vt:variant>
        <vt:i4>138</vt:i4>
      </vt:variant>
      <vt:variant>
        <vt:i4>0</vt:i4>
      </vt:variant>
      <vt:variant>
        <vt:i4>5</vt:i4>
      </vt:variant>
      <vt:variant>
        <vt:lpwstr>https://www.esrb.europa.eu/pub/pdf/reports/nbfi_monitor/esrb.NBFI_Monitor.20220715~a623f2329b.en.pdf</vt:lpwstr>
      </vt:variant>
      <vt:variant>
        <vt:lpwstr/>
      </vt:variant>
      <vt:variant>
        <vt:i4>2687063</vt:i4>
      </vt:variant>
      <vt:variant>
        <vt:i4>135</vt:i4>
      </vt:variant>
      <vt:variant>
        <vt:i4>0</vt:i4>
      </vt:variant>
      <vt:variant>
        <vt:i4>5</vt:i4>
      </vt:variant>
      <vt:variant>
        <vt:lpwstr>https://finance.ec.europa.eu/publications/strategy-supervisory-data-eu-financial-services_en</vt:lpwstr>
      </vt:variant>
      <vt:variant>
        <vt:lpwstr/>
      </vt:variant>
      <vt:variant>
        <vt:i4>6357040</vt:i4>
      </vt:variant>
      <vt:variant>
        <vt:i4>132</vt:i4>
      </vt:variant>
      <vt:variant>
        <vt:i4>0</vt:i4>
      </vt:variant>
      <vt:variant>
        <vt:i4>5</vt:i4>
      </vt:variant>
      <vt:variant>
        <vt:lpwstr>https://www.fsb.org/2023/09/the-financial-stability-implications-of-leverage-in-non-bank-financial-intermediation/</vt:lpwstr>
      </vt:variant>
      <vt:variant>
        <vt:lpwstr/>
      </vt:variant>
      <vt:variant>
        <vt:i4>720983</vt:i4>
      </vt:variant>
      <vt:variant>
        <vt:i4>129</vt:i4>
      </vt:variant>
      <vt:variant>
        <vt:i4>0</vt:i4>
      </vt:variant>
      <vt:variant>
        <vt:i4>5</vt:i4>
      </vt:variant>
      <vt:variant>
        <vt:lpwstr>https://www.esma.europa.eu/press-news/esma-news/esma-publishes-ex-post-analysis-derivatives-risks-in-archegos</vt:lpwstr>
      </vt:variant>
      <vt:variant>
        <vt:lpwstr/>
      </vt:variant>
      <vt:variant>
        <vt:i4>7995488</vt:i4>
      </vt:variant>
      <vt:variant>
        <vt:i4>126</vt:i4>
      </vt:variant>
      <vt:variant>
        <vt:i4>0</vt:i4>
      </vt:variant>
      <vt:variant>
        <vt:i4>5</vt:i4>
      </vt:variant>
      <vt:variant>
        <vt:lpwstr>https://www.fsb.org/wp-content/uploads/P101122.pdf</vt:lpwstr>
      </vt:variant>
      <vt:variant>
        <vt:lpwstr/>
      </vt:variant>
      <vt:variant>
        <vt:i4>6553634</vt:i4>
      </vt:variant>
      <vt:variant>
        <vt:i4>123</vt:i4>
      </vt:variant>
      <vt:variant>
        <vt:i4>0</vt:i4>
      </vt:variant>
      <vt:variant>
        <vt:i4>5</vt:i4>
      </vt:variant>
      <vt:variant>
        <vt:lpwstr>https://www.esrb.europa.eu/pub/pdf/occasional/esrb.op.21~38d05c779d.en.pdf</vt:lpwstr>
      </vt:variant>
      <vt:variant>
        <vt:lpwstr/>
      </vt:variant>
      <vt:variant>
        <vt:i4>1703972</vt:i4>
      </vt:variant>
      <vt:variant>
        <vt:i4>120</vt:i4>
      </vt:variant>
      <vt:variant>
        <vt:i4>0</vt:i4>
      </vt:variant>
      <vt:variant>
        <vt:i4>5</vt:i4>
      </vt:variant>
      <vt:variant>
        <vt:lpwstr>https://finance.ec.europa.eu/system/files/2023-07/230720-report-money-market-funds_en.pdf</vt:lpwstr>
      </vt:variant>
      <vt:variant>
        <vt:lpwstr/>
      </vt:variant>
      <vt:variant>
        <vt:i4>6815787</vt:i4>
      </vt:variant>
      <vt:variant>
        <vt:i4>117</vt:i4>
      </vt:variant>
      <vt:variant>
        <vt:i4>0</vt:i4>
      </vt:variant>
      <vt:variant>
        <vt:i4>5</vt:i4>
      </vt:variant>
      <vt:variant>
        <vt:lpwstr>https://www.bankofengland.co.uk/-/media/boe/files/working-paper/2023/an-anatomy-of-the-2022-gilt-market-crisisC=WSEDSE</vt:lpwstr>
      </vt:variant>
      <vt:variant>
        <vt:lpwstr/>
      </vt:variant>
      <vt:variant>
        <vt:i4>131145</vt:i4>
      </vt:variant>
      <vt:variant>
        <vt:i4>114</vt:i4>
      </vt:variant>
      <vt:variant>
        <vt:i4>0</vt:i4>
      </vt:variant>
      <vt:variant>
        <vt:i4>5</vt:i4>
      </vt:variant>
      <vt:variant>
        <vt:lpwstr>https://www.fsb.org/2020/11/holistic-review-of-the-march-market-turmoil/</vt:lpwstr>
      </vt:variant>
      <vt:variant>
        <vt:lpwstr/>
      </vt:variant>
      <vt:variant>
        <vt:i4>1703937</vt:i4>
      </vt:variant>
      <vt:variant>
        <vt:i4>111</vt:i4>
      </vt:variant>
      <vt:variant>
        <vt:i4>0</vt:i4>
      </vt:variant>
      <vt:variant>
        <vt:i4>5</vt:i4>
      </vt:variant>
      <vt:variant>
        <vt:lpwstr>https://www.bankingsupervision.europa.eu/press/pr/date/2024/html/ssm.pr240103~a26e1930b0.en.html</vt:lpwstr>
      </vt:variant>
      <vt:variant>
        <vt:lpwstr/>
      </vt:variant>
      <vt:variant>
        <vt:i4>6422585</vt:i4>
      </vt:variant>
      <vt:variant>
        <vt:i4>108</vt:i4>
      </vt:variant>
      <vt:variant>
        <vt:i4>0</vt:i4>
      </vt:variant>
      <vt:variant>
        <vt:i4>5</vt:i4>
      </vt:variant>
      <vt:variant>
        <vt:lpwstr>https://www.esrb.europa.eu/news/pr/date/2022/html/esrb.pr.220127~f1548f677e.en.html</vt:lpwstr>
      </vt:variant>
      <vt:variant>
        <vt:lpwstr/>
      </vt:variant>
      <vt:variant>
        <vt:i4>7078012</vt:i4>
      </vt:variant>
      <vt:variant>
        <vt:i4>105</vt:i4>
      </vt:variant>
      <vt:variant>
        <vt:i4>0</vt:i4>
      </vt:variant>
      <vt:variant>
        <vt:i4>5</vt:i4>
      </vt:variant>
      <vt:variant>
        <vt:lpwstr>https://www.esrb.europa.eu/pub/pdf/other/esrb.reviewmacropruframeworkcfa.220331~5d81cb2173.en.pdf?7263115b46a985b4481328afd3f2326d</vt:lpwstr>
      </vt:variant>
      <vt:variant>
        <vt:lpwstr/>
      </vt:variant>
      <vt:variant>
        <vt:i4>5439549</vt:i4>
      </vt:variant>
      <vt:variant>
        <vt:i4>102</vt:i4>
      </vt:variant>
      <vt:variant>
        <vt:i4>0</vt:i4>
      </vt:variant>
      <vt:variant>
        <vt:i4>5</vt:i4>
      </vt:variant>
      <vt:variant>
        <vt:lpwstr>https://www.esrb.europa.eu/pub/pdf/reports/esrb.report220211_vulnerabilities_eea_countries~27e571112b.en.pdf?cb8132dc3e0f0f53a4fce3292a690bd6</vt:lpwstr>
      </vt:variant>
      <vt:variant>
        <vt:lpwstr/>
      </vt:variant>
      <vt:variant>
        <vt:i4>196709</vt:i4>
      </vt:variant>
      <vt:variant>
        <vt:i4>99</vt:i4>
      </vt:variant>
      <vt:variant>
        <vt:i4>0</vt:i4>
      </vt:variant>
      <vt:variant>
        <vt:i4>5</vt:i4>
      </vt:variant>
      <vt:variant>
        <vt:lpwstr>https://www.esrb.europa.eu/pub/pdf/reports/esrb.report190923_vulnerabilities_eea_countries~a4864b42bf.en.pdf</vt:lpwstr>
      </vt:variant>
      <vt:variant>
        <vt:lpwstr/>
      </vt:variant>
      <vt:variant>
        <vt:i4>5177429</vt:i4>
      </vt:variant>
      <vt:variant>
        <vt:i4>96</vt:i4>
      </vt:variant>
      <vt:variant>
        <vt:i4>0</vt:i4>
      </vt:variant>
      <vt:variant>
        <vt:i4>5</vt:i4>
      </vt:variant>
      <vt:variant>
        <vt:lpwstr>https://www.esrb.europa.eu/pub/pdf/reports/161128_vulnerabilities_eu_residential_real_estate_sector.en.pdf</vt:lpwstr>
      </vt:variant>
      <vt:variant>
        <vt:lpwstr/>
      </vt:variant>
      <vt:variant>
        <vt:i4>4587646</vt:i4>
      </vt:variant>
      <vt:variant>
        <vt:i4>93</vt:i4>
      </vt:variant>
      <vt:variant>
        <vt:i4>0</vt:i4>
      </vt:variant>
      <vt:variant>
        <vt:i4>5</vt:i4>
      </vt:variant>
      <vt:variant>
        <vt:lpwstr>https://www.eba.europa.eu/sites/default/documents/files/document_library/Publications/Reports/2020/961796/EBA report on calibration of OSII buffer rates.pdf</vt:lpwstr>
      </vt:variant>
      <vt:variant>
        <vt:lpwstr/>
      </vt:variant>
      <vt:variant>
        <vt:i4>7143545</vt:i4>
      </vt:variant>
      <vt:variant>
        <vt:i4>90</vt:i4>
      </vt:variant>
      <vt:variant>
        <vt:i4>0</vt:i4>
      </vt:variant>
      <vt:variant>
        <vt:i4>5</vt:i4>
      </vt:variant>
      <vt:variant>
        <vt:lpwstr>https://www.ecb.europa.eu/pub/pdf/scpwps/ecb.wp2644~7d82c23abf.en.pdf?a6ea999a5302230189454d2464059287</vt:lpwstr>
      </vt:variant>
      <vt:variant>
        <vt:lpwstr/>
      </vt:variant>
      <vt:variant>
        <vt:i4>4063254</vt:i4>
      </vt:variant>
      <vt:variant>
        <vt:i4>87</vt:i4>
      </vt:variant>
      <vt:variant>
        <vt:i4>0</vt:i4>
      </vt:variant>
      <vt:variant>
        <vt:i4>5</vt:i4>
      </vt:variant>
      <vt:variant>
        <vt:lpwstr>https://www.ecb.europa.eu/pub/financial-stability/fsr/special/html/ecb.fsrart202111_01~111d31fca7.en.html</vt:lpwstr>
      </vt:variant>
      <vt:variant>
        <vt:lpwstr/>
      </vt:variant>
      <vt:variant>
        <vt:i4>8192101</vt:i4>
      </vt:variant>
      <vt:variant>
        <vt:i4>84</vt:i4>
      </vt:variant>
      <vt:variant>
        <vt:i4>0</vt:i4>
      </vt:variant>
      <vt:variant>
        <vt:i4>5</vt:i4>
      </vt:variant>
      <vt:variant>
        <vt:lpwstr>https://www.bis.org/bcbs/publ/d542.htm</vt:lpwstr>
      </vt:variant>
      <vt:variant>
        <vt:lpwstr/>
      </vt:variant>
      <vt:variant>
        <vt:i4>131123</vt:i4>
      </vt:variant>
      <vt:variant>
        <vt:i4>81</vt:i4>
      </vt:variant>
      <vt:variant>
        <vt:i4>0</vt:i4>
      </vt:variant>
      <vt:variant>
        <vt:i4>5</vt:i4>
      </vt:variant>
      <vt:variant>
        <vt:lpwstr>https://www.ecb.europa.eu/pub/financial-stability/macroprudential-bulletin/html/ecb.mpbu201903_01~c307e09dd7.en.html</vt:lpwstr>
      </vt:variant>
      <vt:variant>
        <vt:lpwstr/>
      </vt:variant>
      <vt:variant>
        <vt:i4>983061</vt:i4>
      </vt:variant>
      <vt:variant>
        <vt:i4>78</vt:i4>
      </vt:variant>
      <vt:variant>
        <vt:i4>0</vt:i4>
      </vt:variant>
      <vt:variant>
        <vt:i4>5</vt:i4>
      </vt:variant>
      <vt:variant>
        <vt:lpwstr>https://www.ecb.europa.eu/pub/pdf/scpops/ecb.op329~60b6f9aa26.en.pdf</vt:lpwstr>
      </vt:variant>
      <vt:variant>
        <vt:lpwstr/>
      </vt:variant>
      <vt:variant>
        <vt:i4>7995401</vt:i4>
      </vt:variant>
      <vt:variant>
        <vt:i4>75</vt:i4>
      </vt:variant>
      <vt:variant>
        <vt:i4>0</vt:i4>
      </vt:variant>
      <vt:variant>
        <vt:i4>5</vt:i4>
      </vt:variant>
      <vt:variant>
        <vt:lpwstr>https://www.esrb.europa.eu/pub/pdf/reports/esrb.ATFreport211217_capitalbuffers~a1d4725ab0.en.pdf</vt:lpwstr>
      </vt:variant>
      <vt:variant>
        <vt:lpwstr/>
      </vt:variant>
      <vt:variant>
        <vt:i4>3407962</vt:i4>
      </vt:variant>
      <vt:variant>
        <vt:i4>72</vt:i4>
      </vt:variant>
      <vt:variant>
        <vt:i4>0</vt:i4>
      </vt:variant>
      <vt:variant>
        <vt:i4>5</vt:i4>
      </vt:variant>
      <vt:variant>
        <vt:lpwstr>https://www.ecb.europa.eu/pub/financial-stability/macroprudential-bulletin/html/ecb.mpbu202010_1~01c4f1a5f4.en.html</vt:lpwstr>
      </vt:variant>
      <vt:variant>
        <vt:lpwstr/>
      </vt:variant>
      <vt:variant>
        <vt:i4>1900650</vt:i4>
      </vt:variant>
      <vt:variant>
        <vt:i4>69</vt:i4>
      </vt:variant>
      <vt:variant>
        <vt:i4>0</vt:i4>
      </vt:variant>
      <vt:variant>
        <vt:i4>5</vt:i4>
      </vt:variant>
      <vt:variant>
        <vt:lpwstr>https://finance.ec.europa.eu/publications/capital-markets-union-clearing-insolvency-and-listing-package_en</vt:lpwstr>
      </vt:variant>
      <vt:variant>
        <vt:lpwstr/>
      </vt:variant>
      <vt:variant>
        <vt:i4>5898335</vt:i4>
      </vt:variant>
      <vt:variant>
        <vt:i4>66</vt:i4>
      </vt:variant>
      <vt:variant>
        <vt:i4>0</vt:i4>
      </vt:variant>
      <vt:variant>
        <vt:i4>5</vt:i4>
      </vt:variant>
      <vt:variant>
        <vt:lpwstr>https://www.esrb.europa.eu/pub/pdf/other/esrb.letter221116_on_solvencyii_review_ep~8def68c373.en.pdf?10eb1d148e7ac6732fb2a98139fe3118</vt:lpwstr>
      </vt:variant>
      <vt:variant>
        <vt:lpwstr/>
      </vt:variant>
      <vt:variant>
        <vt:i4>5177364</vt:i4>
      </vt:variant>
      <vt:variant>
        <vt:i4>63</vt:i4>
      </vt:variant>
      <vt:variant>
        <vt:i4>0</vt:i4>
      </vt:variant>
      <vt:variant>
        <vt:i4>5</vt:i4>
      </vt:variant>
      <vt:variant>
        <vt:lpwstr>https://www.esrb.europa.eu/pub/pdf/other/esrb.letter220202_on_solvencyii~10566b70b1.en.pdf?460bb936fb9bf165e33120bf98d65ba1</vt:lpwstr>
      </vt:variant>
      <vt:variant>
        <vt:lpwstr/>
      </vt:variant>
      <vt:variant>
        <vt:i4>3342349</vt:i4>
      </vt:variant>
      <vt:variant>
        <vt:i4>60</vt:i4>
      </vt:variant>
      <vt:variant>
        <vt:i4>0</vt:i4>
      </vt:variant>
      <vt:variant>
        <vt:i4>5</vt:i4>
      </vt:variant>
      <vt:variant>
        <vt:lpwstr>https://www.eiopa.europa.eu/publications/opinion-2020-review-solvency-ii_en</vt:lpwstr>
      </vt:variant>
      <vt:variant>
        <vt:lpwstr/>
      </vt:variant>
      <vt:variant>
        <vt:i4>8061034</vt:i4>
      </vt:variant>
      <vt:variant>
        <vt:i4>57</vt:i4>
      </vt:variant>
      <vt:variant>
        <vt:i4>0</vt:i4>
      </vt:variant>
      <vt:variant>
        <vt:i4>5</vt:i4>
      </vt:variant>
      <vt:variant>
        <vt:lpwstr>https://ec.europa.eu/commission/presscorner/detail/en/ip_21_4783</vt:lpwstr>
      </vt:variant>
      <vt:variant>
        <vt:lpwstr/>
      </vt:variant>
      <vt:variant>
        <vt:i4>1703972</vt:i4>
      </vt:variant>
      <vt:variant>
        <vt:i4>54</vt:i4>
      </vt:variant>
      <vt:variant>
        <vt:i4>0</vt:i4>
      </vt:variant>
      <vt:variant>
        <vt:i4>5</vt:i4>
      </vt:variant>
      <vt:variant>
        <vt:lpwstr>https://finance.ec.europa.eu/system/files/2023-07/230720-report-money-market-funds_en.pdf</vt:lpwstr>
      </vt:variant>
      <vt:variant>
        <vt:lpwstr/>
      </vt:variant>
      <vt:variant>
        <vt:i4>2228312</vt:i4>
      </vt:variant>
      <vt:variant>
        <vt:i4>51</vt:i4>
      </vt:variant>
      <vt:variant>
        <vt:i4>0</vt:i4>
      </vt:variant>
      <vt:variant>
        <vt:i4>5</vt:i4>
      </vt:variant>
      <vt:variant>
        <vt:lpwstr>https://finance.ec.europa.eu/regulation-and-supervision/consultations/finance-2022-money-market-funds_en</vt:lpwstr>
      </vt:variant>
      <vt:variant>
        <vt:lpwstr/>
      </vt:variant>
      <vt:variant>
        <vt:i4>1835076</vt:i4>
      </vt:variant>
      <vt:variant>
        <vt:i4>48</vt:i4>
      </vt:variant>
      <vt:variant>
        <vt:i4>0</vt:i4>
      </vt:variant>
      <vt:variant>
        <vt:i4>5</vt:i4>
      </vt:variant>
      <vt:variant>
        <vt:lpwstr>https://eur-lex.europa.eu/legal-content/EN/TXT/?uri=CELEX%3A02017R1131-20190101&amp;qid=1690881926273</vt:lpwstr>
      </vt:variant>
      <vt:variant>
        <vt:lpwstr/>
      </vt:variant>
      <vt:variant>
        <vt:i4>1179696</vt:i4>
      </vt:variant>
      <vt:variant>
        <vt:i4>45</vt:i4>
      </vt:variant>
      <vt:variant>
        <vt:i4>0</vt:i4>
      </vt:variant>
      <vt:variant>
        <vt:i4>5</vt:i4>
      </vt:variant>
      <vt:variant>
        <vt:lpwstr>https://finance.ec.europa.eu/publications/capital-markets-union-commission-adopts-package-ensure-better-data-access-and-revamped-investment_en</vt:lpwstr>
      </vt:variant>
      <vt:variant>
        <vt:lpwstr/>
      </vt:variant>
      <vt:variant>
        <vt:i4>4653176</vt:i4>
      </vt:variant>
      <vt:variant>
        <vt:i4>42</vt:i4>
      </vt:variant>
      <vt:variant>
        <vt:i4>0</vt:i4>
      </vt:variant>
      <vt:variant>
        <vt:i4>5</vt:i4>
      </vt:variant>
      <vt:variant>
        <vt:lpwstr>https://www.centralbank.ie/docs/default-source/publications/discussion-papers/discussion-paper-11/dp-11-an-approach-to-macroprudential-policy-for-investment-funds.pdf?sfvrsn=23059f1d_3</vt:lpwstr>
      </vt:variant>
      <vt:variant>
        <vt:lpwstr/>
      </vt:variant>
      <vt:variant>
        <vt:i4>7995488</vt:i4>
      </vt:variant>
      <vt:variant>
        <vt:i4>39</vt:i4>
      </vt:variant>
      <vt:variant>
        <vt:i4>0</vt:i4>
      </vt:variant>
      <vt:variant>
        <vt:i4>5</vt:i4>
      </vt:variant>
      <vt:variant>
        <vt:lpwstr>https://www.banque-france.fr/index.php/en/publications-and-statistics/publications/non-bank-financial-intermediation-vulnerabilities-and-challenges</vt:lpwstr>
      </vt:variant>
      <vt:variant>
        <vt:lpwstr/>
      </vt:variant>
      <vt:variant>
        <vt:i4>2228334</vt:i4>
      </vt:variant>
      <vt:variant>
        <vt:i4>36</vt:i4>
      </vt:variant>
      <vt:variant>
        <vt:i4>0</vt:i4>
      </vt:variant>
      <vt:variant>
        <vt:i4>5</vt:i4>
      </vt:variant>
      <vt:variant>
        <vt:lpwstr>https://www.ecb.europa.eu/pub/financial-stability/fsr/html/ecb.fsr202311~bfe9d7c565.en.html</vt:lpwstr>
      </vt:variant>
      <vt:variant>
        <vt:lpwstr>toc36</vt:lpwstr>
      </vt:variant>
      <vt:variant>
        <vt:i4>4391008</vt:i4>
      </vt:variant>
      <vt:variant>
        <vt:i4>33</vt:i4>
      </vt:variant>
      <vt:variant>
        <vt:i4>0</vt:i4>
      </vt:variant>
      <vt:variant>
        <vt:i4>5</vt:i4>
      </vt:variant>
      <vt:variant>
        <vt:lpwstr>https://www.ecb.europa.eu/pub/financial-stability/fsr/focus/2022/html/ecb.fsrbox202211_06~1caf5f3bca.en.html</vt:lpwstr>
      </vt:variant>
      <vt:variant>
        <vt:lpwstr/>
      </vt:variant>
      <vt:variant>
        <vt:i4>6291541</vt:i4>
      </vt:variant>
      <vt:variant>
        <vt:i4>30</vt:i4>
      </vt:variant>
      <vt:variant>
        <vt:i4>0</vt:i4>
      </vt:variant>
      <vt:variant>
        <vt:i4>5</vt:i4>
      </vt:variant>
      <vt:variant>
        <vt:lpwstr>https://www.esrb.europa.eu/pub/pdf/reports/nbfi_monitor/esrb.nbfi202306~58b19c8627.en.pdf</vt:lpwstr>
      </vt:variant>
      <vt:variant>
        <vt:lpwstr/>
      </vt:variant>
      <vt:variant>
        <vt:i4>8323181</vt:i4>
      </vt:variant>
      <vt:variant>
        <vt:i4>27</vt:i4>
      </vt:variant>
      <vt:variant>
        <vt:i4>0</vt:i4>
      </vt:variant>
      <vt:variant>
        <vt:i4>5</vt:i4>
      </vt:variant>
      <vt:variant>
        <vt:lpwstr>https://www.fsb.org/2022/12/global-monitoring-report-on-non-bank-financial-intermediation-2022/=WSEDSE</vt:lpwstr>
      </vt:variant>
      <vt:variant>
        <vt:lpwstr/>
      </vt:variant>
      <vt:variant>
        <vt:i4>1900570</vt:i4>
      </vt:variant>
      <vt:variant>
        <vt:i4>24</vt:i4>
      </vt:variant>
      <vt:variant>
        <vt:i4>0</vt:i4>
      </vt:variant>
      <vt:variant>
        <vt:i4>5</vt:i4>
      </vt:variant>
      <vt:variant>
        <vt:lpwstr>https://www.fsb.org/2023/09/enhancing-the-resilience-of-non-bank-financial-intermediation-progress-report-3/</vt:lpwstr>
      </vt:variant>
      <vt:variant>
        <vt:lpwstr/>
      </vt:variant>
      <vt:variant>
        <vt:i4>8323181</vt:i4>
      </vt:variant>
      <vt:variant>
        <vt:i4>21</vt:i4>
      </vt:variant>
      <vt:variant>
        <vt:i4>0</vt:i4>
      </vt:variant>
      <vt:variant>
        <vt:i4>5</vt:i4>
      </vt:variant>
      <vt:variant>
        <vt:lpwstr>https://www.fsb.org/2022/12/global-monitoring-report-on-non-bank-financial-intermediation-2022/=WSEDSE</vt:lpwstr>
      </vt:variant>
      <vt:variant>
        <vt:lpwstr/>
      </vt:variant>
      <vt:variant>
        <vt:i4>6291541</vt:i4>
      </vt:variant>
      <vt:variant>
        <vt:i4>18</vt:i4>
      </vt:variant>
      <vt:variant>
        <vt:i4>0</vt:i4>
      </vt:variant>
      <vt:variant>
        <vt:i4>5</vt:i4>
      </vt:variant>
      <vt:variant>
        <vt:lpwstr>https://www.esrb.europa.eu/pub/pdf/reports/nbfi_monitor/esrb.nbfi202306~58b19c8627.en.pdf</vt:lpwstr>
      </vt:variant>
      <vt:variant>
        <vt:lpwstr/>
      </vt:variant>
      <vt:variant>
        <vt:i4>524290</vt:i4>
      </vt:variant>
      <vt:variant>
        <vt:i4>15</vt:i4>
      </vt:variant>
      <vt:variant>
        <vt:i4>0</vt:i4>
      </vt:variant>
      <vt:variant>
        <vt:i4>5</vt:i4>
      </vt:variant>
      <vt:variant>
        <vt:lpwstr>https://www.fsb.org/work-of-the-fsb/financial-innovation-and-structural-change/non-bank-financial-intermediation/</vt:lpwstr>
      </vt:variant>
      <vt:variant>
        <vt:lpwstr/>
      </vt:variant>
      <vt:variant>
        <vt:i4>6291541</vt:i4>
      </vt:variant>
      <vt:variant>
        <vt:i4>12</vt:i4>
      </vt:variant>
      <vt:variant>
        <vt:i4>0</vt:i4>
      </vt:variant>
      <vt:variant>
        <vt:i4>5</vt:i4>
      </vt:variant>
      <vt:variant>
        <vt:lpwstr>https://www.esrb.europa.eu/pub/pdf/reports/nbfi_monitor/esrb.nbfi202306~58b19c8627.en.pdf</vt:lpwstr>
      </vt:variant>
      <vt:variant>
        <vt:lpwstr/>
      </vt:variant>
      <vt:variant>
        <vt:i4>3473517</vt:i4>
      </vt:variant>
      <vt:variant>
        <vt:i4>9</vt:i4>
      </vt:variant>
      <vt:variant>
        <vt:i4>0</vt:i4>
      </vt:variant>
      <vt:variant>
        <vt:i4>5</vt:i4>
      </vt:variant>
      <vt:variant>
        <vt:lpwstr>https://ec.europa.eu/economy_finance/publications/pages/publication14527_en.pdf</vt:lpwstr>
      </vt:variant>
      <vt:variant>
        <vt:lpwstr/>
      </vt:variant>
      <vt:variant>
        <vt:i4>3473517</vt:i4>
      </vt:variant>
      <vt:variant>
        <vt:i4>6</vt:i4>
      </vt:variant>
      <vt:variant>
        <vt:i4>0</vt:i4>
      </vt:variant>
      <vt:variant>
        <vt:i4>5</vt:i4>
      </vt:variant>
      <vt:variant>
        <vt:lpwstr>https://ec.europa.eu/economy_finance/publications/pages/publication14527_en.pdf</vt:lpwstr>
      </vt:variant>
      <vt:variant>
        <vt:lpwstr/>
      </vt:variant>
      <vt:variant>
        <vt:i4>8060995</vt:i4>
      </vt:variant>
      <vt:variant>
        <vt:i4>3</vt:i4>
      </vt:variant>
      <vt:variant>
        <vt:i4>0</vt:i4>
      </vt:variant>
      <vt:variant>
        <vt:i4>5</vt:i4>
      </vt:variant>
      <vt:variant>
        <vt:lpwstr>https://finance.ec.europa.eu/system/files/2022-06/2021-banking-macroprudential-framework-summary-of-responses_en.pdf</vt:lpwstr>
      </vt:variant>
      <vt:variant>
        <vt:lpwstr/>
      </vt:variant>
      <vt:variant>
        <vt:i4>1704055</vt:i4>
      </vt:variant>
      <vt:variant>
        <vt:i4>0</vt:i4>
      </vt:variant>
      <vt:variant>
        <vt:i4>0</vt:i4>
      </vt:variant>
      <vt:variant>
        <vt:i4>5</vt:i4>
      </vt:variant>
      <vt:variant>
        <vt:lpwstr>https://finance.ec.europa.eu/system/files/2021-11/2021-banking-macroprudential-framework-consultation-document_en.pdf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2024-01-09T10:47:00Z</dcterms:created>
  <dcterms:modified xsi:type="dcterms:W3CDTF">2024-02-08T08:55:00Z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Last edited using">
    <vt:lpwstr>LW 9.0, Build 20230317</vt:lpwstr>
  </property>
  <property fmtid="{D5CDD505-2E9C-101B-9397-08002B2CF9AE}" pid="4" name="MSIP_Label_6bd9ddd1-4d20-43f6-abfa-fc3c07406f94_Enabled">
    <vt:lpwstr>true</vt:lpwstr>
  </property>
  <property fmtid="{D5CDD505-2E9C-101B-9397-08002B2CF9AE}" pid="5" name="MSIP_Label_6bd9ddd1-4d20-43f6-abfa-fc3c07406f94_SetDate">
    <vt:lpwstr>2023-12-22T17:21:02Z</vt:lpwstr>
  </property>
  <property fmtid="{D5CDD505-2E9C-101B-9397-08002B2CF9AE}" pid="6" name="MSIP_Label_6bd9ddd1-4d20-43f6-abfa-fc3c07406f94_Method">
    <vt:lpwstr>Privileged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984412ab-216b-4326-8f32-a41e75b86bed</vt:lpwstr>
  </property>
  <property fmtid="{D5CDD505-2E9C-101B-9397-08002B2CF9AE}" pid="10" name="MSIP_Label_6bd9ddd1-4d20-43f6-abfa-fc3c07406f94_ContentBits">
    <vt:lpwstr>0</vt:lpwstr>
  </property>
  <property fmtid="{D5CDD505-2E9C-101B-9397-08002B2CF9AE}" pid="11" name="ContentTypeId">
    <vt:lpwstr>0x010100D920D94BF79903409A44EFD8C6ED4DE5</vt:lpwstr>
  </property>
  <property fmtid="{D5CDD505-2E9C-101B-9397-08002B2CF9AE}" pid="12" name="Order">
    <vt:r8>5800</vt:r8>
  </property>
  <property fmtid="{D5CDD505-2E9C-101B-9397-08002B2CF9AE}" pid="13" name="xd_Signature">
    <vt:bool>false</vt:bool>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MediaServiceImageTags">
    <vt:lpwstr/>
  </property>
  <property fmtid="{D5CDD505-2E9C-101B-9397-08002B2CF9AE}" pid="20" name="Level of sensitivity">
    <vt:lpwstr>Standard treatment</vt:lpwstr>
  </property>
  <property fmtid="{D5CDD505-2E9C-101B-9397-08002B2CF9AE}" pid="21" name="Part">
    <vt:lpwstr>1</vt:lpwstr>
  </property>
  <property fmtid="{D5CDD505-2E9C-101B-9397-08002B2CF9AE}" pid="22" name="Total parts">
    <vt:lpwstr>1</vt:lpwstr>
  </property>
  <property fmtid="{D5CDD505-2E9C-101B-9397-08002B2CF9AE}" pid="23" name="CPTemplateID">
    <vt:lpwstr>CP-006</vt:lpwstr>
  </property>
  <property fmtid="{D5CDD505-2E9C-101B-9397-08002B2CF9AE}" pid="24" name="Created using">
    <vt:lpwstr>LW 9.0, Build 20230317</vt:lpwstr>
  </property>
</Properties>
</file>