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205D1" w14:textId="0003B248" w:rsidR="003314E2" w:rsidRPr="0060211F" w:rsidRDefault="0004494A" w:rsidP="0004494A">
      <w:pPr>
        <w:pStyle w:val="Pagedecouverture"/>
        <w:rPr>
          <w:noProof/>
          <w:lang w:val="de-DE"/>
        </w:rPr>
      </w:pPr>
      <w:bookmarkStart w:id="0" w:name="LW_BM_COVERPAGE"/>
      <w:r>
        <w:rPr>
          <w:noProof/>
          <w:lang w:val="de-DE"/>
        </w:rPr>
        <w:pict w14:anchorId="48106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0067876-2B7B-436E-A391-D3172285D484" style="width:455.25pt;height:393pt">
            <v:imagedata r:id="rId11" o:title=""/>
          </v:shape>
        </w:pict>
      </w:r>
    </w:p>
    <w:bookmarkEnd w:id="0"/>
    <w:p w14:paraId="6AD70386" w14:textId="77777777" w:rsidR="000041A0" w:rsidRPr="0060211F" w:rsidRDefault="000041A0" w:rsidP="000041A0">
      <w:pPr>
        <w:rPr>
          <w:noProof/>
          <w:lang w:val="de-DE"/>
        </w:rPr>
        <w:sectPr w:rsidR="000041A0" w:rsidRPr="0060211F" w:rsidSect="0004494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262BFB63" w14:textId="4086432E" w:rsidR="004656D0" w:rsidRPr="0060211F" w:rsidRDefault="00B917AE" w:rsidP="004709F3">
      <w:pPr>
        <w:spacing w:after="120" w:line="240" w:lineRule="auto"/>
        <w:rPr>
          <w:rFonts w:cs="Times New Roman"/>
          <w:noProof/>
          <w:color w:val="000000" w:themeColor="text1"/>
          <w:shd w:val="clear" w:color="auto" w:fill="FFFFFF"/>
          <w:lang w:val="de-DE"/>
        </w:rPr>
      </w:pPr>
      <w:bookmarkStart w:id="1" w:name="_GoBack"/>
      <w:bookmarkEnd w:id="1"/>
      <w:r w:rsidRPr="0060211F">
        <w:rPr>
          <w:noProof/>
          <w:shd w:val="clear" w:color="auto" w:fill="FFFFFF"/>
          <w:lang w:val="de-DE"/>
        </w:rPr>
        <w:lastRenderedPageBreak/>
        <w:t>In diesem Bericht wird gemäß Artikel 513 der Verordnung (EU) Nr. 575/2013 (</w:t>
      </w:r>
      <w:r w:rsidRPr="0060211F">
        <w:rPr>
          <w:noProof/>
          <w:lang w:val="de-DE"/>
        </w:rPr>
        <w:t xml:space="preserve">Eigenmittelverordnung) </w:t>
      </w:r>
      <w:r w:rsidRPr="0060211F">
        <w:rPr>
          <w:noProof/>
          <w:shd w:val="clear" w:color="auto" w:fill="FFFFFF"/>
          <w:lang w:val="de-DE"/>
        </w:rPr>
        <w:t>nach Konsultation des Europäischen Ausschusses für Systemrisiken und der Europäischen Bankenaufsichtsbehörde</w:t>
      </w:r>
      <w:r w:rsidRPr="0060211F">
        <w:rPr>
          <w:noProof/>
          <w:lang w:val="de-DE"/>
        </w:rPr>
        <w:t xml:space="preserve"> der in der Eigenmittelverordnung und der Richtlinie 2013/36/EU (Eigenkapitalrichtlinie) dargelegte </w:t>
      </w:r>
      <w:r w:rsidRPr="0060211F">
        <w:rPr>
          <w:b/>
          <w:bCs/>
          <w:noProof/>
          <w:lang w:val="de-DE"/>
        </w:rPr>
        <w:t>makroprudenzielle Rahmen der EU</w:t>
      </w:r>
      <w:r w:rsidRPr="0060211F">
        <w:rPr>
          <w:b/>
          <w:noProof/>
          <w:lang w:val="de-DE"/>
        </w:rPr>
        <w:t xml:space="preserve"> überprüft</w:t>
      </w:r>
      <w:r w:rsidRPr="0060211F">
        <w:rPr>
          <w:noProof/>
          <w:lang w:val="de-DE"/>
        </w:rPr>
        <w:t>.</w:t>
      </w:r>
      <w:r w:rsidRPr="0060211F">
        <w:rPr>
          <w:noProof/>
          <w:color w:val="000000" w:themeColor="text1"/>
          <w:shd w:val="clear" w:color="auto" w:fill="FFFFFF"/>
          <w:lang w:val="de-DE"/>
        </w:rPr>
        <w:t xml:space="preserve"> </w:t>
      </w:r>
      <w:r w:rsidRPr="0060211F">
        <w:rPr>
          <w:noProof/>
          <w:shd w:val="clear" w:color="auto" w:fill="FFFFFF"/>
          <w:lang w:val="de-DE"/>
        </w:rPr>
        <w:t>Die Überprüfung sollte ursprünglich bis Juni 2022 abgeschlossen sein, und im Anschluss sollte dem Europäischen Parlament und dem Rat gegebenenfalls bis Dezember 2022 ein Gesetzgebungsvorschlag vorgelegt werden.</w:t>
      </w:r>
      <w:r w:rsidRPr="0060211F">
        <w:rPr>
          <w:rStyle w:val="FootnoteReference"/>
          <w:rFonts w:cs="Times New Roman"/>
          <w:noProof/>
          <w:color w:val="000000" w:themeColor="text1"/>
          <w:shd w:val="clear" w:color="auto" w:fill="FFFFFF"/>
          <w:lang w:val="de-DE"/>
        </w:rPr>
        <w:footnoteReference w:id="2"/>
      </w:r>
      <w:r w:rsidRPr="0060211F">
        <w:rPr>
          <w:noProof/>
          <w:color w:val="000000" w:themeColor="text1"/>
          <w:shd w:val="clear" w:color="auto" w:fill="FFFFFF"/>
          <w:lang w:val="de-DE"/>
        </w:rPr>
        <w:t xml:space="preserve"> Die Kommission beschloss, die Überprüfung zu verschieben, um die Auswirkungen der während (und nach) der Pandemie herrschenden makroökonomischen Bedingungen, das Wachstum der finanziellen Mittlertätigkeit von Nichtbanken und die Bankenkrise vom März 2023 in den USA genauer bewerten zu können. </w:t>
      </w:r>
    </w:p>
    <w:p w14:paraId="4AE8E428" w14:textId="4A4D6A33" w:rsidR="006F76CF" w:rsidRPr="0060211F" w:rsidRDefault="006F76CF" w:rsidP="004709F3">
      <w:pPr>
        <w:spacing w:after="120" w:line="240" w:lineRule="auto"/>
        <w:rPr>
          <w:rFonts w:cs="Times New Roman"/>
          <w:noProof/>
          <w:lang w:val="de-DE"/>
        </w:rPr>
      </w:pPr>
      <w:r w:rsidRPr="0060211F">
        <w:rPr>
          <w:noProof/>
          <w:color w:val="000000" w:themeColor="text1"/>
          <w:lang w:val="de-DE"/>
        </w:rPr>
        <w:t>Der Bericht stützt sich auf zahlreiche, von Gremien auf EU- und internationaler Ebene durchgeführte Studien sowie ein umfassendes öffentliches Konsultationsverfahren, das die Kommission durchführte und das ein gezieltes, an die Europäische Bankenaufsichtsbehörde, die Europäische Zentralbank und den Europäischen Ausschuss für Systemrisiken gerichtetes Ersuchen um Stellungnahmen einschloss; diese Verfahren wurden 2021 abgeschlossen.</w:t>
      </w:r>
      <w:r w:rsidRPr="0060211F">
        <w:rPr>
          <w:rFonts w:cs="Times New Roman"/>
          <w:noProof/>
          <w:vertAlign w:val="superscript"/>
          <w:lang w:val="de-DE"/>
        </w:rPr>
        <w:footnoteReference w:id="3"/>
      </w:r>
      <w:r w:rsidRPr="0060211F">
        <w:rPr>
          <w:noProof/>
          <w:color w:val="000000" w:themeColor="text1"/>
          <w:lang w:val="de-DE"/>
        </w:rPr>
        <w:t xml:space="preserve"> Darüber hinaus fanden zahlreiche bilaterale Gespräche zwischen den Kommissionsdienststellen und Interessenträgern statt, unter anderem in der Expertengruppe der Kommission für Banken, Zahlungsverkehr und Versicherungswesen. </w:t>
      </w:r>
    </w:p>
    <w:p w14:paraId="18C82D87" w14:textId="3C461B4C" w:rsidR="00525EDD" w:rsidRPr="0060211F" w:rsidRDefault="00EA6F34" w:rsidP="004709F3">
      <w:pPr>
        <w:spacing w:after="120" w:line="240" w:lineRule="auto"/>
        <w:rPr>
          <w:rFonts w:cs="Times New Roman"/>
          <w:noProof/>
          <w:lang w:val="de-DE"/>
        </w:rPr>
      </w:pPr>
      <w:r w:rsidRPr="0060211F">
        <w:rPr>
          <w:noProof/>
          <w:color w:val="372F32"/>
          <w:shd w:val="clear" w:color="auto" w:fill="FFFFFF"/>
          <w:lang w:val="de-DE"/>
        </w:rPr>
        <w:t xml:space="preserve">Die globale Finanzkrise der Jahre 2008–2009 offenbarte die weltweiten Schwachstellen des Bankensektors, denn viele Finanzinstitute waren überschuldet, hielten Großkredite gegenüber risikobehafteten Vermögenswerten und verfügten nur über unzureichende Quellen für eine stabile Finanzierung. </w:t>
      </w:r>
      <w:r w:rsidRPr="0060211F">
        <w:rPr>
          <w:noProof/>
          <w:lang w:val="de-DE"/>
        </w:rPr>
        <w:t xml:space="preserve">Im Vorfeld der Krise war die Bewertung von Risikopositionen und potenziellen Ausstrahlungseffekten schwierig gewesen, was zum Teil auf die begrenzte Transparenz bezüglich der zunehmenden Verschuldung und Verflechtung der Finanzinstitute zurückzuführen war. Kreditrisiken, Finanzierungs- und Marktliquiditätsrisiken wurden weitgehend unterschätzt und der Regulierungsrahmen enthielt nur begrenzte Mechanismen zur Schaffung von Anreizen für systemrelevante Institute. Infolgedessen </w:t>
      </w:r>
      <w:r w:rsidRPr="0060211F">
        <w:rPr>
          <w:rStyle w:val="BodyTextChar"/>
          <w:noProof/>
          <w:lang w:val="de-DE"/>
        </w:rPr>
        <w:t xml:space="preserve">erwiesen sich Aufsichts- und Regulierungsrahmen, in deren Mittelpunkt in erster Linie die Sicherstellung der Stabilität von Finanzinstituten auf eigenständiger Basis stand, als unzureichend für die Abmilderung von durch systemische Schocks verursachten Herausforderungen für die Finanzstabilität. </w:t>
      </w:r>
      <w:r w:rsidRPr="0060211F">
        <w:rPr>
          <w:noProof/>
          <w:lang w:val="de-DE"/>
        </w:rPr>
        <w:t>Schwachstellen können übergreifend im gesamten Finanzsystem entstehen, auch wenn Finanzinstitute auf individueller Ebene widerstandsfähig sind.</w:t>
      </w:r>
      <w:r w:rsidRPr="0060211F">
        <w:rPr>
          <w:rStyle w:val="FootnoteReference"/>
          <w:rFonts w:cs="Times New Roman"/>
          <w:noProof/>
          <w:lang w:val="de-DE"/>
        </w:rPr>
        <w:footnoteReference w:id="4"/>
      </w:r>
      <w:r w:rsidRPr="0060211F">
        <w:rPr>
          <w:noProof/>
          <w:lang w:val="de-DE"/>
        </w:rPr>
        <w:t xml:space="preserve"> So entstand das Erfordernis, zusätzliche politische Instrumente, auch für die Finanzaufsicht auf Makroebene, zu entwickeln, um ein übermäßiges Kreditwachstum zu begrenzen und die Widerstandsfähigkeit des Finanzsektors gegenüber systemischen Schocks insgesamt zu stärken.</w:t>
      </w:r>
    </w:p>
    <w:p w14:paraId="2B86EDE5" w14:textId="79A6321F" w:rsidR="003972BB" w:rsidRPr="0060211F" w:rsidRDefault="00743097" w:rsidP="004709F3">
      <w:pPr>
        <w:spacing w:after="120" w:line="240" w:lineRule="auto"/>
        <w:rPr>
          <w:noProof/>
          <w:lang w:val="de-DE"/>
        </w:rPr>
      </w:pPr>
      <w:r w:rsidRPr="0060211F">
        <w:rPr>
          <w:noProof/>
          <w:lang w:val="de-DE"/>
        </w:rPr>
        <w:t xml:space="preserve">Makroprudenzielle Maßnahmen dienen dem Ziel, die finanzielle Stabilität zu wahren, indem die Widerstandsfähigkeit des Finanzsystems erhöht und die Entstehung von Schwachstellen begrenzt wird, sodass auf diese Weise (strukturelle und konjunkturelle) Systemrisiken verringert werden und sichergestellt wird, dass die Wirtschaft auch weiterhin durch Finanzdienstleistungen unterstützt werden kann. Systemrisiken können in unterschiedlicher Form auftreten. Ein Systemrisiko kann beispielsweise seinen Ursprung in großen, komplexen Bankengruppen, einem übermäßigen Kreditwachstum, einer den Kreditzyklus in Wohnimmobilienmärkten beschleunigenden Verschuldung sowie strukturellen Anfälligkeiten des Bankensektors (beispielsweise ein hochgradig konzentrierter oder im Verhältnis zum BIP großer Bankensektor) haben. Makroprudenzielle Maßnahmen zielen letztendlich darauf ab, die Häufigkeit und Schwere von Finanzkrisen zu begrenzen, indem Systemrisiken gemindert werden. Indem sie die Finanzaufsicht auf Mikroebene ergänzen, glätten makroprudenzielle Maßnahmen den Finanzzyklus, halten Ansteckungseffekte in Grenzen und schaffen die richtigen Anreize für die Marktteilnehmer. Dies bewirkt, dass der Bankensektor über eine ausreichende Widerstandsfähigkeit verfügt und in Krisenzeiten nicht das Kreditangebot für Haushalte und Unternehmen einschränkt, was negative Schocks für die Wirtschaft verstärkt und einen Konjunkturabschwung vertiefen oder verlängern kann. </w:t>
      </w:r>
    </w:p>
    <w:p w14:paraId="7280B668" w14:textId="66826BBE" w:rsidR="003972BB" w:rsidRPr="0060211F" w:rsidRDefault="00E24179" w:rsidP="004709F3">
      <w:pPr>
        <w:spacing w:after="120" w:line="240" w:lineRule="auto"/>
        <w:rPr>
          <w:noProof/>
          <w:lang w:val="de-DE"/>
        </w:rPr>
      </w:pPr>
      <w:r w:rsidRPr="0060211F">
        <w:rPr>
          <w:noProof/>
          <w:lang w:val="de-DE"/>
        </w:rPr>
        <w:t>Das makroprudenzielle Instrumentarium umfasst Anforderungen oder Verfahren, die darauf ausgelegt sind, die nachteiligen Auswirkungen systemischer Ereignisse</w:t>
      </w:r>
      <w:r w:rsidRPr="0060211F">
        <w:rPr>
          <w:noProof/>
          <w:vertAlign w:val="superscript"/>
          <w:lang w:val="de-DE"/>
        </w:rPr>
        <w:footnoteReference w:id="5"/>
      </w:r>
      <w:r w:rsidRPr="0060211F">
        <w:rPr>
          <w:noProof/>
          <w:lang w:val="de-DE"/>
        </w:rPr>
        <w:t xml:space="preserve"> auf ein Minimum zu reduzieren und das Finanzsystem insgesamt</w:t>
      </w:r>
      <w:r w:rsidRPr="0060211F">
        <w:rPr>
          <w:noProof/>
          <w:vertAlign w:val="superscript"/>
          <w:lang w:val="de-DE"/>
        </w:rPr>
        <w:footnoteReference w:id="6"/>
      </w:r>
      <w:r w:rsidRPr="0060211F">
        <w:rPr>
          <w:noProof/>
          <w:lang w:val="de-DE"/>
        </w:rPr>
        <w:t xml:space="preserve"> zu schützen. Instrumente der Finanzaufsicht auf Mikroebene können Systemrisiken nur indirekt durch die Bewältigung von Risiken auf Unternehmens- oder Transaktionsebene mindern.</w:t>
      </w:r>
      <w:r w:rsidRPr="0060211F">
        <w:rPr>
          <w:noProof/>
          <w:vertAlign w:val="superscript"/>
          <w:lang w:val="de-DE"/>
        </w:rPr>
        <w:footnoteReference w:id="7"/>
      </w:r>
      <w:r w:rsidRPr="0060211F">
        <w:rPr>
          <w:noProof/>
          <w:lang w:val="de-DE"/>
        </w:rPr>
        <w:t xml:space="preserve"> Bei </w:t>
      </w:r>
      <w:r w:rsidRPr="0060211F">
        <w:rPr>
          <w:b/>
          <w:bCs/>
          <w:noProof/>
          <w:lang w:val="de-DE"/>
        </w:rPr>
        <w:t>makroprudenziellen</w:t>
      </w:r>
      <w:r w:rsidRPr="0060211F">
        <w:rPr>
          <w:noProof/>
          <w:lang w:val="de-DE"/>
        </w:rPr>
        <w:t xml:space="preserve"> </w:t>
      </w:r>
      <w:r w:rsidRPr="0060211F">
        <w:rPr>
          <w:b/>
          <w:noProof/>
          <w:lang w:val="de-DE"/>
        </w:rPr>
        <w:t xml:space="preserve">Instrumenten </w:t>
      </w:r>
      <w:r w:rsidRPr="0060211F">
        <w:rPr>
          <w:noProof/>
          <w:lang w:val="de-DE"/>
        </w:rPr>
        <w:t xml:space="preserve">handelt es sich in der Regel um </w:t>
      </w:r>
      <w:r w:rsidRPr="0060211F">
        <w:rPr>
          <w:b/>
          <w:noProof/>
          <w:lang w:val="de-DE"/>
        </w:rPr>
        <w:t>Präventivmaßnahmen</w:t>
      </w:r>
      <w:r w:rsidRPr="0060211F">
        <w:rPr>
          <w:noProof/>
          <w:lang w:val="de-DE"/>
        </w:rPr>
        <w:t xml:space="preserve"> (d. h. Ex-ante-Maßnahmen wie strukturelle Verschuldungsobergrenzen oder Kapitalpuffer für Systemrisiken, die vor dem Eintreten eines Systemrisikos aktiviert werden) und um </w:t>
      </w:r>
      <w:r w:rsidRPr="0060211F">
        <w:rPr>
          <w:b/>
          <w:noProof/>
          <w:lang w:val="de-DE"/>
        </w:rPr>
        <w:t>Ex-post-Maßnahmen</w:t>
      </w:r>
      <w:r w:rsidRPr="0060211F">
        <w:rPr>
          <w:noProof/>
          <w:lang w:val="de-DE"/>
        </w:rPr>
        <w:t xml:space="preserve"> (d. h. Maßnahmen wie das Aussetzen von Investorenrechten auf den Rückkauf von Anteilen an Investmentfonds, die nach dem Eintreten eines Systemrisikos aktiviert werden).</w:t>
      </w:r>
    </w:p>
    <w:p w14:paraId="6E8D28D0" w14:textId="39D24E24" w:rsidR="005958D5" w:rsidRPr="0060211F" w:rsidRDefault="005958D5" w:rsidP="000F0EC8">
      <w:pPr>
        <w:pStyle w:val="ListParagraph"/>
        <w:numPr>
          <w:ilvl w:val="0"/>
          <w:numId w:val="26"/>
        </w:numPr>
        <w:spacing w:after="120"/>
        <w:rPr>
          <w:b/>
          <w:noProof/>
          <w:lang w:val="de-DE"/>
        </w:rPr>
      </w:pPr>
      <w:r w:rsidRPr="0060211F">
        <w:rPr>
          <w:b/>
          <w:noProof/>
          <w:lang w:val="de-DE"/>
        </w:rPr>
        <w:t>Ein überarbeiteter makroprudenzieller Rahmen für Banken</w:t>
      </w:r>
    </w:p>
    <w:p w14:paraId="4DC6E0F7" w14:textId="69C36949" w:rsidR="00985F39" w:rsidRPr="0060211F" w:rsidRDefault="004F42E4" w:rsidP="004709F3">
      <w:pPr>
        <w:spacing w:after="120" w:line="240" w:lineRule="auto"/>
        <w:rPr>
          <w:rFonts w:cs="Times New Roman"/>
          <w:noProof/>
          <w:lang w:val="de-DE"/>
        </w:rPr>
      </w:pPr>
      <w:r w:rsidRPr="0060211F">
        <w:rPr>
          <w:noProof/>
          <w:lang w:val="de-DE"/>
        </w:rPr>
        <w:t xml:space="preserve">Nach der weltweiten Finanzkrise wurden auf internationaler und EU-Ebene Maßnahmen zur Stärkung des Regulierungsrahmens der Finanzaufsicht für Banken auf Mikroebene und zur Entwicklung eines Rahmens für die makroprudenzielle Politik getroffen, die zu einer umfassenden Reformagenda führten. Der Basler Ausschuss für Bankenaufsicht (Basel Committee on Banking Supervision – BCBS) erarbeitete die Basel-III-Rahmenregelung, mit der die Qualität des Kapitals angehoben, neue Kapital- und Liquiditätspuffer sowie Obergrenzen für die Verschuldungsquote von Banken eingeführt, Risikomanagement, Unternehmensführung und Transparenz verbessert und ein Rahmen für die makroprudenzielle Strategie geschaffen wurden. </w:t>
      </w:r>
    </w:p>
    <w:p w14:paraId="5A5D6C1D" w14:textId="2E493DB9" w:rsidR="0010741F" w:rsidRPr="0060211F" w:rsidRDefault="007B4577" w:rsidP="004709F3">
      <w:pPr>
        <w:spacing w:after="120" w:line="240" w:lineRule="auto"/>
        <w:rPr>
          <w:rFonts w:cs="Times New Roman"/>
          <w:noProof/>
          <w:lang w:val="de-DE"/>
        </w:rPr>
      </w:pPr>
      <w:r w:rsidRPr="0060211F">
        <w:rPr>
          <w:noProof/>
          <w:lang w:val="de-DE"/>
        </w:rPr>
        <w:t xml:space="preserve">Auf EU-Ebene empfahl der </w:t>
      </w:r>
      <w:r w:rsidRPr="0060211F">
        <w:rPr>
          <w:rStyle w:val="BodyTextChar"/>
          <w:noProof/>
          <w:lang w:val="de-DE"/>
        </w:rPr>
        <w:t>De-Larosière-Bericht</w:t>
      </w:r>
      <w:r w:rsidRPr="0060211F">
        <w:rPr>
          <w:rStyle w:val="FootnoteReference"/>
          <w:rFonts w:eastAsiaTheme="minorEastAsia" w:cs="Times New Roman"/>
          <w:noProof/>
          <w:lang w:val="de-DE"/>
        </w:rPr>
        <w:footnoteReference w:id="8"/>
      </w:r>
      <w:r w:rsidRPr="0060211F">
        <w:rPr>
          <w:rStyle w:val="BodyTextChar"/>
          <w:noProof/>
          <w:lang w:val="de-DE"/>
        </w:rPr>
        <w:t>, dass Aufsichts- und Regulierungsrahmen sich nicht mehr ausschließlich auf die Beaufsichtigung einzelner Finanzinstitute</w:t>
      </w:r>
      <w:r w:rsidRPr="0060211F">
        <w:rPr>
          <w:rStyle w:val="FootnoteReference"/>
          <w:rFonts w:eastAsiaTheme="minorEastAsia" w:cs="Times New Roman"/>
          <w:noProof/>
          <w:lang w:val="de-DE"/>
        </w:rPr>
        <w:footnoteReference w:id="9"/>
      </w:r>
      <w:r w:rsidRPr="0060211F">
        <w:rPr>
          <w:rStyle w:val="BodyTextChar"/>
          <w:noProof/>
          <w:lang w:val="de-DE"/>
        </w:rPr>
        <w:t xml:space="preserve"> konzentrieren sollten, sondern auch auf die Stabilität des gesamten Finanzsystems. In dem Bericht wurde Folgendes festgestellt:</w:t>
      </w:r>
      <w:r w:rsidRPr="0060211F">
        <w:rPr>
          <w:noProof/>
          <w:lang w:val="de-DE"/>
        </w:rPr>
        <w:t xml:space="preserve"> „Die makroprudenzielle Aufsicht zielt darauf ab, eine Gefährdung des Finanzsystems insgesamt in Grenzen zu halten, um die Gesamtwirtschaft vor einem erheblichen Rückgang der realen Wirtschaftsleistung zu bewahren. … Bei einer Analyse auf Makoebene muss das Augenmerk … besonders auf gemeinsame oder miteinander korrelierende Schocks sowie auf Schocks für die Teile des Finanzsystems gelegt werden, die Ansteckungs- oder Rückkopplungseffekte auslösen. Während die Aufsicht auf Makroebene nur funktionieren kann, wenn sie sich in irgendeiner Form auf die Beaufsichtigung auf Mikroebene auswirkt, kann die Aufsicht auf Mikroebene die Stabilität des Finanzsystems nur wirksam schützen, wenn sie den Entwicklungen auf Makroebene angemessen Rechnung trägt.“</w:t>
      </w:r>
    </w:p>
    <w:p w14:paraId="5F33957E" w14:textId="1E2F3CBA" w:rsidR="00283466" w:rsidRPr="0060211F" w:rsidRDefault="00147C12" w:rsidP="004709F3">
      <w:pPr>
        <w:spacing w:after="120" w:line="240" w:lineRule="auto"/>
        <w:rPr>
          <w:rFonts w:cs="Times New Roman"/>
          <w:noProof/>
          <w:lang w:val="de-DE"/>
        </w:rPr>
      </w:pPr>
      <w:r w:rsidRPr="0060211F">
        <w:rPr>
          <w:rStyle w:val="BodyTextChar"/>
          <w:noProof/>
          <w:lang w:val="de-DE"/>
        </w:rPr>
        <w:t>Indem sie die im De-Larosière-Bericht empfohlenen Reformen durchführte und die auf internationaler Ebene entwickelten Standards umsetzte, unternahm die EU wichtige Schritte zur Stärkung ihres makroprudenziellen Rahmens. So hat sie beispielsweise Maßnahmen zur Abschwächung der prozyklischen Effekte der Basel-II-Maßnahmen eingeführt und zur Sicherstellung einer angemessenen Überwachung der Risiken für die finanzielle Stabilität im gesamten Finanzsystem sowie anderer Risiken den Europäischen Ausschuss für Systemrisiken (European Systemic Risk Board, ESRB) und die Europäischen Aufsichtsbehörden geschaffen.</w:t>
      </w:r>
    </w:p>
    <w:p w14:paraId="6D94E5D6" w14:textId="33E596DE" w:rsidR="00656D4A" w:rsidRPr="0060211F" w:rsidRDefault="008213CC" w:rsidP="004709F3">
      <w:pPr>
        <w:spacing w:after="120" w:line="240" w:lineRule="auto"/>
        <w:rPr>
          <w:rFonts w:cs="Times New Roman"/>
          <w:noProof/>
          <w:lang w:val="de-DE"/>
        </w:rPr>
      </w:pPr>
      <w:r w:rsidRPr="0060211F">
        <w:rPr>
          <w:rStyle w:val="BodyTextChar"/>
          <w:b/>
          <w:noProof/>
          <w:lang w:val="de-DE"/>
        </w:rPr>
        <w:t>Im Jahr 2014</w:t>
      </w:r>
      <w:r w:rsidRPr="0060211F">
        <w:rPr>
          <w:b/>
          <w:noProof/>
          <w:lang w:val="de-DE"/>
        </w:rPr>
        <w:t xml:space="preserve"> </w:t>
      </w:r>
      <w:r w:rsidRPr="0060211F">
        <w:rPr>
          <w:rStyle w:val="BodyTextChar"/>
          <w:b/>
          <w:noProof/>
          <w:lang w:val="de-DE"/>
        </w:rPr>
        <w:t xml:space="preserve">wurde ein für Kreditinstitute </w:t>
      </w:r>
      <w:r w:rsidRPr="0060211F">
        <w:rPr>
          <w:noProof/>
          <w:lang w:val="de-DE"/>
        </w:rPr>
        <w:t>(im Folgenden „Banken“)</w:t>
      </w:r>
      <w:r w:rsidRPr="0060211F">
        <w:rPr>
          <w:rStyle w:val="BodyTextChar"/>
          <w:b/>
          <w:noProof/>
          <w:lang w:val="de-DE"/>
        </w:rPr>
        <w:t xml:space="preserve"> geltendes makroprudenzielles Instrumentarium anwendbar, </w:t>
      </w:r>
      <w:r w:rsidRPr="0060211F">
        <w:rPr>
          <w:b/>
          <w:noProof/>
          <w:lang w:val="de-DE"/>
        </w:rPr>
        <w:t>das sich auf die vom Basler Ausschuss für Bankenaufsicht erarbeiteten internationalen Standards stützt.</w:t>
      </w:r>
      <w:r w:rsidRPr="0060211F">
        <w:rPr>
          <w:noProof/>
          <w:lang w:val="de-DE"/>
        </w:rPr>
        <w:t xml:space="preserve"> Dieses in der Eigenkapitalrichtlinie und der Eigenmittelverordnung beschriebene Instrumentarium wurde 2019 nur geringfügig überarbeitet.</w:t>
      </w:r>
      <w:r w:rsidRPr="0060211F">
        <w:rPr>
          <w:rStyle w:val="FootnoteReference"/>
          <w:rFonts w:cs="Times New Roman"/>
          <w:noProof/>
          <w:lang w:val="de-DE"/>
        </w:rPr>
        <w:footnoteReference w:id="10"/>
      </w:r>
      <w:r w:rsidRPr="0060211F">
        <w:rPr>
          <w:noProof/>
          <w:lang w:val="de-DE"/>
        </w:rPr>
        <w:t xml:space="preserve"> Sowohl in der Eigenkapitalrichtlinie als auch in der Eigenmittelverordnung wird anerkannt, dass die Finanzaufsicht auf Mikroebene durch eine makroprudenzielle Strategie ergänzt werden muss, um die Finanzstabilität zu wahren. Da Systemrisiken von Mitgliedstaat zu Mitgliedstaat unterschiedlich sein können, sollten die nationalen Behörden in der Lage sein, den spezifischen Bedürfnissen ihrer jeweiligen Bankensektoren Rechnung zu tragen. Für die Bankenaufsicht auf Mikroebene wurden einheitliche Regeln (im Folgenden „einheitliches Regelwerk“) eingeführt, doch bei der Umsetzung der makroprudenziellen Maßnahmen kam den nationalen Behörden eine führende Rolle zu; sie erhielten einen gewissen Flexibilitätsspielraum, um die unterschiedlichen Quellen und die Komplexität von Systemrisiken zu berücksichtigen.</w:t>
      </w:r>
    </w:p>
    <w:p w14:paraId="0B3C1719" w14:textId="46E9E2DC" w:rsidR="003274FD" w:rsidRPr="0060211F" w:rsidRDefault="00B51627" w:rsidP="004709F3">
      <w:pPr>
        <w:spacing w:after="120" w:line="240" w:lineRule="auto"/>
        <w:rPr>
          <w:rFonts w:cs="Times New Roman"/>
          <w:noProof/>
          <w:color w:val="000000" w:themeColor="text1"/>
          <w:lang w:val="de-DE"/>
        </w:rPr>
      </w:pPr>
      <w:r w:rsidRPr="0060211F">
        <w:rPr>
          <w:b/>
          <w:noProof/>
          <w:lang w:val="de-DE"/>
        </w:rPr>
        <w:t>Das makroprudenzielle Instrumentarium der EU für Banken enthält mehrere Instrumente, mit denen verschiedene Aspekte von Systemrisiken angegangen werden sollen.</w:t>
      </w:r>
      <w:r w:rsidRPr="0060211F">
        <w:rPr>
          <w:noProof/>
          <w:lang w:val="de-DE"/>
        </w:rPr>
        <w:t xml:space="preserve"> Mit der Eigenkapitalrichtlinie wurde ein Regelwerk für aufsichtsrechtliche Kapitalpuffer auf Makroebene eingeführt (d. h. fünf Puffer, die zusammen die kombinierte Pufferanforderung bilden), das Banken die Anpassung ihrer Eigenkapitalposition an die besonderen gesamtwirtschaftlichen und die im Finanzsektor herrschenden Bedingungen ermöglicht (siehe </w:t>
      </w:r>
      <w:r w:rsidRPr="0060211F">
        <w:rPr>
          <w:i/>
          <w:noProof/>
          <w:lang w:val="de-DE"/>
        </w:rPr>
        <w:t>Anhang 1</w:t>
      </w:r>
      <w:r w:rsidRPr="0060211F">
        <w:rPr>
          <w:noProof/>
          <w:lang w:val="de-DE"/>
        </w:rPr>
        <w:t>). So sollten sie beispielsweise den antizyklischen Kapitalpuffer aufbauen, wenn das Kreditwachstum mit der Entstehung zyklischer Systemrisiken einhergeht, während die Puffer für andere wichtige Institute und für allgemeine Systemrisiken genutzt werden können, um strukturelle Systemrisiken für die Finanzstabilität zu mindern. Anschließend sollten sie in Zeiten eines Konjunkturabschwungs und in Krisenzeiten das Kapital zum Ausgleich von Verlusten und zur Erfüllung der Kreditnachfrage verwenden, wenn dies erforderlich ist.</w:t>
      </w:r>
      <w:r w:rsidRPr="0060211F">
        <w:rPr>
          <w:noProof/>
          <w:color w:val="000000" w:themeColor="text1"/>
          <w:lang w:val="de-DE"/>
        </w:rPr>
        <w:t xml:space="preserve"> Die </w:t>
      </w:r>
      <w:r w:rsidRPr="0060211F">
        <w:rPr>
          <w:b/>
          <w:noProof/>
          <w:color w:val="000000" w:themeColor="text1"/>
          <w:lang w:val="de-DE"/>
        </w:rPr>
        <w:t>Nutzbarkeit des Kapitalpuffers und seine Freigabefähigkeit</w:t>
      </w:r>
      <w:r w:rsidRPr="0060211F">
        <w:rPr>
          <w:noProof/>
          <w:color w:val="000000" w:themeColor="text1"/>
          <w:lang w:val="de-DE"/>
        </w:rPr>
        <w:t xml:space="preserve"> müssen wirksam funktionieren, damit Kapital in die Wirtschaft zurückfließen kann, wenn sich die gesamtwirtschaftliche Lage bessert, ohne dass dies durch aus Reputationsgründen im Vorfeld vorgenommene Bereitstellungen verzögert wird. </w:t>
      </w:r>
      <w:r w:rsidRPr="0060211F">
        <w:rPr>
          <w:rStyle w:val="BodyTextChar"/>
          <w:noProof/>
          <w:lang w:val="de-DE"/>
        </w:rPr>
        <w:t xml:space="preserve">Die Regulierungsreformen nach der Finanzkrise stärkten die Widerstandsfähigkeit des Bankensektors in der EU und seine Fähigkeit, systemischen Schocks standzuhalten. Nichtsdestotrotz zeigten Krisenepisoden aus jüngerer Zeit, insbesondere die COVID-19-Pandemie, dass die Verfügbarkeit freigebbarer Kapitalpuffer zum Ausgleich von Verlusten in Krisenzeiten nach wie vor ein dringendes Anliegen ist (siehe </w:t>
      </w:r>
      <w:r w:rsidRPr="0060211F">
        <w:rPr>
          <w:rStyle w:val="BodyTextChar"/>
          <w:i/>
          <w:noProof/>
          <w:lang w:val="de-DE"/>
        </w:rPr>
        <w:t>Anhang 2</w:t>
      </w:r>
      <w:r w:rsidRPr="0060211F">
        <w:rPr>
          <w:rStyle w:val="BodyTextChar"/>
          <w:noProof/>
          <w:lang w:val="de-DE"/>
        </w:rPr>
        <w:t xml:space="preserve">). </w:t>
      </w:r>
      <w:r w:rsidRPr="0060211F">
        <w:rPr>
          <w:noProof/>
          <w:lang w:val="de-DE"/>
        </w:rPr>
        <w:t>Im Falle eines erheblichen Schocks könnte eine Senkung der Pufferanforderungen Probleme lindern und die Anreize für Banken, Fremdkapital abzubauen und Risiken zu reduzieren, verringern. Die wirtschaftlichen Ergebnisse können deutlich besser sein, wenn Kapitalpuffer freigegeben oder genutzt werden, um die Kreditvergabe an die Wirtschaft aufrechtzuerhalten.</w:t>
      </w:r>
    </w:p>
    <w:p w14:paraId="3253521C" w14:textId="6C2743C6" w:rsidR="0045690F" w:rsidRPr="0060211F" w:rsidRDefault="007F5924" w:rsidP="0045690F">
      <w:pPr>
        <w:spacing w:after="120" w:line="240" w:lineRule="auto"/>
        <w:rPr>
          <w:noProof/>
          <w:lang w:val="de-DE"/>
        </w:rPr>
      </w:pPr>
      <w:r w:rsidRPr="0060211F">
        <w:rPr>
          <w:noProof/>
          <w:lang w:val="de-DE"/>
        </w:rPr>
        <w:t xml:space="preserve">Die Eigenmittelverordnung umfasst auch </w:t>
      </w:r>
      <w:r w:rsidRPr="0060211F">
        <w:rPr>
          <w:b/>
          <w:noProof/>
          <w:lang w:val="de-DE"/>
        </w:rPr>
        <w:t>individuelle makroprudenzielle Instrumente, mit denen spezifische Systemrisiken</w:t>
      </w:r>
      <w:r w:rsidRPr="0060211F">
        <w:rPr>
          <w:noProof/>
          <w:lang w:val="de-DE"/>
        </w:rPr>
        <w:t xml:space="preserve">, beispielsweise solche, deren Ursprung in der Immobilienbranche liegt, </w:t>
      </w:r>
      <w:r w:rsidRPr="0060211F">
        <w:rPr>
          <w:b/>
          <w:noProof/>
          <w:lang w:val="de-DE"/>
        </w:rPr>
        <w:t>angegangen werden sollen</w:t>
      </w:r>
      <w:r w:rsidRPr="0060211F">
        <w:rPr>
          <w:noProof/>
          <w:lang w:val="de-DE"/>
        </w:rPr>
        <w:t xml:space="preserve">. Diese Risiken können durch eine Erhöhung der Risikogewichte und der Parameter der risikopositionsgewichteten durchschnittlichen Verlustquote bei Ausfall (Loss Given Default – LGD) interner, auf Beurteilungen basierender Modelle gemindert werden. </w:t>
      </w:r>
      <w:r w:rsidRPr="0060211F">
        <w:rPr>
          <w:rStyle w:val="BodyTextChar"/>
          <w:noProof/>
          <w:lang w:val="de-DE"/>
        </w:rPr>
        <w:t>Zusätzlich zu den herkömmlichen Systemrisiken, die ihren Ursprung beispielsweise in den Immobilienmärkten haben,</w:t>
      </w:r>
      <w:r w:rsidRPr="0060211F">
        <w:rPr>
          <w:rStyle w:val="BodyTextChar"/>
          <w:b/>
          <w:noProof/>
          <w:lang w:val="de-DE"/>
        </w:rPr>
        <w:t xml:space="preserve"> ist der Bankensektor in letzter Zeit zunehmend neuen Risiken wie mit dem Klimawandel zusammenhängenden Risiken und Übergangsrisiken sowie Cyber-Risiken ausgesetzt</w:t>
      </w:r>
      <w:r w:rsidRPr="0060211F">
        <w:rPr>
          <w:rStyle w:val="BodyTextChar"/>
          <w:noProof/>
          <w:lang w:val="de-DE"/>
        </w:rPr>
        <w:t>. Die für die Finanzaufsicht zuständigen Regulierungs- und Aufsichtsbehörden müssen noch eine angemessene Art und Weise für die Auseinandersetzung mit diesen Risiken finden, die systemisch werden können, wenn ihnen nicht proaktiv begegnet wird.</w:t>
      </w:r>
      <w:r w:rsidRPr="0060211F">
        <w:rPr>
          <w:noProof/>
          <w:lang w:val="de-DE"/>
        </w:rPr>
        <w:t xml:space="preserve"> </w:t>
      </w:r>
      <w:r w:rsidRPr="0060211F">
        <w:rPr>
          <w:rStyle w:val="BodyTextChar"/>
          <w:noProof/>
          <w:lang w:val="de-DE"/>
        </w:rPr>
        <w:t>Da die Finanzsysteme stärker miteinander verflochten, komplexer, aber auch anfälliger für Schocks und Unsicherheiten sind, die durch geopolitische Entwicklungen und andere Faktoren ausgelöst werden, ist es gerechtfertigt, zur Unterstützung des Zuflusses von Krediten an die Wirtschaft ausreichende politische Instrumente beizubehalten und Flexibilität zu wahren. Um das richtige Gleichgewicht zwischen makroprudenziellen Instrumenten und Präventivmaßnahmen auf der einen Seite und Instrumenten zum Krisenmanagement auf der anderen Seite zu finden, sind eine Evaluierung und gründliche Bewertung erforderlich, damit übermäßige Auswirkungen auf die Wirksamkeit der letztgenannten Maßnahmen und Instrumente vermieden werden können. Daher sollte jegliche Reform der makroprudenziellen Instrumente deren Auswirkungen auf die Aufsichts- und Abwicklungsrahmen gebührend berücksichtigen und keine Erhöhung des Gesamtumfangs der Eigenkapitalanforderungen oder der Mindestanforderungen an Eigenmittel und berücksichtigungsfähige Verbindlichkeiten verursachen.</w:t>
      </w:r>
      <w:r w:rsidRPr="0060211F">
        <w:rPr>
          <w:noProof/>
          <w:lang w:val="de-DE"/>
        </w:rPr>
        <w:t xml:space="preserve"> </w:t>
      </w:r>
    </w:p>
    <w:p w14:paraId="374B56D5" w14:textId="66FEDE9C" w:rsidR="0045690F" w:rsidRPr="0060211F" w:rsidRDefault="0045690F" w:rsidP="67E78FAA">
      <w:pPr>
        <w:spacing w:after="120" w:line="240" w:lineRule="auto"/>
        <w:rPr>
          <w:rStyle w:val="BodyTextChar"/>
          <w:rFonts w:eastAsiaTheme="minorEastAsia" w:cs="Times New Roman"/>
          <w:noProof/>
          <w:lang w:val="de-DE"/>
        </w:rPr>
      </w:pPr>
      <w:r w:rsidRPr="0060211F">
        <w:rPr>
          <w:b/>
          <w:noProof/>
          <w:lang w:val="de-DE"/>
        </w:rPr>
        <w:t>Der institutionelle Rahmen der EU für die Umsetzung der makroprudenziellen Maßnahmen ist vielschichtig</w:t>
      </w:r>
      <w:r w:rsidRPr="0060211F">
        <w:rPr>
          <w:noProof/>
          <w:lang w:val="de-DE"/>
        </w:rPr>
        <w:t xml:space="preserve">, </w:t>
      </w:r>
      <w:r w:rsidRPr="0060211F">
        <w:rPr>
          <w:rStyle w:val="BodyTextChar"/>
          <w:noProof/>
          <w:lang w:val="de-DE"/>
        </w:rPr>
        <w:t>wobei verschiedene nationale Behörden und EU-Behörden beteiligt sind</w:t>
      </w:r>
      <w:r w:rsidRPr="0060211F">
        <w:rPr>
          <w:noProof/>
          <w:lang w:val="de-DE"/>
        </w:rPr>
        <w:t>.</w:t>
      </w:r>
      <w:r w:rsidRPr="0060211F">
        <w:rPr>
          <w:rStyle w:val="BodyTextChar"/>
          <w:noProof/>
          <w:lang w:val="de-DE"/>
        </w:rPr>
        <w:t xml:space="preserve"> </w:t>
      </w:r>
      <w:r w:rsidRPr="0060211F">
        <w:rPr>
          <w:noProof/>
          <w:lang w:val="de-DE"/>
        </w:rPr>
        <w:t xml:space="preserve">Damit die Integrität des Binnenmarkts gewahrt wird, erfordert die </w:t>
      </w:r>
      <w:r w:rsidRPr="0060211F">
        <w:rPr>
          <w:rStyle w:val="BodyTextChar"/>
          <w:noProof/>
          <w:lang w:val="de-DE"/>
        </w:rPr>
        <w:t>Durchführung von makroprudenziellen Maßnahmen auf nationaler Ebene häufig die Einbeziehung unterschiedlicher EU-Gremien (beispielsweise der Europäischen Kommission, des Europäischen Ausschusses für Systemrisiken usw.). Während der Europäische Ausschuss für Systemrisiken die Aufgabe hat, den Finanzsektor innerhalb der EU auf Makroebene zu beaufsichtigen, gewährt die Verordnung über den Einheitlichen Aufsichtsmechanismus sowohl den nationalen Behörden als auch der Europäischen Zentralbank (EZB) Vollmachten zur Makroaufsicht. Aufgrund dieser gemeinsamen Verantwortung können die EU und die Mitgliedstaaten Systemrisiken in der vielfältigen Finanzlandschaft der EU besser ermitteln, überwachen und beseitigen. In diesem Modell ist jedoch die Harmonisierung bestimmter Aspekte des makroprudenziellen Instrumentariums von wesentlicher Bedeutung, um gleiche Rahmenbedingungen und einen gewissen Grad der Vereinfachung bei der Anwendung von makroprudenziellen Maßnahmen sicherzustellen. So lassen sich beispielsweise die unterschiedlichen Ansätze bei der Ermittlung anderer systemrelevanter Institute (A-SRI) und der Abstimmung der A-SRI-Pufferquoten nicht vollständig durch die Besonderheiten der Wirtschafts- oder Finanzmärkte in den Mitgliedstaaten, beispielsweise der Größe oder Konzentration des Bankensektors, erklären und könnten für den Binnenmarkt und die Bankenunion Anlass zur Sorge geben (weitere Informationen sind Anhang 2 zu entnehmen).</w:t>
      </w:r>
    </w:p>
    <w:p w14:paraId="3306FB12" w14:textId="1CFB64BC" w:rsidR="00E954DA" w:rsidRPr="0060211F" w:rsidRDefault="00E954DA" w:rsidP="00E954DA">
      <w:pPr>
        <w:spacing w:after="120" w:line="240" w:lineRule="auto"/>
        <w:rPr>
          <w:rStyle w:val="BodyTextChar"/>
          <w:rFonts w:eastAsiaTheme="minorEastAsia" w:cs="Times New Roman"/>
          <w:noProof/>
          <w:lang w:val="de-DE"/>
        </w:rPr>
      </w:pPr>
      <w:r w:rsidRPr="0060211F">
        <w:rPr>
          <w:rStyle w:val="BodyTextChar"/>
          <w:noProof/>
          <w:lang w:val="de-DE"/>
        </w:rPr>
        <w:t xml:space="preserve">Vor diesem Hintergrund wird die Kommission ihre Arbeit an makroprudenziellen Strategien für Banken fortsetzen, dabei die Einhaltung der Basel-III-Rahmenregelung sicherstellen und berücksichtigen, dass das allgemeine Niveau der Eigenkapitalanforderungen und der Mindestanforderung an Eigenmittel und berücksichtigungsfähige Verbindlichkeiten als ausreichend gilt. </w:t>
      </w:r>
      <w:r w:rsidRPr="0060211F">
        <w:rPr>
          <w:rStyle w:val="BodyTextChar"/>
          <w:i/>
          <w:noProof/>
          <w:lang w:val="de-DE"/>
        </w:rPr>
        <w:t>In diesem Zusammenhang wird sich die Kommission vor allem auf Folgendes konzentrieren</w:t>
      </w:r>
      <w:r w:rsidRPr="0060211F">
        <w:rPr>
          <w:rStyle w:val="BodyTextChar"/>
          <w:noProof/>
          <w:lang w:val="de-DE"/>
        </w:rPr>
        <w:t>:</w:t>
      </w:r>
      <w:r w:rsidRPr="0060211F">
        <w:rPr>
          <w:rStyle w:val="BodyTextChar"/>
          <w:i/>
          <w:noProof/>
          <w:lang w:val="de-DE"/>
        </w:rPr>
        <w:t xml:space="preserve"> 1) Überwachung der Nutzbarkeit und Freigabefähigkeit von Kapitalpuffern zur Unterstützung der Kreditvergabe an die Wirtschaft im Falle eines systemischen Schocks unter gleichzeitiger Wahrung der Finanzstabilität, 2) Förderung der Kohärenz beim Einsatz makroprudenzieller Instrumente durch die nationalen Behörden und 3) Bewertung der Vereinfachungsmöglichkeiten sowie der Effizienz und der Fähigkeit des makroprudenziellen Rahmens zur Bewältigung herkömmlicher und neuer Risiken.</w:t>
      </w:r>
      <w:r w:rsidRPr="0060211F">
        <w:rPr>
          <w:rStyle w:val="BodyTextChar"/>
          <w:noProof/>
          <w:lang w:val="de-DE"/>
        </w:rPr>
        <w:t xml:space="preserve"> </w:t>
      </w:r>
      <w:r w:rsidRPr="0060211F">
        <w:rPr>
          <w:rStyle w:val="BodyTextChar"/>
          <w:i/>
          <w:noProof/>
          <w:lang w:val="de-DE"/>
        </w:rPr>
        <w:t>Darüber hinaus wird die Kommission die Modalitäten bewerten, nach denen die im Rahmen der gezielten Konsultation 2021 eingegangenen Rückmeldungen aktualisiert und zudem zusätzliche Rückmeldungen zu bestimmten, in diesem Bericht nur teilweise behandelten Aspekten der Überprüfungen eingeholt werden können.</w:t>
      </w:r>
    </w:p>
    <w:p w14:paraId="33FD23D7" w14:textId="19EBC352" w:rsidR="00E954DA" w:rsidRPr="0060211F" w:rsidRDefault="00BD25FD" w:rsidP="000F0EC8">
      <w:pPr>
        <w:pStyle w:val="ListParagraph"/>
        <w:numPr>
          <w:ilvl w:val="0"/>
          <w:numId w:val="26"/>
        </w:numPr>
        <w:spacing w:after="120" w:line="257" w:lineRule="auto"/>
        <w:rPr>
          <w:rStyle w:val="BodyTextChar"/>
          <w:rFonts w:eastAsia="Times New Roman" w:cs="Times New Roman"/>
          <w:b/>
          <w:noProof/>
          <w:lang w:val="de-DE"/>
        </w:rPr>
      </w:pPr>
      <w:r w:rsidRPr="0060211F">
        <w:rPr>
          <w:rStyle w:val="BodyTextChar"/>
          <w:b/>
          <w:noProof/>
          <w:lang w:val="de-DE"/>
        </w:rPr>
        <w:t>Der makroprudenzielle Rahmen für Nichtbanken-Finanzintermediäre</w:t>
      </w:r>
    </w:p>
    <w:p w14:paraId="0017B1AA" w14:textId="63701320" w:rsidR="007B124E" w:rsidRPr="0060211F" w:rsidRDefault="00241024" w:rsidP="004709F3">
      <w:pPr>
        <w:spacing w:after="120" w:line="240" w:lineRule="auto"/>
        <w:rPr>
          <w:rFonts w:cs="Times New Roman"/>
          <w:noProof/>
          <w:lang w:val="de-DE"/>
        </w:rPr>
      </w:pPr>
      <w:r w:rsidRPr="0060211F">
        <w:rPr>
          <w:b/>
          <w:noProof/>
          <w:lang w:val="de-DE"/>
        </w:rPr>
        <w:t>Nichtbanken-Finanzintermediäre (NBFI) erzielten in den letzten Jahren erhebliche Zuwächse</w:t>
      </w:r>
      <w:r w:rsidRPr="0060211F">
        <w:rPr>
          <w:noProof/>
          <w:lang w:val="de-DE"/>
        </w:rPr>
        <w:t>, da Finanzierungen durch Nichtbanken für die Finanzierung der Wirtschaft zunehmend Bedeutung gewannen. Der Europäische Ausschuss für Systemrisiken schätzt, dass die Finanzmittlertätigkeit von Nichtbanken mindestens 41,5 Bio. EUR (39 %) der Vermögenswerte des europäischen Finanzsektors ausmacht.</w:t>
      </w:r>
      <w:r w:rsidRPr="0060211F">
        <w:rPr>
          <w:rStyle w:val="FootnoteReference"/>
          <w:rFonts w:cs="Times New Roman"/>
          <w:noProof/>
          <w:lang w:val="de-DE"/>
        </w:rPr>
        <w:footnoteReference w:id="11"/>
      </w:r>
      <w:r w:rsidRPr="0060211F">
        <w:rPr>
          <w:noProof/>
          <w:lang w:val="de-DE"/>
        </w:rPr>
        <w:t xml:space="preserve"> Unter Nichtbanken-Finanzintermediäre fallen ganz unterschiedliche Branchen wie Vermögensverwaltungsgesellschaften und Investmentfonds, Nichtbanken-Wertpapierfirmen, Family Offices, Unternehmen, die Lieferkettenfinanzierungen anbieten, Versorgungsfonds, Versicherungsgesellschaften und andere Unternehmen, die keine Banken sind.</w:t>
      </w:r>
      <w:r w:rsidRPr="0060211F">
        <w:rPr>
          <w:rStyle w:val="FootnoteReference"/>
          <w:rFonts w:cs="Times New Roman"/>
          <w:noProof/>
          <w:lang w:val="de-DE"/>
        </w:rPr>
        <w:footnoteReference w:id="12"/>
      </w:r>
      <w:r w:rsidRPr="0060211F">
        <w:rPr>
          <w:noProof/>
          <w:lang w:val="de-DE"/>
        </w:rPr>
        <w:t xml:space="preserve"> In Europa spielen Nichtbanken-Finanzintermediäre eine entscheidende Rolle bei der Förderung der finanziellen Vielfalt und der Verringerung der Abhängigkeit von Finanzierungen durch Banken, insbesondere im Zusammenhang mit der Kapitalmarktunion und der Entwicklung eines robusten Binnenmarkts. Daher leisten sie (durch private Risikoteilung) einen positiven Beitrag zur Finanzstabilität und zur Innovation. </w:t>
      </w:r>
    </w:p>
    <w:p w14:paraId="06277E53" w14:textId="79685B50" w:rsidR="00585BA2" w:rsidRPr="0060211F" w:rsidRDefault="007B124E" w:rsidP="004709F3">
      <w:pPr>
        <w:spacing w:after="120" w:line="240" w:lineRule="auto"/>
        <w:rPr>
          <w:rFonts w:cs="Times New Roman"/>
          <w:noProof/>
          <w:lang w:val="de-DE"/>
        </w:rPr>
      </w:pPr>
      <w:r w:rsidRPr="0060211F">
        <w:rPr>
          <w:noProof/>
          <w:lang w:val="de-DE"/>
        </w:rPr>
        <w:t>Nichtsdestotrotz</w:t>
      </w:r>
      <w:r w:rsidRPr="0060211F">
        <w:rPr>
          <w:b/>
          <w:noProof/>
          <w:lang w:val="de-DE"/>
        </w:rPr>
        <w:t xml:space="preserve"> können durch die rasche Expansion von Nichtbanken-Finanzintermediären auch neue Risiken und Herausforderungen für die Finanzstabilität entstehen.</w:t>
      </w:r>
      <w:r w:rsidRPr="0060211F">
        <w:rPr>
          <w:noProof/>
          <w:lang w:val="de-DE"/>
        </w:rPr>
        <w:t xml:space="preserve"> Das Wachstum von Nichtbanken-Finanzintermediären ging mit einer Zunahme des Risikopotenzials einiger Anlagenportfolios, einer wachsenden Liquiditätstransformation und einer gestiegenen Verschuldung einher, deren Auslöser auch die „Suche nach Renditen“ in einer langen Periode negativer Realzinsen war.</w:t>
      </w:r>
      <w:r w:rsidRPr="0060211F">
        <w:rPr>
          <w:rStyle w:val="FootnoteReference"/>
          <w:rFonts w:cs="Times New Roman"/>
          <w:noProof/>
          <w:lang w:val="de-DE"/>
        </w:rPr>
        <w:footnoteReference w:id="13"/>
      </w:r>
      <w:r w:rsidRPr="0060211F">
        <w:rPr>
          <w:noProof/>
          <w:lang w:val="de-DE"/>
        </w:rPr>
        <w:t xml:space="preserve"> Die Verflechtungen zwischen Banken und Nichtbanken-Finanzintermediären nahmen ebenfalls stetig zu und erhöhten die </w:t>
      </w:r>
      <w:r w:rsidRPr="0060211F">
        <w:rPr>
          <w:rStyle w:val="BodyTextChar"/>
          <w:noProof/>
          <w:lang w:val="de-DE"/>
        </w:rPr>
        <w:t>„Ansteckungsgefahr“ innerhalb des gesamten Finanzsektors, was negative Ausstrahlungseffekte auf die Wirtschaft haben könnte.</w:t>
      </w:r>
    </w:p>
    <w:p w14:paraId="12F3A4CC" w14:textId="4C464849" w:rsidR="004709F3" w:rsidRPr="0060211F" w:rsidRDefault="006771D8" w:rsidP="004709F3">
      <w:pPr>
        <w:spacing w:after="120" w:line="240" w:lineRule="auto"/>
        <w:rPr>
          <w:noProof/>
          <w:lang w:val="de-DE"/>
        </w:rPr>
      </w:pPr>
      <w:r w:rsidRPr="0060211F">
        <w:rPr>
          <w:noProof/>
          <w:lang w:val="de-DE"/>
        </w:rPr>
        <w:t xml:space="preserve">Wenngleich die </w:t>
      </w:r>
      <w:r w:rsidRPr="0060211F">
        <w:rPr>
          <w:b/>
          <w:noProof/>
          <w:lang w:val="de-DE"/>
        </w:rPr>
        <w:t>auf internationaler Ebene geleistete Arbeit</w:t>
      </w:r>
      <w:r w:rsidRPr="0060211F">
        <w:rPr>
          <w:noProof/>
          <w:lang w:val="de-DE"/>
        </w:rPr>
        <w:t xml:space="preserve"> an der Gestaltung und Aktualisierung des makroprudenziellen Rahmens für Banken seit der weltweiten Finanzkrise stetig vorangeschritten ist, kam die Arbeit an makroprudenziellen Maßnahmen für Nichtbanken-Finanzintermediäre nur schubweise voran. Der Finanzstabilitätsrat (FSB), die Internationale Organisation der Wertpapieraufsichtsbehörden und die Internationale Vereinigung der Versicherungsaufsichtsbehörden konzentrierten sich zunehmend auf die Entwicklung makroprudenzieller Analysen und Instrumente und strebten dabei das Ziel an, Systemrisiken im Zusammenhang mit Nichtbanken-Finanzintermediären abzumildern. Diese Arbeit hat in den letzten Jahren an Bedeutung gewonnen, nachdem verschiedene durch Marktturbulenzen (beispielsweise aufgrund des „Run“ auf Bargeld während der COVID-Pandemie im März 2020 und der Krise am Staatsanleihenmarkt des Vereinigten Königreichs im September 2022) und finanzielles Missmanagement (z. B. Archegos oder Greensill Capital) geprägte Phasen verdeutlicht haben, welche Auswirkungen die Entstehung von Systemrisiken und Schwachstellen bei Nichtbanken-Finanzintermediären auf die gesamte Wirtschaft haben können. </w:t>
      </w:r>
    </w:p>
    <w:p w14:paraId="2BEFEF7F" w14:textId="77777777" w:rsidR="00776FCF" w:rsidRPr="0060211F" w:rsidRDefault="00776FCF" w:rsidP="00776FCF">
      <w:pPr>
        <w:spacing w:after="120" w:line="240" w:lineRule="auto"/>
        <w:rPr>
          <w:rStyle w:val="BodyTextChar"/>
          <w:rFonts w:eastAsiaTheme="minorEastAsia" w:cs="Times New Roman"/>
          <w:noProof/>
          <w:lang w:val="de-DE"/>
        </w:rPr>
      </w:pPr>
      <w:r w:rsidRPr="0060211F">
        <w:rPr>
          <w:rStyle w:val="BodyTextChar"/>
          <w:noProof/>
          <w:lang w:val="de-DE"/>
        </w:rPr>
        <w:t>Der Finanzstabilitätsrat</w:t>
      </w:r>
      <w:r w:rsidRPr="0060211F">
        <w:rPr>
          <w:rStyle w:val="FootnoteReference"/>
          <w:rFonts w:eastAsiaTheme="minorEastAsia" w:cs="Times New Roman"/>
          <w:noProof/>
          <w:lang w:val="de-DE"/>
        </w:rPr>
        <w:footnoteReference w:id="14"/>
      </w:r>
      <w:r w:rsidRPr="0060211F">
        <w:rPr>
          <w:rStyle w:val="BodyTextChar"/>
          <w:noProof/>
          <w:lang w:val="de-DE"/>
        </w:rPr>
        <w:t xml:space="preserve"> und der Europäische Ausschuss für Systemrisiken</w:t>
      </w:r>
      <w:r w:rsidRPr="0060211F">
        <w:rPr>
          <w:rStyle w:val="FootnoteReference"/>
          <w:rFonts w:eastAsiaTheme="minorEastAsia" w:cs="Times New Roman"/>
          <w:noProof/>
          <w:lang w:val="de-DE"/>
        </w:rPr>
        <w:footnoteReference w:id="15"/>
      </w:r>
      <w:r w:rsidRPr="0060211F">
        <w:rPr>
          <w:rStyle w:val="BodyTextChar"/>
          <w:noProof/>
          <w:lang w:val="de-DE"/>
        </w:rPr>
        <w:t xml:space="preserve"> ermittelten drei strukturelle Schwachstellen, die zur Entstehung eines Systemrisikos beitragen und derzeit nur teilweise durch makroprudenzielle Maßnahmen abgedeckt werden. Es bestehen systemische Liquiditätsinkongruenzen</w:t>
      </w:r>
      <w:r w:rsidRPr="0060211F">
        <w:rPr>
          <w:rStyle w:val="FootnoteReference"/>
          <w:rFonts w:eastAsiaTheme="minorEastAsia" w:cs="Times New Roman"/>
          <w:noProof/>
          <w:lang w:val="de-DE"/>
        </w:rPr>
        <w:footnoteReference w:id="16"/>
      </w:r>
      <w:r w:rsidRPr="0060211F">
        <w:rPr>
          <w:rStyle w:val="BodyTextChar"/>
          <w:noProof/>
          <w:lang w:val="de-DE"/>
        </w:rPr>
        <w:t>, eine übermäßige Verschuldung und Verflechtungen von Nichtbanken-Finanzintermediären untereinander sowie zwischen Nichtbanken-Finanzintermediären und dem Bankensektor. Diese Schwachstellen und Anfälligkeiten verstärken</w:t>
      </w:r>
      <w:r w:rsidRPr="0060211F">
        <w:rPr>
          <w:noProof/>
          <w:lang w:val="de-DE"/>
        </w:rPr>
        <w:t xml:space="preserve"> die </w:t>
      </w:r>
      <w:r w:rsidRPr="0060211F">
        <w:rPr>
          <w:rStyle w:val="BodyTextChar"/>
          <w:noProof/>
          <w:lang w:val="de-DE"/>
        </w:rPr>
        <w:t xml:space="preserve">Komplexität der Beaufsichtigung solcher untereinander verflochtenen Branchen und heben die Notwendigkeit hervor, eine kohärentere, besser koordinierte Makroaufsicht für Nichtbanken-Finanzintermediäre in Erwägung zu ziehen (siehe </w:t>
      </w:r>
      <w:r w:rsidRPr="0060211F">
        <w:rPr>
          <w:rStyle w:val="BodyTextChar"/>
          <w:i/>
          <w:noProof/>
          <w:lang w:val="de-DE"/>
        </w:rPr>
        <w:t>Anhang 2</w:t>
      </w:r>
      <w:r w:rsidRPr="0060211F">
        <w:rPr>
          <w:rStyle w:val="BodyTextChar"/>
          <w:noProof/>
          <w:lang w:val="de-DE"/>
        </w:rPr>
        <w:t>).</w:t>
      </w:r>
    </w:p>
    <w:p w14:paraId="76F15A74" w14:textId="7738A35A" w:rsidR="003C0194" w:rsidRPr="0060211F" w:rsidRDefault="005E433E" w:rsidP="003C0194">
      <w:pPr>
        <w:spacing w:after="120" w:line="240" w:lineRule="auto"/>
        <w:rPr>
          <w:rStyle w:val="BodyTextChar"/>
          <w:rFonts w:eastAsiaTheme="minorEastAsia" w:cs="Times New Roman"/>
          <w:noProof/>
          <w:lang w:val="de-DE"/>
        </w:rPr>
      </w:pPr>
      <w:r w:rsidRPr="0060211F">
        <w:rPr>
          <w:rStyle w:val="BodyTextChar"/>
          <w:noProof/>
          <w:lang w:val="de-DE"/>
        </w:rPr>
        <w:t xml:space="preserve">Infolgedessen können dieselben herkömmlichen und aufkommenden Risiken, die sich auf Banken auswirken, in Verbindung mit der Vielfalt und Komplexität der Branchen, in denen Nichtbanken-Finanzintermediäre tätig sind, zu </w:t>
      </w:r>
      <w:r w:rsidRPr="0060211F">
        <w:rPr>
          <w:rStyle w:val="BodyTextChar"/>
          <w:b/>
          <w:noProof/>
          <w:lang w:val="de-DE"/>
        </w:rPr>
        <w:t>besonderen Anfälligkeiten von Nichtbanken-Finanzintermediären</w:t>
      </w:r>
      <w:r w:rsidRPr="0060211F">
        <w:rPr>
          <w:rStyle w:val="BodyTextChar"/>
          <w:noProof/>
          <w:lang w:val="de-DE"/>
        </w:rPr>
        <w:t xml:space="preserve"> führen, die ihren Ursprung in Folgendem haben: </w:t>
      </w:r>
    </w:p>
    <w:p w14:paraId="24281013" w14:textId="77777777" w:rsidR="003C0194" w:rsidRPr="0060211F" w:rsidRDefault="003C0194" w:rsidP="003C0194">
      <w:pPr>
        <w:pStyle w:val="ListParagraph"/>
        <w:numPr>
          <w:ilvl w:val="0"/>
          <w:numId w:val="28"/>
        </w:numPr>
        <w:spacing w:after="120"/>
        <w:rPr>
          <w:rStyle w:val="BodyTextChar"/>
          <w:rFonts w:eastAsiaTheme="minorEastAsia" w:cs="Times New Roman"/>
          <w:noProof/>
          <w:lang w:val="de-DE"/>
        </w:rPr>
      </w:pPr>
      <w:r w:rsidRPr="0060211F">
        <w:rPr>
          <w:rStyle w:val="BodyTextChar"/>
          <w:noProof/>
          <w:lang w:val="de-DE"/>
        </w:rPr>
        <w:t xml:space="preserve">strukturellen Liquiditätsinkongruenzen, </w:t>
      </w:r>
    </w:p>
    <w:p w14:paraId="2FFD6D2A" w14:textId="77777777" w:rsidR="003C0194" w:rsidRPr="0060211F" w:rsidRDefault="003C0194" w:rsidP="003C0194">
      <w:pPr>
        <w:pStyle w:val="ListParagraph"/>
        <w:numPr>
          <w:ilvl w:val="0"/>
          <w:numId w:val="28"/>
        </w:numPr>
        <w:spacing w:after="120"/>
        <w:rPr>
          <w:rStyle w:val="BodyTextChar"/>
          <w:rFonts w:eastAsiaTheme="minorEastAsia" w:cs="Times New Roman"/>
          <w:noProof/>
          <w:lang w:val="de-DE"/>
        </w:rPr>
      </w:pPr>
      <w:r w:rsidRPr="0060211F">
        <w:rPr>
          <w:rStyle w:val="BodyTextChar"/>
          <w:noProof/>
          <w:lang w:val="de-DE"/>
        </w:rPr>
        <w:t>der Anhäufung einer übermäßigen Verschuldung bei allen Nichtbanken-Finanzintermediären,</w:t>
      </w:r>
    </w:p>
    <w:p w14:paraId="2851A9F1" w14:textId="77777777" w:rsidR="003C0194" w:rsidRPr="0060211F" w:rsidRDefault="003C0194" w:rsidP="003C0194">
      <w:pPr>
        <w:pStyle w:val="ListParagraph"/>
        <w:numPr>
          <w:ilvl w:val="0"/>
          <w:numId w:val="28"/>
        </w:numPr>
        <w:spacing w:after="120"/>
        <w:rPr>
          <w:rStyle w:val="BodyTextChar"/>
          <w:rFonts w:eastAsiaTheme="minorEastAsia" w:cs="Times New Roman"/>
          <w:noProof/>
          <w:lang w:val="de-DE"/>
        </w:rPr>
      </w:pPr>
      <w:r w:rsidRPr="0060211F">
        <w:rPr>
          <w:rStyle w:val="BodyTextChar"/>
          <w:noProof/>
          <w:lang w:val="de-DE"/>
        </w:rPr>
        <w:t>den Verflechtungen von Nichtbanken-Finanzintermediären untereinander sowie zwischen Nichtbanken-Finanzintermediären und Banken, die zu versteckten Risikoverstärkern und einer Risikoübertragung vom Bankensektor auf den Nichtbankensektor führen können, und</w:t>
      </w:r>
    </w:p>
    <w:p w14:paraId="5FF1598A" w14:textId="77777777" w:rsidR="003C0194" w:rsidRPr="0060211F" w:rsidRDefault="003C0194" w:rsidP="003C0194">
      <w:pPr>
        <w:pStyle w:val="ListParagraph"/>
        <w:numPr>
          <w:ilvl w:val="0"/>
          <w:numId w:val="28"/>
        </w:numPr>
        <w:spacing w:after="120"/>
        <w:rPr>
          <w:rStyle w:val="BodyTextChar"/>
          <w:rFonts w:eastAsiaTheme="minorEastAsia" w:cs="Times New Roman"/>
          <w:noProof/>
          <w:lang w:val="de-DE"/>
        </w:rPr>
      </w:pPr>
      <w:r w:rsidRPr="0060211F">
        <w:rPr>
          <w:noProof/>
          <w:lang w:val="de-DE"/>
        </w:rPr>
        <w:t>mangelnder Kohärenz und Koordinierung zwischen den makroprudenziellen Rahmen in der gesamten EU.</w:t>
      </w:r>
      <w:r w:rsidRPr="0060211F">
        <w:rPr>
          <w:rStyle w:val="BodyTextChar"/>
          <w:noProof/>
          <w:lang w:val="de-DE"/>
        </w:rPr>
        <w:t xml:space="preserve"> </w:t>
      </w:r>
    </w:p>
    <w:p w14:paraId="1730C119" w14:textId="6CC43580" w:rsidR="004B0E5B" w:rsidRPr="0060211F" w:rsidRDefault="00362232" w:rsidP="002A404D">
      <w:pPr>
        <w:spacing w:after="120" w:line="240" w:lineRule="auto"/>
        <w:rPr>
          <w:rStyle w:val="BodyTextChar"/>
          <w:rFonts w:eastAsiaTheme="minorEastAsia" w:cs="Times New Roman"/>
          <w:noProof/>
          <w:lang w:val="de-DE"/>
        </w:rPr>
      </w:pPr>
      <w:r w:rsidRPr="0060211F">
        <w:rPr>
          <w:noProof/>
          <w:lang w:val="de-DE"/>
        </w:rPr>
        <w:t xml:space="preserve">Da es keinen übergreifenden, EU-weiten makroprudenziellen Rahmen für Nichtbanken-Finanzintermediäre gibt und da einige </w:t>
      </w:r>
      <w:r w:rsidRPr="0060211F">
        <w:rPr>
          <w:rStyle w:val="BodyTextChar"/>
          <w:noProof/>
          <w:lang w:val="de-DE"/>
        </w:rPr>
        <w:t>besondere, neu aufkommende Risiken in wichtigen Sektoren der Nichtbanken-Finanzintermediäre</w:t>
      </w:r>
      <w:r w:rsidRPr="0060211F">
        <w:rPr>
          <w:noProof/>
          <w:lang w:val="de-DE"/>
        </w:rPr>
        <w:t xml:space="preserve"> angegangen werden müssen, beinhalten mehrere für Nichtbanken-Finanzintermediäre geltende Richtlinien und Verordnungen der EU bereits einige makroprudenzielle Instrumente, deren Ziel darin besteht, die Entstehung von Systemrisiken abzuschwächen oder die Auswirkungen eines systemischen Ereignisses zu bewältigen </w:t>
      </w:r>
      <w:r w:rsidRPr="0060211F">
        <w:rPr>
          <w:rStyle w:val="BodyTextChar"/>
          <w:noProof/>
          <w:lang w:val="de-DE"/>
        </w:rPr>
        <w:t xml:space="preserve">(siehe </w:t>
      </w:r>
      <w:r w:rsidRPr="0060211F">
        <w:rPr>
          <w:rStyle w:val="BodyTextChar"/>
          <w:i/>
          <w:noProof/>
          <w:lang w:val="de-DE"/>
        </w:rPr>
        <w:t>Anhang 1</w:t>
      </w:r>
      <w:r w:rsidRPr="0060211F">
        <w:rPr>
          <w:rStyle w:val="BodyTextChar"/>
          <w:noProof/>
          <w:lang w:val="de-DE"/>
        </w:rPr>
        <w:t xml:space="preserve">). So wurde beispielsweise für den Sektor der Investmentfonds (für alternative Investmentfonds, Organismen für gemeinsame Anlagen in Wertpapieren und Geldmarktfonds), für die Versicherungsbranche und für Einschusspraktiken und das Risikomanagement im Zusammenhang mit zentralen Gegenparteien eine Reihe von Instrumenten und Bestimmungen zur Handhabung von Liquiditäts-, Verschuldungs- und operationellen Risiken geschaffen. Da sich jedoch Kreditaktivitäten und </w:t>
      </w:r>
      <w:r w:rsidRPr="0060211F">
        <w:rPr>
          <w:rStyle w:val="BodyTextChar"/>
          <w:noProof/>
          <w:lang w:val="de-DE"/>
        </w:rPr>
        <w:noBreakHyphen/>
        <w:t>risiken zunehmend vom Banken- auf den Nichtbankensektor verlagern, wird die Kommission weitere Hinweise auf fehlende Instrumente, potenzielle Lücken bestehender Instrumente bei der Erfüllung von Zielen der Makroaufsicht sowie Hinweise zur Wirksamkeit und Kohärenz der makroprudenziellen Maßnahmen für Nichtbanken-Finanzintermediäre in der EU sammeln.</w:t>
      </w:r>
      <w:r w:rsidRPr="0060211F">
        <w:rPr>
          <w:rStyle w:val="FootnoteReference"/>
          <w:rFonts w:eastAsiaTheme="minorEastAsia" w:cs="Times New Roman"/>
          <w:noProof/>
          <w:lang w:val="de-DE"/>
        </w:rPr>
        <w:footnoteReference w:id="17"/>
      </w:r>
      <w:r w:rsidRPr="0060211F">
        <w:rPr>
          <w:rStyle w:val="BodyTextChar"/>
          <w:noProof/>
          <w:lang w:val="de-DE"/>
        </w:rPr>
        <w:t xml:space="preserve"> Diese Arbeit wird das Fundament für politische Entscheidungen bilden, die die Kommission 2024–2029 auf diesem Gebiet eventuell treffen wird. </w:t>
      </w:r>
    </w:p>
    <w:p w14:paraId="1781F230" w14:textId="24EA098A" w:rsidR="00241024" w:rsidRPr="0060211F" w:rsidRDefault="003D3661" w:rsidP="002A404D">
      <w:pPr>
        <w:spacing w:after="120" w:line="240" w:lineRule="auto"/>
        <w:rPr>
          <w:rFonts w:cs="Times New Roman"/>
          <w:i/>
          <w:noProof/>
          <w:lang w:val="de-DE"/>
        </w:rPr>
      </w:pPr>
      <w:r w:rsidRPr="0060211F">
        <w:rPr>
          <w:i/>
          <w:noProof/>
          <w:lang w:val="de-DE"/>
        </w:rPr>
        <w:t>Daher plant die Kommission, 2024 eine gezielte Konsultation zu makroprudenziellen Maßnahmen für Nichtbanken-Finanzintermediäre durchzuführen. Das Ziel der Konsultation wird sein, weitere Einblicke in die Geschäftsmodelle der wichtigsten Nichtbanken-Finanzintermediäre und deren Verflechtungen untereinander sowie zwischen Banken und Nichtbanken-Finanzintermediären zu sammeln und Lücken im makroprudenziellen Rahmen und andere Faktoren zu ermitteln, die zur Entstehung von Systemrisiken bei der finanziellen Mittlertätigkeit außerhalb des Bankensektors beitragen könnten. Im Jahr 2024 wird die Kommission auch eine Konsultation zur Überprüfung der Verordnung über Wertpapierfinanzierungsgeschäfte (Securities Financing Transaction Regulation – SFTR) durchführen. Das Ziel der Verordnung über die Transparenz von Wertpapierfinanzierungsgeschäften besteht darin, die Transparenz bei Finanzierungs- und Kreditgeschäften zu verbessern und eine bessere Überwachung der Risiken zu ermöglichen, die sich aus der Kreditvermittlung durch Nichtbanken ergeben.</w:t>
      </w:r>
      <w:r w:rsidRPr="0060211F">
        <w:rPr>
          <w:noProof/>
          <w:lang w:val="de-DE"/>
        </w:rPr>
        <w:br w:type="page"/>
      </w:r>
    </w:p>
    <w:p w14:paraId="5B512787" w14:textId="1237385C" w:rsidR="00241024" w:rsidRPr="0060211F" w:rsidRDefault="00077D10" w:rsidP="0028791E">
      <w:pPr>
        <w:spacing w:after="120" w:line="240" w:lineRule="auto"/>
        <w:jc w:val="center"/>
        <w:rPr>
          <w:rFonts w:cs="Times New Roman"/>
          <w:b/>
          <w:noProof/>
          <w:sz w:val="28"/>
          <w:lang w:val="de-DE"/>
        </w:rPr>
      </w:pPr>
      <w:r w:rsidRPr="0060211F">
        <w:rPr>
          <w:b/>
          <w:noProof/>
          <w:sz w:val="28"/>
          <w:lang w:val="de-DE"/>
        </w:rPr>
        <w:t>Anhang 1</w:t>
      </w:r>
    </w:p>
    <w:p w14:paraId="70B85031" w14:textId="1B7FA455" w:rsidR="00241024" w:rsidRPr="0060211F" w:rsidRDefault="00241024">
      <w:pPr>
        <w:pStyle w:val="Heading1"/>
        <w:numPr>
          <w:ilvl w:val="0"/>
          <w:numId w:val="0"/>
        </w:numPr>
        <w:spacing w:before="0" w:after="120"/>
        <w:rPr>
          <w:rFonts w:ascii="Times New Roman" w:hAnsi="Times New Roman" w:cs="Times New Roman"/>
          <w:noProof/>
          <w:sz w:val="22"/>
          <w:lang w:val="de-DE"/>
        </w:rPr>
      </w:pPr>
      <w:r w:rsidRPr="0060211F">
        <w:rPr>
          <w:rFonts w:ascii="Times New Roman" w:hAnsi="Times New Roman"/>
          <w:noProof/>
          <w:sz w:val="22"/>
          <w:lang w:val="de-DE"/>
        </w:rPr>
        <w:t>Das aktuelle makroprudenzielle Instrumentarium der EU für Banken und NBFI</w:t>
      </w:r>
    </w:p>
    <w:p w14:paraId="69E949BB" w14:textId="39C9FDA6" w:rsidR="00241024" w:rsidRPr="0060211F" w:rsidRDefault="00241024" w:rsidP="004709F3">
      <w:pPr>
        <w:spacing w:after="120" w:line="240" w:lineRule="auto"/>
        <w:rPr>
          <w:rFonts w:cs="Times New Roman"/>
          <w:noProof/>
          <w:color w:val="000000" w:themeColor="text1"/>
          <w:lang w:val="de-DE"/>
        </w:rPr>
      </w:pPr>
      <w:r w:rsidRPr="0060211F">
        <w:rPr>
          <w:noProof/>
          <w:lang w:val="de-DE"/>
        </w:rPr>
        <w:t xml:space="preserve">Die wichtigsten makroprudenziellen Instrumente für Banken sind </w:t>
      </w:r>
      <w:r w:rsidRPr="0060211F">
        <w:rPr>
          <w:b/>
          <w:noProof/>
          <w:lang w:val="de-DE"/>
        </w:rPr>
        <w:t>Kapitalpuffer</w:t>
      </w:r>
      <w:r w:rsidRPr="0060211F">
        <w:rPr>
          <w:noProof/>
          <w:lang w:val="de-DE"/>
        </w:rPr>
        <w:t>, also eine zusätzliche Kapitalschicht als Ergänzung zu den Mindestkapitalanforderungen. Kapitalpuffer erhöhen die Widerstandsfähigkeit des Bankensektors, indem sie Banken in die Lage versetzen, höhere Verluste auszugleichen, ohne gegen Mindestanforderungen zu verstoßen, sodass die Erbringung wichtiger Finanzdienstleistungen aufrechterhalten wird und die Verstärkungseffekte, die der Bankensektor auf den Konjunkturzyklus ausüben kann, abgemildert werden.</w:t>
      </w:r>
      <w:r w:rsidRPr="0060211F">
        <w:rPr>
          <w:noProof/>
          <w:color w:val="000000" w:themeColor="text1"/>
          <w:lang w:val="de-DE"/>
        </w:rPr>
        <w:t xml:space="preserve"> Der makroprudenzielle Rahmen der EU unterstützt die Bildung von Bankkapital in Zeiten hoher Kreditrisiken und finanzieller Anfälligkeiten.</w:t>
      </w:r>
      <w:r w:rsidRPr="0060211F">
        <w:rPr>
          <w:noProof/>
          <w:lang w:val="de-DE"/>
        </w:rPr>
        <w:t xml:space="preserve"> </w:t>
      </w:r>
      <w:r w:rsidRPr="0060211F">
        <w:rPr>
          <w:noProof/>
          <w:color w:val="000000" w:themeColor="text1"/>
          <w:lang w:val="de-DE"/>
        </w:rPr>
        <w:t xml:space="preserve">Anschließend kann dieses Kapital bei Bedarf zum Ausgleich von Verlusten und zur Erfüllung von Kreditnachfragen in Zeiten eines Konjunkturabschwungs und bei Krisen eingesetzt werden. </w:t>
      </w:r>
    </w:p>
    <w:p w14:paraId="3579563F" w14:textId="6A26AC5B" w:rsidR="004709F3" w:rsidRPr="0060211F" w:rsidRDefault="00241024" w:rsidP="004709F3">
      <w:pPr>
        <w:spacing w:after="120" w:line="240" w:lineRule="auto"/>
        <w:rPr>
          <w:rFonts w:cs="Times New Roman"/>
          <w:noProof/>
          <w:lang w:val="de-DE"/>
        </w:rPr>
      </w:pPr>
      <w:r w:rsidRPr="0060211F">
        <w:rPr>
          <w:noProof/>
          <w:lang w:val="de-DE"/>
        </w:rPr>
        <w:t xml:space="preserve">In der Eigenkapitalrichtlinie werden fünf der Makroaufsicht dienende Kapitalpuffer aufgeführt, die gemeinsam die </w:t>
      </w:r>
      <w:r w:rsidRPr="0060211F">
        <w:rPr>
          <w:b/>
          <w:noProof/>
          <w:lang w:val="de-DE"/>
        </w:rPr>
        <w:t>kombinierte Kapitalpufferanforderung</w:t>
      </w:r>
      <w:r w:rsidRPr="0060211F">
        <w:rPr>
          <w:noProof/>
          <w:lang w:val="de-DE"/>
        </w:rPr>
        <w:t xml:space="preserve"> bilden. Jede Bank muss eine spezielle kombinierte Kapitalpufferanforderung erfüllen, deren Bestandteile auf unterschiedlichen Ebenen festgelegt werden. Alle Banken müssen über einen </w:t>
      </w:r>
      <w:r w:rsidRPr="0060211F">
        <w:rPr>
          <w:i/>
          <w:noProof/>
          <w:lang w:val="de-DE"/>
        </w:rPr>
        <w:t>Kapitalerhaltungspuffer</w:t>
      </w:r>
      <w:r w:rsidRPr="0060211F">
        <w:rPr>
          <w:noProof/>
          <w:lang w:val="de-DE"/>
        </w:rPr>
        <w:t xml:space="preserve"> von 2,5 % des Gesamtbetrags der risikogewichteten Aktiva (RWA) verfügen. Als systemrelevant eingestufte Großbanken müssen einen zusätzlichen Puffer (</w:t>
      </w:r>
      <w:r w:rsidRPr="0060211F">
        <w:rPr>
          <w:i/>
          <w:noProof/>
          <w:lang w:val="de-DE"/>
        </w:rPr>
        <w:t>G-SRI-Puffer</w:t>
      </w:r>
      <w:r w:rsidRPr="0060211F">
        <w:rPr>
          <w:noProof/>
          <w:lang w:val="de-DE"/>
        </w:rPr>
        <w:t>) von bis zu 3,5 % der risikogewichteten Aktiva (oder mehr, wenn die Aufsichtsbehörden dies für angemessen erachten) halten. In der EU legen die auf nationaler Ebene zuständigen und benannten Behörden (im Folgenden „nationale Behörden“) Pufferanforderungen von bis zu 3 % des Gesamtrisikobetrags auch zu dem Zweck fest, die Widerstandsfähigkeit anderer (im Inland) systemrelevanter Institute zu stärken (</w:t>
      </w:r>
      <w:r w:rsidRPr="0060211F">
        <w:rPr>
          <w:i/>
          <w:noProof/>
          <w:lang w:val="de-DE"/>
        </w:rPr>
        <w:t>A-SRI-Puffer</w:t>
      </w:r>
      <w:r w:rsidRPr="0060211F">
        <w:rPr>
          <w:noProof/>
          <w:lang w:val="de-DE"/>
        </w:rPr>
        <w:t>) und das Bankensystem widerstandsfähiger gegen breit angelegte Konjunkturrisiken zu machen (</w:t>
      </w:r>
      <w:r w:rsidRPr="0060211F">
        <w:rPr>
          <w:i/>
          <w:noProof/>
          <w:lang w:val="de-DE"/>
        </w:rPr>
        <w:t>antizyklischer Kapitalpuffer</w:t>
      </w:r>
      <w:r w:rsidRPr="0060211F">
        <w:rPr>
          <w:noProof/>
          <w:lang w:val="de-DE"/>
        </w:rPr>
        <w:t>) oder um andere strukturelle oder konjunkturelle Risiken zu bewältigen, die von den vorstehenden Puffern nicht abgedeckt werden; dies schließt auch Risiken auf der Ebene branchenspezifischer Risiken ein (</w:t>
      </w:r>
      <w:r w:rsidRPr="0060211F">
        <w:rPr>
          <w:i/>
          <w:noProof/>
          <w:lang w:val="de-DE"/>
        </w:rPr>
        <w:t>Systemrisikopuffer</w:t>
      </w:r>
      <w:r w:rsidRPr="0060211F">
        <w:rPr>
          <w:noProof/>
          <w:lang w:val="de-DE"/>
        </w:rPr>
        <w:t>).</w:t>
      </w:r>
      <w:r w:rsidRPr="0060211F">
        <w:rPr>
          <w:rStyle w:val="FootnoteReference"/>
          <w:rFonts w:cs="Times New Roman"/>
          <w:noProof/>
          <w:lang w:val="de-DE"/>
        </w:rPr>
        <w:footnoteReference w:id="18"/>
      </w:r>
      <w:r w:rsidRPr="0060211F">
        <w:rPr>
          <w:noProof/>
          <w:lang w:val="de-DE"/>
        </w:rPr>
        <w:t xml:space="preserve"> In der Bankenunion ist die EZB befugt, Puffer zu erhöhen (aufzustocken) und bestimmte, von den nationalen Behörden festgesetzte makroprudenzielle Maßnahmen zu verschärfen.</w:t>
      </w:r>
      <w:r w:rsidRPr="0060211F">
        <w:rPr>
          <w:rStyle w:val="FootnoteReference"/>
          <w:rFonts w:cs="Times New Roman"/>
          <w:noProof/>
          <w:lang w:val="de-DE"/>
        </w:rPr>
        <w:footnoteReference w:id="19"/>
      </w:r>
    </w:p>
    <w:p w14:paraId="35BE745C" w14:textId="68AF16F1" w:rsidR="00241024" w:rsidRPr="0060211F" w:rsidRDefault="00241024" w:rsidP="004709F3">
      <w:pPr>
        <w:spacing w:after="120" w:line="240" w:lineRule="auto"/>
        <w:rPr>
          <w:rFonts w:cs="Times New Roman"/>
          <w:noProof/>
          <w:lang w:val="de-DE"/>
        </w:rPr>
      </w:pPr>
      <w:r w:rsidRPr="0060211F">
        <w:rPr>
          <w:noProof/>
          <w:lang w:val="de-DE"/>
        </w:rPr>
        <w:t xml:space="preserve">Nationale Behörden können ebenfalls die </w:t>
      </w:r>
      <w:r w:rsidRPr="0060211F">
        <w:rPr>
          <w:b/>
          <w:noProof/>
          <w:lang w:val="de-DE"/>
        </w:rPr>
        <w:t>Risikogewichtungen</w:t>
      </w:r>
      <w:r w:rsidRPr="0060211F">
        <w:rPr>
          <w:noProof/>
          <w:lang w:val="de-DE"/>
        </w:rPr>
        <w:t xml:space="preserve"> für bestimmte Risikopositionen </w:t>
      </w:r>
      <w:r w:rsidRPr="0060211F">
        <w:rPr>
          <w:b/>
          <w:noProof/>
          <w:lang w:val="de-DE"/>
        </w:rPr>
        <w:t>verschärfen</w:t>
      </w:r>
      <w:r w:rsidRPr="0060211F">
        <w:rPr>
          <w:noProof/>
          <w:lang w:val="de-DE"/>
        </w:rPr>
        <w:t xml:space="preserve">, wenn dies aufgrund von Systemrisiken gerechtfertigt ist. Im derzeitigen Regelungsrahmen enthalten mehrere Bestimmungen der Eigenmittelverordnung Vorschriften zur Erhöhung der Risikogewichte und der LGD-Mindestwerte für interne Modelle verwendende Banken auf Ebene von Risikopositionen in Wohn- und Gewerbeimmobilien. Die nationalen Behörden können ferner zu Zwecken der Finanzaufsicht auf Makroebene Obergrenzen für Kreditvergabestandards (d. h. kreditnehmerbasierte Maßnahmen) festsetzen, die in den meisten EU-Mitgliedstaaten im nationalen Recht vorgesehen sind, derzeit aber nicht im makroprudenziellen Rahmen der EU verankert sind. </w:t>
      </w:r>
    </w:p>
    <w:p w14:paraId="0E533650" w14:textId="4FB0B3E6" w:rsidR="00241024" w:rsidRPr="0060211F" w:rsidRDefault="0011072D" w:rsidP="004709F3">
      <w:pPr>
        <w:spacing w:after="120" w:line="240" w:lineRule="auto"/>
        <w:rPr>
          <w:rStyle w:val="BodyTextChar"/>
          <w:rFonts w:eastAsiaTheme="minorEastAsia" w:cs="Times New Roman"/>
          <w:noProof/>
          <w:lang w:val="de-DE"/>
        </w:rPr>
      </w:pPr>
      <w:r w:rsidRPr="0060211F">
        <w:rPr>
          <w:b/>
          <w:noProof/>
          <w:lang w:val="de-DE"/>
        </w:rPr>
        <w:t>Obgleich es keinen gemeinsamen makroprudenziellen Rahmen für Nichtbanken-Finanzintermediäre gibt, enthalten branchenspezifische Rechtsvorschriften der EU bereits mehrere makroprudenzielle Instrumente sowie verschiedene Bestimmungen für das Risikomanagement.</w:t>
      </w:r>
      <w:r w:rsidRPr="0060211F">
        <w:rPr>
          <w:noProof/>
          <w:lang w:val="de-DE"/>
        </w:rPr>
        <w:t xml:space="preserve"> Hierzu zählen Bestimmungen im Hinblick auf Liquiditätsrisiken, Hebelfinanzierungsrisiken und operationelle Risiken, die das Entstehen von Systemrisiken hemmen</w:t>
      </w:r>
      <w:r w:rsidRPr="0060211F">
        <w:rPr>
          <w:rStyle w:val="BodyTextChar"/>
          <w:noProof/>
          <w:lang w:val="de-DE"/>
        </w:rPr>
        <w:t xml:space="preserve">. </w:t>
      </w:r>
    </w:p>
    <w:p w14:paraId="4E9F111C" w14:textId="21BD8A34" w:rsidR="00241024" w:rsidRPr="0060211F" w:rsidRDefault="00241024" w:rsidP="004709F3">
      <w:pPr>
        <w:spacing w:after="120" w:line="240" w:lineRule="auto"/>
        <w:rPr>
          <w:rFonts w:cs="Times New Roman"/>
          <w:noProof/>
          <w:lang w:val="de-DE"/>
        </w:rPr>
      </w:pPr>
      <w:r w:rsidRPr="0060211F">
        <w:rPr>
          <w:rStyle w:val="BodyTextChar"/>
          <w:noProof/>
          <w:lang w:val="de-DE"/>
        </w:rPr>
        <w:t xml:space="preserve">Was den </w:t>
      </w:r>
      <w:r w:rsidRPr="0060211F">
        <w:rPr>
          <w:rStyle w:val="BodyTextChar"/>
          <w:b/>
          <w:noProof/>
          <w:lang w:val="de-DE"/>
        </w:rPr>
        <w:t>Investmentfondssektor</w:t>
      </w:r>
      <w:r w:rsidRPr="0060211F">
        <w:rPr>
          <w:rStyle w:val="BodyTextChar"/>
          <w:noProof/>
          <w:lang w:val="de-DE"/>
        </w:rPr>
        <w:t xml:space="preserve"> betrifft,</w:t>
      </w:r>
      <w:r w:rsidRPr="0060211F">
        <w:rPr>
          <w:noProof/>
          <w:lang w:val="de-DE"/>
        </w:rPr>
        <w:t xml:space="preserve"> so spiegelt sich in den Gesetzgebungsvorschlägen der Kommission zur Änderung der Richtlinie über die Verwalter alternativer Investmentfonds</w:t>
      </w:r>
      <w:r w:rsidRPr="0060211F">
        <w:rPr>
          <w:rStyle w:val="FootnoteReference"/>
          <w:rFonts w:cs="Times New Roman"/>
          <w:noProof/>
          <w:lang w:val="de-DE"/>
        </w:rPr>
        <w:footnoteReference w:id="20"/>
      </w:r>
      <w:r w:rsidRPr="0060211F">
        <w:rPr>
          <w:noProof/>
          <w:lang w:val="de-DE"/>
        </w:rPr>
        <w:t xml:space="preserve"> und der Richtlinien zur Koordinierung der Rechts- und Verwaltungsvorschriften betreffend bestimmte Organismen für gemeinsame Anlagen in Wertpapieren (OGAW)</w:t>
      </w:r>
      <w:r w:rsidRPr="0060211F">
        <w:rPr>
          <w:rStyle w:val="FootnoteReference"/>
          <w:rFonts w:cs="Times New Roman"/>
          <w:noProof/>
          <w:lang w:val="de-DE"/>
        </w:rPr>
        <w:footnoteReference w:id="21"/>
      </w:r>
      <w:r w:rsidRPr="0060211F">
        <w:rPr>
          <w:noProof/>
          <w:lang w:val="de-DE"/>
        </w:rPr>
        <w:t>, die im November 2021 angenommen wurden,</w:t>
      </w:r>
      <w:r w:rsidRPr="0060211F">
        <w:rPr>
          <w:rStyle w:val="FootnoteReference"/>
          <w:rFonts w:cs="Times New Roman"/>
          <w:noProof/>
          <w:lang w:val="de-DE"/>
        </w:rPr>
        <w:footnoteReference w:id="22"/>
      </w:r>
      <w:r w:rsidRPr="0060211F">
        <w:rPr>
          <w:noProof/>
          <w:lang w:val="de-DE"/>
        </w:rPr>
        <w:t xml:space="preserve"> die Empfehlung des Europäischen Ausschusses für Systemrisiken zu Liquiditäts- und Hebelfinanzierungsrisiken von Investmentfonds</w:t>
      </w:r>
      <w:r w:rsidRPr="0060211F">
        <w:rPr>
          <w:rStyle w:val="FootnoteReference"/>
          <w:rFonts w:cs="Times New Roman"/>
          <w:noProof/>
          <w:lang w:val="de-DE"/>
        </w:rPr>
        <w:footnoteReference w:id="23"/>
      </w:r>
      <w:r w:rsidRPr="0060211F">
        <w:rPr>
          <w:noProof/>
          <w:lang w:val="de-DE"/>
        </w:rPr>
        <w:t xml:space="preserve"> wider. Am 19. Juli 2023 erzielten das Parlament und der Rat eine Einigung über die Überprüfung. Sie kamen überein, eine harmonisierte Liste von Instrumenten zum Liquiditätsmanagement einzuführen; hierbei handelt es sich um Finanzaufsichtsinstrumente auf Mikroebene, die für die Verwalter alternativer Investmentfonds und für Organismen für gemeinsame Anlagen in Wertpapieren in der gesamten EU zur Verfügung stehen werden. In der Überprüfung wird auch eine strukturelle Begrenzung der Verschuldung für kreditgebende Fonds festgelegt. Die Verordnung über Geldmarktfonds</w:t>
      </w:r>
      <w:r w:rsidRPr="0060211F">
        <w:rPr>
          <w:rFonts w:cs="Times New Roman"/>
          <w:noProof/>
          <w:vertAlign w:val="superscript"/>
          <w:lang w:val="de-DE"/>
        </w:rPr>
        <w:footnoteReference w:id="24"/>
      </w:r>
      <w:r w:rsidRPr="0060211F">
        <w:rPr>
          <w:noProof/>
          <w:lang w:val="de-DE"/>
        </w:rPr>
        <w:t xml:space="preserve"> enthält eine Reihe makroprudenzieller Instrumente wie strukturelle Obergrenzen für die Verschuldung und den Derivatehandel, Liquiditätspuffer und Stresstests unter hypothetischen Szenarios. In einer kürzlich durchgeführten gezielten Konsultation</w:t>
      </w:r>
      <w:r w:rsidRPr="0060211F">
        <w:rPr>
          <w:rStyle w:val="FootnoteReference"/>
          <w:rFonts w:cs="Times New Roman"/>
          <w:noProof/>
          <w:lang w:val="de-DE"/>
        </w:rPr>
        <w:footnoteReference w:id="25"/>
      </w:r>
      <w:r w:rsidRPr="0060211F">
        <w:rPr>
          <w:noProof/>
          <w:lang w:val="de-DE"/>
        </w:rPr>
        <w:t xml:space="preserve"> und dem Begleitbericht</w:t>
      </w:r>
      <w:r w:rsidRPr="0060211F">
        <w:rPr>
          <w:rStyle w:val="FootnoteReference"/>
          <w:rFonts w:cs="Times New Roman"/>
          <w:noProof/>
          <w:lang w:val="de-DE"/>
        </w:rPr>
        <w:footnoteReference w:id="26"/>
      </w:r>
      <w:r w:rsidRPr="0060211F">
        <w:rPr>
          <w:noProof/>
          <w:lang w:val="de-DE"/>
        </w:rPr>
        <w:t xml:space="preserve"> dazu wird der Schluss gezogen, dass die Verordnung über Geldmarktfonds die Widerstandsfähigkeit des Sektors stärkte; es werden aber auch mehrere Schwachstellen festgestellt, die einer weiteren Bewertung bedürfen. </w:t>
      </w:r>
    </w:p>
    <w:p w14:paraId="04CD8B05" w14:textId="6FCAE9FD" w:rsidR="00241024" w:rsidRPr="0060211F" w:rsidRDefault="0011072D" w:rsidP="004709F3">
      <w:pPr>
        <w:spacing w:after="120" w:line="240" w:lineRule="auto"/>
        <w:rPr>
          <w:rFonts w:cs="Times New Roman"/>
          <w:noProof/>
          <w:lang w:val="de-DE"/>
        </w:rPr>
      </w:pPr>
      <w:r w:rsidRPr="0060211F">
        <w:rPr>
          <w:noProof/>
          <w:lang w:val="de-DE"/>
        </w:rPr>
        <w:t xml:space="preserve">Was </w:t>
      </w:r>
      <w:r w:rsidRPr="0060211F">
        <w:rPr>
          <w:b/>
          <w:noProof/>
          <w:lang w:val="de-DE"/>
        </w:rPr>
        <w:t>Versicherer</w:t>
      </w:r>
      <w:r w:rsidRPr="0060211F">
        <w:rPr>
          <w:noProof/>
          <w:lang w:val="de-DE"/>
        </w:rPr>
        <w:t xml:space="preserve"> betrifft, so nahm die Kommission im September 2021 einen Gesetzgebungsvorschlag zur Änderung der Solvabilität-II-Richtlinie an. Mit diesen Änderungen werden der etablierte risikosensible Aufsichtsrahmen der EU für Versicherer und Rückversicherer an neue Entwicklungen angepasst und deren Rolle bei der Finanzierung der wirtschaftlichen Erholung und des digitalen und des ökologischen Wandels gestärkt.</w:t>
      </w:r>
      <w:r w:rsidRPr="0060211F">
        <w:rPr>
          <w:rFonts w:cs="Times New Roman"/>
          <w:noProof/>
          <w:vertAlign w:val="superscript"/>
          <w:lang w:val="de-DE"/>
        </w:rPr>
        <w:footnoteReference w:id="27"/>
      </w:r>
      <w:r w:rsidRPr="0060211F">
        <w:rPr>
          <w:noProof/>
          <w:lang w:val="de-DE"/>
        </w:rPr>
        <w:t xml:space="preserve"> Der Vorschlag enthielt die meisten der von der Europäischen Aufsichtsbehörde für das Versicherungswesen und die betriebliche Altersversorgung (European Insurance and Occupationals Pensions Authority, EIOPA) (2020)</w:t>
      </w:r>
      <w:r w:rsidRPr="0060211F">
        <w:rPr>
          <w:rFonts w:cs="Times New Roman"/>
          <w:noProof/>
          <w:vertAlign w:val="superscript"/>
          <w:lang w:val="de-DE"/>
        </w:rPr>
        <w:footnoteReference w:id="28"/>
      </w:r>
      <w:r w:rsidRPr="0060211F">
        <w:rPr>
          <w:noProof/>
          <w:lang w:val="de-DE"/>
        </w:rPr>
        <w:t xml:space="preserve"> und dem Europäischen Ausschuss für Systemrisiken</w:t>
      </w:r>
      <w:r w:rsidRPr="0060211F">
        <w:rPr>
          <w:rFonts w:cs="Times New Roman"/>
          <w:noProof/>
          <w:vertAlign w:val="superscript"/>
          <w:lang w:val="de-DE"/>
        </w:rPr>
        <w:footnoteReference w:id="29"/>
      </w:r>
      <w:r w:rsidRPr="0060211F">
        <w:rPr>
          <w:noProof/>
          <w:lang w:val="de-DE"/>
        </w:rPr>
        <w:t xml:space="preserve"> ausgesprochenen Empfehlungen bezüglich der Erweiterung des Aufsichtsinstrumentariums und der Einführung neuer Anforderungen zur Bewältigung von Systemrisiken. Insbesondere schlug die Kommission vor, den nationalen Behörden die Befugnis zu erteilen, zusätzliche Maßnahmen zur Stärkung der Finanzlage des Versicherers in Krisenzeiten zu verfügen, die Rückkaufrechte für Lebensversicherungsverträge unter außergewöhnlichen Umständen einzufrieren und zusätzliche Maßnahmen zur Minderung des Liquiditätsrisikos einzuführen. Sie schlug ferner vor, die Bewertung des Eigenrisikos und der Solvabilität sowie den Grundsatz der unternehmerischen Vorsicht auf Bedenken im Zusammenhang mit der Finanzaufsicht auf Makroebene auszudehnen und Präventivpläne (Sanierungs- und Abwicklungspläne sowie Pläne für das Management von System- und Liquiditätsrisiken) zu erstellen. Das Parlament und der Rat haben kürzlich eine Einigung über diese Vorschläge erzielt, die zur Annahme in den kommenden Monaten in ihre endgültige Form gebracht werden.</w:t>
      </w:r>
    </w:p>
    <w:p w14:paraId="5B6F14F5" w14:textId="1D093F2C" w:rsidR="00E05CDD" w:rsidRPr="0060211F" w:rsidRDefault="00396433" w:rsidP="004709F3">
      <w:pPr>
        <w:spacing w:after="120" w:line="240" w:lineRule="auto"/>
        <w:rPr>
          <w:rFonts w:cs="Times New Roman"/>
          <w:noProof/>
          <w:lang w:val="de-DE"/>
        </w:rPr>
      </w:pPr>
      <w:r w:rsidRPr="0060211F">
        <w:rPr>
          <w:noProof/>
          <w:lang w:val="de-DE"/>
        </w:rPr>
        <w:t>In Bezug auf</w:t>
      </w:r>
      <w:r w:rsidRPr="0060211F">
        <w:rPr>
          <w:b/>
          <w:noProof/>
          <w:lang w:val="de-DE"/>
        </w:rPr>
        <w:t xml:space="preserve"> Einschussverfahren und das Risikomanagement zentraler Gegenparteien (ZGP)</w:t>
      </w:r>
      <w:r w:rsidRPr="0060211F">
        <w:rPr>
          <w:noProof/>
          <w:lang w:val="de-DE"/>
        </w:rPr>
        <w:t xml:space="preserve"> nahm die Kommission im Dezember 2022 ein Clearing-Paket an, mit dem die Europäische Marktinfrastrukturverordnung (European Markets Infrastructure Regulation – EMIR) und andere Rechtsvorschriften für Finanzdienstleistungen geändert wurden (im Folgenden „EMIR-3-Überprüfung“).</w:t>
      </w:r>
      <w:r w:rsidRPr="0060211F">
        <w:rPr>
          <w:rStyle w:val="FootnoteReference"/>
          <w:rFonts w:cs="Times New Roman"/>
          <w:noProof/>
          <w:lang w:val="de-DE"/>
        </w:rPr>
        <w:footnoteReference w:id="30"/>
      </w:r>
      <w:r w:rsidRPr="0060211F">
        <w:rPr>
          <w:noProof/>
          <w:lang w:val="de-DE"/>
        </w:rPr>
        <w:t xml:space="preserve"> Die Überprüfung umfasst Bestimmungen zur </w:t>
      </w:r>
    </w:p>
    <w:p w14:paraId="6397C14A" w14:textId="6E7E3CBF" w:rsidR="00F53EF9" w:rsidRPr="0060211F" w:rsidRDefault="00E05CDD" w:rsidP="00E05CDD">
      <w:pPr>
        <w:pStyle w:val="ListParagraph"/>
        <w:numPr>
          <w:ilvl w:val="0"/>
          <w:numId w:val="27"/>
        </w:numPr>
        <w:spacing w:after="120"/>
        <w:rPr>
          <w:rFonts w:cs="Times New Roman"/>
          <w:noProof/>
          <w:lang w:val="de-DE"/>
        </w:rPr>
      </w:pPr>
      <w:r w:rsidRPr="0060211F">
        <w:rPr>
          <w:noProof/>
          <w:lang w:val="de-DE"/>
        </w:rPr>
        <w:t xml:space="preserve">Erhöhung der Transparenz bei Aufforderungen zur Nachschusszahlung bei Marktteilnehmern, deren Clearing als Kunden stattfindet (einschließlich Fonds und Versicherungsgesellschaften), </w:t>
      </w:r>
    </w:p>
    <w:p w14:paraId="154E0FAF" w14:textId="7BED4AC4" w:rsidR="00351BB3" w:rsidRPr="0060211F" w:rsidRDefault="00241024" w:rsidP="00E05CDD">
      <w:pPr>
        <w:pStyle w:val="ListParagraph"/>
        <w:numPr>
          <w:ilvl w:val="0"/>
          <w:numId w:val="27"/>
        </w:numPr>
        <w:spacing w:after="120"/>
        <w:rPr>
          <w:rFonts w:cs="Times New Roman"/>
          <w:noProof/>
          <w:lang w:val="de-DE"/>
        </w:rPr>
      </w:pPr>
      <w:r w:rsidRPr="0060211F">
        <w:rPr>
          <w:noProof/>
          <w:lang w:val="de-DE"/>
        </w:rPr>
        <w:t xml:space="preserve">stärkeren Betonung der Vermeidung der Prozyklizität von Abschlägen und </w:t>
      </w:r>
    </w:p>
    <w:p w14:paraId="2BBBBF17" w14:textId="77DF3544" w:rsidR="001A1528" w:rsidRPr="0060211F" w:rsidRDefault="00241024" w:rsidP="00E05CDD">
      <w:pPr>
        <w:pStyle w:val="ListParagraph"/>
        <w:numPr>
          <w:ilvl w:val="0"/>
          <w:numId w:val="27"/>
        </w:numPr>
        <w:spacing w:after="120"/>
        <w:rPr>
          <w:rFonts w:cs="Times New Roman"/>
          <w:noProof/>
          <w:lang w:val="de-DE"/>
        </w:rPr>
      </w:pPr>
      <w:r w:rsidRPr="0060211F">
        <w:rPr>
          <w:noProof/>
          <w:lang w:val="de-DE"/>
        </w:rPr>
        <w:t xml:space="preserve">Verpflichtung zentraler Gegenparteien, alles in ihrer Macht Stehende zu tun, um innerhalb eines Tages zu leistende Nachschusszahlungen nicht zurückzuhalten, sondern weiterzuleiten und „Liquiditätshortung“ zu vermeiden. </w:t>
      </w:r>
    </w:p>
    <w:p w14:paraId="21C85774" w14:textId="19C6C089" w:rsidR="00241024" w:rsidRPr="0060211F" w:rsidRDefault="00241024" w:rsidP="00A96C09">
      <w:pPr>
        <w:spacing w:after="120"/>
        <w:rPr>
          <w:noProof/>
          <w:lang w:val="de-DE"/>
        </w:rPr>
      </w:pPr>
      <w:r w:rsidRPr="0060211F">
        <w:rPr>
          <w:noProof/>
          <w:lang w:val="de-DE"/>
        </w:rPr>
        <w:t xml:space="preserve">Darüber hinaus wird mit dem Vorschlag ein sektorübergreifender Überwachungsmechanismus (im Folgenden „gemeinsamer Überwachungsmechanismus“) geschaffen, um die Entwicklungen im gesamten Clearing-Ökosystem genauer zu überwachen und Liquiditätsstresstests für die gesamte Clearingkette zu entwickeln. </w:t>
      </w:r>
    </w:p>
    <w:p w14:paraId="36DF39FC" w14:textId="347BA79C" w:rsidR="00241024" w:rsidRPr="0060211F" w:rsidRDefault="00241024" w:rsidP="004709F3">
      <w:pPr>
        <w:spacing w:after="120" w:line="240" w:lineRule="auto"/>
        <w:rPr>
          <w:rFonts w:cs="Times New Roman"/>
          <w:noProof/>
          <w:lang w:val="de-DE"/>
        </w:rPr>
      </w:pPr>
      <w:r w:rsidRPr="0060211F">
        <w:rPr>
          <w:noProof/>
          <w:lang w:val="de-DE"/>
        </w:rPr>
        <w:t xml:space="preserve">Viele der internationalen Grundsätze in Bezug auf </w:t>
      </w:r>
      <w:r w:rsidRPr="0060211F">
        <w:rPr>
          <w:b/>
          <w:noProof/>
          <w:lang w:val="de-DE"/>
        </w:rPr>
        <w:t>bankähnliche Tätigkeiten ausübende Nichtbanken-Finanzintermediäre</w:t>
      </w:r>
      <w:r w:rsidRPr="0060211F">
        <w:rPr>
          <w:noProof/>
          <w:lang w:val="de-DE"/>
        </w:rPr>
        <w:t xml:space="preserve"> einschließlich Maßnahmen zur Erhöhung der Transparenz von Wertpapierfinanzierungsgeschäften und der Weiterverwendung von Sicherheiten wurden durch die 2015 angenommene Verordnung über Wertpapierfinanzierungsgeschäfte</w:t>
      </w:r>
      <w:r w:rsidRPr="0060211F">
        <w:rPr>
          <w:rStyle w:val="FootnoteReference"/>
          <w:rFonts w:cs="Times New Roman"/>
          <w:noProof/>
          <w:lang w:val="de-DE"/>
        </w:rPr>
        <w:footnoteReference w:id="31"/>
      </w:r>
      <w:r w:rsidRPr="0060211F">
        <w:rPr>
          <w:noProof/>
          <w:lang w:val="de-DE"/>
        </w:rPr>
        <w:t xml:space="preserve"> umgesetzt. Diese Verordnung gilt auch für Nichtbanken-Finanzintermediäre und hat zu mehr Transparenz bei den Pensionsgeschäften sowohl von Banken als auch von Nichtbanken-Finanzintermediären beigetragen. </w:t>
      </w:r>
    </w:p>
    <w:p w14:paraId="7E51D06B" w14:textId="1B6321DF" w:rsidR="00241024" w:rsidRPr="0060211F" w:rsidRDefault="00241024" w:rsidP="004709F3">
      <w:pPr>
        <w:spacing w:after="120" w:line="240" w:lineRule="auto"/>
        <w:rPr>
          <w:rFonts w:cs="Times New Roman"/>
          <w:noProof/>
          <w:lang w:val="de-DE"/>
        </w:rPr>
      </w:pPr>
      <w:r w:rsidRPr="0060211F">
        <w:rPr>
          <w:noProof/>
          <w:lang w:val="de-DE"/>
        </w:rPr>
        <w:t xml:space="preserve">Um Aufschluss über die </w:t>
      </w:r>
      <w:r w:rsidRPr="0060211F">
        <w:rPr>
          <w:b/>
          <w:noProof/>
          <w:lang w:val="de-DE"/>
        </w:rPr>
        <w:t>Verflechtung zwischen Nichtbanken-Finanzintermediären und dem Bankensektor</w:t>
      </w:r>
      <w:r w:rsidRPr="0060211F">
        <w:rPr>
          <w:noProof/>
          <w:lang w:val="de-DE"/>
        </w:rPr>
        <w:t xml:space="preserve"> zu gewinnen, enthält die Eigenmittelverordnung Meldepflichten, deren Ziel darin besteht, die Transparenz der Risikopositionen von Banken gegenüber Nichtbanken-Finanzintermediären zu erhöhen, wobei ein besonderer Schwerpunkt auf von Nichtbanken-Finanzintermediären ausgeübten bankähnlichen Tätigkeiten liegt.</w:t>
      </w:r>
      <w:r w:rsidRPr="0060211F">
        <w:rPr>
          <w:rStyle w:val="FootnoteReference"/>
          <w:rFonts w:cs="Times New Roman"/>
          <w:noProof/>
          <w:lang w:val="de-DE"/>
        </w:rPr>
        <w:footnoteReference w:id="32"/>
      </w:r>
      <w:r w:rsidRPr="0060211F">
        <w:rPr>
          <w:noProof/>
          <w:lang w:val="de-DE"/>
        </w:rPr>
        <w:t xml:space="preserve"> Banken müssen den Aufsichtsbehörden ihre zehn größten Risikopositionen gegenüber Unternehmen, „die außerhalb eines Regelungsrahmens Banktätigkeiten ausüben“ melden.</w:t>
      </w:r>
      <w:r w:rsidRPr="0060211F">
        <w:rPr>
          <w:rStyle w:val="FootnoteReference"/>
          <w:noProof/>
          <w:lang w:val="de-DE"/>
        </w:rPr>
        <w:footnoteReference w:id="33"/>
      </w:r>
      <w:r w:rsidRPr="0060211F">
        <w:rPr>
          <w:noProof/>
          <w:lang w:val="de-DE"/>
        </w:rPr>
        <w:t xml:space="preserve"> </w:t>
      </w:r>
    </w:p>
    <w:p w14:paraId="1AAE59E8" w14:textId="77777777" w:rsidR="00241024" w:rsidRPr="0060211F" w:rsidRDefault="00241024" w:rsidP="004709F3">
      <w:pPr>
        <w:spacing w:after="120" w:line="240" w:lineRule="auto"/>
        <w:rPr>
          <w:rFonts w:cs="Times New Roman"/>
          <w:noProof/>
          <w:lang w:val="de-DE"/>
        </w:rPr>
      </w:pPr>
    </w:p>
    <w:p w14:paraId="7EA88A92" w14:textId="35E5232C" w:rsidR="00241024" w:rsidRPr="0060211F" w:rsidRDefault="00241024" w:rsidP="00381A42">
      <w:pPr>
        <w:spacing w:after="120"/>
        <w:jc w:val="left"/>
        <w:rPr>
          <w:rFonts w:cs="Times New Roman"/>
          <w:noProof/>
          <w:lang w:val="de-DE"/>
        </w:rPr>
      </w:pPr>
      <w:r w:rsidRPr="0060211F">
        <w:rPr>
          <w:noProof/>
          <w:lang w:val="de-DE"/>
        </w:rPr>
        <w:br w:type="page"/>
      </w:r>
    </w:p>
    <w:p w14:paraId="342306E1" w14:textId="2A33C16C" w:rsidR="0032313D" w:rsidRPr="0060211F" w:rsidRDefault="00077D10" w:rsidP="0028791E">
      <w:pPr>
        <w:spacing w:after="120" w:line="240" w:lineRule="auto"/>
        <w:jc w:val="center"/>
        <w:rPr>
          <w:rFonts w:cs="Times New Roman"/>
          <w:b/>
          <w:noProof/>
          <w:sz w:val="28"/>
          <w:lang w:val="de-DE"/>
        </w:rPr>
      </w:pPr>
      <w:r w:rsidRPr="0060211F">
        <w:rPr>
          <w:b/>
          <w:noProof/>
          <w:sz w:val="28"/>
          <w:lang w:val="de-DE"/>
        </w:rPr>
        <w:t>Anhang 2</w:t>
      </w:r>
    </w:p>
    <w:p w14:paraId="46005A10" w14:textId="017B0211" w:rsidR="005F346F" w:rsidRPr="0060211F" w:rsidRDefault="00241024">
      <w:pPr>
        <w:pStyle w:val="Heading1"/>
        <w:numPr>
          <w:ilvl w:val="0"/>
          <w:numId w:val="0"/>
        </w:numPr>
        <w:spacing w:before="0" w:after="120"/>
        <w:rPr>
          <w:rFonts w:ascii="Times New Roman" w:hAnsi="Times New Roman" w:cs="Times New Roman"/>
          <w:noProof/>
          <w:sz w:val="22"/>
          <w:lang w:val="de-DE"/>
        </w:rPr>
      </w:pPr>
      <w:r w:rsidRPr="0060211F">
        <w:rPr>
          <w:rFonts w:ascii="Times New Roman" w:hAnsi="Times New Roman"/>
          <w:noProof/>
          <w:sz w:val="22"/>
          <w:lang w:val="de-DE"/>
        </w:rPr>
        <w:t>Überprüfung des makroprudenziellen Rahmens für Banken und Nichtbanken-Finanzintermediäre (NBFI)</w:t>
      </w:r>
    </w:p>
    <w:p w14:paraId="70D43D3A" w14:textId="19D77131" w:rsidR="005F346F" w:rsidRPr="0060211F" w:rsidRDefault="00A27292" w:rsidP="004709F3">
      <w:pPr>
        <w:spacing w:after="120" w:line="240" w:lineRule="auto"/>
        <w:rPr>
          <w:rFonts w:cs="Times New Roman"/>
          <w:noProof/>
          <w:color w:val="000000" w:themeColor="text1"/>
          <w:lang w:val="de-DE"/>
        </w:rPr>
      </w:pPr>
      <w:r w:rsidRPr="0060211F">
        <w:rPr>
          <w:noProof/>
          <w:shd w:val="clear" w:color="auto" w:fill="FFFFFF"/>
          <w:lang w:val="de-DE"/>
        </w:rPr>
        <w:t>Nach Artikel 513 der Verordnung (EU) Nr. 575/2013 in der durch die Verordnung (EU) 2019/876 geänderten Fassung muss die Kommission nach Konsultation der Europäischen Bankenaufsichtsbehörde und des Europäischen Ausschusses für Systemrisiken bis Juni 2022 den in der Eigenmittelverordnung und der Eigenkapitalrichtlinie aufgeführten makroprudenziellen Rahmen der EU überprüfen und dem Europäischen Parlament und dem Rat gegebenenfalls bis Dezember 2022 einen Gesetzgebungsvorschlag unterbreiten.  Nach EU-Recht muss die Kommission die Wirksamkeit, Effizienz und Transparenz des makroprudenziellen Rahmens überprüfen; dabei wird eine Reihe spezifischer Fragen aufgeführt, die zu berücksichtigen sind</w:t>
      </w:r>
      <w:r w:rsidRPr="0060211F">
        <w:rPr>
          <w:noProof/>
          <w:lang w:val="de-DE"/>
        </w:rPr>
        <w:t>.</w:t>
      </w:r>
      <w:r w:rsidRPr="0060211F">
        <w:rPr>
          <w:noProof/>
          <w:color w:val="000000" w:themeColor="text1"/>
          <w:lang w:val="de-DE"/>
        </w:rPr>
        <w:t xml:space="preserve"> </w:t>
      </w:r>
      <w:r w:rsidRPr="0060211F">
        <w:rPr>
          <w:noProof/>
          <w:lang w:val="de-DE"/>
        </w:rPr>
        <w:t>Artikel 513 Absatz 1 Buchstabe g der Eigenmittelverordnung beauftragt die Kommission auch, Instrumente in Erwägung zu ziehen, anhand derer Risiken angegangen werden können, die aufgrund von Risikopositionen von Banken gegenüber Nichtbanken-Finanzintermediäre</w:t>
      </w:r>
      <w:r w:rsidRPr="0060211F">
        <w:rPr>
          <w:noProof/>
          <w:color w:val="000000" w:themeColor="text1"/>
          <w:vertAlign w:val="superscript"/>
          <w:lang w:val="de-DE"/>
        </w:rPr>
        <w:footnoteReference w:id="34"/>
      </w:r>
      <w:r w:rsidRPr="0060211F">
        <w:rPr>
          <w:noProof/>
          <w:lang w:val="de-DE"/>
        </w:rPr>
        <w:t>n entstehen, insbesondere Risiken auf den Märkten für Derivate und Wertpapierfinanzierungsgeschäfte sowie in der Vermögensverwaltungs- und Versicherungsbranche.</w:t>
      </w:r>
      <w:r w:rsidRPr="0060211F">
        <w:rPr>
          <w:noProof/>
          <w:color w:val="000000" w:themeColor="text1"/>
          <w:lang w:val="de-DE"/>
        </w:rPr>
        <w:t xml:space="preserve"> </w:t>
      </w:r>
    </w:p>
    <w:p w14:paraId="26D30DA5" w14:textId="67D9D3BE" w:rsidR="00241024" w:rsidRPr="0060211F" w:rsidRDefault="00241024" w:rsidP="004709F3">
      <w:pPr>
        <w:spacing w:after="120" w:line="240" w:lineRule="auto"/>
        <w:rPr>
          <w:rFonts w:cs="Times New Roman"/>
          <w:noProof/>
          <w:color w:val="000000" w:themeColor="text1"/>
          <w:highlight w:val="yellow"/>
          <w:lang w:val="de-DE"/>
        </w:rPr>
      </w:pPr>
      <w:r w:rsidRPr="0060211F">
        <w:rPr>
          <w:noProof/>
          <w:color w:val="000000" w:themeColor="text1"/>
          <w:lang w:val="de-DE"/>
        </w:rPr>
        <w:t xml:space="preserve">Der makroprudenzielle Rahmen für Banken trug präventiv zur Erhöhung der Widerstandsfähigkeit des Bankensektors bei und unterstützte den Schutz der Finanzstabilität in der EU, indem er die Entstehung von Systemrisiken begrenzte. In einigen Bereichen hat sich der derzeitige Regelungsrahmen als geeignet erwiesen, die angestrebten Ziele zu erreichen. Beispielsweise führten nationale Behörden nach dem Beginn der COVID-19-Pandemie im Einklang mit den Empfehlungen der EZB und des Europäischen Ausschusses für Systemrisiken systemweite Einschränkungen für Dividendenausschüttungen für die Dauer der COVID-19-Pandemie ein, obwohl diese Einschränkungen auf EU-Ebene nicht verankert waren (und deren Untersuchung durch Artikel 518b der Eigenmittelverordnung angeordnet wurde). Allerdings wurden in empirischen Nachweisen, von mehreren EU-Gremien durchgeführten Studien, Analysen der Kommission, der öffentlichen Konsultation von 2021 und gezielten Ersuchen um Stellennahmen ebenfalls gewisse </w:t>
      </w:r>
      <w:r w:rsidRPr="0060211F">
        <w:rPr>
          <w:b/>
          <w:noProof/>
          <w:color w:val="000000" w:themeColor="text1"/>
          <w:lang w:val="de-DE"/>
        </w:rPr>
        <w:t>Mängel</w:t>
      </w:r>
      <w:r w:rsidRPr="0060211F">
        <w:rPr>
          <w:noProof/>
          <w:color w:val="000000" w:themeColor="text1"/>
          <w:lang w:val="de-DE"/>
        </w:rPr>
        <w:t xml:space="preserve"> aufgezeigt, die im Hinblick auf einen möglichen Gesetzgebungsvorschlag </w:t>
      </w:r>
      <w:r w:rsidRPr="0060211F">
        <w:rPr>
          <w:b/>
          <w:noProof/>
          <w:color w:val="000000" w:themeColor="text1"/>
          <w:lang w:val="de-DE"/>
        </w:rPr>
        <w:t>weiter geprüft werden müssen</w:t>
      </w:r>
      <w:r w:rsidRPr="0060211F">
        <w:rPr>
          <w:noProof/>
          <w:color w:val="000000" w:themeColor="text1"/>
          <w:lang w:val="de-DE"/>
        </w:rPr>
        <w:t xml:space="preserve">. </w:t>
      </w:r>
    </w:p>
    <w:p w14:paraId="09BF3B1A" w14:textId="77777777" w:rsidR="00241024" w:rsidRPr="0060211F" w:rsidRDefault="00241024" w:rsidP="004709F3">
      <w:pPr>
        <w:pStyle w:val="Heading2"/>
        <w:numPr>
          <w:ilvl w:val="0"/>
          <w:numId w:val="0"/>
        </w:numPr>
        <w:spacing w:after="120"/>
        <w:ind w:left="1077" w:hanging="601"/>
        <w:rPr>
          <w:rFonts w:cs="Times New Roman"/>
          <w:noProof/>
          <w:lang w:val="de-DE"/>
        </w:rPr>
      </w:pPr>
      <w:r w:rsidRPr="0060211F">
        <w:rPr>
          <w:rFonts w:ascii="Times New Roman" w:hAnsi="Times New Roman"/>
          <w:noProof/>
          <w:sz w:val="22"/>
          <w:lang w:val="de-DE"/>
        </w:rPr>
        <w:t>Nutzbarkeit und Freigabefähigkeit von Kapitalpuffern zur Unterstützung der Kreditvergabe an die Wirtschaft</w:t>
      </w:r>
    </w:p>
    <w:p w14:paraId="7BFE71A7" w14:textId="67661433" w:rsidR="00FE21D1" w:rsidRPr="0060211F" w:rsidRDefault="00241024" w:rsidP="004709F3">
      <w:pPr>
        <w:spacing w:after="120" w:line="240" w:lineRule="auto"/>
        <w:rPr>
          <w:rFonts w:cs="Times New Roman"/>
          <w:noProof/>
          <w:lang w:val="de-DE"/>
        </w:rPr>
      </w:pPr>
      <w:r w:rsidRPr="0060211F">
        <w:rPr>
          <w:noProof/>
          <w:lang w:val="de-DE"/>
        </w:rPr>
        <w:t xml:space="preserve">Obwohl Kapitalpuffer darauf ausgelegt sind, in einer Krise genutzt zu werden, legen empirische Nachweise die Vermutung nahe, dass Banken möglicherweise nicht bereit oder nicht in der Lage sein könnten, sie wie vorgesehen zu nutzen, was sich möglicherweise nachteilig auf die Wirtschaft auswirken könnte. </w:t>
      </w:r>
      <w:r w:rsidRPr="0060211F">
        <w:rPr>
          <w:b/>
          <w:noProof/>
          <w:lang w:val="de-DE"/>
        </w:rPr>
        <w:t>Banken sind möglicherweise nicht zur Nutzung von Kapitalpuffern bereit</w:t>
      </w:r>
      <w:r w:rsidRPr="0060211F">
        <w:rPr>
          <w:noProof/>
          <w:lang w:val="de-DE"/>
        </w:rPr>
        <w:t xml:space="preserve">, weil sie Bedenken in Bezug auf Folgendes hegen: </w:t>
      </w:r>
    </w:p>
    <w:p w14:paraId="3B6B836F" w14:textId="3801613C" w:rsidR="00E928D6" w:rsidRPr="0060211F" w:rsidRDefault="00241024" w:rsidP="00E928D6">
      <w:pPr>
        <w:pStyle w:val="ListParagraph"/>
        <w:numPr>
          <w:ilvl w:val="0"/>
          <w:numId w:val="27"/>
        </w:numPr>
        <w:spacing w:after="120"/>
        <w:rPr>
          <w:rFonts w:cs="Times New Roman"/>
          <w:noProof/>
          <w:lang w:val="de-DE"/>
        </w:rPr>
      </w:pPr>
      <w:r w:rsidRPr="0060211F">
        <w:rPr>
          <w:noProof/>
          <w:lang w:val="de-DE"/>
        </w:rPr>
        <w:t>Beschränkungen bei der Ausschüttung von Dividenden, Boni und anderen Auszahlungen,</w:t>
      </w:r>
    </w:p>
    <w:p w14:paraId="29BA6BB2" w14:textId="27FC1A55" w:rsidR="00E928D6" w:rsidRPr="0060211F" w:rsidRDefault="00241024" w:rsidP="00E928D6">
      <w:pPr>
        <w:pStyle w:val="ListParagraph"/>
        <w:numPr>
          <w:ilvl w:val="0"/>
          <w:numId w:val="27"/>
        </w:numPr>
        <w:spacing w:after="120"/>
        <w:rPr>
          <w:rFonts w:cs="Times New Roman"/>
          <w:noProof/>
          <w:lang w:val="de-DE"/>
        </w:rPr>
      </w:pPr>
      <w:r w:rsidRPr="0060211F">
        <w:rPr>
          <w:noProof/>
          <w:lang w:val="de-DE"/>
        </w:rPr>
        <w:t xml:space="preserve">ein umfassenderes Marktstigma, wenn gegen die kombinierte Kapitalpufferanforderung verstoßen wird, </w:t>
      </w:r>
    </w:p>
    <w:p w14:paraId="30C77B92" w14:textId="2781878C" w:rsidR="00164135" w:rsidRPr="0060211F" w:rsidRDefault="00241024" w:rsidP="00A54393">
      <w:pPr>
        <w:pStyle w:val="ListParagraph"/>
        <w:numPr>
          <w:ilvl w:val="0"/>
          <w:numId w:val="27"/>
        </w:numPr>
        <w:spacing w:after="120"/>
        <w:rPr>
          <w:rFonts w:cs="Times New Roman"/>
          <w:noProof/>
          <w:lang w:val="de-DE"/>
        </w:rPr>
      </w:pPr>
      <w:r w:rsidRPr="0060211F">
        <w:rPr>
          <w:noProof/>
          <w:lang w:val="de-DE"/>
        </w:rPr>
        <w:t>Unsicherheit, ob die Nutzung von Puffern von ihren Aufsichtsbehörden unterstützt oder akzeptiert wird oder ob sie zusätzliche aufsichtsrechtliche Prüfungen oder Maßnahmen wie Stresstests erfordern würde, sowie hinsichtlich der wirtschaftlichen Aussichten und der Dauer und Auswirkungen einer Krise.</w:t>
      </w:r>
      <w:r w:rsidRPr="0060211F">
        <w:rPr>
          <w:noProof/>
          <w:lang w:val="de-DE"/>
        </w:rPr>
        <w:footnoteReference w:id="35"/>
      </w:r>
      <w:r w:rsidRPr="0060211F">
        <w:rPr>
          <w:noProof/>
          <w:lang w:val="de-DE"/>
        </w:rPr>
        <w:t xml:space="preserve"> </w:t>
      </w:r>
    </w:p>
    <w:p w14:paraId="623098DB" w14:textId="570EACD1" w:rsidR="004709F3" w:rsidRPr="0060211F" w:rsidRDefault="00241024" w:rsidP="00A96C09">
      <w:pPr>
        <w:spacing w:after="120"/>
        <w:rPr>
          <w:rFonts w:cs="Times New Roman"/>
          <w:noProof/>
          <w:lang w:val="de-DE"/>
        </w:rPr>
      </w:pPr>
      <w:r w:rsidRPr="0060211F">
        <w:rPr>
          <w:noProof/>
          <w:lang w:val="de-DE"/>
        </w:rPr>
        <w:t xml:space="preserve">Es gibt auch Hinweise dafür, dass die </w:t>
      </w:r>
      <w:r w:rsidRPr="0060211F">
        <w:rPr>
          <w:b/>
          <w:noProof/>
          <w:lang w:val="de-DE"/>
        </w:rPr>
        <w:t>Fähigkeit der Banken zur Nutzung von Kapitalpuffern</w:t>
      </w:r>
      <w:r w:rsidRPr="0060211F">
        <w:rPr>
          <w:rStyle w:val="FootnoteReference"/>
          <w:rFonts w:cs="Times New Roman"/>
          <w:noProof/>
          <w:lang w:val="de-DE"/>
        </w:rPr>
        <w:footnoteReference w:id="36"/>
      </w:r>
      <w:r w:rsidRPr="0060211F">
        <w:rPr>
          <w:noProof/>
          <w:lang w:val="de-DE"/>
        </w:rPr>
        <w:t xml:space="preserve"> durch andere aufsichts- oder abwicklungsrechtliche Mindestanforderungen </w:t>
      </w:r>
      <w:r w:rsidRPr="0060211F">
        <w:rPr>
          <w:b/>
          <w:noProof/>
          <w:lang w:val="de-DE"/>
        </w:rPr>
        <w:t>eingeschränkt werden kann</w:t>
      </w:r>
      <w:r w:rsidRPr="0060211F">
        <w:rPr>
          <w:noProof/>
          <w:lang w:val="de-DE"/>
        </w:rPr>
        <w:t xml:space="preserve"> (Verschuldungsquote und Mindestanforderung an Eigenmittel und berücksichtigungsfähige Verbindlichkeiten</w:t>
      </w:r>
      <w:r w:rsidRPr="0060211F">
        <w:rPr>
          <w:rStyle w:val="FootnoteReference"/>
          <w:rFonts w:cs="Times New Roman"/>
          <w:noProof/>
          <w:lang w:val="de-DE"/>
        </w:rPr>
        <w:footnoteReference w:id="37"/>
      </w:r>
      <w:r w:rsidRPr="0060211F">
        <w:rPr>
          <w:noProof/>
          <w:lang w:val="de-DE"/>
        </w:rPr>
        <w:t>), die insbesondere bei Banken mit niedrigen Risikogewichten verbindlich werden können, bevor die Puffer erschöpft sind. Diese potenziellen Einschränkungen der Fähigkeit von Banken, Puffer zu nutzen, sind zwar ein Merkmal des derzeitigen Regelungsrahmens, aber die Wesentlichkeit solcher Einschränkungen kann sich im Laufe der Zeit und von Bank zu Bank ändern und an Bedeutung verlieren.</w:t>
      </w:r>
      <w:r w:rsidRPr="0060211F">
        <w:rPr>
          <w:rStyle w:val="FootnoteReference"/>
          <w:rFonts w:cs="Times New Roman"/>
          <w:noProof/>
          <w:lang w:val="de-DE"/>
        </w:rPr>
        <w:footnoteReference w:id="38"/>
      </w:r>
      <w:r w:rsidRPr="0060211F">
        <w:rPr>
          <w:noProof/>
          <w:lang w:val="de-DE"/>
        </w:rPr>
        <w:t xml:space="preserve"> Dies kann eintreten, wenn die aufsichtsrechtlichen Reformen des kürzlich vereinbarten „Bankenpakets“ umgesetzt werden und die Mindestanforderung an Eigenmittel und berücksichtigungsfähige Verbindlichkeiten stufenweise eingeführt wird. </w:t>
      </w:r>
    </w:p>
    <w:p w14:paraId="084B04DA" w14:textId="20100D5E" w:rsidR="00241024" w:rsidRPr="0060211F" w:rsidRDefault="00F0001B" w:rsidP="004709F3">
      <w:pPr>
        <w:spacing w:after="120" w:line="240" w:lineRule="auto"/>
        <w:rPr>
          <w:rFonts w:cs="Times New Roman"/>
          <w:noProof/>
          <w:lang w:val="de-DE"/>
        </w:rPr>
      </w:pPr>
      <w:r w:rsidRPr="0060211F">
        <w:rPr>
          <w:noProof/>
          <w:lang w:val="de-DE"/>
        </w:rPr>
        <w:t xml:space="preserve">Die </w:t>
      </w:r>
      <w:r w:rsidRPr="0060211F">
        <w:rPr>
          <w:b/>
          <w:noProof/>
          <w:lang w:val="de-DE"/>
        </w:rPr>
        <w:t>Freigabefähigkeit</w:t>
      </w:r>
      <w:r w:rsidRPr="0060211F">
        <w:rPr>
          <w:noProof/>
          <w:lang w:val="de-DE"/>
        </w:rPr>
        <w:t xml:space="preserve"> (d. h. Freisetzung) von Kapitalpuffern könnte ebenfalls verbessert und effizienter gestaltet werden.</w:t>
      </w:r>
      <w:r w:rsidRPr="0060211F">
        <w:rPr>
          <w:rStyle w:val="FootnoteReference"/>
          <w:rFonts w:cs="Times New Roman"/>
          <w:noProof/>
          <w:lang w:val="de-DE"/>
        </w:rPr>
        <w:footnoteReference w:id="39"/>
      </w:r>
      <w:r w:rsidRPr="0060211F">
        <w:rPr>
          <w:noProof/>
          <w:lang w:val="de-DE"/>
        </w:rPr>
        <w:t xml:space="preserve"> Im derzeitigen Regelungsrahmen ist die Mehrheit der Kapitalpuffer (d. h. der Kapitalerhaltungspuffer, der G-SRI- und der A-SRI-Puffer und in geringerem Umfang auch der Systemrisikopuffer) struktureller Art, während nur der antizyklische Kapitalpuffer ausdrücklich dafür konzipiert ist, freigegeben werden zu können. Dieser Puffer macht nur einen sehr geringen Anteil der gesamten Kapitalpufferanforderungen aus, nämlich etwa 5 % der Kapitalpufferanforderung von Banken oder 0,1 % der risikogewichteten Aktiva in der Bankenunion zu Beginn der COVID-19-Pandemie. Obgleich viele Mitgliedstaaten ihre Quoten für den antizyklischen Kapitalpuffer nach der Pandemie erhöhten, lassen ihn andere nicht freigabefähige Puffer klein erscheinen. Aufgrund der umfangreichen öffentlichen Unterstützung, die die Mitgliedstaaten durch haushalts-, geld- und ordnungspolitische Maßnahmen gewährten, waren als Reaktion auf die Pandemie keine weiteren Freigaben von Kapitalpuffern erforderlich. Erste empirische Daten deuten jedoch darauf hin, dass die Wirtschaft zur Belebung zusätzlicher Kreditvergaben während der Krise von einer höheren Zahl freigabefähiger Kapitalpuffer hätte profitieren können.</w:t>
      </w:r>
      <w:r w:rsidRPr="0060211F">
        <w:rPr>
          <w:rStyle w:val="FootnoteReference"/>
          <w:rFonts w:cs="Times New Roman"/>
          <w:noProof/>
          <w:lang w:val="de-DE"/>
        </w:rPr>
        <w:footnoteReference w:id="40"/>
      </w:r>
      <w:r w:rsidRPr="0060211F">
        <w:rPr>
          <w:noProof/>
          <w:lang w:val="de-DE"/>
        </w:rPr>
        <w:t xml:space="preserve"> </w:t>
      </w:r>
    </w:p>
    <w:p w14:paraId="4105DFB5" w14:textId="77777777" w:rsidR="00241024" w:rsidRPr="0060211F" w:rsidRDefault="00241024" w:rsidP="004709F3">
      <w:pPr>
        <w:pStyle w:val="Heading2"/>
        <w:numPr>
          <w:ilvl w:val="0"/>
          <w:numId w:val="0"/>
        </w:numPr>
        <w:spacing w:after="120"/>
        <w:ind w:left="1077" w:hanging="601"/>
        <w:rPr>
          <w:rFonts w:ascii="Times New Roman" w:hAnsi="Times New Roman" w:cs="Times New Roman"/>
          <w:noProof/>
          <w:sz w:val="22"/>
          <w:lang w:val="de-DE"/>
        </w:rPr>
      </w:pPr>
      <w:r w:rsidRPr="0060211F">
        <w:rPr>
          <w:rFonts w:ascii="Times New Roman" w:hAnsi="Times New Roman"/>
          <w:noProof/>
          <w:sz w:val="22"/>
          <w:lang w:val="de-DE"/>
        </w:rPr>
        <w:t xml:space="preserve">Kohärenz beim Einsatz makroprudenzieller Instrumente für Banken durch nationale Behörden </w:t>
      </w:r>
    </w:p>
    <w:p w14:paraId="19640BA8" w14:textId="2C276967" w:rsidR="00241024" w:rsidRPr="0060211F" w:rsidRDefault="00241024" w:rsidP="004709F3">
      <w:pPr>
        <w:spacing w:after="120" w:line="240" w:lineRule="auto"/>
        <w:rPr>
          <w:rFonts w:cs="Times New Roman"/>
          <w:noProof/>
          <w:lang w:val="de-DE"/>
        </w:rPr>
      </w:pPr>
      <w:r w:rsidRPr="0060211F">
        <w:rPr>
          <w:noProof/>
          <w:lang w:val="de-DE"/>
        </w:rPr>
        <w:t xml:space="preserve">Auch wenn die gemeinsame Verantwortung der EZB und der nationalen Behörden in der Bankenunion anerkannt wird, erfolgt </w:t>
      </w:r>
      <w:r w:rsidRPr="0060211F">
        <w:rPr>
          <w:b/>
          <w:noProof/>
          <w:lang w:val="de-DE"/>
        </w:rPr>
        <w:t>die Anwendung des makroprudenziellen Rahmens in der EU großenteils dezentral</w:t>
      </w:r>
      <w:r w:rsidRPr="0060211F">
        <w:rPr>
          <w:noProof/>
          <w:lang w:val="de-DE"/>
        </w:rPr>
        <w:t xml:space="preserve">. Dies ist dadurch gerechtfertigt, dass Systemrisiken und Finanzzyklen von Mitgliedstaat zu Mitgliedstaat unterschiedlich sein können und nationale Behörden im Allgemeinen als gut aufgestellt angesehen werden, solche Risiken zu identifizieren und effektiv zu steuern. Dieses Modell lässt sich jedoch nicht immer eindeutig mit dem Funktionieren des Binnenmarkts in Einklang bringen. Die Harmonisierung bestimmter Aspekte des makroprudenziellen Instrumentariums ist von wesentlicher Bedeutung für die Sicherstellung gleicher Rahmenbedingungen. </w:t>
      </w:r>
    </w:p>
    <w:p w14:paraId="2E1FEAE6" w14:textId="5BC79CEC" w:rsidR="00241024" w:rsidRPr="0060211F" w:rsidRDefault="00241024" w:rsidP="004709F3">
      <w:pPr>
        <w:spacing w:after="120" w:line="240" w:lineRule="auto"/>
        <w:rPr>
          <w:rFonts w:cs="Times New Roman"/>
          <w:noProof/>
          <w:lang w:val="de-DE"/>
        </w:rPr>
      </w:pPr>
      <w:r w:rsidRPr="0060211F">
        <w:rPr>
          <w:noProof/>
          <w:lang w:val="de-DE"/>
        </w:rPr>
        <w:t xml:space="preserve">Einerseits sind nationale makroprudenzielle Maßnahmen möglicherweise nicht wirksam, wenn sie beispielsweise durch grenzüberschreitende Tätigkeiten umgangen werden können. Dieses Problem kann durch „Gegenseitigkeit“ angegangen werden, d. h. die Anwendung gleichwertiger Maßnahmen durch die nationalen Behörden anderer Mitgliedstaaten gegenüber Banken, die grenzüberschreitend in dem Land tätig sind, das eine nationale makroprudenzielle Maßnahme eingeführt hat. Andererseits können Kapitalpuffer und Risikogewichte auch dazu genutzt werden, den freien Kapitalverkehr in unangemessener Weise einzuschränken und grenzüberschreitend tätige Bankengruppen dazu zu zwingen, höhere Eigenkapitalanforderungen in den Aufnahmeländern einzuhalten. Dies senkt möglicherweise die Kosten von Bankzusammenbrüchen für Aufnahmeländer, könnte aber auch die Effizienz des grenzüberschreitenden Bankwesens beeinträchtigen. Dem Europäischen Ausschuss für Systemrisiken, der EZB, der Europäischen Bankenaufsichtsbehörde und der Europäischen Kommission wurden im Rahmen detaillierter Verfahren zwar bestimmte Vollmachten verliehen, makroprudenzielle Strategien zu koordinieren und die Integrität des Binnenmarkts zu fördern, jedoch ist ihre </w:t>
      </w:r>
      <w:r w:rsidRPr="0060211F">
        <w:rPr>
          <w:b/>
          <w:noProof/>
          <w:lang w:val="de-DE"/>
        </w:rPr>
        <w:t>Fähigkeit zur Sicherstellung von Kohärenz</w:t>
      </w:r>
      <w:r w:rsidRPr="0060211F">
        <w:rPr>
          <w:noProof/>
          <w:lang w:val="de-DE"/>
        </w:rPr>
        <w:t xml:space="preserve"> der Herangehensweisen nationaler Behörden begrenzt.</w:t>
      </w:r>
      <w:r w:rsidRPr="0060211F">
        <w:rPr>
          <w:rStyle w:val="FootnoteReference"/>
          <w:rFonts w:cs="Times New Roman"/>
          <w:noProof/>
          <w:lang w:val="de-DE"/>
        </w:rPr>
        <w:footnoteReference w:id="41"/>
      </w:r>
      <w:r w:rsidRPr="0060211F">
        <w:rPr>
          <w:rStyle w:val="FootnoteReference"/>
          <w:noProof/>
          <w:lang w:val="de-DE"/>
        </w:rPr>
        <w:t xml:space="preserve"> </w:t>
      </w:r>
      <w:r w:rsidRPr="0060211F">
        <w:rPr>
          <w:noProof/>
          <w:lang w:val="de-DE"/>
        </w:rPr>
        <w:t xml:space="preserve"> </w:t>
      </w:r>
    </w:p>
    <w:p w14:paraId="19833C3E" w14:textId="14E397FB" w:rsidR="00241024" w:rsidRPr="0060211F" w:rsidRDefault="00241024" w:rsidP="004709F3">
      <w:pPr>
        <w:spacing w:after="120" w:line="240" w:lineRule="auto"/>
        <w:rPr>
          <w:rFonts w:cs="Times New Roman"/>
          <w:noProof/>
          <w:lang w:val="de-DE"/>
        </w:rPr>
      </w:pPr>
      <w:r w:rsidRPr="0060211F">
        <w:rPr>
          <w:noProof/>
          <w:lang w:val="de-DE"/>
        </w:rPr>
        <w:t>Die Ermittlung anderer systemrelevanter Institute (A-SRI) und die Abstimmung von Pufferquoten für A-SRI ist nicht im gesamten Binnenmarkt kohärent.</w:t>
      </w:r>
      <w:r w:rsidRPr="0060211F">
        <w:rPr>
          <w:rStyle w:val="FootnoteReference"/>
          <w:rFonts w:cs="Times New Roman"/>
          <w:noProof/>
          <w:lang w:val="de-DE"/>
        </w:rPr>
        <w:footnoteReference w:id="42"/>
      </w:r>
      <w:r w:rsidRPr="0060211F">
        <w:rPr>
          <w:rStyle w:val="FootnoteReference"/>
          <w:noProof/>
          <w:lang w:val="de-DE"/>
        </w:rPr>
        <w:t xml:space="preserve"> </w:t>
      </w:r>
      <w:r w:rsidRPr="0060211F">
        <w:rPr>
          <w:noProof/>
          <w:lang w:val="de-DE"/>
        </w:rPr>
        <w:t xml:space="preserve"> Beispielsweise müssen A-SRI, deren auf der Grundlage der standardisierten Methode der Europäischen Bankenaufsichtsbehörde für die Bewertungskriterien von A-SRI berechnete Punktzahlen ähnlich sind, unterschiedliche A-SRI-Pufferquoten aufrechterhalten. Diese Heterogenität lässt sich nicht vollständig durch die besonderen Wirtschafts- oder Finanzmarktbedingungen wie beispielsweise die Größe oder Konzentration des Bankensektors in den einzelnen Mitgliedstaaten erklären und gibt im Hinblick auf den Binnenmarkt und die Bankenunion Anlass zur Sorge. Einige dieser Unterschiede lassen sich darauf zurückführen, dass eine Reihe von Mitgliedstaaten zur Bewältigung dieser Risiken den Systemrisikopuffer anstelle des A-SRI-Puffers oder zusätzlich dazu nutzten. Nichtsdestotrotz rechtfertigt die </w:t>
      </w:r>
      <w:r w:rsidRPr="0060211F">
        <w:rPr>
          <w:b/>
          <w:noProof/>
          <w:lang w:val="de-DE"/>
        </w:rPr>
        <w:t>Heterogenität</w:t>
      </w:r>
      <w:r w:rsidRPr="0060211F">
        <w:rPr>
          <w:noProof/>
          <w:lang w:val="de-DE"/>
        </w:rPr>
        <w:t xml:space="preserve"> bei der Festlegung von A-SRI-Puffern eine weitere Bewertung.</w:t>
      </w:r>
      <w:r w:rsidRPr="0060211F">
        <w:rPr>
          <w:rStyle w:val="FootnoteReference"/>
          <w:noProof/>
          <w:lang w:val="de-DE"/>
        </w:rPr>
        <w:footnoteReference w:id="43"/>
      </w:r>
      <w:r w:rsidRPr="0060211F">
        <w:rPr>
          <w:noProof/>
          <w:lang w:val="de-DE"/>
        </w:rPr>
        <w:t xml:space="preserve"> </w:t>
      </w:r>
    </w:p>
    <w:p w14:paraId="5AAAE353" w14:textId="029698BF" w:rsidR="00241024" w:rsidRPr="0060211F" w:rsidRDefault="00241024" w:rsidP="004709F3">
      <w:pPr>
        <w:spacing w:after="120" w:line="240" w:lineRule="auto"/>
        <w:rPr>
          <w:rFonts w:cs="Times New Roman"/>
          <w:noProof/>
          <w:lang w:val="de-DE"/>
        </w:rPr>
      </w:pPr>
      <w:r w:rsidRPr="0060211F">
        <w:rPr>
          <w:noProof/>
          <w:lang w:val="de-DE"/>
        </w:rPr>
        <w:t xml:space="preserve">Der flexibelste Puffer, nämlich der Systemrisikopuffer, wird eingesetzt, um einer Vielzahl von Systemrisiken zu begegnen, unter anderem gemeinsamen geografischen Risiken, der Verschuldung des öffentlichen und des privaten Sektors, der als Prozentsatz des BIP ausgedrückten Größe des Bankensektors und externen Schocks für die Wirtschaft. Diese Flexibilität kann jedoch Anlass zu Bedenken im Hinblick auf </w:t>
      </w:r>
      <w:r w:rsidRPr="0060211F">
        <w:rPr>
          <w:b/>
          <w:noProof/>
          <w:lang w:val="de-DE"/>
        </w:rPr>
        <w:t>Willkür und sich überschneidende Aufsichtsanforderungen</w:t>
      </w:r>
      <w:r w:rsidRPr="0060211F">
        <w:rPr>
          <w:noProof/>
          <w:lang w:val="de-DE"/>
        </w:rPr>
        <w:t xml:space="preserve"> sein. Schließlich sollte Artikel 458 der Eigenmittelverordnung, wonach für Banken, die interne Modelle verwenden, die Risikogewichte für Immobilienrisikopositionen erhöht werden können, von den nationalen Behörden nur als letztes Mittel eingesetzt werden. Nichtsdestotrotz wurden in der Art und Weise, wie nationale Behörden diese Maßnahme anwenden, </w:t>
      </w:r>
      <w:r w:rsidRPr="0060211F">
        <w:rPr>
          <w:b/>
          <w:noProof/>
          <w:lang w:val="de-DE"/>
        </w:rPr>
        <w:t>Inkohärenzen</w:t>
      </w:r>
      <w:r w:rsidRPr="0060211F">
        <w:rPr>
          <w:noProof/>
          <w:lang w:val="de-DE"/>
        </w:rPr>
        <w:t xml:space="preserve"> beobachtet, und ein effizientes Aktivierungsverfahren wäre ebenfalls sicherzustellen. </w:t>
      </w:r>
    </w:p>
    <w:p w14:paraId="68DFC7F5" w14:textId="77777777" w:rsidR="00241024" w:rsidRPr="0060211F" w:rsidRDefault="00241024" w:rsidP="004709F3">
      <w:pPr>
        <w:pStyle w:val="Heading2"/>
        <w:numPr>
          <w:ilvl w:val="0"/>
          <w:numId w:val="0"/>
        </w:numPr>
        <w:spacing w:after="120"/>
        <w:ind w:left="1077" w:hanging="601"/>
        <w:rPr>
          <w:rFonts w:ascii="Times New Roman" w:hAnsi="Times New Roman" w:cs="Times New Roman"/>
          <w:noProof/>
          <w:sz w:val="22"/>
          <w:lang w:val="de-DE"/>
        </w:rPr>
      </w:pPr>
      <w:r w:rsidRPr="0060211F">
        <w:rPr>
          <w:rFonts w:ascii="Times New Roman" w:hAnsi="Times New Roman"/>
          <w:noProof/>
          <w:sz w:val="22"/>
          <w:lang w:val="de-DE"/>
        </w:rPr>
        <w:t>Vereinfachung und Effizienz des makroprudenziellen Rahmens und seiner Governance</w:t>
      </w:r>
    </w:p>
    <w:p w14:paraId="6C06F5EA" w14:textId="05A3AB8F" w:rsidR="00241024" w:rsidRPr="0060211F" w:rsidRDefault="00241024" w:rsidP="004709F3">
      <w:pPr>
        <w:spacing w:after="120" w:line="240" w:lineRule="auto"/>
        <w:rPr>
          <w:rFonts w:cs="Times New Roman"/>
          <w:noProof/>
          <w:lang w:val="de-DE"/>
        </w:rPr>
      </w:pPr>
      <w:r w:rsidRPr="0060211F">
        <w:rPr>
          <w:noProof/>
          <w:lang w:val="de-DE"/>
        </w:rPr>
        <w:t xml:space="preserve">Effizienz und Wirksamkeit des makroprudenziellen Instrumentariums können durch die Aufnahme von Maßnahmen, die nicht genutzt werden, oder das Fehlen von Maßnahmen auf bestimmten Gebieten beeinträchtigt werden. Beispielsweise wird in den Artikeln 138 und 139 der Eigenkapitalrichtlinie die Bekämpfung von Risiken, die durch ein übermäßiges Kreditwachstum in bestimmten Drittländern entstanden sind, in den Mittelpunkt gestellt; diese Befugnisse sind jedoch nie genutzt worden.  Es kann auch erforderlich sein, weitere Überlegungen über die Aufsichts- und Governance-Struktur der makroprudenziellen Aufsicht in der EU anzustellen, insbesondere im Hinblick auf den Umgang mit neuen Risiken und Instrumenten. Solche Überlegungen würden dem Zweck dienen, Aufsichtsverfahren nach Möglichkeit zu vereinfachen und dabei die Komplexität des Finanzökosystems und den Schutz der europäischen Wirtschaft vor potenziellen Störungen zu berücksichtigen. </w:t>
      </w:r>
    </w:p>
    <w:p w14:paraId="62151222" w14:textId="77777777" w:rsidR="00241024" w:rsidRPr="0060211F" w:rsidRDefault="00241024" w:rsidP="004709F3">
      <w:pPr>
        <w:pStyle w:val="Heading2"/>
        <w:numPr>
          <w:ilvl w:val="0"/>
          <w:numId w:val="0"/>
        </w:numPr>
        <w:spacing w:after="120"/>
        <w:ind w:left="1077" w:hanging="601"/>
        <w:rPr>
          <w:rFonts w:ascii="Times New Roman" w:hAnsi="Times New Roman" w:cs="Times New Roman"/>
          <w:noProof/>
          <w:sz w:val="22"/>
          <w:lang w:val="de-DE"/>
        </w:rPr>
      </w:pPr>
      <w:r w:rsidRPr="0060211F">
        <w:rPr>
          <w:rFonts w:ascii="Times New Roman" w:hAnsi="Times New Roman"/>
          <w:noProof/>
          <w:sz w:val="22"/>
          <w:lang w:val="de-DE"/>
        </w:rPr>
        <w:t>Fähigkeit des makroprudenziellen Instrumentariums für Banken, konventionelle und neue Risiken zu bewältigen</w:t>
      </w:r>
    </w:p>
    <w:p w14:paraId="4FB9E317" w14:textId="30668AF2" w:rsidR="008654CC" w:rsidRPr="0060211F" w:rsidRDefault="00241024" w:rsidP="67E78FAA">
      <w:pPr>
        <w:spacing w:after="120" w:line="240" w:lineRule="auto"/>
        <w:rPr>
          <w:rFonts w:eastAsia="Times New Roman" w:cs="Times New Roman"/>
          <w:noProof/>
          <w:lang w:val="de-DE"/>
        </w:rPr>
      </w:pPr>
      <w:r w:rsidRPr="0060211F">
        <w:rPr>
          <w:noProof/>
          <w:lang w:val="de-DE"/>
        </w:rPr>
        <w:t>Seit der Einführung des makroprudenziellen Instrumentariums für Banken haben die Mitgliedstaaten Maßnahmen zur Beseitigung von Schwachstellen im Immobilienbereich, insbesondere in Bezug auf Wohnimmobilien</w:t>
      </w:r>
      <w:r w:rsidRPr="0060211F">
        <w:rPr>
          <w:rStyle w:val="FootnoteReference"/>
          <w:rFonts w:cs="Times New Roman"/>
          <w:noProof/>
          <w:lang w:val="de-DE"/>
        </w:rPr>
        <w:footnoteReference w:id="44"/>
      </w:r>
      <w:r w:rsidRPr="0060211F">
        <w:rPr>
          <w:noProof/>
          <w:lang w:val="de-DE"/>
        </w:rPr>
        <w:t xml:space="preserve">, ergriffen und dabei sowohl im EU-Recht verankerte </w:t>
      </w:r>
      <w:r w:rsidRPr="0060211F">
        <w:rPr>
          <w:b/>
          <w:noProof/>
          <w:lang w:val="de-DE"/>
        </w:rPr>
        <w:t>kapitalbasierte Maßnahmen</w:t>
      </w:r>
      <w:r w:rsidRPr="0060211F">
        <w:rPr>
          <w:noProof/>
          <w:lang w:val="de-DE"/>
        </w:rPr>
        <w:t xml:space="preserve"> (Puffer und auf dem Risikogewicht basierende Maßnahmen) als auch in zunehmendem Maße </w:t>
      </w:r>
      <w:r w:rsidRPr="0060211F">
        <w:rPr>
          <w:b/>
          <w:noProof/>
          <w:lang w:val="de-DE"/>
        </w:rPr>
        <w:t>kreditnehmerbasierte Maßnahmen</w:t>
      </w:r>
      <w:r w:rsidRPr="0060211F">
        <w:rPr>
          <w:noProof/>
          <w:lang w:val="de-DE"/>
        </w:rPr>
        <w:t xml:space="preserve"> getroffen. Zusätzlich zu Artikel 458 der Eigenmittelverordnung können die Mitgliedstaaten nach den Artikeln 124 und 164 der Eigenmittelverordnung höhere Risikogewichte für durch Grundpfandrechte auf Wohn- und Gewerbeimmobilien besicherte Risikopositionen und höhere LGD-Mindestwerte für durch Wohn- und Gewerbeimmobilien besicherte Risikopositionen aus dem Mengengeschäft anwenden. </w:t>
      </w:r>
    </w:p>
    <w:p w14:paraId="14B27031" w14:textId="46235F02" w:rsidR="008654CC" w:rsidRPr="0060211F" w:rsidRDefault="008E55BB" w:rsidP="67E78FAA">
      <w:pPr>
        <w:spacing w:after="120" w:line="240" w:lineRule="auto"/>
        <w:rPr>
          <w:noProof/>
          <w:color w:val="000000" w:themeColor="text1"/>
          <w:lang w:val="de-DE"/>
        </w:rPr>
      </w:pPr>
      <w:r w:rsidRPr="0060211F">
        <w:rPr>
          <w:noProof/>
          <w:lang w:val="de-DE"/>
        </w:rPr>
        <w:t>Eine Erhöhung der Wirksamkeit dieser makroprudenziellen Instrumente auf der Grundlage von Anpassungen der Risikogewichte würde erfordern, bei der Aktivierung und Nutzung von Risikogewichtsmaßnahmen eine größere Kohärenz zu erreichen und das makroprudenzielle Risikogewichtsinstrumentarium für Banken, die interne Modelle und den Standardansatz verwenden, anzugleichen. Die Wirksamkeit dieser Maßnahmen ließe sich auch dadurch erhöhen, dass der Schwerpunkt eher auf Risikogewichte als auf individuelle Risikoparameter gelegt wird (Artikel 164 der Eigenmittelverordnung). Bei kreditnehmerbasierten Maßnahmen handelt es sich um im Rahmen der Makroaufsicht festgesetzte Obergrenzen für Kreditvergaberichtlinien, die in den nationalen Rechtsvorschriften der meisten Mitgliedstaaten vorgesehen, aber derzeit nicht im EU-Recht verankert sind.</w:t>
      </w:r>
      <w:r w:rsidRPr="0060211F">
        <w:rPr>
          <w:rStyle w:val="FootnoteReference"/>
          <w:rFonts w:cs="Times New Roman"/>
          <w:noProof/>
          <w:lang w:val="de-DE"/>
        </w:rPr>
        <w:footnoteReference w:id="45"/>
      </w:r>
      <w:r w:rsidRPr="0060211F">
        <w:rPr>
          <w:rStyle w:val="FootnoteReference"/>
          <w:noProof/>
          <w:lang w:val="de-DE"/>
        </w:rPr>
        <w:t xml:space="preserve"> </w:t>
      </w:r>
      <w:r w:rsidRPr="0060211F">
        <w:rPr>
          <w:noProof/>
          <w:lang w:val="de-DE"/>
        </w:rPr>
        <w:t>Kreditnehmerbasierte Maßnahmen sind derzeit hinsichtlich ihrer Konzeption, der Definitionen zugrunde liegender Indikatoren, ihres Anwendungsbereichs, ihrer Art (rechtsverbindlich/nicht rechtsverbindlich), der Ausnahmen und Governance-Regelungen von Mitgliedstaat zu Mitgliedstaat unterschiedlich. Darüber hinaus sind kreditnehmerbasierte Maßnahmen nicht in allen Mitgliedstaaten gesetzlich verankert, was die Gegenseitigkeit erschwert und es den Mitgliedstaaten möglicherweise nicht ermöglicht, das Systemrisiko, das sich aus dem Immobiliensektor ergibt, wirksam zu bekämpfen. Darüber hinaus bedürfen die Entwicklungen in der Gewerbeimmobilienbranche weiterer Aufmerksamkeit. Speziell auf Gewerbeimmobilien ausgerichtete makroprudenzielle Maßnahmen sind rar und könnten parallel zu den Bemühungen, die derzeit bestehenden Datenlücken bei den Risikopositionen von Banken gegenüber dieser Branche zu schließen, näher geprüft werden.</w:t>
      </w:r>
    </w:p>
    <w:p w14:paraId="1CDB0D20" w14:textId="535CB36C" w:rsidR="008654CC" w:rsidRPr="0060211F" w:rsidRDefault="00CC18E8" w:rsidP="67E78FAA">
      <w:pPr>
        <w:spacing w:after="120" w:line="240" w:lineRule="auto"/>
        <w:rPr>
          <w:rFonts w:cs="Times New Roman"/>
          <w:noProof/>
          <w:lang w:val="de-DE"/>
        </w:rPr>
      </w:pPr>
      <w:r w:rsidRPr="0060211F">
        <w:rPr>
          <w:noProof/>
          <w:lang w:val="de-DE"/>
        </w:rPr>
        <w:t xml:space="preserve">Die Antizipierung, Überwachung und Minderung von mit dem </w:t>
      </w:r>
      <w:r w:rsidRPr="0060211F">
        <w:rPr>
          <w:b/>
          <w:noProof/>
          <w:lang w:val="de-DE"/>
        </w:rPr>
        <w:t>Klimawandel und der Umweltzerstörung</w:t>
      </w:r>
      <w:r w:rsidRPr="0060211F">
        <w:rPr>
          <w:noProof/>
          <w:lang w:val="de-DE"/>
        </w:rPr>
        <w:t xml:space="preserve"> verknüpften Risiken für die Finanzstabilität entwickelt sich zunehmend zu einer wesentlichen Aufgabe für die Behörden auf nationaler Ebene und auf EU-Ebene. Übergangsrisiken und physische Risiken wirken sich auf einzelne Finanzinstitute und den Finanzsektor im weiteren Sinne (einschließlich Nichtbanken-Finanzintermediäre) aus. Diese Risiken können sich gleichermaßen auf die Solvenz der Kreditnehmer und den Wert der Immobilienkreditsicherheiten auswirken – extreme Wetterereignisse wie Hitzewellen, Waldbrände und die jüngsten schweren Überschwemmungen weltweit haben deutlich gezeigt, dass anfällige Immobilien und andere Vermögenswerte erheblichen Schaden erleiden könnten. Wirtschaftsgüter, die erhebliche Treibhausgasemissionen erzeugen, könnten mit der Entwicklung der Wirtschaft zur Klimaneutralität im Einklang mit dem EU-Klimagesetz einer beschleunigten Abschreibung unterliegen.</w:t>
      </w:r>
      <w:r w:rsidRPr="0060211F">
        <w:rPr>
          <w:rStyle w:val="FootnoteReference"/>
          <w:rFonts w:cs="Times New Roman"/>
          <w:noProof/>
          <w:lang w:val="de-DE"/>
        </w:rPr>
        <w:footnoteReference w:id="46"/>
      </w:r>
      <w:r w:rsidRPr="0060211F">
        <w:rPr>
          <w:noProof/>
          <w:lang w:val="de-DE"/>
        </w:rPr>
        <w:t xml:space="preserve"> Ein erhebliches Engagement von Finanzinstituten in diesen Wirtschaftsgütern sollte daher durch angemessene Puffer gedeckt werden. Derzeit werden mit dem Klima zusammenhängende finanzielle Risiken überwiegend in Stresstests</w:t>
      </w:r>
      <w:r w:rsidRPr="0060211F">
        <w:rPr>
          <w:rStyle w:val="FootnoteReference"/>
          <w:rFonts w:cs="Times New Roman"/>
          <w:noProof/>
          <w:lang w:val="de-DE"/>
        </w:rPr>
        <w:footnoteReference w:id="47"/>
      </w:r>
      <w:r w:rsidRPr="0060211F">
        <w:rPr>
          <w:noProof/>
          <w:lang w:val="de-DE"/>
        </w:rPr>
        <w:t xml:space="preserve"> berücksichtigt, sie werden aber noch nicht umfassender in makroprudenzielle Anforderungen einbezogen. Die EU und internationale Foren (Europäischer Ausschuss für Systemrisiken, EZB, Finanzstabilitätsrat, Netzwerk für die Ökologisierung des Finanzsystems (Network for Greening the Financial System)) erörtern derzeit, wie diesen Risiken mit makroprudenziellen Instrumentenbesser begegnet werden kann. In der Einigung über das „Bankenpaket“ wurde klargestellt, dass der Systemrisikopuffer zur Bewältigung von Risiken im Zusammenhang mit dem Klimawandel und der Klimawende genutzt werden könnte. </w:t>
      </w:r>
    </w:p>
    <w:p w14:paraId="1A934A3C" w14:textId="25ECF3B0" w:rsidR="00241024" w:rsidRPr="0060211F" w:rsidRDefault="00241024" w:rsidP="004709F3">
      <w:pPr>
        <w:spacing w:after="120" w:line="240" w:lineRule="auto"/>
        <w:rPr>
          <w:rFonts w:cs="Times New Roman"/>
          <w:noProof/>
          <w:lang w:val="de-DE"/>
        </w:rPr>
      </w:pPr>
      <w:r w:rsidRPr="0060211F">
        <w:rPr>
          <w:noProof/>
          <w:lang w:val="de-DE"/>
        </w:rPr>
        <w:t>Das</w:t>
      </w:r>
      <w:r w:rsidRPr="0060211F">
        <w:rPr>
          <w:b/>
          <w:noProof/>
          <w:lang w:val="de-DE"/>
        </w:rPr>
        <w:t xml:space="preserve"> systemweite Cyberrisiko</w:t>
      </w:r>
      <w:r w:rsidRPr="0060211F">
        <w:rPr>
          <w:noProof/>
          <w:lang w:val="de-DE"/>
        </w:rPr>
        <w:t xml:space="preserve"> ruft in einem zunehmend digitalisierten, wachsenden Cyberbedrohungen ausgesetzten Finanzsektor aus makroprudenzieller Perspektive ernsthafte Bedenken hervor. Der Rückgriff auf IKT-Drittanbieter ermöglicht es Finanzinstituten, einen dem neuesten Stand der Technik entsprechenden Schutz vor Cyberbedrohungen zu erreichen, aber die Abhängigkeit von kritischen Infrastrukturen, die von Drittanbietern bereitgestellt werden, kann auch zu neuen Schwachstellen und Konzentrationsrisiken führen. Die Finanzstabilität kann gestört werden, wenn sich Cybervorfälle mittels Finanz- und IT-Verbindungen rasch über Banken-, Nichtbanken- und Finanzmarktinfrastrukturen ausbreiten; ein weiterer Faktor ist die Abhängigkeit von Drittanbietern für Dienstleistungen. Das DORA-Rahmenwerk</w:t>
      </w:r>
      <w:r w:rsidRPr="0060211F">
        <w:rPr>
          <w:rStyle w:val="FootnoteReference"/>
          <w:rFonts w:cs="Times New Roman"/>
          <w:noProof/>
          <w:lang w:val="de-DE"/>
        </w:rPr>
        <w:footnoteReference w:id="48"/>
      </w:r>
      <w:r w:rsidRPr="0060211F">
        <w:rPr>
          <w:noProof/>
          <w:lang w:val="de-DE"/>
        </w:rPr>
        <w:t>, die Richtlinie zur Cybersicherheit</w:t>
      </w:r>
      <w:r w:rsidRPr="0060211F">
        <w:rPr>
          <w:rStyle w:val="FootnoteReference"/>
          <w:rFonts w:cs="Times New Roman"/>
          <w:noProof/>
          <w:lang w:val="de-DE"/>
        </w:rPr>
        <w:footnoteReference w:id="49"/>
      </w:r>
      <w:r w:rsidRPr="0060211F">
        <w:rPr>
          <w:noProof/>
          <w:lang w:val="de-DE"/>
        </w:rPr>
        <w:t xml:space="preserve"> und die laufende Arbeit zur Beantwortung der Empfehlung des Europäischen Ausschusses für Systemrisiken zur Koordinierung von Cybervorfällen</w:t>
      </w:r>
      <w:r w:rsidRPr="0060211F">
        <w:rPr>
          <w:rStyle w:val="FootnoteReference"/>
          <w:rFonts w:cs="Times New Roman"/>
          <w:noProof/>
          <w:lang w:val="de-DE"/>
        </w:rPr>
        <w:footnoteReference w:id="50"/>
      </w:r>
      <w:r w:rsidRPr="0060211F">
        <w:rPr>
          <w:noProof/>
          <w:lang w:val="de-DE"/>
        </w:rPr>
        <w:t xml:space="preserve"> sowie aufsichtsrechtliche Stresstests der Widerstandsfähigkeit von Banken gegenüber Cyberangriffen durch den Einheitlichen Aufsichtsmechanismus</w:t>
      </w:r>
      <w:r w:rsidRPr="0060211F">
        <w:rPr>
          <w:rStyle w:val="FootnoteReference"/>
          <w:rFonts w:cs="Times New Roman"/>
          <w:noProof/>
          <w:lang w:val="de-DE"/>
        </w:rPr>
        <w:footnoteReference w:id="51"/>
      </w:r>
      <w:r w:rsidRPr="0060211F">
        <w:rPr>
          <w:noProof/>
          <w:lang w:val="de-DE"/>
        </w:rPr>
        <w:t xml:space="preserve"> dienen dem Zweck, diese Risiken zu vermindern. </w:t>
      </w:r>
    </w:p>
    <w:p w14:paraId="1F93AFD3" w14:textId="3E10B08C" w:rsidR="00241024" w:rsidRPr="0060211F" w:rsidRDefault="00241024" w:rsidP="004709F3">
      <w:pPr>
        <w:pStyle w:val="Heading2"/>
        <w:numPr>
          <w:ilvl w:val="0"/>
          <w:numId w:val="0"/>
        </w:numPr>
        <w:spacing w:after="120"/>
        <w:ind w:left="1077"/>
        <w:rPr>
          <w:rFonts w:ascii="Times New Roman" w:hAnsi="Times New Roman" w:cs="Times New Roman"/>
          <w:noProof/>
          <w:sz w:val="22"/>
          <w:lang w:val="de-DE"/>
        </w:rPr>
      </w:pPr>
      <w:r w:rsidRPr="0060211F">
        <w:rPr>
          <w:rFonts w:ascii="Times New Roman" w:hAnsi="Times New Roman"/>
          <w:noProof/>
          <w:sz w:val="22"/>
          <w:lang w:val="de-DE"/>
        </w:rPr>
        <w:t>Schwachstellen von Nichtbanken-Finanzintermediären (NBFI)</w:t>
      </w:r>
    </w:p>
    <w:p w14:paraId="7FCCE4D3" w14:textId="3AE87A0C" w:rsidR="00241024" w:rsidRPr="0060211F" w:rsidRDefault="005142D7" w:rsidP="004709F3">
      <w:pPr>
        <w:spacing w:after="120" w:line="240" w:lineRule="auto"/>
        <w:rPr>
          <w:rFonts w:cs="Times New Roman"/>
          <w:noProof/>
          <w:lang w:val="de-DE"/>
        </w:rPr>
      </w:pPr>
      <w:bookmarkStart w:id="2" w:name="_Hlk121309533"/>
      <w:r w:rsidRPr="0060211F">
        <w:rPr>
          <w:rStyle w:val="BodyTextChar"/>
          <w:noProof/>
          <w:lang w:val="de-DE"/>
        </w:rPr>
        <w:t>Im Hinblick auf Nichtbanken-Finanzintermediäre ermittelten der Finanzstabilitätsrat und der Europäische Ausschuss für Systemrisiken drei wichtige strukturelle Schwachstellen unterschiedlicher Intensität, denen die derzeitigen makroprudenziellen Maßnahmen nur teilweise begegnen</w:t>
      </w:r>
      <w:r w:rsidRPr="0060211F">
        <w:rPr>
          <w:noProof/>
          <w:lang w:val="de-DE"/>
        </w:rPr>
        <w:t xml:space="preserve"> und die zur Entstehung von Systemrisiken beitragen können. Bei den drei Schwachstellen handelt es sich um systemische Liquiditätsinkongruenzen, (übermäßige) Verschuldung und Verflechtungen. Eine begrenzte und fragmentierte Makroaufsicht für Nichtbanken-Finanzintermediäre in den Mitgliedstaaten kann ebenfalls eine zusätzliche Quelle von Systemrisiken für das Finanzsystem der EU schaffen. </w:t>
      </w:r>
    </w:p>
    <w:p w14:paraId="782AA9C1" w14:textId="7F03676F" w:rsidR="000E2663" w:rsidRPr="0060211F" w:rsidRDefault="00241024" w:rsidP="004709F3">
      <w:pPr>
        <w:spacing w:after="120" w:line="240" w:lineRule="auto"/>
        <w:rPr>
          <w:noProof/>
          <w:lang w:val="de-DE"/>
        </w:rPr>
      </w:pPr>
      <w:r w:rsidRPr="0060211F">
        <w:rPr>
          <w:rStyle w:val="BodyTextChar"/>
          <w:b/>
          <w:noProof/>
          <w:lang w:val="de-DE"/>
        </w:rPr>
        <w:t>Systemische Liquiditätsinkongruenzen</w:t>
      </w:r>
      <w:r w:rsidRPr="0060211F">
        <w:rPr>
          <w:rStyle w:val="BodyTextChar"/>
          <w:noProof/>
          <w:lang w:val="de-DE"/>
        </w:rPr>
        <w:t xml:space="preserve"> können aus starken, unerwarteten Verschiebungen bei der Liquiditätsnachfrage entstehen, wenn in Stressphasen ein naturgemäß knapperes Liquiditätsangebot besteht. Im März 2020 führte eine vorsorgliche Nachfrage nach Liquidität seitens der Wirtschaft und ein damit zusammenhängender Bedarf an Barmitteln seitens der Finanzinstitute auf breiter Basis zu einem Verkauf finanzieller Vermögenswerte, dem sogenannten „dash for cash“ (Run auf Bargeld).</w:t>
      </w:r>
      <w:r w:rsidRPr="0060211F">
        <w:rPr>
          <w:rStyle w:val="FootnoteReference"/>
          <w:rFonts w:eastAsiaTheme="minorEastAsia" w:cs="Times New Roman"/>
          <w:noProof/>
          <w:lang w:val="de-DE"/>
        </w:rPr>
        <w:footnoteReference w:id="52"/>
      </w:r>
      <w:r w:rsidRPr="0060211F">
        <w:rPr>
          <w:rStyle w:val="BodyTextChar"/>
          <w:noProof/>
          <w:lang w:val="de-DE"/>
        </w:rPr>
        <w:t xml:space="preserve"> Auf der Angebotsseite war die Bereitstellung von Liquidität durch Banken sowie Makler und Händler durch eine geringere Risikobereitschaft, regulatorische Zwänge (mit der Umsetzung der Basel-III-Rahmenregelung) und operative Herausforderungen eingeschränkt. </w:t>
      </w:r>
      <w:r w:rsidRPr="0060211F">
        <w:rPr>
          <w:noProof/>
          <w:lang w:val="de-DE"/>
        </w:rPr>
        <w:t>Im September 2022 löste der Anstieg der Zinsen bei Staatsanleihen des Vereinigten Königreichs (und der anschließende Preisrückgang bei finanziellen Vermögenswerten) Befürchtungen im Versorgungsfondssektor aus, wo die auf Versorgungsverpflichtungen ausgerichtete Anlagestrategie (Liability-Driven Investment – LDI) zu einer umfangreichen Veräußerung von Staatsanleihen des Vereinigten Königreichs führte, was wiederum die Bank of England veranlasste, mit einem umfangreichen Programm für den Ankauf von Vermögenswerten zu intervenieren.</w:t>
      </w:r>
      <w:r w:rsidRPr="0060211F">
        <w:rPr>
          <w:rStyle w:val="FootnoteReference"/>
          <w:rFonts w:cs="Times New Roman"/>
          <w:noProof/>
          <w:lang w:val="de-DE"/>
        </w:rPr>
        <w:footnoteReference w:id="53"/>
      </w:r>
      <w:r w:rsidRPr="0060211F">
        <w:rPr>
          <w:noProof/>
          <w:lang w:val="de-DE"/>
        </w:rPr>
        <w:t xml:space="preserve"> Am 28. September 2023 gab die Bank of England den Plan bekannt, ein neues Liquiditätsinstrument für Nichtbanken-Finanzintermediäre zu schaffen, unter das zunächst Versicherungs- und Versorgungsfonds fallen werden und das möglicherweise auf alle NBFI-Einrichtungen ausgedehnt wird, die bestimmte Anforderungen an die Förderfähigkeit erfüllen (Ex-ante-Resilienz).</w:t>
      </w:r>
      <w:r w:rsidRPr="0060211F">
        <w:rPr>
          <w:rStyle w:val="FootnoteReference"/>
          <w:rFonts w:cs="Times New Roman"/>
          <w:noProof/>
          <w:lang w:val="de-DE"/>
        </w:rPr>
        <w:footnoteReference w:id="54"/>
      </w:r>
      <w:r w:rsidRPr="0060211F">
        <w:rPr>
          <w:noProof/>
          <w:lang w:val="de-DE"/>
        </w:rPr>
        <w:t xml:space="preserve"> </w:t>
      </w:r>
    </w:p>
    <w:p w14:paraId="7273752D" w14:textId="56ED737C" w:rsidR="00241024" w:rsidRPr="0060211F" w:rsidRDefault="00FC71E2" w:rsidP="004709F3">
      <w:pPr>
        <w:spacing w:after="120" w:line="240" w:lineRule="auto"/>
        <w:rPr>
          <w:rFonts w:cs="Times New Roman"/>
          <w:noProof/>
          <w:lang w:val="de-DE"/>
        </w:rPr>
      </w:pPr>
      <w:r w:rsidRPr="0060211F">
        <w:rPr>
          <w:noProof/>
          <w:lang w:val="de-DE"/>
        </w:rPr>
        <w:t>Darüber hinaus hat der durch den COVID-Ausbruch im März 2020 verursachte Stress an den Märkten gezeigt, dass bestimmte Geldmarktfonds anfällig für Panikverkäufe der Anleger (Vorteil des zuerst Handelnden) sind, die Liquiditätsschocks verschärfen können, wenn Geldmarktfonds ihre Vermögenswerte verkaufen müssen, um in Ausnahmesituationen sehr hohe Abflüsse zu finanzieren. Dies kann häufig in Verbindung mit der Liquidität und Transparenz der zugrunde liegenden Märkte für kurzfristige Finanzierungen der Fall sein.</w:t>
      </w:r>
      <w:r w:rsidRPr="0060211F">
        <w:rPr>
          <w:rStyle w:val="FootnoteReference"/>
          <w:noProof/>
          <w:lang w:val="de-DE"/>
        </w:rPr>
        <w:footnoteReference w:id="55"/>
      </w:r>
      <w:r w:rsidRPr="0060211F">
        <w:rPr>
          <w:noProof/>
          <w:lang w:val="de-DE"/>
        </w:rPr>
        <w:t xml:space="preserve"> Die Kommission beteiligt sich aktiv an internationalen Diskussionen über Maßnahmen zur Bekämpfung systemischer Liquiditätsinkongruenzen. Der Schwerpunkt internationaler Diskussionen liegt auf präventiven Liquiditätsmaßnahmen (wie beispielsweise Liquiditätspuffern und neuen Praktiken bei Einschusszahlungen) sowie auf Liquiditätsmaßnahmen, deren Wirkung und Nutzen durch systemische Ereignisse (wie beispielsweise sektorübergreifende Instrumente für das Liquiditätsmanagement oder die Befugnis, Rückkaufrechte auszusetzen, auch als Ex-post-Liquiditätsmaßnahmen bezeichnet) in verschiedenen NBFI-Sektoren einschließlich Investmentfonds, Versorgungsfonds und Versicherungsgesellschaften verstärkt wird.</w:t>
      </w:r>
      <w:r w:rsidRPr="0060211F">
        <w:rPr>
          <w:rStyle w:val="FootnoteReference"/>
          <w:noProof/>
          <w:lang w:val="de-DE"/>
        </w:rPr>
        <w:footnoteReference w:id="56"/>
      </w:r>
      <w:r w:rsidRPr="0060211F">
        <w:rPr>
          <w:noProof/>
          <w:lang w:val="de-DE"/>
        </w:rPr>
        <w:t xml:space="preserve"> </w:t>
      </w:r>
    </w:p>
    <w:p w14:paraId="4ED46085" w14:textId="38FAC485" w:rsidR="00A021AE" w:rsidRPr="0060211F" w:rsidRDefault="00241024" w:rsidP="004709F3">
      <w:pPr>
        <w:spacing w:after="120" w:line="240" w:lineRule="auto"/>
        <w:rPr>
          <w:rStyle w:val="BodyTextChar"/>
          <w:rFonts w:eastAsiaTheme="minorEastAsia" w:cs="Times New Roman"/>
          <w:noProof/>
          <w:lang w:val="de-DE"/>
        </w:rPr>
      </w:pPr>
      <w:r w:rsidRPr="0060211F">
        <w:rPr>
          <w:rStyle w:val="BodyTextChar"/>
          <w:noProof/>
          <w:lang w:val="de-DE"/>
        </w:rPr>
        <w:t xml:space="preserve">Liquiditätsinkongruenzen werden häufig durch eine </w:t>
      </w:r>
      <w:r w:rsidRPr="0060211F">
        <w:rPr>
          <w:rStyle w:val="BodyTextChar"/>
          <w:b/>
          <w:noProof/>
          <w:lang w:val="de-DE"/>
        </w:rPr>
        <w:t>übermäßige Verschuldung</w:t>
      </w:r>
      <w:r w:rsidRPr="0060211F">
        <w:rPr>
          <w:rStyle w:val="BodyTextChar"/>
          <w:noProof/>
          <w:lang w:val="de-DE"/>
        </w:rPr>
        <w:t xml:space="preserve"> verstärkt, die dann, wenn sie aufgrund ihrer Finanzierungskosten untragbar wird, zu einer plötzlichen Auflösung von Positionen auf dem Markt (Verringerung des Fremdkapitalanteils) mit Ausstrahlungseffekten auf andere Teile des Finanzsystems und der Wirtschaft führen kann. Der Fall Archegos Capital Management im März 2021, einem wie ein Hedgefonds arbeitenden „Family Office“, stellt ein Beispiel für die Auswirkungen dar, die der Einsatz von Fremdfinanzierungen in Verbindung mit Liquiditätsinkongruenzen weit über Nichtbanken-Finanzintermediäre hinaus haben kann. Durch den Zusammenbruch von Archegos breiteten sich bei Finanzinstituten Verluste aus (vor allem bei der Credit Suisse mit einem Verlust von 5,5 Mrd. USD), die auf eine hohe (fremdfinanzierte) Risikoposition gegenüber einigen wenigen Aktien mittels Gesamtrenditeswaps und Differenzkontrakten zurückzuführen waren und durch die Archegos die Möglichkeit erhielt, das Fünf- bis Sechsfache des investierten Kapitals zu nutzen.</w:t>
      </w:r>
      <w:r w:rsidRPr="0060211F">
        <w:rPr>
          <w:rStyle w:val="FootnoteReference"/>
          <w:rFonts w:eastAsiaTheme="minorEastAsia" w:cs="Times New Roman"/>
          <w:noProof/>
          <w:lang w:val="de-DE"/>
        </w:rPr>
        <w:footnoteReference w:id="57"/>
      </w:r>
      <w:r w:rsidRPr="0060211F">
        <w:rPr>
          <w:rStyle w:val="BodyTextChar"/>
          <w:noProof/>
          <w:lang w:val="de-DE"/>
        </w:rPr>
        <w:t xml:space="preserve"> Aufgrund des regulatorischen Status von Family Offices, die sowohl in Europa als auch in den USA nicht ausreichend reguliert waren, wurden die Geschäfte nicht in vollem Umfang gemeldet. Dennoch waren einige Geschäfte beim Handel mit europäischen Gegenparteien, die im Rahmen der Meldepflicht unter EMIR tätig sind (hauptsächlich Banken im Vereinigten Königreich), sichtbar, doch reichte dies nicht aus, um ein vollständiges und zeitnahes Bild zu vermitteln, das zumindest bei den Banken aufsichtliche Eingriffe hätte auslösen können. </w:t>
      </w:r>
    </w:p>
    <w:p w14:paraId="5263295F" w14:textId="71A63231" w:rsidR="00241024" w:rsidRPr="0060211F" w:rsidRDefault="00241024" w:rsidP="004709F3">
      <w:pPr>
        <w:spacing w:after="120" w:line="240" w:lineRule="auto"/>
        <w:rPr>
          <w:rFonts w:cs="Times New Roman"/>
          <w:noProof/>
          <w:lang w:val="de-DE"/>
        </w:rPr>
      </w:pPr>
      <w:r w:rsidRPr="0060211F">
        <w:rPr>
          <w:noProof/>
          <w:lang w:val="de-DE"/>
        </w:rPr>
        <w:t>Die Arbeit des Finanzstabilitätsrats hebt auch Inseln hoher synthetischer Hebelwirkungen bei einigen NBFI-Unternehmen hervor, insbesondere bei einigen Hedgefonds und auf Versorgungsverpflichtungen ausgerichteten Investmentfonds (LDI)</w:t>
      </w:r>
      <w:r w:rsidRPr="0060211F">
        <w:rPr>
          <w:rStyle w:val="FootnoteReference"/>
          <w:rFonts w:eastAsiaTheme="minorEastAsia" w:cs="Times New Roman"/>
          <w:noProof/>
          <w:lang w:val="de-DE"/>
        </w:rPr>
        <w:footnoteReference w:id="58"/>
      </w:r>
      <w:r w:rsidRPr="0060211F">
        <w:rPr>
          <w:noProof/>
          <w:lang w:val="de-DE"/>
        </w:rPr>
        <w:t>, die in einigen Fällen auch einen hohen Grad an Verflechtungen aufweisen. Die laufenden Arbeiten sowohl auf EU-Ebene als auch auf internationaler Ebene zielen darauf ab, ein tieferes Verständnis darüber zu gewinnen, wie mit bestehenden Melde- und Offenlegungsrahmen wirksam gegen übermäßige Verschuldung vorgegangen werden kann. Dies beinhaltet die Sicherstellung dessen, dass fremdfinanzierte Positionen transparent und abgleichbar bleiben, auch wenn komplexe rechtliche Strukturen oder komplizierte Derivate betroffen sind. Darüber hinaus suchen Aufsichtsbehörden auf nationaler und EU-Ebene derzeit aktiv nach Möglichkeiten, wie gemeldete Daten verwendet werden können, um solche Risiken wirksam zu steuern und die gemeinsame Datennutzung mit dem Ziel zu fördern, zusätzlichen Meldeaufwand für Marktakteure auf ein Minimum zu begrenzen.</w:t>
      </w:r>
      <w:r w:rsidRPr="0060211F">
        <w:rPr>
          <w:rStyle w:val="FootnoteReference"/>
          <w:rFonts w:cs="Times New Roman"/>
          <w:noProof/>
          <w:lang w:val="de-DE"/>
        </w:rPr>
        <w:footnoteReference w:id="59"/>
      </w:r>
      <w:r w:rsidRPr="0060211F">
        <w:rPr>
          <w:noProof/>
          <w:lang w:val="de-DE"/>
        </w:rPr>
        <w:t xml:space="preserve"> Ferner laufen Gespräche über potenzielle Obergrenzen für die Anhäufung von Fremdfinanzierungen in bestimmen Sektoren, insbesondere nicht regulierten Rechtsträgern wie Family Offices.</w:t>
      </w:r>
      <w:r w:rsidRPr="0060211F">
        <w:rPr>
          <w:rStyle w:val="FootnoteReference"/>
          <w:rFonts w:cs="Times New Roman"/>
          <w:noProof/>
          <w:lang w:val="de-DE"/>
        </w:rPr>
        <w:footnoteReference w:id="60"/>
      </w:r>
      <w:r w:rsidRPr="0060211F">
        <w:rPr>
          <w:noProof/>
          <w:lang w:val="de-DE"/>
        </w:rPr>
        <w:t xml:space="preserve"> </w:t>
      </w:r>
    </w:p>
    <w:p w14:paraId="72475335" w14:textId="4BAA504F" w:rsidR="00425138" w:rsidRPr="0060211F" w:rsidRDefault="00241024" w:rsidP="004709F3">
      <w:pPr>
        <w:spacing w:after="120" w:line="240" w:lineRule="auto"/>
        <w:rPr>
          <w:rStyle w:val="BodyTextChar"/>
          <w:rFonts w:eastAsiaTheme="minorEastAsia" w:cs="Times New Roman"/>
          <w:noProof/>
          <w:lang w:val="de-DE"/>
        </w:rPr>
      </w:pPr>
      <w:bookmarkStart w:id="3" w:name="_Hlk121309552"/>
      <w:bookmarkEnd w:id="2"/>
      <w:r w:rsidRPr="0060211F">
        <w:rPr>
          <w:rStyle w:val="BodyTextChar"/>
          <w:b/>
          <w:noProof/>
          <w:lang w:val="de-DE"/>
        </w:rPr>
        <w:t>Die Verflechtungen unter Nichtbanken-Finanzintermediären und mit dem Bankensektor</w:t>
      </w:r>
      <w:r w:rsidRPr="0060211F">
        <w:rPr>
          <w:rStyle w:val="BodyTextChar"/>
          <w:noProof/>
          <w:lang w:val="de-DE"/>
        </w:rPr>
        <w:t xml:space="preserve"> erhöhen das Ansteckungsrisiko für den gesamten Finanzsektor mit negativen Ausstrahlungseffekten auf die Wirtschaft</w:t>
      </w:r>
      <w:bookmarkEnd w:id="3"/>
      <w:r w:rsidRPr="0060211F">
        <w:rPr>
          <w:rStyle w:val="BodyTextChar"/>
          <w:noProof/>
          <w:lang w:val="de-DE"/>
        </w:rPr>
        <w:t>. Versicherungs- und Versorgungsfonds sind mit etwa 25 % die größten inländischen Anleger in Investmentfonds im Euroraum (ohne Geldmarktfonds), gefolgt von Haushalten mit 19 % und Investmentfonds (die in andere Investmentfonds investieren) mit 16 %.</w:t>
      </w:r>
      <w:r w:rsidRPr="0060211F">
        <w:rPr>
          <w:rStyle w:val="FootnoteReference"/>
          <w:rFonts w:cs="Times New Roman"/>
          <w:noProof/>
          <w:lang w:val="de-DE"/>
        </w:rPr>
        <w:footnoteReference w:id="61"/>
      </w:r>
      <w:r w:rsidRPr="0060211F">
        <w:rPr>
          <w:rStyle w:val="BodyTextChar"/>
          <w:noProof/>
          <w:lang w:val="de-DE"/>
        </w:rPr>
        <w:t xml:space="preserve"> Umgekehrt stellen Investmentfonds und SFI (sonstige Investmentfonds) eine wichtige Finanzquelle für den Bankensektor dar, denn sie hielten im ersten Quartal 2023 14 % der Verbindlichkeiten des Bankensektors im Euroraum. Schließt man Versicherungsgesellschaften und Versorgungsfonds ein, so halten Nichtbanken-Finanzintermediäre etwa 28 % der offenen Schuldverschreibungen von Banken im Euroraum.</w:t>
      </w:r>
      <w:r w:rsidRPr="0060211F">
        <w:rPr>
          <w:rStyle w:val="FootnoteReference"/>
          <w:rFonts w:eastAsiaTheme="minorEastAsia" w:cs="Times New Roman"/>
          <w:noProof/>
          <w:lang w:val="de-DE"/>
        </w:rPr>
        <w:footnoteReference w:id="62"/>
      </w:r>
      <w:r w:rsidRPr="0060211F">
        <w:rPr>
          <w:rStyle w:val="BodyTextChar"/>
          <w:noProof/>
          <w:lang w:val="de-DE"/>
        </w:rPr>
        <w:t xml:space="preserve"> </w:t>
      </w:r>
    </w:p>
    <w:p w14:paraId="2A0398F6" w14:textId="47600629" w:rsidR="00614647" w:rsidRPr="0060211F" w:rsidRDefault="00241024" w:rsidP="004709F3">
      <w:pPr>
        <w:spacing w:after="120" w:line="240" w:lineRule="auto"/>
        <w:rPr>
          <w:rStyle w:val="BodyTextChar"/>
          <w:rFonts w:eastAsiaTheme="minorEastAsia" w:cs="Times New Roman"/>
          <w:noProof/>
          <w:lang w:val="de-DE"/>
        </w:rPr>
      </w:pPr>
      <w:r w:rsidRPr="0060211F">
        <w:rPr>
          <w:rStyle w:val="BodyTextChar"/>
          <w:noProof/>
          <w:lang w:val="de-DE"/>
        </w:rPr>
        <w:t xml:space="preserve">Diese Verflechtungen können die erwähnten nachteiligen Auswirkungen von Liquiditätsschocks oder übermäßiger Verschuldung verschärfen oder sogar Schwachstellen sowie die Entstehung von Systemrisiken verbergen. Ein erhebliches Risiko im Zusammenhang mit den Verflechtungen zwischen Nichtbanken-Finanzintermediären und dem Bankensektor ist die mögliche sektorübergreifende Übertragung finanzieller Schocks. Befindet sich ein Nichtbanken-Finanzintermediär in Insolvenzgefahr, kann er diese Gefahr durch Risikopositionen sowohl bei Vermögenswerten als auch bei Verbindlichkeiten (z. B. derivative Positionen, Banksicherheitenbestände und Repo-Finanzierungen) an seine Gegenparteien im Bankensektor und an andere Nichtbanken-Finanzintermediäre weitergeben. Die Insolvenz von Archegos hat verdeutlicht, wie wichtig ein starkes Risikomanagement ist und auf welche Weise Verflechtungen das Kreditrisiko für Banken (wie es beispielsweise bei Credit Suisse der Fall war) erhöhen können. Außerdem können Banken Gefahren an Nichtbanken-Finanzintermediäre weitergeben, da sie von zentraler Bedeutung für das Funktionieren der Derivatemärkte und zudem große Kreditgeber für Nichtbanken-Finanzintermediäre sind. </w:t>
      </w:r>
    </w:p>
    <w:p w14:paraId="4136FC40" w14:textId="3DBBB526" w:rsidR="00241024" w:rsidRPr="0060211F" w:rsidRDefault="00241024" w:rsidP="004709F3">
      <w:pPr>
        <w:spacing w:after="120" w:line="240" w:lineRule="auto"/>
        <w:rPr>
          <w:noProof/>
          <w:lang w:val="de-DE"/>
        </w:rPr>
      </w:pPr>
      <w:r w:rsidRPr="0060211F">
        <w:rPr>
          <w:rStyle w:val="BodyTextChar"/>
          <w:noProof/>
          <w:lang w:val="de-DE"/>
        </w:rPr>
        <w:t xml:space="preserve">Nichtbanken-Finanzintermediäre und Banken können über gemeinsame Risikopositionen miteinander verbunden sein, wenn sie in ähnliche Vermögenswerte investieren oder Risikopositionen gegenüber denselben Gegenparteien haben. Sind diese gemeinsamen Risikopositionen finanziellem Stress ausgesetzt, kann sich dies auf Nichtbanken-Finanzintermediäre und Banken gleichzeitig auswirken und somit das Potenzial für eine Systemkrise verstärken. Darüber hinaus können Nichtbanken-Finanzintermediäre und traditionelle Banken, wenn sie im Einklang handeln, große Notverkäufe bei gemeinsamen Vermögenswerten auslösen (z. B. die Marktturbulenzen im März 2020 oder die Liquiditätsknappheit bei Energieunternehmen, die durch den starken, durch die Energiekrise im März 2022 ausgelösten Anstieg der Aufforderungen zu Nachschusszahlungen verursacht wurde). </w:t>
      </w:r>
      <w:r w:rsidRPr="0060211F">
        <w:rPr>
          <w:noProof/>
          <w:lang w:val="de-DE"/>
        </w:rPr>
        <w:t xml:space="preserve">Die Aufsichtsbehörden überwachen mögliche Schwachstellen, die ihren Ursprung in den Verflechtungen von Nichtbanken-Finanzintermediären untereinander und zwischen ihnen und Banken haben und durch direkte Verbindungen (z B. Beteiligungen zwischen Banken und Nichtbanken-Finanzintermediären, von Nichtbanken-Finanzintermediären untereinander oder Aufforderungen zur Nachschusszahlung) und indirekte Verbindungen (z. B. gemeinsame Anlagenportfolios) entstehen. </w:t>
      </w:r>
    </w:p>
    <w:p w14:paraId="686D6687" w14:textId="49388B1B" w:rsidR="00EA59BD" w:rsidRPr="0060211F" w:rsidRDefault="00241024" w:rsidP="004709F3">
      <w:pPr>
        <w:spacing w:after="120" w:line="240" w:lineRule="auto"/>
        <w:rPr>
          <w:noProof/>
          <w:lang w:val="de-DE"/>
        </w:rPr>
      </w:pPr>
      <w:r w:rsidRPr="0060211F">
        <w:rPr>
          <w:noProof/>
          <w:lang w:val="de-DE"/>
        </w:rPr>
        <w:t xml:space="preserve">Nicht zuletzt aufgrund dieser strukturellen Schwachstellen und der Komplexität der Beaufsichtigung solcher miteinander verflochtenen Sektoren sollten die Vorzüge </w:t>
      </w:r>
      <w:r w:rsidRPr="0060211F">
        <w:rPr>
          <w:b/>
          <w:noProof/>
          <w:lang w:val="de-DE"/>
        </w:rPr>
        <w:t>eines kohärenteren und besser koordinierten makroprudenziellen Rahmens für Nichtbanken-Finanzintermediäre</w:t>
      </w:r>
      <w:r w:rsidRPr="0060211F">
        <w:rPr>
          <w:noProof/>
          <w:lang w:val="de-DE"/>
        </w:rPr>
        <w:t xml:space="preserve"> weiter geprüft werden. Derzeit bestehen nur wenige makroprudenzielle Maßnahmen, die auf Nichtbanken-Finanzintermediäre anwendbar sind, und die Aufsicht über solche Instrumente in jedem einzelnen Sektor erstreckt sich auch innerhalb derselben Rechtsordnung über verschiedene Aufsichtsbehörden. Beispielsweise sind die zuständigen nationalen Behörden nach der Richtlinie über die Verwalter alternativer Investmentfonds (AIFMD) bzw. der Richtlinie über Organismen für gemeinsame Anlagen in Wertpapieren (OGAW) befugt, die Rückkaufrechte auszusetzen, wenn Fonds Risiken für die Finanzstabilität ausgesetzt sind; nationale Aufsichtsbehörden haben diese Befugnis in der Vergangenheit bereits individuell ausgeübt. Es gibt nur begrenzte Erfahrungen mit der koordinierten Nutzung dieser Befugnis im Fall einer Konfrontation mit einer umfassenderen, EU-weiten Gefahr für die Finanzstabilität. </w:t>
      </w:r>
    </w:p>
    <w:p w14:paraId="7577FBD0" w14:textId="412B2504" w:rsidR="006E5DA9" w:rsidRPr="0060211F" w:rsidRDefault="00E56C84" w:rsidP="004709F3">
      <w:pPr>
        <w:spacing w:after="120" w:line="240" w:lineRule="auto"/>
        <w:rPr>
          <w:noProof/>
          <w:lang w:val="de-DE"/>
        </w:rPr>
      </w:pPr>
      <w:r w:rsidRPr="0060211F">
        <w:rPr>
          <w:noProof/>
          <w:lang w:val="de-DE"/>
        </w:rPr>
        <w:t xml:space="preserve">Die Unterstützung einer kohärenten Anwendung makroprudenzieller Instrumente und eine ausreichende Koordinierung zwischen den Aufsichtsbehörden innerhalb der EU und mit den Aufsichtsbehörden in Drittländern sind für eine wirksame makroprudenzielle Strategie von entscheidender Bedeutung. Die Fragmentierung zwischen Sektoren und nationalen Rechtsordnungen wirft wichtige Fragen hinsichtlich dessen auf, wie eine wirksame Koordinierung zwischen den Mitgliedstaaten sichergestellt werden kann (insbesondere in Bezug auf systemische Ereignisse, die mehr als einen Mitgliedstaat betreffen) und wie die erforderlichen Daten nach den derzeitigen Regelungsrahmen für die Berichterstattung von den Behörden gemeinsam genutzt werden können. </w:t>
      </w:r>
    </w:p>
    <w:sectPr w:rsidR="006E5DA9" w:rsidRPr="0060211F" w:rsidSect="00AB1DB8">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DA44A" w14:textId="77777777" w:rsidR="00284231" w:rsidRDefault="00284231" w:rsidP="00E6448C">
      <w:pPr>
        <w:spacing w:after="0" w:line="240" w:lineRule="auto"/>
      </w:pPr>
      <w:r>
        <w:separator/>
      </w:r>
    </w:p>
  </w:endnote>
  <w:endnote w:type="continuationSeparator" w:id="0">
    <w:p w14:paraId="4972AE78" w14:textId="77777777" w:rsidR="00284231" w:rsidRDefault="00284231" w:rsidP="00E6448C">
      <w:pPr>
        <w:spacing w:after="0" w:line="240" w:lineRule="auto"/>
      </w:pPr>
      <w:r>
        <w:continuationSeparator/>
      </w:r>
    </w:p>
  </w:endnote>
  <w:endnote w:type="continuationNotice" w:id="1">
    <w:p w14:paraId="336C1099" w14:textId="77777777" w:rsidR="00284231" w:rsidRDefault="00284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A4943" w14:textId="2FA6E1B5" w:rsidR="0004494A" w:rsidRPr="0004494A" w:rsidRDefault="0004494A" w:rsidP="0004494A">
    <w:pPr>
      <w:pStyle w:val="FooterCoverPage"/>
      <w:rPr>
        <w:rFonts w:ascii="Arial" w:hAnsi="Arial" w:cs="Arial"/>
        <w:b/>
        <w:sz w:val="48"/>
      </w:rPr>
    </w:pPr>
    <w:r w:rsidRPr="0004494A">
      <w:rPr>
        <w:rFonts w:ascii="Arial" w:hAnsi="Arial" w:cs="Arial"/>
        <w:b/>
        <w:sz w:val="48"/>
      </w:rPr>
      <w:t>DE</w:t>
    </w:r>
    <w:r w:rsidRPr="0004494A">
      <w:rPr>
        <w:rFonts w:ascii="Arial" w:hAnsi="Arial" w:cs="Arial"/>
        <w:b/>
        <w:sz w:val="48"/>
      </w:rPr>
      <w:tab/>
    </w:r>
    <w:r w:rsidRPr="0004494A">
      <w:rPr>
        <w:rFonts w:ascii="Arial" w:hAnsi="Arial" w:cs="Arial"/>
        <w:b/>
        <w:sz w:val="48"/>
      </w:rPr>
      <w:tab/>
    </w:r>
    <w:r w:rsidRPr="0004494A">
      <w:tab/>
    </w:r>
    <w:r w:rsidRPr="0004494A">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11350" w14:textId="0EAE0839" w:rsidR="0004494A" w:rsidRPr="0004494A" w:rsidRDefault="0004494A" w:rsidP="0004494A">
    <w:pPr>
      <w:pStyle w:val="FooterCoverPage"/>
      <w:rPr>
        <w:rFonts w:ascii="Arial" w:hAnsi="Arial" w:cs="Arial"/>
        <w:b/>
        <w:sz w:val="48"/>
      </w:rPr>
    </w:pPr>
    <w:r w:rsidRPr="0004494A">
      <w:rPr>
        <w:rFonts w:ascii="Arial" w:hAnsi="Arial" w:cs="Arial"/>
        <w:b/>
        <w:sz w:val="48"/>
      </w:rPr>
      <w:t>DE</w:t>
    </w:r>
    <w:r w:rsidRPr="0004494A">
      <w:rPr>
        <w:rFonts w:ascii="Arial" w:hAnsi="Arial" w:cs="Arial"/>
        <w:b/>
        <w:sz w:val="48"/>
      </w:rPr>
      <w:tab/>
    </w:r>
    <w:r w:rsidRPr="0004494A">
      <w:rPr>
        <w:rFonts w:ascii="Arial" w:hAnsi="Arial" w:cs="Arial"/>
        <w:b/>
        <w:sz w:val="48"/>
      </w:rPr>
      <w:tab/>
    </w:r>
    <w:r w:rsidRPr="0004494A">
      <w:tab/>
    </w:r>
    <w:r w:rsidRPr="0004494A">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DC30C" w14:textId="77777777" w:rsidR="0004494A" w:rsidRPr="0004494A" w:rsidRDefault="0004494A" w:rsidP="0004494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0F34A" w14:textId="77777777" w:rsidR="00A8129C" w:rsidRDefault="00A812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sz w:val="20"/>
      </w:rPr>
      <w:id w:val="-1687743973"/>
      <w:docPartObj>
        <w:docPartGallery w:val="Page Numbers (Bottom of Page)"/>
        <w:docPartUnique/>
      </w:docPartObj>
    </w:sdtPr>
    <w:sdtEndPr/>
    <w:sdtContent>
      <w:p w14:paraId="67E90E40" w14:textId="50D97338" w:rsidR="008E1DB8" w:rsidRPr="00AF1438" w:rsidRDefault="008E1DB8">
        <w:pPr>
          <w:pStyle w:val="Footer"/>
          <w:jc w:val="center"/>
          <w:rPr>
            <w:rFonts w:ascii="Calibri Light" w:hAnsi="Calibri Light" w:cs="Calibri Light"/>
            <w:sz w:val="20"/>
          </w:rPr>
        </w:pPr>
        <w:r>
          <w:rPr>
            <w:rFonts w:ascii="Calibri Light" w:hAnsi="Calibri Light" w:cs="Calibri Light"/>
            <w:color w:val="2B579A"/>
            <w:sz w:val="20"/>
            <w:shd w:val="clear" w:color="auto" w:fill="E6E6E6"/>
          </w:rPr>
          <w:fldChar w:fldCharType="begin"/>
        </w:r>
        <w:r>
          <w:rPr>
            <w:rFonts w:ascii="Calibri Light" w:hAnsi="Calibri Light" w:cs="Calibri Light"/>
            <w:sz w:val="20"/>
          </w:rPr>
          <w:instrText xml:space="preserve"> PAGE   \* MERGEFORMAT </w:instrText>
        </w:r>
        <w:r>
          <w:rPr>
            <w:rFonts w:ascii="Calibri Light" w:hAnsi="Calibri Light" w:cs="Calibri Light"/>
            <w:color w:val="2B579A"/>
            <w:sz w:val="20"/>
            <w:shd w:val="clear" w:color="auto" w:fill="E6E6E6"/>
          </w:rPr>
          <w:fldChar w:fldCharType="separate"/>
        </w:r>
        <w:r w:rsidR="0004494A">
          <w:rPr>
            <w:rFonts w:ascii="Calibri Light" w:hAnsi="Calibri Light" w:cs="Calibri Light"/>
            <w:noProof/>
            <w:sz w:val="20"/>
          </w:rPr>
          <w:t>5</w:t>
        </w:r>
        <w:r>
          <w:rPr>
            <w:rFonts w:ascii="Calibri Light" w:hAnsi="Calibri Light" w:cs="Calibri Light"/>
            <w:color w:val="2B579A"/>
            <w:sz w:val="20"/>
            <w:shd w:val="clear" w:color="auto" w:fill="E6E6E6"/>
          </w:rPr>
          <w:fldChar w:fldCharType="end"/>
        </w:r>
      </w:p>
    </w:sdtContent>
  </w:sdt>
  <w:p w14:paraId="72D4A7FB" w14:textId="77777777" w:rsidR="008E1DB8" w:rsidRPr="00AF1438" w:rsidRDefault="008E1DB8">
    <w:pPr>
      <w:pStyle w:val="Footer"/>
      <w:rPr>
        <w:rFonts w:ascii="Calibri Light" w:hAnsi="Calibri Light" w:cs="Calibri Light"/>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846053"/>
      <w:docPartObj>
        <w:docPartGallery w:val="Page Numbers (Bottom of Page)"/>
        <w:docPartUnique/>
      </w:docPartObj>
    </w:sdtPr>
    <w:sdtEndPr/>
    <w:sdtContent>
      <w:sdt>
        <w:sdtPr>
          <w:rPr>
            <w:rFonts w:ascii="Calibri Light" w:hAnsi="Calibri Light" w:cs="Calibri Light"/>
            <w:sz w:val="20"/>
          </w:rPr>
          <w:id w:val="-12611931"/>
          <w:docPartObj>
            <w:docPartGallery w:val="Page Numbers (Bottom of Page)"/>
            <w:docPartUnique/>
          </w:docPartObj>
        </w:sdtPr>
        <w:sdtEndPr/>
        <w:sdtContent>
          <w:p w14:paraId="6FEDEAF6" w14:textId="77777777" w:rsidR="00FF4722" w:rsidRDefault="00FF4722" w:rsidP="00FF4722">
            <w:pPr>
              <w:pStyle w:val="Footer"/>
              <w:jc w:val="center"/>
              <w:rPr>
                <w:rFonts w:ascii="Calibri Light" w:hAnsi="Calibri Light" w:cs="Calibri Light"/>
                <w:sz w:val="20"/>
              </w:rPr>
            </w:pPr>
          </w:p>
          <w:p w14:paraId="51F9C4AD" w14:textId="0AAEEAED" w:rsidR="00FF4722" w:rsidRDefault="00FF4722" w:rsidP="00FF4722">
            <w:pPr>
              <w:pStyle w:val="Footer"/>
              <w:jc w:val="center"/>
              <w:rPr>
                <w:rFonts w:ascii="Calibri Light" w:hAnsi="Calibri Light" w:cs="Calibri Light"/>
                <w:sz w:val="20"/>
              </w:rPr>
            </w:pPr>
            <w:r>
              <w:rPr>
                <w:rFonts w:ascii="Calibri Light" w:hAnsi="Calibri Light" w:cs="Calibri Light"/>
                <w:color w:val="2B579A"/>
                <w:sz w:val="20"/>
                <w:shd w:val="clear" w:color="auto" w:fill="E6E6E6"/>
              </w:rPr>
              <w:fldChar w:fldCharType="begin"/>
            </w:r>
            <w:r>
              <w:rPr>
                <w:rFonts w:ascii="Calibri Light" w:hAnsi="Calibri Light" w:cs="Calibri Light"/>
                <w:sz w:val="20"/>
              </w:rPr>
              <w:instrText xml:space="preserve"> PAGE   \* MERGEFORMAT </w:instrText>
            </w:r>
            <w:r>
              <w:rPr>
                <w:rFonts w:ascii="Calibri Light" w:hAnsi="Calibri Light" w:cs="Calibri Light"/>
                <w:color w:val="2B579A"/>
                <w:sz w:val="20"/>
                <w:shd w:val="clear" w:color="auto" w:fill="E6E6E6"/>
              </w:rPr>
              <w:fldChar w:fldCharType="separate"/>
            </w:r>
            <w:r w:rsidR="0004494A" w:rsidRPr="0004494A">
              <w:rPr>
                <w:rFonts w:ascii="Calibri Light" w:hAnsi="Calibri Light" w:cs="Calibri Light"/>
                <w:noProof/>
                <w:color w:val="2B579A"/>
                <w:sz w:val="20"/>
                <w:shd w:val="clear" w:color="auto" w:fill="E6E6E6"/>
              </w:rPr>
              <w:t>1</w:t>
            </w:r>
            <w:r>
              <w:rPr>
                <w:rFonts w:ascii="Calibri Light" w:hAnsi="Calibri Light" w:cs="Calibri Light"/>
                <w:color w:val="2B579A"/>
                <w:sz w:val="20"/>
                <w:shd w:val="clear" w:color="auto" w:fill="E6E6E6"/>
              </w:rPr>
              <w:fldChar w:fldCharType="end"/>
            </w:r>
          </w:p>
        </w:sdtContent>
      </w:sdt>
      <w:p w14:paraId="708AC98D" w14:textId="75FB0A32" w:rsidR="00FF4722" w:rsidRDefault="0004494A">
        <w:pPr>
          <w:pStyle w:val="Footer"/>
          <w:jc w:val="center"/>
        </w:pPr>
      </w:p>
    </w:sdtContent>
  </w:sdt>
  <w:p w14:paraId="2A85633A" w14:textId="77777777" w:rsidR="00AA27E2" w:rsidRDefault="00AA2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FC9EA" w14:textId="77777777" w:rsidR="00284231" w:rsidRDefault="00284231" w:rsidP="00E6448C">
      <w:pPr>
        <w:spacing w:after="0" w:line="240" w:lineRule="auto"/>
      </w:pPr>
      <w:r>
        <w:separator/>
      </w:r>
    </w:p>
  </w:footnote>
  <w:footnote w:type="continuationSeparator" w:id="0">
    <w:p w14:paraId="66457610" w14:textId="77777777" w:rsidR="00284231" w:rsidRDefault="00284231" w:rsidP="00E6448C">
      <w:pPr>
        <w:spacing w:after="0" w:line="240" w:lineRule="auto"/>
      </w:pPr>
      <w:r>
        <w:continuationSeparator/>
      </w:r>
    </w:p>
  </w:footnote>
  <w:footnote w:type="continuationNotice" w:id="1">
    <w:p w14:paraId="5509FACD" w14:textId="77777777" w:rsidR="00284231" w:rsidRDefault="00284231">
      <w:pPr>
        <w:spacing w:after="0" w:line="240" w:lineRule="auto"/>
      </w:pPr>
    </w:p>
  </w:footnote>
  <w:footnote w:id="2">
    <w:p w14:paraId="3633450E" w14:textId="77777777" w:rsidR="004656D0" w:rsidRPr="00127ECD" w:rsidRDefault="004656D0" w:rsidP="00C64A13">
      <w:pPr>
        <w:pStyle w:val="FootnoteText"/>
        <w:rPr>
          <w:lang w:val="de-DE"/>
        </w:rPr>
      </w:pPr>
      <w:r>
        <w:rPr>
          <w:rStyle w:val="FootnoteReference"/>
        </w:rPr>
        <w:footnoteRef/>
      </w:r>
      <w:r w:rsidRPr="00127ECD">
        <w:rPr>
          <w:lang w:val="de-DE"/>
        </w:rPr>
        <w:t xml:space="preserve"> </w:t>
      </w:r>
      <w:r w:rsidRPr="00127ECD">
        <w:rPr>
          <w:shd w:val="clear" w:color="auto" w:fill="FFFFFF"/>
          <w:lang w:val="de-DE"/>
        </w:rPr>
        <w:t xml:space="preserve">Der Bericht wurde verschoben, um die Berücksichtigung der COVID-19-Krise und ihrer Auswirkungen auf das Finanzsystem zu ermöglichen. </w:t>
      </w:r>
    </w:p>
  </w:footnote>
  <w:footnote w:id="3">
    <w:p w14:paraId="301E7429" w14:textId="77777777" w:rsidR="006F76CF" w:rsidRPr="00127ECD" w:rsidRDefault="006F76CF" w:rsidP="00C64A13">
      <w:pPr>
        <w:pStyle w:val="FootnoteText"/>
        <w:rPr>
          <w:lang w:val="de-DE"/>
        </w:rPr>
      </w:pPr>
      <w:r>
        <w:rPr>
          <w:rStyle w:val="FootnoteReference"/>
        </w:rPr>
        <w:footnoteRef/>
      </w:r>
      <w:r w:rsidRPr="00127ECD">
        <w:rPr>
          <w:lang w:val="de-DE"/>
        </w:rPr>
        <w:t xml:space="preserve"> Siehe Europäische Kommission (2021), </w:t>
      </w:r>
      <w:hyperlink r:id="rId1" w:history="1">
        <w:r w:rsidRPr="00127ECD">
          <w:rPr>
            <w:rStyle w:val="Hyperlink"/>
            <w:lang w:val="de-DE"/>
          </w:rPr>
          <w:t>Targeted consultation on improving the EU’s macroprudential framework for the banking sector</w:t>
        </w:r>
      </w:hyperlink>
      <w:r w:rsidRPr="00127ECD">
        <w:rPr>
          <w:lang w:val="de-DE"/>
        </w:rPr>
        <w:t xml:space="preserve"> (Gezielte Konsultation zur Verbesserung des makroprudenziellen Rahmens der EU für den Bankensektor), November 2021; Europäische Kommission (2022), </w:t>
      </w:r>
      <w:hyperlink r:id="rId2" w:history="1">
        <w:r w:rsidRPr="00127ECD">
          <w:rPr>
            <w:rStyle w:val="Hyperlink"/>
            <w:lang w:val="de-DE"/>
          </w:rPr>
          <w:t xml:space="preserve">Summary of responses to the targeted consultation </w:t>
        </w:r>
      </w:hyperlink>
      <w:r w:rsidRPr="00127ECD">
        <w:rPr>
          <w:lang w:val="de-DE"/>
        </w:rPr>
        <w:t xml:space="preserve">(Zusammenfassung der Stellungnahmen zur gezielten Konsultation), Juni 2022; Europäische Kommission (2021), Call for Advice on the review of the macroprudential framework for the banking sector (Ersuchen um Stellungnahmen zur Überprüfung des makroprudenziellen Rahmens für den Bankensektor), September 2021. </w:t>
      </w:r>
    </w:p>
  </w:footnote>
  <w:footnote w:id="4">
    <w:p w14:paraId="6891F3DF" w14:textId="5D04CE64" w:rsidR="00447816" w:rsidRPr="00127ECD" w:rsidRDefault="00447816">
      <w:pPr>
        <w:pStyle w:val="FootnoteText"/>
        <w:rPr>
          <w:lang w:val="de-DE"/>
        </w:rPr>
      </w:pPr>
      <w:r>
        <w:rPr>
          <w:rStyle w:val="FootnoteReference"/>
        </w:rPr>
        <w:footnoteRef/>
      </w:r>
      <w:r w:rsidRPr="00127ECD">
        <w:rPr>
          <w:lang w:val="de-DE"/>
        </w:rPr>
        <w:t xml:space="preserve"> Siehe IWF (2011), „Macroprudential Policy: An Organizing Framework“ (Makroprudenzielle Strategie: ein organisatorischer Rahmen), abrufbar unter </w:t>
      </w:r>
      <w:hyperlink r:id="rId3" w:history="1">
        <w:r w:rsidRPr="00127ECD">
          <w:rPr>
            <w:rStyle w:val="Hyperlink"/>
            <w:shd w:val="clear" w:color="auto" w:fill="FFFFFF"/>
            <w:lang w:val="de-DE"/>
          </w:rPr>
          <w:t>https://www.imf.org/external/np/pp/eng/2011/031411.pdf</w:t>
        </w:r>
      </w:hyperlink>
      <w:r w:rsidRPr="00127ECD">
        <w:rPr>
          <w:rStyle w:val="normaltextrun"/>
          <w:shd w:val="clear" w:color="auto" w:fill="FFFFFF"/>
          <w:lang w:val="de-DE"/>
        </w:rPr>
        <w:t>.</w:t>
      </w:r>
    </w:p>
  </w:footnote>
  <w:footnote w:id="5">
    <w:p w14:paraId="14A7E9A5" w14:textId="6EEC8288" w:rsidR="0096706B" w:rsidRPr="00127ECD" w:rsidRDefault="0096706B" w:rsidP="00C64A13">
      <w:pPr>
        <w:pStyle w:val="FootnoteText"/>
        <w:rPr>
          <w:lang w:val="de-DE"/>
        </w:rPr>
      </w:pPr>
      <w:r>
        <w:rPr>
          <w:rStyle w:val="FootnoteReference"/>
        </w:rPr>
        <w:footnoteRef/>
      </w:r>
      <w:r w:rsidRPr="00127ECD">
        <w:rPr>
          <w:lang w:val="de-DE"/>
        </w:rPr>
        <w:t xml:space="preserve"> Ein systemisches Ereignis ist ein für das Finanzsystem negatives Großereignis, beispielsweise eine systemische Liquiditätskrise wie die COVID-Krise oder ein wichtiges Kreditereignis wie die Insolvenz von Lehman Brothers, oder aber eine Reihe kleinerer Ereignisse (der Zusammenbruch eines oder mehrerer mittelgroßer Finanzinstitute wie die durch die Insolvenz der Silicon Valley Bank ausgelösten Ereignisse), durch die die Entstehung eines starken finanziellen Ungleichgewichts (in Form von Großkrediten oder Verflechtungen unter Marktakteuren) aufgedeckt wird. </w:t>
      </w:r>
    </w:p>
  </w:footnote>
  <w:footnote w:id="6">
    <w:p w14:paraId="08BB2A8C" w14:textId="390F885E" w:rsidR="0096706B" w:rsidRPr="00127ECD" w:rsidRDefault="0096706B" w:rsidP="00C64A13">
      <w:pPr>
        <w:pStyle w:val="FootnoteText"/>
        <w:rPr>
          <w:lang w:val="de-DE"/>
        </w:rPr>
      </w:pPr>
      <w:r>
        <w:rPr>
          <w:rStyle w:val="FootnoteReference"/>
        </w:rPr>
        <w:footnoteRef/>
      </w:r>
      <w:r w:rsidRPr="00127ECD">
        <w:rPr>
          <w:lang w:val="de-DE"/>
        </w:rPr>
        <w:t xml:space="preserve"> </w:t>
      </w:r>
      <w:hyperlink r:id="rId4" w:history="1">
        <w:r w:rsidRPr="00127ECD">
          <w:rPr>
            <w:rStyle w:val="Hyperlink"/>
            <w:lang w:val="de-DE"/>
          </w:rPr>
          <w:t>Die Hochrangige Expertengruppe für Finanzaufsicht in der EU.</w:t>
        </w:r>
      </w:hyperlink>
      <w:hyperlink r:id="rId5" w:history="1">
        <w:r w:rsidRPr="00127ECD">
          <w:rPr>
            <w:rStyle w:val="Hyperlink"/>
            <w:lang w:val="de-DE"/>
          </w:rPr>
          <w:t xml:space="preserve"> De-Larosière-Bericht (europa.eu)</w:t>
        </w:r>
      </w:hyperlink>
      <w:r w:rsidRPr="00127ECD">
        <w:rPr>
          <w:rStyle w:val="Hyperlink"/>
          <w:lang w:val="de-DE"/>
        </w:rPr>
        <w:t xml:space="preserve">. </w:t>
      </w:r>
    </w:p>
  </w:footnote>
  <w:footnote w:id="7">
    <w:p w14:paraId="0F5BFAE7" w14:textId="0C67F3A3" w:rsidR="0096706B" w:rsidRPr="00127ECD" w:rsidRDefault="0096706B" w:rsidP="00C64A13">
      <w:pPr>
        <w:pStyle w:val="FootnoteText"/>
        <w:rPr>
          <w:lang w:val="de-DE"/>
        </w:rPr>
      </w:pPr>
      <w:r>
        <w:rPr>
          <w:rStyle w:val="FootnoteReference"/>
        </w:rPr>
        <w:footnoteRef/>
      </w:r>
      <w:r w:rsidRPr="00127ECD">
        <w:rPr>
          <w:lang w:val="de-DE"/>
        </w:rPr>
        <w:t xml:space="preserve"> Beispielsweise sind Verschuldungsobergrenzen aufsichtsrechtlichen Maßnahmen der Mikroebene zuzuordnen, wenn sie zur Bewältigung eines Risikos eines spezifischen Unternehmens oder eines Risikos auf Transaktionsebene konzipiert und umgesetzt werden; sie sind jedoch als makroprudenzielle Instrumente einzustufen, wenn sie auf branchenweiter Ebene, ohne Berücksichtigung individueller Geschäftsmodelle oder Geschäftstätigkeiten konzipiert und umgesetzt werden. Dies trifft auf strukturelle Obergrenzen für kreditgebende Fonds im Rahmen der kürzlich vereinbarten Überprüfung von AIFMD/OGAW zu, die als makroprudenzielles Instrument bezeichnet werden können. </w:t>
      </w:r>
    </w:p>
  </w:footnote>
  <w:footnote w:id="8">
    <w:p w14:paraId="7DB3D210" w14:textId="2C0C0AA9" w:rsidR="00283466" w:rsidRPr="00127ECD" w:rsidRDefault="00283466" w:rsidP="00C64A13">
      <w:pPr>
        <w:pStyle w:val="FootnoteText"/>
        <w:rPr>
          <w:lang w:val="de-DE"/>
        </w:rPr>
      </w:pPr>
      <w:r>
        <w:rPr>
          <w:rStyle w:val="FootnoteReference"/>
        </w:rPr>
        <w:footnoteRef/>
      </w:r>
      <w:r w:rsidRPr="00127ECD">
        <w:rPr>
          <w:lang w:val="de-DE"/>
        </w:rPr>
        <w:t xml:space="preserve"> </w:t>
      </w:r>
      <w:hyperlink r:id="rId6" w:history="1">
        <w:r w:rsidRPr="00127ECD">
          <w:rPr>
            <w:rStyle w:val="Hyperlink"/>
            <w:lang w:val="de-DE"/>
          </w:rPr>
          <w:t>Die Hochrangige Expertengruppe für Finanzaufsicht in der EU.</w:t>
        </w:r>
      </w:hyperlink>
      <w:hyperlink r:id="rId7" w:history="1">
        <w:r w:rsidRPr="00127ECD">
          <w:rPr>
            <w:rStyle w:val="Hyperlink"/>
            <w:lang w:val="de-DE"/>
          </w:rPr>
          <w:t xml:space="preserve"> De-Larosière-Bericht (europa.eu)</w:t>
        </w:r>
      </w:hyperlink>
      <w:r w:rsidRPr="00127ECD">
        <w:rPr>
          <w:rStyle w:val="Hyperlink"/>
          <w:lang w:val="de-DE"/>
        </w:rPr>
        <w:t xml:space="preserve">. </w:t>
      </w:r>
      <w:r w:rsidRPr="00127ECD">
        <w:rPr>
          <w:lang w:val="de-DE"/>
        </w:rPr>
        <w:t xml:space="preserve"> </w:t>
      </w:r>
    </w:p>
  </w:footnote>
  <w:footnote w:id="9">
    <w:p w14:paraId="5E13B9A2" w14:textId="430CC71C" w:rsidR="00CC30C3" w:rsidRPr="00127ECD" w:rsidRDefault="00CC30C3" w:rsidP="00C64A13">
      <w:pPr>
        <w:pStyle w:val="FootnoteText"/>
        <w:rPr>
          <w:lang w:val="de-DE"/>
        </w:rPr>
      </w:pPr>
      <w:r>
        <w:rPr>
          <w:rStyle w:val="FootnoteReference"/>
        </w:rPr>
        <w:footnoteRef/>
      </w:r>
      <w:r w:rsidRPr="00127ECD">
        <w:rPr>
          <w:lang w:val="de-DE"/>
        </w:rPr>
        <w:t xml:space="preserve"> Der Begriff „Finanzinstitute“ bezieht sich sowohl auf Banken (d. h. Kreditinstitute) als auch auf Finanzintermediäre, die nicht dem Bankensektor angehören. </w:t>
      </w:r>
    </w:p>
  </w:footnote>
  <w:footnote w:id="10">
    <w:p w14:paraId="10A314D6" w14:textId="5C3F6758" w:rsidR="00241024" w:rsidRPr="00127ECD" w:rsidRDefault="00241024" w:rsidP="00C64A13">
      <w:pPr>
        <w:pStyle w:val="FootnoteText"/>
        <w:rPr>
          <w:lang w:val="de-DE"/>
        </w:rPr>
      </w:pPr>
      <w:r>
        <w:rPr>
          <w:rStyle w:val="FootnoteReference"/>
        </w:rPr>
        <w:footnoteRef/>
      </w:r>
      <w:r w:rsidRPr="00127ECD">
        <w:rPr>
          <w:lang w:val="de-DE"/>
        </w:rPr>
        <w:t xml:space="preserve"> Gemäß der Verordnung (EU) Nr. 575/2013 des Europäischen Parlaments und des Rates vom 26. Juni 2013, geändert durch die Verordnung (EU) 2019/876 des Europäischen Parlaments und des Rates vom 20. Mai 2019 (Eigenmittelverordnung) in Bezug auf makroprudenzielle Bestimmungen; Richtlinie 2013/36/EU des Europäischen Parlaments und des Rates vom 26. Juni 2013, geändert durch die Richtlinie (EU) 2019/878 des Europäischen Parlaments und des Rates vom 20. Mai 2019 (Eigenkapitalrichtlinie – CRD) in Bezug auf makroprudenzielle Bestimmungen. Mit dem Bankenpaket von 2019 wurden einige gezielte Änderungen der makroprudenziellen Bestimmungen eingeführt, die am 29. Dezember 2020 in Kraft traten. </w:t>
      </w:r>
    </w:p>
  </w:footnote>
  <w:footnote w:id="11">
    <w:p w14:paraId="6467A42E" w14:textId="77777777" w:rsidR="007B124E" w:rsidRPr="00127ECD" w:rsidRDefault="007B124E" w:rsidP="00C64A13">
      <w:pPr>
        <w:pStyle w:val="FootnoteText"/>
        <w:rPr>
          <w:lang w:val="de-DE"/>
        </w:rPr>
      </w:pPr>
      <w:r>
        <w:rPr>
          <w:rStyle w:val="FootnoteReference"/>
        </w:rPr>
        <w:footnoteRef/>
      </w:r>
      <w:r w:rsidRPr="00127ECD">
        <w:rPr>
          <w:lang w:val="de-DE"/>
        </w:rPr>
        <w:t xml:space="preserve"> Europäischer Ausschuss für Systemrisiken (2023), </w:t>
      </w:r>
      <w:hyperlink r:id="rId8" w:history="1">
        <w:r w:rsidRPr="00127ECD">
          <w:rPr>
            <w:rStyle w:val="Hyperlink"/>
            <w:lang w:val="de-DE"/>
          </w:rPr>
          <w:t>EU Non-bank Financial Intermediation Risk Monitor 2022</w:t>
        </w:r>
      </w:hyperlink>
      <w:r w:rsidRPr="00127ECD">
        <w:rPr>
          <w:lang w:val="de-DE"/>
        </w:rPr>
        <w:t xml:space="preserve"> (Risikomonitor für die finanzielle Mittlertätigkeit durch Nichtbanken in der EU 2022), Juni 2023. Diese Statistiken steigen bis auf 49 %, wenn wir den Anwendungsbereich auf das weltweite Finanzsystem erweitern; siehe Finanzstabilitätsrat unter </w:t>
      </w:r>
      <w:hyperlink r:id="rId9" w:history="1">
        <w:r w:rsidRPr="00127ECD">
          <w:rPr>
            <w:rStyle w:val="Hyperlink"/>
            <w:lang w:val="de-DE"/>
          </w:rPr>
          <w:t>Non-Bank Financial Intermediation – Financial Stability Board (fsb.org)</w:t>
        </w:r>
      </w:hyperlink>
      <w:r w:rsidRPr="00127ECD">
        <w:rPr>
          <w:lang w:val="de-DE"/>
        </w:rPr>
        <w:t xml:space="preserve"> (Finanzielle Mittlertätigkeit durch Nichtbanken – Finanzstabilitätsrat). </w:t>
      </w:r>
    </w:p>
  </w:footnote>
  <w:footnote w:id="12">
    <w:p w14:paraId="5B632251" w14:textId="3E54A24A" w:rsidR="00241024" w:rsidRPr="00127ECD" w:rsidRDefault="00241024" w:rsidP="00C64A13">
      <w:pPr>
        <w:pStyle w:val="FootnoteText"/>
        <w:rPr>
          <w:lang w:val="de-DE"/>
        </w:rPr>
      </w:pPr>
      <w:r>
        <w:rPr>
          <w:rStyle w:val="FootnoteReference"/>
        </w:rPr>
        <w:footnoteRef/>
      </w:r>
      <w:r w:rsidRPr="00127ECD">
        <w:rPr>
          <w:lang w:val="de-DE"/>
        </w:rPr>
        <w:t xml:space="preserve"> Der Europäische Ausschuss für Systemrisiken nimmt auch eine Bewertung des auf Krypto-Vermögenswerten basierenden Ökosystems in den Monitor für Nichtbanken-Finanzintermediäre auf, da dieses System „Arten der Finanzmittlung tätigen kann, die zu ähnlichen Gefährdungen führen und sie ähnlichen Risiken aussetzen können“, siehe Europäischer Ausschuss für Systemrisiken (2023), </w:t>
      </w:r>
      <w:hyperlink r:id="rId10" w:history="1">
        <w:r w:rsidRPr="00127ECD">
          <w:rPr>
            <w:rStyle w:val="Hyperlink"/>
            <w:lang w:val="de-DE"/>
          </w:rPr>
          <w:t>EU Non-bank Financial Intermediation Risk Monitor 2022 (europa.eu)</w:t>
        </w:r>
      </w:hyperlink>
      <w:r w:rsidRPr="00127ECD">
        <w:rPr>
          <w:lang w:val="de-DE"/>
        </w:rPr>
        <w:t xml:space="preserve"> (Risikomonitor für die finanzielle Mittlertätigkeit durch Nichtbanken in der EU 2022), S. 6. Der Finanzstabilitätsrat definiert den „Sektor der Nichtbanken-Finanzintermediäre“ als „einen weit gefassten Indikator aller bankfremden Finanzunternehmen, der sich aus allen Finanzinstituten zusammensetzt, die keine Zentralbanken, Banken oder öffentlichen Finanzinstitute sind“. Finanzstabilitätsrat (2022), </w:t>
      </w:r>
      <w:hyperlink r:id="rId11" w:history="1">
        <w:r w:rsidRPr="00127ECD">
          <w:rPr>
            <w:rStyle w:val="Hyperlink"/>
            <w:lang w:val="de-DE"/>
          </w:rPr>
          <w:t>Global Monitoring Report on Non-Bank Financial Intermediation:</w:t>
        </w:r>
      </w:hyperlink>
      <w:hyperlink r:id="rId12" w:history="1">
        <w:r w:rsidRPr="00127ECD">
          <w:rPr>
            <w:rStyle w:val="Hyperlink"/>
            <w:lang w:val="de-DE"/>
          </w:rPr>
          <w:t xml:space="preserve"> 2022</w:t>
        </w:r>
      </w:hyperlink>
      <w:r w:rsidRPr="00127ECD">
        <w:rPr>
          <w:lang w:val="de-DE"/>
        </w:rPr>
        <w:t xml:space="preserve"> (Bericht über das weltweite Monitoring der finanziellen Mittlertätigkeit von Nichtbanken: 2022), S. 3. Bei dieser Kategorisierung wird auch die Finanzmarktinfrastruktur unter der Kategorie der „Marktmittler“ eingeordnet. Siehe Finanzstabilitätsrat (2022), </w:t>
      </w:r>
      <w:hyperlink r:id="rId13" w:history="1">
        <w:r w:rsidRPr="00127ECD">
          <w:rPr>
            <w:rStyle w:val="Hyperlink"/>
            <w:lang w:val="de-DE"/>
          </w:rPr>
          <w:t>Enhancing the Resilience of Non-Bank Financial Intermediation: Progress report</w:t>
        </w:r>
      </w:hyperlink>
      <w:r w:rsidRPr="00127ECD">
        <w:rPr>
          <w:lang w:val="de-DE"/>
        </w:rPr>
        <w:t xml:space="preserve"> (Stärkung der Widerstandsfähigkeit der finanziellen Mittlertätigkeit von Nichtbanken: Fortschrittsbericht), S. 18. Dennoch ermittelte der Finanzstabilitätsrat für Nichtbanken-Finanzintermediäre auch einen „eng gefassten Indikator“, der nicht auf Unternehmen basiert, sondern als ein Indikator für bankähnliche Tätigkeit definiert ist. Finanzstabilitätsrat (2022), ebd. S. 3. </w:t>
      </w:r>
    </w:p>
  </w:footnote>
  <w:footnote w:id="13">
    <w:p w14:paraId="7B51B336" w14:textId="49D992DD" w:rsidR="00241024" w:rsidRPr="00127ECD" w:rsidRDefault="00241024" w:rsidP="00A52008">
      <w:pPr>
        <w:spacing w:after="0" w:line="240" w:lineRule="auto"/>
        <w:rPr>
          <w:rFonts w:cs="Times New Roman"/>
          <w:sz w:val="20"/>
          <w:lang w:val="de-DE"/>
        </w:rPr>
      </w:pPr>
      <w:r>
        <w:rPr>
          <w:rStyle w:val="FootnoteReference"/>
        </w:rPr>
        <w:footnoteRef/>
      </w:r>
      <w:r w:rsidRPr="00127ECD">
        <w:rPr>
          <w:sz w:val="20"/>
          <w:lang w:val="de-DE"/>
        </w:rPr>
        <w:t xml:space="preserve"> </w:t>
      </w:r>
      <w:r w:rsidRPr="00127ECD">
        <w:rPr>
          <w:color w:val="111111"/>
          <w:sz w:val="20"/>
          <w:shd w:val="clear" w:color="auto" w:fill="FFFFFF"/>
          <w:lang w:val="de-DE"/>
        </w:rPr>
        <w:t xml:space="preserve">Liquiditätstransformation ist ein Vorgang, bei dem liquiden Mitteln gleichgestellte kurzfristige Verbindlichkeiten dazu verwendet werden, längerfristige Vermögenswerte wie Kredite zu erwerben. </w:t>
      </w:r>
      <w:r w:rsidRPr="00127ECD">
        <w:rPr>
          <w:sz w:val="20"/>
          <w:lang w:val="de-DE"/>
        </w:rPr>
        <w:t xml:space="preserve">„Hebelwirkung“ bezieht sich entweder darauf, dass man sich Finanzmittel borgt, um einen Vermögenswert zu erwerben (physische oder finanzielle Hebelwirkung), oder dass man in einem Vertrag Einschüsse vorsieht, wobei die Partei, die die Hebelwirkung anstrebt, als Gegenleistung für eine Zahlung oder eine Gebühr (z. B. Gesamtrendite-Swap oder Optionen) den finanziellen Ertrag eines Vermögenswertes erhält; dies wird auch als „synthetische“ Hebelwirkung bezeichnet. </w:t>
      </w:r>
    </w:p>
  </w:footnote>
  <w:footnote w:id="14">
    <w:p w14:paraId="2EC3955B" w14:textId="77777777" w:rsidR="00776FCF" w:rsidRPr="00127ECD" w:rsidRDefault="00776FCF" w:rsidP="00776FCF">
      <w:pPr>
        <w:pStyle w:val="FootnoteText"/>
        <w:rPr>
          <w:lang w:val="de-DE"/>
        </w:rPr>
      </w:pPr>
      <w:r>
        <w:rPr>
          <w:rStyle w:val="FootnoteReference"/>
        </w:rPr>
        <w:footnoteRef/>
      </w:r>
      <w:r w:rsidRPr="00127ECD">
        <w:rPr>
          <w:lang w:val="de-DE"/>
        </w:rPr>
        <w:t xml:space="preserve"> </w:t>
      </w:r>
      <w:r w:rsidRPr="00127ECD">
        <w:rPr>
          <w:rStyle w:val="FootnoteTextChar"/>
          <w:lang w:val="de-DE"/>
        </w:rPr>
        <w:t xml:space="preserve">Finanzstabilitätsrat (2022), </w:t>
      </w:r>
      <w:hyperlink r:id="rId14" w:history="1">
        <w:r w:rsidRPr="00127ECD">
          <w:rPr>
            <w:rStyle w:val="Hyperlink"/>
            <w:lang w:val="de-DE"/>
          </w:rPr>
          <w:t>Global Monitoring Report on Non-Bank Financial Intermediation</w:t>
        </w:r>
      </w:hyperlink>
      <w:r w:rsidRPr="00127ECD">
        <w:rPr>
          <w:rStyle w:val="FootnoteTextChar"/>
          <w:lang w:val="de-DE"/>
        </w:rPr>
        <w:t xml:space="preserve"> (Bericht über das weltweite Monitoring der finanziellen Mittlertätigkeit durch Nichtbanken), Dezember 2022, S. 31.</w:t>
      </w:r>
    </w:p>
  </w:footnote>
  <w:footnote w:id="15">
    <w:p w14:paraId="2045A312" w14:textId="77777777" w:rsidR="00776FCF" w:rsidRPr="00127ECD" w:rsidRDefault="00776FCF" w:rsidP="00776FCF">
      <w:pPr>
        <w:spacing w:after="0" w:line="240" w:lineRule="auto"/>
        <w:rPr>
          <w:rFonts w:eastAsia="Calibri" w:cs="Times New Roman"/>
          <w:sz w:val="20"/>
          <w:lang w:val="de-DE"/>
        </w:rPr>
      </w:pPr>
      <w:r>
        <w:rPr>
          <w:rStyle w:val="FootnoteReference"/>
        </w:rPr>
        <w:footnoteRef/>
      </w:r>
      <w:r w:rsidRPr="00127ECD">
        <w:rPr>
          <w:lang w:val="de-DE"/>
        </w:rPr>
        <w:t xml:space="preserve"> </w:t>
      </w:r>
      <w:r w:rsidRPr="00127ECD">
        <w:rPr>
          <w:rStyle w:val="FootnoteTextChar"/>
          <w:lang w:val="de-DE"/>
        </w:rPr>
        <w:t xml:space="preserve">Europäischer Ausschuss für Systemrisiken, NBFI Monitoring (Monitoring von Nichtbanken-Finanzintermediären), Juni 2023, S. 11, abrufbar unter </w:t>
      </w:r>
      <w:hyperlink r:id="rId15" w:history="1">
        <w:r w:rsidRPr="00127ECD">
          <w:rPr>
            <w:rStyle w:val="FootnoteTextChar"/>
            <w:lang w:val="de-DE"/>
          </w:rPr>
          <w:t>EU Non-bank Financial Intermediation Risk Monitor 2022 (europa.eu)</w:t>
        </w:r>
      </w:hyperlink>
      <w:r w:rsidRPr="00127ECD">
        <w:rPr>
          <w:rStyle w:val="FootnoteTextChar"/>
          <w:lang w:val="de-DE"/>
        </w:rPr>
        <w:t xml:space="preserve"> (Risikomonitor für die finanzielle Mittlertätigkeit durch Nichtbanken in der EU 2022). </w:t>
      </w:r>
    </w:p>
  </w:footnote>
  <w:footnote w:id="16">
    <w:p w14:paraId="2A8DA94E" w14:textId="77777777" w:rsidR="00776FCF" w:rsidRPr="00127ECD" w:rsidRDefault="00776FCF" w:rsidP="00776FCF">
      <w:pPr>
        <w:pStyle w:val="FootnoteText"/>
        <w:rPr>
          <w:lang w:val="de-DE"/>
        </w:rPr>
      </w:pPr>
      <w:r>
        <w:rPr>
          <w:rStyle w:val="FootnoteReference"/>
        </w:rPr>
        <w:footnoteRef/>
      </w:r>
      <w:r w:rsidRPr="00127ECD">
        <w:rPr>
          <w:lang w:val="de-DE"/>
        </w:rPr>
        <w:t xml:space="preserve"> Bei einer Liquiditätsinkongruenz handelt es sich um eine Diskrepanz bei Angebot oder Nachfrage eines Wertpapiers oder bei den Fälligkeitsterminen von Wertpapieren. Eine Liquiditätsinkongruenz entsteht, wenn Fonds ihren Anlegern die Option kurzfristiger Tilgungen gewähren, gleichzeitig aber in Vermögenswerte investieren, die nicht ohne Weiteres kurzfristig liquidiert werden können. </w:t>
      </w:r>
    </w:p>
    <w:p w14:paraId="17A4DEEB" w14:textId="77777777" w:rsidR="00776FCF" w:rsidRPr="00127ECD" w:rsidRDefault="0004494A" w:rsidP="00776FCF">
      <w:pPr>
        <w:pStyle w:val="FootnoteText"/>
        <w:rPr>
          <w:lang w:val="de-DE"/>
        </w:rPr>
      </w:pPr>
      <w:hyperlink r:id="rId16" w:history="1">
        <w:r w:rsidR="00127ECD" w:rsidRPr="00127ECD">
          <w:rPr>
            <w:rStyle w:val="Hyperlink"/>
            <w:lang w:val="de-DE"/>
          </w:rPr>
          <w:t>Liquidity mismatch in open-ended funds:</w:t>
        </w:r>
      </w:hyperlink>
      <w:hyperlink r:id="rId17" w:history="1">
        <w:r w:rsidR="00127ECD" w:rsidRPr="00127ECD">
          <w:rPr>
            <w:rStyle w:val="Hyperlink"/>
            <w:lang w:val="de-DE"/>
          </w:rPr>
          <w:t xml:space="preserve"> trends, gaps and policy implications (europa.eu)</w:t>
        </w:r>
      </w:hyperlink>
      <w:r w:rsidR="00127ECD" w:rsidRPr="00127ECD">
        <w:rPr>
          <w:lang w:val="de-DE"/>
        </w:rPr>
        <w:t xml:space="preserve"> (Liquiditätsinkongruenz in offenen Fonds: Trends, Lücken und politische Implikationen).</w:t>
      </w:r>
    </w:p>
  </w:footnote>
  <w:footnote w:id="17">
    <w:p w14:paraId="59A6FDDD" w14:textId="4FE2BE22" w:rsidR="00E8064E" w:rsidRPr="00127ECD" w:rsidRDefault="00E8064E" w:rsidP="00C64A13">
      <w:pPr>
        <w:pStyle w:val="FootnoteText"/>
        <w:rPr>
          <w:lang w:val="de-DE"/>
        </w:rPr>
      </w:pPr>
      <w:r>
        <w:rPr>
          <w:rStyle w:val="FootnoteReference"/>
        </w:rPr>
        <w:footnoteRef/>
      </w:r>
      <w:r w:rsidRPr="00127ECD">
        <w:rPr>
          <w:lang w:val="de-DE"/>
        </w:rPr>
        <w:t xml:space="preserve"> Die EZB forderte insbesondere „eine umfassende politische Reaktion [der Makroaufsicht] zur Stärkung der Widerstandsfähigkeit“ von Nichtbanken-Finanzintermediären, einschließlich der „Umwidmung bestehender Instrumente (d. h. Einbettung von Perspektiven der Makroaufsicht), der Entwicklung zusätzlicher Strategien der Makroaufsicht sowie eine Bewertung der Rolle der Behörden bei ihrer Umsetzung“. Siehe </w:t>
      </w:r>
      <w:hyperlink r:id="rId18" w:anchor="toc36" w:history="1">
        <w:r w:rsidRPr="00127ECD">
          <w:rPr>
            <w:rStyle w:val="Hyperlink"/>
            <w:lang w:val="de-DE"/>
          </w:rPr>
          <w:t>ECB, Financial Stability Review Report, November 2023</w:t>
        </w:r>
      </w:hyperlink>
      <w:r w:rsidRPr="00127ECD">
        <w:rPr>
          <w:lang w:val="de-DE"/>
        </w:rPr>
        <w:t xml:space="preserve"> (EZB, Bericht über die Überprüfung der Finanzstabilität). Banque de France hat Folgendes festgestellt: „Die Anfälligkeiten im Zusammenhang mit Nichtbanken-Finanzintermediären erfordern eine harmonisierte Umsetzung geeigneter Maßnahmen auf internationaler Ebene. […] Im Mittelpunkt der bisher geleisteten Arbeit standen jedoch Maßnahmen der Finanzaufsicht auf Mikroebene, wobei die Aktivierung bestimmter Instrumente im Ermessen der Fonds lag und sich auf den Anlegerschutz konzentrierte. Ein makroprudenzieller Ansatz, der die von Fondskohorten getragenen Risiken und deren Auswirkungen auf das Finanzsystem insgesamt zusammenfasst und möglicherweise den Behörden zur Verfügung stehende Instrumente einschließt, ist noch festzulegen.“ Siehe Banque de France, </w:t>
      </w:r>
      <w:hyperlink r:id="rId19" w:history="1">
        <w:r w:rsidRPr="00127ECD">
          <w:rPr>
            <w:rStyle w:val="Hyperlink"/>
            <w:lang w:val="de-DE"/>
          </w:rPr>
          <w:t>Non-bank financial intermediation: vulnerabilities and challenges</w:t>
        </w:r>
      </w:hyperlink>
      <w:r w:rsidRPr="00127ECD">
        <w:rPr>
          <w:lang w:val="de-DE"/>
        </w:rPr>
        <w:t xml:space="preserve"> (Finanzielle Mittlertätigkeit außerhalb des Bankensektors: Schwachstellen und Herausforderungen), 14. November 2023. Die Zentralbank von Irland veröffentlichte im Juli 2023 ein Diskussionspapier mit dem Titel „</w:t>
      </w:r>
      <w:hyperlink r:id="rId20" w:history="1">
        <w:r w:rsidRPr="00127ECD">
          <w:rPr>
            <w:rStyle w:val="Hyperlink"/>
            <w:lang w:val="de-DE"/>
          </w:rPr>
          <w:t>An approach to macroprudential policy for investment funds</w:t>
        </w:r>
      </w:hyperlink>
      <w:r w:rsidRPr="00127ECD">
        <w:rPr>
          <w:lang w:val="de-DE"/>
        </w:rPr>
        <w:t>“ (Ansatz für eine makroprudenzielle Strategie für Investmentfonds), in dem sie unter anderem die von Investmentfonds ausgehenden Systemrisiken untersucht und die Idee eines ganzheitlicheren makroprudenziellen Rahmens für Investmentfonds prüft.</w:t>
      </w:r>
    </w:p>
  </w:footnote>
  <w:footnote w:id="18">
    <w:p w14:paraId="69452308" w14:textId="01562039" w:rsidR="0021486B" w:rsidRPr="00127ECD" w:rsidRDefault="0021486B" w:rsidP="00C64A13">
      <w:pPr>
        <w:pStyle w:val="FootnoteText"/>
        <w:rPr>
          <w:lang w:val="de-DE"/>
        </w:rPr>
      </w:pPr>
      <w:r>
        <w:rPr>
          <w:rStyle w:val="FootnoteReference"/>
        </w:rPr>
        <w:footnoteRef/>
      </w:r>
      <w:r w:rsidRPr="00127ECD">
        <w:rPr>
          <w:lang w:val="de-DE"/>
        </w:rPr>
        <w:t xml:space="preserve"> Die Kapitalpuffer, die zusammen die kombinierte Kapitalpufferanforderung bilden, sind in den folgenden Artikeln der </w:t>
      </w:r>
      <w:r w:rsidRPr="00127ECD">
        <w:rPr>
          <w:rStyle w:val="s2"/>
          <w:lang w:val="de-DE"/>
        </w:rPr>
        <w:t xml:space="preserve">Richtlinie 2013/36/EU des Europäischen Parlaments und des Rates vom 26. Juni 2013 (ABl. L 176 vom 27.6.2013, S. 338) über den Zugang zur Tätigkeit von Kreditinstituten und die Beaufsichtigung von Kreditinstituten und Wertpapierfirmen verankert: der </w:t>
      </w:r>
      <w:r w:rsidRPr="00127ECD">
        <w:rPr>
          <w:rStyle w:val="s2"/>
          <w:i/>
          <w:lang w:val="de-DE"/>
        </w:rPr>
        <w:t>Kapitalerhaltungspuffer</w:t>
      </w:r>
      <w:r w:rsidRPr="00127ECD">
        <w:rPr>
          <w:rStyle w:val="s2"/>
          <w:lang w:val="de-DE"/>
        </w:rPr>
        <w:t xml:space="preserve"> in Artikel 129, die </w:t>
      </w:r>
      <w:r w:rsidRPr="00127ECD">
        <w:rPr>
          <w:rStyle w:val="s2"/>
          <w:i/>
          <w:lang w:val="de-DE"/>
        </w:rPr>
        <w:t>G-SRI</w:t>
      </w:r>
      <w:r w:rsidRPr="00127ECD">
        <w:rPr>
          <w:rStyle w:val="s2"/>
          <w:lang w:val="de-DE"/>
        </w:rPr>
        <w:t xml:space="preserve">- und </w:t>
      </w:r>
      <w:r w:rsidRPr="00127ECD">
        <w:rPr>
          <w:rStyle w:val="s2"/>
          <w:i/>
          <w:lang w:val="de-DE"/>
        </w:rPr>
        <w:t>A-SRI</w:t>
      </w:r>
      <w:r w:rsidRPr="00127ECD">
        <w:rPr>
          <w:rStyle w:val="s2"/>
          <w:lang w:val="de-DE"/>
        </w:rPr>
        <w:t xml:space="preserve">-Puffer in Artikel 131, der </w:t>
      </w:r>
      <w:r w:rsidRPr="00127ECD">
        <w:rPr>
          <w:rStyle w:val="s2"/>
          <w:i/>
          <w:lang w:val="de-DE"/>
        </w:rPr>
        <w:t>antizyklische Kapitalpuffer</w:t>
      </w:r>
      <w:r w:rsidRPr="00127ECD">
        <w:rPr>
          <w:rStyle w:val="s2"/>
          <w:lang w:val="de-DE"/>
        </w:rPr>
        <w:t xml:space="preserve"> in Artikel 130 und der </w:t>
      </w:r>
      <w:r w:rsidRPr="00127ECD">
        <w:rPr>
          <w:rStyle w:val="s2"/>
          <w:i/>
          <w:lang w:val="de-DE"/>
        </w:rPr>
        <w:t>Systemrisikopuffer</w:t>
      </w:r>
      <w:r w:rsidRPr="00127ECD">
        <w:rPr>
          <w:rStyle w:val="s2"/>
          <w:lang w:val="de-DE"/>
        </w:rPr>
        <w:t xml:space="preserve"> in Artikel 133. </w:t>
      </w:r>
    </w:p>
  </w:footnote>
  <w:footnote w:id="19">
    <w:p w14:paraId="2E61FFA0" w14:textId="32DBECB2" w:rsidR="00FB6E6D" w:rsidRPr="00127ECD" w:rsidRDefault="00FB6E6D" w:rsidP="002E17E0">
      <w:pPr>
        <w:spacing w:after="0"/>
        <w:rPr>
          <w:rFonts w:cs="Times New Roman"/>
          <w:sz w:val="20"/>
          <w:lang w:val="de-DE"/>
        </w:rPr>
      </w:pPr>
      <w:r>
        <w:rPr>
          <w:rStyle w:val="FootnoteReference"/>
        </w:rPr>
        <w:footnoteRef/>
      </w:r>
      <w:r w:rsidRPr="00127ECD">
        <w:rPr>
          <w:sz w:val="20"/>
          <w:lang w:val="de-DE"/>
        </w:rPr>
        <w:t xml:space="preserve"> Artikel 5 Absatz 2 der Verordnung (EU) Nr. 1024/2013 des Rates vom 15. Oktober 2013 zur Übertragung besonderer Aufgaben im Zusammenhang mit der Aufsicht über Kreditinstitute auf die Europäische Zentralbank.</w:t>
      </w:r>
    </w:p>
  </w:footnote>
  <w:footnote w:id="20">
    <w:p w14:paraId="78824C58" w14:textId="5ED57EE3" w:rsidR="00241024" w:rsidRPr="00127ECD" w:rsidRDefault="00241024" w:rsidP="00C45C15">
      <w:pPr>
        <w:spacing w:after="0" w:line="240" w:lineRule="auto"/>
        <w:rPr>
          <w:sz w:val="20"/>
          <w:lang w:val="de-DE"/>
        </w:rPr>
      </w:pPr>
      <w:r>
        <w:rPr>
          <w:rStyle w:val="FootnoteReference"/>
        </w:rPr>
        <w:footnoteRef/>
      </w:r>
      <w:r w:rsidRPr="00127ECD">
        <w:rPr>
          <w:sz w:val="20"/>
          <w:lang w:val="de-DE"/>
        </w:rPr>
        <w:t xml:space="preserve"> </w:t>
      </w:r>
      <w:r w:rsidRPr="00127ECD">
        <w:rPr>
          <w:color w:val="333333"/>
          <w:sz w:val="20"/>
          <w:shd w:val="clear" w:color="auto" w:fill="FFFFFF"/>
          <w:lang w:val="de-DE"/>
        </w:rPr>
        <w:t xml:space="preserve">Richtlinie 2011/61/EU des Europäischen Parlaments und des Rates vom 8. Juni 2011 über die Verwalter alternativer Investmentfonds und zur Änderung der Richtlinien 2003/41/EG und 2009/65/EG und der Verordnungen (EG) Nr. 1060/2009 und (EU) Nr. 1095/2010. </w:t>
      </w:r>
    </w:p>
  </w:footnote>
  <w:footnote w:id="21">
    <w:p w14:paraId="39B7D085" w14:textId="3F71B53D" w:rsidR="00241024" w:rsidRPr="00127ECD" w:rsidRDefault="00241024" w:rsidP="00C45C15">
      <w:pPr>
        <w:spacing w:after="0" w:line="240" w:lineRule="auto"/>
        <w:rPr>
          <w:sz w:val="20"/>
          <w:lang w:val="de-DE"/>
        </w:rPr>
      </w:pPr>
      <w:r>
        <w:rPr>
          <w:rStyle w:val="FootnoteReference"/>
        </w:rPr>
        <w:footnoteRef/>
      </w:r>
      <w:r w:rsidRPr="00127ECD">
        <w:rPr>
          <w:sz w:val="20"/>
          <w:lang w:val="de-DE"/>
        </w:rPr>
        <w:t xml:space="preserve"> </w:t>
      </w:r>
      <w:r w:rsidRPr="00127ECD">
        <w:rPr>
          <w:color w:val="333333"/>
          <w:sz w:val="20"/>
          <w:shd w:val="clear" w:color="auto" w:fill="FFFFFF"/>
          <w:lang w:val="de-DE"/>
        </w:rPr>
        <w:t>Richtlinie 2009/65/EG des Europäischen Parlaments und des Rates vom 13. Juli 2009 zur Koordinierung der Rechts- und Verwaltungsvorschriften betreffend bestimmte Organismen für gemeinsame Anlagen in Wertpapieren (OGAW) (Neufassung).</w:t>
      </w:r>
      <w:r w:rsidRPr="00127ECD">
        <w:rPr>
          <w:sz w:val="20"/>
          <w:lang w:val="de-DE"/>
        </w:rPr>
        <w:t xml:space="preserve"> </w:t>
      </w:r>
    </w:p>
  </w:footnote>
  <w:footnote w:id="22">
    <w:p w14:paraId="5BC73E3B" w14:textId="0842B8C9" w:rsidR="00241024" w:rsidRPr="00127ECD" w:rsidRDefault="00241024" w:rsidP="00C64A13">
      <w:pPr>
        <w:pStyle w:val="FootnoteText"/>
        <w:rPr>
          <w:lang w:val="de-DE"/>
        </w:rPr>
      </w:pPr>
      <w:r>
        <w:rPr>
          <w:rStyle w:val="FootnoteReference"/>
        </w:rPr>
        <w:footnoteRef/>
      </w:r>
      <w:r w:rsidRPr="00127ECD">
        <w:rPr>
          <w:lang w:val="de-DE"/>
        </w:rPr>
        <w:t xml:space="preserve"> Europäische Kommission (2021), </w:t>
      </w:r>
      <w:hyperlink r:id="rId21" w:history="1">
        <w:r w:rsidRPr="00127ECD">
          <w:rPr>
            <w:rStyle w:val="Hyperlink"/>
            <w:lang w:val="de-DE"/>
          </w:rPr>
          <w:t>Capital markets union:</w:t>
        </w:r>
      </w:hyperlink>
      <w:hyperlink r:id="rId22" w:history="1">
        <w:r w:rsidRPr="00127ECD">
          <w:rPr>
            <w:rStyle w:val="Hyperlink"/>
            <w:lang w:val="de-DE"/>
          </w:rPr>
          <w:t xml:space="preserve"> Commission adopts package to ensure better data access and revamped investment rules</w:t>
        </w:r>
      </w:hyperlink>
      <w:r w:rsidRPr="00127ECD">
        <w:rPr>
          <w:lang w:val="de-DE"/>
        </w:rPr>
        <w:t xml:space="preserve"> (Kapitalmarktunion: Kommission nimmt Maßnahmenpaket zur Sicherstellung eines besseren Datenzugangs und neu gestaltete Anlagevorschriften an), 25. November 2021. </w:t>
      </w:r>
    </w:p>
  </w:footnote>
  <w:footnote w:id="23">
    <w:p w14:paraId="05AB34F4" w14:textId="02B79F69" w:rsidR="00241024" w:rsidRPr="00127ECD" w:rsidRDefault="00241024" w:rsidP="00C64A13">
      <w:pPr>
        <w:pStyle w:val="FootnoteText"/>
        <w:rPr>
          <w:lang w:val="de-DE"/>
        </w:rPr>
      </w:pPr>
      <w:r>
        <w:rPr>
          <w:rStyle w:val="FootnoteReference"/>
        </w:rPr>
        <w:footnoteRef/>
      </w:r>
      <w:r w:rsidRPr="00127ECD">
        <w:rPr>
          <w:lang w:val="de-DE"/>
        </w:rPr>
        <w:t xml:space="preserve"> Empfehlung des Europäischen Ausschusses für Systemrisiken vom 7. Dezember 2017 zu Liquiditäts- und Hebelfinanzierungsrisiken von Investmentfonds (ESRB/2017/6). </w:t>
      </w:r>
    </w:p>
  </w:footnote>
  <w:footnote w:id="24">
    <w:p w14:paraId="141B2E1D" w14:textId="596B2EF3" w:rsidR="00241024" w:rsidRPr="00127ECD" w:rsidRDefault="00241024" w:rsidP="00F43FC7">
      <w:pPr>
        <w:spacing w:after="0" w:line="240" w:lineRule="auto"/>
        <w:rPr>
          <w:rFonts w:eastAsia="Calibri" w:cs="Times New Roman"/>
          <w:sz w:val="20"/>
          <w:lang w:val="de-DE"/>
        </w:rPr>
      </w:pPr>
      <w:r>
        <w:rPr>
          <w:rStyle w:val="FootnoteReference"/>
          <w:rFonts w:cs="Times New Roman"/>
        </w:rPr>
        <w:footnoteRef/>
      </w:r>
      <w:r w:rsidRPr="00127ECD">
        <w:rPr>
          <w:sz w:val="20"/>
          <w:lang w:val="de-DE"/>
        </w:rPr>
        <w:t xml:space="preserve"> </w:t>
      </w:r>
      <w:r w:rsidRPr="00127ECD">
        <w:rPr>
          <w:rStyle w:val="FootnoteTextChar"/>
          <w:lang w:val="de-DE"/>
        </w:rPr>
        <w:t>Verordnung (EU) 2017/1131 des Europäischen Parlaments und des Rates vom 14. Juni 2017 über Geldmarktfonds, abrufbar unter</w:t>
      </w:r>
      <w:r w:rsidRPr="00127ECD">
        <w:rPr>
          <w:lang w:val="de-DE"/>
        </w:rPr>
        <w:t xml:space="preserve"> </w:t>
      </w:r>
      <w:hyperlink r:id="rId23" w:history="1">
        <w:r w:rsidRPr="00127ECD">
          <w:rPr>
            <w:rStyle w:val="FootnoteTextChar"/>
            <w:lang w:val="de-DE"/>
          </w:rPr>
          <w:t>EUR-Lex – 02017R1131-20190101 – EN – EUR-Lex (europa.eu)</w:t>
        </w:r>
      </w:hyperlink>
      <w:r w:rsidRPr="00127ECD">
        <w:rPr>
          <w:rStyle w:val="FootnoteTextChar"/>
          <w:lang w:val="de-DE"/>
        </w:rPr>
        <w:t xml:space="preserve">. </w:t>
      </w:r>
    </w:p>
  </w:footnote>
  <w:footnote w:id="25">
    <w:p w14:paraId="71C4CE39" w14:textId="7FF4F5C5" w:rsidR="00241024" w:rsidRPr="00127ECD" w:rsidRDefault="00241024" w:rsidP="00C64A13">
      <w:pPr>
        <w:pStyle w:val="FootnoteText"/>
        <w:rPr>
          <w:lang w:val="de-DE"/>
        </w:rPr>
      </w:pPr>
      <w:r>
        <w:rPr>
          <w:rStyle w:val="FootnoteReference"/>
        </w:rPr>
        <w:footnoteRef/>
      </w:r>
      <w:r w:rsidRPr="00127ECD">
        <w:rPr>
          <w:lang w:val="de-DE"/>
        </w:rPr>
        <w:t xml:space="preserve"> Europäische Kommission (2022), </w:t>
      </w:r>
      <w:hyperlink r:id="rId24" w:history="1">
        <w:r w:rsidRPr="00127ECD">
          <w:rPr>
            <w:rStyle w:val="Hyperlink"/>
            <w:lang w:val="de-DE"/>
          </w:rPr>
          <w:t>Targeted consultation on the functioning of the Money Market Fund Regulation</w:t>
        </w:r>
      </w:hyperlink>
      <w:r w:rsidRPr="00127ECD">
        <w:rPr>
          <w:lang w:val="de-DE"/>
        </w:rPr>
        <w:t xml:space="preserve"> (Gezielte Konsultation über das Funktionieren der Verordnung über Geldmarktfonds), 12. April 2022. </w:t>
      </w:r>
    </w:p>
  </w:footnote>
  <w:footnote w:id="26">
    <w:p w14:paraId="262849AF" w14:textId="73858112" w:rsidR="00241024" w:rsidRPr="00127ECD" w:rsidRDefault="00241024" w:rsidP="00C64A13">
      <w:pPr>
        <w:pStyle w:val="FootnoteText"/>
        <w:rPr>
          <w:lang w:val="de-DE"/>
        </w:rPr>
      </w:pPr>
      <w:r>
        <w:rPr>
          <w:rStyle w:val="FootnoteReference"/>
        </w:rPr>
        <w:footnoteRef/>
      </w:r>
      <w:r w:rsidRPr="00127ECD">
        <w:rPr>
          <w:lang w:val="de-DE"/>
        </w:rPr>
        <w:t xml:space="preserve"> </w:t>
      </w:r>
      <w:hyperlink r:id="rId25" w:history="1">
        <w:r w:rsidRPr="00127ECD">
          <w:rPr>
            <w:rStyle w:val="Hyperlink"/>
            <w:lang w:val="de-DE"/>
          </w:rPr>
          <w:t>Report from the Commission on the adequacy of Regulation (EU) 2017/1131 on money market funds from a prudential and economic point of view (europa.eu)</w:t>
        </w:r>
      </w:hyperlink>
      <w:r w:rsidRPr="00127ECD">
        <w:rPr>
          <w:lang w:val="de-DE"/>
        </w:rPr>
        <w:t xml:space="preserve"> (Bericht der Kommission über die Angemessenheit der Verordnung (EU) 2017/1131 über Geldmarktfonds aus aufsichtsrechtlicher und wirtschaftlicher Sicht).</w:t>
      </w:r>
    </w:p>
  </w:footnote>
  <w:footnote w:id="27">
    <w:p w14:paraId="729F847B" w14:textId="63B58F24" w:rsidR="00241024" w:rsidRPr="00127ECD" w:rsidRDefault="00241024" w:rsidP="00C64A13">
      <w:pPr>
        <w:pStyle w:val="FootnoteText"/>
        <w:rPr>
          <w:lang w:val="de-DE"/>
        </w:rPr>
      </w:pPr>
      <w:r>
        <w:rPr>
          <w:rStyle w:val="FootnoteReference"/>
        </w:rPr>
        <w:footnoteRef/>
      </w:r>
      <w:r w:rsidRPr="00127ECD">
        <w:rPr>
          <w:lang w:val="de-DE"/>
        </w:rPr>
        <w:t xml:space="preserve"> Europäische Kommission (2021), </w:t>
      </w:r>
      <w:hyperlink r:id="rId26" w:history="1">
        <w:r w:rsidRPr="00127ECD">
          <w:rPr>
            <w:rStyle w:val="Hyperlink"/>
            <w:lang w:val="de-DE"/>
          </w:rPr>
          <w:t>Solvency II review (europa.eu)</w:t>
        </w:r>
      </w:hyperlink>
      <w:r w:rsidRPr="00127ECD">
        <w:rPr>
          <w:lang w:val="de-DE"/>
        </w:rPr>
        <w:t xml:space="preserve"> (Überprüfung der Solvabilität-II-Richtlinie), 22. September 2021. </w:t>
      </w:r>
    </w:p>
  </w:footnote>
  <w:footnote w:id="28">
    <w:p w14:paraId="6CAA4E94" w14:textId="47413ECE" w:rsidR="00241024" w:rsidRPr="00127ECD" w:rsidRDefault="00241024" w:rsidP="00C64A13">
      <w:pPr>
        <w:pStyle w:val="FootnoteText"/>
        <w:rPr>
          <w:lang w:val="de-DE"/>
        </w:rPr>
      </w:pPr>
      <w:r>
        <w:rPr>
          <w:rStyle w:val="FootnoteReference"/>
        </w:rPr>
        <w:footnoteRef/>
      </w:r>
      <w:r w:rsidRPr="00127ECD">
        <w:rPr>
          <w:lang w:val="de-DE"/>
        </w:rPr>
        <w:t xml:space="preserve"> EIOPA (2020), </w:t>
      </w:r>
      <w:hyperlink r:id="rId27" w:history="1">
        <w:r w:rsidRPr="00127ECD">
          <w:rPr>
            <w:rStyle w:val="Hyperlink"/>
            <w:lang w:val="de-DE"/>
          </w:rPr>
          <w:t>Opinion on the 2020 review of Solvency II</w:t>
        </w:r>
      </w:hyperlink>
      <w:r w:rsidRPr="00127ECD">
        <w:rPr>
          <w:lang w:val="de-DE"/>
        </w:rPr>
        <w:t xml:space="preserve"> (Stellungnahme zur Überprüfung der Solvabilität-II-Richtlinie im Jahr 2020), 17. Dezember 2020. </w:t>
      </w:r>
    </w:p>
  </w:footnote>
  <w:footnote w:id="29">
    <w:p w14:paraId="5C95732F" w14:textId="2D133FCD" w:rsidR="00241024" w:rsidRPr="00127ECD" w:rsidRDefault="00241024" w:rsidP="00C64A13">
      <w:pPr>
        <w:pStyle w:val="FootnoteText"/>
        <w:rPr>
          <w:lang w:val="de-DE"/>
        </w:rPr>
      </w:pPr>
      <w:r>
        <w:rPr>
          <w:rStyle w:val="FootnoteReference"/>
        </w:rPr>
        <w:footnoteRef/>
      </w:r>
      <w:r w:rsidRPr="00127ECD">
        <w:rPr>
          <w:lang w:val="de-DE"/>
        </w:rPr>
        <w:t xml:space="preserve"> Informationen über Systemrisikoinstrumente für Versicherer sind abrufbar unter ESRB (2022), </w:t>
      </w:r>
      <w:hyperlink r:id="rId28" w:history="1">
        <w:r w:rsidRPr="00127ECD">
          <w:rPr>
            <w:rStyle w:val="Hyperlink"/>
            <w:lang w:val="de-DE"/>
          </w:rPr>
          <w:t>Letter to Chairperson of the Council Working Party on Solvency II Review</w:t>
        </w:r>
      </w:hyperlink>
      <w:r w:rsidRPr="00127ECD">
        <w:rPr>
          <w:lang w:val="de-DE"/>
        </w:rPr>
        <w:t xml:space="preserve"> (Schreiben an den Vorsitz der Arbeitsgruppe des Rates „Überprüfung der Solvabilität-II-Richtlinie“), 2. Februar 2022; ESRB (2022), </w:t>
      </w:r>
      <w:hyperlink r:id="rId29" w:history="1">
        <w:r w:rsidRPr="00127ECD">
          <w:rPr>
            <w:rStyle w:val="Hyperlink"/>
            <w:lang w:val="de-DE"/>
          </w:rPr>
          <w:t>Letter to Members of the European Parliament</w:t>
        </w:r>
      </w:hyperlink>
      <w:r w:rsidRPr="00127ECD">
        <w:rPr>
          <w:lang w:val="de-DE"/>
        </w:rPr>
        <w:t xml:space="preserve"> (Schreiben an die Mitglieder des Europäischen Parlaments), November 2022. </w:t>
      </w:r>
    </w:p>
  </w:footnote>
  <w:footnote w:id="30">
    <w:p w14:paraId="6C70AFCF" w14:textId="56836294" w:rsidR="00241024" w:rsidRPr="00127ECD" w:rsidRDefault="00241024" w:rsidP="00C64A13">
      <w:pPr>
        <w:pStyle w:val="FootnoteText"/>
        <w:rPr>
          <w:lang w:val="de-DE"/>
        </w:rPr>
      </w:pPr>
      <w:r>
        <w:rPr>
          <w:rStyle w:val="FootnoteReference"/>
        </w:rPr>
        <w:footnoteRef/>
      </w:r>
      <w:r w:rsidRPr="00127ECD">
        <w:rPr>
          <w:lang w:val="de-DE"/>
        </w:rPr>
        <w:t xml:space="preserve"> Europäische Kommission (2022), </w:t>
      </w:r>
      <w:hyperlink r:id="rId30" w:history="1">
        <w:r w:rsidRPr="00127ECD">
          <w:rPr>
            <w:rStyle w:val="Hyperlink"/>
            <w:lang w:val="de-DE"/>
          </w:rPr>
          <w:t>Capital markets union:</w:t>
        </w:r>
      </w:hyperlink>
      <w:hyperlink r:id="rId31" w:history="1">
        <w:r w:rsidRPr="00127ECD">
          <w:rPr>
            <w:rStyle w:val="Hyperlink"/>
            <w:lang w:val="de-DE"/>
          </w:rPr>
          <w:t xml:space="preserve"> clearing, insolvency and listing package (europa.eu)</w:t>
        </w:r>
      </w:hyperlink>
      <w:r w:rsidRPr="00127ECD">
        <w:rPr>
          <w:lang w:val="de-DE"/>
        </w:rPr>
        <w:t xml:space="preserve"> (Kapitalmarktunion: Clearing-, Insolvenz- und Börsennotierungspaket), 7. Dezember 2022. </w:t>
      </w:r>
    </w:p>
  </w:footnote>
  <w:footnote w:id="31">
    <w:p w14:paraId="3A157AF5" w14:textId="0969B012" w:rsidR="00241024" w:rsidRPr="00127ECD" w:rsidRDefault="00241024" w:rsidP="00C64A13">
      <w:pPr>
        <w:pStyle w:val="FootnoteText"/>
        <w:rPr>
          <w:lang w:val="de-DE"/>
        </w:rPr>
      </w:pPr>
      <w:r>
        <w:rPr>
          <w:rStyle w:val="FootnoteReference"/>
        </w:rPr>
        <w:footnoteRef/>
      </w:r>
      <w:r w:rsidRPr="00127ECD">
        <w:rPr>
          <w:lang w:val="de-DE"/>
        </w:rPr>
        <w:t xml:space="preserve"> Verordnung (EU) 2015/2365 des Europäischen Parlaments und des Rates vom 25. November 2015 über die Transparenz von Wertpapierfinanzierungsgeschäften und der Weiterverwendung sowie zur Änderung der Verordnung (EU) Nr. 648/2012 (Text von Bedeutung für den EWR) (ABl. L 337 vom 23.12.2015). </w:t>
      </w:r>
    </w:p>
  </w:footnote>
  <w:footnote w:id="32">
    <w:p w14:paraId="651ACC10" w14:textId="1805392B" w:rsidR="00241024" w:rsidRPr="00127ECD" w:rsidRDefault="00241024" w:rsidP="00C64A13">
      <w:pPr>
        <w:pStyle w:val="FootnoteText"/>
        <w:rPr>
          <w:lang w:val="de-DE"/>
        </w:rPr>
      </w:pPr>
      <w:r>
        <w:rPr>
          <w:rStyle w:val="FootnoteReference"/>
        </w:rPr>
        <w:footnoteRef/>
      </w:r>
      <w:r w:rsidRPr="00127ECD">
        <w:rPr>
          <w:lang w:val="de-DE"/>
        </w:rPr>
        <w:t xml:space="preserve"> Siehe Artikel 394 Absatz 2 der Verordnung (EU) Nr. 575/2013 (ABl. L 176 vom 27.6.2013, S. 1). </w:t>
      </w:r>
    </w:p>
  </w:footnote>
  <w:footnote w:id="33">
    <w:p w14:paraId="7FE03CEE" w14:textId="1B6EE364" w:rsidR="001A7126" w:rsidRPr="00127ECD" w:rsidRDefault="001A7126" w:rsidP="00C64A13">
      <w:pPr>
        <w:pStyle w:val="FootnoteText"/>
        <w:rPr>
          <w:lang w:val="de-DE"/>
        </w:rPr>
      </w:pPr>
      <w:r>
        <w:rPr>
          <w:rStyle w:val="FootnoteReference"/>
        </w:rPr>
        <w:footnoteRef/>
      </w:r>
      <w:r w:rsidRPr="00127ECD">
        <w:rPr>
          <w:lang w:val="de-DE"/>
        </w:rPr>
        <w:t xml:space="preserve"> Diese Anforderungen wurden durch einen delegierten Rechtsakt der Stufe 2 operationalisiert, den die Europäische Kommission am 6. September 2023 annahm und der die Kriterien für die Ermittlung dieser Unternehmen durch die Banken harmonisiert und dabei insbesondere die Rechtsakte der EU festlegt, die den „Regelungsrahmen“ bilden. Siehe die Delegierte Verordnung (EU) 2023/2779 der Kommission vom 6. September 2023 zur Ergänzung der Verordnung (EU) Nr. 575/2013 des Europäischen Parlaments und des Rates durch technische Regulierungsstandards zur Festlegung der Kriterien für die Ermittlung von Schattenbankunternehmen im Sinne des Artikels 394 Absatz 2 der Verordnung (EU) Nr. 575/2013 (ABL. L 2023/2779 vom 12.12.2023). </w:t>
      </w:r>
    </w:p>
  </w:footnote>
  <w:footnote w:id="34">
    <w:p w14:paraId="13E8616F" w14:textId="55AD9575" w:rsidR="005F346F" w:rsidRPr="00127ECD" w:rsidRDefault="005F346F" w:rsidP="00C64A13">
      <w:pPr>
        <w:pStyle w:val="FootnoteText"/>
        <w:rPr>
          <w:lang w:val="de-DE"/>
        </w:rPr>
      </w:pPr>
      <w:r>
        <w:rPr>
          <w:rStyle w:val="FootnoteReference"/>
        </w:rPr>
        <w:footnoteRef/>
      </w:r>
      <w:r w:rsidRPr="00127ECD">
        <w:rPr>
          <w:lang w:val="de-DE"/>
        </w:rPr>
        <w:t xml:space="preserve"> Der Begriff Nichtbanken-Finanzintermediäre bezieht sich auf eine Gruppe heterogener Finanzinstitute, die keine Banken sind und den Fluss von Finanzmitteln zwischen Sparern und Kreditnehmern in der Wirtschaft erleichtern. Zu diesen Mittlern bzw. Intermediären zählen Unternehmen wie Vermögensverwaltungsgesellschaften, Investmentfonds, Versicherungsgesellschaften, Versorgungsfonds, Family Offices, Wirtschaftsakteure und andere Finanzinstitute außerhalb des Bankensektors, die verschiedene Finanzdienstleistungen und </w:t>
      </w:r>
      <w:r w:rsidRPr="00127ECD">
        <w:rPr>
          <w:lang w:val="de-DE"/>
        </w:rPr>
        <w:noBreakHyphen/>
        <w:t xml:space="preserve">produkte anbieten. </w:t>
      </w:r>
    </w:p>
  </w:footnote>
  <w:footnote w:id="35">
    <w:p w14:paraId="50137174" w14:textId="0F95D1A9" w:rsidR="00241024" w:rsidRPr="00127ECD" w:rsidRDefault="00241024" w:rsidP="00C64A13">
      <w:pPr>
        <w:pStyle w:val="FootnoteText"/>
        <w:rPr>
          <w:lang w:val="de-DE"/>
        </w:rPr>
      </w:pPr>
      <w:r>
        <w:rPr>
          <w:rStyle w:val="FootnoteReference"/>
        </w:rPr>
        <w:footnoteRef/>
      </w:r>
      <w:r w:rsidRPr="00127ECD">
        <w:rPr>
          <w:lang w:val="de-DE"/>
        </w:rPr>
        <w:t xml:space="preserve"> Für weitere Informationen über mögliche Hindernisse für die Nutzbarkeit von Puffern siehe Behn et al. (2020), </w:t>
      </w:r>
      <w:hyperlink r:id="rId32" w:history="1">
        <w:r w:rsidRPr="00127ECD">
          <w:rPr>
            <w:rStyle w:val="Hyperlink"/>
            <w:lang w:val="de-DE"/>
          </w:rPr>
          <w:t>Macroprudential capital buffers – objectives and usability</w:t>
        </w:r>
      </w:hyperlink>
      <w:r w:rsidRPr="00127ECD">
        <w:rPr>
          <w:lang w:val="de-DE"/>
        </w:rPr>
        <w:t xml:space="preserve"> (Makroprudenzielle Kapitalpuffer – Ziele und Nutzbarkeit), Macroprudential Bulletin der EZB, Oktober. </w:t>
      </w:r>
    </w:p>
  </w:footnote>
  <w:footnote w:id="36">
    <w:p w14:paraId="14F461B5" w14:textId="081632B9" w:rsidR="00241024" w:rsidRPr="00127ECD" w:rsidRDefault="00241024" w:rsidP="00C64A13">
      <w:pPr>
        <w:pStyle w:val="FootnoteText"/>
        <w:rPr>
          <w:lang w:val="de-DE"/>
        </w:rPr>
      </w:pPr>
      <w:r>
        <w:rPr>
          <w:rStyle w:val="FootnoteReference"/>
        </w:rPr>
        <w:footnoteRef/>
      </w:r>
      <w:r w:rsidRPr="00127ECD">
        <w:rPr>
          <w:lang w:val="de-DE"/>
        </w:rPr>
        <w:t xml:space="preserve"> Siehe Europäischer Ausschuss für Systemrisiken (2021), </w:t>
      </w:r>
      <w:hyperlink r:id="rId33" w:history="1">
        <w:r w:rsidRPr="00127ECD">
          <w:rPr>
            <w:rStyle w:val="Hyperlink"/>
            <w:lang w:val="de-DE"/>
          </w:rPr>
          <w:t>Report of the Analytical Task Force on the overlap between capital buffers and minimum requirements</w:t>
        </w:r>
      </w:hyperlink>
      <w:r w:rsidRPr="00127ECD">
        <w:rPr>
          <w:lang w:val="de-DE"/>
        </w:rPr>
        <w:t xml:space="preserve"> (Bericht der Arbeitsgruppe für Analysen über die Überschneidung zwischen Kapitalpuffern und Mindestanforderungen), Dezember 2021 und Basler Ausschuss für Bankenaufsicht (2022), Buffer usability and cyclicality in the Basel Framework (Nutzbarkeit und Zyklizität von Puffern im Basel-Rahmen). </w:t>
      </w:r>
    </w:p>
  </w:footnote>
  <w:footnote w:id="37">
    <w:p w14:paraId="6AD89EF1" w14:textId="324C1616" w:rsidR="00F80F30" w:rsidRPr="00127ECD" w:rsidRDefault="00F80F30" w:rsidP="00C64A13">
      <w:pPr>
        <w:pStyle w:val="FootnoteText"/>
        <w:rPr>
          <w:lang w:val="de-DE"/>
        </w:rPr>
      </w:pPr>
      <w:r>
        <w:rPr>
          <w:rStyle w:val="FootnoteReference"/>
        </w:rPr>
        <w:footnoteRef/>
      </w:r>
      <w:r w:rsidRPr="00127ECD">
        <w:rPr>
          <w:lang w:val="de-DE"/>
        </w:rPr>
        <w:t xml:space="preserve"> Die Mindestanforderung an Eigenmittel und berücksichtigungsfähige Verbindlichkeiten wird von Abwicklungsbehörden festgesetzt, um sicherzustellen, dass Banken jederzeit über ausreichende berücksichtigungsfähige Instrumente verfügen, um die gewählte Abwicklungsstrategie stützen zu können. Wenn die Abwicklungsstrategie beispielsweise das Bail-in und die Fortführung der Geschäftstätigkeit der Bank auf dem Markt umfasst, wird die Mindestanforderung an Eigenmittel und berücksichtigungsfähige Verbindlichkeiten so festgelegt, dass Verluste ausgeglichen und die Eigenkapitalposition der Bank wiederhergestellt wird, damit sie ihre entscheidenden Funktionen nach einer Krise weiterhin wahrnehmen kann. Die Anforderungen sind in der Richtlinie 2014/59/EU über die Sanierung und Abwicklung von Banken, geändert durch die Richtlinie (EU) 2019/879 in Bezug auf die Verlustabsorptions- und Rekapitalisierungskapazität von Kreditinstituten und Wertpapierfirmen (BRRD II), der Verordnung 806/2014/EU zur Einrichtung eines einheitlichen Abwicklungsmechanismus (SRMR), geändert durch die Verordnung (EU) 2019/877 in Bezug auf die Verlustabsorptions- und Rekapitalisierungsfähigkeit von Kreditinstituten und Wertpapierfirmen sowie der Eigenmittelverordnung und der Eigenkapitalrichtlinie im Einzelnen festgelegt worden.</w:t>
      </w:r>
    </w:p>
  </w:footnote>
  <w:footnote w:id="38">
    <w:p w14:paraId="7E552C2D" w14:textId="64E47744" w:rsidR="00241024" w:rsidRPr="00127ECD" w:rsidRDefault="00241024" w:rsidP="00C64A13">
      <w:pPr>
        <w:pStyle w:val="FootnoteText"/>
        <w:rPr>
          <w:lang w:val="de-DE"/>
        </w:rPr>
      </w:pPr>
      <w:r>
        <w:rPr>
          <w:rStyle w:val="FootnoteReference"/>
        </w:rPr>
        <w:footnoteRef/>
      </w:r>
      <w:r w:rsidRPr="00127ECD">
        <w:rPr>
          <w:lang w:val="de-DE"/>
        </w:rPr>
        <w:t xml:space="preserve"> Siehe beispielsweise Leitner et al (2023), </w:t>
      </w:r>
      <w:hyperlink r:id="rId34" w:history="1">
        <w:r w:rsidRPr="00127ECD">
          <w:rPr>
            <w:rStyle w:val="Hyperlink"/>
            <w:lang w:val="de-DE"/>
          </w:rPr>
          <w:t>How usable are capital buffers?</w:t>
        </w:r>
      </w:hyperlink>
      <w:hyperlink r:id="rId35" w:history="1">
        <w:r w:rsidRPr="00127ECD">
          <w:rPr>
            <w:rStyle w:val="Hyperlink"/>
            <w:lang w:val="de-DE"/>
          </w:rPr>
          <w:t xml:space="preserve"> </w:t>
        </w:r>
        <w:r>
          <w:rPr>
            <w:rStyle w:val="Hyperlink"/>
          </w:rPr>
          <w:t>An empirical analysis of the interaction between capital buffers and the leverage ratio since 2016</w:t>
        </w:r>
      </w:hyperlink>
      <w:r>
        <w:t xml:space="preserve"> (Wie nutzbar sind Kapitalpuffer? </w:t>
      </w:r>
      <w:r w:rsidRPr="00127ECD">
        <w:rPr>
          <w:lang w:val="de-DE"/>
        </w:rPr>
        <w:t xml:space="preserve">Eine empirische Analyse der Interaktion zwischen Kapitalpuffern und Verschuldungsquote seit 2016), Occasional Paper Nr. 329 der EZB. </w:t>
      </w:r>
    </w:p>
  </w:footnote>
  <w:footnote w:id="39">
    <w:p w14:paraId="248CA8DE" w14:textId="43E4C361" w:rsidR="00241024" w:rsidRPr="00127ECD" w:rsidRDefault="00241024" w:rsidP="00C64A13">
      <w:pPr>
        <w:pStyle w:val="FootnoteText"/>
        <w:rPr>
          <w:lang w:val="de-DE"/>
        </w:rPr>
      </w:pPr>
      <w:r>
        <w:rPr>
          <w:rStyle w:val="FootnoteReference"/>
        </w:rPr>
        <w:footnoteRef/>
      </w:r>
      <w:r w:rsidRPr="00127ECD">
        <w:rPr>
          <w:lang w:val="de-DE"/>
        </w:rPr>
        <w:t xml:space="preserve"> Laut Schätzungen in einer EZB-Studie brachten die größeren Kapitalpuffer und der neue Abwicklungsrahmen eine erhebliche Steigerung der Fähigkeit des Bankensystems zum Ausgleich von Verlusten mit sich. Die Fähigkeit des Bankensystems zum Ausgleich von Verlusten hat sich in den letzten zehn Jahren </w:t>
      </w:r>
      <w:r w:rsidRPr="00127ECD">
        <w:rPr>
          <w:i/>
          <w:lang w:val="de-DE"/>
        </w:rPr>
        <w:t>mehr als verdreifacht</w:t>
      </w:r>
      <w:r w:rsidRPr="00127ECD">
        <w:rPr>
          <w:lang w:val="de-DE"/>
        </w:rPr>
        <w:t xml:space="preserve">. </w:t>
      </w:r>
      <w:r>
        <w:t xml:space="preserve">Siehe Carmassi et al. (2019), </w:t>
      </w:r>
      <w:hyperlink r:id="rId36" w:history="1">
        <w:r>
          <w:rPr>
            <w:rStyle w:val="Hyperlink"/>
          </w:rPr>
          <w:t>Is taxpayers’ money better protected now?</w:t>
        </w:r>
      </w:hyperlink>
      <w:hyperlink r:id="rId37" w:history="1">
        <w:r>
          <w:rPr>
            <w:rStyle w:val="Hyperlink"/>
          </w:rPr>
          <w:t xml:space="preserve"> An assessment of banking regulatory reforms ten years after the global financial crisis</w:t>
        </w:r>
      </w:hyperlink>
      <w:r>
        <w:t xml:space="preserve"> (Ist das Geld der Steuerzahler jetzt besser geschützt? </w:t>
      </w:r>
      <w:r w:rsidRPr="00127ECD">
        <w:rPr>
          <w:lang w:val="de-DE"/>
        </w:rPr>
        <w:t xml:space="preserve">Eine Bewertung der Reform der Bankenregulierung zehn Jahre nach der weltweiten Finanzkrise). Siehe auch: Basler Ausschuss (2022), </w:t>
      </w:r>
      <w:hyperlink r:id="rId38" w:history="1">
        <w:r w:rsidRPr="00127ECD">
          <w:rPr>
            <w:rStyle w:val="Hyperlink"/>
            <w:lang w:val="de-DE"/>
          </w:rPr>
          <w:t>Buffer usability and cyclicality in the Basel framework</w:t>
        </w:r>
      </w:hyperlink>
      <w:r w:rsidRPr="00127ECD">
        <w:rPr>
          <w:lang w:val="de-DE"/>
        </w:rPr>
        <w:t xml:space="preserve"> (Nutzbarkeit und Zyklizität von Puffern im Basel-Rahmen), 5. Oktober 2022. </w:t>
      </w:r>
    </w:p>
  </w:footnote>
  <w:footnote w:id="40">
    <w:p w14:paraId="4337237E" w14:textId="0E1B55E3" w:rsidR="00241024" w:rsidRPr="00127ECD" w:rsidRDefault="00241024" w:rsidP="00C64A13">
      <w:pPr>
        <w:pStyle w:val="FootnoteText"/>
        <w:rPr>
          <w:lang w:val="de-DE"/>
        </w:rPr>
      </w:pPr>
      <w:r>
        <w:rPr>
          <w:rStyle w:val="FootnoteReference"/>
        </w:rPr>
        <w:footnoteRef/>
      </w:r>
      <w:r w:rsidRPr="00127ECD">
        <w:rPr>
          <w:lang w:val="de-DE"/>
        </w:rPr>
        <w:t xml:space="preserve"> Siehe Couaillier et al. (2021, 2022), </w:t>
      </w:r>
      <w:hyperlink r:id="rId39">
        <w:r w:rsidRPr="00127ECD">
          <w:rPr>
            <w:rStyle w:val="Hyperlink"/>
            <w:lang w:val="de-DE"/>
          </w:rPr>
          <w:t>Bank capital buffers and lending in the euro area during the pandemic</w:t>
        </w:r>
      </w:hyperlink>
      <w:r w:rsidRPr="00127ECD">
        <w:rPr>
          <w:lang w:val="de-DE"/>
        </w:rPr>
        <w:t xml:space="preserve"> (Bankkapitalpuffer und Kreditvergabe im Euroraum während der Pandemie) und </w:t>
      </w:r>
      <w:hyperlink r:id="rId40">
        <w:r w:rsidRPr="00127ECD">
          <w:rPr>
            <w:rStyle w:val="Hyperlink"/>
            <w:lang w:val="de-DE"/>
          </w:rPr>
          <w:t>Caution:</w:t>
        </w:r>
      </w:hyperlink>
      <w:hyperlink r:id="rId41">
        <w:r w:rsidRPr="00127ECD">
          <w:rPr>
            <w:rStyle w:val="Hyperlink"/>
            <w:lang w:val="de-DE"/>
          </w:rPr>
          <w:t xml:space="preserve"> do not cross!</w:t>
        </w:r>
      </w:hyperlink>
      <w:hyperlink r:id="rId42">
        <w:r w:rsidRPr="00127ECD">
          <w:rPr>
            <w:rStyle w:val="Hyperlink"/>
            <w:lang w:val="de-DE"/>
          </w:rPr>
          <w:t xml:space="preserve"> Capital buffers and lending in Covid-19 times</w:t>
        </w:r>
      </w:hyperlink>
      <w:r w:rsidRPr="00127ECD">
        <w:rPr>
          <w:lang w:val="de-DE"/>
        </w:rPr>
        <w:t xml:space="preserve"> (Achtung: nicht überschreiten! Kapitalpuffer und Kreditvergabe in Zeiten von COVID-19). </w:t>
      </w:r>
    </w:p>
  </w:footnote>
  <w:footnote w:id="41">
    <w:p w14:paraId="35596042" w14:textId="33D3083E" w:rsidR="00241024" w:rsidRPr="00127ECD" w:rsidRDefault="00241024" w:rsidP="00C64A13">
      <w:pPr>
        <w:pStyle w:val="FootnoteText"/>
        <w:rPr>
          <w:lang w:val="de-DE"/>
        </w:rPr>
      </w:pPr>
      <w:r>
        <w:rPr>
          <w:rStyle w:val="FootnoteReference"/>
        </w:rPr>
        <w:footnoteRef/>
      </w:r>
      <w:r w:rsidRPr="00127ECD">
        <w:rPr>
          <w:lang w:val="de-DE"/>
        </w:rPr>
        <w:t xml:space="preserve"> Der Europäische Ausschuss für Systemrisiken und die Europäische Bankenaufsichtsbehörde werden beispielsweise Stellungnahmen zu bestimmten Maßnahmen und Maßnahmen mit starken Auswirkungen, die eine Genehmigung oder einen Verzicht auf Einwände seitens der Kommission erfordern, vorlegen. Die EZB hat das Recht, Einwände gegen jede im EU-Recht festgelegte makroprudenzielle Maßnahme zu erheben, die von einem am Einheitlichen Europäischen Bankenaufsichtsmechanismus (EAM) teilnehmenden Mitgliedstaat beabsichtigt wird. Der Europäische Ausschuss für Systemrisiken verfügt zudem über allgemeine Koordinierungsbefugnisse, um beispielsweise nationalen Behörden gegenüber Warnungen oder Empfehlungen auszusprechen, wie die Empfehlung zu antizyklischen Kapitalpuffern oder zur freiwilligen Gegenseitigkeit. </w:t>
      </w:r>
    </w:p>
  </w:footnote>
  <w:footnote w:id="42">
    <w:p w14:paraId="40CE8264" w14:textId="1A0DDEBF" w:rsidR="00241024" w:rsidRPr="00127ECD" w:rsidRDefault="00241024" w:rsidP="00C64A13">
      <w:pPr>
        <w:pStyle w:val="FootnoteText"/>
        <w:rPr>
          <w:lang w:val="de-DE"/>
        </w:rPr>
      </w:pPr>
      <w:r>
        <w:rPr>
          <w:rStyle w:val="FootnoteReference"/>
        </w:rPr>
        <w:footnoteRef/>
      </w:r>
      <w:r w:rsidRPr="00127ECD">
        <w:rPr>
          <w:lang w:val="de-DE"/>
        </w:rPr>
        <w:t xml:space="preserve"> </w:t>
      </w:r>
      <w:hyperlink r:id="rId43" w:history="1">
        <w:r w:rsidRPr="00127ECD">
          <w:rPr>
            <w:rStyle w:val="Hyperlink"/>
            <w:lang w:val="de-DE"/>
          </w:rPr>
          <w:t>EBA report on calibration of OSII buffer rates</w:t>
        </w:r>
      </w:hyperlink>
      <w:r w:rsidRPr="00127ECD">
        <w:rPr>
          <w:lang w:val="de-DE"/>
        </w:rPr>
        <w:t xml:space="preserve"> (Bericht der Europäischen Bankenaufsichtsbehörde über die Abstimmung von A-SRI-Pufferquoten).</w:t>
      </w:r>
      <w:r w:rsidRPr="00127ECD">
        <w:rPr>
          <w:rStyle w:val="Hyperlink"/>
          <w:lang w:val="de-DE"/>
        </w:rPr>
        <w:t xml:space="preserve"> </w:t>
      </w:r>
    </w:p>
  </w:footnote>
  <w:footnote w:id="43">
    <w:p w14:paraId="4D6D1BEE" w14:textId="2D9925AE" w:rsidR="00241024" w:rsidRPr="00127ECD" w:rsidRDefault="00241024" w:rsidP="00C64A13">
      <w:pPr>
        <w:pStyle w:val="FootnoteText"/>
        <w:rPr>
          <w:lang w:val="de-DE"/>
        </w:rPr>
      </w:pPr>
      <w:r>
        <w:rPr>
          <w:rStyle w:val="FootnoteReference"/>
        </w:rPr>
        <w:footnoteRef/>
      </w:r>
      <w:r w:rsidRPr="00127ECD">
        <w:rPr>
          <w:lang w:val="de-DE"/>
        </w:rPr>
        <w:t xml:space="preserve"> Eine von der Europäischen Bankenaufsichtsbehörde vorgenommene Analyse zeigt, dass einige Mitgliedstaaten sehr streng sind und für Banken mit einem vergleichsweise niedrigen A-SRI-Bewertungsergebnis die nach der Eigenkapitalrichtlinie höchstmögliche A-SRI-Pufferquote festlegen, während andere Mitgliedstaaten relativ nachsichtig sind und trotz sehr hoher A-SRI-Bewertungsergebnisse eine niedrige oder 0 % betragende Pufferquote festsetzen. Alternativ können sehr hohe A-SRI-Bewertungsergebnisse in einem Mitgliedstaat A-SRI-Pufferquoten von 0,25 % und in einem anderen Mitgliedstaat von 2 % (dem zum Zeitpunkt der Analyse geltenden Höchstsatz) nach sich ziehen. </w:t>
      </w:r>
    </w:p>
  </w:footnote>
  <w:footnote w:id="44">
    <w:p w14:paraId="6DD55EFC" w14:textId="713F8FC5" w:rsidR="00241024" w:rsidRPr="00127ECD" w:rsidRDefault="00241024" w:rsidP="00C64A13">
      <w:pPr>
        <w:pStyle w:val="FootnoteText"/>
        <w:rPr>
          <w:lang w:val="de-DE"/>
        </w:rPr>
      </w:pPr>
      <w:r>
        <w:rPr>
          <w:rStyle w:val="FootnoteReference"/>
        </w:rPr>
        <w:footnoteRef/>
      </w:r>
      <w:r w:rsidRPr="00127ECD">
        <w:rPr>
          <w:lang w:val="de-DE"/>
        </w:rPr>
        <w:t xml:space="preserve"> Der Europäische Ausschuss für Systemrisiken führte </w:t>
      </w:r>
      <w:hyperlink r:id="rId44" w:history="1">
        <w:r w:rsidRPr="00127ECD">
          <w:rPr>
            <w:rStyle w:val="Hyperlink"/>
            <w:lang w:val="de-DE"/>
          </w:rPr>
          <w:t>2016</w:t>
        </w:r>
      </w:hyperlink>
      <w:r w:rsidRPr="00127ECD">
        <w:rPr>
          <w:lang w:val="de-DE"/>
        </w:rPr>
        <w:t xml:space="preserve">, </w:t>
      </w:r>
      <w:hyperlink r:id="rId45" w:history="1">
        <w:r w:rsidRPr="00127ECD">
          <w:rPr>
            <w:rStyle w:val="Hyperlink"/>
            <w:lang w:val="de-DE"/>
          </w:rPr>
          <w:t>2019</w:t>
        </w:r>
      </w:hyperlink>
      <w:r w:rsidRPr="00127ECD">
        <w:rPr>
          <w:rStyle w:val="Hyperlink"/>
          <w:lang w:val="de-DE"/>
        </w:rPr>
        <w:t xml:space="preserve"> und </w:t>
      </w:r>
      <w:hyperlink r:id="rId46" w:history="1">
        <w:r w:rsidRPr="00127ECD">
          <w:rPr>
            <w:rStyle w:val="Hyperlink"/>
            <w:lang w:val="de-DE"/>
          </w:rPr>
          <w:t>2022</w:t>
        </w:r>
      </w:hyperlink>
      <w:r w:rsidRPr="00127ECD">
        <w:rPr>
          <w:lang w:val="de-DE"/>
        </w:rPr>
        <w:t xml:space="preserve"> vorausschauende Bewertungen von Schwachstellen in den Wohnimmobilienmärkten im EWR durch, die die Grundlage für länderspezifische Warnungen und Empfehlungen bildeten. </w:t>
      </w:r>
    </w:p>
  </w:footnote>
  <w:footnote w:id="45">
    <w:p w14:paraId="2DA9EE79" w14:textId="2E7B74F3" w:rsidR="00241024" w:rsidRPr="00127ECD" w:rsidRDefault="00241024" w:rsidP="00C64A13">
      <w:pPr>
        <w:pStyle w:val="FootnoteText"/>
        <w:rPr>
          <w:lang w:val="de-DE"/>
        </w:rPr>
      </w:pPr>
      <w:r>
        <w:rPr>
          <w:rStyle w:val="FootnoteReference"/>
        </w:rPr>
        <w:footnoteRef/>
      </w:r>
      <w:r w:rsidRPr="00127ECD">
        <w:rPr>
          <w:lang w:val="de-DE"/>
        </w:rPr>
        <w:t xml:space="preserve"> Weitere Einzelheiten finden sich in: ESRB </w:t>
      </w:r>
      <w:hyperlink r:id="rId47" w:history="1">
        <w:r w:rsidRPr="00127ECD">
          <w:rPr>
            <w:rStyle w:val="Hyperlink"/>
            <w:lang w:val="de-DE"/>
          </w:rPr>
          <w:t>Review of the EU Macroprudential Framework for the Banking Sector:</w:t>
        </w:r>
      </w:hyperlink>
      <w:hyperlink r:id="rId48" w:history="1">
        <w:r w:rsidRPr="00127ECD">
          <w:rPr>
            <w:rStyle w:val="Hyperlink"/>
            <w:lang w:val="de-DE"/>
          </w:rPr>
          <w:t xml:space="preserve"> Response to the call for advice</w:t>
        </w:r>
      </w:hyperlink>
      <w:r w:rsidRPr="00127ECD">
        <w:rPr>
          <w:lang w:val="de-DE"/>
        </w:rPr>
        <w:t xml:space="preserve"> (Vom Europäischen Ausschuss für Systemrisiken durchgeführte Überprüfung des makroprudenziellen Rahmens der EU für den Bankensektor: Antwort auf das Ersuchen um Stellungnahme), März 2022, und die vom Europäischen Ausschuss für Systemrisiken geführte Datenbank nationaler Maßnahmen. </w:t>
      </w:r>
    </w:p>
  </w:footnote>
  <w:footnote w:id="46">
    <w:p w14:paraId="5D5CC673" w14:textId="59B5CABD" w:rsidR="006024CB" w:rsidRPr="00127ECD" w:rsidRDefault="006024CB" w:rsidP="00C64A13">
      <w:pPr>
        <w:pStyle w:val="FootnoteText"/>
        <w:rPr>
          <w:lang w:val="de-DE"/>
        </w:rPr>
      </w:pPr>
      <w:r>
        <w:rPr>
          <w:rStyle w:val="FootnoteReference"/>
        </w:rPr>
        <w:footnoteRef/>
      </w:r>
      <w:r w:rsidRPr="00127ECD">
        <w:rPr>
          <w:lang w:val="de-DE"/>
        </w:rPr>
        <w:t xml:space="preserve"> </w:t>
      </w:r>
      <w:r w:rsidRPr="00127ECD">
        <w:rPr>
          <w:rStyle w:val="cf01"/>
          <w:lang w:val="de-DE"/>
        </w:rPr>
        <w:t>Verordnung (EU) 2021/1119 des Europäischen Parlaments und des Rates zur Schaffung des Rahmens für die Verwirklichung der Klimaneutralität und zur Änderung der Verordnungen (EG) Nr. 401/2009 und (EU) 2018/1999 („Europäisches Klimagesetz“) (ABl. L 243 vom 9.7.2021).</w:t>
      </w:r>
    </w:p>
  </w:footnote>
  <w:footnote w:id="47">
    <w:p w14:paraId="6B2E546C" w14:textId="3477B25B" w:rsidR="00241024" w:rsidRPr="00127ECD" w:rsidRDefault="00241024" w:rsidP="00C64A13">
      <w:pPr>
        <w:pStyle w:val="FootnoteText"/>
        <w:rPr>
          <w:lang w:val="de-DE"/>
        </w:rPr>
      </w:pPr>
      <w:r>
        <w:rPr>
          <w:rStyle w:val="FootnoteReference"/>
        </w:rPr>
        <w:footnoteRef/>
      </w:r>
      <w:r w:rsidRPr="00127ECD">
        <w:rPr>
          <w:lang w:val="de-DE"/>
        </w:rPr>
        <w:t xml:space="preserve"> Die Europäische Bankenaufsichtsbehörde hat spezielle Mandate zu Stresstests in Bezug auf das Klimarisiko. Die EZB führt ebenfalls Klimarisiko-Stresstests durch und berücksichtigt die Ergebnisse dieser Tests nach einem qualitativen Ansatz im Prozess der aufsichtlichen Überprüfung und Bewertung (Supervisory Review and Evaluation Process – SREP). </w:t>
      </w:r>
    </w:p>
  </w:footnote>
  <w:footnote w:id="48">
    <w:p w14:paraId="6B69A37A" w14:textId="78E3B81F" w:rsidR="00241024" w:rsidRPr="00127ECD" w:rsidRDefault="00241024" w:rsidP="00C64A13">
      <w:pPr>
        <w:pStyle w:val="FootnoteText"/>
        <w:rPr>
          <w:lang w:val="de-DE"/>
        </w:rPr>
      </w:pPr>
      <w:r>
        <w:rPr>
          <w:rStyle w:val="FootnoteReference"/>
        </w:rPr>
        <w:footnoteRef/>
      </w:r>
      <w:r w:rsidRPr="00127ECD">
        <w:rPr>
          <w:lang w:val="de-DE"/>
        </w:rPr>
        <w:t xml:space="preserve"> </w:t>
      </w:r>
      <w:r w:rsidRPr="00127ECD">
        <w:rPr>
          <w:shd w:val="clear" w:color="auto" w:fill="FFFFFF"/>
          <w:lang w:val="de-DE"/>
        </w:rPr>
        <w:t xml:space="preserve">Verordnung (EU) 2022/2554 des Europäischen Parlaments und des Rates vom 14. Dezember 2022 über die digitale operationale Resilienz im Finanzsektor und zur Änderung der Verordnungen (EG) Nr. 1060/2009, (EU) Nr. 648/2012, (EU) Nr. 600/2014, (EU) Nr. 909/2014 und (EU) 2016/1011. </w:t>
      </w:r>
    </w:p>
  </w:footnote>
  <w:footnote w:id="49">
    <w:p w14:paraId="0C3497DA" w14:textId="6F353278" w:rsidR="00A17108" w:rsidRPr="00127ECD" w:rsidRDefault="00A17108" w:rsidP="00C64A13">
      <w:pPr>
        <w:pStyle w:val="FootnoteText"/>
        <w:rPr>
          <w:lang w:val="de-DE"/>
        </w:rPr>
      </w:pPr>
      <w:r>
        <w:rPr>
          <w:rStyle w:val="FootnoteReference"/>
        </w:rPr>
        <w:footnoteRef/>
      </w:r>
      <w:r w:rsidRPr="00127ECD">
        <w:rPr>
          <w:lang w:val="de-DE"/>
        </w:rPr>
        <w:t xml:space="preserve"> </w:t>
      </w:r>
      <w:r w:rsidRPr="00127ECD">
        <w:rPr>
          <w:shd w:val="clear" w:color="auto" w:fill="FFFFFF"/>
          <w:lang w:val="de-DE"/>
        </w:rPr>
        <w:t>Richtlinie (EU) 2022/2555 des Europäischen Parlaments und des Rates vom 14. Dezember 2022 über Maßnahmen für ein hohes gemeinsames Cybersicherheitsniveau in der Union, zur Änderung der Verordnung (EU) Nr. 910/2014 und der Richtlinie (EU) 2018/1972 sowie zur Aufhebung der Richtlinie (EU) 2016/1148 (NIS-2-Richtlinie) (ABl. L 333 vom 27.12.2022</w:t>
      </w:r>
      <w:r w:rsidRPr="00127ECD">
        <w:rPr>
          <w:lang w:val="de-DE"/>
        </w:rPr>
        <w:t>). Bei der Richtlinie handelt es sich um horizontale Rechtsvorschriften, die für eine Reihe von Sektoren gelten und Einrichtungen wie Anbietern von Cloud-Diensten, Rechenzentren, Anbietern von verwalteten Diensten oder Anbietern von verwalteten Sicherheitsdiensten vorschreiben, Maßnahmen zum Management von Risiken auf dem Gebiet der Cybersicherheit, einschließlich Maßnahmen für die Sicherheit von Lieferketten, zu treffen. Die Kommission muss bis zum 17. Oktober 2024 einen Durchführungsrechtsakt erlassen, in dem die Cybersicherheitsmaßnahmen für diese Arten von Einrichtungen präzisiert werden.</w:t>
      </w:r>
    </w:p>
  </w:footnote>
  <w:footnote w:id="50">
    <w:p w14:paraId="4EB15D0E" w14:textId="531B851B" w:rsidR="00241024" w:rsidRPr="00127ECD" w:rsidRDefault="00241024" w:rsidP="00C64A13">
      <w:pPr>
        <w:pStyle w:val="FootnoteText"/>
        <w:rPr>
          <w:lang w:val="de-DE"/>
        </w:rPr>
      </w:pPr>
      <w:r>
        <w:rPr>
          <w:rStyle w:val="FootnoteReference"/>
        </w:rPr>
        <w:footnoteRef/>
      </w:r>
      <w:r w:rsidRPr="00127ECD">
        <w:rPr>
          <w:lang w:val="de-DE"/>
        </w:rPr>
        <w:t xml:space="preserve"> </w:t>
      </w:r>
      <w:hyperlink r:id="rId49" w:history="1">
        <w:r w:rsidRPr="00127ECD">
          <w:rPr>
            <w:rStyle w:val="Hyperlink"/>
            <w:lang w:val="de-DE"/>
          </w:rPr>
          <w:t>ESRB recommends establishing a systemic cyber incident coordination framework (europa.eu)</w:t>
        </w:r>
      </w:hyperlink>
      <w:r w:rsidRPr="00127ECD">
        <w:rPr>
          <w:lang w:val="de-DE"/>
        </w:rPr>
        <w:t xml:space="preserve"> (Der Europäische Ausschuss für Systemrisiken empfiehlt die Einrichtung eines Rahmenwerks für die Koordinierung systemischer Cybervorfälle). </w:t>
      </w:r>
    </w:p>
  </w:footnote>
  <w:footnote w:id="51">
    <w:p w14:paraId="0E4D76AA" w14:textId="69848BA8" w:rsidR="00732BA0" w:rsidRPr="00127ECD" w:rsidRDefault="00732BA0" w:rsidP="00C64A13">
      <w:pPr>
        <w:pStyle w:val="FootnoteText"/>
        <w:rPr>
          <w:lang w:val="de-DE"/>
        </w:rPr>
      </w:pPr>
      <w:r>
        <w:rPr>
          <w:rStyle w:val="FootnoteReference"/>
        </w:rPr>
        <w:footnoteRef/>
      </w:r>
      <w:r w:rsidRPr="00127ECD">
        <w:rPr>
          <w:lang w:val="de-DE"/>
        </w:rPr>
        <w:t xml:space="preserve"> </w:t>
      </w:r>
      <w:hyperlink r:id="rId50" w:history="1">
        <w:r w:rsidRPr="00127ECD">
          <w:rPr>
            <w:rStyle w:val="Hyperlink"/>
            <w:lang w:val="de-DE"/>
          </w:rPr>
          <w:t>ECB to stress test banks’ ability to recover from cyberattack (europa.eu)</w:t>
        </w:r>
      </w:hyperlink>
      <w:r w:rsidRPr="00127ECD">
        <w:rPr>
          <w:lang w:val="de-DE"/>
        </w:rPr>
        <w:t xml:space="preserve"> (EZB prüft anhand von Stresstests die Fähigkeit von Banken, sich von Cyberattacken zu erholen).</w:t>
      </w:r>
    </w:p>
  </w:footnote>
  <w:footnote w:id="52">
    <w:p w14:paraId="6FDDB5D5" w14:textId="73C69ABD" w:rsidR="00241024" w:rsidRPr="00127ECD" w:rsidRDefault="00241024" w:rsidP="00C64A13">
      <w:pPr>
        <w:pStyle w:val="FootnoteText"/>
        <w:rPr>
          <w:lang w:val="de-DE"/>
        </w:rPr>
      </w:pPr>
      <w:r>
        <w:rPr>
          <w:rStyle w:val="FootnoteReference"/>
        </w:rPr>
        <w:footnoteRef/>
      </w:r>
      <w:r w:rsidRPr="00127ECD">
        <w:rPr>
          <w:lang w:val="de-DE"/>
        </w:rPr>
        <w:t xml:space="preserve"> Siehe Finanzstabilitätsrat (2020), </w:t>
      </w:r>
      <w:hyperlink r:id="rId51" w:history="1">
        <w:r w:rsidRPr="00127ECD">
          <w:rPr>
            <w:rStyle w:val="Hyperlink"/>
            <w:lang w:val="de-DE"/>
          </w:rPr>
          <w:t>Holistic Review of the March Market Turmoil – Financial Stability Board (fsb.org)</w:t>
        </w:r>
      </w:hyperlink>
      <w:r w:rsidRPr="00127ECD">
        <w:rPr>
          <w:lang w:val="de-DE"/>
        </w:rPr>
        <w:t xml:space="preserve"> (Ganzheitlicher Rückblick auf die Marktturbulenzen vom März), S. 11. </w:t>
      </w:r>
    </w:p>
  </w:footnote>
  <w:footnote w:id="53">
    <w:p w14:paraId="2795A790" w14:textId="40E4FB07" w:rsidR="00241024" w:rsidRPr="00127ECD" w:rsidRDefault="00241024" w:rsidP="00F43FC7">
      <w:pPr>
        <w:spacing w:after="0" w:line="240" w:lineRule="auto"/>
        <w:rPr>
          <w:rFonts w:cs="Times New Roman"/>
          <w:sz w:val="20"/>
          <w:lang w:val="de-DE"/>
        </w:rPr>
      </w:pPr>
      <w:r>
        <w:rPr>
          <w:rStyle w:val="FootnoteReference"/>
          <w:rFonts w:cs="Times New Roman"/>
        </w:rPr>
        <w:footnoteRef/>
      </w:r>
      <w:r w:rsidRPr="00127ECD">
        <w:rPr>
          <w:sz w:val="20"/>
          <w:lang w:val="de-DE"/>
        </w:rPr>
        <w:t xml:space="preserve"> </w:t>
      </w:r>
      <w:r w:rsidRPr="00127ECD">
        <w:rPr>
          <w:rStyle w:val="FootnoteTextChar"/>
          <w:lang w:val="de-DE"/>
        </w:rPr>
        <w:t xml:space="preserve">Weitere Informationen siehe Bank of England (2023), </w:t>
      </w:r>
      <w:hyperlink r:id="rId52" w:history="1">
        <w:r w:rsidRPr="00127ECD">
          <w:rPr>
            <w:rStyle w:val="Hyperlink"/>
            <w:sz w:val="20"/>
            <w:lang w:val="de-DE"/>
          </w:rPr>
          <w:t>An anatomy of the 2022 gilt market crisis</w:t>
        </w:r>
      </w:hyperlink>
      <w:r w:rsidRPr="00127ECD">
        <w:rPr>
          <w:rStyle w:val="FootnoteTextChar"/>
          <w:lang w:val="de-DE"/>
        </w:rPr>
        <w:t xml:space="preserve"> (Eine Anatomie der Krise auf dem Staatsanleihenmarkt von 2022), Interne Arbeitsunterlage Nr. 1019, 31. März 2023.  </w:t>
      </w:r>
    </w:p>
  </w:footnote>
  <w:footnote w:id="54">
    <w:p w14:paraId="525492ED" w14:textId="44CD3B56" w:rsidR="00C64A13" w:rsidRPr="00127ECD" w:rsidRDefault="00C64A13" w:rsidP="00C64A13">
      <w:pPr>
        <w:pStyle w:val="FootnoteText"/>
        <w:rPr>
          <w:lang w:val="de-DE"/>
        </w:rPr>
      </w:pPr>
      <w:r>
        <w:rPr>
          <w:rStyle w:val="FootnoteReference"/>
        </w:rPr>
        <w:footnoteRef/>
      </w:r>
      <w:r w:rsidRPr="00127ECD">
        <w:rPr>
          <w:lang w:val="de-DE"/>
        </w:rPr>
        <w:t xml:space="preserve"> </w:t>
      </w:r>
      <w:hyperlink r:id="rId53" w:history="1">
        <w:r w:rsidRPr="00127ECD">
          <w:rPr>
            <w:rStyle w:val="Hyperlink"/>
            <w:lang w:val="de-DE"/>
          </w:rPr>
          <w:t>A journey of 1000 miles begins with a single step:</w:t>
        </w:r>
      </w:hyperlink>
      <w:hyperlink r:id="rId54" w:history="1">
        <w:r w:rsidRPr="00127ECD">
          <w:rPr>
            <w:rStyle w:val="Hyperlink"/>
            <w:lang w:val="de-DE"/>
          </w:rPr>
          <w:t xml:space="preserve"> filling gaps in the central bank liquidity toolkit – speech by Andrew Hauser |</w:t>
        </w:r>
      </w:hyperlink>
      <w:hyperlink r:id="rId55" w:history="1">
        <w:r w:rsidRPr="00127ECD">
          <w:rPr>
            <w:rStyle w:val="Hyperlink"/>
            <w:lang w:val="de-DE"/>
          </w:rPr>
          <w:t xml:space="preserve"> Bank of England</w:t>
        </w:r>
      </w:hyperlink>
      <w:r w:rsidRPr="00127ECD">
        <w:rPr>
          <w:lang w:val="de-DE"/>
        </w:rPr>
        <w:t xml:space="preserve"> (Eine 1 000 Meilen lange Reise beginnt mit einem ersten Schritt: Lücken im Liquiditätsinstrumentarium der Zentralbank füllen – Rede von Andrew Hauser). </w:t>
      </w:r>
    </w:p>
  </w:footnote>
  <w:footnote w:id="55">
    <w:p w14:paraId="334A0A77" w14:textId="2B7F0580" w:rsidR="00241024" w:rsidRPr="00127ECD" w:rsidRDefault="00241024" w:rsidP="00C64A13">
      <w:pPr>
        <w:pStyle w:val="FootnoteText"/>
        <w:rPr>
          <w:lang w:val="de-DE"/>
        </w:rPr>
      </w:pPr>
      <w:r>
        <w:rPr>
          <w:rStyle w:val="FootnoteReference"/>
        </w:rPr>
        <w:footnoteRef/>
      </w:r>
      <w:r w:rsidRPr="00127ECD">
        <w:rPr>
          <w:lang w:val="de-DE"/>
        </w:rPr>
        <w:t xml:space="preserve"> Siehe Europäische Kommission (2023), </w:t>
      </w:r>
      <w:hyperlink r:id="rId56" w:history="1">
        <w:r w:rsidRPr="00127ECD">
          <w:rPr>
            <w:rStyle w:val="Hyperlink"/>
            <w:lang w:val="de-DE"/>
          </w:rPr>
          <w:t>Report from the Commission on the adequacy of Regulation (EU) 2017/1131 on money market funds from a prudential and economic point of view (europa.eu)</w:t>
        </w:r>
      </w:hyperlink>
      <w:r w:rsidRPr="00127ECD">
        <w:rPr>
          <w:lang w:val="de-DE"/>
        </w:rPr>
        <w:t xml:space="preserve"> (Bericht der Kommission über die Angemessenheit der Verordnung (EU) 2017/1131 über Geldmarktfonds aus aufsichtsrechtlicher und wirtschaftlicher Sicht), und Europäischer Ausschuss für Systemrisiken (2022), </w:t>
      </w:r>
      <w:hyperlink r:id="rId57" w:history="1">
        <w:r w:rsidRPr="00127ECD">
          <w:rPr>
            <w:rStyle w:val="Hyperlink"/>
            <w:lang w:val="de-DE"/>
          </w:rPr>
          <w:t>The market for short-term debt securities in Europe:</w:t>
        </w:r>
      </w:hyperlink>
      <w:hyperlink r:id="rId58" w:history="1">
        <w:r w:rsidRPr="00127ECD">
          <w:rPr>
            <w:rStyle w:val="Hyperlink"/>
            <w:lang w:val="de-DE"/>
          </w:rPr>
          <w:t xml:space="preserve"> what we know and what we do not know (europa.eu)</w:t>
        </w:r>
      </w:hyperlink>
      <w:r w:rsidRPr="00127ECD">
        <w:rPr>
          <w:lang w:val="de-DE"/>
        </w:rPr>
        <w:t xml:space="preserve"> (Der Markt für kurzfristige Schuldverschreibungen in Europa: was wir wissen und was wir nicht wissen). </w:t>
      </w:r>
    </w:p>
  </w:footnote>
  <w:footnote w:id="56">
    <w:p w14:paraId="3A805830" w14:textId="74F0CB86" w:rsidR="00241024" w:rsidRPr="00127ECD" w:rsidRDefault="00241024" w:rsidP="00C64A13">
      <w:pPr>
        <w:pStyle w:val="FootnoteText"/>
        <w:rPr>
          <w:lang w:val="de-DE"/>
        </w:rPr>
      </w:pPr>
      <w:r>
        <w:rPr>
          <w:rStyle w:val="FootnoteReference"/>
        </w:rPr>
        <w:footnoteRef/>
      </w:r>
      <w:r w:rsidRPr="00127ECD">
        <w:rPr>
          <w:lang w:val="de-DE"/>
        </w:rPr>
        <w:t xml:space="preserve"> Der Finanzstabilitätsrat erwägt auch eine Liste von Maßnahmen zu Einschusspraktiken sowohl für Nutzer (Vorsorge für Einschusszahlungen) als auch für die Betreiber von Marktinfrastrukturen, von denen einige bereits in den EMIR-Rahmen aufgenommen worden sind. Siehe Finanzstabilitätsrat (2022), </w:t>
      </w:r>
      <w:hyperlink r:id="rId59" w:history="1">
        <w:r w:rsidRPr="00127ECD">
          <w:rPr>
            <w:rStyle w:val="Hyperlink"/>
            <w:lang w:val="de-DE"/>
          </w:rPr>
          <w:t>Enhancing the Resilience of Non-Bank Financial Intermediation:</w:t>
        </w:r>
      </w:hyperlink>
      <w:hyperlink r:id="rId60" w:history="1">
        <w:r w:rsidRPr="00127ECD">
          <w:rPr>
            <w:rStyle w:val="Hyperlink"/>
            <w:lang w:val="de-DE"/>
          </w:rPr>
          <w:t xml:space="preserve"> Progress report (fsb.org)</w:t>
        </w:r>
      </w:hyperlink>
      <w:r w:rsidRPr="00127ECD">
        <w:rPr>
          <w:lang w:val="de-DE"/>
        </w:rPr>
        <w:t xml:space="preserve"> (Stärkung der Resilienz von Nichtbanken-Finanzintermediären: Fortschrittsbericht), S. 25. </w:t>
      </w:r>
    </w:p>
  </w:footnote>
  <w:footnote w:id="57">
    <w:p w14:paraId="7FC931D9" w14:textId="41A66B33" w:rsidR="00B10513" w:rsidRPr="00127ECD" w:rsidRDefault="00B10513" w:rsidP="00C64A13">
      <w:pPr>
        <w:pStyle w:val="FootnoteText"/>
        <w:rPr>
          <w:lang w:val="de-DE"/>
        </w:rPr>
      </w:pPr>
      <w:r>
        <w:rPr>
          <w:rStyle w:val="FootnoteReference"/>
        </w:rPr>
        <w:footnoteRef/>
      </w:r>
      <w:r w:rsidRPr="00127ECD">
        <w:rPr>
          <w:lang w:val="de-DE"/>
        </w:rPr>
        <w:t xml:space="preserve"> Weitere Einzelheiten finden sich in: ESMA (2022), </w:t>
      </w:r>
      <w:hyperlink r:id="rId61" w:history="1">
        <w:r w:rsidRPr="00127ECD">
          <w:rPr>
            <w:rStyle w:val="Hyperlink"/>
            <w:lang w:val="de-DE"/>
          </w:rPr>
          <w:t>ESMA publishes ex-post analysis of derivatives risks in Archegos (europa.eu)</w:t>
        </w:r>
      </w:hyperlink>
      <w:r w:rsidRPr="00127ECD">
        <w:rPr>
          <w:lang w:val="de-DE"/>
        </w:rPr>
        <w:t xml:space="preserve"> (ESMA veröffentlicht Ex-post-Analyse über Derivaterisiken bei Archegos).</w:t>
      </w:r>
    </w:p>
  </w:footnote>
  <w:footnote w:id="58">
    <w:p w14:paraId="7B83ABFF" w14:textId="4DAD9D65" w:rsidR="0029368A" w:rsidRPr="00127ECD" w:rsidRDefault="0029368A" w:rsidP="00C64A13">
      <w:pPr>
        <w:pStyle w:val="FootnoteText"/>
        <w:rPr>
          <w:lang w:val="de-DE"/>
        </w:rPr>
      </w:pPr>
      <w:r>
        <w:rPr>
          <w:rStyle w:val="FootnoteReference"/>
        </w:rPr>
        <w:footnoteRef/>
      </w:r>
      <w:r w:rsidRPr="00127ECD">
        <w:rPr>
          <w:lang w:val="de-DE"/>
        </w:rPr>
        <w:t xml:space="preserve"> Siehe Finanzstabilitätsrat (2023), </w:t>
      </w:r>
      <w:hyperlink r:id="rId62" w:history="1">
        <w:r w:rsidRPr="00127ECD">
          <w:rPr>
            <w:rStyle w:val="Hyperlink"/>
            <w:lang w:val="de-DE"/>
          </w:rPr>
          <w:t>The Financial Stability Implications of Leverage in Non-Bank Financial Intermediation – Financial Stability Board (fsb.org)</w:t>
        </w:r>
      </w:hyperlink>
      <w:r w:rsidRPr="00127ECD">
        <w:rPr>
          <w:lang w:val="de-DE"/>
        </w:rPr>
        <w:t xml:space="preserve"> (Die Implikationen der Fremdfinanzierung in der finanziellen Mittlertätigkeit außerhalb des Bankensektors).</w:t>
      </w:r>
    </w:p>
  </w:footnote>
  <w:footnote w:id="59">
    <w:p w14:paraId="63CE90CE" w14:textId="6D8B7607" w:rsidR="008F57E7" w:rsidRPr="00127ECD" w:rsidRDefault="008F57E7" w:rsidP="00C64A13">
      <w:pPr>
        <w:pStyle w:val="FootnoteText"/>
        <w:rPr>
          <w:lang w:val="de-DE"/>
        </w:rPr>
      </w:pPr>
      <w:r>
        <w:rPr>
          <w:rStyle w:val="FootnoteReference"/>
        </w:rPr>
        <w:footnoteRef/>
      </w:r>
      <w:r w:rsidRPr="00127ECD">
        <w:rPr>
          <w:lang w:val="de-DE"/>
        </w:rPr>
        <w:t xml:space="preserve"> Die Europäische Kommission nahm außerdem im Dezember 2021 eine breiter angelegte Strategie in Bezug auf aufsichtliche Daten in Finanzdienstleistungen in der EU an, </w:t>
      </w:r>
      <w:hyperlink r:id="rId63" w:history="1">
        <w:r w:rsidRPr="00127ECD">
          <w:rPr>
            <w:rStyle w:val="Hyperlink"/>
            <w:lang w:val="de-DE"/>
          </w:rPr>
          <w:t>Strategy on supervisory data in EU financial services (europa.eu)</w:t>
        </w:r>
      </w:hyperlink>
      <w:r w:rsidRPr="00127ECD">
        <w:rPr>
          <w:lang w:val="de-DE"/>
        </w:rPr>
        <w:t xml:space="preserve"> (Strategie für Aufsichtsdaten im Bereich der EU-Finanzdienstleistungen), die auf die gemeinsame Nutzung und Weiterverwendung aufsichtlicher Daten im gesamten Finanzsystem abzielt.</w:t>
      </w:r>
    </w:p>
  </w:footnote>
  <w:footnote w:id="60">
    <w:p w14:paraId="68C404EC" w14:textId="553141AD" w:rsidR="00241024" w:rsidRPr="00127ECD" w:rsidRDefault="00241024" w:rsidP="00C64A13">
      <w:pPr>
        <w:pStyle w:val="FootnoteText"/>
        <w:rPr>
          <w:lang w:val="de-DE"/>
        </w:rPr>
      </w:pPr>
      <w:r>
        <w:rPr>
          <w:rStyle w:val="FootnoteReference"/>
        </w:rPr>
        <w:footnoteRef/>
      </w:r>
      <w:r w:rsidRPr="00127ECD">
        <w:rPr>
          <w:lang w:val="de-DE"/>
        </w:rPr>
        <w:t xml:space="preserve"> Hierzu zählt die Erwägung neuer Metriken zur Messung der Verschuldung, die auf verschiedene Nichtbanken-Finanzintermediäre zugeschnitten sind, insbesondere solche, die durch außerbilanzielle Tätigkeiten wie gezielten außerbilanziellen Derivate- oder Wertpapierfinanzierungsgeschäften eingeführt wurden. Zum Beispiel, in welchem Umfang Transaktionen unter Beteiligung hinterlegter Sicherheiten in der Bilanz von Nichtbanken-Finanzintermediären angegeben werden und wie diese Positionen mittels derzeitiger Meldepflichten abgeglichen werden können.  </w:t>
      </w:r>
    </w:p>
  </w:footnote>
  <w:footnote w:id="61">
    <w:p w14:paraId="42FDC99F" w14:textId="6BA350A3" w:rsidR="00241024" w:rsidRPr="00127ECD" w:rsidRDefault="00241024" w:rsidP="00C64A13">
      <w:pPr>
        <w:pStyle w:val="FootnoteText"/>
        <w:rPr>
          <w:lang w:val="de-DE"/>
        </w:rPr>
      </w:pPr>
      <w:r>
        <w:rPr>
          <w:rStyle w:val="FootnoteReference"/>
        </w:rPr>
        <w:footnoteRef/>
      </w:r>
      <w:r w:rsidRPr="00127ECD">
        <w:rPr>
          <w:lang w:val="de-DE"/>
        </w:rPr>
        <w:t xml:space="preserve"> Europäischer Ausschuss für Systemrisiken (2022), </w:t>
      </w:r>
      <w:hyperlink r:id="rId64" w:history="1">
        <w:r w:rsidRPr="00127ECD">
          <w:rPr>
            <w:rStyle w:val="Hyperlink"/>
            <w:lang w:val="de-DE"/>
          </w:rPr>
          <w:t>EU Non-bank Financial Intermediation Risk Monitor 2022 (europa.eu)</w:t>
        </w:r>
      </w:hyperlink>
      <w:r w:rsidRPr="00127ECD">
        <w:rPr>
          <w:lang w:val="de-DE"/>
        </w:rPr>
        <w:t xml:space="preserve"> (Risikomonitor für die finanzielle Mittlertätigkeit durch Nichtbanken in der EU 2022), Juli 2022. </w:t>
      </w:r>
    </w:p>
  </w:footnote>
  <w:footnote w:id="62">
    <w:p w14:paraId="1D2CA438" w14:textId="73597DF0" w:rsidR="00241024" w:rsidRPr="00127ECD" w:rsidRDefault="00241024" w:rsidP="00C64A13">
      <w:pPr>
        <w:pStyle w:val="FootnoteText"/>
        <w:rPr>
          <w:lang w:val="de-DE"/>
        </w:rPr>
      </w:pPr>
      <w:r>
        <w:rPr>
          <w:rStyle w:val="FootnoteReference"/>
        </w:rPr>
        <w:footnoteRef/>
      </w:r>
      <w:r w:rsidRPr="00127ECD">
        <w:rPr>
          <w:lang w:val="de-DE"/>
        </w:rPr>
        <w:t xml:space="preserve"> Siehe EZB, Financial Stability Review (Bericht über die Stabilität der Finanzmärkte), Mai 2023, Feature zu „Key linkages between banks and the non-bank financial sector“ (Wichtige Verknüpfungen zwischen Banken und dem Nichtbanken-Finanzsektor).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8D17" w14:textId="77777777" w:rsidR="0004494A" w:rsidRPr="0004494A" w:rsidRDefault="0004494A" w:rsidP="0004494A">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4BAF0" w14:textId="77777777" w:rsidR="0004494A" w:rsidRPr="0004494A" w:rsidRDefault="0004494A" w:rsidP="0004494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C43FC" w14:textId="77777777" w:rsidR="0004494A" w:rsidRPr="0004494A" w:rsidRDefault="0004494A" w:rsidP="0004494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10DB3" w14:textId="77777777" w:rsidR="00FA5994" w:rsidRDefault="00FA59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51DCF" w14:paraId="656AF1E5" w14:textId="77777777" w:rsidTr="00BE2F17">
      <w:trPr>
        <w:trHeight w:val="300"/>
      </w:trPr>
      <w:tc>
        <w:tcPr>
          <w:tcW w:w="3120" w:type="dxa"/>
        </w:tcPr>
        <w:p w14:paraId="76DE7DC9" w14:textId="77777777" w:rsidR="00F51DCF" w:rsidRDefault="00F51DCF" w:rsidP="00BE2F17">
          <w:pPr>
            <w:pStyle w:val="Header"/>
            <w:ind w:left="-115"/>
            <w:jc w:val="left"/>
          </w:pPr>
        </w:p>
      </w:tc>
      <w:tc>
        <w:tcPr>
          <w:tcW w:w="3120" w:type="dxa"/>
        </w:tcPr>
        <w:p w14:paraId="508C7830" w14:textId="77777777" w:rsidR="00F51DCF" w:rsidRDefault="00F51DCF" w:rsidP="00BE2F17">
          <w:pPr>
            <w:pStyle w:val="Header"/>
            <w:jc w:val="center"/>
          </w:pPr>
        </w:p>
      </w:tc>
      <w:tc>
        <w:tcPr>
          <w:tcW w:w="3120" w:type="dxa"/>
        </w:tcPr>
        <w:p w14:paraId="37EBA021" w14:textId="77777777" w:rsidR="00F51DCF" w:rsidRDefault="00F51DCF" w:rsidP="00BE2F17">
          <w:pPr>
            <w:pStyle w:val="Header"/>
            <w:ind w:right="-115"/>
            <w:jc w:val="right"/>
          </w:pPr>
        </w:p>
      </w:tc>
    </w:tr>
  </w:tbl>
  <w:p w14:paraId="52CECB36" w14:textId="77777777" w:rsidR="00F51DCF" w:rsidRDefault="00F51D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0041A0" w14:paraId="61B6FAE3" w14:textId="77777777" w:rsidTr="00BE2F17">
      <w:trPr>
        <w:trHeight w:val="300"/>
      </w:trPr>
      <w:tc>
        <w:tcPr>
          <w:tcW w:w="3120" w:type="dxa"/>
        </w:tcPr>
        <w:p w14:paraId="2D301028" w14:textId="77777777" w:rsidR="000041A0" w:rsidRDefault="000041A0" w:rsidP="00BE2F17">
          <w:pPr>
            <w:pStyle w:val="Header"/>
            <w:ind w:left="-115"/>
            <w:jc w:val="left"/>
          </w:pPr>
        </w:p>
      </w:tc>
      <w:tc>
        <w:tcPr>
          <w:tcW w:w="3120" w:type="dxa"/>
        </w:tcPr>
        <w:p w14:paraId="27E8AC32" w14:textId="77777777" w:rsidR="000041A0" w:rsidRDefault="000041A0" w:rsidP="00BE2F17">
          <w:pPr>
            <w:pStyle w:val="Header"/>
            <w:jc w:val="center"/>
          </w:pPr>
        </w:p>
      </w:tc>
      <w:tc>
        <w:tcPr>
          <w:tcW w:w="3120" w:type="dxa"/>
        </w:tcPr>
        <w:p w14:paraId="2422AF97" w14:textId="77777777" w:rsidR="000041A0" w:rsidRDefault="000041A0" w:rsidP="00BE2F17">
          <w:pPr>
            <w:pStyle w:val="Header"/>
            <w:ind w:right="-115"/>
            <w:jc w:val="right"/>
          </w:pPr>
        </w:p>
      </w:tc>
    </w:tr>
  </w:tbl>
  <w:p w14:paraId="43C3B7CC" w14:textId="77777777" w:rsidR="000041A0" w:rsidRDefault="00004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459D"/>
    <w:multiLevelType w:val="multilevel"/>
    <w:tmpl w:val="D6EA8B26"/>
    <w:lvl w:ilvl="0">
      <w:start w:val="3"/>
      <w:numFmt w:val="decimal"/>
      <w:lvlText w:val="%1"/>
      <w:lvlJc w:val="left"/>
      <w:pPr>
        <w:ind w:left="450" w:hanging="450"/>
      </w:pPr>
      <w:rPr>
        <w:rFonts w:hint="default"/>
      </w:rPr>
    </w:lvl>
    <w:lvl w:ilvl="1">
      <w:start w:val="4"/>
      <w:numFmt w:val="decimal"/>
      <w:lvlText w:val="%1.%2"/>
      <w:lvlJc w:val="left"/>
      <w:pPr>
        <w:ind w:left="688" w:hanging="45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344" w:hanging="1440"/>
      </w:pPr>
      <w:rPr>
        <w:rFonts w:hint="default"/>
      </w:rPr>
    </w:lvl>
  </w:abstractNum>
  <w:abstractNum w:abstractNumId="1" w15:restartNumberingAfterBreak="0">
    <w:nsid w:val="13E74BDC"/>
    <w:multiLevelType w:val="hybridMultilevel"/>
    <w:tmpl w:val="76F63C3E"/>
    <w:lvl w:ilvl="0" w:tplc="5F46813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10544A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283A772E"/>
    <w:multiLevelType w:val="hybridMultilevel"/>
    <w:tmpl w:val="99BC6848"/>
    <w:lvl w:ilvl="0" w:tplc="B91856E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61E3EC"/>
    <w:multiLevelType w:val="hybridMultilevel"/>
    <w:tmpl w:val="FFFFFFFF"/>
    <w:lvl w:ilvl="0" w:tplc="8826A1DA">
      <w:start w:val="1"/>
      <w:numFmt w:val="upperRoman"/>
      <w:lvlText w:val="%1."/>
      <w:lvlJc w:val="left"/>
      <w:pPr>
        <w:ind w:left="1080" w:hanging="720"/>
      </w:pPr>
    </w:lvl>
    <w:lvl w:ilvl="1" w:tplc="BE206706">
      <w:start w:val="1"/>
      <w:numFmt w:val="lowerLetter"/>
      <w:lvlText w:val="%2."/>
      <w:lvlJc w:val="left"/>
      <w:pPr>
        <w:ind w:left="1440" w:hanging="360"/>
      </w:pPr>
    </w:lvl>
    <w:lvl w:ilvl="2" w:tplc="C38A0D0C">
      <w:start w:val="1"/>
      <w:numFmt w:val="lowerRoman"/>
      <w:lvlText w:val="%3."/>
      <w:lvlJc w:val="right"/>
      <w:pPr>
        <w:ind w:left="2160" w:hanging="180"/>
      </w:pPr>
    </w:lvl>
    <w:lvl w:ilvl="3" w:tplc="D220D070">
      <w:start w:val="1"/>
      <w:numFmt w:val="decimal"/>
      <w:lvlText w:val="%4."/>
      <w:lvlJc w:val="left"/>
      <w:pPr>
        <w:ind w:left="2880" w:hanging="360"/>
      </w:pPr>
    </w:lvl>
    <w:lvl w:ilvl="4" w:tplc="F96A1276">
      <w:start w:val="1"/>
      <w:numFmt w:val="lowerLetter"/>
      <w:lvlText w:val="%5."/>
      <w:lvlJc w:val="left"/>
      <w:pPr>
        <w:ind w:left="3600" w:hanging="360"/>
      </w:pPr>
    </w:lvl>
    <w:lvl w:ilvl="5" w:tplc="B156CB96">
      <w:start w:val="1"/>
      <w:numFmt w:val="lowerRoman"/>
      <w:lvlText w:val="%6."/>
      <w:lvlJc w:val="right"/>
      <w:pPr>
        <w:ind w:left="4320" w:hanging="180"/>
      </w:pPr>
    </w:lvl>
    <w:lvl w:ilvl="6" w:tplc="CFE05298">
      <w:start w:val="1"/>
      <w:numFmt w:val="decimal"/>
      <w:lvlText w:val="%7."/>
      <w:lvlJc w:val="left"/>
      <w:pPr>
        <w:ind w:left="5040" w:hanging="360"/>
      </w:pPr>
    </w:lvl>
    <w:lvl w:ilvl="7" w:tplc="EAF0770C">
      <w:start w:val="1"/>
      <w:numFmt w:val="lowerLetter"/>
      <w:lvlText w:val="%8."/>
      <w:lvlJc w:val="left"/>
      <w:pPr>
        <w:ind w:left="5760" w:hanging="360"/>
      </w:pPr>
    </w:lvl>
    <w:lvl w:ilvl="8" w:tplc="8542BFE6">
      <w:start w:val="1"/>
      <w:numFmt w:val="lowerRoman"/>
      <w:lvlText w:val="%9."/>
      <w:lvlJc w:val="right"/>
      <w:pPr>
        <w:ind w:left="6480" w:hanging="180"/>
      </w:pPr>
    </w:lvl>
  </w:abstractNum>
  <w:abstractNum w:abstractNumId="5" w15:restartNumberingAfterBreak="0">
    <w:nsid w:val="2D543B47"/>
    <w:multiLevelType w:val="hybridMultilevel"/>
    <w:tmpl w:val="776CEC42"/>
    <w:lvl w:ilvl="0" w:tplc="FFFFFFFF">
      <w:start w:val="1"/>
      <w:numFmt w:val="upperRoman"/>
      <w:lvlText w:val="%1."/>
      <w:lvlJc w:val="left"/>
      <w:pPr>
        <w:ind w:left="1080" w:hanging="72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6E2D56"/>
    <w:multiLevelType w:val="hybridMultilevel"/>
    <w:tmpl w:val="03261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055961"/>
    <w:multiLevelType w:val="hybridMultilevel"/>
    <w:tmpl w:val="5A90E0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C061AAB"/>
    <w:multiLevelType w:val="hybridMultilevel"/>
    <w:tmpl w:val="FFFFFFFF"/>
    <w:lvl w:ilvl="0" w:tplc="CACED330">
      <w:start w:val="1"/>
      <w:numFmt w:val="decimal"/>
      <w:lvlText w:val="%1."/>
      <w:lvlJc w:val="left"/>
      <w:pPr>
        <w:ind w:left="720" w:hanging="360"/>
      </w:pPr>
    </w:lvl>
    <w:lvl w:ilvl="1" w:tplc="8EC2126C">
      <w:start w:val="1"/>
      <w:numFmt w:val="lowerLetter"/>
      <w:lvlText w:val="%2."/>
      <w:lvlJc w:val="left"/>
      <w:pPr>
        <w:ind w:left="1440" w:hanging="360"/>
      </w:pPr>
    </w:lvl>
    <w:lvl w:ilvl="2" w:tplc="187EE1AC">
      <w:start w:val="1"/>
      <w:numFmt w:val="lowerRoman"/>
      <w:lvlText w:val="%3."/>
      <w:lvlJc w:val="right"/>
      <w:pPr>
        <w:ind w:left="2160" w:hanging="180"/>
      </w:pPr>
    </w:lvl>
    <w:lvl w:ilvl="3" w:tplc="300A7C7C">
      <w:start w:val="1"/>
      <w:numFmt w:val="decimal"/>
      <w:lvlText w:val="%4."/>
      <w:lvlJc w:val="left"/>
      <w:pPr>
        <w:ind w:left="2880" w:hanging="360"/>
      </w:pPr>
    </w:lvl>
    <w:lvl w:ilvl="4" w:tplc="106085A0">
      <w:start w:val="1"/>
      <w:numFmt w:val="lowerLetter"/>
      <w:lvlText w:val="%5."/>
      <w:lvlJc w:val="left"/>
      <w:pPr>
        <w:ind w:left="3600" w:hanging="360"/>
      </w:pPr>
    </w:lvl>
    <w:lvl w:ilvl="5" w:tplc="DB90D49A">
      <w:start w:val="1"/>
      <w:numFmt w:val="lowerRoman"/>
      <w:lvlText w:val="%6."/>
      <w:lvlJc w:val="right"/>
      <w:pPr>
        <w:ind w:left="4320" w:hanging="180"/>
      </w:pPr>
    </w:lvl>
    <w:lvl w:ilvl="6" w:tplc="9D462314">
      <w:start w:val="1"/>
      <w:numFmt w:val="decimal"/>
      <w:lvlText w:val="%7."/>
      <w:lvlJc w:val="left"/>
      <w:pPr>
        <w:ind w:left="5040" w:hanging="360"/>
      </w:pPr>
    </w:lvl>
    <w:lvl w:ilvl="7" w:tplc="11C4E746">
      <w:start w:val="1"/>
      <w:numFmt w:val="lowerLetter"/>
      <w:lvlText w:val="%8."/>
      <w:lvlJc w:val="left"/>
      <w:pPr>
        <w:ind w:left="5760" w:hanging="360"/>
      </w:pPr>
    </w:lvl>
    <w:lvl w:ilvl="8" w:tplc="204E929C">
      <w:start w:val="1"/>
      <w:numFmt w:val="lowerRoman"/>
      <w:lvlText w:val="%9."/>
      <w:lvlJc w:val="right"/>
      <w:pPr>
        <w:ind w:left="6480" w:hanging="180"/>
      </w:pPr>
    </w:lvl>
  </w:abstractNum>
  <w:abstractNum w:abstractNumId="9" w15:restartNumberingAfterBreak="0">
    <w:nsid w:val="41720A4F"/>
    <w:multiLevelType w:val="hybridMultilevel"/>
    <w:tmpl w:val="FFFFFFFF"/>
    <w:lvl w:ilvl="0" w:tplc="40325134">
      <w:start w:val="1"/>
      <w:numFmt w:val="decimal"/>
      <w:lvlText w:val="%1."/>
      <w:lvlJc w:val="left"/>
      <w:pPr>
        <w:ind w:left="720" w:hanging="360"/>
      </w:pPr>
    </w:lvl>
    <w:lvl w:ilvl="1" w:tplc="8C7009CA">
      <w:start w:val="1"/>
      <w:numFmt w:val="lowerLetter"/>
      <w:lvlText w:val="%2."/>
      <w:lvlJc w:val="left"/>
      <w:pPr>
        <w:ind w:left="1440" w:hanging="360"/>
      </w:pPr>
    </w:lvl>
    <w:lvl w:ilvl="2" w:tplc="EEA4CE7E">
      <w:start w:val="1"/>
      <w:numFmt w:val="lowerRoman"/>
      <w:lvlText w:val="%3."/>
      <w:lvlJc w:val="right"/>
      <w:pPr>
        <w:ind w:left="2160" w:hanging="180"/>
      </w:pPr>
    </w:lvl>
    <w:lvl w:ilvl="3" w:tplc="4B741F46">
      <w:start w:val="1"/>
      <w:numFmt w:val="decimal"/>
      <w:lvlText w:val="%4."/>
      <w:lvlJc w:val="left"/>
      <w:pPr>
        <w:ind w:left="2880" w:hanging="360"/>
      </w:pPr>
    </w:lvl>
    <w:lvl w:ilvl="4" w:tplc="1E78242C">
      <w:start w:val="1"/>
      <w:numFmt w:val="lowerLetter"/>
      <w:lvlText w:val="%5."/>
      <w:lvlJc w:val="left"/>
      <w:pPr>
        <w:ind w:left="3600" w:hanging="360"/>
      </w:pPr>
    </w:lvl>
    <w:lvl w:ilvl="5" w:tplc="F8A459CE">
      <w:start w:val="1"/>
      <w:numFmt w:val="lowerRoman"/>
      <w:lvlText w:val="%6."/>
      <w:lvlJc w:val="right"/>
      <w:pPr>
        <w:ind w:left="4320" w:hanging="180"/>
      </w:pPr>
    </w:lvl>
    <w:lvl w:ilvl="6" w:tplc="B3BCE9D6">
      <w:start w:val="1"/>
      <w:numFmt w:val="decimal"/>
      <w:lvlText w:val="%7."/>
      <w:lvlJc w:val="left"/>
      <w:pPr>
        <w:ind w:left="5040" w:hanging="360"/>
      </w:pPr>
    </w:lvl>
    <w:lvl w:ilvl="7" w:tplc="5DC004E8">
      <w:start w:val="1"/>
      <w:numFmt w:val="lowerLetter"/>
      <w:lvlText w:val="%8."/>
      <w:lvlJc w:val="left"/>
      <w:pPr>
        <w:ind w:left="5760" w:hanging="360"/>
      </w:pPr>
    </w:lvl>
    <w:lvl w:ilvl="8" w:tplc="884C68D6">
      <w:start w:val="1"/>
      <w:numFmt w:val="lowerRoman"/>
      <w:lvlText w:val="%9."/>
      <w:lvlJc w:val="right"/>
      <w:pPr>
        <w:ind w:left="6480" w:hanging="180"/>
      </w:pPr>
    </w:lvl>
  </w:abstractNum>
  <w:abstractNum w:abstractNumId="10" w15:restartNumberingAfterBreak="0">
    <w:nsid w:val="44E266B3"/>
    <w:multiLevelType w:val="hybridMultilevel"/>
    <w:tmpl w:val="3F2038CC"/>
    <w:lvl w:ilvl="0" w:tplc="31BA31EE">
      <w:start w:val="1"/>
      <w:numFmt w:val="lowerRoman"/>
      <w:lvlText w:val="%1)"/>
      <w:lvlJc w:val="left"/>
      <w:pPr>
        <w:ind w:left="360" w:hanging="360"/>
      </w:pPr>
      <w:rPr>
        <w:rFonts w:ascii="Times New Roman" w:eastAsiaTheme="minorHAns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59AA807"/>
    <w:multiLevelType w:val="hybridMultilevel"/>
    <w:tmpl w:val="FFFFFFFF"/>
    <w:lvl w:ilvl="0" w:tplc="22D25D62">
      <w:start w:val="1"/>
      <w:numFmt w:val="decimal"/>
      <w:lvlText w:val="%1."/>
      <w:lvlJc w:val="left"/>
      <w:pPr>
        <w:ind w:left="720" w:hanging="360"/>
      </w:pPr>
    </w:lvl>
    <w:lvl w:ilvl="1" w:tplc="023AD190">
      <w:start w:val="1"/>
      <w:numFmt w:val="lowerLetter"/>
      <w:lvlText w:val="%2."/>
      <w:lvlJc w:val="left"/>
      <w:pPr>
        <w:ind w:left="1440" w:hanging="360"/>
      </w:pPr>
    </w:lvl>
    <w:lvl w:ilvl="2" w:tplc="2D0A53EA">
      <w:start w:val="1"/>
      <w:numFmt w:val="lowerRoman"/>
      <w:lvlText w:val="%3."/>
      <w:lvlJc w:val="right"/>
      <w:pPr>
        <w:ind w:left="2160" w:hanging="180"/>
      </w:pPr>
    </w:lvl>
    <w:lvl w:ilvl="3" w:tplc="B2747CB0">
      <w:start w:val="1"/>
      <w:numFmt w:val="decimal"/>
      <w:lvlText w:val="%4."/>
      <w:lvlJc w:val="left"/>
      <w:pPr>
        <w:ind w:left="2880" w:hanging="360"/>
      </w:pPr>
    </w:lvl>
    <w:lvl w:ilvl="4" w:tplc="DEB8CB24">
      <w:start w:val="1"/>
      <w:numFmt w:val="lowerLetter"/>
      <w:lvlText w:val="%5."/>
      <w:lvlJc w:val="left"/>
      <w:pPr>
        <w:ind w:left="3600" w:hanging="360"/>
      </w:pPr>
    </w:lvl>
    <w:lvl w:ilvl="5" w:tplc="A59AA056">
      <w:start w:val="1"/>
      <w:numFmt w:val="lowerRoman"/>
      <w:lvlText w:val="%6."/>
      <w:lvlJc w:val="right"/>
      <w:pPr>
        <w:ind w:left="4320" w:hanging="180"/>
      </w:pPr>
    </w:lvl>
    <w:lvl w:ilvl="6" w:tplc="B234F6EA">
      <w:start w:val="1"/>
      <w:numFmt w:val="decimal"/>
      <w:lvlText w:val="%7."/>
      <w:lvlJc w:val="left"/>
      <w:pPr>
        <w:ind w:left="5040" w:hanging="360"/>
      </w:pPr>
    </w:lvl>
    <w:lvl w:ilvl="7" w:tplc="18C0C06C">
      <w:start w:val="1"/>
      <w:numFmt w:val="lowerLetter"/>
      <w:lvlText w:val="%8."/>
      <w:lvlJc w:val="left"/>
      <w:pPr>
        <w:ind w:left="5760" w:hanging="360"/>
      </w:pPr>
    </w:lvl>
    <w:lvl w:ilvl="8" w:tplc="A3BCCAB8">
      <w:start w:val="1"/>
      <w:numFmt w:val="lowerRoman"/>
      <w:lvlText w:val="%9."/>
      <w:lvlJc w:val="right"/>
      <w:pPr>
        <w:ind w:left="6480" w:hanging="180"/>
      </w:pPr>
    </w:lvl>
  </w:abstractNum>
  <w:abstractNum w:abstractNumId="12" w15:restartNumberingAfterBreak="0">
    <w:nsid w:val="56A11BC2"/>
    <w:multiLevelType w:val="hybridMultilevel"/>
    <w:tmpl w:val="049893C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9A00E69"/>
    <w:multiLevelType w:val="hybridMultilevel"/>
    <w:tmpl w:val="E856E7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C1864FA"/>
    <w:multiLevelType w:val="hybridMultilevel"/>
    <w:tmpl w:val="FFFFFFFF"/>
    <w:lvl w:ilvl="0" w:tplc="E6A875C0">
      <w:start w:val="1"/>
      <w:numFmt w:val="decimal"/>
      <w:lvlText w:val="%1."/>
      <w:lvlJc w:val="left"/>
      <w:pPr>
        <w:ind w:left="720" w:hanging="360"/>
      </w:pPr>
    </w:lvl>
    <w:lvl w:ilvl="1" w:tplc="A2400ACE">
      <w:start w:val="1"/>
      <w:numFmt w:val="lowerLetter"/>
      <w:lvlText w:val="%2."/>
      <w:lvlJc w:val="left"/>
      <w:pPr>
        <w:ind w:left="1440" w:hanging="360"/>
      </w:pPr>
    </w:lvl>
    <w:lvl w:ilvl="2" w:tplc="E00EF3A6">
      <w:start w:val="1"/>
      <w:numFmt w:val="lowerRoman"/>
      <w:lvlText w:val="%3."/>
      <w:lvlJc w:val="right"/>
      <w:pPr>
        <w:ind w:left="2160" w:hanging="180"/>
      </w:pPr>
    </w:lvl>
    <w:lvl w:ilvl="3" w:tplc="C986A8AA">
      <w:start w:val="1"/>
      <w:numFmt w:val="decimal"/>
      <w:lvlText w:val="%4."/>
      <w:lvlJc w:val="left"/>
      <w:pPr>
        <w:ind w:left="2880" w:hanging="360"/>
      </w:pPr>
    </w:lvl>
    <w:lvl w:ilvl="4" w:tplc="2FE0151C">
      <w:start w:val="1"/>
      <w:numFmt w:val="lowerLetter"/>
      <w:lvlText w:val="%5."/>
      <w:lvlJc w:val="left"/>
      <w:pPr>
        <w:ind w:left="3600" w:hanging="360"/>
      </w:pPr>
    </w:lvl>
    <w:lvl w:ilvl="5" w:tplc="3D58E330">
      <w:start w:val="1"/>
      <w:numFmt w:val="lowerRoman"/>
      <w:lvlText w:val="%6."/>
      <w:lvlJc w:val="right"/>
      <w:pPr>
        <w:ind w:left="4320" w:hanging="180"/>
      </w:pPr>
    </w:lvl>
    <w:lvl w:ilvl="6" w:tplc="6B725C7E">
      <w:start w:val="1"/>
      <w:numFmt w:val="decimal"/>
      <w:lvlText w:val="%7."/>
      <w:lvlJc w:val="left"/>
      <w:pPr>
        <w:ind w:left="5040" w:hanging="360"/>
      </w:pPr>
    </w:lvl>
    <w:lvl w:ilvl="7" w:tplc="D564E6D0">
      <w:start w:val="1"/>
      <w:numFmt w:val="lowerLetter"/>
      <w:lvlText w:val="%8."/>
      <w:lvlJc w:val="left"/>
      <w:pPr>
        <w:ind w:left="5760" w:hanging="360"/>
      </w:pPr>
    </w:lvl>
    <w:lvl w:ilvl="8" w:tplc="7BD069D0">
      <w:start w:val="1"/>
      <w:numFmt w:val="lowerRoman"/>
      <w:lvlText w:val="%9."/>
      <w:lvlJc w:val="right"/>
      <w:pPr>
        <w:ind w:left="6480" w:hanging="180"/>
      </w:pPr>
    </w:lvl>
  </w:abstractNum>
  <w:abstractNum w:abstractNumId="15" w15:restartNumberingAfterBreak="0">
    <w:nsid w:val="6028904D"/>
    <w:multiLevelType w:val="hybridMultilevel"/>
    <w:tmpl w:val="FFFFFFFF"/>
    <w:lvl w:ilvl="0" w:tplc="FBBE59BC">
      <w:start w:val="1"/>
      <w:numFmt w:val="bullet"/>
      <w:lvlText w:val=""/>
      <w:lvlJc w:val="left"/>
      <w:pPr>
        <w:ind w:left="720" w:hanging="360"/>
      </w:pPr>
    </w:lvl>
    <w:lvl w:ilvl="1" w:tplc="100862F2">
      <w:start w:val="1"/>
      <w:numFmt w:val="lowerLetter"/>
      <w:lvlText w:val="%2."/>
      <w:lvlJc w:val="left"/>
      <w:pPr>
        <w:ind w:left="1440" w:hanging="360"/>
      </w:pPr>
    </w:lvl>
    <w:lvl w:ilvl="2" w:tplc="4DBE0B94">
      <w:start w:val="1"/>
      <w:numFmt w:val="lowerRoman"/>
      <w:lvlText w:val="%3."/>
      <w:lvlJc w:val="right"/>
      <w:pPr>
        <w:ind w:left="2160" w:hanging="180"/>
      </w:pPr>
    </w:lvl>
    <w:lvl w:ilvl="3" w:tplc="75C0D482">
      <w:start w:val="1"/>
      <w:numFmt w:val="decimal"/>
      <w:lvlText w:val="%4."/>
      <w:lvlJc w:val="left"/>
      <w:pPr>
        <w:ind w:left="2880" w:hanging="360"/>
      </w:pPr>
    </w:lvl>
    <w:lvl w:ilvl="4" w:tplc="FB28B050">
      <w:start w:val="1"/>
      <w:numFmt w:val="lowerLetter"/>
      <w:lvlText w:val="%5."/>
      <w:lvlJc w:val="left"/>
      <w:pPr>
        <w:ind w:left="3600" w:hanging="360"/>
      </w:pPr>
    </w:lvl>
    <w:lvl w:ilvl="5" w:tplc="583A3766">
      <w:start w:val="1"/>
      <w:numFmt w:val="lowerRoman"/>
      <w:lvlText w:val="%6."/>
      <w:lvlJc w:val="right"/>
      <w:pPr>
        <w:ind w:left="4320" w:hanging="180"/>
      </w:pPr>
    </w:lvl>
    <w:lvl w:ilvl="6" w:tplc="D3C0F3F4">
      <w:start w:val="1"/>
      <w:numFmt w:val="decimal"/>
      <w:lvlText w:val="%7."/>
      <w:lvlJc w:val="left"/>
      <w:pPr>
        <w:ind w:left="5040" w:hanging="360"/>
      </w:pPr>
    </w:lvl>
    <w:lvl w:ilvl="7" w:tplc="73527866">
      <w:start w:val="1"/>
      <w:numFmt w:val="lowerLetter"/>
      <w:lvlText w:val="%8."/>
      <w:lvlJc w:val="left"/>
      <w:pPr>
        <w:ind w:left="5760" w:hanging="360"/>
      </w:pPr>
    </w:lvl>
    <w:lvl w:ilvl="8" w:tplc="6C2E8260">
      <w:start w:val="1"/>
      <w:numFmt w:val="lowerRoman"/>
      <w:lvlText w:val="%9."/>
      <w:lvlJc w:val="right"/>
      <w:pPr>
        <w:ind w:left="6480" w:hanging="180"/>
      </w:pPr>
    </w:lvl>
  </w:abstractNum>
  <w:abstractNum w:abstractNumId="16" w15:restartNumberingAfterBreak="0">
    <w:nsid w:val="636D3CE3"/>
    <w:multiLevelType w:val="hybridMultilevel"/>
    <w:tmpl w:val="FFFFFFFF"/>
    <w:lvl w:ilvl="0" w:tplc="0ED2CE7E">
      <w:start w:val="1"/>
      <w:numFmt w:val="decimal"/>
      <w:lvlText w:val="%1."/>
      <w:lvlJc w:val="left"/>
      <w:pPr>
        <w:ind w:left="720" w:hanging="360"/>
      </w:pPr>
    </w:lvl>
    <w:lvl w:ilvl="1" w:tplc="3922302C">
      <w:start w:val="1"/>
      <w:numFmt w:val="lowerLetter"/>
      <w:lvlText w:val="%2."/>
      <w:lvlJc w:val="left"/>
      <w:pPr>
        <w:ind w:left="1440" w:hanging="360"/>
      </w:pPr>
    </w:lvl>
    <w:lvl w:ilvl="2" w:tplc="6BA64AFE">
      <w:start w:val="1"/>
      <w:numFmt w:val="lowerRoman"/>
      <w:lvlText w:val="%3."/>
      <w:lvlJc w:val="right"/>
      <w:pPr>
        <w:ind w:left="2160" w:hanging="180"/>
      </w:pPr>
    </w:lvl>
    <w:lvl w:ilvl="3" w:tplc="6FF0AE42">
      <w:start w:val="1"/>
      <w:numFmt w:val="decimal"/>
      <w:lvlText w:val="%4."/>
      <w:lvlJc w:val="left"/>
      <w:pPr>
        <w:ind w:left="2880" w:hanging="360"/>
      </w:pPr>
    </w:lvl>
    <w:lvl w:ilvl="4" w:tplc="C0340A92">
      <w:start w:val="1"/>
      <w:numFmt w:val="lowerLetter"/>
      <w:lvlText w:val="%5."/>
      <w:lvlJc w:val="left"/>
      <w:pPr>
        <w:ind w:left="3600" w:hanging="360"/>
      </w:pPr>
    </w:lvl>
    <w:lvl w:ilvl="5" w:tplc="CA3CF05E">
      <w:start w:val="1"/>
      <w:numFmt w:val="lowerRoman"/>
      <w:lvlText w:val="%6."/>
      <w:lvlJc w:val="right"/>
      <w:pPr>
        <w:ind w:left="4320" w:hanging="180"/>
      </w:pPr>
    </w:lvl>
    <w:lvl w:ilvl="6" w:tplc="F6FAA09C">
      <w:start w:val="1"/>
      <w:numFmt w:val="decimal"/>
      <w:lvlText w:val="%7."/>
      <w:lvlJc w:val="left"/>
      <w:pPr>
        <w:ind w:left="5040" w:hanging="360"/>
      </w:pPr>
    </w:lvl>
    <w:lvl w:ilvl="7" w:tplc="F6DACD52">
      <w:start w:val="1"/>
      <w:numFmt w:val="lowerLetter"/>
      <w:lvlText w:val="%8."/>
      <w:lvlJc w:val="left"/>
      <w:pPr>
        <w:ind w:left="5760" w:hanging="360"/>
      </w:pPr>
    </w:lvl>
    <w:lvl w:ilvl="8" w:tplc="49C6A45C">
      <w:start w:val="1"/>
      <w:numFmt w:val="lowerRoman"/>
      <w:lvlText w:val="%9."/>
      <w:lvlJc w:val="right"/>
      <w:pPr>
        <w:ind w:left="6480" w:hanging="180"/>
      </w:pPr>
    </w:lvl>
  </w:abstractNum>
  <w:abstractNum w:abstractNumId="17" w15:restartNumberingAfterBreak="0">
    <w:nsid w:val="63DAA7E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657743D8"/>
    <w:multiLevelType w:val="hybridMultilevel"/>
    <w:tmpl w:val="273C8D72"/>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8111DA8"/>
    <w:multiLevelType w:val="hybridMultilevel"/>
    <w:tmpl w:val="2CECCB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60560AC"/>
    <w:multiLevelType w:val="hybridMultilevel"/>
    <w:tmpl w:val="FFFFFFFF"/>
    <w:lvl w:ilvl="0" w:tplc="D4263B6E">
      <w:start w:val="1"/>
      <w:numFmt w:val="decimal"/>
      <w:lvlText w:val="%1."/>
      <w:lvlJc w:val="left"/>
      <w:pPr>
        <w:ind w:left="720" w:hanging="360"/>
      </w:pPr>
    </w:lvl>
    <w:lvl w:ilvl="1" w:tplc="6204BF80">
      <w:start w:val="1"/>
      <w:numFmt w:val="lowerLetter"/>
      <w:lvlText w:val="%2."/>
      <w:lvlJc w:val="left"/>
      <w:pPr>
        <w:ind w:left="1440" w:hanging="360"/>
      </w:pPr>
    </w:lvl>
    <w:lvl w:ilvl="2" w:tplc="017AEF78">
      <w:start w:val="1"/>
      <w:numFmt w:val="lowerRoman"/>
      <w:lvlText w:val="%3."/>
      <w:lvlJc w:val="right"/>
      <w:pPr>
        <w:ind w:left="2160" w:hanging="180"/>
      </w:pPr>
    </w:lvl>
    <w:lvl w:ilvl="3" w:tplc="8A10110C">
      <w:start w:val="1"/>
      <w:numFmt w:val="decimal"/>
      <w:lvlText w:val="%4."/>
      <w:lvlJc w:val="left"/>
      <w:pPr>
        <w:ind w:left="2880" w:hanging="360"/>
      </w:pPr>
    </w:lvl>
    <w:lvl w:ilvl="4" w:tplc="6E8670F6">
      <w:start w:val="1"/>
      <w:numFmt w:val="lowerLetter"/>
      <w:lvlText w:val="%5."/>
      <w:lvlJc w:val="left"/>
      <w:pPr>
        <w:ind w:left="3600" w:hanging="360"/>
      </w:pPr>
    </w:lvl>
    <w:lvl w:ilvl="5" w:tplc="F6D8785C">
      <w:start w:val="1"/>
      <w:numFmt w:val="lowerRoman"/>
      <w:lvlText w:val="%6."/>
      <w:lvlJc w:val="right"/>
      <w:pPr>
        <w:ind w:left="4320" w:hanging="180"/>
      </w:pPr>
    </w:lvl>
    <w:lvl w:ilvl="6" w:tplc="C43E0FB6">
      <w:start w:val="1"/>
      <w:numFmt w:val="decimal"/>
      <w:lvlText w:val="%7."/>
      <w:lvlJc w:val="left"/>
      <w:pPr>
        <w:ind w:left="5040" w:hanging="360"/>
      </w:pPr>
    </w:lvl>
    <w:lvl w:ilvl="7" w:tplc="26329EC8">
      <w:start w:val="1"/>
      <w:numFmt w:val="lowerLetter"/>
      <w:lvlText w:val="%8."/>
      <w:lvlJc w:val="left"/>
      <w:pPr>
        <w:ind w:left="5760" w:hanging="360"/>
      </w:pPr>
    </w:lvl>
    <w:lvl w:ilvl="8" w:tplc="C6069046">
      <w:start w:val="1"/>
      <w:numFmt w:val="lowerRoman"/>
      <w:lvlText w:val="%9."/>
      <w:lvlJc w:val="right"/>
      <w:pPr>
        <w:ind w:left="6480" w:hanging="180"/>
      </w:pPr>
    </w:lvl>
  </w:abstractNum>
  <w:abstractNum w:abstractNumId="21" w15:restartNumberingAfterBreak="0">
    <w:nsid w:val="7C65145E"/>
    <w:multiLevelType w:val="multilevel"/>
    <w:tmpl w:val="A60A4B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rPr>
        <w:rFonts w:ascii="Times New Roman" w:hAnsi="Times New Roman" w:cs="Times New Roman" w:hint="default"/>
        <w:sz w:val="22"/>
      </w:r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4"/>
  </w:num>
  <w:num w:numId="2">
    <w:abstractNumId w:val="20"/>
  </w:num>
  <w:num w:numId="3">
    <w:abstractNumId w:val="16"/>
  </w:num>
  <w:num w:numId="4">
    <w:abstractNumId w:val="9"/>
  </w:num>
  <w:num w:numId="5">
    <w:abstractNumId w:val="11"/>
  </w:num>
  <w:num w:numId="6">
    <w:abstractNumId w:val="14"/>
  </w:num>
  <w:num w:numId="7">
    <w:abstractNumId w:val="2"/>
  </w:num>
  <w:num w:numId="8">
    <w:abstractNumId w:val="17"/>
  </w:num>
  <w:num w:numId="9">
    <w:abstractNumId w:val="15"/>
  </w:num>
  <w:num w:numId="10">
    <w:abstractNumId w:val="8"/>
  </w:num>
  <w:num w:numId="11">
    <w:abstractNumId w:val="21"/>
  </w:num>
  <w:num w:numId="12">
    <w:abstractNumId w:val="10"/>
  </w:num>
  <w:num w:numId="13">
    <w:abstractNumId w:val="7"/>
  </w:num>
  <w:num w:numId="14">
    <w:abstractNumId w:val="6"/>
  </w:num>
  <w:num w:numId="15">
    <w:abstractNumId w:val="18"/>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
  </w:num>
  <w:num w:numId="20">
    <w:abstractNumId w:val="19"/>
  </w:num>
  <w:num w:numId="21">
    <w:abstractNumId w:val="21"/>
  </w:num>
  <w:num w:numId="22">
    <w:abstractNumId w:val="21"/>
  </w:num>
  <w:num w:numId="23">
    <w:abstractNumId w:val="0"/>
  </w:num>
  <w:num w:numId="24">
    <w:abstractNumId w:val="21"/>
  </w:num>
  <w:num w:numId="25">
    <w:abstractNumId w:val="21"/>
  </w:num>
  <w:num w:numId="26">
    <w:abstractNumId w:val="13"/>
  </w:num>
  <w:num w:numId="27">
    <w:abstractNumId w:val="3"/>
  </w:num>
  <w:num w:numId="2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F0067876-2B7B-436E-A391-D3172285D484"/>
    <w:docVar w:name="LW_COVERPAGE_TYPE" w:val="1"/>
    <w:docVar w:name="LW_CROSSREFERENCE" w:val="&lt;UNUSED&gt;"/>
    <w:docVar w:name="LW_DocType" w:val="NORMAL"/>
    <w:docVar w:name="LW_EMISSION" w:val="24.1.2024"/>
    <w:docVar w:name="LW_EMISSION_ISODATE" w:val="2024-01-24"/>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4) 2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 die Makrofinanzaufsicht für Finanzinstitute, die Systemrisiken im Zusammenhang mit Nichtbanken-Finanzintermediären (NBFI) und deren Verflochtenheit mit Kreditinstituten nach Artikel 513 der Verordnung (EU) Nr. 575/2013 des Europäischen Parlaments und des Rates vom 26. Juni 2013 über Aufsichtsanforderungen an Kreditinstitute und Wertpapierfirmen und zur Änderung der Verordnung (EU) Nr. 646/2012_x000d__x000b_"/>
    <w:docVar w:name="LW_TYPE.DOC.CP" w:val="BERICHT DER KOMMISSION AN DAS EUROPÄISCHE PARLAMENT UND DEN RAT"/>
    <w:docVar w:name="LwApiVersions" w:val="LW4CoDe 1.24.4.0; LW 9.0, Build 20240125"/>
  </w:docVars>
  <w:rsids>
    <w:rsidRoot w:val="00E6448C"/>
    <w:rsid w:val="000000FC"/>
    <w:rsid w:val="000002F8"/>
    <w:rsid w:val="000005AF"/>
    <w:rsid w:val="000005B0"/>
    <w:rsid w:val="0000076D"/>
    <w:rsid w:val="00000C3C"/>
    <w:rsid w:val="00000DD2"/>
    <w:rsid w:val="000010F3"/>
    <w:rsid w:val="0000137A"/>
    <w:rsid w:val="00001396"/>
    <w:rsid w:val="00001410"/>
    <w:rsid w:val="00001767"/>
    <w:rsid w:val="000018DB"/>
    <w:rsid w:val="00001966"/>
    <w:rsid w:val="00001C15"/>
    <w:rsid w:val="00001E92"/>
    <w:rsid w:val="000025D5"/>
    <w:rsid w:val="0000266C"/>
    <w:rsid w:val="00002BBD"/>
    <w:rsid w:val="00002C82"/>
    <w:rsid w:val="00002DEB"/>
    <w:rsid w:val="00002EFA"/>
    <w:rsid w:val="000030F5"/>
    <w:rsid w:val="00003506"/>
    <w:rsid w:val="00003594"/>
    <w:rsid w:val="0000368C"/>
    <w:rsid w:val="00003C4E"/>
    <w:rsid w:val="00003EF9"/>
    <w:rsid w:val="00004006"/>
    <w:rsid w:val="00004058"/>
    <w:rsid w:val="00004097"/>
    <w:rsid w:val="00004107"/>
    <w:rsid w:val="000041A0"/>
    <w:rsid w:val="0000431D"/>
    <w:rsid w:val="000043B6"/>
    <w:rsid w:val="0000442F"/>
    <w:rsid w:val="000044F5"/>
    <w:rsid w:val="0000457B"/>
    <w:rsid w:val="000046C3"/>
    <w:rsid w:val="0000472B"/>
    <w:rsid w:val="00004F2B"/>
    <w:rsid w:val="00005216"/>
    <w:rsid w:val="000059F9"/>
    <w:rsid w:val="00005AA4"/>
    <w:rsid w:val="00005AFE"/>
    <w:rsid w:val="00005DFD"/>
    <w:rsid w:val="00005FB0"/>
    <w:rsid w:val="00006AE8"/>
    <w:rsid w:val="00006BDD"/>
    <w:rsid w:val="00006D1F"/>
    <w:rsid w:val="00006FC2"/>
    <w:rsid w:val="0000722B"/>
    <w:rsid w:val="00007555"/>
    <w:rsid w:val="0000767B"/>
    <w:rsid w:val="0000788A"/>
    <w:rsid w:val="00007988"/>
    <w:rsid w:val="00007AD7"/>
    <w:rsid w:val="00007B6F"/>
    <w:rsid w:val="00007DFB"/>
    <w:rsid w:val="00007EAA"/>
    <w:rsid w:val="000101F9"/>
    <w:rsid w:val="0001031C"/>
    <w:rsid w:val="000105E7"/>
    <w:rsid w:val="00010700"/>
    <w:rsid w:val="00010D25"/>
    <w:rsid w:val="00010D32"/>
    <w:rsid w:val="00010FB3"/>
    <w:rsid w:val="00011050"/>
    <w:rsid w:val="00011086"/>
    <w:rsid w:val="00011166"/>
    <w:rsid w:val="00011407"/>
    <w:rsid w:val="000115D7"/>
    <w:rsid w:val="000115E9"/>
    <w:rsid w:val="00011B30"/>
    <w:rsid w:val="00011BCE"/>
    <w:rsid w:val="00011D01"/>
    <w:rsid w:val="00011D63"/>
    <w:rsid w:val="00012296"/>
    <w:rsid w:val="00012789"/>
    <w:rsid w:val="0001281D"/>
    <w:rsid w:val="000128A3"/>
    <w:rsid w:val="00012B24"/>
    <w:rsid w:val="00012B5E"/>
    <w:rsid w:val="0001370B"/>
    <w:rsid w:val="000138A5"/>
    <w:rsid w:val="00013D31"/>
    <w:rsid w:val="00014208"/>
    <w:rsid w:val="00014652"/>
    <w:rsid w:val="0001485F"/>
    <w:rsid w:val="000148A3"/>
    <w:rsid w:val="000148D2"/>
    <w:rsid w:val="00014BB6"/>
    <w:rsid w:val="00014CD9"/>
    <w:rsid w:val="000152B6"/>
    <w:rsid w:val="000152BF"/>
    <w:rsid w:val="000158D0"/>
    <w:rsid w:val="000158F1"/>
    <w:rsid w:val="00015DB3"/>
    <w:rsid w:val="00015EE8"/>
    <w:rsid w:val="0001666C"/>
    <w:rsid w:val="00016A80"/>
    <w:rsid w:val="00016B78"/>
    <w:rsid w:val="00016BF0"/>
    <w:rsid w:val="00016CAA"/>
    <w:rsid w:val="00016FAE"/>
    <w:rsid w:val="00017188"/>
    <w:rsid w:val="00017358"/>
    <w:rsid w:val="000174D7"/>
    <w:rsid w:val="000175DF"/>
    <w:rsid w:val="000176E0"/>
    <w:rsid w:val="00017CD3"/>
    <w:rsid w:val="00020203"/>
    <w:rsid w:val="000202DC"/>
    <w:rsid w:val="000204CE"/>
    <w:rsid w:val="00020664"/>
    <w:rsid w:val="000208C1"/>
    <w:rsid w:val="00020ADD"/>
    <w:rsid w:val="00020CDE"/>
    <w:rsid w:val="00020D96"/>
    <w:rsid w:val="00020E2B"/>
    <w:rsid w:val="000210BD"/>
    <w:rsid w:val="0002115D"/>
    <w:rsid w:val="000211D6"/>
    <w:rsid w:val="00021278"/>
    <w:rsid w:val="000212A5"/>
    <w:rsid w:val="00021972"/>
    <w:rsid w:val="000219DD"/>
    <w:rsid w:val="00022321"/>
    <w:rsid w:val="00022572"/>
    <w:rsid w:val="000230A8"/>
    <w:rsid w:val="00023113"/>
    <w:rsid w:val="00023992"/>
    <w:rsid w:val="00023A4C"/>
    <w:rsid w:val="00023EB2"/>
    <w:rsid w:val="00024692"/>
    <w:rsid w:val="0002488A"/>
    <w:rsid w:val="00024F71"/>
    <w:rsid w:val="000251AE"/>
    <w:rsid w:val="000254FA"/>
    <w:rsid w:val="000256D3"/>
    <w:rsid w:val="000259E2"/>
    <w:rsid w:val="00025ACE"/>
    <w:rsid w:val="00025FA4"/>
    <w:rsid w:val="00026213"/>
    <w:rsid w:val="00026332"/>
    <w:rsid w:val="000264D1"/>
    <w:rsid w:val="00026720"/>
    <w:rsid w:val="00026A9E"/>
    <w:rsid w:val="000273ED"/>
    <w:rsid w:val="0002794B"/>
    <w:rsid w:val="00027A50"/>
    <w:rsid w:val="00027C2A"/>
    <w:rsid w:val="00027C34"/>
    <w:rsid w:val="000300D7"/>
    <w:rsid w:val="00030750"/>
    <w:rsid w:val="00030964"/>
    <w:rsid w:val="00030AE1"/>
    <w:rsid w:val="00031251"/>
    <w:rsid w:val="00031EBB"/>
    <w:rsid w:val="000320CC"/>
    <w:rsid w:val="00032343"/>
    <w:rsid w:val="00032379"/>
    <w:rsid w:val="000323E0"/>
    <w:rsid w:val="00032403"/>
    <w:rsid w:val="000324CD"/>
    <w:rsid w:val="00032648"/>
    <w:rsid w:val="00032753"/>
    <w:rsid w:val="00032991"/>
    <w:rsid w:val="00032CA4"/>
    <w:rsid w:val="00032E8B"/>
    <w:rsid w:val="00032ED5"/>
    <w:rsid w:val="00033356"/>
    <w:rsid w:val="0003362B"/>
    <w:rsid w:val="000337C2"/>
    <w:rsid w:val="00033B55"/>
    <w:rsid w:val="00033D39"/>
    <w:rsid w:val="000340C1"/>
    <w:rsid w:val="000341FA"/>
    <w:rsid w:val="000342C7"/>
    <w:rsid w:val="00034356"/>
    <w:rsid w:val="000343E4"/>
    <w:rsid w:val="0003446A"/>
    <w:rsid w:val="00034689"/>
    <w:rsid w:val="000349F9"/>
    <w:rsid w:val="00034B5C"/>
    <w:rsid w:val="00034CEF"/>
    <w:rsid w:val="00034D9A"/>
    <w:rsid w:val="0003508A"/>
    <w:rsid w:val="00035168"/>
    <w:rsid w:val="000351BE"/>
    <w:rsid w:val="000357DD"/>
    <w:rsid w:val="00035DE3"/>
    <w:rsid w:val="00035E57"/>
    <w:rsid w:val="00036483"/>
    <w:rsid w:val="000364E5"/>
    <w:rsid w:val="0003651A"/>
    <w:rsid w:val="000366AF"/>
    <w:rsid w:val="0003687E"/>
    <w:rsid w:val="000368C2"/>
    <w:rsid w:val="00036A63"/>
    <w:rsid w:val="00037103"/>
    <w:rsid w:val="00037423"/>
    <w:rsid w:val="00037606"/>
    <w:rsid w:val="00037821"/>
    <w:rsid w:val="00037929"/>
    <w:rsid w:val="0003792E"/>
    <w:rsid w:val="00037C0C"/>
    <w:rsid w:val="00037CD5"/>
    <w:rsid w:val="0004005A"/>
    <w:rsid w:val="000402F9"/>
    <w:rsid w:val="000407A2"/>
    <w:rsid w:val="00040829"/>
    <w:rsid w:val="000409E7"/>
    <w:rsid w:val="00040F01"/>
    <w:rsid w:val="0004123D"/>
    <w:rsid w:val="0004179D"/>
    <w:rsid w:val="000417D9"/>
    <w:rsid w:val="00041848"/>
    <w:rsid w:val="00041A5C"/>
    <w:rsid w:val="00041B5A"/>
    <w:rsid w:val="00041C99"/>
    <w:rsid w:val="00041E69"/>
    <w:rsid w:val="000421CA"/>
    <w:rsid w:val="00042282"/>
    <w:rsid w:val="00042474"/>
    <w:rsid w:val="000427C3"/>
    <w:rsid w:val="00042988"/>
    <w:rsid w:val="00042C28"/>
    <w:rsid w:val="00042F07"/>
    <w:rsid w:val="00042F69"/>
    <w:rsid w:val="00042FA6"/>
    <w:rsid w:val="0004302C"/>
    <w:rsid w:val="00043517"/>
    <w:rsid w:val="0004362E"/>
    <w:rsid w:val="00043890"/>
    <w:rsid w:val="00043EC2"/>
    <w:rsid w:val="000444CF"/>
    <w:rsid w:val="000446B5"/>
    <w:rsid w:val="000448A6"/>
    <w:rsid w:val="0004494A"/>
    <w:rsid w:val="00044AE7"/>
    <w:rsid w:val="00044E36"/>
    <w:rsid w:val="00045077"/>
    <w:rsid w:val="000453F0"/>
    <w:rsid w:val="0004545B"/>
    <w:rsid w:val="00045ACC"/>
    <w:rsid w:val="00045BF9"/>
    <w:rsid w:val="00045BFE"/>
    <w:rsid w:val="0004626C"/>
    <w:rsid w:val="00046360"/>
    <w:rsid w:val="00046606"/>
    <w:rsid w:val="000466E6"/>
    <w:rsid w:val="00046810"/>
    <w:rsid w:val="00046E56"/>
    <w:rsid w:val="0004719A"/>
    <w:rsid w:val="00047446"/>
    <w:rsid w:val="00047C32"/>
    <w:rsid w:val="00047D37"/>
    <w:rsid w:val="00047EE8"/>
    <w:rsid w:val="00050D9B"/>
    <w:rsid w:val="00050F00"/>
    <w:rsid w:val="00050F4A"/>
    <w:rsid w:val="00050F62"/>
    <w:rsid w:val="0005128A"/>
    <w:rsid w:val="0005134C"/>
    <w:rsid w:val="0005171C"/>
    <w:rsid w:val="0005209E"/>
    <w:rsid w:val="000520BC"/>
    <w:rsid w:val="00052137"/>
    <w:rsid w:val="000523BC"/>
    <w:rsid w:val="00052825"/>
    <w:rsid w:val="000529BE"/>
    <w:rsid w:val="00052AB1"/>
    <w:rsid w:val="00053193"/>
    <w:rsid w:val="00053348"/>
    <w:rsid w:val="00053762"/>
    <w:rsid w:val="00054184"/>
    <w:rsid w:val="00054190"/>
    <w:rsid w:val="000541C4"/>
    <w:rsid w:val="000544D4"/>
    <w:rsid w:val="0005472F"/>
    <w:rsid w:val="00054A34"/>
    <w:rsid w:val="0005527D"/>
    <w:rsid w:val="00055533"/>
    <w:rsid w:val="0005556D"/>
    <w:rsid w:val="00055660"/>
    <w:rsid w:val="00055811"/>
    <w:rsid w:val="00055A64"/>
    <w:rsid w:val="000560FF"/>
    <w:rsid w:val="00056503"/>
    <w:rsid w:val="00056700"/>
    <w:rsid w:val="000568D6"/>
    <w:rsid w:val="00056CE6"/>
    <w:rsid w:val="000570E2"/>
    <w:rsid w:val="000574E9"/>
    <w:rsid w:val="00057512"/>
    <w:rsid w:val="00057BDC"/>
    <w:rsid w:val="00057D25"/>
    <w:rsid w:val="00060253"/>
    <w:rsid w:val="000602FE"/>
    <w:rsid w:val="00060799"/>
    <w:rsid w:val="000609A7"/>
    <w:rsid w:val="00060A4D"/>
    <w:rsid w:val="00060AB7"/>
    <w:rsid w:val="00060ABB"/>
    <w:rsid w:val="00060ADE"/>
    <w:rsid w:val="00060AFF"/>
    <w:rsid w:val="00060FA4"/>
    <w:rsid w:val="000612A5"/>
    <w:rsid w:val="000614B2"/>
    <w:rsid w:val="000618F9"/>
    <w:rsid w:val="00061B28"/>
    <w:rsid w:val="00061C58"/>
    <w:rsid w:val="00061C68"/>
    <w:rsid w:val="00061FFE"/>
    <w:rsid w:val="0006208E"/>
    <w:rsid w:val="0006248D"/>
    <w:rsid w:val="0006254A"/>
    <w:rsid w:val="00062ADF"/>
    <w:rsid w:val="00062BDC"/>
    <w:rsid w:val="00062EFD"/>
    <w:rsid w:val="0006306F"/>
    <w:rsid w:val="000630B8"/>
    <w:rsid w:val="000631AA"/>
    <w:rsid w:val="000632BC"/>
    <w:rsid w:val="000636FC"/>
    <w:rsid w:val="00063864"/>
    <w:rsid w:val="00063881"/>
    <w:rsid w:val="0006397C"/>
    <w:rsid w:val="00063C83"/>
    <w:rsid w:val="000640BE"/>
    <w:rsid w:val="00064914"/>
    <w:rsid w:val="00064DA5"/>
    <w:rsid w:val="00064E99"/>
    <w:rsid w:val="00064F34"/>
    <w:rsid w:val="000652D1"/>
    <w:rsid w:val="0006555F"/>
    <w:rsid w:val="00065C94"/>
    <w:rsid w:val="00065CC5"/>
    <w:rsid w:val="0006603C"/>
    <w:rsid w:val="00066102"/>
    <w:rsid w:val="000668D2"/>
    <w:rsid w:val="000668D3"/>
    <w:rsid w:val="00066BA3"/>
    <w:rsid w:val="00067050"/>
    <w:rsid w:val="000671EB"/>
    <w:rsid w:val="000679B6"/>
    <w:rsid w:val="00067C66"/>
    <w:rsid w:val="00067F78"/>
    <w:rsid w:val="00070146"/>
    <w:rsid w:val="00070584"/>
    <w:rsid w:val="00070758"/>
    <w:rsid w:val="00070921"/>
    <w:rsid w:val="000709EE"/>
    <w:rsid w:val="00070C73"/>
    <w:rsid w:val="00070DF9"/>
    <w:rsid w:val="00070EF2"/>
    <w:rsid w:val="000710F4"/>
    <w:rsid w:val="00071644"/>
    <w:rsid w:val="000722A8"/>
    <w:rsid w:val="00072477"/>
    <w:rsid w:val="00072530"/>
    <w:rsid w:val="00072C7B"/>
    <w:rsid w:val="00072CAE"/>
    <w:rsid w:val="00072DFD"/>
    <w:rsid w:val="00072E6E"/>
    <w:rsid w:val="00073315"/>
    <w:rsid w:val="0007359C"/>
    <w:rsid w:val="00073988"/>
    <w:rsid w:val="000739E2"/>
    <w:rsid w:val="00073A5B"/>
    <w:rsid w:val="00073F45"/>
    <w:rsid w:val="000740BB"/>
    <w:rsid w:val="00074127"/>
    <w:rsid w:val="0007431B"/>
    <w:rsid w:val="00074E48"/>
    <w:rsid w:val="000754A8"/>
    <w:rsid w:val="000759F4"/>
    <w:rsid w:val="00075A2B"/>
    <w:rsid w:val="00075AED"/>
    <w:rsid w:val="00075BAA"/>
    <w:rsid w:val="00075F1F"/>
    <w:rsid w:val="0007690B"/>
    <w:rsid w:val="000769B2"/>
    <w:rsid w:val="00076D82"/>
    <w:rsid w:val="00076EF4"/>
    <w:rsid w:val="00077125"/>
    <w:rsid w:val="00077470"/>
    <w:rsid w:val="0007781A"/>
    <w:rsid w:val="0007792F"/>
    <w:rsid w:val="00077C1E"/>
    <w:rsid w:val="00077D10"/>
    <w:rsid w:val="00077DCE"/>
    <w:rsid w:val="00080160"/>
    <w:rsid w:val="0008023C"/>
    <w:rsid w:val="000803CF"/>
    <w:rsid w:val="0008063F"/>
    <w:rsid w:val="000807A0"/>
    <w:rsid w:val="00080B08"/>
    <w:rsid w:val="00081052"/>
    <w:rsid w:val="000810C5"/>
    <w:rsid w:val="00081316"/>
    <w:rsid w:val="0008137A"/>
    <w:rsid w:val="000817A9"/>
    <w:rsid w:val="00081E36"/>
    <w:rsid w:val="000820E8"/>
    <w:rsid w:val="0008210E"/>
    <w:rsid w:val="00082343"/>
    <w:rsid w:val="0008241A"/>
    <w:rsid w:val="00082447"/>
    <w:rsid w:val="00082686"/>
    <w:rsid w:val="00082692"/>
    <w:rsid w:val="00082B38"/>
    <w:rsid w:val="00082CCF"/>
    <w:rsid w:val="00082F30"/>
    <w:rsid w:val="00083039"/>
    <w:rsid w:val="00083065"/>
    <w:rsid w:val="00083177"/>
    <w:rsid w:val="00083633"/>
    <w:rsid w:val="00083959"/>
    <w:rsid w:val="00083EE2"/>
    <w:rsid w:val="0008417D"/>
    <w:rsid w:val="00084296"/>
    <w:rsid w:val="00084475"/>
    <w:rsid w:val="00084888"/>
    <w:rsid w:val="00084B8F"/>
    <w:rsid w:val="00084BF3"/>
    <w:rsid w:val="00085218"/>
    <w:rsid w:val="00085285"/>
    <w:rsid w:val="000852C5"/>
    <w:rsid w:val="0008551D"/>
    <w:rsid w:val="000855A3"/>
    <w:rsid w:val="00085A1D"/>
    <w:rsid w:val="00085D80"/>
    <w:rsid w:val="000860A1"/>
    <w:rsid w:val="00086143"/>
    <w:rsid w:val="000861D2"/>
    <w:rsid w:val="0008648F"/>
    <w:rsid w:val="000864A8"/>
    <w:rsid w:val="00086591"/>
    <w:rsid w:val="000865B9"/>
    <w:rsid w:val="000868FD"/>
    <w:rsid w:val="00086F72"/>
    <w:rsid w:val="00087413"/>
    <w:rsid w:val="0008764D"/>
    <w:rsid w:val="0008774B"/>
    <w:rsid w:val="000877FC"/>
    <w:rsid w:val="00087BE4"/>
    <w:rsid w:val="00087D16"/>
    <w:rsid w:val="00087E24"/>
    <w:rsid w:val="000905D1"/>
    <w:rsid w:val="000906F0"/>
    <w:rsid w:val="000907B5"/>
    <w:rsid w:val="00090C0D"/>
    <w:rsid w:val="00090D04"/>
    <w:rsid w:val="0009109F"/>
    <w:rsid w:val="00091606"/>
    <w:rsid w:val="00091715"/>
    <w:rsid w:val="000920AF"/>
    <w:rsid w:val="00092193"/>
    <w:rsid w:val="000922E9"/>
    <w:rsid w:val="0009235A"/>
    <w:rsid w:val="0009244D"/>
    <w:rsid w:val="00092713"/>
    <w:rsid w:val="00092776"/>
    <w:rsid w:val="00092A33"/>
    <w:rsid w:val="00092AC0"/>
    <w:rsid w:val="00092B1B"/>
    <w:rsid w:val="0009312D"/>
    <w:rsid w:val="0009322A"/>
    <w:rsid w:val="000934D1"/>
    <w:rsid w:val="00093611"/>
    <w:rsid w:val="00093B04"/>
    <w:rsid w:val="00093BEA"/>
    <w:rsid w:val="0009409E"/>
    <w:rsid w:val="00094315"/>
    <w:rsid w:val="0009469F"/>
    <w:rsid w:val="00094826"/>
    <w:rsid w:val="000950CE"/>
    <w:rsid w:val="000950D7"/>
    <w:rsid w:val="00095268"/>
    <w:rsid w:val="0009534D"/>
    <w:rsid w:val="00095440"/>
    <w:rsid w:val="00095481"/>
    <w:rsid w:val="0009558A"/>
    <w:rsid w:val="0009596D"/>
    <w:rsid w:val="00095B6B"/>
    <w:rsid w:val="0009618E"/>
    <w:rsid w:val="000965AB"/>
    <w:rsid w:val="000967A5"/>
    <w:rsid w:val="00096B0B"/>
    <w:rsid w:val="00096B2B"/>
    <w:rsid w:val="00096F3D"/>
    <w:rsid w:val="00097026"/>
    <w:rsid w:val="00097348"/>
    <w:rsid w:val="00097804"/>
    <w:rsid w:val="0009798D"/>
    <w:rsid w:val="0009799F"/>
    <w:rsid w:val="00097A5B"/>
    <w:rsid w:val="000A0022"/>
    <w:rsid w:val="000A00EE"/>
    <w:rsid w:val="000A023C"/>
    <w:rsid w:val="000A03CD"/>
    <w:rsid w:val="000A043A"/>
    <w:rsid w:val="000A0F08"/>
    <w:rsid w:val="000A1604"/>
    <w:rsid w:val="000A1731"/>
    <w:rsid w:val="000A19B0"/>
    <w:rsid w:val="000A1B7A"/>
    <w:rsid w:val="000A1BDA"/>
    <w:rsid w:val="000A2B06"/>
    <w:rsid w:val="000A2B95"/>
    <w:rsid w:val="000A3068"/>
    <w:rsid w:val="000A3459"/>
    <w:rsid w:val="000A37F8"/>
    <w:rsid w:val="000A3D0D"/>
    <w:rsid w:val="000A3FD9"/>
    <w:rsid w:val="000A4B34"/>
    <w:rsid w:val="000A4CBD"/>
    <w:rsid w:val="000A4E3E"/>
    <w:rsid w:val="000A4E4F"/>
    <w:rsid w:val="000A58BE"/>
    <w:rsid w:val="000A5924"/>
    <w:rsid w:val="000A5950"/>
    <w:rsid w:val="000A5FDA"/>
    <w:rsid w:val="000A613F"/>
    <w:rsid w:val="000A6395"/>
    <w:rsid w:val="000A63DB"/>
    <w:rsid w:val="000A656A"/>
    <w:rsid w:val="000A67D1"/>
    <w:rsid w:val="000A67F7"/>
    <w:rsid w:val="000A6B9E"/>
    <w:rsid w:val="000A71E1"/>
    <w:rsid w:val="000A751D"/>
    <w:rsid w:val="000A75A4"/>
    <w:rsid w:val="000A7721"/>
    <w:rsid w:val="000A7966"/>
    <w:rsid w:val="000A7F23"/>
    <w:rsid w:val="000B02A1"/>
    <w:rsid w:val="000B0380"/>
    <w:rsid w:val="000B0385"/>
    <w:rsid w:val="000B0772"/>
    <w:rsid w:val="000B0A4C"/>
    <w:rsid w:val="000B11F5"/>
    <w:rsid w:val="000B13DC"/>
    <w:rsid w:val="000B14F9"/>
    <w:rsid w:val="000B151D"/>
    <w:rsid w:val="000B1585"/>
    <w:rsid w:val="000B1702"/>
    <w:rsid w:val="000B1D8A"/>
    <w:rsid w:val="000B2123"/>
    <w:rsid w:val="000B273C"/>
    <w:rsid w:val="000B2907"/>
    <w:rsid w:val="000B2D5F"/>
    <w:rsid w:val="000B35CC"/>
    <w:rsid w:val="000B38D7"/>
    <w:rsid w:val="000B394E"/>
    <w:rsid w:val="000B3C04"/>
    <w:rsid w:val="000B3C85"/>
    <w:rsid w:val="000B3D5E"/>
    <w:rsid w:val="000B3DE4"/>
    <w:rsid w:val="000B3DF5"/>
    <w:rsid w:val="000B4589"/>
    <w:rsid w:val="000B4760"/>
    <w:rsid w:val="000B4784"/>
    <w:rsid w:val="000B4794"/>
    <w:rsid w:val="000B4B23"/>
    <w:rsid w:val="000B4F7E"/>
    <w:rsid w:val="000B53EE"/>
    <w:rsid w:val="000B5526"/>
    <w:rsid w:val="000B5A46"/>
    <w:rsid w:val="000B5ED6"/>
    <w:rsid w:val="000B6294"/>
    <w:rsid w:val="000B62CD"/>
    <w:rsid w:val="000B68A6"/>
    <w:rsid w:val="000B6DCD"/>
    <w:rsid w:val="000B6E1A"/>
    <w:rsid w:val="000B7358"/>
    <w:rsid w:val="000B7496"/>
    <w:rsid w:val="000B7562"/>
    <w:rsid w:val="000B780A"/>
    <w:rsid w:val="000B787E"/>
    <w:rsid w:val="000B7BAD"/>
    <w:rsid w:val="000B7F8F"/>
    <w:rsid w:val="000C00DA"/>
    <w:rsid w:val="000C0232"/>
    <w:rsid w:val="000C0261"/>
    <w:rsid w:val="000C0A27"/>
    <w:rsid w:val="000C0C3F"/>
    <w:rsid w:val="000C0F43"/>
    <w:rsid w:val="000C112F"/>
    <w:rsid w:val="000C1859"/>
    <w:rsid w:val="000C18E9"/>
    <w:rsid w:val="000C18EA"/>
    <w:rsid w:val="000C1B5D"/>
    <w:rsid w:val="000C1C9E"/>
    <w:rsid w:val="000C1D14"/>
    <w:rsid w:val="000C1F02"/>
    <w:rsid w:val="000C1FE4"/>
    <w:rsid w:val="000C2169"/>
    <w:rsid w:val="000C2219"/>
    <w:rsid w:val="000C27E8"/>
    <w:rsid w:val="000C2C5E"/>
    <w:rsid w:val="000C2E31"/>
    <w:rsid w:val="000C2EFB"/>
    <w:rsid w:val="000C2F20"/>
    <w:rsid w:val="000C335E"/>
    <w:rsid w:val="000C34AF"/>
    <w:rsid w:val="000C3546"/>
    <w:rsid w:val="000C3A12"/>
    <w:rsid w:val="000C3A95"/>
    <w:rsid w:val="000C3AD7"/>
    <w:rsid w:val="000C3BBB"/>
    <w:rsid w:val="000C3EA8"/>
    <w:rsid w:val="000C42E3"/>
    <w:rsid w:val="000C49ED"/>
    <w:rsid w:val="000C4A1D"/>
    <w:rsid w:val="000C4A90"/>
    <w:rsid w:val="000C4B57"/>
    <w:rsid w:val="000C5028"/>
    <w:rsid w:val="000C547B"/>
    <w:rsid w:val="000C5662"/>
    <w:rsid w:val="000C5C25"/>
    <w:rsid w:val="000C5D4F"/>
    <w:rsid w:val="000C5D71"/>
    <w:rsid w:val="000C638A"/>
    <w:rsid w:val="000C658B"/>
    <w:rsid w:val="000C675B"/>
    <w:rsid w:val="000C6A5A"/>
    <w:rsid w:val="000C6A7B"/>
    <w:rsid w:val="000C6AAA"/>
    <w:rsid w:val="000C6C47"/>
    <w:rsid w:val="000C6C54"/>
    <w:rsid w:val="000C6DE4"/>
    <w:rsid w:val="000C700A"/>
    <w:rsid w:val="000C7045"/>
    <w:rsid w:val="000C70C7"/>
    <w:rsid w:val="000C71E2"/>
    <w:rsid w:val="000C72E7"/>
    <w:rsid w:val="000C742C"/>
    <w:rsid w:val="000C780B"/>
    <w:rsid w:val="000C78E7"/>
    <w:rsid w:val="000C7A2E"/>
    <w:rsid w:val="000C7BD0"/>
    <w:rsid w:val="000C7D28"/>
    <w:rsid w:val="000C7FF7"/>
    <w:rsid w:val="000CE1C1"/>
    <w:rsid w:val="000D002B"/>
    <w:rsid w:val="000D00DD"/>
    <w:rsid w:val="000D01AC"/>
    <w:rsid w:val="000D01F5"/>
    <w:rsid w:val="000D0219"/>
    <w:rsid w:val="000D0AFC"/>
    <w:rsid w:val="000D0C73"/>
    <w:rsid w:val="000D0E0F"/>
    <w:rsid w:val="000D0F17"/>
    <w:rsid w:val="000D121B"/>
    <w:rsid w:val="000D1EB0"/>
    <w:rsid w:val="000D21D5"/>
    <w:rsid w:val="000D25B6"/>
    <w:rsid w:val="000D2B48"/>
    <w:rsid w:val="000D2F58"/>
    <w:rsid w:val="000D3016"/>
    <w:rsid w:val="000D30CC"/>
    <w:rsid w:val="000D32CD"/>
    <w:rsid w:val="000D3596"/>
    <w:rsid w:val="000D38D6"/>
    <w:rsid w:val="000D392F"/>
    <w:rsid w:val="000D3DD0"/>
    <w:rsid w:val="000D3DD5"/>
    <w:rsid w:val="000D3E66"/>
    <w:rsid w:val="000D4154"/>
    <w:rsid w:val="000D42DB"/>
    <w:rsid w:val="000D4623"/>
    <w:rsid w:val="000D46E4"/>
    <w:rsid w:val="000D47E0"/>
    <w:rsid w:val="000D4A13"/>
    <w:rsid w:val="000D4D2C"/>
    <w:rsid w:val="000D4D78"/>
    <w:rsid w:val="000D4F13"/>
    <w:rsid w:val="000D5481"/>
    <w:rsid w:val="000D55D6"/>
    <w:rsid w:val="000D5619"/>
    <w:rsid w:val="000D5799"/>
    <w:rsid w:val="000D59D8"/>
    <w:rsid w:val="000D59FB"/>
    <w:rsid w:val="000D5B56"/>
    <w:rsid w:val="000D6086"/>
    <w:rsid w:val="000D65D1"/>
    <w:rsid w:val="000D66E7"/>
    <w:rsid w:val="000D677D"/>
    <w:rsid w:val="000D6DFB"/>
    <w:rsid w:val="000D6F9C"/>
    <w:rsid w:val="000D734C"/>
    <w:rsid w:val="000D7959"/>
    <w:rsid w:val="000D7C2D"/>
    <w:rsid w:val="000D7D89"/>
    <w:rsid w:val="000D7E48"/>
    <w:rsid w:val="000D7F70"/>
    <w:rsid w:val="000D7FAA"/>
    <w:rsid w:val="000E015F"/>
    <w:rsid w:val="000E03E4"/>
    <w:rsid w:val="000E05EA"/>
    <w:rsid w:val="000E0796"/>
    <w:rsid w:val="000E08B0"/>
    <w:rsid w:val="000E0991"/>
    <w:rsid w:val="000E0FBC"/>
    <w:rsid w:val="000E104E"/>
    <w:rsid w:val="000E10E3"/>
    <w:rsid w:val="000E1890"/>
    <w:rsid w:val="000E18D9"/>
    <w:rsid w:val="000E1D62"/>
    <w:rsid w:val="000E1DB8"/>
    <w:rsid w:val="000E1DFA"/>
    <w:rsid w:val="000E20D4"/>
    <w:rsid w:val="000E219F"/>
    <w:rsid w:val="000E2452"/>
    <w:rsid w:val="000E2663"/>
    <w:rsid w:val="000E2669"/>
    <w:rsid w:val="000E2F48"/>
    <w:rsid w:val="000E3049"/>
    <w:rsid w:val="000E31E7"/>
    <w:rsid w:val="000E3308"/>
    <w:rsid w:val="000E3714"/>
    <w:rsid w:val="000E3B1E"/>
    <w:rsid w:val="000E418D"/>
    <w:rsid w:val="000E4316"/>
    <w:rsid w:val="000E43F6"/>
    <w:rsid w:val="000E4415"/>
    <w:rsid w:val="000E46FB"/>
    <w:rsid w:val="000E4702"/>
    <w:rsid w:val="000E51B3"/>
    <w:rsid w:val="000E5385"/>
    <w:rsid w:val="000E543C"/>
    <w:rsid w:val="000E545B"/>
    <w:rsid w:val="000E5476"/>
    <w:rsid w:val="000E5511"/>
    <w:rsid w:val="000E56E2"/>
    <w:rsid w:val="000E5824"/>
    <w:rsid w:val="000E58E0"/>
    <w:rsid w:val="000E5B7B"/>
    <w:rsid w:val="000E5D47"/>
    <w:rsid w:val="000E6A97"/>
    <w:rsid w:val="000E6AC5"/>
    <w:rsid w:val="000E6BF4"/>
    <w:rsid w:val="000E6DCE"/>
    <w:rsid w:val="000E710B"/>
    <w:rsid w:val="000E73C9"/>
    <w:rsid w:val="000E7748"/>
    <w:rsid w:val="000E7B33"/>
    <w:rsid w:val="000E7BC5"/>
    <w:rsid w:val="000F0136"/>
    <w:rsid w:val="000F0B2B"/>
    <w:rsid w:val="000F0EC8"/>
    <w:rsid w:val="000F0FD4"/>
    <w:rsid w:val="000F107F"/>
    <w:rsid w:val="000F111B"/>
    <w:rsid w:val="000F11BC"/>
    <w:rsid w:val="000F1265"/>
    <w:rsid w:val="000F1295"/>
    <w:rsid w:val="000F12BC"/>
    <w:rsid w:val="000F19E5"/>
    <w:rsid w:val="000F1C84"/>
    <w:rsid w:val="000F1EEA"/>
    <w:rsid w:val="000F20C0"/>
    <w:rsid w:val="000F23C8"/>
    <w:rsid w:val="000F2734"/>
    <w:rsid w:val="000F2741"/>
    <w:rsid w:val="000F2826"/>
    <w:rsid w:val="000F28CC"/>
    <w:rsid w:val="000F3459"/>
    <w:rsid w:val="000F393D"/>
    <w:rsid w:val="000F3CCF"/>
    <w:rsid w:val="000F3E59"/>
    <w:rsid w:val="000F4115"/>
    <w:rsid w:val="000F46A9"/>
    <w:rsid w:val="000F505A"/>
    <w:rsid w:val="000F5295"/>
    <w:rsid w:val="000F5921"/>
    <w:rsid w:val="000F5AE6"/>
    <w:rsid w:val="000F5C1F"/>
    <w:rsid w:val="000F5C24"/>
    <w:rsid w:val="000F5EEB"/>
    <w:rsid w:val="000F6311"/>
    <w:rsid w:val="000F65F3"/>
    <w:rsid w:val="000F66B6"/>
    <w:rsid w:val="000F689B"/>
    <w:rsid w:val="000F6983"/>
    <w:rsid w:val="000F6B52"/>
    <w:rsid w:val="000F6CAE"/>
    <w:rsid w:val="000F6D06"/>
    <w:rsid w:val="000F6E7F"/>
    <w:rsid w:val="000F6EE3"/>
    <w:rsid w:val="000F6F70"/>
    <w:rsid w:val="000F70D2"/>
    <w:rsid w:val="000F752C"/>
    <w:rsid w:val="000F7AD9"/>
    <w:rsid w:val="000F7DAD"/>
    <w:rsid w:val="000F7F73"/>
    <w:rsid w:val="0010042D"/>
    <w:rsid w:val="001005D6"/>
    <w:rsid w:val="001008FD"/>
    <w:rsid w:val="00100AA0"/>
    <w:rsid w:val="00100AB4"/>
    <w:rsid w:val="00100C7D"/>
    <w:rsid w:val="00100E08"/>
    <w:rsid w:val="00100F1E"/>
    <w:rsid w:val="00101347"/>
    <w:rsid w:val="00101580"/>
    <w:rsid w:val="0010172F"/>
    <w:rsid w:val="001018BB"/>
    <w:rsid w:val="00101C91"/>
    <w:rsid w:val="0010235F"/>
    <w:rsid w:val="001026DA"/>
    <w:rsid w:val="00102720"/>
    <w:rsid w:val="001033F2"/>
    <w:rsid w:val="001035FC"/>
    <w:rsid w:val="00103AC0"/>
    <w:rsid w:val="00103D74"/>
    <w:rsid w:val="00104029"/>
    <w:rsid w:val="00104066"/>
    <w:rsid w:val="0010451E"/>
    <w:rsid w:val="0010474D"/>
    <w:rsid w:val="0010477D"/>
    <w:rsid w:val="00104885"/>
    <w:rsid w:val="001048BF"/>
    <w:rsid w:val="00104AAF"/>
    <w:rsid w:val="00104AC5"/>
    <w:rsid w:val="00104B2D"/>
    <w:rsid w:val="00104CC8"/>
    <w:rsid w:val="00104CD8"/>
    <w:rsid w:val="00105321"/>
    <w:rsid w:val="001054BF"/>
    <w:rsid w:val="0010588C"/>
    <w:rsid w:val="00105B57"/>
    <w:rsid w:val="00105BCE"/>
    <w:rsid w:val="00105D4C"/>
    <w:rsid w:val="00105D89"/>
    <w:rsid w:val="00105DB4"/>
    <w:rsid w:val="00106118"/>
    <w:rsid w:val="001061B8"/>
    <w:rsid w:val="0010621E"/>
    <w:rsid w:val="00106268"/>
    <w:rsid w:val="001066B2"/>
    <w:rsid w:val="00106702"/>
    <w:rsid w:val="00106783"/>
    <w:rsid w:val="00106797"/>
    <w:rsid w:val="0010730A"/>
    <w:rsid w:val="0010741F"/>
    <w:rsid w:val="001076D2"/>
    <w:rsid w:val="001077A5"/>
    <w:rsid w:val="00107AE7"/>
    <w:rsid w:val="00107C0D"/>
    <w:rsid w:val="001101E2"/>
    <w:rsid w:val="00110259"/>
    <w:rsid w:val="00110325"/>
    <w:rsid w:val="0011072D"/>
    <w:rsid w:val="00110967"/>
    <w:rsid w:val="00110C19"/>
    <w:rsid w:val="00110CA6"/>
    <w:rsid w:val="00110DFD"/>
    <w:rsid w:val="00110E55"/>
    <w:rsid w:val="001112EA"/>
    <w:rsid w:val="00111443"/>
    <w:rsid w:val="001115B5"/>
    <w:rsid w:val="001116AF"/>
    <w:rsid w:val="001120F4"/>
    <w:rsid w:val="001121CE"/>
    <w:rsid w:val="0011226E"/>
    <w:rsid w:val="00112675"/>
    <w:rsid w:val="00112C3F"/>
    <w:rsid w:val="00113039"/>
    <w:rsid w:val="0011303C"/>
    <w:rsid w:val="001133B4"/>
    <w:rsid w:val="001133CC"/>
    <w:rsid w:val="00113BAC"/>
    <w:rsid w:val="00113F0E"/>
    <w:rsid w:val="0011431A"/>
    <w:rsid w:val="0011445F"/>
    <w:rsid w:val="0011465E"/>
    <w:rsid w:val="00114B04"/>
    <w:rsid w:val="00114D24"/>
    <w:rsid w:val="00115040"/>
    <w:rsid w:val="0011529B"/>
    <w:rsid w:val="001155A6"/>
    <w:rsid w:val="0011571A"/>
    <w:rsid w:val="001158EC"/>
    <w:rsid w:val="001159EE"/>
    <w:rsid w:val="00115B3C"/>
    <w:rsid w:val="00115DA9"/>
    <w:rsid w:val="00116076"/>
    <w:rsid w:val="00116110"/>
    <w:rsid w:val="00116691"/>
    <w:rsid w:val="001168A9"/>
    <w:rsid w:val="00116AE2"/>
    <w:rsid w:val="00116B17"/>
    <w:rsid w:val="00116C16"/>
    <w:rsid w:val="00116E58"/>
    <w:rsid w:val="00116F4A"/>
    <w:rsid w:val="00117175"/>
    <w:rsid w:val="00117453"/>
    <w:rsid w:val="00117577"/>
    <w:rsid w:val="00117642"/>
    <w:rsid w:val="0012027D"/>
    <w:rsid w:val="00120373"/>
    <w:rsid w:val="00120503"/>
    <w:rsid w:val="00120D95"/>
    <w:rsid w:val="00120E65"/>
    <w:rsid w:val="00121193"/>
    <w:rsid w:val="00121963"/>
    <w:rsid w:val="00121B83"/>
    <w:rsid w:val="00121C59"/>
    <w:rsid w:val="001220BB"/>
    <w:rsid w:val="00122572"/>
    <w:rsid w:val="00122651"/>
    <w:rsid w:val="00122754"/>
    <w:rsid w:val="00122BED"/>
    <w:rsid w:val="00122D26"/>
    <w:rsid w:val="00122DC6"/>
    <w:rsid w:val="00122EC7"/>
    <w:rsid w:val="00122FE2"/>
    <w:rsid w:val="00123197"/>
    <w:rsid w:val="001232F9"/>
    <w:rsid w:val="0012367E"/>
    <w:rsid w:val="001238FF"/>
    <w:rsid w:val="0012466A"/>
    <w:rsid w:val="001249E1"/>
    <w:rsid w:val="00124A7C"/>
    <w:rsid w:val="00124CAC"/>
    <w:rsid w:val="00124DEB"/>
    <w:rsid w:val="00125368"/>
    <w:rsid w:val="0012563D"/>
    <w:rsid w:val="001259ED"/>
    <w:rsid w:val="00125AA0"/>
    <w:rsid w:val="00125AE0"/>
    <w:rsid w:val="001260B7"/>
    <w:rsid w:val="0012618D"/>
    <w:rsid w:val="00126541"/>
    <w:rsid w:val="001267BB"/>
    <w:rsid w:val="00126879"/>
    <w:rsid w:val="00126AC1"/>
    <w:rsid w:val="00126C33"/>
    <w:rsid w:val="00126D40"/>
    <w:rsid w:val="001271AA"/>
    <w:rsid w:val="001272F0"/>
    <w:rsid w:val="0012746B"/>
    <w:rsid w:val="00127874"/>
    <w:rsid w:val="00127A45"/>
    <w:rsid w:val="00127B73"/>
    <w:rsid w:val="00127ECD"/>
    <w:rsid w:val="0013034A"/>
    <w:rsid w:val="001306D0"/>
    <w:rsid w:val="0013084F"/>
    <w:rsid w:val="00130FAC"/>
    <w:rsid w:val="00131224"/>
    <w:rsid w:val="00131469"/>
    <w:rsid w:val="00131984"/>
    <w:rsid w:val="001320F8"/>
    <w:rsid w:val="00132158"/>
    <w:rsid w:val="00132383"/>
    <w:rsid w:val="001327D8"/>
    <w:rsid w:val="00132862"/>
    <w:rsid w:val="001328D7"/>
    <w:rsid w:val="00132A94"/>
    <w:rsid w:val="00132B64"/>
    <w:rsid w:val="00132BC5"/>
    <w:rsid w:val="00132ECE"/>
    <w:rsid w:val="00132EE0"/>
    <w:rsid w:val="00132F1E"/>
    <w:rsid w:val="00132FBC"/>
    <w:rsid w:val="00133021"/>
    <w:rsid w:val="00133041"/>
    <w:rsid w:val="0013386B"/>
    <w:rsid w:val="00134768"/>
    <w:rsid w:val="00134833"/>
    <w:rsid w:val="00135760"/>
    <w:rsid w:val="00135B41"/>
    <w:rsid w:val="00135DCB"/>
    <w:rsid w:val="00136058"/>
    <w:rsid w:val="00136347"/>
    <w:rsid w:val="0013634A"/>
    <w:rsid w:val="00136402"/>
    <w:rsid w:val="0013678E"/>
    <w:rsid w:val="00136C6F"/>
    <w:rsid w:val="00136D7A"/>
    <w:rsid w:val="00137133"/>
    <w:rsid w:val="001373C7"/>
    <w:rsid w:val="00137549"/>
    <w:rsid w:val="00137BB7"/>
    <w:rsid w:val="00137CFF"/>
    <w:rsid w:val="00137EAC"/>
    <w:rsid w:val="001401B7"/>
    <w:rsid w:val="001401E4"/>
    <w:rsid w:val="0014047E"/>
    <w:rsid w:val="001404C5"/>
    <w:rsid w:val="001404FD"/>
    <w:rsid w:val="00140753"/>
    <w:rsid w:val="00140823"/>
    <w:rsid w:val="00140879"/>
    <w:rsid w:val="00140E6F"/>
    <w:rsid w:val="00140EFF"/>
    <w:rsid w:val="001413D9"/>
    <w:rsid w:val="00141849"/>
    <w:rsid w:val="00141A55"/>
    <w:rsid w:val="00141BAB"/>
    <w:rsid w:val="00141DD7"/>
    <w:rsid w:val="00141FB6"/>
    <w:rsid w:val="00142271"/>
    <w:rsid w:val="001424A7"/>
    <w:rsid w:val="0014261D"/>
    <w:rsid w:val="0014267E"/>
    <w:rsid w:val="001428D1"/>
    <w:rsid w:val="00142B0D"/>
    <w:rsid w:val="00142B67"/>
    <w:rsid w:val="00142EB3"/>
    <w:rsid w:val="0014319D"/>
    <w:rsid w:val="001432EE"/>
    <w:rsid w:val="00143328"/>
    <w:rsid w:val="001433D1"/>
    <w:rsid w:val="001433D8"/>
    <w:rsid w:val="001436F2"/>
    <w:rsid w:val="001436F4"/>
    <w:rsid w:val="00143C5A"/>
    <w:rsid w:val="00143CA6"/>
    <w:rsid w:val="00143E27"/>
    <w:rsid w:val="0014444B"/>
    <w:rsid w:val="001448CC"/>
    <w:rsid w:val="001449C7"/>
    <w:rsid w:val="00144C40"/>
    <w:rsid w:val="00144D09"/>
    <w:rsid w:val="00144DC0"/>
    <w:rsid w:val="00144ED9"/>
    <w:rsid w:val="00145027"/>
    <w:rsid w:val="001451D7"/>
    <w:rsid w:val="00145305"/>
    <w:rsid w:val="00145582"/>
    <w:rsid w:val="0014574C"/>
    <w:rsid w:val="00145820"/>
    <w:rsid w:val="00145F38"/>
    <w:rsid w:val="001460A7"/>
    <w:rsid w:val="001466EA"/>
    <w:rsid w:val="00146A62"/>
    <w:rsid w:val="00146BC9"/>
    <w:rsid w:val="00146FF0"/>
    <w:rsid w:val="0014709F"/>
    <w:rsid w:val="0014711F"/>
    <w:rsid w:val="0014730A"/>
    <w:rsid w:val="001477E6"/>
    <w:rsid w:val="00147802"/>
    <w:rsid w:val="00147BA6"/>
    <w:rsid w:val="00147C12"/>
    <w:rsid w:val="00147F58"/>
    <w:rsid w:val="00150039"/>
    <w:rsid w:val="001501DA"/>
    <w:rsid w:val="0015062C"/>
    <w:rsid w:val="00150894"/>
    <w:rsid w:val="00150948"/>
    <w:rsid w:val="00150BBC"/>
    <w:rsid w:val="00151161"/>
    <w:rsid w:val="001512E4"/>
    <w:rsid w:val="0015165F"/>
    <w:rsid w:val="001518AF"/>
    <w:rsid w:val="00151962"/>
    <w:rsid w:val="00151D22"/>
    <w:rsid w:val="00151F1C"/>
    <w:rsid w:val="00151F96"/>
    <w:rsid w:val="00152035"/>
    <w:rsid w:val="00152513"/>
    <w:rsid w:val="0015298F"/>
    <w:rsid w:val="00152C78"/>
    <w:rsid w:val="00152F4A"/>
    <w:rsid w:val="00152FC3"/>
    <w:rsid w:val="00153392"/>
    <w:rsid w:val="00153553"/>
    <w:rsid w:val="0015394A"/>
    <w:rsid w:val="0015397F"/>
    <w:rsid w:val="00153A28"/>
    <w:rsid w:val="00153BDA"/>
    <w:rsid w:val="00153EDC"/>
    <w:rsid w:val="001542D6"/>
    <w:rsid w:val="0015440E"/>
    <w:rsid w:val="001545CB"/>
    <w:rsid w:val="001547DA"/>
    <w:rsid w:val="00154CC5"/>
    <w:rsid w:val="00154FA9"/>
    <w:rsid w:val="0015516D"/>
    <w:rsid w:val="00155301"/>
    <w:rsid w:val="001553BA"/>
    <w:rsid w:val="00155532"/>
    <w:rsid w:val="0015669D"/>
    <w:rsid w:val="001572E4"/>
    <w:rsid w:val="0015734D"/>
    <w:rsid w:val="001573EA"/>
    <w:rsid w:val="001574D8"/>
    <w:rsid w:val="00157C25"/>
    <w:rsid w:val="00157C74"/>
    <w:rsid w:val="00157D3A"/>
    <w:rsid w:val="00157E02"/>
    <w:rsid w:val="0016006B"/>
    <w:rsid w:val="00160258"/>
    <w:rsid w:val="001605EF"/>
    <w:rsid w:val="00160BF3"/>
    <w:rsid w:val="00160D0F"/>
    <w:rsid w:val="0016138D"/>
    <w:rsid w:val="00161B74"/>
    <w:rsid w:val="001620B3"/>
    <w:rsid w:val="0016243C"/>
    <w:rsid w:val="001625DA"/>
    <w:rsid w:val="0016297F"/>
    <w:rsid w:val="00162A6C"/>
    <w:rsid w:val="00162D17"/>
    <w:rsid w:val="00162FE8"/>
    <w:rsid w:val="0016372A"/>
    <w:rsid w:val="0016377E"/>
    <w:rsid w:val="00163ACB"/>
    <w:rsid w:val="00163D26"/>
    <w:rsid w:val="00164135"/>
    <w:rsid w:val="001641DA"/>
    <w:rsid w:val="001642D3"/>
    <w:rsid w:val="00164575"/>
    <w:rsid w:val="001645A1"/>
    <w:rsid w:val="001645A3"/>
    <w:rsid w:val="001645E8"/>
    <w:rsid w:val="00164B6A"/>
    <w:rsid w:val="00164D48"/>
    <w:rsid w:val="00165313"/>
    <w:rsid w:val="00165337"/>
    <w:rsid w:val="001654C7"/>
    <w:rsid w:val="001655A0"/>
    <w:rsid w:val="001655B1"/>
    <w:rsid w:val="00165740"/>
    <w:rsid w:val="00165A07"/>
    <w:rsid w:val="00165AC6"/>
    <w:rsid w:val="00165BE3"/>
    <w:rsid w:val="00165C83"/>
    <w:rsid w:val="00166174"/>
    <w:rsid w:val="0016634A"/>
    <w:rsid w:val="0016634E"/>
    <w:rsid w:val="001666EA"/>
    <w:rsid w:val="00166904"/>
    <w:rsid w:val="00166F77"/>
    <w:rsid w:val="0016705C"/>
    <w:rsid w:val="001670A9"/>
    <w:rsid w:val="00167136"/>
    <w:rsid w:val="0016732A"/>
    <w:rsid w:val="00167454"/>
    <w:rsid w:val="00167613"/>
    <w:rsid w:val="00167AFB"/>
    <w:rsid w:val="00167E58"/>
    <w:rsid w:val="00167F30"/>
    <w:rsid w:val="00167F8A"/>
    <w:rsid w:val="00167FC6"/>
    <w:rsid w:val="0017047C"/>
    <w:rsid w:val="0017054C"/>
    <w:rsid w:val="00170672"/>
    <w:rsid w:val="0017085F"/>
    <w:rsid w:val="00170A80"/>
    <w:rsid w:val="0017109B"/>
    <w:rsid w:val="00171164"/>
    <w:rsid w:val="00171640"/>
    <w:rsid w:val="0017173D"/>
    <w:rsid w:val="001718DF"/>
    <w:rsid w:val="00171995"/>
    <w:rsid w:val="00171BF4"/>
    <w:rsid w:val="00171D14"/>
    <w:rsid w:val="00172128"/>
    <w:rsid w:val="001721D7"/>
    <w:rsid w:val="00172542"/>
    <w:rsid w:val="001725ED"/>
    <w:rsid w:val="0017268D"/>
    <w:rsid w:val="0017270A"/>
    <w:rsid w:val="00172A7F"/>
    <w:rsid w:val="00172C8F"/>
    <w:rsid w:val="00172F1B"/>
    <w:rsid w:val="0017306E"/>
    <w:rsid w:val="00173107"/>
    <w:rsid w:val="00173366"/>
    <w:rsid w:val="001733F8"/>
    <w:rsid w:val="001737A9"/>
    <w:rsid w:val="00173D3E"/>
    <w:rsid w:val="00173FD4"/>
    <w:rsid w:val="00174807"/>
    <w:rsid w:val="00174A62"/>
    <w:rsid w:val="00174D88"/>
    <w:rsid w:val="00174E29"/>
    <w:rsid w:val="00174F15"/>
    <w:rsid w:val="0017548E"/>
    <w:rsid w:val="00175857"/>
    <w:rsid w:val="00175B47"/>
    <w:rsid w:val="00175DE6"/>
    <w:rsid w:val="00176369"/>
    <w:rsid w:val="0017661E"/>
    <w:rsid w:val="0017676E"/>
    <w:rsid w:val="00176A89"/>
    <w:rsid w:val="00176F87"/>
    <w:rsid w:val="001771CC"/>
    <w:rsid w:val="001772A6"/>
    <w:rsid w:val="001773AD"/>
    <w:rsid w:val="00177A8F"/>
    <w:rsid w:val="00177C7F"/>
    <w:rsid w:val="00177F20"/>
    <w:rsid w:val="00180143"/>
    <w:rsid w:val="001804ED"/>
    <w:rsid w:val="0018093C"/>
    <w:rsid w:val="001809AF"/>
    <w:rsid w:val="00180C99"/>
    <w:rsid w:val="00180FEB"/>
    <w:rsid w:val="0018123F"/>
    <w:rsid w:val="00181597"/>
    <w:rsid w:val="001815C4"/>
    <w:rsid w:val="00181A9C"/>
    <w:rsid w:val="00181C40"/>
    <w:rsid w:val="00181D8F"/>
    <w:rsid w:val="00181E35"/>
    <w:rsid w:val="00181EB1"/>
    <w:rsid w:val="00182511"/>
    <w:rsid w:val="00182790"/>
    <w:rsid w:val="001827DA"/>
    <w:rsid w:val="00182A16"/>
    <w:rsid w:val="00182DC5"/>
    <w:rsid w:val="00182EC3"/>
    <w:rsid w:val="0018327E"/>
    <w:rsid w:val="001832EE"/>
    <w:rsid w:val="00183304"/>
    <w:rsid w:val="001835F3"/>
    <w:rsid w:val="001837F6"/>
    <w:rsid w:val="001838ED"/>
    <w:rsid w:val="00183B72"/>
    <w:rsid w:val="00183E8E"/>
    <w:rsid w:val="001842F4"/>
    <w:rsid w:val="0018439E"/>
    <w:rsid w:val="00184525"/>
    <w:rsid w:val="001847A8"/>
    <w:rsid w:val="00184DE8"/>
    <w:rsid w:val="00185239"/>
    <w:rsid w:val="0018566C"/>
    <w:rsid w:val="00185A4C"/>
    <w:rsid w:val="00185AAE"/>
    <w:rsid w:val="00185BC9"/>
    <w:rsid w:val="0018619C"/>
    <w:rsid w:val="001862D6"/>
    <w:rsid w:val="001862E2"/>
    <w:rsid w:val="00186665"/>
    <w:rsid w:val="00186AE8"/>
    <w:rsid w:val="00186F25"/>
    <w:rsid w:val="001870A3"/>
    <w:rsid w:val="00187163"/>
    <w:rsid w:val="001871D5"/>
    <w:rsid w:val="00187365"/>
    <w:rsid w:val="001873CF"/>
    <w:rsid w:val="001875C9"/>
    <w:rsid w:val="00187667"/>
    <w:rsid w:val="00187749"/>
    <w:rsid w:val="001877FC"/>
    <w:rsid w:val="00187D3B"/>
    <w:rsid w:val="001901E4"/>
    <w:rsid w:val="001906B1"/>
    <w:rsid w:val="001906F2"/>
    <w:rsid w:val="00190767"/>
    <w:rsid w:val="00190E5E"/>
    <w:rsid w:val="00190ED7"/>
    <w:rsid w:val="00190F72"/>
    <w:rsid w:val="00191D0F"/>
    <w:rsid w:val="00191ED5"/>
    <w:rsid w:val="00191FB8"/>
    <w:rsid w:val="00192184"/>
    <w:rsid w:val="001925DF"/>
    <w:rsid w:val="00192C01"/>
    <w:rsid w:val="00192C15"/>
    <w:rsid w:val="00192D0E"/>
    <w:rsid w:val="00192D6A"/>
    <w:rsid w:val="00192E75"/>
    <w:rsid w:val="00192F43"/>
    <w:rsid w:val="00192F68"/>
    <w:rsid w:val="0019343C"/>
    <w:rsid w:val="0019345F"/>
    <w:rsid w:val="001937D1"/>
    <w:rsid w:val="00193896"/>
    <w:rsid w:val="0019389F"/>
    <w:rsid w:val="001938B7"/>
    <w:rsid w:val="00193BB5"/>
    <w:rsid w:val="00193E1B"/>
    <w:rsid w:val="001940C7"/>
    <w:rsid w:val="001948C4"/>
    <w:rsid w:val="00194A12"/>
    <w:rsid w:val="00194A4B"/>
    <w:rsid w:val="00194BE7"/>
    <w:rsid w:val="00194BF6"/>
    <w:rsid w:val="00194D71"/>
    <w:rsid w:val="00194E7E"/>
    <w:rsid w:val="00195042"/>
    <w:rsid w:val="0019504A"/>
    <w:rsid w:val="00195420"/>
    <w:rsid w:val="00195566"/>
    <w:rsid w:val="00195EE6"/>
    <w:rsid w:val="001964AC"/>
    <w:rsid w:val="001964DB"/>
    <w:rsid w:val="00196A28"/>
    <w:rsid w:val="00196F67"/>
    <w:rsid w:val="00197185"/>
    <w:rsid w:val="0019726A"/>
    <w:rsid w:val="0019751A"/>
    <w:rsid w:val="0019759C"/>
    <w:rsid w:val="001975C0"/>
    <w:rsid w:val="0019762F"/>
    <w:rsid w:val="001976A8"/>
    <w:rsid w:val="001977B4"/>
    <w:rsid w:val="00197898"/>
    <w:rsid w:val="00197982"/>
    <w:rsid w:val="00197A85"/>
    <w:rsid w:val="00197B79"/>
    <w:rsid w:val="00197C64"/>
    <w:rsid w:val="001A0337"/>
    <w:rsid w:val="001A0427"/>
    <w:rsid w:val="001A0754"/>
    <w:rsid w:val="001A07EB"/>
    <w:rsid w:val="001A0BF4"/>
    <w:rsid w:val="001A0D2E"/>
    <w:rsid w:val="001A0DC9"/>
    <w:rsid w:val="001A0FA0"/>
    <w:rsid w:val="001A12A3"/>
    <w:rsid w:val="001A1497"/>
    <w:rsid w:val="001A1528"/>
    <w:rsid w:val="001A1826"/>
    <w:rsid w:val="001A199C"/>
    <w:rsid w:val="001A1A4B"/>
    <w:rsid w:val="001A1CB6"/>
    <w:rsid w:val="001A1D4E"/>
    <w:rsid w:val="001A22D0"/>
    <w:rsid w:val="001A2486"/>
    <w:rsid w:val="001A2767"/>
    <w:rsid w:val="001A299E"/>
    <w:rsid w:val="001A2B36"/>
    <w:rsid w:val="001A2FDC"/>
    <w:rsid w:val="001A3197"/>
    <w:rsid w:val="001A3238"/>
    <w:rsid w:val="001A3462"/>
    <w:rsid w:val="001A3DF9"/>
    <w:rsid w:val="001A3F7F"/>
    <w:rsid w:val="001A3FFC"/>
    <w:rsid w:val="001A4091"/>
    <w:rsid w:val="001A4184"/>
    <w:rsid w:val="001A4352"/>
    <w:rsid w:val="001A4AD0"/>
    <w:rsid w:val="001A4C0A"/>
    <w:rsid w:val="001A4C2A"/>
    <w:rsid w:val="001A4CD7"/>
    <w:rsid w:val="001A4CDF"/>
    <w:rsid w:val="001A5ADF"/>
    <w:rsid w:val="001A5D21"/>
    <w:rsid w:val="001A66A9"/>
    <w:rsid w:val="001A6826"/>
    <w:rsid w:val="001A699A"/>
    <w:rsid w:val="001A6C21"/>
    <w:rsid w:val="001A6C26"/>
    <w:rsid w:val="001A6DE2"/>
    <w:rsid w:val="001A6EBB"/>
    <w:rsid w:val="001A70C4"/>
    <w:rsid w:val="001A7126"/>
    <w:rsid w:val="001A7356"/>
    <w:rsid w:val="001A79AA"/>
    <w:rsid w:val="001A7F21"/>
    <w:rsid w:val="001B010E"/>
    <w:rsid w:val="001B011A"/>
    <w:rsid w:val="001B01AD"/>
    <w:rsid w:val="001B0397"/>
    <w:rsid w:val="001B03A2"/>
    <w:rsid w:val="001B0C73"/>
    <w:rsid w:val="001B109A"/>
    <w:rsid w:val="001B1420"/>
    <w:rsid w:val="001B1534"/>
    <w:rsid w:val="001B15B3"/>
    <w:rsid w:val="001B1632"/>
    <w:rsid w:val="001B1963"/>
    <w:rsid w:val="001B20C5"/>
    <w:rsid w:val="001B238B"/>
    <w:rsid w:val="001B2637"/>
    <w:rsid w:val="001B285C"/>
    <w:rsid w:val="001B28E4"/>
    <w:rsid w:val="001B293C"/>
    <w:rsid w:val="001B2B9F"/>
    <w:rsid w:val="001B305C"/>
    <w:rsid w:val="001B3262"/>
    <w:rsid w:val="001B32C9"/>
    <w:rsid w:val="001B32E6"/>
    <w:rsid w:val="001B3BC1"/>
    <w:rsid w:val="001B4214"/>
    <w:rsid w:val="001B452E"/>
    <w:rsid w:val="001B4836"/>
    <w:rsid w:val="001B4A92"/>
    <w:rsid w:val="001B4AFC"/>
    <w:rsid w:val="001B4E36"/>
    <w:rsid w:val="001B4EBE"/>
    <w:rsid w:val="001B542F"/>
    <w:rsid w:val="001B557D"/>
    <w:rsid w:val="001B562D"/>
    <w:rsid w:val="001B56F5"/>
    <w:rsid w:val="001B57F6"/>
    <w:rsid w:val="001B5855"/>
    <w:rsid w:val="001B59BB"/>
    <w:rsid w:val="001B59CA"/>
    <w:rsid w:val="001B6084"/>
    <w:rsid w:val="001B628C"/>
    <w:rsid w:val="001B6336"/>
    <w:rsid w:val="001B65CA"/>
    <w:rsid w:val="001B67F8"/>
    <w:rsid w:val="001B6817"/>
    <w:rsid w:val="001B6F45"/>
    <w:rsid w:val="001B70DA"/>
    <w:rsid w:val="001B73D5"/>
    <w:rsid w:val="001B7699"/>
    <w:rsid w:val="001B7EA6"/>
    <w:rsid w:val="001B7EFB"/>
    <w:rsid w:val="001B7F82"/>
    <w:rsid w:val="001C0068"/>
    <w:rsid w:val="001C0378"/>
    <w:rsid w:val="001C04C7"/>
    <w:rsid w:val="001C082E"/>
    <w:rsid w:val="001C08F6"/>
    <w:rsid w:val="001C0AE4"/>
    <w:rsid w:val="001C0D29"/>
    <w:rsid w:val="001C0ED2"/>
    <w:rsid w:val="001C1139"/>
    <w:rsid w:val="001C12DC"/>
    <w:rsid w:val="001C1F87"/>
    <w:rsid w:val="001C1FAC"/>
    <w:rsid w:val="001C2116"/>
    <w:rsid w:val="001C24DA"/>
    <w:rsid w:val="001C2770"/>
    <w:rsid w:val="001C2862"/>
    <w:rsid w:val="001C2E4D"/>
    <w:rsid w:val="001C3036"/>
    <w:rsid w:val="001C3129"/>
    <w:rsid w:val="001C33A1"/>
    <w:rsid w:val="001C3564"/>
    <w:rsid w:val="001C3639"/>
    <w:rsid w:val="001C38AC"/>
    <w:rsid w:val="001C3A6D"/>
    <w:rsid w:val="001C3BAF"/>
    <w:rsid w:val="001C3E3B"/>
    <w:rsid w:val="001C3FDF"/>
    <w:rsid w:val="001C44FA"/>
    <w:rsid w:val="001C4520"/>
    <w:rsid w:val="001C45AD"/>
    <w:rsid w:val="001C498C"/>
    <w:rsid w:val="001C4998"/>
    <w:rsid w:val="001C4C2D"/>
    <w:rsid w:val="001C4D10"/>
    <w:rsid w:val="001C522E"/>
    <w:rsid w:val="001C54BA"/>
    <w:rsid w:val="001C555C"/>
    <w:rsid w:val="001C561D"/>
    <w:rsid w:val="001C5B38"/>
    <w:rsid w:val="001C5D17"/>
    <w:rsid w:val="001C61FC"/>
    <w:rsid w:val="001C63BD"/>
    <w:rsid w:val="001C663B"/>
    <w:rsid w:val="001C6890"/>
    <w:rsid w:val="001C69AF"/>
    <w:rsid w:val="001C6A45"/>
    <w:rsid w:val="001C6C38"/>
    <w:rsid w:val="001C7057"/>
    <w:rsid w:val="001C78C8"/>
    <w:rsid w:val="001C7A43"/>
    <w:rsid w:val="001C7ECF"/>
    <w:rsid w:val="001D04D8"/>
    <w:rsid w:val="001D0535"/>
    <w:rsid w:val="001D0BA3"/>
    <w:rsid w:val="001D21A8"/>
    <w:rsid w:val="001D25BE"/>
    <w:rsid w:val="001D2679"/>
    <w:rsid w:val="001D2EE2"/>
    <w:rsid w:val="001D2F89"/>
    <w:rsid w:val="001D33EE"/>
    <w:rsid w:val="001D3700"/>
    <w:rsid w:val="001D3C15"/>
    <w:rsid w:val="001D421F"/>
    <w:rsid w:val="001D453C"/>
    <w:rsid w:val="001D45C6"/>
    <w:rsid w:val="001D4660"/>
    <w:rsid w:val="001D4A69"/>
    <w:rsid w:val="001D4B06"/>
    <w:rsid w:val="001D5091"/>
    <w:rsid w:val="001D54F8"/>
    <w:rsid w:val="001D57C0"/>
    <w:rsid w:val="001D59F5"/>
    <w:rsid w:val="001D601A"/>
    <w:rsid w:val="001D60BE"/>
    <w:rsid w:val="001D6217"/>
    <w:rsid w:val="001D63B3"/>
    <w:rsid w:val="001D6406"/>
    <w:rsid w:val="001D64F2"/>
    <w:rsid w:val="001D689D"/>
    <w:rsid w:val="001D6EF0"/>
    <w:rsid w:val="001D7164"/>
    <w:rsid w:val="001D75AA"/>
    <w:rsid w:val="001D75B2"/>
    <w:rsid w:val="001D7673"/>
    <w:rsid w:val="001D77E0"/>
    <w:rsid w:val="001D7890"/>
    <w:rsid w:val="001D79E9"/>
    <w:rsid w:val="001D7CA1"/>
    <w:rsid w:val="001D7D4F"/>
    <w:rsid w:val="001D7D60"/>
    <w:rsid w:val="001D7DB9"/>
    <w:rsid w:val="001D7ED1"/>
    <w:rsid w:val="001D7EF1"/>
    <w:rsid w:val="001E0320"/>
    <w:rsid w:val="001E0512"/>
    <w:rsid w:val="001E0864"/>
    <w:rsid w:val="001E107F"/>
    <w:rsid w:val="001E1584"/>
    <w:rsid w:val="001E1C3C"/>
    <w:rsid w:val="001E1C8A"/>
    <w:rsid w:val="001E2136"/>
    <w:rsid w:val="001E2421"/>
    <w:rsid w:val="001E2459"/>
    <w:rsid w:val="001E246A"/>
    <w:rsid w:val="001E277C"/>
    <w:rsid w:val="001E2EE5"/>
    <w:rsid w:val="001E2F99"/>
    <w:rsid w:val="001E3156"/>
    <w:rsid w:val="001E3308"/>
    <w:rsid w:val="001E3368"/>
    <w:rsid w:val="001E35F8"/>
    <w:rsid w:val="001E37FC"/>
    <w:rsid w:val="001E396D"/>
    <w:rsid w:val="001E3B99"/>
    <w:rsid w:val="001E3FEE"/>
    <w:rsid w:val="001E4002"/>
    <w:rsid w:val="001E41FE"/>
    <w:rsid w:val="001E429E"/>
    <w:rsid w:val="001E4442"/>
    <w:rsid w:val="001E47E5"/>
    <w:rsid w:val="001E49E9"/>
    <w:rsid w:val="001E4B0C"/>
    <w:rsid w:val="001E4B8A"/>
    <w:rsid w:val="001E4E41"/>
    <w:rsid w:val="001E5400"/>
    <w:rsid w:val="001E55B0"/>
    <w:rsid w:val="001E570C"/>
    <w:rsid w:val="001E576E"/>
    <w:rsid w:val="001E58A2"/>
    <w:rsid w:val="001E59C2"/>
    <w:rsid w:val="001E5E52"/>
    <w:rsid w:val="001E632A"/>
    <w:rsid w:val="001E646C"/>
    <w:rsid w:val="001E65F9"/>
    <w:rsid w:val="001E6767"/>
    <w:rsid w:val="001E69CB"/>
    <w:rsid w:val="001E69CC"/>
    <w:rsid w:val="001E6AE9"/>
    <w:rsid w:val="001E6DB8"/>
    <w:rsid w:val="001E7311"/>
    <w:rsid w:val="001E73CD"/>
    <w:rsid w:val="001E73E8"/>
    <w:rsid w:val="001E74FC"/>
    <w:rsid w:val="001E788C"/>
    <w:rsid w:val="001E793B"/>
    <w:rsid w:val="001E7B44"/>
    <w:rsid w:val="001E7BDF"/>
    <w:rsid w:val="001F055F"/>
    <w:rsid w:val="001F06DA"/>
    <w:rsid w:val="001F0760"/>
    <w:rsid w:val="001F077C"/>
    <w:rsid w:val="001F07D4"/>
    <w:rsid w:val="001F0DEF"/>
    <w:rsid w:val="001F1017"/>
    <w:rsid w:val="001F1299"/>
    <w:rsid w:val="001F1894"/>
    <w:rsid w:val="001F18A7"/>
    <w:rsid w:val="001F199F"/>
    <w:rsid w:val="001F1AC5"/>
    <w:rsid w:val="001F1B30"/>
    <w:rsid w:val="001F1C65"/>
    <w:rsid w:val="001F1DE5"/>
    <w:rsid w:val="001F20BB"/>
    <w:rsid w:val="001F2118"/>
    <w:rsid w:val="001F237C"/>
    <w:rsid w:val="001F272F"/>
    <w:rsid w:val="001F283E"/>
    <w:rsid w:val="001F2970"/>
    <w:rsid w:val="001F2E1B"/>
    <w:rsid w:val="001F3CC1"/>
    <w:rsid w:val="001F3D64"/>
    <w:rsid w:val="001F4127"/>
    <w:rsid w:val="001F46BD"/>
    <w:rsid w:val="001F4983"/>
    <w:rsid w:val="001F498B"/>
    <w:rsid w:val="001F4AE3"/>
    <w:rsid w:val="001F4BA0"/>
    <w:rsid w:val="001F4BD8"/>
    <w:rsid w:val="001F4EDF"/>
    <w:rsid w:val="001F520C"/>
    <w:rsid w:val="001F540D"/>
    <w:rsid w:val="001F57B7"/>
    <w:rsid w:val="001F5936"/>
    <w:rsid w:val="001F598B"/>
    <w:rsid w:val="001F5A2F"/>
    <w:rsid w:val="001F5A60"/>
    <w:rsid w:val="001F5C81"/>
    <w:rsid w:val="001F5D28"/>
    <w:rsid w:val="001F5EDC"/>
    <w:rsid w:val="001F6266"/>
    <w:rsid w:val="001F6537"/>
    <w:rsid w:val="001F6963"/>
    <w:rsid w:val="001F69ED"/>
    <w:rsid w:val="001F6BB2"/>
    <w:rsid w:val="001F6BD0"/>
    <w:rsid w:val="001F7081"/>
    <w:rsid w:val="001F7133"/>
    <w:rsid w:val="001F7511"/>
    <w:rsid w:val="001F78FF"/>
    <w:rsid w:val="001F7DB3"/>
    <w:rsid w:val="001F7FB5"/>
    <w:rsid w:val="002003AB"/>
    <w:rsid w:val="002003C2"/>
    <w:rsid w:val="00200829"/>
    <w:rsid w:val="00200B36"/>
    <w:rsid w:val="00200BB7"/>
    <w:rsid w:val="00200BD6"/>
    <w:rsid w:val="00200C49"/>
    <w:rsid w:val="00200E82"/>
    <w:rsid w:val="00201532"/>
    <w:rsid w:val="00201922"/>
    <w:rsid w:val="00201A13"/>
    <w:rsid w:val="00201B12"/>
    <w:rsid w:val="00201B86"/>
    <w:rsid w:val="00201C3C"/>
    <w:rsid w:val="00201E4B"/>
    <w:rsid w:val="00201E53"/>
    <w:rsid w:val="00201EC9"/>
    <w:rsid w:val="00201ECB"/>
    <w:rsid w:val="002021AB"/>
    <w:rsid w:val="002027CA"/>
    <w:rsid w:val="00202884"/>
    <w:rsid w:val="00202BA4"/>
    <w:rsid w:val="00202DBE"/>
    <w:rsid w:val="00203053"/>
    <w:rsid w:val="002030C4"/>
    <w:rsid w:val="002032A7"/>
    <w:rsid w:val="00203375"/>
    <w:rsid w:val="0020357B"/>
    <w:rsid w:val="002035EA"/>
    <w:rsid w:val="002036A8"/>
    <w:rsid w:val="002036E6"/>
    <w:rsid w:val="002039F6"/>
    <w:rsid w:val="002040D0"/>
    <w:rsid w:val="0020415F"/>
    <w:rsid w:val="002049A1"/>
    <w:rsid w:val="00204B9B"/>
    <w:rsid w:val="00204CD6"/>
    <w:rsid w:val="002050FE"/>
    <w:rsid w:val="00205134"/>
    <w:rsid w:val="00205662"/>
    <w:rsid w:val="0020567D"/>
    <w:rsid w:val="002057B9"/>
    <w:rsid w:val="002058AC"/>
    <w:rsid w:val="00205945"/>
    <w:rsid w:val="00205CBB"/>
    <w:rsid w:val="00205EE2"/>
    <w:rsid w:val="00206108"/>
    <w:rsid w:val="002061A0"/>
    <w:rsid w:val="00206230"/>
    <w:rsid w:val="002063E7"/>
    <w:rsid w:val="0020649E"/>
    <w:rsid w:val="00206542"/>
    <w:rsid w:val="002065A6"/>
    <w:rsid w:val="002068F8"/>
    <w:rsid w:val="00206E17"/>
    <w:rsid w:val="0020703D"/>
    <w:rsid w:val="00207040"/>
    <w:rsid w:val="00207534"/>
    <w:rsid w:val="002078A6"/>
    <w:rsid w:val="00207BA7"/>
    <w:rsid w:val="00207BE9"/>
    <w:rsid w:val="00207C32"/>
    <w:rsid w:val="00207EEA"/>
    <w:rsid w:val="00210661"/>
    <w:rsid w:val="002106A8"/>
    <w:rsid w:val="00210722"/>
    <w:rsid w:val="0021082B"/>
    <w:rsid w:val="002113EA"/>
    <w:rsid w:val="002117F8"/>
    <w:rsid w:val="00211A79"/>
    <w:rsid w:val="00211A9E"/>
    <w:rsid w:val="00211C85"/>
    <w:rsid w:val="00211D80"/>
    <w:rsid w:val="00211DDF"/>
    <w:rsid w:val="002121CE"/>
    <w:rsid w:val="002124D3"/>
    <w:rsid w:val="002125FB"/>
    <w:rsid w:val="0021292B"/>
    <w:rsid w:val="00212953"/>
    <w:rsid w:val="00212A4B"/>
    <w:rsid w:val="00212B6A"/>
    <w:rsid w:val="00212E29"/>
    <w:rsid w:val="00213409"/>
    <w:rsid w:val="002138E8"/>
    <w:rsid w:val="002139D0"/>
    <w:rsid w:val="00213C49"/>
    <w:rsid w:val="00213E01"/>
    <w:rsid w:val="00213F4C"/>
    <w:rsid w:val="002140C1"/>
    <w:rsid w:val="00214228"/>
    <w:rsid w:val="0021433D"/>
    <w:rsid w:val="002143DF"/>
    <w:rsid w:val="00214555"/>
    <w:rsid w:val="0021480F"/>
    <w:rsid w:val="0021486B"/>
    <w:rsid w:val="002148F5"/>
    <w:rsid w:val="00215054"/>
    <w:rsid w:val="002156CA"/>
    <w:rsid w:val="00215808"/>
    <w:rsid w:val="00215EB1"/>
    <w:rsid w:val="002164AB"/>
    <w:rsid w:val="002164AE"/>
    <w:rsid w:val="00216B14"/>
    <w:rsid w:val="0021734A"/>
    <w:rsid w:val="00217364"/>
    <w:rsid w:val="0021743E"/>
    <w:rsid w:val="00217766"/>
    <w:rsid w:val="002177E0"/>
    <w:rsid w:val="00217B7A"/>
    <w:rsid w:val="00217C62"/>
    <w:rsid w:val="00220061"/>
    <w:rsid w:val="00220263"/>
    <w:rsid w:val="00220433"/>
    <w:rsid w:val="002204C9"/>
    <w:rsid w:val="00220543"/>
    <w:rsid w:val="00220888"/>
    <w:rsid w:val="00220A73"/>
    <w:rsid w:val="00220D81"/>
    <w:rsid w:val="00220DF1"/>
    <w:rsid w:val="00220E3C"/>
    <w:rsid w:val="00220E4D"/>
    <w:rsid w:val="00221136"/>
    <w:rsid w:val="00221170"/>
    <w:rsid w:val="0022132D"/>
    <w:rsid w:val="0022142B"/>
    <w:rsid w:val="0022155B"/>
    <w:rsid w:val="0022187A"/>
    <w:rsid w:val="00221946"/>
    <w:rsid w:val="00221B88"/>
    <w:rsid w:val="00222125"/>
    <w:rsid w:val="00222348"/>
    <w:rsid w:val="002223F7"/>
    <w:rsid w:val="00222400"/>
    <w:rsid w:val="0022241F"/>
    <w:rsid w:val="002224A9"/>
    <w:rsid w:val="002224E0"/>
    <w:rsid w:val="00222EC7"/>
    <w:rsid w:val="00223083"/>
    <w:rsid w:val="00223303"/>
    <w:rsid w:val="002233D4"/>
    <w:rsid w:val="002234F0"/>
    <w:rsid w:val="002238C7"/>
    <w:rsid w:val="00223A49"/>
    <w:rsid w:val="00223B41"/>
    <w:rsid w:val="00223C31"/>
    <w:rsid w:val="00223E3E"/>
    <w:rsid w:val="00223FB3"/>
    <w:rsid w:val="00224065"/>
    <w:rsid w:val="002240E7"/>
    <w:rsid w:val="002244BB"/>
    <w:rsid w:val="00224562"/>
    <w:rsid w:val="00224B34"/>
    <w:rsid w:val="00224E6F"/>
    <w:rsid w:val="0022526B"/>
    <w:rsid w:val="0022538B"/>
    <w:rsid w:val="00225F9D"/>
    <w:rsid w:val="00226310"/>
    <w:rsid w:val="00226622"/>
    <w:rsid w:val="00226A1D"/>
    <w:rsid w:val="0022700E"/>
    <w:rsid w:val="00227461"/>
    <w:rsid w:val="002278C4"/>
    <w:rsid w:val="00227AB1"/>
    <w:rsid w:val="00227E43"/>
    <w:rsid w:val="0023019F"/>
    <w:rsid w:val="00230465"/>
    <w:rsid w:val="0023073C"/>
    <w:rsid w:val="0023090C"/>
    <w:rsid w:val="00230AFD"/>
    <w:rsid w:val="00230B13"/>
    <w:rsid w:val="00230B3F"/>
    <w:rsid w:val="00230BC3"/>
    <w:rsid w:val="00230CBC"/>
    <w:rsid w:val="00231269"/>
    <w:rsid w:val="00231B38"/>
    <w:rsid w:val="002321A3"/>
    <w:rsid w:val="002321FB"/>
    <w:rsid w:val="00232376"/>
    <w:rsid w:val="0023243E"/>
    <w:rsid w:val="002324D3"/>
    <w:rsid w:val="002327D9"/>
    <w:rsid w:val="00233063"/>
    <w:rsid w:val="00233351"/>
    <w:rsid w:val="002333C6"/>
    <w:rsid w:val="00233D1A"/>
    <w:rsid w:val="002340C1"/>
    <w:rsid w:val="00234B10"/>
    <w:rsid w:val="00234B92"/>
    <w:rsid w:val="00234EC8"/>
    <w:rsid w:val="00235077"/>
    <w:rsid w:val="0023525A"/>
    <w:rsid w:val="00235886"/>
    <w:rsid w:val="002359D8"/>
    <w:rsid w:val="00236053"/>
    <w:rsid w:val="00236232"/>
    <w:rsid w:val="0023629A"/>
    <w:rsid w:val="002364E6"/>
    <w:rsid w:val="002365C0"/>
    <w:rsid w:val="002365D4"/>
    <w:rsid w:val="002368C5"/>
    <w:rsid w:val="00236ED6"/>
    <w:rsid w:val="00237142"/>
    <w:rsid w:val="002372F0"/>
    <w:rsid w:val="00237332"/>
    <w:rsid w:val="002373D8"/>
    <w:rsid w:val="00237663"/>
    <w:rsid w:val="002378DB"/>
    <w:rsid w:val="00237983"/>
    <w:rsid w:val="00237B63"/>
    <w:rsid w:val="00237CEE"/>
    <w:rsid w:val="00237D2D"/>
    <w:rsid w:val="00237D89"/>
    <w:rsid w:val="002402B5"/>
    <w:rsid w:val="00240610"/>
    <w:rsid w:val="002407FA"/>
    <w:rsid w:val="00240BF5"/>
    <w:rsid w:val="00240E94"/>
    <w:rsid w:val="00241024"/>
    <w:rsid w:val="002411CA"/>
    <w:rsid w:val="0024126D"/>
    <w:rsid w:val="00241423"/>
    <w:rsid w:val="00241546"/>
    <w:rsid w:val="00241930"/>
    <w:rsid w:val="002419EE"/>
    <w:rsid w:val="0024230C"/>
    <w:rsid w:val="00242657"/>
    <w:rsid w:val="00242AFE"/>
    <w:rsid w:val="00242C88"/>
    <w:rsid w:val="00242CA6"/>
    <w:rsid w:val="00242DF0"/>
    <w:rsid w:val="00242F11"/>
    <w:rsid w:val="00243036"/>
    <w:rsid w:val="00243152"/>
    <w:rsid w:val="00243760"/>
    <w:rsid w:val="00243AC8"/>
    <w:rsid w:val="00243CE6"/>
    <w:rsid w:val="00243D4E"/>
    <w:rsid w:val="00243FBD"/>
    <w:rsid w:val="00244432"/>
    <w:rsid w:val="0024452A"/>
    <w:rsid w:val="00244A1D"/>
    <w:rsid w:val="00244AA1"/>
    <w:rsid w:val="00244CC3"/>
    <w:rsid w:val="002450E5"/>
    <w:rsid w:val="00245265"/>
    <w:rsid w:val="00245280"/>
    <w:rsid w:val="0024530B"/>
    <w:rsid w:val="002453A2"/>
    <w:rsid w:val="002453AF"/>
    <w:rsid w:val="00245635"/>
    <w:rsid w:val="0024568F"/>
    <w:rsid w:val="00245699"/>
    <w:rsid w:val="0024571A"/>
    <w:rsid w:val="002457FA"/>
    <w:rsid w:val="00245979"/>
    <w:rsid w:val="00245AF5"/>
    <w:rsid w:val="00246230"/>
    <w:rsid w:val="0024648D"/>
    <w:rsid w:val="00246546"/>
    <w:rsid w:val="00246655"/>
    <w:rsid w:val="00246F08"/>
    <w:rsid w:val="002470B8"/>
    <w:rsid w:val="002470CF"/>
    <w:rsid w:val="0024723B"/>
    <w:rsid w:val="002472EB"/>
    <w:rsid w:val="0024730E"/>
    <w:rsid w:val="00247318"/>
    <w:rsid w:val="00247402"/>
    <w:rsid w:val="00247C41"/>
    <w:rsid w:val="00247CFD"/>
    <w:rsid w:val="00250097"/>
    <w:rsid w:val="00250510"/>
    <w:rsid w:val="002506C3"/>
    <w:rsid w:val="00250812"/>
    <w:rsid w:val="002508AE"/>
    <w:rsid w:val="00250948"/>
    <w:rsid w:val="00250D00"/>
    <w:rsid w:val="0025103D"/>
    <w:rsid w:val="00251077"/>
    <w:rsid w:val="00251258"/>
    <w:rsid w:val="002513B6"/>
    <w:rsid w:val="002515BA"/>
    <w:rsid w:val="00251668"/>
    <w:rsid w:val="002516A8"/>
    <w:rsid w:val="00251B6C"/>
    <w:rsid w:val="00251B7D"/>
    <w:rsid w:val="00251BF4"/>
    <w:rsid w:val="00251C7D"/>
    <w:rsid w:val="00251FC9"/>
    <w:rsid w:val="002521AF"/>
    <w:rsid w:val="00252967"/>
    <w:rsid w:val="00252C8A"/>
    <w:rsid w:val="00252E7A"/>
    <w:rsid w:val="00252EC4"/>
    <w:rsid w:val="00253271"/>
    <w:rsid w:val="0025331E"/>
    <w:rsid w:val="00253338"/>
    <w:rsid w:val="0025356B"/>
    <w:rsid w:val="00253588"/>
    <w:rsid w:val="00253A57"/>
    <w:rsid w:val="00253B48"/>
    <w:rsid w:val="00253B64"/>
    <w:rsid w:val="00253F2A"/>
    <w:rsid w:val="0025404C"/>
    <w:rsid w:val="0025486C"/>
    <w:rsid w:val="002549F5"/>
    <w:rsid w:val="00254A12"/>
    <w:rsid w:val="00254C2E"/>
    <w:rsid w:val="00254D2F"/>
    <w:rsid w:val="00255100"/>
    <w:rsid w:val="00255207"/>
    <w:rsid w:val="002552B9"/>
    <w:rsid w:val="0025532B"/>
    <w:rsid w:val="00255383"/>
    <w:rsid w:val="002553B6"/>
    <w:rsid w:val="00255621"/>
    <w:rsid w:val="00255946"/>
    <w:rsid w:val="002559EA"/>
    <w:rsid w:val="00255C84"/>
    <w:rsid w:val="00255F05"/>
    <w:rsid w:val="00256113"/>
    <w:rsid w:val="00256159"/>
    <w:rsid w:val="00256327"/>
    <w:rsid w:val="002565A4"/>
    <w:rsid w:val="00256613"/>
    <w:rsid w:val="002567DC"/>
    <w:rsid w:val="00256BA4"/>
    <w:rsid w:val="00256C51"/>
    <w:rsid w:val="00257052"/>
    <w:rsid w:val="002570BE"/>
    <w:rsid w:val="002575B6"/>
    <w:rsid w:val="0025760F"/>
    <w:rsid w:val="00257902"/>
    <w:rsid w:val="0025792C"/>
    <w:rsid w:val="00257931"/>
    <w:rsid w:val="0026001B"/>
    <w:rsid w:val="00260071"/>
    <w:rsid w:val="00260237"/>
    <w:rsid w:val="002603A2"/>
    <w:rsid w:val="00260806"/>
    <w:rsid w:val="0026088E"/>
    <w:rsid w:val="00261308"/>
    <w:rsid w:val="0026138F"/>
    <w:rsid w:val="002614E3"/>
    <w:rsid w:val="0026167C"/>
    <w:rsid w:val="002617FE"/>
    <w:rsid w:val="002621FF"/>
    <w:rsid w:val="00262209"/>
    <w:rsid w:val="002623C7"/>
    <w:rsid w:val="002626FF"/>
    <w:rsid w:val="00263039"/>
    <w:rsid w:val="00263515"/>
    <w:rsid w:val="002636E5"/>
    <w:rsid w:val="00263AC5"/>
    <w:rsid w:val="00263D13"/>
    <w:rsid w:val="00263D1C"/>
    <w:rsid w:val="00263F81"/>
    <w:rsid w:val="002643CC"/>
    <w:rsid w:val="00264455"/>
    <w:rsid w:val="002644C8"/>
    <w:rsid w:val="0026532B"/>
    <w:rsid w:val="0026542B"/>
    <w:rsid w:val="00265559"/>
    <w:rsid w:val="00265717"/>
    <w:rsid w:val="002659C8"/>
    <w:rsid w:val="002663DE"/>
    <w:rsid w:val="00266455"/>
    <w:rsid w:val="00266F63"/>
    <w:rsid w:val="0026706F"/>
    <w:rsid w:val="002670B7"/>
    <w:rsid w:val="0026734F"/>
    <w:rsid w:val="0026759C"/>
    <w:rsid w:val="002675E8"/>
    <w:rsid w:val="00270149"/>
    <w:rsid w:val="00270174"/>
    <w:rsid w:val="002703DD"/>
    <w:rsid w:val="0027051D"/>
    <w:rsid w:val="002706FB"/>
    <w:rsid w:val="00270873"/>
    <w:rsid w:val="00270B7D"/>
    <w:rsid w:val="00270BDC"/>
    <w:rsid w:val="00270C28"/>
    <w:rsid w:val="00270EC0"/>
    <w:rsid w:val="00270FBD"/>
    <w:rsid w:val="00271002"/>
    <w:rsid w:val="0027110A"/>
    <w:rsid w:val="002714A6"/>
    <w:rsid w:val="00271711"/>
    <w:rsid w:val="0027179D"/>
    <w:rsid w:val="00271807"/>
    <w:rsid w:val="00271AC1"/>
    <w:rsid w:val="0027201C"/>
    <w:rsid w:val="00272210"/>
    <w:rsid w:val="0027257B"/>
    <w:rsid w:val="00272696"/>
    <w:rsid w:val="00272DA2"/>
    <w:rsid w:val="00272E01"/>
    <w:rsid w:val="00272E5C"/>
    <w:rsid w:val="00272ED3"/>
    <w:rsid w:val="0027315C"/>
    <w:rsid w:val="00273305"/>
    <w:rsid w:val="00273874"/>
    <w:rsid w:val="00273880"/>
    <w:rsid w:val="00273D78"/>
    <w:rsid w:val="00273D9B"/>
    <w:rsid w:val="0027424A"/>
    <w:rsid w:val="00274379"/>
    <w:rsid w:val="002746E9"/>
    <w:rsid w:val="00274905"/>
    <w:rsid w:val="00274A85"/>
    <w:rsid w:val="00274D08"/>
    <w:rsid w:val="00274E26"/>
    <w:rsid w:val="002751B3"/>
    <w:rsid w:val="00275288"/>
    <w:rsid w:val="00275735"/>
    <w:rsid w:val="00275866"/>
    <w:rsid w:val="0027586E"/>
    <w:rsid w:val="00275B36"/>
    <w:rsid w:val="00275B57"/>
    <w:rsid w:val="00275E43"/>
    <w:rsid w:val="00275E84"/>
    <w:rsid w:val="0027617C"/>
    <w:rsid w:val="002762F3"/>
    <w:rsid w:val="00276550"/>
    <w:rsid w:val="00276F38"/>
    <w:rsid w:val="0027712A"/>
    <w:rsid w:val="002772D8"/>
    <w:rsid w:val="002773C3"/>
    <w:rsid w:val="002775C1"/>
    <w:rsid w:val="002775C7"/>
    <w:rsid w:val="00277697"/>
    <w:rsid w:val="0027777E"/>
    <w:rsid w:val="00277926"/>
    <w:rsid w:val="0027799B"/>
    <w:rsid w:val="00277E1C"/>
    <w:rsid w:val="00280048"/>
    <w:rsid w:val="002801F3"/>
    <w:rsid w:val="002801F7"/>
    <w:rsid w:val="002802DA"/>
    <w:rsid w:val="002804F8"/>
    <w:rsid w:val="00280538"/>
    <w:rsid w:val="002805D6"/>
    <w:rsid w:val="00280821"/>
    <w:rsid w:val="00280984"/>
    <w:rsid w:val="00280A6A"/>
    <w:rsid w:val="00280BF1"/>
    <w:rsid w:val="00280C94"/>
    <w:rsid w:val="00281094"/>
    <w:rsid w:val="0028117A"/>
    <w:rsid w:val="002813F7"/>
    <w:rsid w:val="00281470"/>
    <w:rsid w:val="002814ED"/>
    <w:rsid w:val="002816F8"/>
    <w:rsid w:val="00281776"/>
    <w:rsid w:val="0028182C"/>
    <w:rsid w:val="00281846"/>
    <w:rsid w:val="00281899"/>
    <w:rsid w:val="0028198C"/>
    <w:rsid w:val="00281A06"/>
    <w:rsid w:val="00281A3A"/>
    <w:rsid w:val="00281D08"/>
    <w:rsid w:val="00281E46"/>
    <w:rsid w:val="00281E7F"/>
    <w:rsid w:val="00281F4B"/>
    <w:rsid w:val="00282336"/>
    <w:rsid w:val="0028247F"/>
    <w:rsid w:val="00282540"/>
    <w:rsid w:val="0028258A"/>
    <w:rsid w:val="0028281D"/>
    <w:rsid w:val="00283087"/>
    <w:rsid w:val="002833BC"/>
    <w:rsid w:val="00283466"/>
    <w:rsid w:val="0028369E"/>
    <w:rsid w:val="00283875"/>
    <w:rsid w:val="00283B33"/>
    <w:rsid w:val="00283EDE"/>
    <w:rsid w:val="00283F5D"/>
    <w:rsid w:val="00283FD8"/>
    <w:rsid w:val="00284231"/>
    <w:rsid w:val="002845DD"/>
    <w:rsid w:val="00285D4F"/>
    <w:rsid w:val="002860FB"/>
    <w:rsid w:val="00286251"/>
    <w:rsid w:val="00286296"/>
    <w:rsid w:val="00286319"/>
    <w:rsid w:val="002864B7"/>
    <w:rsid w:val="002864DA"/>
    <w:rsid w:val="002869CA"/>
    <w:rsid w:val="00286B90"/>
    <w:rsid w:val="00286CA8"/>
    <w:rsid w:val="00286E08"/>
    <w:rsid w:val="00286E35"/>
    <w:rsid w:val="00287172"/>
    <w:rsid w:val="002872B9"/>
    <w:rsid w:val="0028782E"/>
    <w:rsid w:val="002878E8"/>
    <w:rsid w:val="0028791E"/>
    <w:rsid w:val="00287A61"/>
    <w:rsid w:val="00287AE4"/>
    <w:rsid w:val="002901FE"/>
    <w:rsid w:val="0029074B"/>
    <w:rsid w:val="002909F8"/>
    <w:rsid w:val="00290EAB"/>
    <w:rsid w:val="00291202"/>
    <w:rsid w:val="002912D6"/>
    <w:rsid w:val="00291BF9"/>
    <w:rsid w:val="00291C93"/>
    <w:rsid w:val="00291CD6"/>
    <w:rsid w:val="002923E0"/>
    <w:rsid w:val="002923E8"/>
    <w:rsid w:val="00292448"/>
    <w:rsid w:val="00292539"/>
    <w:rsid w:val="002925C5"/>
    <w:rsid w:val="00292925"/>
    <w:rsid w:val="00292AB6"/>
    <w:rsid w:val="00292E38"/>
    <w:rsid w:val="00293232"/>
    <w:rsid w:val="00293473"/>
    <w:rsid w:val="0029368A"/>
    <w:rsid w:val="002936F1"/>
    <w:rsid w:val="00293AA7"/>
    <w:rsid w:val="00293D2A"/>
    <w:rsid w:val="00293F16"/>
    <w:rsid w:val="002941A1"/>
    <w:rsid w:val="00294821"/>
    <w:rsid w:val="002949AA"/>
    <w:rsid w:val="00294A18"/>
    <w:rsid w:val="00294C81"/>
    <w:rsid w:val="00294C9A"/>
    <w:rsid w:val="002952D6"/>
    <w:rsid w:val="00295A9D"/>
    <w:rsid w:val="00295B40"/>
    <w:rsid w:val="00295DCA"/>
    <w:rsid w:val="00296F83"/>
    <w:rsid w:val="00296FEE"/>
    <w:rsid w:val="00297227"/>
    <w:rsid w:val="002976E6"/>
    <w:rsid w:val="00297801"/>
    <w:rsid w:val="002979A9"/>
    <w:rsid w:val="00297A10"/>
    <w:rsid w:val="002A04A7"/>
    <w:rsid w:val="002A05C5"/>
    <w:rsid w:val="002A13C7"/>
    <w:rsid w:val="002A14BC"/>
    <w:rsid w:val="002A1673"/>
    <w:rsid w:val="002A1C40"/>
    <w:rsid w:val="002A1EC3"/>
    <w:rsid w:val="002A2167"/>
    <w:rsid w:val="002A2266"/>
    <w:rsid w:val="002A2D9D"/>
    <w:rsid w:val="002A2F37"/>
    <w:rsid w:val="002A33C2"/>
    <w:rsid w:val="002A365D"/>
    <w:rsid w:val="002A3997"/>
    <w:rsid w:val="002A39C5"/>
    <w:rsid w:val="002A3CC3"/>
    <w:rsid w:val="002A3ED5"/>
    <w:rsid w:val="002A404D"/>
    <w:rsid w:val="002A4082"/>
    <w:rsid w:val="002A4190"/>
    <w:rsid w:val="002A4257"/>
    <w:rsid w:val="002A43AE"/>
    <w:rsid w:val="002A45AF"/>
    <w:rsid w:val="002A4642"/>
    <w:rsid w:val="002A47CD"/>
    <w:rsid w:val="002A4858"/>
    <w:rsid w:val="002A4A23"/>
    <w:rsid w:val="002A4A81"/>
    <w:rsid w:val="002A4DAF"/>
    <w:rsid w:val="002A51F6"/>
    <w:rsid w:val="002A57CE"/>
    <w:rsid w:val="002A58E5"/>
    <w:rsid w:val="002A5BF9"/>
    <w:rsid w:val="002A6205"/>
    <w:rsid w:val="002A649F"/>
    <w:rsid w:val="002A652A"/>
    <w:rsid w:val="002A6612"/>
    <w:rsid w:val="002A66F6"/>
    <w:rsid w:val="002A6806"/>
    <w:rsid w:val="002A69D8"/>
    <w:rsid w:val="002A6BAA"/>
    <w:rsid w:val="002A6D00"/>
    <w:rsid w:val="002A6F33"/>
    <w:rsid w:val="002A735C"/>
    <w:rsid w:val="002A7C06"/>
    <w:rsid w:val="002B0655"/>
    <w:rsid w:val="002B08D6"/>
    <w:rsid w:val="002B0B6D"/>
    <w:rsid w:val="002B0C8C"/>
    <w:rsid w:val="002B0CC1"/>
    <w:rsid w:val="002B0D87"/>
    <w:rsid w:val="002B1384"/>
    <w:rsid w:val="002B14E8"/>
    <w:rsid w:val="002B162D"/>
    <w:rsid w:val="002B17BA"/>
    <w:rsid w:val="002B1A8C"/>
    <w:rsid w:val="002B1A9E"/>
    <w:rsid w:val="002B1CB9"/>
    <w:rsid w:val="002B2116"/>
    <w:rsid w:val="002B229E"/>
    <w:rsid w:val="002B30E4"/>
    <w:rsid w:val="002B32F0"/>
    <w:rsid w:val="002B3509"/>
    <w:rsid w:val="002B378E"/>
    <w:rsid w:val="002B392F"/>
    <w:rsid w:val="002B39C4"/>
    <w:rsid w:val="002B3B30"/>
    <w:rsid w:val="002B3D55"/>
    <w:rsid w:val="002B3DDC"/>
    <w:rsid w:val="002B4254"/>
    <w:rsid w:val="002B4288"/>
    <w:rsid w:val="002B44AA"/>
    <w:rsid w:val="002B46A9"/>
    <w:rsid w:val="002B48D4"/>
    <w:rsid w:val="002B4BE6"/>
    <w:rsid w:val="002B4FF8"/>
    <w:rsid w:val="002B50F8"/>
    <w:rsid w:val="002B5450"/>
    <w:rsid w:val="002B6499"/>
    <w:rsid w:val="002B666B"/>
    <w:rsid w:val="002B6769"/>
    <w:rsid w:val="002B67AE"/>
    <w:rsid w:val="002B6943"/>
    <w:rsid w:val="002B6ABE"/>
    <w:rsid w:val="002B6DFA"/>
    <w:rsid w:val="002B719F"/>
    <w:rsid w:val="002B728B"/>
    <w:rsid w:val="002B72B0"/>
    <w:rsid w:val="002B7416"/>
    <w:rsid w:val="002B77CF"/>
    <w:rsid w:val="002B78ED"/>
    <w:rsid w:val="002B7991"/>
    <w:rsid w:val="002B79BB"/>
    <w:rsid w:val="002B7A5B"/>
    <w:rsid w:val="002B7E56"/>
    <w:rsid w:val="002B7FCA"/>
    <w:rsid w:val="002C012C"/>
    <w:rsid w:val="002C03BE"/>
    <w:rsid w:val="002C0945"/>
    <w:rsid w:val="002C0AA3"/>
    <w:rsid w:val="002C0C00"/>
    <w:rsid w:val="002C0CC5"/>
    <w:rsid w:val="002C0D09"/>
    <w:rsid w:val="002C0D19"/>
    <w:rsid w:val="002C0EF8"/>
    <w:rsid w:val="002C1040"/>
    <w:rsid w:val="002C14C0"/>
    <w:rsid w:val="002C16C8"/>
    <w:rsid w:val="002C1DD5"/>
    <w:rsid w:val="002C1E1C"/>
    <w:rsid w:val="002C20A0"/>
    <w:rsid w:val="002C22C6"/>
    <w:rsid w:val="002C23A1"/>
    <w:rsid w:val="002C282A"/>
    <w:rsid w:val="002C2877"/>
    <w:rsid w:val="002C2B67"/>
    <w:rsid w:val="002C2C69"/>
    <w:rsid w:val="002C2F1E"/>
    <w:rsid w:val="002C3116"/>
    <w:rsid w:val="002C356C"/>
    <w:rsid w:val="002C382C"/>
    <w:rsid w:val="002C38B7"/>
    <w:rsid w:val="002C3917"/>
    <w:rsid w:val="002C3A48"/>
    <w:rsid w:val="002C3AB2"/>
    <w:rsid w:val="002C3B7F"/>
    <w:rsid w:val="002C3EDF"/>
    <w:rsid w:val="002C42BF"/>
    <w:rsid w:val="002C4DCB"/>
    <w:rsid w:val="002C5020"/>
    <w:rsid w:val="002C5213"/>
    <w:rsid w:val="002C523E"/>
    <w:rsid w:val="002C56A7"/>
    <w:rsid w:val="002C5AA1"/>
    <w:rsid w:val="002C5DCF"/>
    <w:rsid w:val="002C60B5"/>
    <w:rsid w:val="002C62B8"/>
    <w:rsid w:val="002C6387"/>
    <w:rsid w:val="002C6637"/>
    <w:rsid w:val="002C672E"/>
    <w:rsid w:val="002C685A"/>
    <w:rsid w:val="002C688B"/>
    <w:rsid w:val="002C6B7F"/>
    <w:rsid w:val="002C6D1B"/>
    <w:rsid w:val="002C6D20"/>
    <w:rsid w:val="002C7119"/>
    <w:rsid w:val="002C7280"/>
    <w:rsid w:val="002C781A"/>
    <w:rsid w:val="002C7AC4"/>
    <w:rsid w:val="002C7D53"/>
    <w:rsid w:val="002D041C"/>
    <w:rsid w:val="002D0603"/>
    <w:rsid w:val="002D08FF"/>
    <w:rsid w:val="002D09E7"/>
    <w:rsid w:val="002D12B0"/>
    <w:rsid w:val="002D1334"/>
    <w:rsid w:val="002D1465"/>
    <w:rsid w:val="002D1624"/>
    <w:rsid w:val="002D16C1"/>
    <w:rsid w:val="002D17FF"/>
    <w:rsid w:val="002D1B81"/>
    <w:rsid w:val="002D1E8B"/>
    <w:rsid w:val="002D271B"/>
    <w:rsid w:val="002D2813"/>
    <w:rsid w:val="002D28D7"/>
    <w:rsid w:val="002D2BAD"/>
    <w:rsid w:val="002D3002"/>
    <w:rsid w:val="002D313A"/>
    <w:rsid w:val="002D316E"/>
    <w:rsid w:val="002D3195"/>
    <w:rsid w:val="002D3385"/>
    <w:rsid w:val="002D38E5"/>
    <w:rsid w:val="002D3EFE"/>
    <w:rsid w:val="002D472B"/>
    <w:rsid w:val="002D4C9C"/>
    <w:rsid w:val="002D4EDB"/>
    <w:rsid w:val="002D514C"/>
    <w:rsid w:val="002D525C"/>
    <w:rsid w:val="002D53AC"/>
    <w:rsid w:val="002D581A"/>
    <w:rsid w:val="002D585E"/>
    <w:rsid w:val="002D5915"/>
    <w:rsid w:val="002D5AAE"/>
    <w:rsid w:val="002D5BF2"/>
    <w:rsid w:val="002D5E5C"/>
    <w:rsid w:val="002D6138"/>
    <w:rsid w:val="002D6226"/>
    <w:rsid w:val="002D67D5"/>
    <w:rsid w:val="002D69EB"/>
    <w:rsid w:val="002D6CC2"/>
    <w:rsid w:val="002D6EE0"/>
    <w:rsid w:val="002D77CC"/>
    <w:rsid w:val="002E008F"/>
    <w:rsid w:val="002E0295"/>
    <w:rsid w:val="002E03EF"/>
    <w:rsid w:val="002E0586"/>
    <w:rsid w:val="002E05F5"/>
    <w:rsid w:val="002E0710"/>
    <w:rsid w:val="002E0DA5"/>
    <w:rsid w:val="002E0DEF"/>
    <w:rsid w:val="002E113C"/>
    <w:rsid w:val="002E136B"/>
    <w:rsid w:val="002E153E"/>
    <w:rsid w:val="002E15FB"/>
    <w:rsid w:val="002E1792"/>
    <w:rsid w:val="002E17E0"/>
    <w:rsid w:val="002E17F5"/>
    <w:rsid w:val="002E1836"/>
    <w:rsid w:val="002E1C36"/>
    <w:rsid w:val="002E1FB3"/>
    <w:rsid w:val="002E2066"/>
    <w:rsid w:val="002E20CA"/>
    <w:rsid w:val="002E25A1"/>
    <w:rsid w:val="002E262E"/>
    <w:rsid w:val="002E2657"/>
    <w:rsid w:val="002E2954"/>
    <w:rsid w:val="002E2A0A"/>
    <w:rsid w:val="002E2BD0"/>
    <w:rsid w:val="002E2E58"/>
    <w:rsid w:val="002E2FE1"/>
    <w:rsid w:val="002E30C5"/>
    <w:rsid w:val="002E3364"/>
    <w:rsid w:val="002E389A"/>
    <w:rsid w:val="002E3B29"/>
    <w:rsid w:val="002E3DC6"/>
    <w:rsid w:val="002E3E18"/>
    <w:rsid w:val="002E3F40"/>
    <w:rsid w:val="002E4368"/>
    <w:rsid w:val="002E512B"/>
    <w:rsid w:val="002E5533"/>
    <w:rsid w:val="002E5D99"/>
    <w:rsid w:val="002E5DE5"/>
    <w:rsid w:val="002E5FD0"/>
    <w:rsid w:val="002E6085"/>
    <w:rsid w:val="002E631E"/>
    <w:rsid w:val="002E63C7"/>
    <w:rsid w:val="002E6602"/>
    <w:rsid w:val="002E684B"/>
    <w:rsid w:val="002E68AE"/>
    <w:rsid w:val="002E6B11"/>
    <w:rsid w:val="002E7183"/>
    <w:rsid w:val="002E7457"/>
    <w:rsid w:val="002E778F"/>
    <w:rsid w:val="002E783D"/>
    <w:rsid w:val="002E7C12"/>
    <w:rsid w:val="002E7D62"/>
    <w:rsid w:val="002E7DC3"/>
    <w:rsid w:val="002E7E8A"/>
    <w:rsid w:val="002E7FB0"/>
    <w:rsid w:val="002F009C"/>
    <w:rsid w:val="002F01FE"/>
    <w:rsid w:val="002F020D"/>
    <w:rsid w:val="002F0457"/>
    <w:rsid w:val="002F099E"/>
    <w:rsid w:val="002F09B5"/>
    <w:rsid w:val="002F108E"/>
    <w:rsid w:val="002F11A9"/>
    <w:rsid w:val="002F142D"/>
    <w:rsid w:val="002F16D3"/>
    <w:rsid w:val="002F172A"/>
    <w:rsid w:val="002F1824"/>
    <w:rsid w:val="002F19DF"/>
    <w:rsid w:val="002F1CF8"/>
    <w:rsid w:val="002F2064"/>
    <w:rsid w:val="002F25D4"/>
    <w:rsid w:val="002F27B9"/>
    <w:rsid w:val="002F28CB"/>
    <w:rsid w:val="002F29AA"/>
    <w:rsid w:val="002F2A78"/>
    <w:rsid w:val="002F2B77"/>
    <w:rsid w:val="002F2BD7"/>
    <w:rsid w:val="002F31CE"/>
    <w:rsid w:val="002F3844"/>
    <w:rsid w:val="002F3AF2"/>
    <w:rsid w:val="002F4161"/>
    <w:rsid w:val="002F43A7"/>
    <w:rsid w:val="002F4773"/>
    <w:rsid w:val="002F4BCD"/>
    <w:rsid w:val="002F501F"/>
    <w:rsid w:val="002F53C4"/>
    <w:rsid w:val="002F53EB"/>
    <w:rsid w:val="002F5655"/>
    <w:rsid w:val="002F589A"/>
    <w:rsid w:val="002F5FAA"/>
    <w:rsid w:val="002F610A"/>
    <w:rsid w:val="002F621D"/>
    <w:rsid w:val="002F62CC"/>
    <w:rsid w:val="002F65B6"/>
    <w:rsid w:val="002F6646"/>
    <w:rsid w:val="002F6AA0"/>
    <w:rsid w:val="002F6AAC"/>
    <w:rsid w:val="002F6B8D"/>
    <w:rsid w:val="002F6C7D"/>
    <w:rsid w:val="002F6CD3"/>
    <w:rsid w:val="002F6E20"/>
    <w:rsid w:val="002F6EF9"/>
    <w:rsid w:val="002F7296"/>
    <w:rsid w:val="002F7395"/>
    <w:rsid w:val="002F7501"/>
    <w:rsid w:val="002F7A63"/>
    <w:rsid w:val="002F7F06"/>
    <w:rsid w:val="0030026B"/>
    <w:rsid w:val="003007A2"/>
    <w:rsid w:val="00300DE0"/>
    <w:rsid w:val="00301281"/>
    <w:rsid w:val="0030151F"/>
    <w:rsid w:val="00301759"/>
    <w:rsid w:val="00301D2C"/>
    <w:rsid w:val="00302133"/>
    <w:rsid w:val="0030231B"/>
    <w:rsid w:val="00302721"/>
    <w:rsid w:val="00302A06"/>
    <w:rsid w:val="00302A63"/>
    <w:rsid w:val="00302ABB"/>
    <w:rsid w:val="00302C29"/>
    <w:rsid w:val="00302D11"/>
    <w:rsid w:val="00302D4C"/>
    <w:rsid w:val="00303031"/>
    <w:rsid w:val="003031A6"/>
    <w:rsid w:val="0030370C"/>
    <w:rsid w:val="00303718"/>
    <w:rsid w:val="00303926"/>
    <w:rsid w:val="00303A40"/>
    <w:rsid w:val="00303C07"/>
    <w:rsid w:val="00303E6F"/>
    <w:rsid w:val="00304358"/>
    <w:rsid w:val="00304420"/>
    <w:rsid w:val="00304668"/>
    <w:rsid w:val="003049A0"/>
    <w:rsid w:val="00304E99"/>
    <w:rsid w:val="00305277"/>
    <w:rsid w:val="0030542B"/>
    <w:rsid w:val="0030589D"/>
    <w:rsid w:val="00305920"/>
    <w:rsid w:val="003059D4"/>
    <w:rsid w:val="00305C58"/>
    <w:rsid w:val="00305F2F"/>
    <w:rsid w:val="00305F70"/>
    <w:rsid w:val="00305FF9"/>
    <w:rsid w:val="0030608F"/>
    <w:rsid w:val="003060AB"/>
    <w:rsid w:val="00306399"/>
    <w:rsid w:val="003064D1"/>
    <w:rsid w:val="00306509"/>
    <w:rsid w:val="003066BD"/>
    <w:rsid w:val="003069A4"/>
    <w:rsid w:val="00306BF0"/>
    <w:rsid w:val="00306C1E"/>
    <w:rsid w:val="00306D42"/>
    <w:rsid w:val="00306F3A"/>
    <w:rsid w:val="00307303"/>
    <w:rsid w:val="003074DA"/>
    <w:rsid w:val="003077C7"/>
    <w:rsid w:val="00307976"/>
    <w:rsid w:val="00307A2A"/>
    <w:rsid w:val="00307C68"/>
    <w:rsid w:val="00307F6C"/>
    <w:rsid w:val="0031070B"/>
    <w:rsid w:val="003107E9"/>
    <w:rsid w:val="003109CD"/>
    <w:rsid w:val="00310CBF"/>
    <w:rsid w:val="00310E8F"/>
    <w:rsid w:val="00310F85"/>
    <w:rsid w:val="003117CC"/>
    <w:rsid w:val="00311828"/>
    <w:rsid w:val="00312184"/>
    <w:rsid w:val="003122E2"/>
    <w:rsid w:val="00312411"/>
    <w:rsid w:val="00312619"/>
    <w:rsid w:val="00312925"/>
    <w:rsid w:val="00312A3C"/>
    <w:rsid w:val="00312DBB"/>
    <w:rsid w:val="00313226"/>
    <w:rsid w:val="00313546"/>
    <w:rsid w:val="003142A0"/>
    <w:rsid w:val="0031445A"/>
    <w:rsid w:val="00314531"/>
    <w:rsid w:val="00314CB5"/>
    <w:rsid w:val="003157B6"/>
    <w:rsid w:val="003157D8"/>
    <w:rsid w:val="0031587D"/>
    <w:rsid w:val="00315931"/>
    <w:rsid w:val="00315B53"/>
    <w:rsid w:val="00315D07"/>
    <w:rsid w:val="00315D2B"/>
    <w:rsid w:val="00315E8A"/>
    <w:rsid w:val="00315F58"/>
    <w:rsid w:val="003164B0"/>
    <w:rsid w:val="0031663B"/>
    <w:rsid w:val="0031669D"/>
    <w:rsid w:val="00316871"/>
    <w:rsid w:val="00316A3F"/>
    <w:rsid w:val="00316BB8"/>
    <w:rsid w:val="00316CFD"/>
    <w:rsid w:val="003171C5"/>
    <w:rsid w:val="00317389"/>
    <w:rsid w:val="003174A1"/>
    <w:rsid w:val="003174F2"/>
    <w:rsid w:val="003175D8"/>
    <w:rsid w:val="0031790E"/>
    <w:rsid w:val="003179F9"/>
    <w:rsid w:val="00317A57"/>
    <w:rsid w:val="00317D2E"/>
    <w:rsid w:val="00320296"/>
    <w:rsid w:val="0032033B"/>
    <w:rsid w:val="0032045C"/>
    <w:rsid w:val="0032067E"/>
    <w:rsid w:val="0032069D"/>
    <w:rsid w:val="00320928"/>
    <w:rsid w:val="0032093C"/>
    <w:rsid w:val="00320DD1"/>
    <w:rsid w:val="00320F1A"/>
    <w:rsid w:val="00321119"/>
    <w:rsid w:val="0032118D"/>
    <w:rsid w:val="00321191"/>
    <w:rsid w:val="003212E1"/>
    <w:rsid w:val="0032135B"/>
    <w:rsid w:val="003218CA"/>
    <w:rsid w:val="00321B13"/>
    <w:rsid w:val="00321EB6"/>
    <w:rsid w:val="00322241"/>
    <w:rsid w:val="003222AF"/>
    <w:rsid w:val="003222CB"/>
    <w:rsid w:val="0032273E"/>
    <w:rsid w:val="00322B9A"/>
    <w:rsid w:val="0032313D"/>
    <w:rsid w:val="00323577"/>
    <w:rsid w:val="00323DA0"/>
    <w:rsid w:val="003245DA"/>
    <w:rsid w:val="00324611"/>
    <w:rsid w:val="00324618"/>
    <w:rsid w:val="003247EA"/>
    <w:rsid w:val="0032499D"/>
    <w:rsid w:val="00324D7D"/>
    <w:rsid w:val="00324ECB"/>
    <w:rsid w:val="003259FC"/>
    <w:rsid w:val="00325CD3"/>
    <w:rsid w:val="00325D68"/>
    <w:rsid w:val="00325E10"/>
    <w:rsid w:val="00325E9F"/>
    <w:rsid w:val="0032616A"/>
    <w:rsid w:val="00326269"/>
    <w:rsid w:val="00326634"/>
    <w:rsid w:val="003266C6"/>
    <w:rsid w:val="00326760"/>
    <w:rsid w:val="00326836"/>
    <w:rsid w:val="00326881"/>
    <w:rsid w:val="00326990"/>
    <w:rsid w:val="00326B47"/>
    <w:rsid w:val="0032742E"/>
    <w:rsid w:val="003274F0"/>
    <w:rsid w:val="003274FD"/>
    <w:rsid w:val="00327727"/>
    <w:rsid w:val="00327AE9"/>
    <w:rsid w:val="00327C11"/>
    <w:rsid w:val="00327E0D"/>
    <w:rsid w:val="00327F60"/>
    <w:rsid w:val="003303C6"/>
    <w:rsid w:val="00330419"/>
    <w:rsid w:val="003307EA"/>
    <w:rsid w:val="00330C77"/>
    <w:rsid w:val="00330F36"/>
    <w:rsid w:val="00331048"/>
    <w:rsid w:val="0033110B"/>
    <w:rsid w:val="00331184"/>
    <w:rsid w:val="003314E2"/>
    <w:rsid w:val="00331DE1"/>
    <w:rsid w:val="00331E30"/>
    <w:rsid w:val="0033208F"/>
    <w:rsid w:val="0033222B"/>
    <w:rsid w:val="00332251"/>
    <w:rsid w:val="003322BA"/>
    <w:rsid w:val="003322F2"/>
    <w:rsid w:val="0033238A"/>
    <w:rsid w:val="003325B3"/>
    <w:rsid w:val="0033263A"/>
    <w:rsid w:val="003327B8"/>
    <w:rsid w:val="00332BF9"/>
    <w:rsid w:val="00332FE8"/>
    <w:rsid w:val="00333038"/>
    <w:rsid w:val="00333369"/>
    <w:rsid w:val="0033378C"/>
    <w:rsid w:val="00333B3D"/>
    <w:rsid w:val="00333BA3"/>
    <w:rsid w:val="00333F2F"/>
    <w:rsid w:val="00334478"/>
    <w:rsid w:val="003344F8"/>
    <w:rsid w:val="00334825"/>
    <w:rsid w:val="00334A8C"/>
    <w:rsid w:val="00334C9A"/>
    <w:rsid w:val="00334F6F"/>
    <w:rsid w:val="0033551B"/>
    <w:rsid w:val="003356B6"/>
    <w:rsid w:val="003359A5"/>
    <w:rsid w:val="00335A37"/>
    <w:rsid w:val="00335C2A"/>
    <w:rsid w:val="00335D80"/>
    <w:rsid w:val="00336036"/>
    <w:rsid w:val="00336154"/>
    <w:rsid w:val="0033637A"/>
    <w:rsid w:val="00336B21"/>
    <w:rsid w:val="00336BF2"/>
    <w:rsid w:val="00336D6C"/>
    <w:rsid w:val="00337784"/>
    <w:rsid w:val="003377C8"/>
    <w:rsid w:val="00337BDC"/>
    <w:rsid w:val="00337CA8"/>
    <w:rsid w:val="00337E31"/>
    <w:rsid w:val="00337F35"/>
    <w:rsid w:val="00337F46"/>
    <w:rsid w:val="0034018F"/>
    <w:rsid w:val="003405ED"/>
    <w:rsid w:val="00341654"/>
    <w:rsid w:val="00341C9C"/>
    <w:rsid w:val="00341F71"/>
    <w:rsid w:val="00342086"/>
    <w:rsid w:val="0034226D"/>
    <w:rsid w:val="003422DC"/>
    <w:rsid w:val="003424F9"/>
    <w:rsid w:val="0034270B"/>
    <w:rsid w:val="00342B73"/>
    <w:rsid w:val="00342C27"/>
    <w:rsid w:val="0034319F"/>
    <w:rsid w:val="00343688"/>
    <w:rsid w:val="0034390A"/>
    <w:rsid w:val="00343B86"/>
    <w:rsid w:val="00343E23"/>
    <w:rsid w:val="0034401F"/>
    <w:rsid w:val="00344222"/>
    <w:rsid w:val="00344585"/>
    <w:rsid w:val="00344706"/>
    <w:rsid w:val="00344CE8"/>
    <w:rsid w:val="00344DB1"/>
    <w:rsid w:val="003452E7"/>
    <w:rsid w:val="0034555B"/>
    <w:rsid w:val="00345D44"/>
    <w:rsid w:val="003460F2"/>
    <w:rsid w:val="003464E9"/>
    <w:rsid w:val="00346A03"/>
    <w:rsid w:val="00346D88"/>
    <w:rsid w:val="003471D3"/>
    <w:rsid w:val="003471D7"/>
    <w:rsid w:val="003472D3"/>
    <w:rsid w:val="0034750B"/>
    <w:rsid w:val="003479F6"/>
    <w:rsid w:val="00347A7A"/>
    <w:rsid w:val="00347D30"/>
    <w:rsid w:val="00347FCF"/>
    <w:rsid w:val="00350033"/>
    <w:rsid w:val="00350084"/>
    <w:rsid w:val="00350209"/>
    <w:rsid w:val="003502DA"/>
    <w:rsid w:val="00350339"/>
    <w:rsid w:val="00350429"/>
    <w:rsid w:val="00350599"/>
    <w:rsid w:val="00350DDD"/>
    <w:rsid w:val="0035103C"/>
    <w:rsid w:val="00351BB3"/>
    <w:rsid w:val="00351BE2"/>
    <w:rsid w:val="00351ED4"/>
    <w:rsid w:val="00351FFE"/>
    <w:rsid w:val="00352442"/>
    <w:rsid w:val="0035260D"/>
    <w:rsid w:val="00352873"/>
    <w:rsid w:val="003528A8"/>
    <w:rsid w:val="003529E4"/>
    <w:rsid w:val="00352B01"/>
    <w:rsid w:val="003530D6"/>
    <w:rsid w:val="00353309"/>
    <w:rsid w:val="00353436"/>
    <w:rsid w:val="003534A2"/>
    <w:rsid w:val="00353549"/>
    <w:rsid w:val="003535BC"/>
    <w:rsid w:val="0035396B"/>
    <w:rsid w:val="00353B97"/>
    <w:rsid w:val="00353D70"/>
    <w:rsid w:val="00353E36"/>
    <w:rsid w:val="00353E92"/>
    <w:rsid w:val="00353FDA"/>
    <w:rsid w:val="00354711"/>
    <w:rsid w:val="003547EA"/>
    <w:rsid w:val="00354B93"/>
    <w:rsid w:val="003556D8"/>
    <w:rsid w:val="0035577F"/>
    <w:rsid w:val="00355AAF"/>
    <w:rsid w:val="00355C29"/>
    <w:rsid w:val="00355CFD"/>
    <w:rsid w:val="003560FA"/>
    <w:rsid w:val="00356122"/>
    <w:rsid w:val="003561D5"/>
    <w:rsid w:val="0035643F"/>
    <w:rsid w:val="00356477"/>
    <w:rsid w:val="0035667D"/>
    <w:rsid w:val="00356911"/>
    <w:rsid w:val="0035698C"/>
    <w:rsid w:val="00356DD4"/>
    <w:rsid w:val="003570E6"/>
    <w:rsid w:val="0035713C"/>
    <w:rsid w:val="00357449"/>
    <w:rsid w:val="00357591"/>
    <w:rsid w:val="00357833"/>
    <w:rsid w:val="00357ECC"/>
    <w:rsid w:val="00357F38"/>
    <w:rsid w:val="003600E4"/>
    <w:rsid w:val="0036012D"/>
    <w:rsid w:val="00360B38"/>
    <w:rsid w:val="00360C7B"/>
    <w:rsid w:val="00360C95"/>
    <w:rsid w:val="00360CB3"/>
    <w:rsid w:val="00360DDD"/>
    <w:rsid w:val="0036127C"/>
    <w:rsid w:val="00361581"/>
    <w:rsid w:val="0036177A"/>
    <w:rsid w:val="00361804"/>
    <w:rsid w:val="003618C0"/>
    <w:rsid w:val="00361B93"/>
    <w:rsid w:val="00362170"/>
    <w:rsid w:val="00362232"/>
    <w:rsid w:val="00362513"/>
    <w:rsid w:val="003625A9"/>
    <w:rsid w:val="00362742"/>
    <w:rsid w:val="00362774"/>
    <w:rsid w:val="0036286C"/>
    <w:rsid w:val="003628C6"/>
    <w:rsid w:val="00362C41"/>
    <w:rsid w:val="00362E99"/>
    <w:rsid w:val="003632FC"/>
    <w:rsid w:val="00363626"/>
    <w:rsid w:val="003638A9"/>
    <w:rsid w:val="00363946"/>
    <w:rsid w:val="00363E7B"/>
    <w:rsid w:val="003642C2"/>
    <w:rsid w:val="003644B4"/>
    <w:rsid w:val="003644DF"/>
    <w:rsid w:val="0036459C"/>
    <w:rsid w:val="003645EB"/>
    <w:rsid w:val="00364616"/>
    <w:rsid w:val="00364921"/>
    <w:rsid w:val="00364A04"/>
    <w:rsid w:val="00364B02"/>
    <w:rsid w:val="00364B60"/>
    <w:rsid w:val="00364B75"/>
    <w:rsid w:val="00364E0F"/>
    <w:rsid w:val="00365251"/>
    <w:rsid w:val="0036534B"/>
    <w:rsid w:val="003654DB"/>
    <w:rsid w:val="00365882"/>
    <w:rsid w:val="00365C89"/>
    <w:rsid w:val="003663D2"/>
    <w:rsid w:val="00366417"/>
    <w:rsid w:val="003666F0"/>
    <w:rsid w:val="0036680E"/>
    <w:rsid w:val="00366965"/>
    <w:rsid w:val="00366A49"/>
    <w:rsid w:val="00366B64"/>
    <w:rsid w:val="00366D78"/>
    <w:rsid w:val="00366E41"/>
    <w:rsid w:val="00367139"/>
    <w:rsid w:val="00367A91"/>
    <w:rsid w:val="00367AE5"/>
    <w:rsid w:val="00367EAB"/>
    <w:rsid w:val="00367EF1"/>
    <w:rsid w:val="00367FD5"/>
    <w:rsid w:val="00370055"/>
    <w:rsid w:val="003700C3"/>
    <w:rsid w:val="00370274"/>
    <w:rsid w:val="0037064C"/>
    <w:rsid w:val="0037068D"/>
    <w:rsid w:val="00371164"/>
    <w:rsid w:val="0037147A"/>
    <w:rsid w:val="003723CB"/>
    <w:rsid w:val="0037248D"/>
    <w:rsid w:val="003726AE"/>
    <w:rsid w:val="00372D48"/>
    <w:rsid w:val="00372D73"/>
    <w:rsid w:val="00372DD2"/>
    <w:rsid w:val="00373300"/>
    <w:rsid w:val="0037334E"/>
    <w:rsid w:val="003738E1"/>
    <w:rsid w:val="00373B20"/>
    <w:rsid w:val="00374104"/>
    <w:rsid w:val="00374325"/>
    <w:rsid w:val="0037477A"/>
    <w:rsid w:val="0037490C"/>
    <w:rsid w:val="00374A7E"/>
    <w:rsid w:val="00374BA7"/>
    <w:rsid w:val="003750D6"/>
    <w:rsid w:val="00375123"/>
    <w:rsid w:val="003752DF"/>
    <w:rsid w:val="00375357"/>
    <w:rsid w:val="003757F3"/>
    <w:rsid w:val="00375D81"/>
    <w:rsid w:val="00375E42"/>
    <w:rsid w:val="00376275"/>
    <w:rsid w:val="003766D9"/>
    <w:rsid w:val="0037681A"/>
    <w:rsid w:val="003768FF"/>
    <w:rsid w:val="00376955"/>
    <w:rsid w:val="00376AD7"/>
    <w:rsid w:val="00376D69"/>
    <w:rsid w:val="00376F66"/>
    <w:rsid w:val="003774F6"/>
    <w:rsid w:val="00377780"/>
    <w:rsid w:val="0037778A"/>
    <w:rsid w:val="00377ADC"/>
    <w:rsid w:val="00377C22"/>
    <w:rsid w:val="003800B6"/>
    <w:rsid w:val="003800BC"/>
    <w:rsid w:val="003804C8"/>
    <w:rsid w:val="003804DD"/>
    <w:rsid w:val="00380C5F"/>
    <w:rsid w:val="00380C93"/>
    <w:rsid w:val="00380DC0"/>
    <w:rsid w:val="00380EBA"/>
    <w:rsid w:val="00380FDA"/>
    <w:rsid w:val="00381089"/>
    <w:rsid w:val="003810BE"/>
    <w:rsid w:val="00381121"/>
    <w:rsid w:val="00381202"/>
    <w:rsid w:val="00381461"/>
    <w:rsid w:val="00381508"/>
    <w:rsid w:val="003815C9"/>
    <w:rsid w:val="0038180A"/>
    <w:rsid w:val="003818DB"/>
    <w:rsid w:val="00381A42"/>
    <w:rsid w:val="00381CA3"/>
    <w:rsid w:val="00381E88"/>
    <w:rsid w:val="00382013"/>
    <w:rsid w:val="00382152"/>
    <w:rsid w:val="00382936"/>
    <w:rsid w:val="00383062"/>
    <w:rsid w:val="00383749"/>
    <w:rsid w:val="00384D27"/>
    <w:rsid w:val="0038507F"/>
    <w:rsid w:val="003851D8"/>
    <w:rsid w:val="00385239"/>
    <w:rsid w:val="003856F6"/>
    <w:rsid w:val="0038592F"/>
    <w:rsid w:val="0038597B"/>
    <w:rsid w:val="00385CAE"/>
    <w:rsid w:val="00385DBA"/>
    <w:rsid w:val="00385E56"/>
    <w:rsid w:val="00385F3E"/>
    <w:rsid w:val="00385F7C"/>
    <w:rsid w:val="0038618D"/>
    <w:rsid w:val="00386333"/>
    <w:rsid w:val="00386585"/>
    <w:rsid w:val="003869B9"/>
    <w:rsid w:val="003869BE"/>
    <w:rsid w:val="00386A37"/>
    <w:rsid w:val="00386A9A"/>
    <w:rsid w:val="00386D99"/>
    <w:rsid w:val="003878AB"/>
    <w:rsid w:val="003879D8"/>
    <w:rsid w:val="00387B0D"/>
    <w:rsid w:val="00387E13"/>
    <w:rsid w:val="00390667"/>
    <w:rsid w:val="003908A4"/>
    <w:rsid w:val="003908F0"/>
    <w:rsid w:val="00390DE4"/>
    <w:rsid w:val="00391DBE"/>
    <w:rsid w:val="003921D6"/>
    <w:rsid w:val="0039243A"/>
    <w:rsid w:val="003924D9"/>
    <w:rsid w:val="003924E1"/>
    <w:rsid w:val="00392CCE"/>
    <w:rsid w:val="0039300A"/>
    <w:rsid w:val="0039334E"/>
    <w:rsid w:val="003933BB"/>
    <w:rsid w:val="003934F6"/>
    <w:rsid w:val="003937B4"/>
    <w:rsid w:val="00393825"/>
    <w:rsid w:val="00393A38"/>
    <w:rsid w:val="00393A5D"/>
    <w:rsid w:val="0039406E"/>
    <w:rsid w:val="0039408E"/>
    <w:rsid w:val="00394677"/>
    <w:rsid w:val="00394A5B"/>
    <w:rsid w:val="00394BBF"/>
    <w:rsid w:val="00394ED6"/>
    <w:rsid w:val="00394FAB"/>
    <w:rsid w:val="00394FCD"/>
    <w:rsid w:val="0039510F"/>
    <w:rsid w:val="003952D6"/>
    <w:rsid w:val="0039537C"/>
    <w:rsid w:val="003954C9"/>
    <w:rsid w:val="00395581"/>
    <w:rsid w:val="00395864"/>
    <w:rsid w:val="00395C56"/>
    <w:rsid w:val="00395F59"/>
    <w:rsid w:val="0039639C"/>
    <w:rsid w:val="003963FB"/>
    <w:rsid w:val="00396433"/>
    <w:rsid w:val="00396450"/>
    <w:rsid w:val="0039687E"/>
    <w:rsid w:val="00396A61"/>
    <w:rsid w:val="00396BC4"/>
    <w:rsid w:val="00396EB7"/>
    <w:rsid w:val="003972BB"/>
    <w:rsid w:val="0039741F"/>
    <w:rsid w:val="00397789"/>
    <w:rsid w:val="0039779B"/>
    <w:rsid w:val="003977AF"/>
    <w:rsid w:val="0039789F"/>
    <w:rsid w:val="00397923"/>
    <w:rsid w:val="00397AE3"/>
    <w:rsid w:val="00397AF1"/>
    <w:rsid w:val="00397BDD"/>
    <w:rsid w:val="00397C0D"/>
    <w:rsid w:val="00397DCA"/>
    <w:rsid w:val="00397DDE"/>
    <w:rsid w:val="003A0277"/>
    <w:rsid w:val="003A07F5"/>
    <w:rsid w:val="003A08A5"/>
    <w:rsid w:val="003A0927"/>
    <w:rsid w:val="003A0CF3"/>
    <w:rsid w:val="003A0EB5"/>
    <w:rsid w:val="003A0F55"/>
    <w:rsid w:val="003A1271"/>
    <w:rsid w:val="003A16B3"/>
    <w:rsid w:val="003A1702"/>
    <w:rsid w:val="003A187F"/>
    <w:rsid w:val="003A1EEF"/>
    <w:rsid w:val="003A1FB2"/>
    <w:rsid w:val="003A2761"/>
    <w:rsid w:val="003A27AE"/>
    <w:rsid w:val="003A2B8F"/>
    <w:rsid w:val="003A2BBE"/>
    <w:rsid w:val="003A2ED1"/>
    <w:rsid w:val="003A2EE5"/>
    <w:rsid w:val="003A2F53"/>
    <w:rsid w:val="003A331B"/>
    <w:rsid w:val="003A376D"/>
    <w:rsid w:val="003A3955"/>
    <w:rsid w:val="003A3A2A"/>
    <w:rsid w:val="003A3C34"/>
    <w:rsid w:val="003A3D9C"/>
    <w:rsid w:val="003A3DCC"/>
    <w:rsid w:val="003A3F1F"/>
    <w:rsid w:val="003A4176"/>
    <w:rsid w:val="003A4212"/>
    <w:rsid w:val="003A47F3"/>
    <w:rsid w:val="003A492A"/>
    <w:rsid w:val="003A4CBE"/>
    <w:rsid w:val="003A4DD2"/>
    <w:rsid w:val="003A4E08"/>
    <w:rsid w:val="003A4E13"/>
    <w:rsid w:val="003A5713"/>
    <w:rsid w:val="003A57E6"/>
    <w:rsid w:val="003A5D2F"/>
    <w:rsid w:val="003A5F52"/>
    <w:rsid w:val="003A6A15"/>
    <w:rsid w:val="003A6CE3"/>
    <w:rsid w:val="003A6D10"/>
    <w:rsid w:val="003A6DBD"/>
    <w:rsid w:val="003A707B"/>
    <w:rsid w:val="003A7083"/>
    <w:rsid w:val="003A70DA"/>
    <w:rsid w:val="003A77E1"/>
    <w:rsid w:val="003A7ADC"/>
    <w:rsid w:val="003A7CA5"/>
    <w:rsid w:val="003B028E"/>
    <w:rsid w:val="003B0487"/>
    <w:rsid w:val="003B0970"/>
    <w:rsid w:val="003B0CB8"/>
    <w:rsid w:val="003B22CD"/>
    <w:rsid w:val="003B24B4"/>
    <w:rsid w:val="003B27E2"/>
    <w:rsid w:val="003B2B05"/>
    <w:rsid w:val="003B2E02"/>
    <w:rsid w:val="003B2EAD"/>
    <w:rsid w:val="003B2F91"/>
    <w:rsid w:val="003B3156"/>
    <w:rsid w:val="003B32DB"/>
    <w:rsid w:val="003B3555"/>
    <w:rsid w:val="003B38AF"/>
    <w:rsid w:val="003B38D8"/>
    <w:rsid w:val="003B3A8B"/>
    <w:rsid w:val="003B3B44"/>
    <w:rsid w:val="003B3D05"/>
    <w:rsid w:val="003B3D42"/>
    <w:rsid w:val="003B3FC9"/>
    <w:rsid w:val="003B401C"/>
    <w:rsid w:val="003B415F"/>
    <w:rsid w:val="003B4A40"/>
    <w:rsid w:val="003B4E59"/>
    <w:rsid w:val="003B5186"/>
    <w:rsid w:val="003B5282"/>
    <w:rsid w:val="003B5308"/>
    <w:rsid w:val="003B558D"/>
    <w:rsid w:val="003B55C2"/>
    <w:rsid w:val="003B55F9"/>
    <w:rsid w:val="003B56E9"/>
    <w:rsid w:val="003B5905"/>
    <w:rsid w:val="003B620B"/>
    <w:rsid w:val="003B62C0"/>
    <w:rsid w:val="003B688A"/>
    <w:rsid w:val="003B6DE9"/>
    <w:rsid w:val="003B77EE"/>
    <w:rsid w:val="003B7873"/>
    <w:rsid w:val="003B7923"/>
    <w:rsid w:val="003B7A1B"/>
    <w:rsid w:val="003B7B82"/>
    <w:rsid w:val="003B7B87"/>
    <w:rsid w:val="003B7C12"/>
    <w:rsid w:val="003B7F47"/>
    <w:rsid w:val="003B7FFC"/>
    <w:rsid w:val="003C014F"/>
    <w:rsid w:val="003C0194"/>
    <w:rsid w:val="003C09CB"/>
    <w:rsid w:val="003C0CDD"/>
    <w:rsid w:val="003C14BC"/>
    <w:rsid w:val="003C17A0"/>
    <w:rsid w:val="003C1958"/>
    <w:rsid w:val="003C1AE5"/>
    <w:rsid w:val="003C205D"/>
    <w:rsid w:val="003C20BC"/>
    <w:rsid w:val="003C2144"/>
    <w:rsid w:val="003C2154"/>
    <w:rsid w:val="003C2500"/>
    <w:rsid w:val="003C25C4"/>
    <w:rsid w:val="003C266C"/>
    <w:rsid w:val="003C26A7"/>
    <w:rsid w:val="003C27AA"/>
    <w:rsid w:val="003C2EFB"/>
    <w:rsid w:val="003C34E0"/>
    <w:rsid w:val="003C3610"/>
    <w:rsid w:val="003C3B42"/>
    <w:rsid w:val="003C3D44"/>
    <w:rsid w:val="003C3E13"/>
    <w:rsid w:val="003C3F5D"/>
    <w:rsid w:val="003C3FEC"/>
    <w:rsid w:val="003C44AF"/>
    <w:rsid w:val="003C48B6"/>
    <w:rsid w:val="003C48B9"/>
    <w:rsid w:val="003C4A2B"/>
    <w:rsid w:val="003C4CE0"/>
    <w:rsid w:val="003C4CE9"/>
    <w:rsid w:val="003C4E33"/>
    <w:rsid w:val="003C4E85"/>
    <w:rsid w:val="003C5041"/>
    <w:rsid w:val="003C556C"/>
    <w:rsid w:val="003C57E3"/>
    <w:rsid w:val="003C5B2D"/>
    <w:rsid w:val="003C5D33"/>
    <w:rsid w:val="003C5D6F"/>
    <w:rsid w:val="003C5E1B"/>
    <w:rsid w:val="003C6132"/>
    <w:rsid w:val="003C68AC"/>
    <w:rsid w:val="003C68D0"/>
    <w:rsid w:val="003C6927"/>
    <w:rsid w:val="003C6B43"/>
    <w:rsid w:val="003C6BCE"/>
    <w:rsid w:val="003C6CC1"/>
    <w:rsid w:val="003C6DDB"/>
    <w:rsid w:val="003C711C"/>
    <w:rsid w:val="003C7356"/>
    <w:rsid w:val="003C73A4"/>
    <w:rsid w:val="003C73E6"/>
    <w:rsid w:val="003C74F6"/>
    <w:rsid w:val="003C789C"/>
    <w:rsid w:val="003C7BE8"/>
    <w:rsid w:val="003C7DF1"/>
    <w:rsid w:val="003C7E47"/>
    <w:rsid w:val="003C7FBC"/>
    <w:rsid w:val="003D0003"/>
    <w:rsid w:val="003D0076"/>
    <w:rsid w:val="003D00AA"/>
    <w:rsid w:val="003D04C5"/>
    <w:rsid w:val="003D0549"/>
    <w:rsid w:val="003D080B"/>
    <w:rsid w:val="003D0813"/>
    <w:rsid w:val="003D0BCB"/>
    <w:rsid w:val="003D0D08"/>
    <w:rsid w:val="003D129B"/>
    <w:rsid w:val="003D1534"/>
    <w:rsid w:val="003D1896"/>
    <w:rsid w:val="003D1BC6"/>
    <w:rsid w:val="003D1DD7"/>
    <w:rsid w:val="003D25B4"/>
    <w:rsid w:val="003D2D92"/>
    <w:rsid w:val="003D2F51"/>
    <w:rsid w:val="003D3082"/>
    <w:rsid w:val="003D3252"/>
    <w:rsid w:val="003D3332"/>
    <w:rsid w:val="003D3468"/>
    <w:rsid w:val="003D347B"/>
    <w:rsid w:val="003D3646"/>
    <w:rsid w:val="003D3661"/>
    <w:rsid w:val="003D3718"/>
    <w:rsid w:val="003D3732"/>
    <w:rsid w:val="003D3892"/>
    <w:rsid w:val="003D38EC"/>
    <w:rsid w:val="003D3B1E"/>
    <w:rsid w:val="003D3BE6"/>
    <w:rsid w:val="003D3C59"/>
    <w:rsid w:val="003D3D67"/>
    <w:rsid w:val="003D3E73"/>
    <w:rsid w:val="003D3FB4"/>
    <w:rsid w:val="003D411F"/>
    <w:rsid w:val="003D4752"/>
    <w:rsid w:val="003D47FA"/>
    <w:rsid w:val="003D487E"/>
    <w:rsid w:val="003D4AAC"/>
    <w:rsid w:val="003D4CE6"/>
    <w:rsid w:val="003D4E4C"/>
    <w:rsid w:val="003D5072"/>
    <w:rsid w:val="003D50A4"/>
    <w:rsid w:val="003D512D"/>
    <w:rsid w:val="003D5300"/>
    <w:rsid w:val="003D5349"/>
    <w:rsid w:val="003D5373"/>
    <w:rsid w:val="003D544C"/>
    <w:rsid w:val="003D5505"/>
    <w:rsid w:val="003D588D"/>
    <w:rsid w:val="003D58D1"/>
    <w:rsid w:val="003D6300"/>
    <w:rsid w:val="003D636C"/>
    <w:rsid w:val="003D64B0"/>
    <w:rsid w:val="003D6525"/>
    <w:rsid w:val="003D67BE"/>
    <w:rsid w:val="003D6823"/>
    <w:rsid w:val="003D7257"/>
    <w:rsid w:val="003D73EC"/>
    <w:rsid w:val="003D75CC"/>
    <w:rsid w:val="003D78EB"/>
    <w:rsid w:val="003D7ACD"/>
    <w:rsid w:val="003D7C39"/>
    <w:rsid w:val="003D7FE5"/>
    <w:rsid w:val="003E0010"/>
    <w:rsid w:val="003E08F6"/>
    <w:rsid w:val="003E0994"/>
    <w:rsid w:val="003E121B"/>
    <w:rsid w:val="003E14AC"/>
    <w:rsid w:val="003E1DAD"/>
    <w:rsid w:val="003E21F1"/>
    <w:rsid w:val="003E2789"/>
    <w:rsid w:val="003E2CC4"/>
    <w:rsid w:val="003E2E31"/>
    <w:rsid w:val="003E3266"/>
    <w:rsid w:val="003E3514"/>
    <w:rsid w:val="003E3563"/>
    <w:rsid w:val="003E3680"/>
    <w:rsid w:val="003E3A6A"/>
    <w:rsid w:val="003E3A6D"/>
    <w:rsid w:val="003E3EBD"/>
    <w:rsid w:val="003E3FF4"/>
    <w:rsid w:val="003E402C"/>
    <w:rsid w:val="003E40AB"/>
    <w:rsid w:val="003E41E8"/>
    <w:rsid w:val="003E4279"/>
    <w:rsid w:val="003E4593"/>
    <w:rsid w:val="003E478D"/>
    <w:rsid w:val="003E4A8B"/>
    <w:rsid w:val="003E5743"/>
    <w:rsid w:val="003E579D"/>
    <w:rsid w:val="003E59C6"/>
    <w:rsid w:val="003E5AC8"/>
    <w:rsid w:val="003E5EEC"/>
    <w:rsid w:val="003E6198"/>
    <w:rsid w:val="003E62CC"/>
    <w:rsid w:val="003E62EB"/>
    <w:rsid w:val="003E6326"/>
    <w:rsid w:val="003E6332"/>
    <w:rsid w:val="003E6EC2"/>
    <w:rsid w:val="003E7025"/>
    <w:rsid w:val="003E7477"/>
    <w:rsid w:val="003E785C"/>
    <w:rsid w:val="003E78A6"/>
    <w:rsid w:val="003E7BA0"/>
    <w:rsid w:val="003F00EB"/>
    <w:rsid w:val="003F017F"/>
    <w:rsid w:val="003F0487"/>
    <w:rsid w:val="003F04A9"/>
    <w:rsid w:val="003F0909"/>
    <w:rsid w:val="003F0987"/>
    <w:rsid w:val="003F0DFC"/>
    <w:rsid w:val="003F1077"/>
    <w:rsid w:val="003F10AE"/>
    <w:rsid w:val="003F1333"/>
    <w:rsid w:val="003F134B"/>
    <w:rsid w:val="003F16C2"/>
    <w:rsid w:val="003F1C0B"/>
    <w:rsid w:val="003F1D60"/>
    <w:rsid w:val="003F1D65"/>
    <w:rsid w:val="003F1DC3"/>
    <w:rsid w:val="003F205E"/>
    <w:rsid w:val="003F2542"/>
    <w:rsid w:val="003F25F3"/>
    <w:rsid w:val="003F2961"/>
    <w:rsid w:val="003F31B9"/>
    <w:rsid w:val="003F31E8"/>
    <w:rsid w:val="003F3A56"/>
    <w:rsid w:val="003F3EC2"/>
    <w:rsid w:val="003F416C"/>
    <w:rsid w:val="003F45DA"/>
    <w:rsid w:val="003F46C8"/>
    <w:rsid w:val="003F4B65"/>
    <w:rsid w:val="003F4C0A"/>
    <w:rsid w:val="003F5106"/>
    <w:rsid w:val="003F54C1"/>
    <w:rsid w:val="003F5986"/>
    <w:rsid w:val="003F59DE"/>
    <w:rsid w:val="003F5A9B"/>
    <w:rsid w:val="003F5BAE"/>
    <w:rsid w:val="003F5EDA"/>
    <w:rsid w:val="003F6370"/>
    <w:rsid w:val="003F681A"/>
    <w:rsid w:val="003F6F28"/>
    <w:rsid w:val="003F74A3"/>
    <w:rsid w:val="003F7BA7"/>
    <w:rsid w:val="003F7E3A"/>
    <w:rsid w:val="00400291"/>
    <w:rsid w:val="00400AF1"/>
    <w:rsid w:val="00400C9D"/>
    <w:rsid w:val="00400EAF"/>
    <w:rsid w:val="00401083"/>
    <w:rsid w:val="0040121A"/>
    <w:rsid w:val="00401634"/>
    <w:rsid w:val="004018E0"/>
    <w:rsid w:val="00401997"/>
    <w:rsid w:val="00401E97"/>
    <w:rsid w:val="00401EB2"/>
    <w:rsid w:val="00401FFA"/>
    <w:rsid w:val="004026C3"/>
    <w:rsid w:val="00402F85"/>
    <w:rsid w:val="0040304B"/>
    <w:rsid w:val="004031B7"/>
    <w:rsid w:val="004031D8"/>
    <w:rsid w:val="0040358E"/>
    <w:rsid w:val="00403AF0"/>
    <w:rsid w:val="00403BD6"/>
    <w:rsid w:val="00403D5C"/>
    <w:rsid w:val="00403E13"/>
    <w:rsid w:val="004043EA"/>
    <w:rsid w:val="004045E5"/>
    <w:rsid w:val="0040482B"/>
    <w:rsid w:val="00404DF0"/>
    <w:rsid w:val="00404F16"/>
    <w:rsid w:val="004050D5"/>
    <w:rsid w:val="00405185"/>
    <w:rsid w:val="0040548F"/>
    <w:rsid w:val="00405497"/>
    <w:rsid w:val="00405539"/>
    <w:rsid w:val="004057A0"/>
    <w:rsid w:val="00405A93"/>
    <w:rsid w:val="00405C57"/>
    <w:rsid w:val="00405FD7"/>
    <w:rsid w:val="0040610F"/>
    <w:rsid w:val="0040675D"/>
    <w:rsid w:val="00406B02"/>
    <w:rsid w:val="00406B77"/>
    <w:rsid w:val="00406DD7"/>
    <w:rsid w:val="00406F7C"/>
    <w:rsid w:val="0040720E"/>
    <w:rsid w:val="0040791B"/>
    <w:rsid w:val="00407A5A"/>
    <w:rsid w:val="00407BEA"/>
    <w:rsid w:val="004103A3"/>
    <w:rsid w:val="004103F2"/>
    <w:rsid w:val="00410941"/>
    <w:rsid w:val="0041098C"/>
    <w:rsid w:val="00410AE9"/>
    <w:rsid w:val="00410B6B"/>
    <w:rsid w:val="00410CAE"/>
    <w:rsid w:val="00411C66"/>
    <w:rsid w:val="00411EDA"/>
    <w:rsid w:val="00412099"/>
    <w:rsid w:val="00412507"/>
    <w:rsid w:val="0041267A"/>
    <w:rsid w:val="0041274F"/>
    <w:rsid w:val="00412A8A"/>
    <w:rsid w:val="00412D04"/>
    <w:rsid w:val="00412EEF"/>
    <w:rsid w:val="00412F5E"/>
    <w:rsid w:val="00413272"/>
    <w:rsid w:val="004133E2"/>
    <w:rsid w:val="004135FF"/>
    <w:rsid w:val="0041384A"/>
    <w:rsid w:val="00413938"/>
    <w:rsid w:val="0041399E"/>
    <w:rsid w:val="00413AC0"/>
    <w:rsid w:val="00413C5C"/>
    <w:rsid w:val="00413DD8"/>
    <w:rsid w:val="004143F2"/>
    <w:rsid w:val="00414AD5"/>
    <w:rsid w:val="00414CC5"/>
    <w:rsid w:val="00414D57"/>
    <w:rsid w:val="00414DDF"/>
    <w:rsid w:val="004154B5"/>
    <w:rsid w:val="004154BC"/>
    <w:rsid w:val="00415511"/>
    <w:rsid w:val="00415583"/>
    <w:rsid w:val="004155BA"/>
    <w:rsid w:val="00415616"/>
    <w:rsid w:val="00415A1A"/>
    <w:rsid w:val="00415B25"/>
    <w:rsid w:val="00415F5D"/>
    <w:rsid w:val="00415F7E"/>
    <w:rsid w:val="00415F85"/>
    <w:rsid w:val="0041608C"/>
    <w:rsid w:val="00416209"/>
    <w:rsid w:val="0041636C"/>
    <w:rsid w:val="004163A0"/>
    <w:rsid w:val="0041659C"/>
    <w:rsid w:val="00416A85"/>
    <w:rsid w:val="00416AE4"/>
    <w:rsid w:val="00416C8B"/>
    <w:rsid w:val="00416CF7"/>
    <w:rsid w:val="00416E0F"/>
    <w:rsid w:val="00416FD7"/>
    <w:rsid w:val="004171EA"/>
    <w:rsid w:val="0041785F"/>
    <w:rsid w:val="00417C7D"/>
    <w:rsid w:val="00417DA7"/>
    <w:rsid w:val="00420375"/>
    <w:rsid w:val="00420755"/>
    <w:rsid w:val="004209EB"/>
    <w:rsid w:val="00420AAD"/>
    <w:rsid w:val="00420B19"/>
    <w:rsid w:val="00420BCA"/>
    <w:rsid w:val="00420FAF"/>
    <w:rsid w:val="004219CF"/>
    <w:rsid w:val="00421CC1"/>
    <w:rsid w:val="00421CF7"/>
    <w:rsid w:val="00421D62"/>
    <w:rsid w:val="00421DB0"/>
    <w:rsid w:val="00421F8F"/>
    <w:rsid w:val="00422487"/>
    <w:rsid w:val="004226B4"/>
    <w:rsid w:val="00422725"/>
    <w:rsid w:val="00422A61"/>
    <w:rsid w:val="00422D78"/>
    <w:rsid w:val="004232B3"/>
    <w:rsid w:val="00423414"/>
    <w:rsid w:val="00423893"/>
    <w:rsid w:val="00423BCD"/>
    <w:rsid w:val="00423BEF"/>
    <w:rsid w:val="004240BC"/>
    <w:rsid w:val="004242AA"/>
    <w:rsid w:val="0042433F"/>
    <w:rsid w:val="004244E7"/>
    <w:rsid w:val="0042450E"/>
    <w:rsid w:val="00424835"/>
    <w:rsid w:val="004250C6"/>
    <w:rsid w:val="00425138"/>
    <w:rsid w:val="004258DA"/>
    <w:rsid w:val="00425A3F"/>
    <w:rsid w:val="00425A4D"/>
    <w:rsid w:val="00425C70"/>
    <w:rsid w:val="00426881"/>
    <w:rsid w:val="00426957"/>
    <w:rsid w:val="00426A09"/>
    <w:rsid w:val="00426DA1"/>
    <w:rsid w:val="00426F63"/>
    <w:rsid w:val="00427676"/>
    <w:rsid w:val="0042769D"/>
    <w:rsid w:val="00427725"/>
    <w:rsid w:val="004277D0"/>
    <w:rsid w:val="00427A77"/>
    <w:rsid w:val="00427AB6"/>
    <w:rsid w:val="00427B10"/>
    <w:rsid w:val="00427C47"/>
    <w:rsid w:val="00427F04"/>
    <w:rsid w:val="00427F5C"/>
    <w:rsid w:val="004301E1"/>
    <w:rsid w:val="00430308"/>
    <w:rsid w:val="00430402"/>
    <w:rsid w:val="004308C9"/>
    <w:rsid w:val="00430AF3"/>
    <w:rsid w:val="00430B39"/>
    <w:rsid w:val="00430C05"/>
    <w:rsid w:val="00430EC6"/>
    <w:rsid w:val="00431128"/>
    <w:rsid w:val="00431364"/>
    <w:rsid w:val="0043154C"/>
    <w:rsid w:val="0043160D"/>
    <w:rsid w:val="00431DC9"/>
    <w:rsid w:val="004324B8"/>
    <w:rsid w:val="0043262C"/>
    <w:rsid w:val="00432762"/>
    <w:rsid w:val="004328BE"/>
    <w:rsid w:val="004328D3"/>
    <w:rsid w:val="00432A7D"/>
    <w:rsid w:val="004335AB"/>
    <w:rsid w:val="004338F6"/>
    <w:rsid w:val="00433E63"/>
    <w:rsid w:val="004340EC"/>
    <w:rsid w:val="004341DA"/>
    <w:rsid w:val="00434567"/>
    <w:rsid w:val="00434876"/>
    <w:rsid w:val="0043488B"/>
    <w:rsid w:val="00434D9A"/>
    <w:rsid w:val="00434F02"/>
    <w:rsid w:val="00435144"/>
    <w:rsid w:val="004355BC"/>
    <w:rsid w:val="00435920"/>
    <w:rsid w:val="00435E7D"/>
    <w:rsid w:val="004362B5"/>
    <w:rsid w:val="00436954"/>
    <w:rsid w:val="00436E5A"/>
    <w:rsid w:val="004371EC"/>
    <w:rsid w:val="00437203"/>
    <w:rsid w:val="00437272"/>
    <w:rsid w:val="004373A7"/>
    <w:rsid w:val="00437534"/>
    <w:rsid w:val="00437EDC"/>
    <w:rsid w:val="00440005"/>
    <w:rsid w:val="0044059F"/>
    <w:rsid w:val="004406B3"/>
    <w:rsid w:val="0044078E"/>
    <w:rsid w:val="00440ECA"/>
    <w:rsid w:val="00440F62"/>
    <w:rsid w:val="00441131"/>
    <w:rsid w:val="0044133C"/>
    <w:rsid w:val="004413A3"/>
    <w:rsid w:val="004415F7"/>
    <w:rsid w:val="004416F8"/>
    <w:rsid w:val="004419AB"/>
    <w:rsid w:val="00441EE5"/>
    <w:rsid w:val="00442040"/>
    <w:rsid w:val="004422BC"/>
    <w:rsid w:val="00442F07"/>
    <w:rsid w:val="004434DC"/>
    <w:rsid w:val="0044378B"/>
    <w:rsid w:val="00443A0B"/>
    <w:rsid w:val="00443F87"/>
    <w:rsid w:val="00444176"/>
    <w:rsid w:val="00444201"/>
    <w:rsid w:val="00444227"/>
    <w:rsid w:val="0044436E"/>
    <w:rsid w:val="004443B5"/>
    <w:rsid w:val="0044465D"/>
    <w:rsid w:val="00444872"/>
    <w:rsid w:val="00444954"/>
    <w:rsid w:val="004449C4"/>
    <w:rsid w:val="0044516C"/>
    <w:rsid w:val="00445275"/>
    <w:rsid w:val="0044537E"/>
    <w:rsid w:val="0044552A"/>
    <w:rsid w:val="00445BCB"/>
    <w:rsid w:val="00446513"/>
    <w:rsid w:val="00446700"/>
    <w:rsid w:val="00446724"/>
    <w:rsid w:val="004469D4"/>
    <w:rsid w:val="00446F32"/>
    <w:rsid w:val="00446F60"/>
    <w:rsid w:val="00447283"/>
    <w:rsid w:val="004475F8"/>
    <w:rsid w:val="00447816"/>
    <w:rsid w:val="00447BDE"/>
    <w:rsid w:val="00447C46"/>
    <w:rsid w:val="00447D7E"/>
    <w:rsid w:val="00447F2E"/>
    <w:rsid w:val="00450023"/>
    <w:rsid w:val="0045011D"/>
    <w:rsid w:val="004502AC"/>
    <w:rsid w:val="004502BE"/>
    <w:rsid w:val="0045035F"/>
    <w:rsid w:val="00450577"/>
    <w:rsid w:val="0045068F"/>
    <w:rsid w:val="0045074B"/>
    <w:rsid w:val="004507E9"/>
    <w:rsid w:val="00450871"/>
    <w:rsid w:val="00450900"/>
    <w:rsid w:val="00450B15"/>
    <w:rsid w:val="00450B5B"/>
    <w:rsid w:val="0045132B"/>
    <w:rsid w:val="004515AD"/>
    <w:rsid w:val="0045163E"/>
    <w:rsid w:val="0045194F"/>
    <w:rsid w:val="004519C0"/>
    <w:rsid w:val="00452006"/>
    <w:rsid w:val="0045226D"/>
    <w:rsid w:val="004523DA"/>
    <w:rsid w:val="004527FB"/>
    <w:rsid w:val="004528A0"/>
    <w:rsid w:val="0045299B"/>
    <w:rsid w:val="00452AC5"/>
    <w:rsid w:val="00452C2A"/>
    <w:rsid w:val="00452D01"/>
    <w:rsid w:val="00452EDE"/>
    <w:rsid w:val="004535BC"/>
    <w:rsid w:val="00453664"/>
    <w:rsid w:val="00453703"/>
    <w:rsid w:val="004538D2"/>
    <w:rsid w:val="004538DB"/>
    <w:rsid w:val="00453948"/>
    <w:rsid w:val="004539EA"/>
    <w:rsid w:val="00453A8A"/>
    <w:rsid w:val="00453C56"/>
    <w:rsid w:val="00453D1A"/>
    <w:rsid w:val="00453FC8"/>
    <w:rsid w:val="004541AB"/>
    <w:rsid w:val="0045464D"/>
    <w:rsid w:val="004548FE"/>
    <w:rsid w:val="00454A7A"/>
    <w:rsid w:val="00454B69"/>
    <w:rsid w:val="00454B9C"/>
    <w:rsid w:val="00454D2D"/>
    <w:rsid w:val="00454FF9"/>
    <w:rsid w:val="004553C9"/>
    <w:rsid w:val="00455449"/>
    <w:rsid w:val="00455A02"/>
    <w:rsid w:val="00455ABE"/>
    <w:rsid w:val="00455AEE"/>
    <w:rsid w:val="00455D83"/>
    <w:rsid w:val="00455DC5"/>
    <w:rsid w:val="00455E00"/>
    <w:rsid w:val="00455E18"/>
    <w:rsid w:val="00455E8F"/>
    <w:rsid w:val="0045679B"/>
    <w:rsid w:val="0045690F"/>
    <w:rsid w:val="00456BBF"/>
    <w:rsid w:val="004570B8"/>
    <w:rsid w:val="00457151"/>
    <w:rsid w:val="00457184"/>
    <w:rsid w:val="004571AD"/>
    <w:rsid w:val="00457242"/>
    <w:rsid w:val="00457306"/>
    <w:rsid w:val="004574BE"/>
    <w:rsid w:val="00457650"/>
    <w:rsid w:val="0045768D"/>
    <w:rsid w:val="004578A1"/>
    <w:rsid w:val="00457B35"/>
    <w:rsid w:val="00457D06"/>
    <w:rsid w:val="004603D4"/>
    <w:rsid w:val="004603DC"/>
    <w:rsid w:val="00460661"/>
    <w:rsid w:val="004607B0"/>
    <w:rsid w:val="00460805"/>
    <w:rsid w:val="00460887"/>
    <w:rsid w:val="00460CD5"/>
    <w:rsid w:val="00461160"/>
    <w:rsid w:val="00461395"/>
    <w:rsid w:val="0046175C"/>
    <w:rsid w:val="00461F03"/>
    <w:rsid w:val="00462069"/>
    <w:rsid w:val="004621DF"/>
    <w:rsid w:val="00462A1F"/>
    <w:rsid w:val="00462A23"/>
    <w:rsid w:val="00462A6D"/>
    <w:rsid w:val="00462F10"/>
    <w:rsid w:val="00463002"/>
    <w:rsid w:val="0046325D"/>
    <w:rsid w:val="00463624"/>
    <w:rsid w:val="004636AE"/>
    <w:rsid w:val="00463B53"/>
    <w:rsid w:val="00463BE1"/>
    <w:rsid w:val="00463C08"/>
    <w:rsid w:val="004640C4"/>
    <w:rsid w:val="00464122"/>
    <w:rsid w:val="00464A83"/>
    <w:rsid w:val="00464C94"/>
    <w:rsid w:val="00464D3C"/>
    <w:rsid w:val="004656D0"/>
    <w:rsid w:val="00465BEA"/>
    <w:rsid w:val="00465C44"/>
    <w:rsid w:val="00465CC2"/>
    <w:rsid w:val="00465E3E"/>
    <w:rsid w:val="0046638A"/>
    <w:rsid w:val="004664F4"/>
    <w:rsid w:val="004668CB"/>
    <w:rsid w:val="004672E7"/>
    <w:rsid w:val="00467595"/>
    <w:rsid w:val="00467A59"/>
    <w:rsid w:val="00467C29"/>
    <w:rsid w:val="00467CC3"/>
    <w:rsid w:val="00467EBB"/>
    <w:rsid w:val="0047084C"/>
    <w:rsid w:val="00470874"/>
    <w:rsid w:val="004709F3"/>
    <w:rsid w:val="00470AB6"/>
    <w:rsid w:val="004713C6"/>
    <w:rsid w:val="00471420"/>
    <w:rsid w:val="00471691"/>
    <w:rsid w:val="0047184B"/>
    <w:rsid w:val="0047198D"/>
    <w:rsid w:val="00471BCB"/>
    <w:rsid w:val="00471C31"/>
    <w:rsid w:val="00471D89"/>
    <w:rsid w:val="00471E46"/>
    <w:rsid w:val="00471FCA"/>
    <w:rsid w:val="0047205D"/>
    <w:rsid w:val="00472297"/>
    <w:rsid w:val="004726C2"/>
    <w:rsid w:val="004726EA"/>
    <w:rsid w:val="0047290B"/>
    <w:rsid w:val="004729C3"/>
    <w:rsid w:val="00472E6B"/>
    <w:rsid w:val="004733C8"/>
    <w:rsid w:val="00473742"/>
    <w:rsid w:val="00473760"/>
    <w:rsid w:val="00474541"/>
    <w:rsid w:val="004745ED"/>
    <w:rsid w:val="004745EE"/>
    <w:rsid w:val="0047463E"/>
    <w:rsid w:val="00474A4E"/>
    <w:rsid w:val="004751BC"/>
    <w:rsid w:val="0047551F"/>
    <w:rsid w:val="00475A15"/>
    <w:rsid w:val="00475E9B"/>
    <w:rsid w:val="00475EFA"/>
    <w:rsid w:val="00476BA9"/>
    <w:rsid w:val="00476BE3"/>
    <w:rsid w:val="00476F46"/>
    <w:rsid w:val="004773B2"/>
    <w:rsid w:val="00477437"/>
    <w:rsid w:val="0047787B"/>
    <w:rsid w:val="00477902"/>
    <w:rsid w:val="00477976"/>
    <w:rsid w:val="004779C0"/>
    <w:rsid w:val="00480237"/>
    <w:rsid w:val="0048023C"/>
    <w:rsid w:val="00480315"/>
    <w:rsid w:val="00480334"/>
    <w:rsid w:val="00480598"/>
    <w:rsid w:val="00480797"/>
    <w:rsid w:val="004808AE"/>
    <w:rsid w:val="00480954"/>
    <w:rsid w:val="00480A0A"/>
    <w:rsid w:val="00480F4B"/>
    <w:rsid w:val="00480F78"/>
    <w:rsid w:val="00481176"/>
    <w:rsid w:val="00481185"/>
    <w:rsid w:val="004811E3"/>
    <w:rsid w:val="004814C4"/>
    <w:rsid w:val="0048175A"/>
    <w:rsid w:val="004817D6"/>
    <w:rsid w:val="00481AA4"/>
    <w:rsid w:val="00481E0A"/>
    <w:rsid w:val="00482224"/>
    <w:rsid w:val="004822BD"/>
    <w:rsid w:val="004826CB"/>
    <w:rsid w:val="004826E4"/>
    <w:rsid w:val="00482B04"/>
    <w:rsid w:val="00482F4D"/>
    <w:rsid w:val="004830D9"/>
    <w:rsid w:val="0048319E"/>
    <w:rsid w:val="00483CBD"/>
    <w:rsid w:val="00483CFA"/>
    <w:rsid w:val="00483DFB"/>
    <w:rsid w:val="00484200"/>
    <w:rsid w:val="004843C1"/>
    <w:rsid w:val="00484639"/>
    <w:rsid w:val="00484705"/>
    <w:rsid w:val="0048472C"/>
    <w:rsid w:val="0048491B"/>
    <w:rsid w:val="004850AB"/>
    <w:rsid w:val="004850EF"/>
    <w:rsid w:val="004852E3"/>
    <w:rsid w:val="00485560"/>
    <w:rsid w:val="004859EB"/>
    <w:rsid w:val="00485B65"/>
    <w:rsid w:val="00485CAB"/>
    <w:rsid w:val="00485D75"/>
    <w:rsid w:val="00485F24"/>
    <w:rsid w:val="004860C1"/>
    <w:rsid w:val="00486170"/>
    <w:rsid w:val="00486471"/>
    <w:rsid w:val="00486E94"/>
    <w:rsid w:val="00486EFD"/>
    <w:rsid w:val="00486F66"/>
    <w:rsid w:val="00486F80"/>
    <w:rsid w:val="00487130"/>
    <w:rsid w:val="0048714D"/>
    <w:rsid w:val="00487550"/>
    <w:rsid w:val="0049051B"/>
    <w:rsid w:val="0049052F"/>
    <w:rsid w:val="00491C0B"/>
    <w:rsid w:val="00491EF0"/>
    <w:rsid w:val="00492009"/>
    <w:rsid w:val="00492256"/>
    <w:rsid w:val="0049227B"/>
    <w:rsid w:val="00492339"/>
    <w:rsid w:val="00492473"/>
    <w:rsid w:val="004925B8"/>
    <w:rsid w:val="004927ED"/>
    <w:rsid w:val="004929EE"/>
    <w:rsid w:val="00492CA8"/>
    <w:rsid w:val="00493225"/>
    <w:rsid w:val="00493289"/>
    <w:rsid w:val="0049394E"/>
    <w:rsid w:val="00493CDE"/>
    <w:rsid w:val="004941C6"/>
    <w:rsid w:val="00494243"/>
    <w:rsid w:val="00494501"/>
    <w:rsid w:val="00494503"/>
    <w:rsid w:val="0049475B"/>
    <w:rsid w:val="00494803"/>
    <w:rsid w:val="00494876"/>
    <w:rsid w:val="004948D5"/>
    <w:rsid w:val="00494C7E"/>
    <w:rsid w:val="0049512E"/>
    <w:rsid w:val="0049540D"/>
    <w:rsid w:val="0049555B"/>
    <w:rsid w:val="004959CA"/>
    <w:rsid w:val="00495A98"/>
    <w:rsid w:val="00495CB9"/>
    <w:rsid w:val="004960F1"/>
    <w:rsid w:val="0049631B"/>
    <w:rsid w:val="004965D5"/>
    <w:rsid w:val="00496CB8"/>
    <w:rsid w:val="00496E06"/>
    <w:rsid w:val="00497082"/>
    <w:rsid w:val="0049712B"/>
    <w:rsid w:val="004977F2"/>
    <w:rsid w:val="00497B53"/>
    <w:rsid w:val="00497D61"/>
    <w:rsid w:val="00497DA6"/>
    <w:rsid w:val="00497EB0"/>
    <w:rsid w:val="004A0023"/>
    <w:rsid w:val="004A0228"/>
    <w:rsid w:val="004A02C2"/>
    <w:rsid w:val="004A0470"/>
    <w:rsid w:val="004A0474"/>
    <w:rsid w:val="004A0681"/>
    <w:rsid w:val="004A0960"/>
    <w:rsid w:val="004A1758"/>
    <w:rsid w:val="004A17A2"/>
    <w:rsid w:val="004A18B2"/>
    <w:rsid w:val="004A1B20"/>
    <w:rsid w:val="004A1C84"/>
    <w:rsid w:val="004A23C1"/>
    <w:rsid w:val="004A253D"/>
    <w:rsid w:val="004A2572"/>
    <w:rsid w:val="004A26EF"/>
    <w:rsid w:val="004A29DC"/>
    <w:rsid w:val="004A2B48"/>
    <w:rsid w:val="004A38D0"/>
    <w:rsid w:val="004A3A6A"/>
    <w:rsid w:val="004A3EBD"/>
    <w:rsid w:val="004A3ED6"/>
    <w:rsid w:val="004A3FC0"/>
    <w:rsid w:val="004A45F5"/>
    <w:rsid w:val="004A4919"/>
    <w:rsid w:val="004A499F"/>
    <w:rsid w:val="004A49AF"/>
    <w:rsid w:val="004A49C1"/>
    <w:rsid w:val="004A5248"/>
    <w:rsid w:val="004A5584"/>
    <w:rsid w:val="004A5591"/>
    <w:rsid w:val="004A55E4"/>
    <w:rsid w:val="004A56E0"/>
    <w:rsid w:val="004A58FE"/>
    <w:rsid w:val="004A5B8E"/>
    <w:rsid w:val="004A61F2"/>
    <w:rsid w:val="004A6303"/>
    <w:rsid w:val="004A6617"/>
    <w:rsid w:val="004A7762"/>
    <w:rsid w:val="004A7883"/>
    <w:rsid w:val="004A78B1"/>
    <w:rsid w:val="004A7BD5"/>
    <w:rsid w:val="004A7C52"/>
    <w:rsid w:val="004B007A"/>
    <w:rsid w:val="004B092E"/>
    <w:rsid w:val="004B0D7D"/>
    <w:rsid w:val="004B0E5B"/>
    <w:rsid w:val="004B0E87"/>
    <w:rsid w:val="004B104F"/>
    <w:rsid w:val="004B1053"/>
    <w:rsid w:val="004B1351"/>
    <w:rsid w:val="004B174F"/>
    <w:rsid w:val="004B1EE4"/>
    <w:rsid w:val="004B1F7B"/>
    <w:rsid w:val="004B2033"/>
    <w:rsid w:val="004B20A4"/>
    <w:rsid w:val="004B2109"/>
    <w:rsid w:val="004B21E1"/>
    <w:rsid w:val="004B28F6"/>
    <w:rsid w:val="004B2AF9"/>
    <w:rsid w:val="004B2C65"/>
    <w:rsid w:val="004B2D98"/>
    <w:rsid w:val="004B2FA0"/>
    <w:rsid w:val="004B305A"/>
    <w:rsid w:val="004B31F5"/>
    <w:rsid w:val="004B37CD"/>
    <w:rsid w:val="004B38E7"/>
    <w:rsid w:val="004B3BAB"/>
    <w:rsid w:val="004B3CDE"/>
    <w:rsid w:val="004B3CF7"/>
    <w:rsid w:val="004B4169"/>
    <w:rsid w:val="004B44E2"/>
    <w:rsid w:val="004B45D9"/>
    <w:rsid w:val="004B475C"/>
    <w:rsid w:val="004B4821"/>
    <w:rsid w:val="004B4C28"/>
    <w:rsid w:val="004B5277"/>
    <w:rsid w:val="004B5435"/>
    <w:rsid w:val="004B5845"/>
    <w:rsid w:val="004B591C"/>
    <w:rsid w:val="004B5C26"/>
    <w:rsid w:val="004B5DAA"/>
    <w:rsid w:val="004B5E2B"/>
    <w:rsid w:val="004B659D"/>
    <w:rsid w:val="004B6B3B"/>
    <w:rsid w:val="004B6BA6"/>
    <w:rsid w:val="004B6C4A"/>
    <w:rsid w:val="004B6E2C"/>
    <w:rsid w:val="004B6EB6"/>
    <w:rsid w:val="004B6F87"/>
    <w:rsid w:val="004B72FE"/>
    <w:rsid w:val="004B757D"/>
    <w:rsid w:val="004B761C"/>
    <w:rsid w:val="004B771D"/>
    <w:rsid w:val="004B77CC"/>
    <w:rsid w:val="004B7DEF"/>
    <w:rsid w:val="004C00CA"/>
    <w:rsid w:val="004C022C"/>
    <w:rsid w:val="004C0865"/>
    <w:rsid w:val="004C0FC1"/>
    <w:rsid w:val="004C118B"/>
    <w:rsid w:val="004C190B"/>
    <w:rsid w:val="004C1B55"/>
    <w:rsid w:val="004C1B7A"/>
    <w:rsid w:val="004C1D54"/>
    <w:rsid w:val="004C1D81"/>
    <w:rsid w:val="004C1E41"/>
    <w:rsid w:val="004C1EEA"/>
    <w:rsid w:val="004C2033"/>
    <w:rsid w:val="004C211E"/>
    <w:rsid w:val="004C236D"/>
    <w:rsid w:val="004C2C0F"/>
    <w:rsid w:val="004C2CCA"/>
    <w:rsid w:val="004C2DD9"/>
    <w:rsid w:val="004C2F04"/>
    <w:rsid w:val="004C2FDE"/>
    <w:rsid w:val="004C338F"/>
    <w:rsid w:val="004C35DB"/>
    <w:rsid w:val="004C38D4"/>
    <w:rsid w:val="004C3B7E"/>
    <w:rsid w:val="004C3B90"/>
    <w:rsid w:val="004C3C1E"/>
    <w:rsid w:val="004C41FF"/>
    <w:rsid w:val="004C43C3"/>
    <w:rsid w:val="004C443E"/>
    <w:rsid w:val="004C4443"/>
    <w:rsid w:val="004C4973"/>
    <w:rsid w:val="004C4ECE"/>
    <w:rsid w:val="004C564D"/>
    <w:rsid w:val="004C56CC"/>
    <w:rsid w:val="004C5921"/>
    <w:rsid w:val="004C593F"/>
    <w:rsid w:val="004C5E34"/>
    <w:rsid w:val="004C5FF5"/>
    <w:rsid w:val="004C6238"/>
    <w:rsid w:val="004C625B"/>
    <w:rsid w:val="004C66A5"/>
    <w:rsid w:val="004C6B44"/>
    <w:rsid w:val="004C6B5F"/>
    <w:rsid w:val="004C6C2E"/>
    <w:rsid w:val="004C6F52"/>
    <w:rsid w:val="004C706D"/>
    <w:rsid w:val="004C72BC"/>
    <w:rsid w:val="004C72F5"/>
    <w:rsid w:val="004C731A"/>
    <w:rsid w:val="004C752F"/>
    <w:rsid w:val="004C7A26"/>
    <w:rsid w:val="004C7BC2"/>
    <w:rsid w:val="004D0031"/>
    <w:rsid w:val="004D0183"/>
    <w:rsid w:val="004D03D8"/>
    <w:rsid w:val="004D091F"/>
    <w:rsid w:val="004D0B65"/>
    <w:rsid w:val="004D0C7F"/>
    <w:rsid w:val="004D0C88"/>
    <w:rsid w:val="004D0DB4"/>
    <w:rsid w:val="004D0E50"/>
    <w:rsid w:val="004D0ED5"/>
    <w:rsid w:val="004D0F7C"/>
    <w:rsid w:val="004D178B"/>
    <w:rsid w:val="004D185D"/>
    <w:rsid w:val="004D18D4"/>
    <w:rsid w:val="004D1A60"/>
    <w:rsid w:val="004D1BF6"/>
    <w:rsid w:val="004D1D40"/>
    <w:rsid w:val="004D1F2E"/>
    <w:rsid w:val="004D2025"/>
    <w:rsid w:val="004D2187"/>
    <w:rsid w:val="004D22E9"/>
    <w:rsid w:val="004D24EE"/>
    <w:rsid w:val="004D25EC"/>
    <w:rsid w:val="004D2864"/>
    <w:rsid w:val="004D2B86"/>
    <w:rsid w:val="004D2C2F"/>
    <w:rsid w:val="004D2C78"/>
    <w:rsid w:val="004D2CDF"/>
    <w:rsid w:val="004D35DC"/>
    <w:rsid w:val="004D379F"/>
    <w:rsid w:val="004D3ABD"/>
    <w:rsid w:val="004D3D9A"/>
    <w:rsid w:val="004D42A9"/>
    <w:rsid w:val="004D453C"/>
    <w:rsid w:val="004D4930"/>
    <w:rsid w:val="004D50BA"/>
    <w:rsid w:val="004D558E"/>
    <w:rsid w:val="004D572C"/>
    <w:rsid w:val="004D588F"/>
    <w:rsid w:val="004D5CC3"/>
    <w:rsid w:val="004D5FE4"/>
    <w:rsid w:val="004D5FEA"/>
    <w:rsid w:val="004D629B"/>
    <w:rsid w:val="004D64F8"/>
    <w:rsid w:val="004D667C"/>
    <w:rsid w:val="004D6909"/>
    <w:rsid w:val="004D69A2"/>
    <w:rsid w:val="004D69FA"/>
    <w:rsid w:val="004D6D46"/>
    <w:rsid w:val="004D6E2E"/>
    <w:rsid w:val="004D6FB2"/>
    <w:rsid w:val="004D6FE3"/>
    <w:rsid w:val="004D748C"/>
    <w:rsid w:val="004D76B3"/>
    <w:rsid w:val="004D7742"/>
    <w:rsid w:val="004D77B2"/>
    <w:rsid w:val="004D7B12"/>
    <w:rsid w:val="004D7F67"/>
    <w:rsid w:val="004E00AD"/>
    <w:rsid w:val="004E0255"/>
    <w:rsid w:val="004E04C1"/>
    <w:rsid w:val="004E0767"/>
    <w:rsid w:val="004E0832"/>
    <w:rsid w:val="004E0E37"/>
    <w:rsid w:val="004E0E46"/>
    <w:rsid w:val="004E1328"/>
    <w:rsid w:val="004E134C"/>
    <w:rsid w:val="004E1892"/>
    <w:rsid w:val="004E1B3D"/>
    <w:rsid w:val="004E1CD0"/>
    <w:rsid w:val="004E1FCB"/>
    <w:rsid w:val="004E2255"/>
    <w:rsid w:val="004E2259"/>
    <w:rsid w:val="004E2441"/>
    <w:rsid w:val="004E278F"/>
    <w:rsid w:val="004E2B52"/>
    <w:rsid w:val="004E2F7D"/>
    <w:rsid w:val="004E323D"/>
    <w:rsid w:val="004E3344"/>
    <w:rsid w:val="004E3661"/>
    <w:rsid w:val="004E39FE"/>
    <w:rsid w:val="004E3B2E"/>
    <w:rsid w:val="004E3C02"/>
    <w:rsid w:val="004E3D1A"/>
    <w:rsid w:val="004E3E32"/>
    <w:rsid w:val="004E3F75"/>
    <w:rsid w:val="004E3FBD"/>
    <w:rsid w:val="004E4263"/>
    <w:rsid w:val="004E448B"/>
    <w:rsid w:val="004E44B6"/>
    <w:rsid w:val="004E450D"/>
    <w:rsid w:val="004E456F"/>
    <w:rsid w:val="004E465C"/>
    <w:rsid w:val="004E46EE"/>
    <w:rsid w:val="004E47C0"/>
    <w:rsid w:val="004E5206"/>
    <w:rsid w:val="004E5339"/>
    <w:rsid w:val="004E537F"/>
    <w:rsid w:val="004E564F"/>
    <w:rsid w:val="004E56F8"/>
    <w:rsid w:val="004E5A72"/>
    <w:rsid w:val="004E5E44"/>
    <w:rsid w:val="004E5F6B"/>
    <w:rsid w:val="004E5FAA"/>
    <w:rsid w:val="004E6088"/>
    <w:rsid w:val="004E6125"/>
    <w:rsid w:val="004E66D2"/>
    <w:rsid w:val="004E6EC4"/>
    <w:rsid w:val="004E7210"/>
    <w:rsid w:val="004E735D"/>
    <w:rsid w:val="004E75B0"/>
    <w:rsid w:val="004E7615"/>
    <w:rsid w:val="004E7A9E"/>
    <w:rsid w:val="004E7BBD"/>
    <w:rsid w:val="004F028B"/>
    <w:rsid w:val="004F0509"/>
    <w:rsid w:val="004F056A"/>
    <w:rsid w:val="004F099B"/>
    <w:rsid w:val="004F0A58"/>
    <w:rsid w:val="004F0C3B"/>
    <w:rsid w:val="004F0D73"/>
    <w:rsid w:val="004F0F6F"/>
    <w:rsid w:val="004F1096"/>
    <w:rsid w:val="004F193F"/>
    <w:rsid w:val="004F195D"/>
    <w:rsid w:val="004F1AEC"/>
    <w:rsid w:val="004F1B85"/>
    <w:rsid w:val="004F1C9E"/>
    <w:rsid w:val="004F1F35"/>
    <w:rsid w:val="004F21FE"/>
    <w:rsid w:val="004F223A"/>
    <w:rsid w:val="004F2255"/>
    <w:rsid w:val="004F25C3"/>
    <w:rsid w:val="004F2B42"/>
    <w:rsid w:val="004F2CDD"/>
    <w:rsid w:val="004F2F37"/>
    <w:rsid w:val="004F2FD4"/>
    <w:rsid w:val="004F35E5"/>
    <w:rsid w:val="004F3712"/>
    <w:rsid w:val="004F3B29"/>
    <w:rsid w:val="004F42E4"/>
    <w:rsid w:val="004F492E"/>
    <w:rsid w:val="004F4A25"/>
    <w:rsid w:val="004F4FD5"/>
    <w:rsid w:val="004F523E"/>
    <w:rsid w:val="004F52BE"/>
    <w:rsid w:val="004F56A4"/>
    <w:rsid w:val="004F5A0B"/>
    <w:rsid w:val="004F5F2F"/>
    <w:rsid w:val="004F60A2"/>
    <w:rsid w:val="004F68E3"/>
    <w:rsid w:val="004F69F1"/>
    <w:rsid w:val="004F702F"/>
    <w:rsid w:val="004F73AF"/>
    <w:rsid w:val="004F7438"/>
    <w:rsid w:val="004F7714"/>
    <w:rsid w:val="004F7827"/>
    <w:rsid w:val="004F783B"/>
    <w:rsid w:val="00500435"/>
    <w:rsid w:val="005007AF"/>
    <w:rsid w:val="00500A86"/>
    <w:rsid w:val="00500B51"/>
    <w:rsid w:val="00500F5D"/>
    <w:rsid w:val="005015CB"/>
    <w:rsid w:val="005016CE"/>
    <w:rsid w:val="005016F7"/>
    <w:rsid w:val="00501734"/>
    <w:rsid w:val="00501964"/>
    <w:rsid w:val="00501AB3"/>
    <w:rsid w:val="00501C14"/>
    <w:rsid w:val="00501E7E"/>
    <w:rsid w:val="00502281"/>
    <w:rsid w:val="005022A2"/>
    <w:rsid w:val="00502492"/>
    <w:rsid w:val="00502963"/>
    <w:rsid w:val="00502DCC"/>
    <w:rsid w:val="00503600"/>
    <w:rsid w:val="005039D0"/>
    <w:rsid w:val="00503A5C"/>
    <w:rsid w:val="00503F6C"/>
    <w:rsid w:val="0050441C"/>
    <w:rsid w:val="00504620"/>
    <w:rsid w:val="005048FC"/>
    <w:rsid w:val="00504952"/>
    <w:rsid w:val="00504AD4"/>
    <w:rsid w:val="00505000"/>
    <w:rsid w:val="0050516D"/>
    <w:rsid w:val="005051AB"/>
    <w:rsid w:val="00505346"/>
    <w:rsid w:val="005053B5"/>
    <w:rsid w:val="0050572D"/>
    <w:rsid w:val="00505764"/>
    <w:rsid w:val="0050580B"/>
    <w:rsid w:val="00505A6E"/>
    <w:rsid w:val="005060C6"/>
    <w:rsid w:val="00506158"/>
    <w:rsid w:val="0050658C"/>
    <w:rsid w:val="005065AF"/>
    <w:rsid w:val="0050742B"/>
    <w:rsid w:val="005075AA"/>
    <w:rsid w:val="0050785A"/>
    <w:rsid w:val="00507946"/>
    <w:rsid w:val="00507BD0"/>
    <w:rsid w:val="00507DA6"/>
    <w:rsid w:val="00510126"/>
    <w:rsid w:val="005102F7"/>
    <w:rsid w:val="00510AFC"/>
    <w:rsid w:val="00510B0C"/>
    <w:rsid w:val="00510DB0"/>
    <w:rsid w:val="0051104C"/>
    <w:rsid w:val="0051113B"/>
    <w:rsid w:val="005113DC"/>
    <w:rsid w:val="005114EF"/>
    <w:rsid w:val="005114FA"/>
    <w:rsid w:val="0051186F"/>
    <w:rsid w:val="00511D68"/>
    <w:rsid w:val="00511ED5"/>
    <w:rsid w:val="0051211B"/>
    <w:rsid w:val="005121DA"/>
    <w:rsid w:val="00512208"/>
    <w:rsid w:val="005123D0"/>
    <w:rsid w:val="00512704"/>
    <w:rsid w:val="005127FF"/>
    <w:rsid w:val="00512891"/>
    <w:rsid w:val="00512BC5"/>
    <w:rsid w:val="00512CCB"/>
    <w:rsid w:val="00512DF4"/>
    <w:rsid w:val="00512F88"/>
    <w:rsid w:val="0051369E"/>
    <w:rsid w:val="005137B5"/>
    <w:rsid w:val="005139E5"/>
    <w:rsid w:val="00513A56"/>
    <w:rsid w:val="00514073"/>
    <w:rsid w:val="005140B0"/>
    <w:rsid w:val="005142D7"/>
    <w:rsid w:val="005147DE"/>
    <w:rsid w:val="00514908"/>
    <w:rsid w:val="00515052"/>
    <w:rsid w:val="00515554"/>
    <w:rsid w:val="00515866"/>
    <w:rsid w:val="00515AC3"/>
    <w:rsid w:val="00515F8A"/>
    <w:rsid w:val="00515FF2"/>
    <w:rsid w:val="00516163"/>
    <w:rsid w:val="0051672A"/>
    <w:rsid w:val="00516F16"/>
    <w:rsid w:val="00517181"/>
    <w:rsid w:val="00517353"/>
    <w:rsid w:val="00517908"/>
    <w:rsid w:val="005179E0"/>
    <w:rsid w:val="00517A94"/>
    <w:rsid w:val="00517B9F"/>
    <w:rsid w:val="00520135"/>
    <w:rsid w:val="005202F6"/>
    <w:rsid w:val="00520457"/>
    <w:rsid w:val="0052060A"/>
    <w:rsid w:val="0052080B"/>
    <w:rsid w:val="005208FF"/>
    <w:rsid w:val="00520C67"/>
    <w:rsid w:val="00520E2B"/>
    <w:rsid w:val="00521362"/>
    <w:rsid w:val="00521400"/>
    <w:rsid w:val="005214FE"/>
    <w:rsid w:val="00521678"/>
    <w:rsid w:val="00521843"/>
    <w:rsid w:val="005219C6"/>
    <w:rsid w:val="00521D4F"/>
    <w:rsid w:val="005225F2"/>
    <w:rsid w:val="00522747"/>
    <w:rsid w:val="005227BD"/>
    <w:rsid w:val="00522A76"/>
    <w:rsid w:val="00522F35"/>
    <w:rsid w:val="00522FC1"/>
    <w:rsid w:val="00523118"/>
    <w:rsid w:val="005234D4"/>
    <w:rsid w:val="005234D7"/>
    <w:rsid w:val="0052373D"/>
    <w:rsid w:val="0052374D"/>
    <w:rsid w:val="00523CD3"/>
    <w:rsid w:val="00523EC0"/>
    <w:rsid w:val="00524184"/>
    <w:rsid w:val="005242A8"/>
    <w:rsid w:val="005242E0"/>
    <w:rsid w:val="00524497"/>
    <w:rsid w:val="005245A2"/>
    <w:rsid w:val="005245C2"/>
    <w:rsid w:val="00524627"/>
    <w:rsid w:val="00524C0E"/>
    <w:rsid w:val="00524E8D"/>
    <w:rsid w:val="00525685"/>
    <w:rsid w:val="0052570C"/>
    <w:rsid w:val="005257D9"/>
    <w:rsid w:val="00525972"/>
    <w:rsid w:val="005259EC"/>
    <w:rsid w:val="00525AF9"/>
    <w:rsid w:val="00525EDD"/>
    <w:rsid w:val="00526204"/>
    <w:rsid w:val="005264F7"/>
    <w:rsid w:val="0052650C"/>
    <w:rsid w:val="00526915"/>
    <w:rsid w:val="00526B49"/>
    <w:rsid w:val="00526C7B"/>
    <w:rsid w:val="005270C2"/>
    <w:rsid w:val="005275EC"/>
    <w:rsid w:val="005278BD"/>
    <w:rsid w:val="00527AAA"/>
    <w:rsid w:val="00527B57"/>
    <w:rsid w:val="00527D3C"/>
    <w:rsid w:val="00527FA2"/>
    <w:rsid w:val="0052C11C"/>
    <w:rsid w:val="005303F0"/>
    <w:rsid w:val="00530464"/>
    <w:rsid w:val="005307C5"/>
    <w:rsid w:val="00530B31"/>
    <w:rsid w:val="00530D3A"/>
    <w:rsid w:val="00531834"/>
    <w:rsid w:val="00531ADF"/>
    <w:rsid w:val="00531AE1"/>
    <w:rsid w:val="00531B23"/>
    <w:rsid w:val="00531E3B"/>
    <w:rsid w:val="005326C5"/>
    <w:rsid w:val="0053298A"/>
    <w:rsid w:val="00532CB8"/>
    <w:rsid w:val="00532D47"/>
    <w:rsid w:val="00532FB2"/>
    <w:rsid w:val="00533256"/>
    <w:rsid w:val="005334C4"/>
    <w:rsid w:val="0053399A"/>
    <w:rsid w:val="00533A00"/>
    <w:rsid w:val="00533B07"/>
    <w:rsid w:val="00533BE8"/>
    <w:rsid w:val="005340AB"/>
    <w:rsid w:val="0053422F"/>
    <w:rsid w:val="005342FD"/>
    <w:rsid w:val="005344E2"/>
    <w:rsid w:val="0053454F"/>
    <w:rsid w:val="00534907"/>
    <w:rsid w:val="00534BD1"/>
    <w:rsid w:val="00534D6A"/>
    <w:rsid w:val="00534EDC"/>
    <w:rsid w:val="00535191"/>
    <w:rsid w:val="0053530B"/>
    <w:rsid w:val="005354EB"/>
    <w:rsid w:val="005357FB"/>
    <w:rsid w:val="00535B01"/>
    <w:rsid w:val="00535B09"/>
    <w:rsid w:val="00535E4F"/>
    <w:rsid w:val="00535E67"/>
    <w:rsid w:val="00535EE0"/>
    <w:rsid w:val="00535F31"/>
    <w:rsid w:val="00535F3F"/>
    <w:rsid w:val="0053621C"/>
    <w:rsid w:val="00536427"/>
    <w:rsid w:val="005366C2"/>
    <w:rsid w:val="00536734"/>
    <w:rsid w:val="005367BC"/>
    <w:rsid w:val="00536B81"/>
    <w:rsid w:val="00537030"/>
    <w:rsid w:val="0053708A"/>
    <w:rsid w:val="00537105"/>
    <w:rsid w:val="00537205"/>
    <w:rsid w:val="005372EC"/>
    <w:rsid w:val="00537470"/>
    <w:rsid w:val="005377DC"/>
    <w:rsid w:val="00537A12"/>
    <w:rsid w:val="00537BDE"/>
    <w:rsid w:val="0053FD66"/>
    <w:rsid w:val="00540111"/>
    <w:rsid w:val="0054013E"/>
    <w:rsid w:val="00540DCB"/>
    <w:rsid w:val="005412E2"/>
    <w:rsid w:val="00541318"/>
    <w:rsid w:val="005413B1"/>
    <w:rsid w:val="00541462"/>
    <w:rsid w:val="00541478"/>
    <w:rsid w:val="00541695"/>
    <w:rsid w:val="00541776"/>
    <w:rsid w:val="005417F7"/>
    <w:rsid w:val="005418BE"/>
    <w:rsid w:val="0054206B"/>
    <w:rsid w:val="005420A2"/>
    <w:rsid w:val="00542CCD"/>
    <w:rsid w:val="00542DF2"/>
    <w:rsid w:val="005430A4"/>
    <w:rsid w:val="00543222"/>
    <w:rsid w:val="00543435"/>
    <w:rsid w:val="0054392E"/>
    <w:rsid w:val="00543994"/>
    <w:rsid w:val="005439D0"/>
    <w:rsid w:val="00543A87"/>
    <w:rsid w:val="00543E2C"/>
    <w:rsid w:val="005444CF"/>
    <w:rsid w:val="005444FB"/>
    <w:rsid w:val="0054488B"/>
    <w:rsid w:val="00544915"/>
    <w:rsid w:val="005449DA"/>
    <w:rsid w:val="00544E7F"/>
    <w:rsid w:val="0054531A"/>
    <w:rsid w:val="005453A0"/>
    <w:rsid w:val="005455D1"/>
    <w:rsid w:val="00545CD2"/>
    <w:rsid w:val="00545CF5"/>
    <w:rsid w:val="00546009"/>
    <w:rsid w:val="00546027"/>
    <w:rsid w:val="0054611D"/>
    <w:rsid w:val="005462AE"/>
    <w:rsid w:val="005463B6"/>
    <w:rsid w:val="0054664D"/>
    <w:rsid w:val="005468C4"/>
    <w:rsid w:val="00546DD4"/>
    <w:rsid w:val="00546E30"/>
    <w:rsid w:val="00546FE2"/>
    <w:rsid w:val="005470FA"/>
    <w:rsid w:val="0054712F"/>
    <w:rsid w:val="0054747C"/>
    <w:rsid w:val="00547ADF"/>
    <w:rsid w:val="00547D40"/>
    <w:rsid w:val="00547DD2"/>
    <w:rsid w:val="0055006C"/>
    <w:rsid w:val="005501A9"/>
    <w:rsid w:val="0055025D"/>
    <w:rsid w:val="005507F1"/>
    <w:rsid w:val="00550994"/>
    <w:rsid w:val="005509EF"/>
    <w:rsid w:val="00550C05"/>
    <w:rsid w:val="00550CC9"/>
    <w:rsid w:val="00550D35"/>
    <w:rsid w:val="00550FA1"/>
    <w:rsid w:val="0055116B"/>
    <w:rsid w:val="00551220"/>
    <w:rsid w:val="0055126E"/>
    <w:rsid w:val="00551339"/>
    <w:rsid w:val="005513EB"/>
    <w:rsid w:val="005514B1"/>
    <w:rsid w:val="005519E9"/>
    <w:rsid w:val="00551E92"/>
    <w:rsid w:val="00552057"/>
    <w:rsid w:val="00552364"/>
    <w:rsid w:val="00552414"/>
    <w:rsid w:val="00552588"/>
    <w:rsid w:val="00553218"/>
    <w:rsid w:val="00553C24"/>
    <w:rsid w:val="00553EFD"/>
    <w:rsid w:val="00554014"/>
    <w:rsid w:val="00554443"/>
    <w:rsid w:val="0055447D"/>
    <w:rsid w:val="00554565"/>
    <w:rsid w:val="00554819"/>
    <w:rsid w:val="00554CED"/>
    <w:rsid w:val="00554E0B"/>
    <w:rsid w:val="00554E8B"/>
    <w:rsid w:val="0055512E"/>
    <w:rsid w:val="005553A0"/>
    <w:rsid w:val="005553A5"/>
    <w:rsid w:val="00555468"/>
    <w:rsid w:val="005555FB"/>
    <w:rsid w:val="00555C49"/>
    <w:rsid w:val="00555DCF"/>
    <w:rsid w:val="00555EBF"/>
    <w:rsid w:val="00555FF5"/>
    <w:rsid w:val="005561E7"/>
    <w:rsid w:val="005562F7"/>
    <w:rsid w:val="0055685D"/>
    <w:rsid w:val="00556C9E"/>
    <w:rsid w:val="00556DAF"/>
    <w:rsid w:val="00557032"/>
    <w:rsid w:val="005576A4"/>
    <w:rsid w:val="005576FE"/>
    <w:rsid w:val="00557739"/>
    <w:rsid w:val="005579F0"/>
    <w:rsid w:val="00557ADC"/>
    <w:rsid w:val="00557DC9"/>
    <w:rsid w:val="0056001B"/>
    <w:rsid w:val="00560165"/>
    <w:rsid w:val="00560315"/>
    <w:rsid w:val="005605ED"/>
    <w:rsid w:val="00560794"/>
    <w:rsid w:val="005607FB"/>
    <w:rsid w:val="00560BDF"/>
    <w:rsid w:val="0056108F"/>
    <w:rsid w:val="00561305"/>
    <w:rsid w:val="005618BF"/>
    <w:rsid w:val="005618C4"/>
    <w:rsid w:val="00561936"/>
    <w:rsid w:val="00561BD3"/>
    <w:rsid w:val="00561CC5"/>
    <w:rsid w:val="00561D1F"/>
    <w:rsid w:val="00561D9A"/>
    <w:rsid w:val="0056262A"/>
    <w:rsid w:val="00562724"/>
    <w:rsid w:val="00562B3C"/>
    <w:rsid w:val="00562BDD"/>
    <w:rsid w:val="0056304B"/>
    <w:rsid w:val="005631B5"/>
    <w:rsid w:val="005632CD"/>
    <w:rsid w:val="005635B2"/>
    <w:rsid w:val="00563D1F"/>
    <w:rsid w:val="00564099"/>
    <w:rsid w:val="00564146"/>
    <w:rsid w:val="00564373"/>
    <w:rsid w:val="00564942"/>
    <w:rsid w:val="005649B3"/>
    <w:rsid w:val="00564AF1"/>
    <w:rsid w:val="00564E77"/>
    <w:rsid w:val="005652EF"/>
    <w:rsid w:val="00565482"/>
    <w:rsid w:val="005655B3"/>
    <w:rsid w:val="005656D3"/>
    <w:rsid w:val="00565782"/>
    <w:rsid w:val="00565931"/>
    <w:rsid w:val="00565D4C"/>
    <w:rsid w:val="00565E8D"/>
    <w:rsid w:val="00566036"/>
    <w:rsid w:val="0056605A"/>
    <w:rsid w:val="005665F5"/>
    <w:rsid w:val="00566900"/>
    <w:rsid w:val="00566A40"/>
    <w:rsid w:val="00566ADB"/>
    <w:rsid w:val="005670BA"/>
    <w:rsid w:val="005671E2"/>
    <w:rsid w:val="005673BB"/>
    <w:rsid w:val="00567AA7"/>
    <w:rsid w:val="00567B36"/>
    <w:rsid w:val="005700CF"/>
    <w:rsid w:val="005701DD"/>
    <w:rsid w:val="00570B4E"/>
    <w:rsid w:val="00570B80"/>
    <w:rsid w:val="005710F6"/>
    <w:rsid w:val="0057135A"/>
    <w:rsid w:val="00571700"/>
    <w:rsid w:val="00571C74"/>
    <w:rsid w:val="00572029"/>
    <w:rsid w:val="00572A08"/>
    <w:rsid w:val="00572B11"/>
    <w:rsid w:val="00572BEF"/>
    <w:rsid w:val="00572C3A"/>
    <w:rsid w:val="00573334"/>
    <w:rsid w:val="00573640"/>
    <w:rsid w:val="00573920"/>
    <w:rsid w:val="00573B08"/>
    <w:rsid w:val="00573CB8"/>
    <w:rsid w:val="00574090"/>
    <w:rsid w:val="00574115"/>
    <w:rsid w:val="00574356"/>
    <w:rsid w:val="00574563"/>
    <w:rsid w:val="005745F2"/>
    <w:rsid w:val="00574B49"/>
    <w:rsid w:val="0057507A"/>
    <w:rsid w:val="0057562C"/>
    <w:rsid w:val="005757FC"/>
    <w:rsid w:val="00575907"/>
    <w:rsid w:val="00575D0A"/>
    <w:rsid w:val="00575D38"/>
    <w:rsid w:val="00575D91"/>
    <w:rsid w:val="00576859"/>
    <w:rsid w:val="00576909"/>
    <w:rsid w:val="00576B68"/>
    <w:rsid w:val="00576B88"/>
    <w:rsid w:val="00577149"/>
    <w:rsid w:val="00577255"/>
    <w:rsid w:val="005773C0"/>
    <w:rsid w:val="005773D8"/>
    <w:rsid w:val="005777AF"/>
    <w:rsid w:val="0057784B"/>
    <w:rsid w:val="00577B98"/>
    <w:rsid w:val="0058001A"/>
    <w:rsid w:val="005808AE"/>
    <w:rsid w:val="00580F1C"/>
    <w:rsid w:val="005815E4"/>
    <w:rsid w:val="0058167C"/>
    <w:rsid w:val="005818C8"/>
    <w:rsid w:val="0058195F"/>
    <w:rsid w:val="005823EB"/>
    <w:rsid w:val="005825EA"/>
    <w:rsid w:val="0058273D"/>
    <w:rsid w:val="0058283E"/>
    <w:rsid w:val="005828E0"/>
    <w:rsid w:val="00582F5C"/>
    <w:rsid w:val="00583106"/>
    <w:rsid w:val="0058369D"/>
    <w:rsid w:val="005837D9"/>
    <w:rsid w:val="00583C09"/>
    <w:rsid w:val="00583E1B"/>
    <w:rsid w:val="0058438C"/>
    <w:rsid w:val="005845A0"/>
    <w:rsid w:val="00584A36"/>
    <w:rsid w:val="00584A93"/>
    <w:rsid w:val="00584AB0"/>
    <w:rsid w:val="00584BF3"/>
    <w:rsid w:val="00584D98"/>
    <w:rsid w:val="00584E28"/>
    <w:rsid w:val="00584F09"/>
    <w:rsid w:val="005855A3"/>
    <w:rsid w:val="00585800"/>
    <w:rsid w:val="00585BA2"/>
    <w:rsid w:val="00585BFF"/>
    <w:rsid w:val="00585E15"/>
    <w:rsid w:val="0058608A"/>
    <w:rsid w:val="00586162"/>
    <w:rsid w:val="0058632C"/>
    <w:rsid w:val="00586A58"/>
    <w:rsid w:val="00586A8C"/>
    <w:rsid w:val="00586CBF"/>
    <w:rsid w:val="00586DAE"/>
    <w:rsid w:val="00586DDD"/>
    <w:rsid w:val="00586FF9"/>
    <w:rsid w:val="0058708D"/>
    <w:rsid w:val="005870EF"/>
    <w:rsid w:val="005872E8"/>
    <w:rsid w:val="00587357"/>
    <w:rsid w:val="0058774E"/>
    <w:rsid w:val="005879E3"/>
    <w:rsid w:val="00587BFE"/>
    <w:rsid w:val="00587C2D"/>
    <w:rsid w:val="00587EB6"/>
    <w:rsid w:val="00587EF3"/>
    <w:rsid w:val="0059002C"/>
    <w:rsid w:val="005906B7"/>
    <w:rsid w:val="0059086F"/>
    <w:rsid w:val="00590891"/>
    <w:rsid w:val="00590FE1"/>
    <w:rsid w:val="005910B2"/>
    <w:rsid w:val="005916A7"/>
    <w:rsid w:val="005919B0"/>
    <w:rsid w:val="00591D60"/>
    <w:rsid w:val="00591E05"/>
    <w:rsid w:val="00591EAE"/>
    <w:rsid w:val="005923FF"/>
    <w:rsid w:val="00592558"/>
    <w:rsid w:val="0059267F"/>
    <w:rsid w:val="00592AF9"/>
    <w:rsid w:val="00592D69"/>
    <w:rsid w:val="00592E9A"/>
    <w:rsid w:val="00592F62"/>
    <w:rsid w:val="00592F66"/>
    <w:rsid w:val="005933BF"/>
    <w:rsid w:val="0059395C"/>
    <w:rsid w:val="00593D7B"/>
    <w:rsid w:val="00593ED4"/>
    <w:rsid w:val="00593FB6"/>
    <w:rsid w:val="005945BF"/>
    <w:rsid w:val="005945E2"/>
    <w:rsid w:val="0059480F"/>
    <w:rsid w:val="005949D5"/>
    <w:rsid w:val="00594ACA"/>
    <w:rsid w:val="00594CF1"/>
    <w:rsid w:val="00594EC6"/>
    <w:rsid w:val="005950C3"/>
    <w:rsid w:val="0059574E"/>
    <w:rsid w:val="005958D5"/>
    <w:rsid w:val="00595CC0"/>
    <w:rsid w:val="00595CCC"/>
    <w:rsid w:val="00595FA1"/>
    <w:rsid w:val="00595FF6"/>
    <w:rsid w:val="005963A3"/>
    <w:rsid w:val="0059687F"/>
    <w:rsid w:val="00596E26"/>
    <w:rsid w:val="00596FC2"/>
    <w:rsid w:val="005972E2"/>
    <w:rsid w:val="005973FF"/>
    <w:rsid w:val="005974E1"/>
    <w:rsid w:val="00597641"/>
    <w:rsid w:val="00597696"/>
    <w:rsid w:val="005977D1"/>
    <w:rsid w:val="0059784C"/>
    <w:rsid w:val="005979A6"/>
    <w:rsid w:val="00597D42"/>
    <w:rsid w:val="005A0103"/>
    <w:rsid w:val="005A07B5"/>
    <w:rsid w:val="005A07FC"/>
    <w:rsid w:val="005A1043"/>
    <w:rsid w:val="005A104C"/>
    <w:rsid w:val="005A12AC"/>
    <w:rsid w:val="005A1635"/>
    <w:rsid w:val="005A1D7D"/>
    <w:rsid w:val="005A1FEA"/>
    <w:rsid w:val="005A219C"/>
    <w:rsid w:val="005A25B0"/>
    <w:rsid w:val="005A2823"/>
    <w:rsid w:val="005A28D5"/>
    <w:rsid w:val="005A29C8"/>
    <w:rsid w:val="005A2A9F"/>
    <w:rsid w:val="005A2D5C"/>
    <w:rsid w:val="005A2E4D"/>
    <w:rsid w:val="005A2EEB"/>
    <w:rsid w:val="005A3008"/>
    <w:rsid w:val="005A340C"/>
    <w:rsid w:val="005A3663"/>
    <w:rsid w:val="005A3BE1"/>
    <w:rsid w:val="005A3E16"/>
    <w:rsid w:val="005A4397"/>
    <w:rsid w:val="005A446E"/>
    <w:rsid w:val="005A46EB"/>
    <w:rsid w:val="005A47D9"/>
    <w:rsid w:val="005A495B"/>
    <w:rsid w:val="005A4BFA"/>
    <w:rsid w:val="005A4EA4"/>
    <w:rsid w:val="005A5193"/>
    <w:rsid w:val="005A5396"/>
    <w:rsid w:val="005A55C4"/>
    <w:rsid w:val="005A56CF"/>
    <w:rsid w:val="005A56FA"/>
    <w:rsid w:val="005A5A9D"/>
    <w:rsid w:val="005A5DFB"/>
    <w:rsid w:val="005A608F"/>
    <w:rsid w:val="005A626D"/>
    <w:rsid w:val="005A642E"/>
    <w:rsid w:val="005A64AB"/>
    <w:rsid w:val="005A6595"/>
    <w:rsid w:val="005A696B"/>
    <w:rsid w:val="005A6ED7"/>
    <w:rsid w:val="005A6F55"/>
    <w:rsid w:val="005A7095"/>
    <w:rsid w:val="005A70C8"/>
    <w:rsid w:val="005A70D6"/>
    <w:rsid w:val="005A7149"/>
    <w:rsid w:val="005A7424"/>
    <w:rsid w:val="005A7608"/>
    <w:rsid w:val="005A7887"/>
    <w:rsid w:val="005A78DF"/>
    <w:rsid w:val="005A7AEA"/>
    <w:rsid w:val="005A7B22"/>
    <w:rsid w:val="005A7C27"/>
    <w:rsid w:val="005B0012"/>
    <w:rsid w:val="005B02AD"/>
    <w:rsid w:val="005B0321"/>
    <w:rsid w:val="005B055A"/>
    <w:rsid w:val="005B0599"/>
    <w:rsid w:val="005B09BD"/>
    <w:rsid w:val="005B0DA8"/>
    <w:rsid w:val="005B0F2D"/>
    <w:rsid w:val="005B0F7A"/>
    <w:rsid w:val="005B14A6"/>
    <w:rsid w:val="005B170A"/>
    <w:rsid w:val="005B1CF3"/>
    <w:rsid w:val="005B1E17"/>
    <w:rsid w:val="005B1FAE"/>
    <w:rsid w:val="005B2055"/>
    <w:rsid w:val="005B20FC"/>
    <w:rsid w:val="005B210C"/>
    <w:rsid w:val="005B27BE"/>
    <w:rsid w:val="005B2CC4"/>
    <w:rsid w:val="005B3091"/>
    <w:rsid w:val="005B3642"/>
    <w:rsid w:val="005B3742"/>
    <w:rsid w:val="005B3D8A"/>
    <w:rsid w:val="005B3FE3"/>
    <w:rsid w:val="005B3FE6"/>
    <w:rsid w:val="005B430C"/>
    <w:rsid w:val="005B47D9"/>
    <w:rsid w:val="005B50F3"/>
    <w:rsid w:val="005B5160"/>
    <w:rsid w:val="005B5B76"/>
    <w:rsid w:val="005B5F2C"/>
    <w:rsid w:val="005B5F85"/>
    <w:rsid w:val="005B6073"/>
    <w:rsid w:val="005B6473"/>
    <w:rsid w:val="005B64E4"/>
    <w:rsid w:val="005B64FB"/>
    <w:rsid w:val="005B7465"/>
    <w:rsid w:val="005B7751"/>
    <w:rsid w:val="005B784F"/>
    <w:rsid w:val="005B794C"/>
    <w:rsid w:val="005B7BAD"/>
    <w:rsid w:val="005B7C77"/>
    <w:rsid w:val="005C0191"/>
    <w:rsid w:val="005C02D7"/>
    <w:rsid w:val="005C076B"/>
    <w:rsid w:val="005C0898"/>
    <w:rsid w:val="005C0E29"/>
    <w:rsid w:val="005C103F"/>
    <w:rsid w:val="005C14E2"/>
    <w:rsid w:val="005C15CF"/>
    <w:rsid w:val="005C1839"/>
    <w:rsid w:val="005C1A3D"/>
    <w:rsid w:val="005C1A54"/>
    <w:rsid w:val="005C1C76"/>
    <w:rsid w:val="005C1D73"/>
    <w:rsid w:val="005C1E3B"/>
    <w:rsid w:val="005C2166"/>
    <w:rsid w:val="005C2189"/>
    <w:rsid w:val="005C22BE"/>
    <w:rsid w:val="005C2753"/>
    <w:rsid w:val="005C2775"/>
    <w:rsid w:val="005C2A62"/>
    <w:rsid w:val="005C2C01"/>
    <w:rsid w:val="005C2D51"/>
    <w:rsid w:val="005C3322"/>
    <w:rsid w:val="005C3D45"/>
    <w:rsid w:val="005C3DC8"/>
    <w:rsid w:val="005C3F7D"/>
    <w:rsid w:val="005C4097"/>
    <w:rsid w:val="005C44C2"/>
    <w:rsid w:val="005C46EE"/>
    <w:rsid w:val="005C4781"/>
    <w:rsid w:val="005C49F1"/>
    <w:rsid w:val="005C4AB2"/>
    <w:rsid w:val="005C4DA1"/>
    <w:rsid w:val="005C4E54"/>
    <w:rsid w:val="005C52F1"/>
    <w:rsid w:val="005C5607"/>
    <w:rsid w:val="005C56F2"/>
    <w:rsid w:val="005C5834"/>
    <w:rsid w:val="005C59F7"/>
    <w:rsid w:val="005C5A6E"/>
    <w:rsid w:val="005C5DFE"/>
    <w:rsid w:val="005C5F69"/>
    <w:rsid w:val="005C5F8C"/>
    <w:rsid w:val="005C62A1"/>
    <w:rsid w:val="005C67D8"/>
    <w:rsid w:val="005C68B7"/>
    <w:rsid w:val="005C6974"/>
    <w:rsid w:val="005C6ACC"/>
    <w:rsid w:val="005C703A"/>
    <w:rsid w:val="005C70D1"/>
    <w:rsid w:val="005C76BF"/>
    <w:rsid w:val="005C76F7"/>
    <w:rsid w:val="005C77ED"/>
    <w:rsid w:val="005C7B7D"/>
    <w:rsid w:val="005C7DA0"/>
    <w:rsid w:val="005CF1A9"/>
    <w:rsid w:val="005D0063"/>
    <w:rsid w:val="005D01F3"/>
    <w:rsid w:val="005D0265"/>
    <w:rsid w:val="005D028A"/>
    <w:rsid w:val="005D051A"/>
    <w:rsid w:val="005D0624"/>
    <w:rsid w:val="005D076F"/>
    <w:rsid w:val="005D07DE"/>
    <w:rsid w:val="005D09DC"/>
    <w:rsid w:val="005D0A63"/>
    <w:rsid w:val="005D0B5B"/>
    <w:rsid w:val="005D0D8B"/>
    <w:rsid w:val="005D1398"/>
    <w:rsid w:val="005D13CF"/>
    <w:rsid w:val="005D17D3"/>
    <w:rsid w:val="005D1901"/>
    <w:rsid w:val="005D19BB"/>
    <w:rsid w:val="005D19D6"/>
    <w:rsid w:val="005D1BCE"/>
    <w:rsid w:val="005D1CA5"/>
    <w:rsid w:val="005D1CC5"/>
    <w:rsid w:val="005D1D4A"/>
    <w:rsid w:val="005D22A6"/>
    <w:rsid w:val="005D2329"/>
    <w:rsid w:val="005D2846"/>
    <w:rsid w:val="005D29FF"/>
    <w:rsid w:val="005D2A98"/>
    <w:rsid w:val="005D2B65"/>
    <w:rsid w:val="005D2E75"/>
    <w:rsid w:val="005D2FA4"/>
    <w:rsid w:val="005D3293"/>
    <w:rsid w:val="005D38A7"/>
    <w:rsid w:val="005D3992"/>
    <w:rsid w:val="005D3C53"/>
    <w:rsid w:val="005D3CA3"/>
    <w:rsid w:val="005D3DAD"/>
    <w:rsid w:val="005D4268"/>
    <w:rsid w:val="005D4521"/>
    <w:rsid w:val="005D458E"/>
    <w:rsid w:val="005D4642"/>
    <w:rsid w:val="005D464D"/>
    <w:rsid w:val="005D4B5D"/>
    <w:rsid w:val="005D4C90"/>
    <w:rsid w:val="005D5402"/>
    <w:rsid w:val="005D54F3"/>
    <w:rsid w:val="005D580D"/>
    <w:rsid w:val="005D5915"/>
    <w:rsid w:val="005D5A64"/>
    <w:rsid w:val="005D5BCB"/>
    <w:rsid w:val="005D6156"/>
    <w:rsid w:val="005D630D"/>
    <w:rsid w:val="005D669E"/>
    <w:rsid w:val="005D6B2B"/>
    <w:rsid w:val="005D6B69"/>
    <w:rsid w:val="005D6BA7"/>
    <w:rsid w:val="005D6F69"/>
    <w:rsid w:val="005D791F"/>
    <w:rsid w:val="005D7B4A"/>
    <w:rsid w:val="005D7D02"/>
    <w:rsid w:val="005E001B"/>
    <w:rsid w:val="005E0612"/>
    <w:rsid w:val="005E07DA"/>
    <w:rsid w:val="005E080D"/>
    <w:rsid w:val="005E096A"/>
    <w:rsid w:val="005E0ABB"/>
    <w:rsid w:val="005E0FE4"/>
    <w:rsid w:val="005E13BB"/>
    <w:rsid w:val="005E152F"/>
    <w:rsid w:val="005E15B7"/>
    <w:rsid w:val="005E1798"/>
    <w:rsid w:val="005E18BA"/>
    <w:rsid w:val="005E1900"/>
    <w:rsid w:val="005E19A2"/>
    <w:rsid w:val="005E1F14"/>
    <w:rsid w:val="005E2399"/>
    <w:rsid w:val="005E243F"/>
    <w:rsid w:val="005E2510"/>
    <w:rsid w:val="005E26B7"/>
    <w:rsid w:val="005E28B2"/>
    <w:rsid w:val="005E2C94"/>
    <w:rsid w:val="005E30E2"/>
    <w:rsid w:val="005E3ED1"/>
    <w:rsid w:val="005E3F60"/>
    <w:rsid w:val="005E4195"/>
    <w:rsid w:val="005E433E"/>
    <w:rsid w:val="005E4741"/>
    <w:rsid w:val="005E4766"/>
    <w:rsid w:val="005E48A5"/>
    <w:rsid w:val="005E49C4"/>
    <w:rsid w:val="005E4C93"/>
    <w:rsid w:val="005E4DD4"/>
    <w:rsid w:val="005E5255"/>
    <w:rsid w:val="005E539F"/>
    <w:rsid w:val="005E5855"/>
    <w:rsid w:val="005E5D09"/>
    <w:rsid w:val="005E635E"/>
    <w:rsid w:val="005E6C68"/>
    <w:rsid w:val="005E6D8E"/>
    <w:rsid w:val="005E6F9D"/>
    <w:rsid w:val="005E7088"/>
    <w:rsid w:val="005E71E1"/>
    <w:rsid w:val="005E7592"/>
    <w:rsid w:val="005E7938"/>
    <w:rsid w:val="005E7BA3"/>
    <w:rsid w:val="005E7D28"/>
    <w:rsid w:val="005E7F21"/>
    <w:rsid w:val="005F0073"/>
    <w:rsid w:val="005F010F"/>
    <w:rsid w:val="005F01F2"/>
    <w:rsid w:val="005F02AA"/>
    <w:rsid w:val="005F0489"/>
    <w:rsid w:val="005F0914"/>
    <w:rsid w:val="005F11E2"/>
    <w:rsid w:val="005F124A"/>
    <w:rsid w:val="005F1279"/>
    <w:rsid w:val="005F1419"/>
    <w:rsid w:val="005F2200"/>
    <w:rsid w:val="005F23E5"/>
    <w:rsid w:val="005F2A64"/>
    <w:rsid w:val="005F2BB7"/>
    <w:rsid w:val="005F2F2F"/>
    <w:rsid w:val="005F30CE"/>
    <w:rsid w:val="005F30E7"/>
    <w:rsid w:val="005F3262"/>
    <w:rsid w:val="005F3314"/>
    <w:rsid w:val="005F346F"/>
    <w:rsid w:val="005F3BA5"/>
    <w:rsid w:val="005F41F8"/>
    <w:rsid w:val="005F4307"/>
    <w:rsid w:val="005F47EF"/>
    <w:rsid w:val="005F49EF"/>
    <w:rsid w:val="005F4F8A"/>
    <w:rsid w:val="005F53F5"/>
    <w:rsid w:val="005F5609"/>
    <w:rsid w:val="005F56BE"/>
    <w:rsid w:val="005F56FF"/>
    <w:rsid w:val="005F57DC"/>
    <w:rsid w:val="005F6234"/>
    <w:rsid w:val="005F6582"/>
    <w:rsid w:val="005F6688"/>
    <w:rsid w:val="005F675B"/>
    <w:rsid w:val="005F6791"/>
    <w:rsid w:val="005F6CAA"/>
    <w:rsid w:val="005F6DDE"/>
    <w:rsid w:val="005F6E97"/>
    <w:rsid w:val="005F6F0B"/>
    <w:rsid w:val="005F7CC5"/>
    <w:rsid w:val="005F7DA9"/>
    <w:rsid w:val="005F7FE1"/>
    <w:rsid w:val="006002D3"/>
    <w:rsid w:val="006005BA"/>
    <w:rsid w:val="0060080B"/>
    <w:rsid w:val="00600C2E"/>
    <w:rsid w:val="00600C84"/>
    <w:rsid w:val="00600CD4"/>
    <w:rsid w:val="00601A60"/>
    <w:rsid w:val="00601E81"/>
    <w:rsid w:val="00602118"/>
    <w:rsid w:val="0060211F"/>
    <w:rsid w:val="006024CB"/>
    <w:rsid w:val="00602743"/>
    <w:rsid w:val="006027EF"/>
    <w:rsid w:val="006029F5"/>
    <w:rsid w:val="006029FE"/>
    <w:rsid w:val="00603281"/>
    <w:rsid w:val="006037CD"/>
    <w:rsid w:val="006037DA"/>
    <w:rsid w:val="0060382E"/>
    <w:rsid w:val="0060404D"/>
    <w:rsid w:val="00604271"/>
    <w:rsid w:val="006046DA"/>
    <w:rsid w:val="00604B92"/>
    <w:rsid w:val="00604E9D"/>
    <w:rsid w:val="00605234"/>
    <w:rsid w:val="00605284"/>
    <w:rsid w:val="0060529F"/>
    <w:rsid w:val="00605462"/>
    <w:rsid w:val="0060609F"/>
    <w:rsid w:val="0060639A"/>
    <w:rsid w:val="006064B7"/>
    <w:rsid w:val="00606A0B"/>
    <w:rsid w:val="00606B36"/>
    <w:rsid w:val="00606B53"/>
    <w:rsid w:val="00606C1F"/>
    <w:rsid w:val="006070B5"/>
    <w:rsid w:val="00607264"/>
    <w:rsid w:val="006072B0"/>
    <w:rsid w:val="006073F0"/>
    <w:rsid w:val="00607C0B"/>
    <w:rsid w:val="00607CB1"/>
    <w:rsid w:val="00607DB2"/>
    <w:rsid w:val="00607DE2"/>
    <w:rsid w:val="00607EFC"/>
    <w:rsid w:val="0061017C"/>
    <w:rsid w:val="00610227"/>
    <w:rsid w:val="006109B3"/>
    <w:rsid w:val="00611492"/>
    <w:rsid w:val="00611A40"/>
    <w:rsid w:val="00611D86"/>
    <w:rsid w:val="00611F57"/>
    <w:rsid w:val="00611FCD"/>
    <w:rsid w:val="00612397"/>
    <w:rsid w:val="0061244D"/>
    <w:rsid w:val="006124EE"/>
    <w:rsid w:val="00612690"/>
    <w:rsid w:val="0061284A"/>
    <w:rsid w:val="006128C4"/>
    <w:rsid w:val="00612B22"/>
    <w:rsid w:val="00612D88"/>
    <w:rsid w:val="00612F44"/>
    <w:rsid w:val="0061301C"/>
    <w:rsid w:val="0061336D"/>
    <w:rsid w:val="00613669"/>
    <w:rsid w:val="006136C6"/>
    <w:rsid w:val="00613967"/>
    <w:rsid w:val="00613F16"/>
    <w:rsid w:val="006143D6"/>
    <w:rsid w:val="00614647"/>
    <w:rsid w:val="00614BCC"/>
    <w:rsid w:val="00614C25"/>
    <w:rsid w:val="00614C29"/>
    <w:rsid w:val="00614D49"/>
    <w:rsid w:val="00615005"/>
    <w:rsid w:val="006153BB"/>
    <w:rsid w:val="0061545D"/>
    <w:rsid w:val="006155CE"/>
    <w:rsid w:val="00615A69"/>
    <w:rsid w:val="00615AFA"/>
    <w:rsid w:val="00615B7A"/>
    <w:rsid w:val="00615D2B"/>
    <w:rsid w:val="00616172"/>
    <w:rsid w:val="0061617F"/>
    <w:rsid w:val="00616672"/>
    <w:rsid w:val="006168E0"/>
    <w:rsid w:val="00616CDC"/>
    <w:rsid w:val="00616E79"/>
    <w:rsid w:val="00617168"/>
    <w:rsid w:val="00617938"/>
    <w:rsid w:val="006179CE"/>
    <w:rsid w:val="00617E00"/>
    <w:rsid w:val="00620025"/>
    <w:rsid w:val="006204E5"/>
    <w:rsid w:val="00620514"/>
    <w:rsid w:val="006207AD"/>
    <w:rsid w:val="00620BAE"/>
    <w:rsid w:val="00620D4F"/>
    <w:rsid w:val="00621482"/>
    <w:rsid w:val="006217DA"/>
    <w:rsid w:val="00621855"/>
    <w:rsid w:val="00621AC8"/>
    <w:rsid w:val="00621FAB"/>
    <w:rsid w:val="00622136"/>
    <w:rsid w:val="00622382"/>
    <w:rsid w:val="006223D2"/>
    <w:rsid w:val="00622706"/>
    <w:rsid w:val="0062290D"/>
    <w:rsid w:val="00622F4A"/>
    <w:rsid w:val="006231E2"/>
    <w:rsid w:val="0062328F"/>
    <w:rsid w:val="0062361B"/>
    <w:rsid w:val="006236B9"/>
    <w:rsid w:val="00623E56"/>
    <w:rsid w:val="00624280"/>
    <w:rsid w:val="0062450C"/>
    <w:rsid w:val="00624592"/>
    <w:rsid w:val="006248CB"/>
    <w:rsid w:val="00624B26"/>
    <w:rsid w:val="0062500A"/>
    <w:rsid w:val="0062521A"/>
    <w:rsid w:val="00625791"/>
    <w:rsid w:val="0062583C"/>
    <w:rsid w:val="00625AE4"/>
    <w:rsid w:val="00625BFE"/>
    <w:rsid w:val="0062636B"/>
    <w:rsid w:val="00626C1B"/>
    <w:rsid w:val="00626EA1"/>
    <w:rsid w:val="00626F71"/>
    <w:rsid w:val="00627132"/>
    <w:rsid w:val="0062740C"/>
    <w:rsid w:val="006277D8"/>
    <w:rsid w:val="00627C66"/>
    <w:rsid w:val="00627D05"/>
    <w:rsid w:val="00627DBE"/>
    <w:rsid w:val="006300C5"/>
    <w:rsid w:val="00630AD2"/>
    <w:rsid w:val="00630B15"/>
    <w:rsid w:val="00630DEF"/>
    <w:rsid w:val="00630E94"/>
    <w:rsid w:val="00630F54"/>
    <w:rsid w:val="006310C5"/>
    <w:rsid w:val="006310FE"/>
    <w:rsid w:val="0063139F"/>
    <w:rsid w:val="00631594"/>
    <w:rsid w:val="00631631"/>
    <w:rsid w:val="00631806"/>
    <w:rsid w:val="00631AA6"/>
    <w:rsid w:val="00631BA1"/>
    <w:rsid w:val="00631EF5"/>
    <w:rsid w:val="00632331"/>
    <w:rsid w:val="006324C5"/>
    <w:rsid w:val="00632540"/>
    <w:rsid w:val="00632647"/>
    <w:rsid w:val="006328CE"/>
    <w:rsid w:val="00632C12"/>
    <w:rsid w:val="00632DA9"/>
    <w:rsid w:val="00633031"/>
    <w:rsid w:val="0063308B"/>
    <w:rsid w:val="006332B8"/>
    <w:rsid w:val="00633368"/>
    <w:rsid w:val="006335A6"/>
    <w:rsid w:val="00633CEE"/>
    <w:rsid w:val="00633DB0"/>
    <w:rsid w:val="00634066"/>
    <w:rsid w:val="006344A1"/>
    <w:rsid w:val="0063465C"/>
    <w:rsid w:val="0063485B"/>
    <w:rsid w:val="006348F1"/>
    <w:rsid w:val="006348FD"/>
    <w:rsid w:val="00634971"/>
    <w:rsid w:val="00634A18"/>
    <w:rsid w:val="00634B09"/>
    <w:rsid w:val="00634D9D"/>
    <w:rsid w:val="00634F1F"/>
    <w:rsid w:val="00635026"/>
    <w:rsid w:val="006350E0"/>
    <w:rsid w:val="0063521F"/>
    <w:rsid w:val="006355FB"/>
    <w:rsid w:val="00635780"/>
    <w:rsid w:val="00635815"/>
    <w:rsid w:val="00635D78"/>
    <w:rsid w:val="00635E37"/>
    <w:rsid w:val="006361F3"/>
    <w:rsid w:val="0063628D"/>
    <w:rsid w:val="006362E1"/>
    <w:rsid w:val="00636345"/>
    <w:rsid w:val="006363BB"/>
    <w:rsid w:val="00636596"/>
    <w:rsid w:val="006366FA"/>
    <w:rsid w:val="00636BC6"/>
    <w:rsid w:val="00637967"/>
    <w:rsid w:val="00640074"/>
    <w:rsid w:val="006400BB"/>
    <w:rsid w:val="00640126"/>
    <w:rsid w:val="0064023F"/>
    <w:rsid w:val="006404C1"/>
    <w:rsid w:val="0064056D"/>
    <w:rsid w:val="006405E6"/>
    <w:rsid w:val="00640749"/>
    <w:rsid w:val="006407E2"/>
    <w:rsid w:val="00640ADA"/>
    <w:rsid w:val="006412FB"/>
    <w:rsid w:val="006415F0"/>
    <w:rsid w:val="006417AE"/>
    <w:rsid w:val="00641E25"/>
    <w:rsid w:val="00641EBE"/>
    <w:rsid w:val="00642198"/>
    <w:rsid w:val="006422BF"/>
    <w:rsid w:val="00642398"/>
    <w:rsid w:val="006424E7"/>
    <w:rsid w:val="00642503"/>
    <w:rsid w:val="00642606"/>
    <w:rsid w:val="00642652"/>
    <w:rsid w:val="00642ACE"/>
    <w:rsid w:val="00642B59"/>
    <w:rsid w:val="00643152"/>
    <w:rsid w:val="006432DA"/>
    <w:rsid w:val="0064366E"/>
    <w:rsid w:val="00643996"/>
    <w:rsid w:val="00643F9C"/>
    <w:rsid w:val="006440A7"/>
    <w:rsid w:val="00644421"/>
    <w:rsid w:val="0064480D"/>
    <w:rsid w:val="00644A15"/>
    <w:rsid w:val="00644AFE"/>
    <w:rsid w:val="00644D5D"/>
    <w:rsid w:val="00645193"/>
    <w:rsid w:val="006452EB"/>
    <w:rsid w:val="00645B62"/>
    <w:rsid w:val="00645BE9"/>
    <w:rsid w:val="006460CB"/>
    <w:rsid w:val="00646189"/>
    <w:rsid w:val="00646298"/>
    <w:rsid w:val="00646707"/>
    <w:rsid w:val="00646C05"/>
    <w:rsid w:val="00646D55"/>
    <w:rsid w:val="0064722E"/>
    <w:rsid w:val="00647856"/>
    <w:rsid w:val="00647B2D"/>
    <w:rsid w:val="00647D79"/>
    <w:rsid w:val="00647EA0"/>
    <w:rsid w:val="00647FB8"/>
    <w:rsid w:val="0065048F"/>
    <w:rsid w:val="00650593"/>
    <w:rsid w:val="006508BE"/>
    <w:rsid w:val="006509C5"/>
    <w:rsid w:val="00650A07"/>
    <w:rsid w:val="00650D71"/>
    <w:rsid w:val="00650E90"/>
    <w:rsid w:val="00650F0D"/>
    <w:rsid w:val="0065117D"/>
    <w:rsid w:val="006511D3"/>
    <w:rsid w:val="00651B08"/>
    <w:rsid w:val="00651BE9"/>
    <w:rsid w:val="00651DC3"/>
    <w:rsid w:val="00651E64"/>
    <w:rsid w:val="00652543"/>
    <w:rsid w:val="0065258B"/>
    <w:rsid w:val="0065284A"/>
    <w:rsid w:val="00652FCE"/>
    <w:rsid w:val="006532BF"/>
    <w:rsid w:val="00653365"/>
    <w:rsid w:val="0065346B"/>
    <w:rsid w:val="00653478"/>
    <w:rsid w:val="00653AFE"/>
    <w:rsid w:val="006540E4"/>
    <w:rsid w:val="006541D3"/>
    <w:rsid w:val="00654493"/>
    <w:rsid w:val="00654499"/>
    <w:rsid w:val="00654A24"/>
    <w:rsid w:val="00654E3C"/>
    <w:rsid w:val="006550AA"/>
    <w:rsid w:val="0065510E"/>
    <w:rsid w:val="00655A36"/>
    <w:rsid w:val="00655BA8"/>
    <w:rsid w:val="00655DDD"/>
    <w:rsid w:val="00655E17"/>
    <w:rsid w:val="00655F2D"/>
    <w:rsid w:val="006562B3"/>
    <w:rsid w:val="006564D2"/>
    <w:rsid w:val="00656550"/>
    <w:rsid w:val="0065672F"/>
    <w:rsid w:val="006569A1"/>
    <w:rsid w:val="006569C2"/>
    <w:rsid w:val="00656A07"/>
    <w:rsid w:val="00656C3D"/>
    <w:rsid w:val="00656D4A"/>
    <w:rsid w:val="00656E8E"/>
    <w:rsid w:val="00657494"/>
    <w:rsid w:val="006574AA"/>
    <w:rsid w:val="00657BAF"/>
    <w:rsid w:val="00657DF8"/>
    <w:rsid w:val="00657F21"/>
    <w:rsid w:val="006600FD"/>
    <w:rsid w:val="006602E5"/>
    <w:rsid w:val="006602EB"/>
    <w:rsid w:val="0066034F"/>
    <w:rsid w:val="0066077F"/>
    <w:rsid w:val="00660871"/>
    <w:rsid w:val="006608E7"/>
    <w:rsid w:val="00660983"/>
    <w:rsid w:val="00660E18"/>
    <w:rsid w:val="00661140"/>
    <w:rsid w:val="006615F9"/>
    <w:rsid w:val="0066160C"/>
    <w:rsid w:val="00661901"/>
    <w:rsid w:val="00661B80"/>
    <w:rsid w:val="00661C3E"/>
    <w:rsid w:val="00662520"/>
    <w:rsid w:val="006625F1"/>
    <w:rsid w:val="00662747"/>
    <w:rsid w:val="006629EB"/>
    <w:rsid w:val="00662F79"/>
    <w:rsid w:val="006630FA"/>
    <w:rsid w:val="00663119"/>
    <w:rsid w:val="00663452"/>
    <w:rsid w:val="00663633"/>
    <w:rsid w:val="00663690"/>
    <w:rsid w:val="00663B04"/>
    <w:rsid w:val="00663B26"/>
    <w:rsid w:val="00663F4A"/>
    <w:rsid w:val="006640D2"/>
    <w:rsid w:val="0066444D"/>
    <w:rsid w:val="006648EA"/>
    <w:rsid w:val="00664AD7"/>
    <w:rsid w:val="00664D57"/>
    <w:rsid w:val="00664FEB"/>
    <w:rsid w:val="0066540F"/>
    <w:rsid w:val="00665AF0"/>
    <w:rsid w:val="00665B54"/>
    <w:rsid w:val="00665B70"/>
    <w:rsid w:val="00665C91"/>
    <w:rsid w:val="00665CE6"/>
    <w:rsid w:val="00665ED7"/>
    <w:rsid w:val="006661BA"/>
    <w:rsid w:val="006661C8"/>
    <w:rsid w:val="00666251"/>
    <w:rsid w:val="0066629F"/>
    <w:rsid w:val="00666555"/>
    <w:rsid w:val="0066673E"/>
    <w:rsid w:val="00666906"/>
    <w:rsid w:val="006669D2"/>
    <w:rsid w:val="00666B1A"/>
    <w:rsid w:val="00666C4F"/>
    <w:rsid w:val="00666CDB"/>
    <w:rsid w:val="00666DB9"/>
    <w:rsid w:val="00666E64"/>
    <w:rsid w:val="0066740F"/>
    <w:rsid w:val="00667411"/>
    <w:rsid w:val="00667490"/>
    <w:rsid w:val="006679A6"/>
    <w:rsid w:val="00667E4A"/>
    <w:rsid w:val="00667EA8"/>
    <w:rsid w:val="00670058"/>
    <w:rsid w:val="0067029C"/>
    <w:rsid w:val="00670353"/>
    <w:rsid w:val="00670450"/>
    <w:rsid w:val="00670E0A"/>
    <w:rsid w:val="00670E72"/>
    <w:rsid w:val="006711A8"/>
    <w:rsid w:val="006711E5"/>
    <w:rsid w:val="00671367"/>
    <w:rsid w:val="0067183F"/>
    <w:rsid w:val="0067185F"/>
    <w:rsid w:val="00671B9D"/>
    <w:rsid w:val="00671E97"/>
    <w:rsid w:val="00671EEA"/>
    <w:rsid w:val="00672613"/>
    <w:rsid w:val="0067269E"/>
    <w:rsid w:val="006727D1"/>
    <w:rsid w:val="00672BEA"/>
    <w:rsid w:val="006733DA"/>
    <w:rsid w:val="00673427"/>
    <w:rsid w:val="006736FE"/>
    <w:rsid w:val="006739FF"/>
    <w:rsid w:val="00673EEE"/>
    <w:rsid w:val="00673F7D"/>
    <w:rsid w:val="00674332"/>
    <w:rsid w:val="006747A3"/>
    <w:rsid w:val="00674B0F"/>
    <w:rsid w:val="00674B49"/>
    <w:rsid w:val="0067506C"/>
    <w:rsid w:val="0067523A"/>
    <w:rsid w:val="00675340"/>
    <w:rsid w:val="00675552"/>
    <w:rsid w:val="0067565D"/>
    <w:rsid w:val="006756AF"/>
    <w:rsid w:val="0067573E"/>
    <w:rsid w:val="006757A4"/>
    <w:rsid w:val="00675B0E"/>
    <w:rsid w:val="006761C2"/>
    <w:rsid w:val="0067629D"/>
    <w:rsid w:val="00676331"/>
    <w:rsid w:val="00676751"/>
    <w:rsid w:val="006767C6"/>
    <w:rsid w:val="00676B15"/>
    <w:rsid w:val="00676E1D"/>
    <w:rsid w:val="00676E2A"/>
    <w:rsid w:val="006771D8"/>
    <w:rsid w:val="00677270"/>
    <w:rsid w:val="0067731D"/>
    <w:rsid w:val="006776F1"/>
    <w:rsid w:val="006777AB"/>
    <w:rsid w:val="00680091"/>
    <w:rsid w:val="006802C4"/>
    <w:rsid w:val="00680360"/>
    <w:rsid w:val="006805C6"/>
    <w:rsid w:val="00680D49"/>
    <w:rsid w:val="00680FF6"/>
    <w:rsid w:val="00681057"/>
    <w:rsid w:val="006811B9"/>
    <w:rsid w:val="006812D4"/>
    <w:rsid w:val="00681620"/>
    <w:rsid w:val="00681754"/>
    <w:rsid w:val="00681794"/>
    <w:rsid w:val="0068183E"/>
    <w:rsid w:val="006818FF"/>
    <w:rsid w:val="006819CD"/>
    <w:rsid w:val="006819F1"/>
    <w:rsid w:val="00681E26"/>
    <w:rsid w:val="006820D7"/>
    <w:rsid w:val="00682167"/>
    <w:rsid w:val="0068237F"/>
    <w:rsid w:val="00682453"/>
    <w:rsid w:val="006824DA"/>
    <w:rsid w:val="0068259A"/>
    <w:rsid w:val="00682644"/>
    <w:rsid w:val="00682669"/>
    <w:rsid w:val="006826C0"/>
    <w:rsid w:val="00682738"/>
    <w:rsid w:val="00682770"/>
    <w:rsid w:val="006828A6"/>
    <w:rsid w:val="00682A39"/>
    <w:rsid w:val="00682B46"/>
    <w:rsid w:val="00682BAB"/>
    <w:rsid w:val="00682D71"/>
    <w:rsid w:val="00682E78"/>
    <w:rsid w:val="00683028"/>
    <w:rsid w:val="0068341D"/>
    <w:rsid w:val="006835DC"/>
    <w:rsid w:val="0068371F"/>
    <w:rsid w:val="006839D6"/>
    <w:rsid w:val="00683A49"/>
    <w:rsid w:val="00683A88"/>
    <w:rsid w:val="00683AB4"/>
    <w:rsid w:val="00683C65"/>
    <w:rsid w:val="00683FFF"/>
    <w:rsid w:val="00684009"/>
    <w:rsid w:val="00684336"/>
    <w:rsid w:val="006848E4"/>
    <w:rsid w:val="00684953"/>
    <w:rsid w:val="006849F1"/>
    <w:rsid w:val="00684E83"/>
    <w:rsid w:val="0068517E"/>
    <w:rsid w:val="00685A8D"/>
    <w:rsid w:val="00685F01"/>
    <w:rsid w:val="0068601E"/>
    <w:rsid w:val="00686089"/>
    <w:rsid w:val="0068613D"/>
    <w:rsid w:val="0068681F"/>
    <w:rsid w:val="00686929"/>
    <w:rsid w:val="00686BAD"/>
    <w:rsid w:val="00686E10"/>
    <w:rsid w:val="00687038"/>
    <w:rsid w:val="00687590"/>
    <w:rsid w:val="0068769E"/>
    <w:rsid w:val="00687818"/>
    <w:rsid w:val="006878B3"/>
    <w:rsid w:val="00687930"/>
    <w:rsid w:val="00687BC2"/>
    <w:rsid w:val="006901C4"/>
    <w:rsid w:val="00690490"/>
    <w:rsid w:val="0069049F"/>
    <w:rsid w:val="00690715"/>
    <w:rsid w:val="00690954"/>
    <w:rsid w:val="00690999"/>
    <w:rsid w:val="00690AA8"/>
    <w:rsid w:val="00690FDB"/>
    <w:rsid w:val="0069102C"/>
    <w:rsid w:val="00691110"/>
    <w:rsid w:val="00691780"/>
    <w:rsid w:val="006918EC"/>
    <w:rsid w:val="00691927"/>
    <w:rsid w:val="00691A76"/>
    <w:rsid w:val="00691C0A"/>
    <w:rsid w:val="00692159"/>
    <w:rsid w:val="00692240"/>
    <w:rsid w:val="006922E9"/>
    <w:rsid w:val="006922F6"/>
    <w:rsid w:val="00692499"/>
    <w:rsid w:val="0069249F"/>
    <w:rsid w:val="00692984"/>
    <w:rsid w:val="00692F4A"/>
    <w:rsid w:val="0069331A"/>
    <w:rsid w:val="0069332E"/>
    <w:rsid w:val="00693376"/>
    <w:rsid w:val="00693BD2"/>
    <w:rsid w:val="00693DE7"/>
    <w:rsid w:val="00694111"/>
    <w:rsid w:val="0069435B"/>
    <w:rsid w:val="00694442"/>
    <w:rsid w:val="00694647"/>
    <w:rsid w:val="0069468B"/>
    <w:rsid w:val="00694BE4"/>
    <w:rsid w:val="00694CAB"/>
    <w:rsid w:val="00694EA9"/>
    <w:rsid w:val="00694ED0"/>
    <w:rsid w:val="0069501B"/>
    <w:rsid w:val="00695674"/>
    <w:rsid w:val="00695695"/>
    <w:rsid w:val="0069577E"/>
    <w:rsid w:val="006958E1"/>
    <w:rsid w:val="00695E54"/>
    <w:rsid w:val="0069625C"/>
    <w:rsid w:val="00696325"/>
    <w:rsid w:val="006963B6"/>
    <w:rsid w:val="006963BF"/>
    <w:rsid w:val="00696839"/>
    <w:rsid w:val="00696FB1"/>
    <w:rsid w:val="006971A2"/>
    <w:rsid w:val="0069748D"/>
    <w:rsid w:val="0069767A"/>
    <w:rsid w:val="00697B55"/>
    <w:rsid w:val="00697B59"/>
    <w:rsid w:val="00697E4B"/>
    <w:rsid w:val="006A004D"/>
    <w:rsid w:val="006A03D3"/>
    <w:rsid w:val="006A0409"/>
    <w:rsid w:val="006A08E0"/>
    <w:rsid w:val="006A0AB7"/>
    <w:rsid w:val="006A0BE5"/>
    <w:rsid w:val="006A1010"/>
    <w:rsid w:val="006A1463"/>
    <w:rsid w:val="006A18A2"/>
    <w:rsid w:val="006A1910"/>
    <w:rsid w:val="006A1DAF"/>
    <w:rsid w:val="006A2146"/>
    <w:rsid w:val="006A26C7"/>
    <w:rsid w:val="006A2980"/>
    <w:rsid w:val="006A2A17"/>
    <w:rsid w:val="006A2C1E"/>
    <w:rsid w:val="006A305D"/>
    <w:rsid w:val="006A3293"/>
    <w:rsid w:val="006A340B"/>
    <w:rsid w:val="006A34B7"/>
    <w:rsid w:val="006A35C5"/>
    <w:rsid w:val="006A35EF"/>
    <w:rsid w:val="006A39B2"/>
    <w:rsid w:val="006A3AAE"/>
    <w:rsid w:val="006A3CBD"/>
    <w:rsid w:val="006A3DFF"/>
    <w:rsid w:val="006A427A"/>
    <w:rsid w:val="006A4356"/>
    <w:rsid w:val="006A44FF"/>
    <w:rsid w:val="006A46B2"/>
    <w:rsid w:val="006A4857"/>
    <w:rsid w:val="006A4D83"/>
    <w:rsid w:val="006A4FC6"/>
    <w:rsid w:val="006A5521"/>
    <w:rsid w:val="006A5B3C"/>
    <w:rsid w:val="006A5C0F"/>
    <w:rsid w:val="006A5D91"/>
    <w:rsid w:val="006A669B"/>
    <w:rsid w:val="006A69B3"/>
    <w:rsid w:val="006A6DD3"/>
    <w:rsid w:val="006A7008"/>
    <w:rsid w:val="006A71A7"/>
    <w:rsid w:val="006A724A"/>
    <w:rsid w:val="006A7A8D"/>
    <w:rsid w:val="006A7CB5"/>
    <w:rsid w:val="006B011B"/>
    <w:rsid w:val="006B046B"/>
    <w:rsid w:val="006B0485"/>
    <w:rsid w:val="006B04CA"/>
    <w:rsid w:val="006B06A9"/>
    <w:rsid w:val="006B0915"/>
    <w:rsid w:val="006B0D60"/>
    <w:rsid w:val="006B0DD5"/>
    <w:rsid w:val="006B0FBB"/>
    <w:rsid w:val="006B1049"/>
    <w:rsid w:val="006B11AA"/>
    <w:rsid w:val="006B11F1"/>
    <w:rsid w:val="006B14A9"/>
    <w:rsid w:val="006B16F7"/>
    <w:rsid w:val="006B1CA2"/>
    <w:rsid w:val="006B1E62"/>
    <w:rsid w:val="006B254A"/>
    <w:rsid w:val="006B261D"/>
    <w:rsid w:val="006B2806"/>
    <w:rsid w:val="006B296B"/>
    <w:rsid w:val="006B2C9F"/>
    <w:rsid w:val="006B2D16"/>
    <w:rsid w:val="006B2F8D"/>
    <w:rsid w:val="006B330E"/>
    <w:rsid w:val="006B3330"/>
    <w:rsid w:val="006B3779"/>
    <w:rsid w:val="006B3A70"/>
    <w:rsid w:val="006B3F42"/>
    <w:rsid w:val="006B4098"/>
    <w:rsid w:val="006B47A3"/>
    <w:rsid w:val="006B5117"/>
    <w:rsid w:val="006B51DC"/>
    <w:rsid w:val="006B51F6"/>
    <w:rsid w:val="006B5956"/>
    <w:rsid w:val="006B5CD9"/>
    <w:rsid w:val="006B5CF5"/>
    <w:rsid w:val="006B62C1"/>
    <w:rsid w:val="006B6330"/>
    <w:rsid w:val="006B6359"/>
    <w:rsid w:val="006B6391"/>
    <w:rsid w:val="006B6906"/>
    <w:rsid w:val="006B7833"/>
    <w:rsid w:val="006B7846"/>
    <w:rsid w:val="006B7BB6"/>
    <w:rsid w:val="006B7DDB"/>
    <w:rsid w:val="006B7FF8"/>
    <w:rsid w:val="006C0042"/>
    <w:rsid w:val="006C00CB"/>
    <w:rsid w:val="006C04FA"/>
    <w:rsid w:val="006C0588"/>
    <w:rsid w:val="006C06AF"/>
    <w:rsid w:val="006C09DD"/>
    <w:rsid w:val="006C0C74"/>
    <w:rsid w:val="006C1362"/>
    <w:rsid w:val="006C139B"/>
    <w:rsid w:val="006C1BAE"/>
    <w:rsid w:val="006C1D94"/>
    <w:rsid w:val="006C25E6"/>
    <w:rsid w:val="006C2677"/>
    <w:rsid w:val="006C2762"/>
    <w:rsid w:val="006C2F24"/>
    <w:rsid w:val="006C3021"/>
    <w:rsid w:val="006C3244"/>
    <w:rsid w:val="006C3298"/>
    <w:rsid w:val="006C3764"/>
    <w:rsid w:val="006C388E"/>
    <w:rsid w:val="006C398F"/>
    <w:rsid w:val="006C3EF3"/>
    <w:rsid w:val="006C3FE4"/>
    <w:rsid w:val="006C437A"/>
    <w:rsid w:val="006C43C7"/>
    <w:rsid w:val="006C4436"/>
    <w:rsid w:val="006C47B4"/>
    <w:rsid w:val="006C4ACE"/>
    <w:rsid w:val="006C4BFB"/>
    <w:rsid w:val="006C4C27"/>
    <w:rsid w:val="006C4E09"/>
    <w:rsid w:val="006C51DD"/>
    <w:rsid w:val="006C52C0"/>
    <w:rsid w:val="006C52DA"/>
    <w:rsid w:val="006C52E9"/>
    <w:rsid w:val="006C5476"/>
    <w:rsid w:val="006C563A"/>
    <w:rsid w:val="006C56BA"/>
    <w:rsid w:val="006C57D0"/>
    <w:rsid w:val="006C5A2D"/>
    <w:rsid w:val="006C626C"/>
    <w:rsid w:val="006C6351"/>
    <w:rsid w:val="006C651B"/>
    <w:rsid w:val="006C683A"/>
    <w:rsid w:val="006C6846"/>
    <w:rsid w:val="006C6941"/>
    <w:rsid w:val="006C6D9C"/>
    <w:rsid w:val="006C6E40"/>
    <w:rsid w:val="006C70F6"/>
    <w:rsid w:val="006C72E5"/>
    <w:rsid w:val="006C746D"/>
    <w:rsid w:val="006C7969"/>
    <w:rsid w:val="006C797D"/>
    <w:rsid w:val="006D02E7"/>
    <w:rsid w:val="006D063A"/>
    <w:rsid w:val="006D0834"/>
    <w:rsid w:val="006D08C3"/>
    <w:rsid w:val="006D0C45"/>
    <w:rsid w:val="006D0E6B"/>
    <w:rsid w:val="006D1247"/>
    <w:rsid w:val="006D1597"/>
    <w:rsid w:val="006D1877"/>
    <w:rsid w:val="006D1A1D"/>
    <w:rsid w:val="006D1A92"/>
    <w:rsid w:val="006D1EDB"/>
    <w:rsid w:val="006D2144"/>
    <w:rsid w:val="006D21C0"/>
    <w:rsid w:val="006D230A"/>
    <w:rsid w:val="006D24BC"/>
    <w:rsid w:val="006D31F3"/>
    <w:rsid w:val="006D32D2"/>
    <w:rsid w:val="006D3384"/>
    <w:rsid w:val="006D33F2"/>
    <w:rsid w:val="006D34A6"/>
    <w:rsid w:val="006D3768"/>
    <w:rsid w:val="006D381C"/>
    <w:rsid w:val="006D3940"/>
    <w:rsid w:val="006D3D69"/>
    <w:rsid w:val="006D3E1F"/>
    <w:rsid w:val="006D4182"/>
    <w:rsid w:val="006D4323"/>
    <w:rsid w:val="006D4956"/>
    <w:rsid w:val="006D553D"/>
    <w:rsid w:val="006D562B"/>
    <w:rsid w:val="006D5919"/>
    <w:rsid w:val="006D5E42"/>
    <w:rsid w:val="006D6472"/>
    <w:rsid w:val="006D6704"/>
    <w:rsid w:val="006D67BC"/>
    <w:rsid w:val="006D6B88"/>
    <w:rsid w:val="006D6BCA"/>
    <w:rsid w:val="006D71D2"/>
    <w:rsid w:val="006D73B5"/>
    <w:rsid w:val="006D7873"/>
    <w:rsid w:val="006D7C90"/>
    <w:rsid w:val="006D7FDF"/>
    <w:rsid w:val="006E060B"/>
    <w:rsid w:val="006E0C28"/>
    <w:rsid w:val="006E0CB3"/>
    <w:rsid w:val="006E118B"/>
    <w:rsid w:val="006E1324"/>
    <w:rsid w:val="006E1B0A"/>
    <w:rsid w:val="006E1D23"/>
    <w:rsid w:val="006E1F82"/>
    <w:rsid w:val="006E1F91"/>
    <w:rsid w:val="006E1FD8"/>
    <w:rsid w:val="006E270B"/>
    <w:rsid w:val="006E2B20"/>
    <w:rsid w:val="006E31CF"/>
    <w:rsid w:val="006E3811"/>
    <w:rsid w:val="006E3884"/>
    <w:rsid w:val="006E3CB5"/>
    <w:rsid w:val="006E3F53"/>
    <w:rsid w:val="006E3FCC"/>
    <w:rsid w:val="006E4025"/>
    <w:rsid w:val="006E42D7"/>
    <w:rsid w:val="006E44EC"/>
    <w:rsid w:val="006E44EF"/>
    <w:rsid w:val="006E4718"/>
    <w:rsid w:val="006E47EC"/>
    <w:rsid w:val="006E4BA9"/>
    <w:rsid w:val="006E4C86"/>
    <w:rsid w:val="006E4ECD"/>
    <w:rsid w:val="006E4FF1"/>
    <w:rsid w:val="006E539F"/>
    <w:rsid w:val="006E542C"/>
    <w:rsid w:val="006E560C"/>
    <w:rsid w:val="006E56A8"/>
    <w:rsid w:val="006E5776"/>
    <w:rsid w:val="006E58B5"/>
    <w:rsid w:val="006E5DA9"/>
    <w:rsid w:val="006E5ED7"/>
    <w:rsid w:val="006E6022"/>
    <w:rsid w:val="006E6091"/>
    <w:rsid w:val="006E60D4"/>
    <w:rsid w:val="006E64F5"/>
    <w:rsid w:val="006E69D9"/>
    <w:rsid w:val="006E6B66"/>
    <w:rsid w:val="006E6DF3"/>
    <w:rsid w:val="006E6DF6"/>
    <w:rsid w:val="006E6E79"/>
    <w:rsid w:val="006E7223"/>
    <w:rsid w:val="006E72CD"/>
    <w:rsid w:val="006E72E3"/>
    <w:rsid w:val="006E74D0"/>
    <w:rsid w:val="006E75D3"/>
    <w:rsid w:val="006E7C1B"/>
    <w:rsid w:val="006F025F"/>
    <w:rsid w:val="006F07CA"/>
    <w:rsid w:val="006F07DA"/>
    <w:rsid w:val="006F0B35"/>
    <w:rsid w:val="006F0FA8"/>
    <w:rsid w:val="006F1164"/>
    <w:rsid w:val="006F1564"/>
    <w:rsid w:val="006F16BB"/>
    <w:rsid w:val="006F17A6"/>
    <w:rsid w:val="006F18F4"/>
    <w:rsid w:val="006F228C"/>
    <w:rsid w:val="006F2375"/>
    <w:rsid w:val="006F2645"/>
    <w:rsid w:val="006F294C"/>
    <w:rsid w:val="006F2A88"/>
    <w:rsid w:val="006F2EAB"/>
    <w:rsid w:val="006F306A"/>
    <w:rsid w:val="006F3279"/>
    <w:rsid w:val="006F35D0"/>
    <w:rsid w:val="006F3682"/>
    <w:rsid w:val="006F3810"/>
    <w:rsid w:val="006F3996"/>
    <w:rsid w:val="006F399A"/>
    <w:rsid w:val="006F3BE7"/>
    <w:rsid w:val="006F3F85"/>
    <w:rsid w:val="006F3FEF"/>
    <w:rsid w:val="006F429F"/>
    <w:rsid w:val="006F4ADB"/>
    <w:rsid w:val="006F4C2E"/>
    <w:rsid w:val="006F4D18"/>
    <w:rsid w:val="006F560E"/>
    <w:rsid w:val="006F5E53"/>
    <w:rsid w:val="006F621E"/>
    <w:rsid w:val="006F668C"/>
    <w:rsid w:val="006F6978"/>
    <w:rsid w:val="006F6AB8"/>
    <w:rsid w:val="006F6CF9"/>
    <w:rsid w:val="006F7249"/>
    <w:rsid w:val="006F75AB"/>
    <w:rsid w:val="006F76CF"/>
    <w:rsid w:val="006F7987"/>
    <w:rsid w:val="006F79B1"/>
    <w:rsid w:val="006F7A0B"/>
    <w:rsid w:val="006F7D65"/>
    <w:rsid w:val="0070000F"/>
    <w:rsid w:val="00700133"/>
    <w:rsid w:val="00700591"/>
    <w:rsid w:val="007006D5"/>
    <w:rsid w:val="00700830"/>
    <w:rsid w:val="0070092F"/>
    <w:rsid w:val="00700A27"/>
    <w:rsid w:val="00700CE0"/>
    <w:rsid w:val="00700D09"/>
    <w:rsid w:val="00700D74"/>
    <w:rsid w:val="00701085"/>
    <w:rsid w:val="0070108F"/>
    <w:rsid w:val="00701262"/>
    <w:rsid w:val="007015B2"/>
    <w:rsid w:val="00701C2E"/>
    <w:rsid w:val="00701CE3"/>
    <w:rsid w:val="00701F5D"/>
    <w:rsid w:val="007023BA"/>
    <w:rsid w:val="007023D0"/>
    <w:rsid w:val="007024E6"/>
    <w:rsid w:val="007024ED"/>
    <w:rsid w:val="00702508"/>
    <w:rsid w:val="0070272D"/>
    <w:rsid w:val="00702ABF"/>
    <w:rsid w:val="00702B98"/>
    <w:rsid w:val="00702DC0"/>
    <w:rsid w:val="00703138"/>
    <w:rsid w:val="0070322E"/>
    <w:rsid w:val="00703776"/>
    <w:rsid w:val="007038E1"/>
    <w:rsid w:val="00704109"/>
    <w:rsid w:val="007043E9"/>
    <w:rsid w:val="0070468F"/>
    <w:rsid w:val="0070495A"/>
    <w:rsid w:val="00704B73"/>
    <w:rsid w:val="00704CA3"/>
    <w:rsid w:val="00704CC1"/>
    <w:rsid w:val="00704DB3"/>
    <w:rsid w:val="007052F4"/>
    <w:rsid w:val="00705308"/>
    <w:rsid w:val="00705615"/>
    <w:rsid w:val="0070566C"/>
    <w:rsid w:val="00705B06"/>
    <w:rsid w:val="00705CE4"/>
    <w:rsid w:val="00705E14"/>
    <w:rsid w:val="00705FEA"/>
    <w:rsid w:val="00706096"/>
    <w:rsid w:val="007061C8"/>
    <w:rsid w:val="007061FD"/>
    <w:rsid w:val="00706879"/>
    <w:rsid w:val="00706943"/>
    <w:rsid w:val="00706B69"/>
    <w:rsid w:val="00707322"/>
    <w:rsid w:val="00707420"/>
    <w:rsid w:val="00707561"/>
    <w:rsid w:val="00707748"/>
    <w:rsid w:val="007079DA"/>
    <w:rsid w:val="00707AA9"/>
    <w:rsid w:val="00707AE0"/>
    <w:rsid w:val="00707E1A"/>
    <w:rsid w:val="0071031A"/>
    <w:rsid w:val="00710400"/>
    <w:rsid w:val="0071049D"/>
    <w:rsid w:val="0071051B"/>
    <w:rsid w:val="00710684"/>
    <w:rsid w:val="007106D8"/>
    <w:rsid w:val="0071099B"/>
    <w:rsid w:val="00710A98"/>
    <w:rsid w:val="00710D90"/>
    <w:rsid w:val="00710FE9"/>
    <w:rsid w:val="0071116E"/>
    <w:rsid w:val="00711332"/>
    <w:rsid w:val="007113C8"/>
    <w:rsid w:val="0071161B"/>
    <w:rsid w:val="0071163C"/>
    <w:rsid w:val="0071188F"/>
    <w:rsid w:val="007119C3"/>
    <w:rsid w:val="007119F9"/>
    <w:rsid w:val="00711A32"/>
    <w:rsid w:val="00711A40"/>
    <w:rsid w:val="00711AD8"/>
    <w:rsid w:val="00711C36"/>
    <w:rsid w:val="00711EB6"/>
    <w:rsid w:val="00712156"/>
    <w:rsid w:val="007122D2"/>
    <w:rsid w:val="00712A4D"/>
    <w:rsid w:val="00712CDA"/>
    <w:rsid w:val="00712DEE"/>
    <w:rsid w:val="00712EAE"/>
    <w:rsid w:val="0071342A"/>
    <w:rsid w:val="00713683"/>
    <w:rsid w:val="0071381F"/>
    <w:rsid w:val="00713940"/>
    <w:rsid w:val="00713C66"/>
    <w:rsid w:val="00713E7A"/>
    <w:rsid w:val="00713EBE"/>
    <w:rsid w:val="007146C2"/>
    <w:rsid w:val="00714998"/>
    <w:rsid w:val="00714B3A"/>
    <w:rsid w:val="00715045"/>
    <w:rsid w:val="007151E0"/>
    <w:rsid w:val="0071520B"/>
    <w:rsid w:val="007154E1"/>
    <w:rsid w:val="00715517"/>
    <w:rsid w:val="007155CD"/>
    <w:rsid w:val="007155D7"/>
    <w:rsid w:val="0071576D"/>
    <w:rsid w:val="00715924"/>
    <w:rsid w:val="00715B18"/>
    <w:rsid w:val="00715C4F"/>
    <w:rsid w:val="00716271"/>
    <w:rsid w:val="00716496"/>
    <w:rsid w:val="00716543"/>
    <w:rsid w:val="00716596"/>
    <w:rsid w:val="00716630"/>
    <w:rsid w:val="00716726"/>
    <w:rsid w:val="00716EFC"/>
    <w:rsid w:val="00716F7B"/>
    <w:rsid w:val="00716FB0"/>
    <w:rsid w:val="0071712C"/>
    <w:rsid w:val="00717206"/>
    <w:rsid w:val="0071722F"/>
    <w:rsid w:val="007172DC"/>
    <w:rsid w:val="00717627"/>
    <w:rsid w:val="007178D6"/>
    <w:rsid w:val="00717A4D"/>
    <w:rsid w:val="00717C8A"/>
    <w:rsid w:val="00717CEE"/>
    <w:rsid w:val="00720455"/>
    <w:rsid w:val="007205AE"/>
    <w:rsid w:val="00720CB1"/>
    <w:rsid w:val="00720D77"/>
    <w:rsid w:val="00720DED"/>
    <w:rsid w:val="0072157C"/>
    <w:rsid w:val="007215CC"/>
    <w:rsid w:val="007219E5"/>
    <w:rsid w:val="00721C62"/>
    <w:rsid w:val="00721C81"/>
    <w:rsid w:val="00721CEE"/>
    <w:rsid w:val="00722142"/>
    <w:rsid w:val="00722B77"/>
    <w:rsid w:val="00722D9A"/>
    <w:rsid w:val="00722DE1"/>
    <w:rsid w:val="00723032"/>
    <w:rsid w:val="00723168"/>
    <w:rsid w:val="007232A1"/>
    <w:rsid w:val="0072366A"/>
    <w:rsid w:val="0072388B"/>
    <w:rsid w:val="00723C7C"/>
    <w:rsid w:val="00724947"/>
    <w:rsid w:val="00724A0B"/>
    <w:rsid w:val="00724B8D"/>
    <w:rsid w:val="0072504C"/>
    <w:rsid w:val="007250C0"/>
    <w:rsid w:val="007252E9"/>
    <w:rsid w:val="00725349"/>
    <w:rsid w:val="00725506"/>
    <w:rsid w:val="007255D8"/>
    <w:rsid w:val="00725A9B"/>
    <w:rsid w:val="00725E87"/>
    <w:rsid w:val="007261D5"/>
    <w:rsid w:val="007265A5"/>
    <w:rsid w:val="00726A62"/>
    <w:rsid w:val="00726E3A"/>
    <w:rsid w:val="00726F10"/>
    <w:rsid w:val="00727401"/>
    <w:rsid w:val="007276A9"/>
    <w:rsid w:val="00727B08"/>
    <w:rsid w:val="00727E15"/>
    <w:rsid w:val="0072D6FA"/>
    <w:rsid w:val="00730303"/>
    <w:rsid w:val="00730E0E"/>
    <w:rsid w:val="00730F9D"/>
    <w:rsid w:val="007310F8"/>
    <w:rsid w:val="0073122C"/>
    <w:rsid w:val="00731275"/>
    <w:rsid w:val="0073138F"/>
    <w:rsid w:val="00731516"/>
    <w:rsid w:val="00731575"/>
    <w:rsid w:val="0073161D"/>
    <w:rsid w:val="00731678"/>
    <w:rsid w:val="00731731"/>
    <w:rsid w:val="007320D7"/>
    <w:rsid w:val="007323AE"/>
    <w:rsid w:val="007325E4"/>
    <w:rsid w:val="007329C1"/>
    <w:rsid w:val="00732AA9"/>
    <w:rsid w:val="00732BA0"/>
    <w:rsid w:val="00733266"/>
    <w:rsid w:val="007333E9"/>
    <w:rsid w:val="007336E0"/>
    <w:rsid w:val="0073389F"/>
    <w:rsid w:val="00733AA8"/>
    <w:rsid w:val="00733DBF"/>
    <w:rsid w:val="00734281"/>
    <w:rsid w:val="00734306"/>
    <w:rsid w:val="007348F2"/>
    <w:rsid w:val="00734A4F"/>
    <w:rsid w:val="00735257"/>
    <w:rsid w:val="00735509"/>
    <w:rsid w:val="00735683"/>
    <w:rsid w:val="00735DB6"/>
    <w:rsid w:val="00735DE1"/>
    <w:rsid w:val="00735FDE"/>
    <w:rsid w:val="007360CC"/>
    <w:rsid w:val="0073631E"/>
    <w:rsid w:val="00736671"/>
    <w:rsid w:val="00736B44"/>
    <w:rsid w:val="007370B9"/>
    <w:rsid w:val="0073733C"/>
    <w:rsid w:val="007373D1"/>
    <w:rsid w:val="00737606"/>
    <w:rsid w:val="00737C09"/>
    <w:rsid w:val="00737DDD"/>
    <w:rsid w:val="00737E4D"/>
    <w:rsid w:val="00737E5A"/>
    <w:rsid w:val="0073DBDF"/>
    <w:rsid w:val="00740186"/>
    <w:rsid w:val="007402C5"/>
    <w:rsid w:val="00740750"/>
    <w:rsid w:val="00740D18"/>
    <w:rsid w:val="00741399"/>
    <w:rsid w:val="00741515"/>
    <w:rsid w:val="00741784"/>
    <w:rsid w:val="0074185C"/>
    <w:rsid w:val="00741A2E"/>
    <w:rsid w:val="00741C14"/>
    <w:rsid w:val="00741F5F"/>
    <w:rsid w:val="00742050"/>
    <w:rsid w:val="0074207F"/>
    <w:rsid w:val="00742435"/>
    <w:rsid w:val="00742737"/>
    <w:rsid w:val="00742967"/>
    <w:rsid w:val="00742AAC"/>
    <w:rsid w:val="00742E00"/>
    <w:rsid w:val="00742FEF"/>
    <w:rsid w:val="00743039"/>
    <w:rsid w:val="00743097"/>
    <w:rsid w:val="00743116"/>
    <w:rsid w:val="007431CB"/>
    <w:rsid w:val="00743340"/>
    <w:rsid w:val="0074342A"/>
    <w:rsid w:val="007437A5"/>
    <w:rsid w:val="007437A7"/>
    <w:rsid w:val="00743983"/>
    <w:rsid w:val="00743BF1"/>
    <w:rsid w:val="00743F56"/>
    <w:rsid w:val="007440C1"/>
    <w:rsid w:val="0074439F"/>
    <w:rsid w:val="0074456D"/>
    <w:rsid w:val="007447AA"/>
    <w:rsid w:val="0074494A"/>
    <w:rsid w:val="00744A08"/>
    <w:rsid w:val="00744D22"/>
    <w:rsid w:val="00744E69"/>
    <w:rsid w:val="00744EC2"/>
    <w:rsid w:val="00744F00"/>
    <w:rsid w:val="00745122"/>
    <w:rsid w:val="00745304"/>
    <w:rsid w:val="00745A2A"/>
    <w:rsid w:val="00745DA1"/>
    <w:rsid w:val="00745E70"/>
    <w:rsid w:val="00745EF4"/>
    <w:rsid w:val="0074607E"/>
    <w:rsid w:val="007460B4"/>
    <w:rsid w:val="0074679A"/>
    <w:rsid w:val="00746927"/>
    <w:rsid w:val="00746AF2"/>
    <w:rsid w:val="00746B03"/>
    <w:rsid w:val="00746CDC"/>
    <w:rsid w:val="00746CEC"/>
    <w:rsid w:val="00746D20"/>
    <w:rsid w:val="00746EFB"/>
    <w:rsid w:val="0074739D"/>
    <w:rsid w:val="0074740C"/>
    <w:rsid w:val="00747459"/>
    <w:rsid w:val="00747628"/>
    <w:rsid w:val="00747A15"/>
    <w:rsid w:val="00747A74"/>
    <w:rsid w:val="00747AA7"/>
    <w:rsid w:val="00747C02"/>
    <w:rsid w:val="00747E5E"/>
    <w:rsid w:val="0075024E"/>
    <w:rsid w:val="00750372"/>
    <w:rsid w:val="0075064C"/>
    <w:rsid w:val="0075066A"/>
    <w:rsid w:val="00750AAF"/>
    <w:rsid w:val="00751044"/>
    <w:rsid w:val="00751176"/>
    <w:rsid w:val="007511FA"/>
    <w:rsid w:val="00751345"/>
    <w:rsid w:val="0075152D"/>
    <w:rsid w:val="0075170A"/>
    <w:rsid w:val="00751829"/>
    <w:rsid w:val="00751B26"/>
    <w:rsid w:val="00751DAF"/>
    <w:rsid w:val="00751EA9"/>
    <w:rsid w:val="00752845"/>
    <w:rsid w:val="00752A1C"/>
    <w:rsid w:val="00752BBD"/>
    <w:rsid w:val="00752C69"/>
    <w:rsid w:val="00752CBF"/>
    <w:rsid w:val="00752DF1"/>
    <w:rsid w:val="00752E3D"/>
    <w:rsid w:val="00753244"/>
    <w:rsid w:val="0075342F"/>
    <w:rsid w:val="00753AC1"/>
    <w:rsid w:val="00753D1E"/>
    <w:rsid w:val="007541E5"/>
    <w:rsid w:val="00754255"/>
    <w:rsid w:val="007547A8"/>
    <w:rsid w:val="007548E3"/>
    <w:rsid w:val="00754A30"/>
    <w:rsid w:val="00754B5F"/>
    <w:rsid w:val="007553AD"/>
    <w:rsid w:val="00755564"/>
    <w:rsid w:val="0075563E"/>
    <w:rsid w:val="00755685"/>
    <w:rsid w:val="00755B05"/>
    <w:rsid w:val="00755BB8"/>
    <w:rsid w:val="00755C21"/>
    <w:rsid w:val="00755E86"/>
    <w:rsid w:val="0075656B"/>
    <w:rsid w:val="00756671"/>
    <w:rsid w:val="00756A41"/>
    <w:rsid w:val="00756F64"/>
    <w:rsid w:val="00757069"/>
    <w:rsid w:val="00757199"/>
    <w:rsid w:val="00757A97"/>
    <w:rsid w:val="00757D55"/>
    <w:rsid w:val="00757FCA"/>
    <w:rsid w:val="00760433"/>
    <w:rsid w:val="0076063A"/>
    <w:rsid w:val="0076094B"/>
    <w:rsid w:val="00760996"/>
    <w:rsid w:val="007609D0"/>
    <w:rsid w:val="00760CB1"/>
    <w:rsid w:val="00760EC7"/>
    <w:rsid w:val="00760F68"/>
    <w:rsid w:val="007610AD"/>
    <w:rsid w:val="007613A1"/>
    <w:rsid w:val="00761412"/>
    <w:rsid w:val="00761753"/>
    <w:rsid w:val="00761890"/>
    <w:rsid w:val="00761E33"/>
    <w:rsid w:val="00761FD2"/>
    <w:rsid w:val="00762028"/>
    <w:rsid w:val="00762084"/>
    <w:rsid w:val="00762228"/>
    <w:rsid w:val="00762252"/>
    <w:rsid w:val="0076258C"/>
    <w:rsid w:val="00762629"/>
    <w:rsid w:val="00762814"/>
    <w:rsid w:val="007628A7"/>
    <w:rsid w:val="007629C9"/>
    <w:rsid w:val="00762EA1"/>
    <w:rsid w:val="00762EDD"/>
    <w:rsid w:val="0076320E"/>
    <w:rsid w:val="0076326E"/>
    <w:rsid w:val="007633EE"/>
    <w:rsid w:val="00763CD2"/>
    <w:rsid w:val="00763E4C"/>
    <w:rsid w:val="0076403B"/>
    <w:rsid w:val="0076403E"/>
    <w:rsid w:val="007645F0"/>
    <w:rsid w:val="00764602"/>
    <w:rsid w:val="007649AD"/>
    <w:rsid w:val="00764B2D"/>
    <w:rsid w:val="00764B61"/>
    <w:rsid w:val="00764BC0"/>
    <w:rsid w:val="00764BEB"/>
    <w:rsid w:val="00764C59"/>
    <w:rsid w:val="00764D09"/>
    <w:rsid w:val="00764EA9"/>
    <w:rsid w:val="007652F3"/>
    <w:rsid w:val="007654EA"/>
    <w:rsid w:val="007658D4"/>
    <w:rsid w:val="00765B82"/>
    <w:rsid w:val="0076615F"/>
    <w:rsid w:val="007668D2"/>
    <w:rsid w:val="007668F8"/>
    <w:rsid w:val="00766CD8"/>
    <w:rsid w:val="00766FE9"/>
    <w:rsid w:val="00767080"/>
    <w:rsid w:val="007672B3"/>
    <w:rsid w:val="007673BB"/>
    <w:rsid w:val="007673D4"/>
    <w:rsid w:val="007679BE"/>
    <w:rsid w:val="00770344"/>
    <w:rsid w:val="00770425"/>
    <w:rsid w:val="007705A1"/>
    <w:rsid w:val="00770722"/>
    <w:rsid w:val="0077079E"/>
    <w:rsid w:val="00770CBE"/>
    <w:rsid w:val="00770D0D"/>
    <w:rsid w:val="00770F0C"/>
    <w:rsid w:val="00771004"/>
    <w:rsid w:val="0077108B"/>
    <w:rsid w:val="007718FB"/>
    <w:rsid w:val="00771A22"/>
    <w:rsid w:val="00771B77"/>
    <w:rsid w:val="00771C87"/>
    <w:rsid w:val="00771E5D"/>
    <w:rsid w:val="00772118"/>
    <w:rsid w:val="007725F1"/>
    <w:rsid w:val="007728BB"/>
    <w:rsid w:val="0077316D"/>
    <w:rsid w:val="00773431"/>
    <w:rsid w:val="00773482"/>
    <w:rsid w:val="00773C03"/>
    <w:rsid w:val="007742D5"/>
    <w:rsid w:val="007744A2"/>
    <w:rsid w:val="007744ED"/>
    <w:rsid w:val="00774649"/>
    <w:rsid w:val="00774951"/>
    <w:rsid w:val="00774CD2"/>
    <w:rsid w:val="0077516B"/>
    <w:rsid w:val="0077520D"/>
    <w:rsid w:val="007752F7"/>
    <w:rsid w:val="00775A35"/>
    <w:rsid w:val="00775C63"/>
    <w:rsid w:val="007760C6"/>
    <w:rsid w:val="0077630E"/>
    <w:rsid w:val="007763EE"/>
    <w:rsid w:val="00776447"/>
    <w:rsid w:val="0077644A"/>
    <w:rsid w:val="00776A2D"/>
    <w:rsid w:val="00776BF7"/>
    <w:rsid w:val="00776C05"/>
    <w:rsid w:val="00776DB0"/>
    <w:rsid w:val="00776E93"/>
    <w:rsid w:val="00776ED9"/>
    <w:rsid w:val="00776FCF"/>
    <w:rsid w:val="00777014"/>
    <w:rsid w:val="007771B8"/>
    <w:rsid w:val="007774A8"/>
    <w:rsid w:val="00777B9D"/>
    <w:rsid w:val="00777EC7"/>
    <w:rsid w:val="00777F14"/>
    <w:rsid w:val="007801FD"/>
    <w:rsid w:val="007802C4"/>
    <w:rsid w:val="00780325"/>
    <w:rsid w:val="0078053E"/>
    <w:rsid w:val="0078057A"/>
    <w:rsid w:val="00780772"/>
    <w:rsid w:val="0078082A"/>
    <w:rsid w:val="00780889"/>
    <w:rsid w:val="007809ED"/>
    <w:rsid w:val="00780CEC"/>
    <w:rsid w:val="00780D0A"/>
    <w:rsid w:val="00780FCA"/>
    <w:rsid w:val="007811B2"/>
    <w:rsid w:val="00781621"/>
    <w:rsid w:val="007816C1"/>
    <w:rsid w:val="00781951"/>
    <w:rsid w:val="00781A6C"/>
    <w:rsid w:val="00781E40"/>
    <w:rsid w:val="00781F5D"/>
    <w:rsid w:val="00782329"/>
    <w:rsid w:val="007823B4"/>
    <w:rsid w:val="0078259F"/>
    <w:rsid w:val="00782638"/>
    <w:rsid w:val="00782844"/>
    <w:rsid w:val="007830F1"/>
    <w:rsid w:val="0078322D"/>
    <w:rsid w:val="00783236"/>
    <w:rsid w:val="0078364A"/>
    <w:rsid w:val="007836DA"/>
    <w:rsid w:val="0078398B"/>
    <w:rsid w:val="0078398F"/>
    <w:rsid w:val="00783BDC"/>
    <w:rsid w:val="00783C18"/>
    <w:rsid w:val="00783C34"/>
    <w:rsid w:val="00783D89"/>
    <w:rsid w:val="007841FA"/>
    <w:rsid w:val="007847FA"/>
    <w:rsid w:val="00785211"/>
    <w:rsid w:val="007854B6"/>
    <w:rsid w:val="00785654"/>
    <w:rsid w:val="00785C6A"/>
    <w:rsid w:val="00785C9C"/>
    <w:rsid w:val="00785D55"/>
    <w:rsid w:val="00785DE2"/>
    <w:rsid w:val="0078604B"/>
    <w:rsid w:val="00786118"/>
    <w:rsid w:val="007862CD"/>
    <w:rsid w:val="0078639C"/>
    <w:rsid w:val="007865C6"/>
    <w:rsid w:val="007867EB"/>
    <w:rsid w:val="0078690E"/>
    <w:rsid w:val="00786A29"/>
    <w:rsid w:val="00786B32"/>
    <w:rsid w:val="00787104"/>
    <w:rsid w:val="007874A6"/>
    <w:rsid w:val="0078782B"/>
    <w:rsid w:val="00787922"/>
    <w:rsid w:val="007879C1"/>
    <w:rsid w:val="0079011B"/>
    <w:rsid w:val="0079015F"/>
    <w:rsid w:val="00790447"/>
    <w:rsid w:val="007908F0"/>
    <w:rsid w:val="0079095E"/>
    <w:rsid w:val="00790BD6"/>
    <w:rsid w:val="00791038"/>
    <w:rsid w:val="00791050"/>
    <w:rsid w:val="007911AD"/>
    <w:rsid w:val="0079120D"/>
    <w:rsid w:val="00791216"/>
    <w:rsid w:val="007917FC"/>
    <w:rsid w:val="00791910"/>
    <w:rsid w:val="00791A07"/>
    <w:rsid w:val="0079214B"/>
    <w:rsid w:val="00792311"/>
    <w:rsid w:val="0079244F"/>
    <w:rsid w:val="007925A4"/>
    <w:rsid w:val="00792715"/>
    <w:rsid w:val="007927DF"/>
    <w:rsid w:val="00792881"/>
    <w:rsid w:val="00792AE2"/>
    <w:rsid w:val="00792BE5"/>
    <w:rsid w:val="00792D36"/>
    <w:rsid w:val="007931DF"/>
    <w:rsid w:val="007932B9"/>
    <w:rsid w:val="00793493"/>
    <w:rsid w:val="007935CE"/>
    <w:rsid w:val="007935EC"/>
    <w:rsid w:val="00793BD8"/>
    <w:rsid w:val="00794079"/>
    <w:rsid w:val="007941EF"/>
    <w:rsid w:val="0079446B"/>
    <w:rsid w:val="007946BD"/>
    <w:rsid w:val="007946E0"/>
    <w:rsid w:val="0079476C"/>
    <w:rsid w:val="00794D4D"/>
    <w:rsid w:val="00794DF6"/>
    <w:rsid w:val="0079508D"/>
    <w:rsid w:val="0079516D"/>
    <w:rsid w:val="007951DF"/>
    <w:rsid w:val="00795428"/>
    <w:rsid w:val="007954B9"/>
    <w:rsid w:val="00795607"/>
    <w:rsid w:val="007957A5"/>
    <w:rsid w:val="00795860"/>
    <w:rsid w:val="007959AB"/>
    <w:rsid w:val="007959EA"/>
    <w:rsid w:val="00795EBC"/>
    <w:rsid w:val="0079653C"/>
    <w:rsid w:val="00796765"/>
    <w:rsid w:val="007967AF"/>
    <w:rsid w:val="00796B49"/>
    <w:rsid w:val="00796B8B"/>
    <w:rsid w:val="00796C9A"/>
    <w:rsid w:val="00796DA9"/>
    <w:rsid w:val="00796E35"/>
    <w:rsid w:val="0079703D"/>
    <w:rsid w:val="007972E7"/>
    <w:rsid w:val="00797AFF"/>
    <w:rsid w:val="00797DB8"/>
    <w:rsid w:val="007A0219"/>
    <w:rsid w:val="007A02B3"/>
    <w:rsid w:val="007A02BF"/>
    <w:rsid w:val="007A03FB"/>
    <w:rsid w:val="007A0713"/>
    <w:rsid w:val="007A0A07"/>
    <w:rsid w:val="007A0A4A"/>
    <w:rsid w:val="007A0AE5"/>
    <w:rsid w:val="007A0C78"/>
    <w:rsid w:val="007A0EC1"/>
    <w:rsid w:val="007A1011"/>
    <w:rsid w:val="007A14C7"/>
    <w:rsid w:val="007A1569"/>
    <w:rsid w:val="007A156F"/>
    <w:rsid w:val="007A16CD"/>
    <w:rsid w:val="007A1F31"/>
    <w:rsid w:val="007A1F76"/>
    <w:rsid w:val="007A1F98"/>
    <w:rsid w:val="007A20AB"/>
    <w:rsid w:val="007A2B61"/>
    <w:rsid w:val="007A2C75"/>
    <w:rsid w:val="007A2EF6"/>
    <w:rsid w:val="007A2F66"/>
    <w:rsid w:val="007A32C0"/>
    <w:rsid w:val="007A34E1"/>
    <w:rsid w:val="007A3B6A"/>
    <w:rsid w:val="007A3D48"/>
    <w:rsid w:val="007A4BFE"/>
    <w:rsid w:val="007A4D79"/>
    <w:rsid w:val="007A505F"/>
    <w:rsid w:val="007A5AC2"/>
    <w:rsid w:val="007A6373"/>
    <w:rsid w:val="007A65CD"/>
    <w:rsid w:val="007A6A45"/>
    <w:rsid w:val="007A6F35"/>
    <w:rsid w:val="007A792D"/>
    <w:rsid w:val="007B0093"/>
    <w:rsid w:val="007B0157"/>
    <w:rsid w:val="007B020C"/>
    <w:rsid w:val="007B0218"/>
    <w:rsid w:val="007B074A"/>
    <w:rsid w:val="007B07A3"/>
    <w:rsid w:val="007B0DA9"/>
    <w:rsid w:val="007B1005"/>
    <w:rsid w:val="007B1158"/>
    <w:rsid w:val="007B124E"/>
    <w:rsid w:val="007B1E95"/>
    <w:rsid w:val="007B220F"/>
    <w:rsid w:val="007B24EC"/>
    <w:rsid w:val="007B251A"/>
    <w:rsid w:val="007B258E"/>
    <w:rsid w:val="007B29DA"/>
    <w:rsid w:val="007B2D75"/>
    <w:rsid w:val="007B2FEB"/>
    <w:rsid w:val="007B30A6"/>
    <w:rsid w:val="007B3104"/>
    <w:rsid w:val="007B3287"/>
    <w:rsid w:val="007B343C"/>
    <w:rsid w:val="007B38C0"/>
    <w:rsid w:val="007B3D5A"/>
    <w:rsid w:val="007B3F67"/>
    <w:rsid w:val="007B4148"/>
    <w:rsid w:val="007B43BE"/>
    <w:rsid w:val="007B4530"/>
    <w:rsid w:val="007B4577"/>
    <w:rsid w:val="007B464C"/>
    <w:rsid w:val="007B4683"/>
    <w:rsid w:val="007B4F8F"/>
    <w:rsid w:val="007B4F93"/>
    <w:rsid w:val="007B5616"/>
    <w:rsid w:val="007B5BFC"/>
    <w:rsid w:val="007B5C6A"/>
    <w:rsid w:val="007B5E0F"/>
    <w:rsid w:val="007B5F9E"/>
    <w:rsid w:val="007B5FC5"/>
    <w:rsid w:val="007B6546"/>
    <w:rsid w:val="007B6601"/>
    <w:rsid w:val="007B6683"/>
    <w:rsid w:val="007B675E"/>
    <w:rsid w:val="007B67B7"/>
    <w:rsid w:val="007B681B"/>
    <w:rsid w:val="007B6919"/>
    <w:rsid w:val="007B6EAA"/>
    <w:rsid w:val="007B750C"/>
    <w:rsid w:val="007B78A6"/>
    <w:rsid w:val="007B7CB9"/>
    <w:rsid w:val="007C0376"/>
    <w:rsid w:val="007C043F"/>
    <w:rsid w:val="007C07CF"/>
    <w:rsid w:val="007C094D"/>
    <w:rsid w:val="007C09FF"/>
    <w:rsid w:val="007C0A55"/>
    <w:rsid w:val="007C0C6D"/>
    <w:rsid w:val="007C0DCB"/>
    <w:rsid w:val="007C0DCF"/>
    <w:rsid w:val="007C12FE"/>
    <w:rsid w:val="007C183B"/>
    <w:rsid w:val="007C1BF6"/>
    <w:rsid w:val="007C1DAD"/>
    <w:rsid w:val="007C2124"/>
    <w:rsid w:val="007C2280"/>
    <w:rsid w:val="007C249B"/>
    <w:rsid w:val="007C24DF"/>
    <w:rsid w:val="007C24FE"/>
    <w:rsid w:val="007C2503"/>
    <w:rsid w:val="007C26BB"/>
    <w:rsid w:val="007C28C3"/>
    <w:rsid w:val="007C2B5E"/>
    <w:rsid w:val="007C2E36"/>
    <w:rsid w:val="007C306B"/>
    <w:rsid w:val="007C319E"/>
    <w:rsid w:val="007C32B2"/>
    <w:rsid w:val="007C3356"/>
    <w:rsid w:val="007C35A6"/>
    <w:rsid w:val="007C383D"/>
    <w:rsid w:val="007C3F80"/>
    <w:rsid w:val="007C40FB"/>
    <w:rsid w:val="007C42DD"/>
    <w:rsid w:val="007C4813"/>
    <w:rsid w:val="007C49E6"/>
    <w:rsid w:val="007C4AAF"/>
    <w:rsid w:val="007C4FA3"/>
    <w:rsid w:val="007C54A4"/>
    <w:rsid w:val="007C5679"/>
    <w:rsid w:val="007C56F9"/>
    <w:rsid w:val="007C599A"/>
    <w:rsid w:val="007C5D5F"/>
    <w:rsid w:val="007C5D67"/>
    <w:rsid w:val="007C5F00"/>
    <w:rsid w:val="007C60E7"/>
    <w:rsid w:val="007C6193"/>
    <w:rsid w:val="007C63FD"/>
    <w:rsid w:val="007C66D7"/>
    <w:rsid w:val="007C66E3"/>
    <w:rsid w:val="007C67ED"/>
    <w:rsid w:val="007C6839"/>
    <w:rsid w:val="007C6CEE"/>
    <w:rsid w:val="007C6F4C"/>
    <w:rsid w:val="007C703C"/>
    <w:rsid w:val="007C7049"/>
    <w:rsid w:val="007C715E"/>
    <w:rsid w:val="007C7179"/>
    <w:rsid w:val="007C7268"/>
    <w:rsid w:val="007C75CE"/>
    <w:rsid w:val="007C7822"/>
    <w:rsid w:val="007C7A73"/>
    <w:rsid w:val="007C7B2C"/>
    <w:rsid w:val="007C7CE4"/>
    <w:rsid w:val="007C7DEC"/>
    <w:rsid w:val="007C7E08"/>
    <w:rsid w:val="007C7E75"/>
    <w:rsid w:val="007C7FBB"/>
    <w:rsid w:val="007D00E4"/>
    <w:rsid w:val="007D0D1C"/>
    <w:rsid w:val="007D0E5F"/>
    <w:rsid w:val="007D12D2"/>
    <w:rsid w:val="007D167A"/>
    <w:rsid w:val="007D17B2"/>
    <w:rsid w:val="007D1A4B"/>
    <w:rsid w:val="007D1D69"/>
    <w:rsid w:val="007D2124"/>
    <w:rsid w:val="007D2482"/>
    <w:rsid w:val="007D28C3"/>
    <w:rsid w:val="007D2B24"/>
    <w:rsid w:val="007D2D71"/>
    <w:rsid w:val="007D302F"/>
    <w:rsid w:val="007D329A"/>
    <w:rsid w:val="007D341B"/>
    <w:rsid w:val="007D347F"/>
    <w:rsid w:val="007D36F1"/>
    <w:rsid w:val="007D38A2"/>
    <w:rsid w:val="007D3A19"/>
    <w:rsid w:val="007D3C43"/>
    <w:rsid w:val="007D3C4F"/>
    <w:rsid w:val="007D3DD4"/>
    <w:rsid w:val="007D41B1"/>
    <w:rsid w:val="007D4406"/>
    <w:rsid w:val="007D444E"/>
    <w:rsid w:val="007D459F"/>
    <w:rsid w:val="007D479D"/>
    <w:rsid w:val="007D47EB"/>
    <w:rsid w:val="007D482C"/>
    <w:rsid w:val="007D4889"/>
    <w:rsid w:val="007D48AA"/>
    <w:rsid w:val="007D4D73"/>
    <w:rsid w:val="007D4F75"/>
    <w:rsid w:val="007D517F"/>
    <w:rsid w:val="007D5383"/>
    <w:rsid w:val="007D5499"/>
    <w:rsid w:val="007D58F1"/>
    <w:rsid w:val="007D59F5"/>
    <w:rsid w:val="007D5A9F"/>
    <w:rsid w:val="007D5D5D"/>
    <w:rsid w:val="007D612B"/>
    <w:rsid w:val="007D6715"/>
    <w:rsid w:val="007D6740"/>
    <w:rsid w:val="007D677A"/>
    <w:rsid w:val="007D6BC7"/>
    <w:rsid w:val="007D733F"/>
    <w:rsid w:val="007D74D3"/>
    <w:rsid w:val="007D74D4"/>
    <w:rsid w:val="007D77F8"/>
    <w:rsid w:val="007D78BF"/>
    <w:rsid w:val="007D7B0B"/>
    <w:rsid w:val="007D7B4C"/>
    <w:rsid w:val="007D7D24"/>
    <w:rsid w:val="007E0053"/>
    <w:rsid w:val="007E0377"/>
    <w:rsid w:val="007E065D"/>
    <w:rsid w:val="007E067A"/>
    <w:rsid w:val="007E0837"/>
    <w:rsid w:val="007E086F"/>
    <w:rsid w:val="007E0BB5"/>
    <w:rsid w:val="007E0D29"/>
    <w:rsid w:val="007E12A9"/>
    <w:rsid w:val="007E1880"/>
    <w:rsid w:val="007E20D9"/>
    <w:rsid w:val="007E223B"/>
    <w:rsid w:val="007E22B7"/>
    <w:rsid w:val="007E2939"/>
    <w:rsid w:val="007E2998"/>
    <w:rsid w:val="007E2A2B"/>
    <w:rsid w:val="007E2EB4"/>
    <w:rsid w:val="007E3254"/>
    <w:rsid w:val="007E3594"/>
    <w:rsid w:val="007E3821"/>
    <w:rsid w:val="007E3875"/>
    <w:rsid w:val="007E3BA5"/>
    <w:rsid w:val="007E4022"/>
    <w:rsid w:val="007E4168"/>
    <w:rsid w:val="007E445B"/>
    <w:rsid w:val="007E4C16"/>
    <w:rsid w:val="007E4D5D"/>
    <w:rsid w:val="007E4DD1"/>
    <w:rsid w:val="007E5147"/>
    <w:rsid w:val="007E52A2"/>
    <w:rsid w:val="007E53BA"/>
    <w:rsid w:val="007E5535"/>
    <w:rsid w:val="007E5C97"/>
    <w:rsid w:val="007E6C8B"/>
    <w:rsid w:val="007E701F"/>
    <w:rsid w:val="007E741E"/>
    <w:rsid w:val="007E7463"/>
    <w:rsid w:val="007E770A"/>
    <w:rsid w:val="007F0052"/>
    <w:rsid w:val="007F0453"/>
    <w:rsid w:val="007F0C0C"/>
    <w:rsid w:val="007F1097"/>
    <w:rsid w:val="007F10C1"/>
    <w:rsid w:val="007F1869"/>
    <w:rsid w:val="007F18B7"/>
    <w:rsid w:val="007F19B7"/>
    <w:rsid w:val="007F1E37"/>
    <w:rsid w:val="007F21E3"/>
    <w:rsid w:val="007F224F"/>
    <w:rsid w:val="007F2479"/>
    <w:rsid w:val="007F29A9"/>
    <w:rsid w:val="007F2AF5"/>
    <w:rsid w:val="007F2F5B"/>
    <w:rsid w:val="007F2FB1"/>
    <w:rsid w:val="007F31F7"/>
    <w:rsid w:val="007F3293"/>
    <w:rsid w:val="007F3432"/>
    <w:rsid w:val="007F35C4"/>
    <w:rsid w:val="007F39AC"/>
    <w:rsid w:val="007F3A34"/>
    <w:rsid w:val="007F3DEF"/>
    <w:rsid w:val="007F3E2F"/>
    <w:rsid w:val="007F4067"/>
    <w:rsid w:val="007F4485"/>
    <w:rsid w:val="007F4684"/>
    <w:rsid w:val="007F4687"/>
    <w:rsid w:val="007F46D9"/>
    <w:rsid w:val="007F48DD"/>
    <w:rsid w:val="007F4E8A"/>
    <w:rsid w:val="007F5924"/>
    <w:rsid w:val="007F598F"/>
    <w:rsid w:val="007F5AE6"/>
    <w:rsid w:val="007F5D5B"/>
    <w:rsid w:val="007F644C"/>
    <w:rsid w:val="007F64D3"/>
    <w:rsid w:val="007F6B32"/>
    <w:rsid w:val="007F6F56"/>
    <w:rsid w:val="007F6FBC"/>
    <w:rsid w:val="007F71D5"/>
    <w:rsid w:val="007F721E"/>
    <w:rsid w:val="007F7364"/>
    <w:rsid w:val="007F7B77"/>
    <w:rsid w:val="007F7CC8"/>
    <w:rsid w:val="007F7D82"/>
    <w:rsid w:val="007F7EAE"/>
    <w:rsid w:val="007F7F05"/>
    <w:rsid w:val="00800029"/>
    <w:rsid w:val="008006EC"/>
    <w:rsid w:val="00800D79"/>
    <w:rsid w:val="00800EC1"/>
    <w:rsid w:val="00800FEA"/>
    <w:rsid w:val="008010CF"/>
    <w:rsid w:val="008014DB"/>
    <w:rsid w:val="00801537"/>
    <w:rsid w:val="00801999"/>
    <w:rsid w:val="00801AC2"/>
    <w:rsid w:val="00801D5A"/>
    <w:rsid w:val="00801D74"/>
    <w:rsid w:val="00801E16"/>
    <w:rsid w:val="008022B1"/>
    <w:rsid w:val="008024DA"/>
    <w:rsid w:val="0080267F"/>
    <w:rsid w:val="00802766"/>
    <w:rsid w:val="00802925"/>
    <w:rsid w:val="00802991"/>
    <w:rsid w:val="00802A33"/>
    <w:rsid w:val="00802A49"/>
    <w:rsid w:val="00802B90"/>
    <w:rsid w:val="00802F3F"/>
    <w:rsid w:val="00802F86"/>
    <w:rsid w:val="0080313C"/>
    <w:rsid w:val="008034DC"/>
    <w:rsid w:val="00803563"/>
    <w:rsid w:val="008035A4"/>
    <w:rsid w:val="008037C8"/>
    <w:rsid w:val="008038EE"/>
    <w:rsid w:val="00803A51"/>
    <w:rsid w:val="00803ABC"/>
    <w:rsid w:val="00803D04"/>
    <w:rsid w:val="00803FBD"/>
    <w:rsid w:val="0080412E"/>
    <w:rsid w:val="00804346"/>
    <w:rsid w:val="00804680"/>
    <w:rsid w:val="00804AEC"/>
    <w:rsid w:val="00804CEA"/>
    <w:rsid w:val="008051AD"/>
    <w:rsid w:val="0080527B"/>
    <w:rsid w:val="00805370"/>
    <w:rsid w:val="008054CC"/>
    <w:rsid w:val="00805586"/>
    <w:rsid w:val="0080585C"/>
    <w:rsid w:val="00805957"/>
    <w:rsid w:val="008059E7"/>
    <w:rsid w:val="00806380"/>
    <w:rsid w:val="008064A5"/>
    <w:rsid w:val="008066A2"/>
    <w:rsid w:val="008068B8"/>
    <w:rsid w:val="00806A8D"/>
    <w:rsid w:val="00806B7B"/>
    <w:rsid w:val="00806C9B"/>
    <w:rsid w:val="00806D14"/>
    <w:rsid w:val="00806E66"/>
    <w:rsid w:val="0080718C"/>
    <w:rsid w:val="00807199"/>
    <w:rsid w:val="00807252"/>
    <w:rsid w:val="008075D9"/>
    <w:rsid w:val="008075F0"/>
    <w:rsid w:val="00807DE9"/>
    <w:rsid w:val="00807E0B"/>
    <w:rsid w:val="00807F77"/>
    <w:rsid w:val="008100DE"/>
    <w:rsid w:val="008108B6"/>
    <w:rsid w:val="00810C56"/>
    <w:rsid w:val="00811040"/>
    <w:rsid w:val="00811185"/>
    <w:rsid w:val="008116A0"/>
    <w:rsid w:val="00811729"/>
    <w:rsid w:val="008118EA"/>
    <w:rsid w:val="008125FC"/>
    <w:rsid w:val="00812796"/>
    <w:rsid w:val="00812A33"/>
    <w:rsid w:val="00812B8B"/>
    <w:rsid w:val="00812D57"/>
    <w:rsid w:val="00812F32"/>
    <w:rsid w:val="00813734"/>
    <w:rsid w:val="00813741"/>
    <w:rsid w:val="008138CA"/>
    <w:rsid w:val="00813EE8"/>
    <w:rsid w:val="00813F5A"/>
    <w:rsid w:val="00814056"/>
    <w:rsid w:val="00814161"/>
    <w:rsid w:val="00814394"/>
    <w:rsid w:val="008148D2"/>
    <w:rsid w:val="00814A18"/>
    <w:rsid w:val="00814FC1"/>
    <w:rsid w:val="00815324"/>
    <w:rsid w:val="0081538C"/>
    <w:rsid w:val="0081543C"/>
    <w:rsid w:val="00815678"/>
    <w:rsid w:val="0081575F"/>
    <w:rsid w:val="008158CD"/>
    <w:rsid w:val="00815A32"/>
    <w:rsid w:val="00815AF8"/>
    <w:rsid w:val="00815C22"/>
    <w:rsid w:val="00815F89"/>
    <w:rsid w:val="00816275"/>
    <w:rsid w:val="008165BF"/>
    <w:rsid w:val="00817047"/>
    <w:rsid w:val="0081718F"/>
    <w:rsid w:val="00817481"/>
    <w:rsid w:val="00817A01"/>
    <w:rsid w:val="00817A6A"/>
    <w:rsid w:val="00817AD0"/>
    <w:rsid w:val="00817F7D"/>
    <w:rsid w:val="00820324"/>
    <w:rsid w:val="008204EA"/>
    <w:rsid w:val="008207CE"/>
    <w:rsid w:val="00820806"/>
    <w:rsid w:val="008208F1"/>
    <w:rsid w:val="008213CC"/>
    <w:rsid w:val="00821610"/>
    <w:rsid w:val="00821741"/>
    <w:rsid w:val="008220C1"/>
    <w:rsid w:val="008222EB"/>
    <w:rsid w:val="0082248A"/>
    <w:rsid w:val="00822545"/>
    <w:rsid w:val="008225BC"/>
    <w:rsid w:val="00822817"/>
    <w:rsid w:val="00822A68"/>
    <w:rsid w:val="00822CB1"/>
    <w:rsid w:val="00822F56"/>
    <w:rsid w:val="00823174"/>
    <w:rsid w:val="00823287"/>
    <w:rsid w:val="00823748"/>
    <w:rsid w:val="00823854"/>
    <w:rsid w:val="00823AA0"/>
    <w:rsid w:val="00823B34"/>
    <w:rsid w:val="00823C71"/>
    <w:rsid w:val="00823F3D"/>
    <w:rsid w:val="008244F0"/>
    <w:rsid w:val="00824A5C"/>
    <w:rsid w:val="00824B0E"/>
    <w:rsid w:val="00824BEE"/>
    <w:rsid w:val="00824DA9"/>
    <w:rsid w:val="00825344"/>
    <w:rsid w:val="0082548E"/>
    <w:rsid w:val="00825B31"/>
    <w:rsid w:val="00825D1C"/>
    <w:rsid w:val="00826108"/>
    <w:rsid w:val="00826159"/>
    <w:rsid w:val="008264B1"/>
    <w:rsid w:val="008265B0"/>
    <w:rsid w:val="00826847"/>
    <w:rsid w:val="0082690A"/>
    <w:rsid w:val="00826E21"/>
    <w:rsid w:val="008273CA"/>
    <w:rsid w:val="0082772D"/>
    <w:rsid w:val="00827BCA"/>
    <w:rsid w:val="00827C37"/>
    <w:rsid w:val="00827D35"/>
    <w:rsid w:val="00827E61"/>
    <w:rsid w:val="00827F81"/>
    <w:rsid w:val="008303EC"/>
    <w:rsid w:val="00830551"/>
    <w:rsid w:val="008305A9"/>
    <w:rsid w:val="00830AB5"/>
    <w:rsid w:val="0083153C"/>
    <w:rsid w:val="008315A1"/>
    <w:rsid w:val="00831625"/>
    <w:rsid w:val="008316B8"/>
    <w:rsid w:val="00831B1F"/>
    <w:rsid w:val="00831CD9"/>
    <w:rsid w:val="00831E3B"/>
    <w:rsid w:val="00831E48"/>
    <w:rsid w:val="0083232E"/>
    <w:rsid w:val="008323A1"/>
    <w:rsid w:val="008327B3"/>
    <w:rsid w:val="0083291F"/>
    <w:rsid w:val="008329E2"/>
    <w:rsid w:val="00832C6A"/>
    <w:rsid w:val="00832EAB"/>
    <w:rsid w:val="0083305F"/>
    <w:rsid w:val="008335AD"/>
    <w:rsid w:val="00833667"/>
    <w:rsid w:val="0083398F"/>
    <w:rsid w:val="00833F93"/>
    <w:rsid w:val="008342B2"/>
    <w:rsid w:val="00834450"/>
    <w:rsid w:val="00834A3E"/>
    <w:rsid w:val="00834F05"/>
    <w:rsid w:val="008351B1"/>
    <w:rsid w:val="0083521B"/>
    <w:rsid w:val="00835918"/>
    <w:rsid w:val="00835AB9"/>
    <w:rsid w:val="00835F9D"/>
    <w:rsid w:val="008360B8"/>
    <w:rsid w:val="0083617D"/>
    <w:rsid w:val="00836706"/>
    <w:rsid w:val="00836D25"/>
    <w:rsid w:val="008370A4"/>
    <w:rsid w:val="0083718E"/>
    <w:rsid w:val="008372E4"/>
    <w:rsid w:val="008374C6"/>
    <w:rsid w:val="00837669"/>
    <w:rsid w:val="00837999"/>
    <w:rsid w:val="00837D51"/>
    <w:rsid w:val="00837D65"/>
    <w:rsid w:val="00837E38"/>
    <w:rsid w:val="00837F14"/>
    <w:rsid w:val="00840721"/>
    <w:rsid w:val="00840A78"/>
    <w:rsid w:val="0084109D"/>
    <w:rsid w:val="008416BF"/>
    <w:rsid w:val="00841961"/>
    <w:rsid w:val="00842128"/>
    <w:rsid w:val="008426A2"/>
    <w:rsid w:val="008426F1"/>
    <w:rsid w:val="00842A07"/>
    <w:rsid w:val="00842AEB"/>
    <w:rsid w:val="00842B48"/>
    <w:rsid w:val="00842CED"/>
    <w:rsid w:val="00842DCE"/>
    <w:rsid w:val="00843172"/>
    <w:rsid w:val="00843341"/>
    <w:rsid w:val="00843AEE"/>
    <w:rsid w:val="00843B00"/>
    <w:rsid w:val="00843DB3"/>
    <w:rsid w:val="00843E0A"/>
    <w:rsid w:val="00843F64"/>
    <w:rsid w:val="008440DF"/>
    <w:rsid w:val="00844229"/>
    <w:rsid w:val="008442BB"/>
    <w:rsid w:val="0084436B"/>
    <w:rsid w:val="0084445A"/>
    <w:rsid w:val="00844A66"/>
    <w:rsid w:val="00844AC6"/>
    <w:rsid w:val="00844CA2"/>
    <w:rsid w:val="008451E1"/>
    <w:rsid w:val="00845B5C"/>
    <w:rsid w:val="00845BF1"/>
    <w:rsid w:val="00845C53"/>
    <w:rsid w:val="00845D36"/>
    <w:rsid w:val="00845DE3"/>
    <w:rsid w:val="00845E97"/>
    <w:rsid w:val="00845EC7"/>
    <w:rsid w:val="00846321"/>
    <w:rsid w:val="0084655B"/>
    <w:rsid w:val="00846587"/>
    <w:rsid w:val="00846965"/>
    <w:rsid w:val="00846E5E"/>
    <w:rsid w:val="00847070"/>
    <w:rsid w:val="0084716A"/>
    <w:rsid w:val="008473B4"/>
    <w:rsid w:val="008473BC"/>
    <w:rsid w:val="008473E0"/>
    <w:rsid w:val="008474DF"/>
    <w:rsid w:val="008477AA"/>
    <w:rsid w:val="008479EF"/>
    <w:rsid w:val="00847A01"/>
    <w:rsid w:val="00847A30"/>
    <w:rsid w:val="00847BA9"/>
    <w:rsid w:val="00847C15"/>
    <w:rsid w:val="00847C62"/>
    <w:rsid w:val="00847E1F"/>
    <w:rsid w:val="008507D3"/>
    <w:rsid w:val="0085093A"/>
    <w:rsid w:val="00850A74"/>
    <w:rsid w:val="00850B27"/>
    <w:rsid w:val="008511C0"/>
    <w:rsid w:val="00851215"/>
    <w:rsid w:val="00851646"/>
    <w:rsid w:val="008517FB"/>
    <w:rsid w:val="00851ABC"/>
    <w:rsid w:val="00851AFB"/>
    <w:rsid w:val="00851CE5"/>
    <w:rsid w:val="00851F5E"/>
    <w:rsid w:val="00851FAF"/>
    <w:rsid w:val="008521FB"/>
    <w:rsid w:val="00852504"/>
    <w:rsid w:val="008528A5"/>
    <w:rsid w:val="00852A18"/>
    <w:rsid w:val="00852EBA"/>
    <w:rsid w:val="00853196"/>
    <w:rsid w:val="008531BE"/>
    <w:rsid w:val="0085323F"/>
    <w:rsid w:val="0085328D"/>
    <w:rsid w:val="0085330D"/>
    <w:rsid w:val="00853355"/>
    <w:rsid w:val="008534A1"/>
    <w:rsid w:val="00853682"/>
    <w:rsid w:val="008536CD"/>
    <w:rsid w:val="00853B61"/>
    <w:rsid w:val="00853E4C"/>
    <w:rsid w:val="00854646"/>
    <w:rsid w:val="0085499D"/>
    <w:rsid w:val="008549D6"/>
    <w:rsid w:val="00854BB3"/>
    <w:rsid w:val="00854D21"/>
    <w:rsid w:val="00855875"/>
    <w:rsid w:val="008558A6"/>
    <w:rsid w:val="00855A16"/>
    <w:rsid w:val="00855CAC"/>
    <w:rsid w:val="00855D24"/>
    <w:rsid w:val="008564CE"/>
    <w:rsid w:val="00856637"/>
    <w:rsid w:val="0085669F"/>
    <w:rsid w:val="00856797"/>
    <w:rsid w:val="0085694A"/>
    <w:rsid w:val="008569DF"/>
    <w:rsid w:val="00856A56"/>
    <w:rsid w:val="00857025"/>
    <w:rsid w:val="008574B6"/>
    <w:rsid w:val="0085750D"/>
    <w:rsid w:val="008577BF"/>
    <w:rsid w:val="0085781F"/>
    <w:rsid w:val="008578D1"/>
    <w:rsid w:val="00857BCE"/>
    <w:rsid w:val="00857CBC"/>
    <w:rsid w:val="00860AB9"/>
    <w:rsid w:val="00860B6B"/>
    <w:rsid w:val="00860CCD"/>
    <w:rsid w:val="00860D70"/>
    <w:rsid w:val="0086104A"/>
    <w:rsid w:val="008614A7"/>
    <w:rsid w:val="00861629"/>
    <w:rsid w:val="008617E0"/>
    <w:rsid w:val="00861A72"/>
    <w:rsid w:val="00861CB4"/>
    <w:rsid w:val="00861D5C"/>
    <w:rsid w:val="0086217D"/>
    <w:rsid w:val="008621D9"/>
    <w:rsid w:val="00862545"/>
    <w:rsid w:val="00862BF1"/>
    <w:rsid w:val="00862C6A"/>
    <w:rsid w:val="008630ED"/>
    <w:rsid w:val="0086342A"/>
    <w:rsid w:val="00863472"/>
    <w:rsid w:val="00863814"/>
    <w:rsid w:val="00863839"/>
    <w:rsid w:val="00863B59"/>
    <w:rsid w:val="00863C54"/>
    <w:rsid w:val="0086411E"/>
    <w:rsid w:val="008644F1"/>
    <w:rsid w:val="00864C41"/>
    <w:rsid w:val="00864F05"/>
    <w:rsid w:val="00864FAB"/>
    <w:rsid w:val="00865207"/>
    <w:rsid w:val="008652D2"/>
    <w:rsid w:val="0086549F"/>
    <w:rsid w:val="008654CC"/>
    <w:rsid w:val="0086594E"/>
    <w:rsid w:val="00865BB2"/>
    <w:rsid w:val="00865E8E"/>
    <w:rsid w:val="0086600F"/>
    <w:rsid w:val="00866261"/>
    <w:rsid w:val="00866710"/>
    <w:rsid w:val="00866EDE"/>
    <w:rsid w:val="00866F03"/>
    <w:rsid w:val="0086711A"/>
    <w:rsid w:val="00867E5B"/>
    <w:rsid w:val="00870009"/>
    <w:rsid w:val="008703CC"/>
    <w:rsid w:val="0087049C"/>
    <w:rsid w:val="008704E7"/>
    <w:rsid w:val="008706D9"/>
    <w:rsid w:val="00870940"/>
    <w:rsid w:val="00871059"/>
    <w:rsid w:val="00871433"/>
    <w:rsid w:val="00871693"/>
    <w:rsid w:val="00871D67"/>
    <w:rsid w:val="00872060"/>
    <w:rsid w:val="008720F9"/>
    <w:rsid w:val="00872240"/>
    <w:rsid w:val="00872303"/>
    <w:rsid w:val="00872589"/>
    <w:rsid w:val="0087261A"/>
    <w:rsid w:val="00872C0B"/>
    <w:rsid w:val="0087392C"/>
    <w:rsid w:val="00873A1A"/>
    <w:rsid w:val="00873AEB"/>
    <w:rsid w:val="00874331"/>
    <w:rsid w:val="008743C9"/>
    <w:rsid w:val="00874502"/>
    <w:rsid w:val="00874727"/>
    <w:rsid w:val="00874771"/>
    <w:rsid w:val="008749B5"/>
    <w:rsid w:val="00874B67"/>
    <w:rsid w:val="00874B86"/>
    <w:rsid w:val="00874BDC"/>
    <w:rsid w:val="008751B6"/>
    <w:rsid w:val="008752CB"/>
    <w:rsid w:val="008753F0"/>
    <w:rsid w:val="00875A34"/>
    <w:rsid w:val="00875A3E"/>
    <w:rsid w:val="00875A93"/>
    <w:rsid w:val="00875E51"/>
    <w:rsid w:val="00876058"/>
    <w:rsid w:val="008762BA"/>
    <w:rsid w:val="0087659A"/>
    <w:rsid w:val="008765C6"/>
    <w:rsid w:val="008767AB"/>
    <w:rsid w:val="00876840"/>
    <w:rsid w:val="0087690A"/>
    <w:rsid w:val="008769C1"/>
    <w:rsid w:val="008769DC"/>
    <w:rsid w:val="00876B35"/>
    <w:rsid w:val="00876B9A"/>
    <w:rsid w:val="00876F8B"/>
    <w:rsid w:val="008775B5"/>
    <w:rsid w:val="00877813"/>
    <w:rsid w:val="008778A4"/>
    <w:rsid w:val="00877931"/>
    <w:rsid w:val="00877E65"/>
    <w:rsid w:val="00877EC8"/>
    <w:rsid w:val="00880144"/>
    <w:rsid w:val="00880F46"/>
    <w:rsid w:val="00881502"/>
    <w:rsid w:val="00881609"/>
    <w:rsid w:val="008816AA"/>
    <w:rsid w:val="00881915"/>
    <w:rsid w:val="00881DFA"/>
    <w:rsid w:val="00881F78"/>
    <w:rsid w:val="008821E5"/>
    <w:rsid w:val="00882212"/>
    <w:rsid w:val="008825FA"/>
    <w:rsid w:val="00882633"/>
    <w:rsid w:val="00882766"/>
    <w:rsid w:val="00882C27"/>
    <w:rsid w:val="00882D76"/>
    <w:rsid w:val="00882F15"/>
    <w:rsid w:val="008830D7"/>
    <w:rsid w:val="0088341F"/>
    <w:rsid w:val="00883579"/>
    <w:rsid w:val="008838C8"/>
    <w:rsid w:val="00883BA4"/>
    <w:rsid w:val="00883BC0"/>
    <w:rsid w:val="008840F4"/>
    <w:rsid w:val="00884833"/>
    <w:rsid w:val="00884897"/>
    <w:rsid w:val="008848FB"/>
    <w:rsid w:val="00884A81"/>
    <w:rsid w:val="00884B4B"/>
    <w:rsid w:val="00884B4F"/>
    <w:rsid w:val="00884C17"/>
    <w:rsid w:val="00885063"/>
    <w:rsid w:val="008856B7"/>
    <w:rsid w:val="0088573E"/>
    <w:rsid w:val="008857DB"/>
    <w:rsid w:val="00885C02"/>
    <w:rsid w:val="00885C9C"/>
    <w:rsid w:val="00885E9E"/>
    <w:rsid w:val="00885ED1"/>
    <w:rsid w:val="00885F3E"/>
    <w:rsid w:val="00885FBB"/>
    <w:rsid w:val="0088613F"/>
    <w:rsid w:val="0088617A"/>
    <w:rsid w:val="0088688F"/>
    <w:rsid w:val="00886B54"/>
    <w:rsid w:val="00886E3E"/>
    <w:rsid w:val="00886F3C"/>
    <w:rsid w:val="00887023"/>
    <w:rsid w:val="00887445"/>
    <w:rsid w:val="008874D9"/>
    <w:rsid w:val="0088751C"/>
    <w:rsid w:val="008875E2"/>
    <w:rsid w:val="00887694"/>
    <w:rsid w:val="00887716"/>
    <w:rsid w:val="0088777C"/>
    <w:rsid w:val="0088785A"/>
    <w:rsid w:val="008879AB"/>
    <w:rsid w:val="00887A67"/>
    <w:rsid w:val="00887B78"/>
    <w:rsid w:val="00887C2A"/>
    <w:rsid w:val="00887F20"/>
    <w:rsid w:val="008905E6"/>
    <w:rsid w:val="008907CC"/>
    <w:rsid w:val="00890B16"/>
    <w:rsid w:val="00891047"/>
    <w:rsid w:val="008911C1"/>
    <w:rsid w:val="0089167F"/>
    <w:rsid w:val="0089192C"/>
    <w:rsid w:val="008921BD"/>
    <w:rsid w:val="008921D4"/>
    <w:rsid w:val="008927C7"/>
    <w:rsid w:val="008929D1"/>
    <w:rsid w:val="00892A63"/>
    <w:rsid w:val="00892D0F"/>
    <w:rsid w:val="00892D2E"/>
    <w:rsid w:val="00892D55"/>
    <w:rsid w:val="00892EFB"/>
    <w:rsid w:val="0089318A"/>
    <w:rsid w:val="008931BA"/>
    <w:rsid w:val="00893637"/>
    <w:rsid w:val="008937B5"/>
    <w:rsid w:val="00893AD2"/>
    <w:rsid w:val="00893EE1"/>
    <w:rsid w:val="00894032"/>
    <w:rsid w:val="0089410E"/>
    <w:rsid w:val="008945ED"/>
    <w:rsid w:val="00894875"/>
    <w:rsid w:val="00894BF2"/>
    <w:rsid w:val="00894D36"/>
    <w:rsid w:val="0089505C"/>
    <w:rsid w:val="008950D5"/>
    <w:rsid w:val="0089547A"/>
    <w:rsid w:val="00895CCC"/>
    <w:rsid w:val="00895DB0"/>
    <w:rsid w:val="008962DA"/>
    <w:rsid w:val="008964E4"/>
    <w:rsid w:val="0089650C"/>
    <w:rsid w:val="00896698"/>
    <w:rsid w:val="00896758"/>
    <w:rsid w:val="008967C4"/>
    <w:rsid w:val="008967F4"/>
    <w:rsid w:val="0089680E"/>
    <w:rsid w:val="00896919"/>
    <w:rsid w:val="00896A10"/>
    <w:rsid w:val="00896A58"/>
    <w:rsid w:val="00896D6F"/>
    <w:rsid w:val="0089780B"/>
    <w:rsid w:val="00897956"/>
    <w:rsid w:val="00897AD9"/>
    <w:rsid w:val="00897AF4"/>
    <w:rsid w:val="00897B93"/>
    <w:rsid w:val="00897C9F"/>
    <w:rsid w:val="008A0462"/>
    <w:rsid w:val="008A0862"/>
    <w:rsid w:val="008A08B0"/>
    <w:rsid w:val="008A10BC"/>
    <w:rsid w:val="008A13FF"/>
    <w:rsid w:val="008A19DF"/>
    <w:rsid w:val="008A1BEB"/>
    <w:rsid w:val="008A1C5C"/>
    <w:rsid w:val="008A1D92"/>
    <w:rsid w:val="008A2166"/>
    <w:rsid w:val="008A235E"/>
    <w:rsid w:val="008A25B9"/>
    <w:rsid w:val="008A2CAD"/>
    <w:rsid w:val="008A2F94"/>
    <w:rsid w:val="008A317B"/>
    <w:rsid w:val="008A3335"/>
    <w:rsid w:val="008A34E8"/>
    <w:rsid w:val="008A3660"/>
    <w:rsid w:val="008A367C"/>
    <w:rsid w:val="008A3806"/>
    <w:rsid w:val="008A3858"/>
    <w:rsid w:val="008A385F"/>
    <w:rsid w:val="008A3BCA"/>
    <w:rsid w:val="008A3DF6"/>
    <w:rsid w:val="008A3F41"/>
    <w:rsid w:val="008A41FF"/>
    <w:rsid w:val="008A4304"/>
    <w:rsid w:val="008A460E"/>
    <w:rsid w:val="008A480E"/>
    <w:rsid w:val="008A4A3D"/>
    <w:rsid w:val="008A4B62"/>
    <w:rsid w:val="008A4BE1"/>
    <w:rsid w:val="008A4E8F"/>
    <w:rsid w:val="008A521A"/>
    <w:rsid w:val="008A5483"/>
    <w:rsid w:val="008A561E"/>
    <w:rsid w:val="008A56D6"/>
    <w:rsid w:val="008A5789"/>
    <w:rsid w:val="008A57E4"/>
    <w:rsid w:val="008A5825"/>
    <w:rsid w:val="008A5C07"/>
    <w:rsid w:val="008A5D44"/>
    <w:rsid w:val="008A62A2"/>
    <w:rsid w:val="008A638A"/>
    <w:rsid w:val="008A6425"/>
    <w:rsid w:val="008A65B2"/>
    <w:rsid w:val="008A6914"/>
    <w:rsid w:val="008A761B"/>
    <w:rsid w:val="008A7745"/>
    <w:rsid w:val="008A7D05"/>
    <w:rsid w:val="008A7D08"/>
    <w:rsid w:val="008A7FC7"/>
    <w:rsid w:val="008B0098"/>
    <w:rsid w:val="008B035D"/>
    <w:rsid w:val="008B0445"/>
    <w:rsid w:val="008B04DE"/>
    <w:rsid w:val="008B083C"/>
    <w:rsid w:val="008B126E"/>
    <w:rsid w:val="008B13A3"/>
    <w:rsid w:val="008B19D7"/>
    <w:rsid w:val="008B1BFF"/>
    <w:rsid w:val="008B1C00"/>
    <w:rsid w:val="008B1CD7"/>
    <w:rsid w:val="008B1E7B"/>
    <w:rsid w:val="008B2088"/>
    <w:rsid w:val="008B2217"/>
    <w:rsid w:val="008B2236"/>
    <w:rsid w:val="008B244A"/>
    <w:rsid w:val="008B24D9"/>
    <w:rsid w:val="008B2719"/>
    <w:rsid w:val="008B2A83"/>
    <w:rsid w:val="008B37B3"/>
    <w:rsid w:val="008B3811"/>
    <w:rsid w:val="008B38D4"/>
    <w:rsid w:val="008B39BE"/>
    <w:rsid w:val="008B3C02"/>
    <w:rsid w:val="008B3D56"/>
    <w:rsid w:val="008B426E"/>
    <w:rsid w:val="008B451D"/>
    <w:rsid w:val="008B4637"/>
    <w:rsid w:val="008B4798"/>
    <w:rsid w:val="008B4B2E"/>
    <w:rsid w:val="008B4C9D"/>
    <w:rsid w:val="008B4EE5"/>
    <w:rsid w:val="008B5655"/>
    <w:rsid w:val="008B5D2F"/>
    <w:rsid w:val="008B5D92"/>
    <w:rsid w:val="008B5DCE"/>
    <w:rsid w:val="008B5F70"/>
    <w:rsid w:val="008B60DE"/>
    <w:rsid w:val="008B6346"/>
    <w:rsid w:val="008B63B8"/>
    <w:rsid w:val="008B6594"/>
    <w:rsid w:val="008B6AF8"/>
    <w:rsid w:val="008B6B3F"/>
    <w:rsid w:val="008B6D54"/>
    <w:rsid w:val="008B6E64"/>
    <w:rsid w:val="008B6F98"/>
    <w:rsid w:val="008B7160"/>
    <w:rsid w:val="008B72D1"/>
    <w:rsid w:val="008B739C"/>
    <w:rsid w:val="008B7476"/>
    <w:rsid w:val="008B766C"/>
    <w:rsid w:val="008B7711"/>
    <w:rsid w:val="008B7973"/>
    <w:rsid w:val="008B7978"/>
    <w:rsid w:val="008B7A70"/>
    <w:rsid w:val="008B7AC0"/>
    <w:rsid w:val="008B7BBE"/>
    <w:rsid w:val="008B7C73"/>
    <w:rsid w:val="008B7D2E"/>
    <w:rsid w:val="008B7D8F"/>
    <w:rsid w:val="008C0274"/>
    <w:rsid w:val="008C031C"/>
    <w:rsid w:val="008C0677"/>
    <w:rsid w:val="008C0960"/>
    <w:rsid w:val="008C0984"/>
    <w:rsid w:val="008C0CA7"/>
    <w:rsid w:val="008C0CD5"/>
    <w:rsid w:val="008C0EB1"/>
    <w:rsid w:val="008C0EB9"/>
    <w:rsid w:val="008C1428"/>
    <w:rsid w:val="008C1844"/>
    <w:rsid w:val="008C1D67"/>
    <w:rsid w:val="008C1EA4"/>
    <w:rsid w:val="008C1ED0"/>
    <w:rsid w:val="008C238F"/>
    <w:rsid w:val="008C2497"/>
    <w:rsid w:val="008C264C"/>
    <w:rsid w:val="008C2654"/>
    <w:rsid w:val="008C283E"/>
    <w:rsid w:val="008C28E2"/>
    <w:rsid w:val="008C2B08"/>
    <w:rsid w:val="008C3205"/>
    <w:rsid w:val="008C364D"/>
    <w:rsid w:val="008C3B5F"/>
    <w:rsid w:val="008C3C44"/>
    <w:rsid w:val="008C3EA3"/>
    <w:rsid w:val="008C3F2D"/>
    <w:rsid w:val="008C3F33"/>
    <w:rsid w:val="008C4020"/>
    <w:rsid w:val="008C4333"/>
    <w:rsid w:val="008C4379"/>
    <w:rsid w:val="008C43D9"/>
    <w:rsid w:val="008C478A"/>
    <w:rsid w:val="008C49CC"/>
    <w:rsid w:val="008C4A76"/>
    <w:rsid w:val="008C4B1E"/>
    <w:rsid w:val="008C4D96"/>
    <w:rsid w:val="008C51D5"/>
    <w:rsid w:val="008C5420"/>
    <w:rsid w:val="008C5643"/>
    <w:rsid w:val="008C56DB"/>
    <w:rsid w:val="008C59E0"/>
    <w:rsid w:val="008C5B3C"/>
    <w:rsid w:val="008C5D08"/>
    <w:rsid w:val="008C5FD3"/>
    <w:rsid w:val="008C608F"/>
    <w:rsid w:val="008C60CB"/>
    <w:rsid w:val="008C619E"/>
    <w:rsid w:val="008C674A"/>
    <w:rsid w:val="008C6BDA"/>
    <w:rsid w:val="008C6C1D"/>
    <w:rsid w:val="008C6CEA"/>
    <w:rsid w:val="008C7131"/>
    <w:rsid w:val="008C720E"/>
    <w:rsid w:val="008C73E4"/>
    <w:rsid w:val="008C7468"/>
    <w:rsid w:val="008C75AE"/>
    <w:rsid w:val="008C75BF"/>
    <w:rsid w:val="008C786C"/>
    <w:rsid w:val="008C7A00"/>
    <w:rsid w:val="008C7E2C"/>
    <w:rsid w:val="008D01E3"/>
    <w:rsid w:val="008D0280"/>
    <w:rsid w:val="008D03F0"/>
    <w:rsid w:val="008D046E"/>
    <w:rsid w:val="008D098E"/>
    <w:rsid w:val="008D0A28"/>
    <w:rsid w:val="008D0B05"/>
    <w:rsid w:val="008D0CC3"/>
    <w:rsid w:val="008D0D48"/>
    <w:rsid w:val="008D1095"/>
    <w:rsid w:val="008D10F4"/>
    <w:rsid w:val="008D13FE"/>
    <w:rsid w:val="008D1437"/>
    <w:rsid w:val="008D15BA"/>
    <w:rsid w:val="008D1850"/>
    <w:rsid w:val="008D1875"/>
    <w:rsid w:val="008D1A1F"/>
    <w:rsid w:val="008D1B19"/>
    <w:rsid w:val="008D1CE1"/>
    <w:rsid w:val="008D1E12"/>
    <w:rsid w:val="008D1FF4"/>
    <w:rsid w:val="008D2290"/>
    <w:rsid w:val="008D2314"/>
    <w:rsid w:val="008D2803"/>
    <w:rsid w:val="008D284E"/>
    <w:rsid w:val="008D2A29"/>
    <w:rsid w:val="008D2FB3"/>
    <w:rsid w:val="008D3233"/>
    <w:rsid w:val="008D34A0"/>
    <w:rsid w:val="008D34B1"/>
    <w:rsid w:val="008D3714"/>
    <w:rsid w:val="008D3A04"/>
    <w:rsid w:val="008D3B1A"/>
    <w:rsid w:val="008D4103"/>
    <w:rsid w:val="008D4110"/>
    <w:rsid w:val="008D45D1"/>
    <w:rsid w:val="008D45F0"/>
    <w:rsid w:val="008D4AB5"/>
    <w:rsid w:val="008D5199"/>
    <w:rsid w:val="008D5268"/>
    <w:rsid w:val="008D5576"/>
    <w:rsid w:val="008D57C1"/>
    <w:rsid w:val="008D5A08"/>
    <w:rsid w:val="008D5AF4"/>
    <w:rsid w:val="008D5C3F"/>
    <w:rsid w:val="008D5DF7"/>
    <w:rsid w:val="008D67E5"/>
    <w:rsid w:val="008D6928"/>
    <w:rsid w:val="008D6987"/>
    <w:rsid w:val="008D69F6"/>
    <w:rsid w:val="008D7210"/>
    <w:rsid w:val="008D72DC"/>
    <w:rsid w:val="008D74B1"/>
    <w:rsid w:val="008D791F"/>
    <w:rsid w:val="008E0124"/>
    <w:rsid w:val="008E0409"/>
    <w:rsid w:val="008E0646"/>
    <w:rsid w:val="008E09E2"/>
    <w:rsid w:val="008E0B14"/>
    <w:rsid w:val="008E0BD3"/>
    <w:rsid w:val="008E0DF1"/>
    <w:rsid w:val="008E0E07"/>
    <w:rsid w:val="008E0E84"/>
    <w:rsid w:val="008E0E9D"/>
    <w:rsid w:val="008E0EDD"/>
    <w:rsid w:val="008E0F8B"/>
    <w:rsid w:val="008E1168"/>
    <w:rsid w:val="008E1679"/>
    <w:rsid w:val="008E19AF"/>
    <w:rsid w:val="008E1B60"/>
    <w:rsid w:val="008E1C98"/>
    <w:rsid w:val="008E1CAF"/>
    <w:rsid w:val="008E1DB8"/>
    <w:rsid w:val="008E30AF"/>
    <w:rsid w:val="008E31FD"/>
    <w:rsid w:val="008E3536"/>
    <w:rsid w:val="008E3B03"/>
    <w:rsid w:val="008E3FC6"/>
    <w:rsid w:val="008E4148"/>
    <w:rsid w:val="008E4557"/>
    <w:rsid w:val="008E4856"/>
    <w:rsid w:val="008E4925"/>
    <w:rsid w:val="008E4DEB"/>
    <w:rsid w:val="008E500C"/>
    <w:rsid w:val="008E50C9"/>
    <w:rsid w:val="008E5267"/>
    <w:rsid w:val="008E55BB"/>
    <w:rsid w:val="008E587E"/>
    <w:rsid w:val="008E5DDA"/>
    <w:rsid w:val="008E621B"/>
    <w:rsid w:val="008E6306"/>
    <w:rsid w:val="008E6332"/>
    <w:rsid w:val="008E6D14"/>
    <w:rsid w:val="008E6EFF"/>
    <w:rsid w:val="008E7324"/>
    <w:rsid w:val="008E74A9"/>
    <w:rsid w:val="008E77BA"/>
    <w:rsid w:val="008E77F4"/>
    <w:rsid w:val="008E7866"/>
    <w:rsid w:val="008F0268"/>
    <w:rsid w:val="008F0352"/>
    <w:rsid w:val="008F04FA"/>
    <w:rsid w:val="008F08A5"/>
    <w:rsid w:val="008F09F6"/>
    <w:rsid w:val="008F0B53"/>
    <w:rsid w:val="008F0E59"/>
    <w:rsid w:val="008F1060"/>
    <w:rsid w:val="008F146D"/>
    <w:rsid w:val="008F14B3"/>
    <w:rsid w:val="008F167F"/>
    <w:rsid w:val="008F197A"/>
    <w:rsid w:val="008F1AD4"/>
    <w:rsid w:val="008F1B26"/>
    <w:rsid w:val="008F1B9A"/>
    <w:rsid w:val="008F1CA9"/>
    <w:rsid w:val="008F1FEA"/>
    <w:rsid w:val="008F2044"/>
    <w:rsid w:val="008F2111"/>
    <w:rsid w:val="008F21A2"/>
    <w:rsid w:val="008F24FE"/>
    <w:rsid w:val="008F293C"/>
    <w:rsid w:val="008F2ABD"/>
    <w:rsid w:val="008F2BFB"/>
    <w:rsid w:val="008F2EF7"/>
    <w:rsid w:val="008F310C"/>
    <w:rsid w:val="008F3117"/>
    <w:rsid w:val="008F360B"/>
    <w:rsid w:val="008F39C3"/>
    <w:rsid w:val="008F3C43"/>
    <w:rsid w:val="008F3DB3"/>
    <w:rsid w:val="008F3EA9"/>
    <w:rsid w:val="008F40F1"/>
    <w:rsid w:val="008F410D"/>
    <w:rsid w:val="008F45D0"/>
    <w:rsid w:val="008F46CE"/>
    <w:rsid w:val="008F474B"/>
    <w:rsid w:val="008F475E"/>
    <w:rsid w:val="008F47DB"/>
    <w:rsid w:val="008F4856"/>
    <w:rsid w:val="008F4B3B"/>
    <w:rsid w:val="008F4E10"/>
    <w:rsid w:val="008F51A6"/>
    <w:rsid w:val="008F5308"/>
    <w:rsid w:val="008F54C6"/>
    <w:rsid w:val="008F551E"/>
    <w:rsid w:val="008F571C"/>
    <w:rsid w:val="008F57E7"/>
    <w:rsid w:val="008F58CF"/>
    <w:rsid w:val="008F59EE"/>
    <w:rsid w:val="008F5B6A"/>
    <w:rsid w:val="008F5E6D"/>
    <w:rsid w:val="008F63A5"/>
    <w:rsid w:val="008F64CE"/>
    <w:rsid w:val="008F65C6"/>
    <w:rsid w:val="008F6711"/>
    <w:rsid w:val="008F7028"/>
    <w:rsid w:val="008F70B8"/>
    <w:rsid w:val="008F71A0"/>
    <w:rsid w:val="008F72C9"/>
    <w:rsid w:val="008F740B"/>
    <w:rsid w:val="008F7732"/>
    <w:rsid w:val="008F7BC2"/>
    <w:rsid w:val="008F7E01"/>
    <w:rsid w:val="008FBE03"/>
    <w:rsid w:val="00900077"/>
    <w:rsid w:val="009000B8"/>
    <w:rsid w:val="009000F3"/>
    <w:rsid w:val="00900202"/>
    <w:rsid w:val="00900408"/>
    <w:rsid w:val="00900840"/>
    <w:rsid w:val="00900CAF"/>
    <w:rsid w:val="00900EC4"/>
    <w:rsid w:val="00901214"/>
    <w:rsid w:val="0090157B"/>
    <w:rsid w:val="009016FD"/>
    <w:rsid w:val="00901C83"/>
    <w:rsid w:val="00901D02"/>
    <w:rsid w:val="00901D9D"/>
    <w:rsid w:val="00901DC8"/>
    <w:rsid w:val="00902086"/>
    <w:rsid w:val="0090252E"/>
    <w:rsid w:val="009027C6"/>
    <w:rsid w:val="00902C2A"/>
    <w:rsid w:val="00902E04"/>
    <w:rsid w:val="00902F4A"/>
    <w:rsid w:val="009033C9"/>
    <w:rsid w:val="0090340A"/>
    <w:rsid w:val="00903543"/>
    <w:rsid w:val="00903583"/>
    <w:rsid w:val="00903ADB"/>
    <w:rsid w:val="00903F4C"/>
    <w:rsid w:val="00903F8F"/>
    <w:rsid w:val="00904621"/>
    <w:rsid w:val="00904C1F"/>
    <w:rsid w:val="00904EBF"/>
    <w:rsid w:val="00904EE7"/>
    <w:rsid w:val="00904EED"/>
    <w:rsid w:val="00904F6E"/>
    <w:rsid w:val="009051A8"/>
    <w:rsid w:val="00905505"/>
    <w:rsid w:val="00905CEE"/>
    <w:rsid w:val="00905FE6"/>
    <w:rsid w:val="00906042"/>
    <w:rsid w:val="0090606C"/>
    <w:rsid w:val="009060E5"/>
    <w:rsid w:val="00906344"/>
    <w:rsid w:val="00906569"/>
    <w:rsid w:val="00906990"/>
    <w:rsid w:val="00906B55"/>
    <w:rsid w:val="00906B9D"/>
    <w:rsid w:val="00906D27"/>
    <w:rsid w:val="00906F0D"/>
    <w:rsid w:val="009070F5"/>
    <w:rsid w:val="009072D6"/>
    <w:rsid w:val="0090742C"/>
    <w:rsid w:val="00907459"/>
    <w:rsid w:val="009077C1"/>
    <w:rsid w:val="00907A6D"/>
    <w:rsid w:val="00907D17"/>
    <w:rsid w:val="00910606"/>
    <w:rsid w:val="009106A5"/>
    <w:rsid w:val="0091086C"/>
    <w:rsid w:val="0091117C"/>
    <w:rsid w:val="009116F6"/>
    <w:rsid w:val="009117BF"/>
    <w:rsid w:val="0091194B"/>
    <w:rsid w:val="00911B6A"/>
    <w:rsid w:val="009120A3"/>
    <w:rsid w:val="009121E2"/>
    <w:rsid w:val="009124B9"/>
    <w:rsid w:val="009125FE"/>
    <w:rsid w:val="0091277B"/>
    <w:rsid w:val="00912857"/>
    <w:rsid w:val="00912A60"/>
    <w:rsid w:val="00912FD6"/>
    <w:rsid w:val="009133B2"/>
    <w:rsid w:val="00913565"/>
    <w:rsid w:val="00913626"/>
    <w:rsid w:val="009136EF"/>
    <w:rsid w:val="00913933"/>
    <w:rsid w:val="00913CA9"/>
    <w:rsid w:val="0091410A"/>
    <w:rsid w:val="009144C1"/>
    <w:rsid w:val="00914800"/>
    <w:rsid w:val="00914901"/>
    <w:rsid w:val="009149CA"/>
    <w:rsid w:val="00914DA9"/>
    <w:rsid w:val="00914F25"/>
    <w:rsid w:val="009150CA"/>
    <w:rsid w:val="0091538D"/>
    <w:rsid w:val="0091557B"/>
    <w:rsid w:val="0091557F"/>
    <w:rsid w:val="009156DB"/>
    <w:rsid w:val="009157D4"/>
    <w:rsid w:val="0091599F"/>
    <w:rsid w:val="00915DC4"/>
    <w:rsid w:val="00915DC5"/>
    <w:rsid w:val="009161A2"/>
    <w:rsid w:val="009164A6"/>
    <w:rsid w:val="009167B1"/>
    <w:rsid w:val="009167DC"/>
    <w:rsid w:val="00916898"/>
    <w:rsid w:val="00916A0D"/>
    <w:rsid w:val="00916A40"/>
    <w:rsid w:val="00916BE5"/>
    <w:rsid w:val="00916D2B"/>
    <w:rsid w:val="00917008"/>
    <w:rsid w:val="009176C3"/>
    <w:rsid w:val="00917A0F"/>
    <w:rsid w:val="00917B18"/>
    <w:rsid w:val="00917DD8"/>
    <w:rsid w:val="00917DF6"/>
    <w:rsid w:val="00917E35"/>
    <w:rsid w:val="00917E58"/>
    <w:rsid w:val="00917EF4"/>
    <w:rsid w:val="00917F03"/>
    <w:rsid w:val="0092081F"/>
    <w:rsid w:val="00920C31"/>
    <w:rsid w:val="00920CA4"/>
    <w:rsid w:val="00920DDD"/>
    <w:rsid w:val="00920E48"/>
    <w:rsid w:val="00920F51"/>
    <w:rsid w:val="00920F9E"/>
    <w:rsid w:val="009212B2"/>
    <w:rsid w:val="00921494"/>
    <w:rsid w:val="00921A82"/>
    <w:rsid w:val="00921AB7"/>
    <w:rsid w:val="00921B30"/>
    <w:rsid w:val="00921CF9"/>
    <w:rsid w:val="009223A0"/>
    <w:rsid w:val="00922BBA"/>
    <w:rsid w:val="009236FE"/>
    <w:rsid w:val="009237DC"/>
    <w:rsid w:val="00923BCE"/>
    <w:rsid w:val="009244D0"/>
    <w:rsid w:val="0092454D"/>
    <w:rsid w:val="009245EB"/>
    <w:rsid w:val="00924798"/>
    <w:rsid w:val="00924807"/>
    <w:rsid w:val="00924832"/>
    <w:rsid w:val="00924D6E"/>
    <w:rsid w:val="00925018"/>
    <w:rsid w:val="00925022"/>
    <w:rsid w:val="00925307"/>
    <w:rsid w:val="0092568A"/>
    <w:rsid w:val="00925DE9"/>
    <w:rsid w:val="00926464"/>
    <w:rsid w:val="00926527"/>
    <w:rsid w:val="009266CE"/>
    <w:rsid w:val="00926870"/>
    <w:rsid w:val="00926B81"/>
    <w:rsid w:val="00926C69"/>
    <w:rsid w:val="00926C86"/>
    <w:rsid w:val="00926DC8"/>
    <w:rsid w:val="00926F76"/>
    <w:rsid w:val="009271B4"/>
    <w:rsid w:val="0092725C"/>
    <w:rsid w:val="009272D4"/>
    <w:rsid w:val="009276EC"/>
    <w:rsid w:val="00927722"/>
    <w:rsid w:val="00927AD7"/>
    <w:rsid w:val="00927AF3"/>
    <w:rsid w:val="00927DBB"/>
    <w:rsid w:val="00930696"/>
    <w:rsid w:val="009306D6"/>
    <w:rsid w:val="0093077E"/>
    <w:rsid w:val="009308C9"/>
    <w:rsid w:val="0093095F"/>
    <w:rsid w:val="009309A9"/>
    <w:rsid w:val="00930A14"/>
    <w:rsid w:val="00931247"/>
    <w:rsid w:val="00931545"/>
    <w:rsid w:val="009316FB"/>
    <w:rsid w:val="0093177E"/>
    <w:rsid w:val="009317DD"/>
    <w:rsid w:val="00931848"/>
    <w:rsid w:val="00931900"/>
    <w:rsid w:val="00931EF5"/>
    <w:rsid w:val="00931FE9"/>
    <w:rsid w:val="00932159"/>
    <w:rsid w:val="00932611"/>
    <w:rsid w:val="00932856"/>
    <w:rsid w:val="00932A93"/>
    <w:rsid w:val="00932D34"/>
    <w:rsid w:val="0093311F"/>
    <w:rsid w:val="00933320"/>
    <w:rsid w:val="00933ACB"/>
    <w:rsid w:val="00933BA5"/>
    <w:rsid w:val="00933BBE"/>
    <w:rsid w:val="0093418F"/>
    <w:rsid w:val="009341DD"/>
    <w:rsid w:val="0093427E"/>
    <w:rsid w:val="009343B5"/>
    <w:rsid w:val="009345A9"/>
    <w:rsid w:val="0093499F"/>
    <w:rsid w:val="00934C14"/>
    <w:rsid w:val="00934D6C"/>
    <w:rsid w:val="009351A1"/>
    <w:rsid w:val="0093531F"/>
    <w:rsid w:val="009353D5"/>
    <w:rsid w:val="009353DC"/>
    <w:rsid w:val="009354D0"/>
    <w:rsid w:val="00935646"/>
    <w:rsid w:val="00935A88"/>
    <w:rsid w:val="00935C7F"/>
    <w:rsid w:val="00935FE4"/>
    <w:rsid w:val="009361D0"/>
    <w:rsid w:val="00936273"/>
    <w:rsid w:val="009363DB"/>
    <w:rsid w:val="0093657A"/>
    <w:rsid w:val="009367F0"/>
    <w:rsid w:val="00936857"/>
    <w:rsid w:val="009368C9"/>
    <w:rsid w:val="009368D0"/>
    <w:rsid w:val="009368E9"/>
    <w:rsid w:val="0093699E"/>
    <w:rsid w:val="00936E7F"/>
    <w:rsid w:val="00936F4E"/>
    <w:rsid w:val="00937076"/>
    <w:rsid w:val="00937116"/>
    <w:rsid w:val="00937325"/>
    <w:rsid w:val="0093774E"/>
    <w:rsid w:val="00937A4B"/>
    <w:rsid w:val="00937BB5"/>
    <w:rsid w:val="00937E43"/>
    <w:rsid w:val="00937F8D"/>
    <w:rsid w:val="0093CD74"/>
    <w:rsid w:val="0094003B"/>
    <w:rsid w:val="0094012C"/>
    <w:rsid w:val="009403FA"/>
    <w:rsid w:val="009404C2"/>
    <w:rsid w:val="00940FAE"/>
    <w:rsid w:val="0094106B"/>
    <w:rsid w:val="00941530"/>
    <w:rsid w:val="0094178B"/>
    <w:rsid w:val="009418B7"/>
    <w:rsid w:val="00941A08"/>
    <w:rsid w:val="00941B67"/>
    <w:rsid w:val="00941E2C"/>
    <w:rsid w:val="009421A5"/>
    <w:rsid w:val="00942249"/>
    <w:rsid w:val="0094229E"/>
    <w:rsid w:val="009426D1"/>
    <w:rsid w:val="00942FD4"/>
    <w:rsid w:val="0094310B"/>
    <w:rsid w:val="0094311D"/>
    <w:rsid w:val="009436EB"/>
    <w:rsid w:val="00943921"/>
    <w:rsid w:val="009439F1"/>
    <w:rsid w:val="00943AFB"/>
    <w:rsid w:val="00943DA2"/>
    <w:rsid w:val="00943DB7"/>
    <w:rsid w:val="00944005"/>
    <w:rsid w:val="009440E9"/>
    <w:rsid w:val="00944189"/>
    <w:rsid w:val="009442D1"/>
    <w:rsid w:val="00944586"/>
    <w:rsid w:val="009447A3"/>
    <w:rsid w:val="00944B73"/>
    <w:rsid w:val="00944C1F"/>
    <w:rsid w:val="00944E66"/>
    <w:rsid w:val="00944EFA"/>
    <w:rsid w:val="0094509A"/>
    <w:rsid w:val="0094509B"/>
    <w:rsid w:val="00945F58"/>
    <w:rsid w:val="00946264"/>
    <w:rsid w:val="009468BC"/>
    <w:rsid w:val="009468EC"/>
    <w:rsid w:val="00946944"/>
    <w:rsid w:val="00946ABF"/>
    <w:rsid w:val="00946F43"/>
    <w:rsid w:val="009476BC"/>
    <w:rsid w:val="009476F5"/>
    <w:rsid w:val="00947756"/>
    <w:rsid w:val="009478A8"/>
    <w:rsid w:val="00947AC4"/>
    <w:rsid w:val="009504AF"/>
    <w:rsid w:val="00950D62"/>
    <w:rsid w:val="009510D3"/>
    <w:rsid w:val="0095130E"/>
    <w:rsid w:val="009513AD"/>
    <w:rsid w:val="0095199E"/>
    <w:rsid w:val="00951AA6"/>
    <w:rsid w:val="00951BC9"/>
    <w:rsid w:val="00951D0E"/>
    <w:rsid w:val="0095235A"/>
    <w:rsid w:val="00952AA5"/>
    <w:rsid w:val="00952CEF"/>
    <w:rsid w:val="00952DBA"/>
    <w:rsid w:val="00953075"/>
    <w:rsid w:val="009530B0"/>
    <w:rsid w:val="009532D4"/>
    <w:rsid w:val="0095336D"/>
    <w:rsid w:val="009534CE"/>
    <w:rsid w:val="0095368A"/>
    <w:rsid w:val="00953E25"/>
    <w:rsid w:val="00953F6C"/>
    <w:rsid w:val="009546DE"/>
    <w:rsid w:val="00955D7C"/>
    <w:rsid w:val="00955F37"/>
    <w:rsid w:val="009561A0"/>
    <w:rsid w:val="0095669A"/>
    <w:rsid w:val="009566E5"/>
    <w:rsid w:val="00956967"/>
    <w:rsid w:val="00956BB0"/>
    <w:rsid w:val="00956E47"/>
    <w:rsid w:val="00956EE9"/>
    <w:rsid w:val="00956F7A"/>
    <w:rsid w:val="00957123"/>
    <w:rsid w:val="009571AD"/>
    <w:rsid w:val="00957983"/>
    <w:rsid w:val="00957D6A"/>
    <w:rsid w:val="00957D98"/>
    <w:rsid w:val="00960285"/>
    <w:rsid w:val="009606AD"/>
    <w:rsid w:val="00960B44"/>
    <w:rsid w:val="0096120F"/>
    <w:rsid w:val="009613E6"/>
    <w:rsid w:val="009614D4"/>
    <w:rsid w:val="00961614"/>
    <w:rsid w:val="0096165A"/>
    <w:rsid w:val="009616BB"/>
    <w:rsid w:val="009617BF"/>
    <w:rsid w:val="00961A3E"/>
    <w:rsid w:val="00961B7B"/>
    <w:rsid w:val="00961B9D"/>
    <w:rsid w:val="00961C07"/>
    <w:rsid w:val="00961F41"/>
    <w:rsid w:val="00961F7A"/>
    <w:rsid w:val="00962326"/>
    <w:rsid w:val="0096239D"/>
    <w:rsid w:val="00962448"/>
    <w:rsid w:val="009624BE"/>
    <w:rsid w:val="0096272E"/>
    <w:rsid w:val="00962891"/>
    <w:rsid w:val="009628BA"/>
    <w:rsid w:val="009629B1"/>
    <w:rsid w:val="00962CB6"/>
    <w:rsid w:val="00962FDD"/>
    <w:rsid w:val="0096304C"/>
    <w:rsid w:val="00963478"/>
    <w:rsid w:val="0096370B"/>
    <w:rsid w:val="00963A8B"/>
    <w:rsid w:val="00963AEB"/>
    <w:rsid w:val="00963F0A"/>
    <w:rsid w:val="00964267"/>
    <w:rsid w:val="00964345"/>
    <w:rsid w:val="009644B9"/>
    <w:rsid w:val="009647B6"/>
    <w:rsid w:val="00964A8D"/>
    <w:rsid w:val="00964C36"/>
    <w:rsid w:val="00965002"/>
    <w:rsid w:val="00965C31"/>
    <w:rsid w:val="00965DC1"/>
    <w:rsid w:val="00966388"/>
    <w:rsid w:val="009668C7"/>
    <w:rsid w:val="00966949"/>
    <w:rsid w:val="00966BB4"/>
    <w:rsid w:val="00966D28"/>
    <w:rsid w:val="00966D2C"/>
    <w:rsid w:val="00966DEC"/>
    <w:rsid w:val="00966E5D"/>
    <w:rsid w:val="00966FF4"/>
    <w:rsid w:val="0096706B"/>
    <w:rsid w:val="009670B5"/>
    <w:rsid w:val="00967557"/>
    <w:rsid w:val="00967564"/>
    <w:rsid w:val="00967598"/>
    <w:rsid w:val="009675D3"/>
    <w:rsid w:val="00967A37"/>
    <w:rsid w:val="00967D1E"/>
    <w:rsid w:val="0097016A"/>
    <w:rsid w:val="0097026C"/>
    <w:rsid w:val="009703EC"/>
    <w:rsid w:val="0097052C"/>
    <w:rsid w:val="0097057A"/>
    <w:rsid w:val="00970818"/>
    <w:rsid w:val="00970BB4"/>
    <w:rsid w:val="00970BD7"/>
    <w:rsid w:val="00970E88"/>
    <w:rsid w:val="009711F3"/>
    <w:rsid w:val="009718B6"/>
    <w:rsid w:val="00971FA9"/>
    <w:rsid w:val="00971FC5"/>
    <w:rsid w:val="009720E1"/>
    <w:rsid w:val="0097227E"/>
    <w:rsid w:val="009722B2"/>
    <w:rsid w:val="00972318"/>
    <w:rsid w:val="009725BA"/>
    <w:rsid w:val="00972CFA"/>
    <w:rsid w:val="00972D1D"/>
    <w:rsid w:val="00973332"/>
    <w:rsid w:val="00973861"/>
    <w:rsid w:val="00973983"/>
    <w:rsid w:val="00973D92"/>
    <w:rsid w:val="00973E34"/>
    <w:rsid w:val="00973E64"/>
    <w:rsid w:val="00973EBD"/>
    <w:rsid w:val="009740DA"/>
    <w:rsid w:val="00974211"/>
    <w:rsid w:val="009746FE"/>
    <w:rsid w:val="00974D39"/>
    <w:rsid w:val="00975084"/>
    <w:rsid w:val="00975271"/>
    <w:rsid w:val="009754C1"/>
    <w:rsid w:val="00975798"/>
    <w:rsid w:val="009757CB"/>
    <w:rsid w:val="00975BD7"/>
    <w:rsid w:val="00975FB1"/>
    <w:rsid w:val="00975FF6"/>
    <w:rsid w:val="00976399"/>
    <w:rsid w:val="00976523"/>
    <w:rsid w:val="0097690C"/>
    <w:rsid w:val="0097709E"/>
    <w:rsid w:val="0097720A"/>
    <w:rsid w:val="009772E6"/>
    <w:rsid w:val="009773F3"/>
    <w:rsid w:val="00977515"/>
    <w:rsid w:val="009776CA"/>
    <w:rsid w:val="0097788B"/>
    <w:rsid w:val="009778B3"/>
    <w:rsid w:val="009779DD"/>
    <w:rsid w:val="009779E0"/>
    <w:rsid w:val="00977CF7"/>
    <w:rsid w:val="00977E1B"/>
    <w:rsid w:val="00977E99"/>
    <w:rsid w:val="00980622"/>
    <w:rsid w:val="009809ED"/>
    <w:rsid w:val="00980BB4"/>
    <w:rsid w:val="00981003"/>
    <w:rsid w:val="00981019"/>
    <w:rsid w:val="00981972"/>
    <w:rsid w:val="00981B46"/>
    <w:rsid w:val="00981D66"/>
    <w:rsid w:val="00981DC3"/>
    <w:rsid w:val="00981FDA"/>
    <w:rsid w:val="0098246F"/>
    <w:rsid w:val="009829BA"/>
    <w:rsid w:val="009829EF"/>
    <w:rsid w:val="009829F6"/>
    <w:rsid w:val="00982CE9"/>
    <w:rsid w:val="0098336B"/>
    <w:rsid w:val="00983689"/>
    <w:rsid w:val="00983BCA"/>
    <w:rsid w:val="009845DE"/>
    <w:rsid w:val="009846B8"/>
    <w:rsid w:val="00984CC0"/>
    <w:rsid w:val="00984E50"/>
    <w:rsid w:val="0098505D"/>
    <w:rsid w:val="009852F0"/>
    <w:rsid w:val="0098566B"/>
    <w:rsid w:val="00985AEB"/>
    <w:rsid w:val="00985C4E"/>
    <w:rsid w:val="00985E20"/>
    <w:rsid w:val="00985F39"/>
    <w:rsid w:val="00986681"/>
    <w:rsid w:val="009868BB"/>
    <w:rsid w:val="009869E6"/>
    <w:rsid w:val="00986A21"/>
    <w:rsid w:val="00986AB3"/>
    <w:rsid w:val="00986B1E"/>
    <w:rsid w:val="0098707D"/>
    <w:rsid w:val="009870F2"/>
    <w:rsid w:val="0098744B"/>
    <w:rsid w:val="0098775D"/>
    <w:rsid w:val="0098776B"/>
    <w:rsid w:val="009879C4"/>
    <w:rsid w:val="00987AC4"/>
    <w:rsid w:val="00987DD2"/>
    <w:rsid w:val="0099007F"/>
    <w:rsid w:val="009902D8"/>
    <w:rsid w:val="009903F4"/>
    <w:rsid w:val="00990556"/>
    <w:rsid w:val="009909BF"/>
    <w:rsid w:val="00990ABD"/>
    <w:rsid w:val="00990B20"/>
    <w:rsid w:val="00990E51"/>
    <w:rsid w:val="00990FD9"/>
    <w:rsid w:val="00991062"/>
    <w:rsid w:val="009910D3"/>
    <w:rsid w:val="00991233"/>
    <w:rsid w:val="0099178C"/>
    <w:rsid w:val="00991F1A"/>
    <w:rsid w:val="009922B2"/>
    <w:rsid w:val="0099233D"/>
    <w:rsid w:val="0099266F"/>
    <w:rsid w:val="009927ED"/>
    <w:rsid w:val="00992BC7"/>
    <w:rsid w:val="00992C71"/>
    <w:rsid w:val="009931B0"/>
    <w:rsid w:val="0099329A"/>
    <w:rsid w:val="009933B5"/>
    <w:rsid w:val="009933BC"/>
    <w:rsid w:val="0099350E"/>
    <w:rsid w:val="009937FD"/>
    <w:rsid w:val="00993F16"/>
    <w:rsid w:val="009941FF"/>
    <w:rsid w:val="009944C1"/>
    <w:rsid w:val="009944EA"/>
    <w:rsid w:val="00994578"/>
    <w:rsid w:val="009949F9"/>
    <w:rsid w:val="009951D7"/>
    <w:rsid w:val="00995512"/>
    <w:rsid w:val="00995965"/>
    <w:rsid w:val="00995AD1"/>
    <w:rsid w:val="00995AFC"/>
    <w:rsid w:val="00995C42"/>
    <w:rsid w:val="00995E2B"/>
    <w:rsid w:val="00996554"/>
    <w:rsid w:val="0099745D"/>
    <w:rsid w:val="0099769C"/>
    <w:rsid w:val="00997AEF"/>
    <w:rsid w:val="009A043A"/>
    <w:rsid w:val="009A043C"/>
    <w:rsid w:val="009A0792"/>
    <w:rsid w:val="009A0CC6"/>
    <w:rsid w:val="009A0E58"/>
    <w:rsid w:val="009A17A0"/>
    <w:rsid w:val="009A1A1D"/>
    <w:rsid w:val="009A1D29"/>
    <w:rsid w:val="009A1F7E"/>
    <w:rsid w:val="009A23DB"/>
    <w:rsid w:val="009A2879"/>
    <w:rsid w:val="009A2E15"/>
    <w:rsid w:val="009A2FB9"/>
    <w:rsid w:val="009A310E"/>
    <w:rsid w:val="009A34E8"/>
    <w:rsid w:val="009A3AAF"/>
    <w:rsid w:val="009A3EB1"/>
    <w:rsid w:val="009A4488"/>
    <w:rsid w:val="009A48E8"/>
    <w:rsid w:val="009A492C"/>
    <w:rsid w:val="009A4D61"/>
    <w:rsid w:val="009A501C"/>
    <w:rsid w:val="009A56EA"/>
    <w:rsid w:val="009A5C75"/>
    <w:rsid w:val="009A5CBD"/>
    <w:rsid w:val="009A5DC4"/>
    <w:rsid w:val="009A5FCC"/>
    <w:rsid w:val="009A60EC"/>
    <w:rsid w:val="009A610C"/>
    <w:rsid w:val="009A6849"/>
    <w:rsid w:val="009A6A32"/>
    <w:rsid w:val="009A6AF1"/>
    <w:rsid w:val="009A6F1F"/>
    <w:rsid w:val="009A7048"/>
    <w:rsid w:val="009A7188"/>
    <w:rsid w:val="009A7247"/>
    <w:rsid w:val="009A756C"/>
    <w:rsid w:val="009A783D"/>
    <w:rsid w:val="009A7D71"/>
    <w:rsid w:val="009A7F44"/>
    <w:rsid w:val="009B04E9"/>
    <w:rsid w:val="009B0556"/>
    <w:rsid w:val="009B091B"/>
    <w:rsid w:val="009B0C18"/>
    <w:rsid w:val="009B0DD8"/>
    <w:rsid w:val="009B0E8F"/>
    <w:rsid w:val="009B0ECA"/>
    <w:rsid w:val="009B1359"/>
    <w:rsid w:val="009B16F3"/>
    <w:rsid w:val="009B17F8"/>
    <w:rsid w:val="009B18B6"/>
    <w:rsid w:val="009B1A0D"/>
    <w:rsid w:val="009B1CFA"/>
    <w:rsid w:val="009B1D00"/>
    <w:rsid w:val="009B1D6E"/>
    <w:rsid w:val="009B23CA"/>
    <w:rsid w:val="009B2A44"/>
    <w:rsid w:val="009B2EB2"/>
    <w:rsid w:val="009B340C"/>
    <w:rsid w:val="009B3593"/>
    <w:rsid w:val="009B37AD"/>
    <w:rsid w:val="009B3C7F"/>
    <w:rsid w:val="009B3DDA"/>
    <w:rsid w:val="009B3EF9"/>
    <w:rsid w:val="009B3F99"/>
    <w:rsid w:val="009B4399"/>
    <w:rsid w:val="009B4600"/>
    <w:rsid w:val="009B464A"/>
    <w:rsid w:val="009B48C8"/>
    <w:rsid w:val="009B4990"/>
    <w:rsid w:val="009B4B46"/>
    <w:rsid w:val="009B4C0D"/>
    <w:rsid w:val="009B4F11"/>
    <w:rsid w:val="009B50E5"/>
    <w:rsid w:val="009B515E"/>
    <w:rsid w:val="009B5651"/>
    <w:rsid w:val="009B583E"/>
    <w:rsid w:val="009B5D05"/>
    <w:rsid w:val="009B604B"/>
    <w:rsid w:val="009B60FA"/>
    <w:rsid w:val="009B65A4"/>
    <w:rsid w:val="009B663C"/>
    <w:rsid w:val="009B7257"/>
    <w:rsid w:val="009B74E0"/>
    <w:rsid w:val="009B76CF"/>
    <w:rsid w:val="009B785D"/>
    <w:rsid w:val="009B7AF9"/>
    <w:rsid w:val="009B7F6C"/>
    <w:rsid w:val="009C00AA"/>
    <w:rsid w:val="009C01BC"/>
    <w:rsid w:val="009C01DE"/>
    <w:rsid w:val="009C02C2"/>
    <w:rsid w:val="009C030C"/>
    <w:rsid w:val="009C07A5"/>
    <w:rsid w:val="009C08C3"/>
    <w:rsid w:val="009C090F"/>
    <w:rsid w:val="009C091F"/>
    <w:rsid w:val="009C0AD5"/>
    <w:rsid w:val="009C0CD5"/>
    <w:rsid w:val="009C1396"/>
    <w:rsid w:val="009C1411"/>
    <w:rsid w:val="009C1685"/>
    <w:rsid w:val="009C1A07"/>
    <w:rsid w:val="009C1BA9"/>
    <w:rsid w:val="009C1DD7"/>
    <w:rsid w:val="009C1E40"/>
    <w:rsid w:val="009C25AF"/>
    <w:rsid w:val="009C28B2"/>
    <w:rsid w:val="009C29BF"/>
    <w:rsid w:val="009C2B3E"/>
    <w:rsid w:val="009C2C88"/>
    <w:rsid w:val="009C2D59"/>
    <w:rsid w:val="009C2FA5"/>
    <w:rsid w:val="009C3298"/>
    <w:rsid w:val="009C3528"/>
    <w:rsid w:val="009C36E2"/>
    <w:rsid w:val="009C373C"/>
    <w:rsid w:val="009C397B"/>
    <w:rsid w:val="009C3C50"/>
    <w:rsid w:val="009C3D6B"/>
    <w:rsid w:val="009C3F44"/>
    <w:rsid w:val="009C4175"/>
    <w:rsid w:val="009C4200"/>
    <w:rsid w:val="009C4507"/>
    <w:rsid w:val="009C4844"/>
    <w:rsid w:val="009C4B47"/>
    <w:rsid w:val="009C4E86"/>
    <w:rsid w:val="009C50F8"/>
    <w:rsid w:val="009C513C"/>
    <w:rsid w:val="009C51B5"/>
    <w:rsid w:val="009C5310"/>
    <w:rsid w:val="009C566F"/>
    <w:rsid w:val="009C570B"/>
    <w:rsid w:val="009C5808"/>
    <w:rsid w:val="009C5931"/>
    <w:rsid w:val="009C5C18"/>
    <w:rsid w:val="009C5CAE"/>
    <w:rsid w:val="009C5EAE"/>
    <w:rsid w:val="009C659A"/>
    <w:rsid w:val="009C6654"/>
    <w:rsid w:val="009C6B7A"/>
    <w:rsid w:val="009C6D17"/>
    <w:rsid w:val="009C6E64"/>
    <w:rsid w:val="009C6F53"/>
    <w:rsid w:val="009C7003"/>
    <w:rsid w:val="009C704A"/>
    <w:rsid w:val="009C705D"/>
    <w:rsid w:val="009C7065"/>
    <w:rsid w:val="009C71E9"/>
    <w:rsid w:val="009C71EC"/>
    <w:rsid w:val="009C7440"/>
    <w:rsid w:val="009C745B"/>
    <w:rsid w:val="009C7474"/>
    <w:rsid w:val="009C7C67"/>
    <w:rsid w:val="009C7E3C"/>
    <w:rsid w:val="009D00CF"/>
    <w:rsid w:val="009D04A3"/>
    <w:rsid w:val="009D0535"/>
    <w:rsid w:val="009D0A41"/>
    <w:rsid w:val="009D0A53"/>
    <w:rsid w:val="009D0CC7"/>
    <w:rsid w:val="009D104B"/>
    <w:rsid w:val="009D147C"/>
    <w:rsid w:val="009D1993"/>
    <w:rsid w:val="009D19F3"/>
    <w:rsid w:val="009D1AA9"/>
    <w:rsid w:val="009D1C34"/>
    <w:rsid w:val="009D1C87"/>
    <w:rsid w:val="009D222D"/>
    <w:rsid w:val="009D2290"/>
    <w:rsid w:val="009D22BF"/>
    <w:rsid w:val="009D2302"/>
    <w:rsid w:val="009D2412"/>
    <w:rsid w:val="009D2719"/>
    <w:rsid w:val="009D28E9"/>
    <w:rsid w:val="009D2922"/>
    <w:rsid w:val="009D2DFC"/>
    <w:rsid w:val="009D2FB4"/>
    <w:rsid w:val="009D36F4"/>
    <w:rsid w:val="009D3770"/>
    <w:rsid w:val="009D3787"/>
    <w:rsid w:val="009D3C0F"/>
    <w:rsid w:val="009D3DC0"/>
    <w:rsid w:val="009D40A7"/>
    <w:rsid w:val="009D4232"/>
    <w:rsid w:val="009D44FE"/>
    <w:rsid w:val="009D4AEA"/>
    <w:rsid w:val="009D4B2D"/>
    <w:rsid w:val="009D4C86"/>
    <w:rsid w:val="009D4E09"/>
    <w:rsid w:val="009D5367"/>
    <w:rsid w:val="009D568A"/>
    <w:rsid w:val="009D684D"/>
    <w:rsid w:val="009D688B"/>
    <w:rsid w:val="009D6B5C"/>
    <w:rsid w:val="009D7367"/>
    <w:rsid w:val="009D772A"/>
    <w:rsid w:val="009D7850"/>
    <w:rsid w:val="009D7930"/>
    <w:rsid w:val="009D7B75"/>
    <w:rsid w:val="009E0096"/>
    <w:rsid w:val="009E00C7"/>
    <w:rsid w:val="009E08B7"/>
    <w:rsid w:val="009E0994"/>
    <w:rsid w:val="009E0AD5"/>
    <w:rsid w:val="009E0B72"/>
    <w:rsid w:val="009E0C46"/>
    <w:rsid w:val="009E0F16"/>
    <w:rsid w:val="009E0F1A"/>
    <w:rsid w:val="009E0FCE"/>
    <w:rsid w:val="009E107B"/>
    <w:rsid w:val="009E110B"/>
    <w:rsid w:val="009E1321"/>
    <w:rsid w:val="009E13C2"/>
    <w:rsid w:val="009E14C1"/>
    <w:rsid w:val="009E1560"/>
    <w:rsid w:val="009E15E7"/>
    <w:rsid w:val="009E1879"/>
    <w:rsid w:val="009E1B5E"/>
    <w:rsid w:val="009E1C75"/>
    <w:rsid w:val="009E1D7B"/>
    <w:rsid w:val="009E1F42"/>
    <w:rsid w:val="009E20F1"/>
    <w:rsid w:val="009E22B7"/>
    <w:rsid w:val="009E2307"/>
    <w:rsid w:val="009E234E"/>
    <w:rsid w:val="009E236A"/>
    <w:rsid w:val="009E255B"/>
    <w:rsid w:val="009E2A13"/>
    <w:rsid w:val="009E2E87"/>
    <w:rsid w:val="009E31F4"/>
    <w:rsid w:val="009E36CE"/>
    <w:rsid w:val="009E38AF"/>
    <w:rsid w:val="009E39F8"/>
    <w:rsid w:val="009E3A5C"/>
    <w:rsid w:val="009E3A68"/>
    <w:rsid w:val="009E3E95"/>
    <w:rsid w:val="009E3F8F"/>
    <w:rsid w:val="009E42F4"/>
    <w:rsid w:val="009E46B3"/>
    <w:rsid w:val="009E4F30"/>
    <w:rsid w:val="009E511C"/>
    <w:rsid w:val="009E5238"/>
    <w:rsid w:val="009E54AD"/>
    <w:rsid w:val="009E54DE"/>
    <w:rsid w:val="009E5761"/>
    <w:rsid w:val="009E5785"/>
    <w:rsid w:val="009E58D1"/>
    <w:rsid w:val="009E5B71"/>
    <w:rsid w:val="009E5ED5"/>
    <w:rsid w:val="009E6284"/>
    <w:rsid w:val="009E629B"/>
    <w:rsid w:val="009E62E5"/>
    <w:rsid w:val="009E6428"/>
    <w:rsid w:val="009E6459"/>
    <w:rsid w:val="009E664B"/>
    <w:rsid w:val="009E669E"/>
    <w:rsid w:val="009E67B4"/>
    <w:rsid w:val="009E6FF9"/>
    <w:rsid w:val="009E7168"/>
    <w:rsid w:val="009E7A21"/>
    <w:rsid w:val="009E7E03"/>
    <w:rsid w:val="009F04BA"/>
    <w:rsid w:val="009F05FF"/>
    <w:rsid w:val="009F0613"/>
    <w:rsid w:val="009F07A0"/>
    <w:rsid w:val="009F095D"/>
    <w:rsid w:val="009F0D31"/>
    <w:rsid w:val="009F0E84"/>
    <w:rsid w:val="009F1009"/>
    <w:rsid w:val="009F1055"/>
    <w:rsid w:val="009F1197"/>
    <w:rsid w:val="009F1238"/>
    <w:rsid w:val="009F1548"/>
    <w:rsid w:val="009F17AC"/>
    <w:rsid w:val="009F19F6"/>
    <w:rsid w:val="009F1EC9"/>
    <w:rsid w:val="009F2070"/>
    <w:rsid w:val="009F20DF"/>
    <w:rsid w:val="009F213B"/>
    <w:rsid w:val="009F2774"/>
    <w:rsid w:val="009F2890"/>
    <w:rsid w:val="009F2BAE"/>
    <w:rsid w:val="009F2C50"/>
    <w:rsid w:val="009F2F83"/>
    <w:rsid w:val="009F32A8"/>
    <w:rsid w:val="009F3369"/>
    <w:rsid w:val="009F337E"/>
    <w:rsid w:val="009F369D"/>
    <w:rsid w:val="009F3C9C"/>
    <w:rsid w:val="009F3E64"/>
    <w:rsid w:val="009F3EEB"/>
    <w:rsid w:val="009F3F80"/>
    <w:rsid w:val="009F4150"/>
    <w:rsid w:val="009F446C"/>
    <w:rsid w:val="009F44E3"/>
    <w:rsid w:val="009F47A5"/>
    <w:rsid w:val="009F47BF"/>
    <w:rsid w:val="009F4BE3"/>
    <w:rsid w:val="009F4C2B"/>
    <w:rsid w:val="009F4D83"/>
    <w:rsid w:val="009F51D2"/>
    <w:rsid w:val="009F52CE"/>
    <w:rsid w:val="009F54ED"/>
    <w:rsid w:val="009F562D"/>
    <w:rsid w:val="009F5D80"/>
    <w:rsid w:val="009F5E49"/>
    <w:rsid w:val="009F5F94"/>
    <w:rsid w:val="009F6386"/>
    <w:rsid w:val="009F65E4"/>
    <w:rsid w:val="009F6ABD"/>
    <w:rsid w:val="009F704C"/>
    <w:rsid w:val="009F7109"/>
    <w:rsid w:val="009F7112"/>
    <w:rsid w:val="009F7DB0"/>
    <w:rsid w:val="009F7FA1"/>
    <w:rsid w:val="00A001F0"/>
    <w:rsid w:val="00A0032C"/>
    <w:rsid w:val="00A0043D"/>
    <w:rsid w:val="00A008BD"/>
    <w:rsid w:val="00A00FB3"/>
    <w:rsid w:val="00A01007"/>
    <w:rsid w:val="00A01A20"/>
    <w:rsid w:val="00A01A96"/>
    <w:rsid w:val="00A01B59"/>
    <w:rsid w:val="00A021AE"/>
    <w:rsid w:val="00A02320"/>
    <w:rsid w:val="00A02483"/>
    <w:rsid w:val="00A02BA8"/>
    <w:rsid w:val="00A02F08"/>
    <w:rsid w:val="00A0315A"/>
    <w:rsid w:val="00A039BB"/>
    <w:rsid w:val="00A03B78"/>
    <w:rsid w:val="00A04307"/>
    <w:rsid w:val="00A0444E"/>
    <w:rsid w:val="00A045BE"/>
    <w:rsid w:val="00A04600"/>
    <w:rsid w:val="00A047BC"/>
    <w:rsid w:val="00A047C3"/>
    <w:rsid w:val="00A04B1F"/>
    <w:rsid w:val="00A04CD8"/>
    <w:rsid w:val="00A04E80"/>
    <w:rsid w:val="00A051B9"/>
    <w:rsid w:val="00A052A0"/>
    <w:rsid w:val="00A052AB"/>
    <w:rsid w:val="00A052C2"/>
    <w:rsid w:val="00A05718"/>
    <w:rsid w:val="00A05728"/>
    <w:rsid w:val="00A057DF"/>
    <w:rsid w:val="00A058B2"/>
    <w:rsid w:val="00A05A91"/>
    <w:rsid w:val="00A05C0D"/>
    <w:rsid w:val="00A05C3B"/>
    <w:rsid w:val="00A05E80"/>
    <w:rsid w:val="00A05FDF"/>
    <w:rsid w:val="00A060FB"/>
    <w:rsid w:val="00A06182"/>
    <w:rsid w:val="00A062D4"/>
    <w:rsid w:val="00A0645D"/>
    <w:rsid w:val="00A0654E"/>
    <w:rsid w:val="00A06BC1"/>
    <w:rsid w:val="00A06C34"/>
    <w:rsid w:val="00A073A7"/>
    <w:rsid w:val="00A07704"/>
    <w:rsid w:val="00A07926"/>
    <w:rsid w:val="00A07B12"/>
    <w:rsid w:val="00A07C31"/>
    <w:rsid w:val="00A07D60"/>
    <w:rsid w:val="00A07FAD"/>
    <w:rsid w:val="00A102A3"/>
    <w:rsid w:val="00A103C4"/>
    <w:rsid w:val="00A104D3"/>
    <w:rsid w:val="00A10506"/>
    <w:rsid w:val="00A1066C"/>
    <w:rsid w:val="00A10EA8"/>
    <w:rsid w:val="00A1100E"/>
    <w:rsid w:val="00A11107"/>
    <w:rsid w:val="00A11312"/>
    <w:rsid w:val="00A1142C"/>
    <w:rsid w:val="00A116FA"/>
    <w:rsid w:val="00A117ED"/>
    <w:rsid w:val="00A11B5D"/>
    <w:rsid w:val="00A12719"/>
    <w:rsid w:val="00A128B8"/>
    <w:rsid w:val="00A12961"/>
    <w:rsid w:val="00A12C03"/>
    <w:rsid w:val="00A13096"/>
    <w:rsid w:val="00A134B5"/>
    <w:rsid w:val="00A138CB"/>
    <w:rsid w:val="00A13A97"/>
    <w:rsid w:val="00A1426D"/>
    <w:rsid w:val="00A14682"/>
    <w:rsid w:val="00A14936"/>
    <w:rsid w:val="00A14956"/>
    <w:rsid w:val="00A14B22"/>
    <w:rsid w:val="00A14C04"/>
    <w:rsid w:val="00A14D55"/>
    <w:rsid w:val="00A14D66"/>
    <w:rsid w:val="00A14DA6"/>
    <w:rsid w:val="00A14DD5"/>
    <w:rsid w:val="00A14EC0"/>
    <w:rsid w:val="00A15441"/>
    <w:rsid w:val="00A15497"/>
    <w:rsid w:val="00A15545"/>
    <w:rsid w:val="00A157C6"/>
    <w:rsid w:val="00A158F7"/>
    <w:rsid w:val="00A15D5B"/>
    <w:rsid w:val="00A15F7F"/>
    <w:rsid w:val="00A15F9A"/>
    <w:rsid w:val="00A1627C"/>
    <w:rsid w:val="00A1688F"/>
    <w:rsid w:val="00A16A68"/>
    <w:rsid w:val="00A16D96"/>
    <w:rsid w:val="00A16E08"/>
    <w:rsid w:val="00A16E50"/>
    <w:rsid w:val="00A16FD1"/>
    <w:rsid w:val="00A16FF8"/>
    <w:rsid w:val="00A170A9"/>
    <w:rsid w:val="00A17108"/>
    <w:rsid w:val="00A173EF"/>
    <w:rsid w:val="00A1749E"/>
    <w:rsid w:val="00A17927"/>
    <w:rsid w:val="00A17ACB"/>
    <w:rsid w:val="00A17C52"/>
    <w:rsid w:val="00A201A0"/>
    <w:rsid w:val="00A20632"/>
    <w:rsid w:val="00A207CE"/>
    <w:rsid w:val="00A20F54"/>
    <w:rsid w:val="00A213C0"/>
    <w:rsid w:val="00A21A10"/>
    <w:rsid w:val="00A21B6E"/>
    <w:rsid w:val="00A21EA1"/>
    <w:rsid w:val="00A2204A"/>
    <w:rsid w:val="00A22336"/>
    <w:rsid w:val="00A227F4"/>
    <w:rsid w:val="00A2283C"/>
    <w:rsid w:val="00A229BB"/>
    <w:rsid w:val="00A22C73"/>
    <w:rsid w:val="00A23117"/>
    <w:rsid w:val="00A23391"/>
    <w:rsid w:val="00A23589"/>
    <w:rsid w:val="00A2363E"/>
    <w:rsid w:val="00A244A4"/>
    <w:rsid w:val="00A247E5"/>
    <w:rsid w:val="00A250E2"/>
    <w:rsid w:val="00A2518B"/>
    <w:rsid w:val="00A253BB"/>
    <w:rsid w:val="00A25543"/>
    <w:rsid w:val="00A258F4"/>
    <w:rsid w:val="00A25C95"/>
    <w:rsid w:val="00A25EAD"/>
    <w:rsid w:val="00A25F2E"/>
    <w:rsid w:val="00A260B5"/>
    <w:rsid w:val="00A2621B"/>
    <w:rsid w:val="00A262C4"/>
    <w:rsid w:val="00A26329"/>
    <w:rsid w:val="00A2655B"/>
    <w:rsid w:val="00A26734"/>
    <w:rsid w:val="00A26EBD"/>
    <w:rsid w:val="00A2704A"/>
    <w:rsid w:val="00A27182"/>
    <w:rsid w:val="00A27292"/>
    <w:rsid w:val="00A27CEB"/>
    <w:rsid w:val="00A27E37"/>
    <w:rsid w:val="00A3001D"/>
    <w:rsid w:val="00A301FA"/>
    <w:rsid w:val="00A3094B"/>
    <w:rsid w:val="00A30F05"/>
    <w:rsid w:val="00A31141"/>
    <w:rsid w:val="00A313BF"/>
    <w:rsid w:val="00A313E8"/>
    <w:rsid w:val="00A315CB"/>
    <w:rsid w:val="00A315D0"/>
    <w:rsid w:val="00A31746"/>
    <w:rsid w:val="00A317A4"/>
    <w:rsid w:val="00A31852"/>
    <w:rsid w:val="00A31ADC"/>
    <w:rsid w:val="00A31C72"/>
    <w:rsid w:val="00A31D53"/>
    <w:rsid w:val="00A32081"/>
    <w:rsid w:val="00A323C4"/>
    <w:rsid w:val="00A32477"/>
    <w:rsid w:val="00A32BB4"/>
    <w:rsid w:val="00A32E3C"/>
    <w:rsid w:val="00A32F0C"/>
    <w:rsid w:val="00A330B8"/>
    <w:rsid w:val="00A33536"/>
    <w:rsid w:val="00A3379A"/>
    <w:rsid w:val="00A33FA4"/>
    <w:rsid w:val="00A343C2"/>
    <w:rsid w:val="00A345FE"/>
    <w:rsid w:val="00A3481E"/>
    <w:rsid w:val="00A34B7F"/>
    <w:rsid w:val="00A34CF0"/>
    <w:rsid w:val="00A34CFB"/>
    <w:rsid w:val="00A34F5D"/>
    <w:rsid w:val="00A34FCF"/>
    <w:rsid w:val="00A35552"/>
    <w:rsid w:val="00A3559D"/>
    <w:rsid w:val="00A358A6"/>
    <w:rsid w:val="00A3593F"/>
    <w:rsid w:val="00A35C5D"/>
    <w:rsid w:val="00A35CD4"/>
    <w:rsid w:val="00A35E87"/>
    <w:rsid w:val="00A3603C"/>
    <w:rsid w:val="00A3638B"/>
    <w:rsid w:val="00A365BF"/>
    <w:rsid w:val="00A3669F"/>
    <w:rsid w:val="00A36830"/>
    <w:rsid w:val="00A3686C"/>
    <w:rsid w:val="00A36DC1"/>
    <w:rsid w:val="00A3711F"/>
    <w:rsid w:val="00A371C6"/>
    <w:rsid w:val="00A3738D"/>
    <w:rsid w:val="00A3755F"/>
    <w:rsid w:val="00A375DA"/>
    <w:rsid w:val="00A3772E"/>
    <w:rsid w:val="00A379F7"/>
    <w:rsid w:val="00A37D80"/>
    <w:rsid w:val="00A4052A"/>
    <w:rsid w:val="00A405A6"/>
    <w:rsid w:val="00A4074B"/>
    <w:rsid w:val="00A40A7F"/>
    <w:rsid w:val="00A40E76"/>
    <w:rsid w:val="00A4106D"/>
    <w:rsid w:val="00A416B2"/>
    <w:rsid w:val="00A41A67"/>
    <w:rsid w:val="00A41AD5"/>
    <w:rsid w:val="00A41C88"/>
    <w:rsid w:val="00A41D52"/>
    <w:rsid w:val="00A41F0E"/>
    <w:rsid w:val="00A42328"/>
    <w:rsid w:val="00A42B10"/>
    <w:rsid w:val="00A42D82"/>
    <w:rsid w:val="00A42F5D"/>
    <w:rsid w:val="00A430F9"/>
    <w:rsid w:val="00A432A9"/>
    <w:rsid w:val="00A4344E"/>
    <w:rsid w:val="00A43707"/>
    <w:rsid w:val="00A43EC0"/>
    <w:rsid w:val="00A4420D"/>
    <w:rsid w:val="00A442B6"/>
    <w:rsid w:val="00A442E2"/>
    <w:rsid w:val="00A4445B"/>
    <w:rsid w:val="00A4494D"/>
    <w:rsid w:val="00A44B44"/>
    <w:rsid w:val="00A44B47"/>
    <w:rsid w:val="00A44EBF"/>
    <w:rsid w:val="00A45100"/>
    <w:rsid w:val="00A451E4"/>
    <w:rsid w:val="00A45231"/>
    <w:rsid w:val="00A45537"/>
    <w:rsid w:val="00A45572"/>
    <w:rsid w:val="00A4575C"/>
    <w:rsid w:val="00A4578E"/>
    <w:rsid w:val="00A458BF"/>
    <w:rsid w:val="00A45921"/>
    <w:rsid w:val="00A46209"/>
    <w:rsid w:val="00A46253"/>
    <w:rsid w:val="00A463EF"/>
    <w:rsid w:val="00A46B69"/>
    <w:rsid w:val="00A46D1B"/>
    <w:rsid w:val="00A46E11"/>
    <w:rsid w:val="00A46E54"/>
    <w:rsid w:val="00A46F97"/>
    <w:rsid w:val="00A47087"/>
    <w:rsid w:val="00A470F7"/>
    <w:rsid w:val="00A47239"/>
    <w:rsid w:val="00A47337"/>
    <w:rsid w:val="00A475B6"/>
    <w:rsid w:val="00A476A3"/>
    <w:rsid w:val="00A479CF"/>
    <w:rsid w:val="00A50138"/>
    <w:rsid w:val="00A504F1"/>
    <w:rsid w:val="00A50C1F"/>
    <w:rsid w:val="00A5105A"/>
    <w:rsid w:val="00A5123B"/>
    <w:rsid w:val="00A5124B"/>
    <w:rsid w:val="00A515EE"/>
    <w:rsid w:val="00A516E2"/>
    <w:rsid w:val="00A51AC0"/>
    <w:rsid w:val="00A51D0C"/>
    <w:rsid w:val="00A51E99"/>
    <w:rsid w:val="00A52008"/>
    <w:rsid w:val="00A52214"/>
    <w:rsid w:val="00A5223F"/>
    <w:rsid w:val="00A525AE"/>
    <w:rsid w:val="00A525D2"/>
    <w:rsid w:val="00A52B3B"/>
    <w:rsid w:val="00A52E39"/>
    <w:rsid w:val="00A53333"/>
    <w:rsid w:val="00A53789"/>
    <w:rsid w:val="00A53A27"/>
    <w:rsid w:val="00A53A5A"/>
    <w:rsid w:val="00A53ADF"/>
    <w:rsid w:val="00A53BA6"/>
    <w:rsid w:val="00A53DC1"/>
    <w:rsid w:val="00A53FEF"/>
    <w:rsid w:val="00A54003"/>
    <w:rsid w:val="00A54393"/>
    <w:rsid w:val="00A5446E"/>
    <w:rsid w:val="00A54868"/>
    <w:rsid w:val="00A54D84"/>
    <w:rsid w:val="00A54F06"/>
    <w:rsid w:val="00A54FB9"/>
    <w:rsid w:val="00A5559B"/>
    <w:rsid w:val="00A557D6"/>
    <w:rsid w:val="00A559C1"/>
    <w:rsid w:val="00A55B23"/>
    <w:rsid w:val="00A55C16"/>
    <w:rsid w:val="00A55D94"/>
    <w:rsid w:val="00A55DF2"/>
    <w:rsid w:val="00A55FEB"/>
    <w:rsid w:val="00A56340"/>
    <w:rsid w:val="00A56502"/>
    <w:rsid w:val="00A567F5"/>
    <w:rsid w:val="00A5685B"/>
    <w:rsid w:val="00A56B47"/>
    <w:rsid w:val="00A56BD2"/>
    <w:rsid w:val="00A56F37"/>
    <w:rsid w:val="00A571BB"/>
    <w:rsid w:val="00A5766E"/>
    <w:rsid w:val="00A5788A"/>
    <w:rsid w:val="00A57AD3"/>
    <w:rsid w:val="00A57B17"/>
    <w:rsid w:val="00A57C10"/>
    <w:rsid w:val="00A57F43"/>
    <w:rsid w:val="00A601DD"/>
    <w:rsid w:val="00A60845"/>
    <w:rsid w:val="00A608A3"/>
    <w:rsid w:val="00A60949"/>
    <w:rsid w:val="00A60AF3"/>
    <w:rsid w:val="00A60B64"/>
    <w:rsid w:val="00A6115E"/>
    <w:rsid w:val="00A611AA"/>
    <w:rsid w:val="00A614F8"/>
    <w:rsid w:val="00A61505"/>
    <w:rsid w:val="00A61719"/>
    <w:rsid w:val="00A61926"/>
    <w:rsid w:val="00A61930"/>
    <w:rsid w:val="00A61DBD"/>
    <w:rsid w:val="00A62129"/>
    <w:rsid w:val="00A621BF"/>
    <w:rsid w:val="00A6269B"/>
    <w:rsid w:val="00A62C01"/>
    <w:rsid w:val="00A62E03"/>
    <w:rsid w:val="00A62F64"/>
    <w:rsid w:val="00A63230"/>
    <w:rsid w:val="00A6324A"/>
    <w:rsid w:val="00A63485"/>
    <w:rsid w:val="00A634F3"/>
    <w:rsid w:val="00A63638"/>
    <w:rsid w:val="00A639CD"/>
    <w:rsid w:val="00A63A84"/>
    <w:rsid w:val="00A63B6F"/>
    <w:rsid w:val="00A63EBF"/>
    <w:rsid w:val="00A64158"/>
    <w:rsid w:val="00A64C6A"/>
    <w:rsid w:val="00A65294"/>
    <w:rsid w:val="00A65306"/>
    <w:rsid w:val="00A6531C"/>
    <w:rsid w:val="00A65EC7"/>
    <w:rsid w:val="00A66291"/>
    <w:rsid w:val="00A663FF"/>
    <w:rsid w:val="00A66717"/>
    <w:rsid w:val="00A668C9"/>
    <w:rsid w:val="00A66B35"/>
    <w:rsid w:val="00A66ED7"/>
    <w:rsid w:val="00A66F8F"/>
    <w:rsid w:val="00A67038"/>
    <w:rsid w:val="00A6726B"/>
    <w:rsid w:val="00A67558"/>
    <w:rsid w:val="00A67BF5"/>
    <w:rsid w:val="00A67D69"/>
    <w:rsid w:val="00A70009"/>
    <w:rsid w:val="00A701E0"/>
    <w:rsid w:val="00A702BA"/>
    <w:rsid w:val="00A70513"/>
    <w:rsid w:val="00A705D2"/>
    <w:rsid w:val="00A70701"/>
    <w:rsid w:val="00A70919"/>
    <w:rsid w:val="00A70A65"/>
    <w:rsid w:val="00A70D6C"/>
    <w:rsid w:val="00A71212"/>
    <w:rsid w:val="00A712F5"/>
    <w:rsid w:val="00A7138E"/>
    <w:rsid w:val="00A713AA"/>
    <w:rsid w:val="00A713AE"/>
    <w:rsid w:val="00A714BC"/>
    <w:rsid w:val="00A71812"/>
    <w:rsid w:val="00A71B23"/>
    <w:rsid w:val="00A71EBE"/>
    <w:rsid w:val="00A72736"/>
    <w:rsid w:val="00A728CA"/>
    <w:rsid w:val="00A7299A"/>
    <w:rsid w:val="00A72C9D"/>
    <w:rsid w:val="00A72D22"/>
    <w:rsid w:val="00A72F55"/>
    <w:rsid w:val="00A73429"/>
    <w:rsid w:val="00A73E0B"/>
    <w:rsid w:val="00A74022"/>
    <w:rsid w:val="00A742AF"/>
    <w:rsid w:val="00A74787"/>
    <w:rsid w:val="00A74A56"/>
    <w:rsid w:val="00A74AAF"/>
    <w:rsid w:val="00A74E15"/>
    <w:rsid w:val="00A74E3F"/>
    <w:rsid w:val="00A74F31"/>
    <w:rsid w:val="00A75123"/>
    <w:rsid w:val="00A7522C"/>
    <w:rsid w:val="00A754C8"/>
    <w:rsid w:val="00A75607"/>
    <w:rsid w:val="00A758FB"/>
    <w:rsid w:val="00A75A17"/>
    <w:rsid w:val="00A7656F"/>
    <w:rsid w:val="00A76770"/>
    <w:rsid w:val="00A767A8"/>
    <w:rsid w:val="00A7688E"/>
    <w:rsid w:val="00A76980"/>
    <w:rsid w:val="00A769B0"/>
    <w:rsid w:val="00A76A7E"/>
    <w:rsid w:val="00A76A8F"/>
    <w:rsid w:val="00A76A9B"/>
    <w:rsid w:val="00A76F97"/>
    <w:rsid w:val="00A76FDF"/>
    <w:rsid w:val="00A7743F"/>
    <w:rsid w:val="00A77B7D"/>
    <w:rsid w:val="00A77DFE"/>
    <w:rsid w:val="00A77F63"/>
    <w:rsid w:val="00A8034D"/>
    <w:rsid w:val="00A805AB"/>
    <w:rsid w:val="00A807B3"/>
    <w:rsid w:val="00A80B0E"/>
    <w:rsid w:val="00A80D8A"/>
    <w:rsid w:val="00A80E21"/>
    <w:rsid w:val="00A81054"/>
    <w:rsid w:val="00A8118A"/>
    <w:rsid w:val="00A8129C"/>
    <w:rsid w:val="00A812D6"/>
    <w:rsid w:val="00A8145E"/>
    <w:rsid w:val="00A815AC"/>
    <w:rsid w:val="00A81754"/>
    <w:rsid w:val="00A81D3D"/>
    <w:rsid w:val="00A81ED5"/>
    <w:rsid w:val="00A81F81"/>
    <w:rsid w:val="00A822AB"/>
    <w:rsid w:val="00A824F4"/>
    <w:rsid w:val="00A829C7"/>
    <w:rsid w:val="00A82B01"/>
    <w:rsid w:val="00A82D60"/>
    <w:rsid w:val="00A830A0"/>
    <w:rsid w:val="00A83118"/>
    <w:rsid w:val="00A835D8"/>
    <w:rsid w:val="00A83750"/>
    <w:rsid w:val="00A83A0B"/>
    <w:rsid w:val="00A83ACA"/>
    <w:rsid w:val="00A84091"/>
    <w:rsid w:val="00A842BF"/>
    <w:rsid w:val="00A8459E"/>
    <w:rsid w:val="00A846F7"/>
    <w:rsid w:val="00A849FE"/>
    <w:rsid w:val="00A84F02"/>
    <w:rsid w:val="00A85049"/>
    <w:rsid w:val="00A85E4F"/>
    <w:rsid w:val="00A86064"/>
    <w:rsid w:val="00A860F8"/>
    <w:rsid w:val="00A863A0"/>
    <w:rsid w:val="00A86401"/>
    <w:rsid w:val="00A8653D"/>
    <w:rsid w:val="00A86622"/>
    <w:rsid w:val="00A867B0"/>
    <w:rsid w:val="00A86864"/>
    <w:rsid w:val="00A868C8"/>
    <w:rsid w:val="00A86915"/>
    <w:rsid w:val="00A86A79"/>
    <w:rsid w:val="00A86F69"/>
    <w:rsid w:val="00A86FDC"/>
    <w:rsid w:val="00A874FD"/>
    <w:rsid w:val="00A87518"/>
    <w:rsid w:val="00A8776E"/>
    <w:rsid w:val="00A8777D"/>
    <w:rsid w:val="00A877CE"/>
    <w:rsid w:val="00A87AE3"/>
    <w:rsid w:val="00A87B6A"/>
    <w:rsid w:val="00A901DF"/>
    <w:rsid w:val="00A904EB"/>
    <w:rsid w:val="00A907E2"/>
    <w:rsid w:val="00A909AB"/>
    <w:rsid w:val="00A91375"/>
    <w:rsid w:val="00A9141C"/>
    <w:rsid w:val="00A914F0"/>
    <w:rsid w:val="00A915DF"/>
    <w:rsid w:val="00A91930"/>
    <w:rsid w:val="00A919F2"/>
    <w:rsid w:val="00A91DBF"/>
    <w:rsid w:val="00A91F39"/>
    <w:rsid w:val="00A9240E"/>
    <w:rsid w:val="00A92618"/>
    <w:rsid w:val="00A92816"/>
    <w:rsid w:val="00A9284F"/>
    <w:rsid w:val="00A9289C"/>
    <w:rsid w:val="00A92D12"/>
    <w:rsid w:val="00A933E8"/>
    <w:rsid w:val="00A93525"/>
    <w:rsid w:val="00A936A3"/>
    <w:rsid w:val="00A93974"/>
    <w:rsid w:val="00A93AC6"/>
    <w:rsid w:val="00A94198"/>
    <w:rsid w:val="00A94545"/>
    <w:rsid w:val="00A946DD"/>
    <w:rsid w:val="00A94733"/>
    <w:rsid w:val="00A947F6"/>
    <w:rsid w:val="00A94A30"/>
    <w:rsid w:val="00A94AE6"/>
    <w:rsid w:val="00A94BB9"/>
    <w:rsid w:val="00A9516B"/>
    <w:rsid w:val="00A951E3"/>
    <w:rsid w:val="00A95366"/>
    <w:rsid w:val="00A9585E"/>
    <w:rsid w:val="00A958C7"/>
    <w:rsid w:val="00A959DE"/>
    <w:rsid w:val="00A95C01"/>
    <w:rsid w:val="00A95C3B"/>
    <w:rsid w:val="00A95D38"/>
    <w:rsid w:val="00A95DE3"/>
    <w:rsid w:val="00A96111"/>
    <w:rsid w:val="00A9653A"/>
    <w:rsid w:val="00A96677"/>
    <w:rsid w:val="00A96827"/>
    <w:rsid w:val="00A96850"/>
    <w:rsid w:val="00A96867"/>
    <w:rsid w:val="00A96BFF"/>
    <w:rsid w:val="00A96C09"/>
    <w:rsid w:val="00A96DA0"/>
    <w:rsid w:val="00A96EA5"/>
    <w:rsid w:val="00A96F76"/>
    <w:rsid w:val="00A97570"/>
    <w:rsid w:val="00A975B0"/>
    <w:rsid w:val="00A976DE"/>
    <w:rsid w:val="00A977A0"/>
    <w:rsid w:val="00A979E9"/>
    <w:rsid w:val="00A97A12"/>
    <w:rsid w:val="00A97C64"/>
    <w:rsid w:val="00A97D3B"/>
    <w:rsid w:val="00A97E45"/>
    <w:rsid w:val="00A97F37"/>
    <w:rsid w:val="00AA00E6"/>
    <w:rsid w:val="00AA0349"/>
    <w:rsid w:val="00AA0465"/>
    <w:rsid w:val="00AA0667"/>
    <w:rsid w:val="00AA07E2"/>
    <w:rsid w:val="00AA08A9"/>
    <w:rsid w:val="00AA0987"/>
    <w:rsid w:val="00AA09E5"/>
    <w:rsid w:val="00AA0B12"/>
    <w:rsid w:val="00AA10EF"/>
    <w:rsid w:val="00AA1245"/>
    <w:rsid w:val="00AA1A25"/>
    <w:rsid w:val="00AA1A54"/>
    <w:rsid w:val="00AA1AE2"/>
    <w:rsid w:val="00AA1DB1"/>
    <w:rsid w:val="00AA2087"/>
    <w:rsid w:val="00AA2247"/>
    <w:rsid w:val="00AA251C"/>
    <w:rsid w:val="00AA27E2"/>
    <w:rsid w:val="00AA2BB9"/>
    <w:rsid w:val="00AA2DDE"/>
    <w:rsid w:val="00AA2E7B"/>
    <w:rsid w:val="00AA2F05"/>
    <w:rsid w:val="00AA3024"/>
    <w:rsid w:val="00AA319E"/>
    <w:rsid w:val="00AA31AD"/>
    <w:rsid w:val="00AA31AF"/>
    <w:rsid w:val="00AA361F"/>
    <w:rsid w:val="00AA3A0D"/>
    <w:rsid w:val="00AA3C8B"/>
    <w:rsid w:val="00AA3DD9"/>
    <w:rsid w:val="00AA3EB4"/>
    <w:rsid w:val="00AA3F71"/>
    <w:rsid w:val="00AA40E1"/>
    <w:rsid w:val="00AA4123"/>
    <w:rsid w:val="00AA439E"/>
    <w:rsid w:val="00AA4580"/>
    <w:rsid w:val="00AA45CC"/>
    <w:rsid w:val="00AA4A40"/>
    <w:rsid w:val="00AA5087"/>
    <w:rsid w:val="00AA542D"/>
    <w:rsid w:val="00AA546D"/>
    <w:rsid w:val="00AA5877"/>
    <w:rsid w:val="00AA5919"/>
    <w:rsid w:val="00AA5CEB"/>
    <w:rsid w:val="00AA5D12"/>
    <w:rsid w:val="00AA5D55"/>
    <w:rsid w:val="00AA5D89"/>
    <w:rsid w:val="00AA658D"/>
    <w:rsid w:val="00AA698B"/>
    <w:rsid w:val="00AA6AC3"/>
    <w:rsid w:val="00AA6BEB"/>
    <w:rsid w:val="00AA7124"/>
    <w:rsid w:val="00AA7316"/>
    <w:rsid w:val="00AA7449"/>
    <w:rsid w:val="00AA75A7"/>
    <w:rsid w:val="00AA76A0"/>
    <w:rsid w:val="00AA76B3"/>
    <w:rsid w:val="00AA782C"/>
    <w:rsid w:val="00AA7B90"/>
    <w:rsid w:val="00AA7C70"/>
    <w:rsid w:val="00AA7CE0"/>
    <w:rsid w:val="00AA7DA3"/>
    <w:rsid w:val="00AA7EED"/>
    <w:rsid w:val="00AB04CD"/>
    <w:rsid w:val="00AB0A6A"/>
    <w:rsid w:val="00AB0A73"/>
    <w:rsid w:val="00AB0C10"/>
    <w:rsid w:val="00AB0CE0"/>
    <w:rsid w:val="00AB0E20"/>
    <w:rsid w:val="00AB1128"/>
    <w:rsid w:val="00AB1392"/>
    <w:rsid w:val="00AB17CD"/>
    <w:rsid w:val="00AB1DB8"/>
    <w:rsid w:val="00AB1DFF"/>
    <w:rsid w:val="00AB2748"/>
    <w:rsid w:val="00AB2AE2"/>
    <w:rsid w:val="00AB2C90"/>
    <w:rsid w:val="00AB2E0C"/>
    <w:rsid w:val="00AB32C2"/>
    <w:rsid w:val="00AB3A87"/>
    <w:rsid w:val="00AB4416"/>
    <w:rsid w:val="00AB4545"/>
    <w:rsid w:val="00AB4C87"/>
    <w:rsid w:val="00AB506A"/>
    <w:rsid w:val="00AB566A"/>
    <w:rsid w:val="00AB579D"/>
    <w:rsid w:val="00AB584F"/>
    <w:rsid w:val="00AB5C74"/>
    <w:rsid w:val="00AB5D82"/>
    <w:rsid w:val="00AB5D8C"/>
    <w:rsid w:val="00AB5ECD"/>
    <w:rsid w:val="00AB6000"/>
    <w:rsid w:val="00AB6617"/>
    <w:rsid w:val="00AB6A52"/>
    <w:rsid w:val="00AB6C2F"/>
    <w:rsid w:val="00AB6E37"/>
    <w:rsid w:val="00AB6E48"/>
    <w:rsid w:val="00AB6FD6"/>
    <w:rsid w:val="00AB7656"/>
    <w:rsid w:val="00AB7C99"/>
    <w:rsid w:val="00AC010B"/>
    <w:rsid w:val="00AC02AA"/>
    <w:rsid w:val="00AC0B2A"/>
    <w:rsid w:val="00AC0B3E"/>
    <w:rsid w:val="00AC0EC9"/>
    <w:rsid w:val="00AC1493"/>
    <w:rsid w:val="00AC1652"/>
    <w:rsid w:val="00AC1B6A"/>
    <w:rsid w:val="00AC20C4"/>
    <w:rsid w:val="00AC20E4"/>
    <w:rsid w:val="00AC23B9"/>
    <w:rsid w:val="00AC240D"/>
    <w:rsid w:val="00AC25AA"/>
    <w:rsid w:val="00AC2660"/>
    <w:rsid w:val="00AC28DF"/>
    <w:rsid w:val="00AC2B73"/>
    <w:rsid w:val="00AC2C10"/>
    <w:rsid w:val="00AC2DCD"/>
    <w:rsid w:val="00AC3075"/>
    <w:rsid w:val="00AC343A"/>
    <w:rsid w:val="00AC3784"/>
    <w:rsid w:val="00AC3B97"/>
    <w:rsid w:val="00AC3DD8"/>
    <w:rsid w:val="00AC43F6"/>
    <w:rsid w:val="00AC484A"/>
    <w:rsid w:val="00AC4C35"/>
    <w:rsid w:val="00AC4C70"/>
    <w:rsid w:val="00AC4EEC"/>
    <w:rsid w:val="00AC4FAB"/>
    <w:rsid w:val="00AC50E6"/>
    <w:rsid w:val="00AC51AD"/>
    <w:rsid w:val="00AC55EE"/>
    <w:rsid w:val="00AC5AFF"/>
    <w:rsid w:val="00AC603A"/>
    <w:rsid w:val="00AC62D4"/>
    <w:rsid w:val="00AC63F4"/>
    <w:rsid w:val="00AC66B5"/>
    <w:rsid w:val="00AC6CB3"/>
    <w:rsid w:val="00AC6F0A"/>
    <w:rsid w:val="00AC6FAD"/>
    <w:rsid w:val="00AC6FC2"/>
    <w:rsid w:val="00AC7861"/>
    <w:rsid w:val="00AC7876"/>
    <w:rsid w:val="00AC7DB1"/>
    <w:rsid w:val="00AC7F60"/>
    <w:rsid w:val="00AD010F"/>
    <w:rsid w:val="00AD0230"/>
    <w:rsid w:val="00AD0C86"/>
    <w:rsid w:val="00AD0F0E"/>
    <w:rsid w:val="00AD0F70"/>
    <w:rsid w:val="00AD1857"/>
    <w:rsid w:val="00AD18F7"/>
    <w:rsid w:val="00AD1B52"/>
    <w:rsid w:val="00AD1D96"/>
    <w:rsid w:val="00AD2516"/>
    <w:rsid w:val="00AD27B8"/>
    <w:rsid w:val="00AD2F4B"/>
    <w:rsid w:val="00AD3043"/>
    <w:rsid w:val="00AD320A"/>
    <w:rsid w:val="00AD3587"/>
    <w:rsid w:val="00AD3EDB"/>
    <w:rsid w:val="00AD4653"/>
    <w:rsid w:val="00AD47A2"/>
    <w:rsid w:val="00AD49ED"/>
    <w:rsid w:val="00AD4B8C"/>
    <w:rsid w:val="00AD4DFB"/>
    <w:rsid w:val="00AD4E2A"/>
    <w:rsid w:val="00AD4FF2"/>
    <w:rsid w:val="00AD5204"/>
    <w:rsid w:val="00AD52A9"/>
    <w:rsid w:val="00AD5377"/>
    <w:rsid w:val="00AD56B9"/>
    <w:rsid w:val="00AD5BD6"/>
    <w:rsid w:val="00AD5ED1"/>
    <w:rsid w:val="00AD5FAC"/>
    <w:rsid w:val="00AD610A"/>
    <w:rsid w:val="00AD621D"/>
    <w:rsid w:val="00AD62BB"/>
    <w:rsid w:val="00AD6751"/>
    <w:rsid w:val="00AD6B44"/>
    <w:rsid w:val="00AD6C37"/>
    <w:rsid w:val="00AD6CB7"/>
    <w:rsid w:val="00AD6E15"/>
    <w:rsid w:val="00AD7BE9"/>
    <w:rsid w:val="00AD7C5A"/>
    <w:rsid w:val="00AD7DEC"/>
    <w:rsid w:val="00AE0081"/>
    <w:rsid w:val="00AE00E6"/>
    <w:rsid w:val="00AE02B8"/>
    <w:rsid w:val="00AE035F"/>
    <w:rsid w:val="00AE0464"/>
    <w:rsid w:val="00AE05DA"/>
    <w:rsid w:val="00AE0847"/>
    <w:rsid w:val="00AE107F"/>
    <w:rsid w:val="00AE11B2"/>
    <w:rsid w:val="00AE122A"/>
    <w:rsid w:val="00AE1277"/>
    <w:rsid w:val="00AE1337"/>
    <w:rsid w:val="00AE1403"/>
    <w:rsid w:val="00AE15B0"/>
    <w:rsid w:val="00AE15CF"/>
    <w:rsid w:val="00AE162F"/>
    <w:rsid w:val="00AE17DA"/>
    <w:rsid w:val="00AE1804"/>
    <w:rsid w:val="00AE1A02"/>
    <w:rsid w:val="00AE1D87"/>
    <w:rsid w:val="00AE2095"/>
    <w:rsid w:val="00AE20D7"/>
    <w:rsid w:val="00AE21D9"/>
    <w:rsid w:val="00AE228B"/>
    <w:rsid w:val="00AE23D9"/>
    <w:rsid w:val="00AE249B"/>
    <w:rsid w:val="00AE25BD"/>
    <w:rsid w:val="00AE262A"/>
    <w:rsid w:val="00AE269A"/>
    <w:rsid w:val="00AE2A80"/>
    <w:rsid w:val="00AE2CD7"/>
    <w:rsid w:val="00AE3055"/>
    <w:rsid w:val="00AE310B"/>
    <w:rsid w:val="00AE31B0"/>
    <w:rsid w:val="00AE3385"/>
    <w:rsid w:val="00AE33A4"/>
    <w:rsid w:val="00AE393C"/>
    <w:rsid w:val="00AE3BD9"/>
    <w:rsid w:val="00AE4412"/>
    <w:rsid w:val="00AE4475"/>
    <w:rsid w:val="00AE4563"/>
    <w:rsid w:val="00AE4A04"/>
    <w:rsid w:val="00AE4E34"/>
    <w:rsid w:val="00AE5135"/>
    <w:rsid w:val="00AE533B"/>
    <w:rsid w:val="00AE588D"/>
    <w:rsid w:val="00AE5C79"/>
    <w:rsid w:val="00AE5E4E"/>
    <w:rsid w:val="00AE61D3"/>
    <w:rsid w:val="00AE6214"/>
    <w:rsid w:val="00AE6406"/>
    <w:rsid w:val="00AE64FE"/>
    <w:rsid w:val="00AE6776"/>
    <w:rsid w:val="00AE67E9"/>
    <w:rsid w:val="00AE67F2"/>
    <w:rsid w:val="00AE68F4"/>
    <w:rsid w:val="00AE6BCE"/>
    <w:rsid w:val="00AE6C36"/>
    <w:rsid w:val="00AE6D4B"/>
    <w:rsid w:val="00AE6D6C"/>
    <w:rsid w:val="00AE6E68"/>
    <w:rsid w:val="00AE6FF8"/>
    <w:rsid w:val="00AE7207"/>
    <w:rsid w:val="00AE739A"/>
    <w:rsid w:val="00AE7617"/>
    <w:rsid w:val="00AE793A"/>
    <w:rsid w:val="00AE7991"/>
    <w:rsid w:val="00AE7B6D"/>
    <w:rsid w:val="00AF0288"/>
    <w:rsid w:val="00AF0290"/>
    <w:rsid w:val="00AF05C8"/>
    <w:rsid w:val="00AF0886"/>
    <w:rsid w:val="00AF0AE9"/>
    <w:rsid w:val="00AF0D3C"/>
    <w:rsid w:val="00AF0EC2"/>
    <w:rsid w:val="00AF0EC4"/>
    <w:rsid w:val="00AF0FE3"/>
    <w:rsid w:val="00AF115C"/>
    <w:rsid w:val="00AF12F0"/>
    <w:rsid w:val="00AF1438"/>
    <w:rsid w:val="00AF1594"/>
    <w:rsid w:val="00AF1A27"/>
    <w:rsid w:val="00AF1E82"/>
    <w:rsid w:val="00AF1FD1"/>
    <w:rsid w:val="00AF220C"/>
    <w:rsid w:val="00AF277F"/>
    <w:rsid w:val="00AF284D"/>
    <w:rsid w:val="00AF2B99"/>
    <w:rsid w:val="00AF2CF6"/>
    <w:rsid w:val="00AF2E2F"/>
    <w:rsid w:val="00AF332B"/>
    <w:rsid w:val="00AF356A"/>
    <w:rsid w:val="00AF35FC"/>
    <w:rsid w:val="00AF397B"/>
    <w:rsid w:val="00AF3BEE"/>
    <w:rsid w:val="00AF3C32"/>
    <w:rsid w:val="00AF3DCD"/>
    <w:rsid w:val="00AF40B0"/>
    <w:rsid w:val="00AF45BF"/>
    <w:rsid w:val="00AF4655"/>
    <w:rsid w:val="00AF4875"/>
    <w:rsid w:val="00AF4E3E"/>
    <w:rsid w:val="00AF4E6D"/>
    <w:rsid w:val="00AF506B"/>
    <w:rsid w:val="00AF528A"/>
    <w:rsid w:val="00AF551A"/>
    <w:rsid w:val="00AF5724"/>
    <w:rsid w:val="00AF5AB5"/>
    <w:rsid w:val="00AF5B47"/>
    <w:rsid w:val="00AF5BBA"/>
    <w:rsid w:val="00AF5C82"/>
    <w:rsid w:val="00AF5D9D"/>
    <w:rsid w:val="00AF658E"/>
    <w:rsid w:val="00AF66EA"/>
    <w:rsid w:val="00AF67E6"/>
    <w:rsid w:val="00AF6AAD"/>
    <w:rsid w:val="00AF6CCF"/>
    <w:rsid w:val="00AF758D"/>
    <w:rsid w:val="00AF7A97"/>
    <w:rsid w:val="00AF7AB8"/>
    <w:rsid w:val="00AF7B49"/>
    <w:rsid w:val="00AF7DBC"/>
    <w:rsid w:val="00AF7E43"/>
    <w:rsid w:val="00AF7EBC"/>
    <w:rsid w:val="00AF7F48"/>
    <w:rsid w:val="00AF7FDD"/>
    <w:rsid w:val="00B00173"/>
    <w:rsid w:val="00B00408"/>
    <w:rsid w:val="00B0040F"/>
    <w:rsid w:val="00B0094F"/>
    <w:rsid w:val="00B013D4"/>
    <w:rsid w:val="00B01551"/>
    <w:rsid w:val="00B01BB9"/>
    <w:rsid w:val="00B01BE5"/>
    <w:rsid w:val="00B01D89"/>
    <w:rsid w:val="00B02532"/>
    <w:rsid w:val="00B027E2"/>
    <w:rsid w:val="00B02857"/>
    <w:rsid w:val="00B02A8D"/>
    <w:rsid w:val="00B02AA6"/>
    <w:rsid w:val="00B035F9"/>
    <w:rsid w:val="00B03615"/>
    <w:rsid w:val="00B03723"/>
    <w:rsid w:val="00B03A2A"/>
    <w:rsid w:val="00B03A9F"/>
    <w:rsid w:val="00B03C47"/>
    <w:rsid w:val="00B03D71"/>
    <w:rsid w:val="00B03E44"/>
    <w:rsid w:val="00B040ED"/>
    <w:rsid w:val="00B04396"/>
    <w:rsid w:val="00B04AA3"/>
    <w:rsid w:val="00B04CAA"/>
    <w:rsid w:val="00B04F6F"/>
    <w:rsid w:val="00B05156"/>
    <w:rsid w:val="00B055F7"/>
    <w:rsid w:val="00B05604"/>
    <w:rsid w:val="00B056A7"/>
    <w:rsid w:val="00B05978"/>
    <w:rsid w:val="00B059C9"/>
    <w:rsid w:val="00B05CAB"/>
    <w:rsid w:val="00B0644C"/>
    <w:rsid w:val="00B0647A"/>
    <w:rsid w:val="00B0658C"/>
    <w:rsid w:val="00B065CE"/>
    <w:rsid w:val="00B066B5"/>
    <w:rsid w:val="00B0671B"/>
    <w:rsid w:val="00B06813"/>
    <w:rsid w:val="00B06A46"/>
    <w:rsid w:val="00B06AFE"/>
    <w:rsid w:val="00B06BC8"/>
    <w:rsid w:val="00B06CFA"/>
    <w:rsid w:val="00B06DD8"/>
    <w:rsid w:val="00B06F97"/>
    <w:rsid w:val="00B0708C"/>
    <w:rsid w:val="00B07D61"/>
    <w:rsid w:val="00B07D68"/>
    <w:rsid w:val="00B07EEA"/>
    <w:rsid w:val="00B101D0"/>
    <w:rsid w:val="00B103DB"/>
    <w:rsid w:val="00B10513"/>
    <w:rsid w:val="00B10A7D"/>
    <w:rsid w:val="00B10D78"/>
    <w:rsid w:val="00B1147F"/>
    <w:rsid w:val="00B11A5D"/>
    <w:rsid w:val="00B11CB1"/>
    <w:rsid w:val="00B11DE0"/>
    <w:rsid w:val="00B12283"/>
    <w:rsid w:val="00B124AA"/>
    <w:rsid w:val="00B12944"/>
    <w:rsid w:val="00B12C4A"/>
    <w:rsid w:val="00B12EC4"/>
    <w:rsid w:val="00B130B8"/>
    <w:rsid w:val="00B13291"/>
    <w:rsid w:val="00B133B1"/>
    <w:rsid w:val="00B13544"/>
    <w:rsid w:val="00B13A6A"/>
    <w:rsid w:val="00B13CB4"/>
    <w:rsid w:val="00B13E2B"/>
    <w:rsid w:val="00B13ED8"/>
    <w:rsid w:val="00B14163"/>
    <w:rsid w:val="00B14300"/>
    <w:rsid w:val="00B14308"/>
    <w:rsid w:val="00B1449C"/>
    <w:rsid w:val="00B149DC"/>
    <w:rsid w:val="00B14B05"/>
    <w:rsid w:val="00B15409"/>
    <w:rsid w:val="00B1554F"/>
    <w:rsid w:val="00B156CF"/>
    <w:rsid w:val="00B158FD"/>
    <w:rsid w:val="00B15981"/>
    <w:rsid w:val="00B1627E"/>
    <w:rsid w:val="00B164F3"/>
    <w:rsid w:val="00B168E6"/>
    <w:rsid w:val="00B173F0"/>
    <w:rsid w:val="00B176E9"/>
    <w:rsid w:val="00B17787"/>
    <w:rsid w:val="00B178DB"/>
    <w:rsid w:val="00B17A81"/>
    <w:rsid w:val="00B17FE7"/>
    <w:rsid w:val="00B20121"/>
    <w:rsid w:val="00B20149"/>
    <w:rsid w:val="00B201CC"/>
    <w:rsid w:val="00B20852"/>
    <w:rsid w:val="00B208D1"/>
    <w:rsid w:val="00B20AC3"/>
    <w:rsid w:val="00B20BCF"/>
    <w:rsid w:val="00B20DD9"/>
    <w:rsid w:val="00B21143"/>
    <w:rsid w:val="00B2130A"/>
    <w:rsid w:val="00B2144E"/>
    <w:rsid w:val="00B21501"/>
    <w:rsid w:val="00B21674"/>
    <w:rsid w:val="00B21F99"/>
    <w:rsid w:val="00B225D6"/>
    <w:rsid w:val="00B229AF"/>
    <w:rsid w:val="00B22A3E"/>
    <w:rsid w:val="00B23089"/>
    <w:rsid w:val="00B2346C"/>
    <w:rsid w:val="00B23591"/>
    <w:rsid w:val="00B236A5"/>
    <w:rsid w:val="00B2391D"/>
    <w:rsid w:val="00B245C4"/>
    <w:rsid w:val="00B24794"/>
    <w:rsid w:val="00B248FC"/>
    <w:rsid w:val="00B24A25"/>
    <w:rsid w:val="00B24A7C"/>
    <w:rsid w:val="00B24B81"/>
    <w:rsid w:val="00B24DB4"/>
    <w:rsid w:val="00B2501A"/>
    <w:rsid w:val="00B256C4"/>
    <w:rsid w:val="00B258F6"/>
    <w:rsid w:val="00B25BDE"/>
    <w:rsid w:val="00B25CCC"/>
    <w:rsid w:val="00B25D26"/>
    <w:rsid w:val="00B26434"/>
    <w:rsid w:val="00B268D9"/>
    <w:rsid w:val="00B27101"/>
    <w:rsid w:val="00B27186"/>
    <w:rsid w:val="00B273A7"/>
    <w:rsid w:val="00B273BC"/>
    <w:rsid w:val="00B279CE"/>
    <w:rsid w:val="00B30697"/>
    <w:rsid w:val="00B3090D"/>
    <w:rsid w:val="00B3091F"/>
    <w:rsid w:val="00B30A74"/>
    <w:rsid w:val="00B30AC2"/>
    <w:rsid w:val="00B30C69"/>
    <w:rsid w:val="00B30DD6"/>
    <w:rsid w:val="00B30E9D"/>
    <w:rsid w:val="00B31945"/>
    <w:rsid w:val="00B31CF2"/>
    <w:rsid w:val="00B31D9C"/>
    <w:rsid w:val="00B31DDD"/>
    <w:rsid w:val="00B31F3E"/>
    <w:rsid w:val="00B31F5A"/>
    <w:rsid w:val="00B32557"/>
    <w:rsid w:val="00B32574"/>
    <w:rsid w:val="00B328C9"/>
    <w:rsid w:val="00B32A51"/>
    <w:rsid w:val="00B33024"/>
    <w:rsid w:val="00B33161"/>
    <w:rsid w:val="00B3319E"/>
    <w:rsid w:val="00B332D3"/>
    <w:rsid w:val="00B33414"/>
    <w:rsid w:val="00B334E6"/>
    <w:rsid w:val="00B3374E"/>
    <w:rsid w:val="00B338D7"/>
    <w:rsid w:val="00B3392C"/>
    <w:rsid w:val="00B33CE3"/>
    <w:rsid w:val="00B33DB3"/>
    <w:rsid w:val="00B33EB1"/>
    <w:rsid w:val="00B342D9"/>
    <w:rsid w:val="00B34362"/>
    <w:rsid w:val="00B34A02"/>
    <w:rsid w:val="00B35767"/>
    <w:rsid w:val="00B359B6"/>
    <w:rsid w:val="00B35C12"/>
    <w:rsid w:val="00B35C59"/>
    <w:rsid w:val="00B360BE"/>
    <w:rsid w:val="00B362C6"/>
    <w:rsid w:val="00B36678"/>
    <w:rsid w:val="00B367D6"/>
    <w:rsid w:val="00B3686B"/>
    <w:rsid w:val="00B36DDC"/>
    <w:rsid w:val="00B37581"/>
    <w:rsid w:val="00B37599"/>
    <w:rsid w:val="00B37F15"/>
    <w:rsid w:val="00B40288"/>
    <w:rsid w:val="00B40548"/>
    <w:rsid w:val="00B40E94"/>
    <w:rsid w:val="00B40F81"/>
    <w:rsid w:val="00B40FBF"/>
    <w:rsid w:val="00B41164"/>
    <w:rsid w:val="00B41723"/>
    <w:rsid w:val="00B41765"/>
    <w:rsid w:val="00B41815"/>
    <w:rsid w:val="00B4189E"/>
    <w:rsid w:val="00B41A57"/>
    <w:rsid w:val="00B41FE5"/>
    <w:rsid w:val="00B421C4"/>
    <w:rsid w:val="00B42982"/>
    <w:rsid w:val="00B42A1B"/>
    <w:rsid w:val="00B42AEF"/>
    <w:rsid w:val="00B43505"/>
    <w:rsid w:val="00B43690"/>
    <w:rsid w:val="00B43FE9"/>
    <w:rsid w:val="00B44320"/>
    <w:rsid w:val="00B443FE"/>
    <w:rsid w:val="00B4448A"/>
    <w:rsid w:val="00B444D3"/>
    <w:rsid w:val="00B446ED"/>
    <w:rsid w:val="00B44908"/>
    <w:rsid w:val="00B44B15"/>
    <w:rsid w:val="00B450C3"/>
    <w:rsid w:val="00B452F4"/>
    <w:rsid w:val="00B45337"/>
    <w:rsid w:val="00B4557E"/>
    <w:rsid w:val="00B455C7"/>
    <w:rsid w:val="00B456A3"/>
    <w:rsid w:val="00B45825"/>
    <w:rsid w:val="00B45B1A"/>
    <w:rsid w:val="00B45D74"/>
    <w:rsid w:val="00B45D7A"/>
    <w:rsid w:val="00B468A0"/>
    <w:rsid w:val="00B46D40"/>
    <w:rsid w:val="00B46E5A"/>
    <w:rsid w:val="00B46E8C"/>
    <w:rsid w:val="00B470C9"/>
    <w:rsid w:val="00B475B7"/>
    <w:rsid w:val="00B47A90"/>
    <w:rsid w:val="00B47F8A"/>
    <w:rsid w:val="00B5009C"/>
    <w:rsid w:val="00B5022D"/>
    <w:rsid w:val="00B506AC"/>
    <w:rsid w:val="00B50A09"/>
    <w:rsid w:val="00B50E71"/>
    <w:rsid w:val="00B510A2"/>
    <w:rsid w:val="00B51309"/>
    <w:rsid w:val="00B51627"/>
    <w:rsid w:val="00B517FE"/>
    <w:rsid w:val="00B51C22"/>
    <w:rsid w:val="00B51E8E"/>
    <w:rsid w:val="00B5270B"/>
    <w:rsid w:val="00B52790"/>
    <w:rsid w:val="00B52914"/>
    <w:rsid w:val="00B529DC"/>
    <w:rsid w:val="00B52B5E"/>
    <w:rsid w:val="00B52BA2"/>
    <w:rsid w:val="00B52C9C"/>
    <w:rsid w:val="00B52D36"/>
    <w:rsid w:val="00B52E54"/>
    <w:rsid w:val="00B53588"/>
    <w:rsid w:val="00B535BA"/>
    <w:rsid w:val="00B539FF"/>
    <w:rsid w:val="00B53C0C"/>
    <w:rsid w:val="00B53EBE"/>
    <w:rsid w:val="00B5479F"/>
    <w:rsid w:val="00B54B10"/>
    <w:rsid w:val="00B54B8F"/>
    <w:rsid w:val="00B54B95"/>
    <w:rsid w:val="00B54D45"/>
    <w:rsid w:val="00B54E4D"/>
    <w:rsid w:val="00B54FE3"/>
    <w:rsid w:val="00B5510D"/>
    <w:rsid w:val="00B55B57"/>
    <w:rsid w:val="00B55F53"/>
    <w:rsid w:val="00B55FAF"/>
    <w:rsid w:val="00B57108"/>
    <w:rsid w:val="00B571A7"/>
    <w:rsid w:val="00B575D0"/>
    <w:rsid w:val="00B57764"/>
    <w:rsid w:val="00B57B5C"/>
    <w:rsid w:val="00B57C10"/>
    <w:rsid w:val="00B57C16"/>
    <w:rsid w:val="00B57C65"/>
    <w:rsid w:val="00B57F70"/>
    <w:rsid w:val="00B6033D"/>
    <w:rsid w:val="00B60540"/>
    <w:rsid w:val="00B60547"/>
    <w:rsid w:val="00B6054C"/>
    <w:rsid w:val="00B606F3"/>
    <w:rsid w:val="00B60707"/>
    <w:rsid w:val="00B608BD"/>
    <w:rsid w:val="00B608E8"/>
    <w:rsid w:val="00B6093F"/>
    <w:rsid w:val="00B6115F"/>
    <w:rsid w:val="00B6184E"/>
    <w:rsid w:val="00B61AF1"/>
    <w:rsid w:val="00B61BDD"/>
    <w:rsid w:val="00B61C56"/>
    <w:rsid w:val="00B622AB"/>
    <w:rsid w:val="00B62402"/>
    <w:rsid w:val="00B62512"/>
    <w:rsid w:val="00B62A9E"/>
    <w:rsid w:val="00B62B88"/>
    <w:rsid w:val="00B63042"/>
    <w:rsid w:val="00B630D3"/>
    <w:rsid w:val="00B6331F"/>
    <w:rsid w:val="00B635AD"/>
    <w:rsid w:val="00B639A8"/>
    <w:rsid w:val="00B63D1B"/>
    <w:rsid w:val="00B63D39"/>
    <w:rsid w:val="00B63D48"/>
    <w:rsid w:val="00B64288"/>
    <w:rsid w:val="00B6439A"/>
    <w:rsid w:val="00B643AF"/>
    <w:rsid w:val="00B64678"/>
    <w:rsid w:val="00B646F7"/>
    <w:rsid w:val="00B64986"/>
    <w:rsid w:val="00B64D7F"/>
    <w:rsid w:val="00B65009"/>
    <w:rsid w:val="00B654A6"/>
    <w:rsid w:val="00B6609F"/>
    <w:rsid w:val="00B66B8F"/>
    <w:rsid w:val="00B66C7B"/>
    <w:rsid w:val="00B66D8B"/>
    <w:rsid w:val="00B670D3"/>
    <w:rsid w:val="00B69B2A"/>
    <w:rsid w:val="00B70362"/>
    <w:rsid w:val="00B70776"/>
    <w:rsid w:val="00B70D59"/>
    <w:rsid w:val="00B71057"/>
    <w:rsid w:val="00B711F5"/>
    <w:rsid w:val="00B7165D"/>
    <w:rsid w:val="00B71687"/>
    <w:rsid w:val="00B71B8F"/>
    <w:rsid w:val="00B71E01"/>
    <w:rsid w:val="00B72121"/>
    <w:rsid w:val="00B722A0"/>
    <w:rsid w:val="00B72371"/>
    <w:rsid w:val="00B723E7"/>
    <w:rsid w:val="00B72464"/>
    <w:rsid w:val="00B7247F"/>
    <w:rsid w:val="00B7248C"/>
    <w:rsid w:val="00B727E3"/>
    <w:rsid w:val="00B72B41"/>
    <w:rsid w:val="00B730BC"/>
    <w:rsid w:val="00B73308"/>
    <w:rsid w:val="00B7336A"/>
    <w:rsid w:val="00B73435"/>
    <w:rsid w:val="00B7393C"/>
    <w:rsid w:val="00B73BED"/>
    <w:rsid w:val="00B73F78"/>
    <w:rsid w:val="00B73FFF"/>
    <w:rsid w:val="00B744FC"/>
    <w:rsid w:val="00B748CB"/>
    <w:rsid w:val="00B74998"/>
    <w:rsid w:val="00B74AE3"/>
    <w:rsid w:val="00B74D05"/>
    <w:rsid w:val="00B74DA5"/>
    <w:rsid w:val="00B74DDB"/>
    <w:rsid w:val="00B75293"/>
    <w:rsid w:val="00B752A7"/>
    <w:rsid w:val="00B752DB"/>
    <w:rsid w:val="00B75856"/>
    <w:rsid w:val="00B75886"/>
    <w:rsid w:val="00B758D5"/>
    <w:rsid w:val="00B75E04"/>
    <w:rsid w:val="00B76118"/>
    <w:rsid w:val="00B762AF"/>
    <w:rsid w:val="00B765ED"/>
    <w:rsid w:val="00B766FF"/>
    <w:rsid w:val="00B76822"/>
    <w:rsid w:val="00B76F49"/>
    <w:rsid w:val="00B771D4"/>
    <w:rsid w:val="00B7735A"/>
    <w:rsid w:val="00B774A8"/>
    <w:rsid w:val="00B777E4"/>
    <w:rsid w:val="00B80061"/>
    <w:rsid w:val="00B801D2"/>
    <w:rsid w:val="00B802F8"/>
    <w:rsid w:val="00B80555"/>
    <w:rsid w:val="00B8056A"/>
    <w:rsid w:val="00B807AB"/>
    <w:rsid w:val="00B809E4"/>
    <w:rsid w:val="00B80CB2"/>
    <w:rsid w:val="00B80CDD"/>
    <w:rsid w:val="00B80EE0"/>
    <w:rsid w:val="00B81014"/>
    <w:rsid w:val="00B814E6"/>
    <w:rsid w:val="00B81925"/>
    <w:rsid w:val="00B81C3B"/>
    <w:rsid w:val="00B81C66"/>
    <w:rsid w:val="00B81E82"/>
    <w:rsid w:val="00B81ECF"/>
    <w:rsid w:val="00B81FA8"/>
    <w:rsid w:val="00B8280D"/>
    <w:rsid w:val="00B828EF"/>
    <w:rsid w:val="00B8290C"/>
    <w:rsid w:val="00B82916"/>
    <w:rsid w:val="00B82AD8"/>
    <w:rsid w:val="00B82C76"/>
    <w:rsid w:val="00B82FE9"/>
    <w:rsid w:val="00B83363"/>
    <w:rsid w:val="00B83459"/>
    <w:rsid w:val="00B834FD"/>
    <w:rsid w:val="00B8352D"/>
    <w:rsid w:val="00B83CAB"/>
    <w:rsid w:val="00B84069"/>
    <w:rsid w:val="00B84171"/>
    <w:rsid w:val="00B844C5"/>
    <w:rsid w:val="00B845C6"/>
    <w:rsid w:val="00B8475A"/>
    <w:rsid w:val="00B8498C"/>
    <w:rsid w:val="00B84F36"/>
    <w:rsid w:val="00B84FA2"/>
    <w:rsid w:val="00B8534B"/>
    <w:rsid w:val="00B85836"/>
    <w:rsid w:val="00B85D02"/>
    <w:rsid w:val="00B85FA3"/>
    <w:rsid w:val="00B85FAA"/>
    <w:rsid w:val="00B86113"/>
    <w:rsid w:val="00B86611"/>
    <w:rsid w:val="00B86802"/>
    <w:rsid w:val="00B8695A"/>
    <w:rsid w:val="00B86974"/>
    <w:rsid w:val="00B86B3A"/>
    <w:rsid w:val="00B86D4B"/>
    <w:rsid w:val="00B873B1"/>
    <w:rsid w:val="00B877AB"/>
    <w:rsid w:val="00B87A5D"/>
    <w:rsid w:val="00B87D07"/>
    <w:rsid w:val="00B90340"/>
    <w:rsid w:val="00B906CA"/>
    <w:rsid w:val="00B90942"/>
    <w:rsid w:val="00B90B9D"/>
    <w:rsid w:val="00B90C07"/>
    <w:rsid w:val="00B90E36"/>
    <w:rsid w:val="00B90E51"/>
    <w:rsid w:val="00B911B3"/>
    <w:rsid w:val="00B91458"/>
    <w:rsid w:val="00B916F1"/>
    <w:rsid w:val="00B917AE"/>
    <w:rsid w:val="00B917BF"/>
    <w:rsid w:val="00B9188A"/>
    <w:rsid w:val="00B918D3"/>
    <w:rsid w:val="00B91AA8"/>
    <w:rsid w:val="00B91B9B"/>
    <w:rsid w:val="00B91CA5"/>
    <w:rsid w:val="00B91CFC"/>
    <w:rsid w:val="00B91F7B"/>
    <w:rsid w:val="00B92243"/>
    <w:rsid w:val="00B92978"/>
    <w:rsid w:val="00B92E5E"/>
    <w:rsid w:val="00B93190"/>
    <w:rsid w:val="00B9340B"/>
    <w:rsid w:val="00B936BB"/>
    <w:rsid w:val="00B936BC"/>
    <w:rsid w:val="00B93B0E"/>
    <w:rsid w:val="00B94123"/>
    <w:rsid w:val="00B94342"/>
    <w:rsid w:val="00B947DF"/>
    <w:rsid w:val="00B94841"/>
    <w:rsid w:val="00B9493B"/>
    <w:rsid w:val="00B9493C"/>
    <w:rsid w:val="00B95214"/>
    <w:rsid w:val="00B95854"/>
    <w:rsid w:val="00B95924"/>
    <w:rsid w:val="00B9616A"/>
    <w:rsid w:val="00B96234"/>
    <w:rsid w:val="00B96400"/>
    <w:rsid w:val="00B96737"/>
    <w:rsid w:val="00B967FD"/>
    <w:rsid w:val="00B96F6A"/>
    <w:rsid w:val="00B973B6"/>
    <w:rsid w:val="00B97457"/>
    <w:rsid w:val="00B9749E"/>
    <w:rsid w:val="00B97D59"/>
    <w:rsid w:val="00BA01BF"/>
    <w:rsid w:val="00BA0410"/>
    <w:rsid w:val="00BA076C"/>
    <w:rsid w:val="00BA097A"/>
    <w:rsid w:val="00BA0A1B"/>
    <w:rsid w:val="00BA0B2D"/>
    <w:rsid w:val="00BA0BF6"/>
    <w:rsid w:val="00BA11D7"/>
    <w:rsid w:val="00BA1393"/>
    <w:rsid w:val="00BA139E"/>
    <w:rsid w:val="00BA1C04"/>
    <w:rsid w:val="00BA1ED6"/>
    <w:rsid w:val="00BA2415"/>
    <w:rsid w:val="00BA2555"/>
    <w:rsid w:val="00BA25A3"/>
    <w:rsid w:val="00BA282C"/>
    <w:rsid w:val="00BA2D56"/>
    <w:rsid w:val="00BA2D59"/>
    <w:rsid w:val="00BA2F49"/>
    <w:rsid w:val="00BA2F95"/>
    <w:rsid w:val="00BA36A3"/>
    <w:rsid w:val="00BA3B16"/>
    <w:rsid w:val="00BA420B"/>
    <w:rsid w:val="00BA450C"/>
    <w:rsid w:val="00BA4E9C"/>
    <w:rsid w:val="00BA52CC"/>
    <w:rsid w:val="00BA559C"/>
    <w:rsid w:val="00BA59F6"/>
    <w:rsid w:val="00BA5A9C"/>
    <w:rsid w:val="00BA5BCE"/>
    <w:rsid w:val="00BA5CAB"/>
    <w:rsid w:val="00BA5F50"/>
    <w:rsid w:val="00BA5FA9"/>
    <w:rsid w:val="00BA67FB"/>
    <w:rsid w:val="00BA6B96"/>
    <w:rsid w:val="00BA6D28"/>
    <w:rsid w:val="00BA7071"/>
    <w:rsid w:val="00BA7361"/>
    <w:rsid w:val="00BA74BF"/>
    <w:rsid w:val="00BA78CA"/>
    <w:rsid w:val="00BA78CC"/>
    <w:rsid w:val="00BA7934"/>
    <w:rsid w:val="00BA7CAF"/>
    <w:rsid w:val="00BA7E16"/>
    <w:rsid w:val="00BA7E3B"/>
    <w:rsid w:val="00BA7F83"/>
    <w:rsid w:val="00BB0121"/>
    <w:rsid w:val="00BB0217"/>
    <w:rsid w:val="00BB0490"/>
    <w:rsid w:val="00BB0578"/>
    <w:rsid w:val="00BB0720"/>
    <w:rsid w:val="00BB0794"/>
    <w:rsid w:val="00BB0D3F"/>
    <w:rsid w:val="00BB1075"/>
    <w:rsid w:val="00BB16A3"/>
    <w:rsid w:val="00BB1BA1"/>
    <w:rsid w:val="00BB1BDB"/>
    <w:rsid w:val="00BB1C7F"/>
    <w:rsid w:val="00BB1F70"/>
    <w:rsid w:val="00BB2146"/>
    <w:rsid w:val="00BB2548"/>
    <w:rsid w:val="00BB2729"/>
    <w:rsid w:val="00BB274D"/>
    <w:rsid w:val="00BB2960"/>
    <w:rsid w:val="00BB2AFC"/>
    <w:rsid w:val="00BB2E67"/>
    <w:rsid w:val="00BB2E95"/>
    <w:rsid w:val="00BB2EF1"/>
    <w:rsid w:val="00BB2EF9"/>
    <w:rsid w:val="00BB2F10"/>
    <w:rsid w:val="00BB2FBE"/>
    <w:rsid w:val="00BB37AE"/>
    <w:rsid w:val="00BB37D7"/>
    <w:rsid w:val="00BB3830"/>
    <w:rsid w:val="00BB3C73"/>
    <w:rsid w:val="00BB42D1"/>
    <w:rsid w:val="00BB443F"/>
    <w:rsid w:val="00BB49FB"/>
    <w:rsid w:val="00BB4CCC"/>
    <w:rsid w:val="00BB4D44"/>
    <w:rsid w:val="00BB4DEA"/>
    <w:rsid w:val="00BB4FAF"/>
    <w:rsid w:val="00BB5220"/>
    <w:rsid w:val="00BB524F"/>
    <w:rsid w:val="00BB53B0"/>
    <w:rsid w:val="00BB5EBE"/>
    <w:rsid w:val="00BB5FA8"/>
    <w:rsid w:val="00BB60D2"/>
    <w:rsid w:val="00BB6281"/>
    <w:rsid w:val="00BB63BA"/>
    <w:rsid w:val="00BB63CC"/>
    <w:rsid w:val="00BB646C"/>
    <w:rsid w:val="00BB67A5"/>
    <w:rsid w:val="00BB6868"/>
    <w:rsid w:val="00BB71B3"/>
    <w:rsid w:val="00BB76AE"/>
    <w:rsid w:val="00BB79A7"/>
    <w:rsid w:val="00BB7C6D"/>
    <w:rsid w:val="00BB7D0A"/>
    <w:rsid w:val="00BB7F55"/>
    <w:rsid w:val="00BC07C4"/>
    <w:rsid w:val="00BC0BBA"/>
    <w:rsid w:val="00BC0C1F"/>
    <w:rsid w:val="00BC0C32"/>
    <w:rsid w:val="00BC0E0E"/>
    <w:rsid w:val="00BC10D5"/>
    <w:rsid w:val="00BC115D"/>
    <w:rsid w:val="00BC1C2E"/>
    <w:rsid w:val="00BC1CDE"/>
    <w:rsid w:val="00BC1FBC"/>
    <w:rsid w:val="00BC1FEC"/>
    <w:rsid w:val="00BC20AC"/>
    <w:rsid w:val="00BC245C"/>
    <w:rsid w:val="00BC246D"/>
    <w:rsid w:val="00BC2531"/>
    <w:rsid w:val="00BC2ACF"/>
    <w:rsid w:val="00BC2CA4"/>
    <w:rsid w:val="00BC2D87"/>
    <w:rsid w:val="00BC3052"/>
    <w:rsid w:val="00BC3871"/>
    <w:rsid w:val="00BC3FD9"/>
    <w:rsid w:val="00BC4215"/>
    <w:rsid w:val="00BC4243"/>
    <w:rsid w:val="00BC475A"/>
    <w:rsid w:val="00BC4792"/>
    <w:rsid w:val="00BC49FC"/>
    <w:rsid w:val="00BC4B0B"/>
    <w:rsid w:val="00BC4BFC"/>
    <w:rsid w:val="00BC5796"/>
    <w:rsid w:val="00BC5DD7"/>
    <w:rsid w:val="00BC5EA0"/>
    <w:rsid w:val="00BC5F78"/>
    <w:rsid w:val="00BC5F9E"/>
    <w:rsid w:val="00BC636D"/>
    <w:rsid w:val="00BC64A4"/>
    <w:rsid w:val="00BC72EA"/>
    <w:rsid w:val="00BC753C"/>
    <w:rsid w:val="00BC76ED"/>
    <w:rsid w:val="00BC775C"/>
    <w:rsid w:val="00BC7886"/>
    <w:rsid w:val="00BC796E"/>
    <w:rsid w:val="00BC7BF0"/>
    <w:rsid w:val="00BC7C05"/>
    <w:rsid w:val="00BC7F72"/>
    <w:rsid w:val="00BD007F"/>
    <w:rsid w:val="00BD0464"/>
    <w:rsid w:val="00BD076E"/>
    <w:rsid w:val="00BD0819"/>
    <w:rsid w:val="00BD097F"/>
    <w:rsid w:val="00BD0B5D"/>
    <w:rsid w:val="00BD15BE"/>
    <w:rsid w:val="00BD165F"/>
    <w:rsid w:val="00BD1DC2"/>
    <w:rsid w:val="00BD20A2"/>
    <w:rsid w:val="00BD20AD"/>
    <w:rsid w:val="00BD2410"/>
    <w:rsid w:val="00BD2549"/>
    <w:rsid w:val="00BD25FD"/>
    <w:rsid w:val="00BD2683"/>
    <w:rsid w:val="00BD2808"/>
    <w:rsid w:val="00BD2993"/>
    <w:rsid w:val="00BD2ACC"/>
    <w:rsid w:val="00BD2ED9"/>
    <w:rsid w:val="00BD2F25"/>
    <w:rsid w:val="00BD2F9D"/>
    <w:rsid w:val="00BD3165"/>
    <w:rsid w:val="00BD34A2"/>
    <w:rsid w:val="00BD389C"/>
    <w:rsid w:val="00BD38B6"/>
    <w:rsid w:val="00BD38D9"/>
    <w:rsid w:val="00BD3D29"/>
    <w:rsid w:val="00BD4210"/>
    <w:rsid w:val="00BD4371"/>
    <w:rsid w:val="00BD4442"/>
    <w:rsid w:val="00BD4747"/>
    <w:rsid w:val="00BD492A"/>
    <w:rsid w:val="00BD49A8"/>
    <w:rsid w:val="00BD4A32"/>
    <w:rsid w:val="00BD4ADC"/>
    <w:rsid w:val="00BD4B88"/>
    <w:rsid w:val="00BD4DBD"/>
    <w:rsid w:val="00BD4E0C"/>
    <w:rsid w:val="00BD5047"/>
    <w:rsid w:val="00BD5098"/>
    <w:rsid w:val="00BD526D"/>
    <w:rsid w:val="00BD567F"/>
    <w:rsid w:val="00BD5928"/>
    <w:rsid w:val="00BD5AA4"/>
    <w:rsid w:val="00BD5C7F"/>
    <w:rsid w:val="00BD5CAA"/>
    <w:rsid w:val="00BD6282"/>
    <w:rsid w:val="00BD62B6"/>
    <w:rsid w:val="00BD6404"/>
    <w:rsid w:val="00BD68A7"/>
    <w:rsid w:val="00BD6B03"/>
    <w:rsid w:val="00BD77A1"/>
    <w:rsid w:val="00BD7985"/>
    <w:rsid w:val="00BD79D3"/>
    <w:rsid w:val="00BD7D3A"/>
    <w:rsid w:val="00BD7E76"/>
    <w:rsid w:val="00BD7EB2"/>
    <w:rsid w:val="00BD7F10"/>
    <w:rsid w:val="00BE0195"/>
    <w:rsid w:val="00BE01D1"/>
    <w:rsid w:val="00BE01DA"/>
    <w:rsid w:val="00BE01E1"/>
    <w:rsid w:val="00BE0303"/>
    <w:rsid w:val="00BE0395"/>
    <w:rsid w:val="00BE06EC"/>
    <w:rsid w:val="00BE06F8"/>
    <w:rsid w:val="00BE090E"/>
    <w:rsid w:val="00BE0BF3"/>
    <w:rsid w:val="00BE127E"/>
    <w:rsid w:val="00BE143A"/>
    <w:rsid w:val="00BE1541"/>
    <w:rsid w:val="00BE17B6"/>
    <w:rsid w:val="00BE1881"/>
    <w:rsid w:val="00BE19F1"/>
    <w:rsid w:val="00BE19FC"/>
    <w:rsid w:val="00BE1D5B"/>
    <w:rsid w:val="00BE26E1"/>
    <w:rsid w:val="00BE26EE"/>
    <w:rsid w:val="00BE294C"/>
    <w:rsid w:val="00BE2950"/>
    <w:rsid w:val="00BE2F17"/>
    <w:rsid w:val="00BE3160"/>
    <w:rsid w:val="00BE31B2"/>
    <w:rsid w:val="00BE32C6"/>
    <w:rsid w:val="00BE3338"/>
    <w:rsid w:val="00BE371C"/>
    <w:rsid w:val="00BE3A05"/>
    <w:rsid w:val="00BE3C2D"/>
    <w:rsid w:val="00BE4ADA"/>
    <w:rsid w:val="00BE4BFD"/>
    <w:rsid w:val="00BE4D8E"/>
    <w:rsid w:val="00BE52F6"/>
    <w:rsid w:val="00BE586E"/>
    <w:rsid w:val="00BE58E3"/>
    <w:rsid w:val="00BE5D1C"/>
    <w:rsid w:val="00BE5D5A"/>
    <w:rsid w:val="00BE5F76"/>
    <w:rsid w:val="00BE629C"/>
    <w:rsid w:val="00BE6AB5"/>
    <w:rsid w:val="00BE6B1D"/>
    <w:rsid w:val="00BE6E8D"/>
    <w:rsid w:val="00BE71C2"/>
    <w:rsid w:val="00BE7435"/>
    <w:rsid w:val="00BE75FB"/>
    <w:rsid w:val="00BE7660"/>
    <w:rsid w:val="00BE7917"/>
    <w:rsid w:val="00BE7A70"/>
    <w:rsid w:val="00BE7D18"/>
    <w:rsid w:val="00BE7F7E"/>
    <w:rsid w:val="00BF02BE"/>
    <w:rsid w:val="00BF0430"/>
    <w:rsid w:val="00BF0476"/>
    <w:rsid w:val="00BF06C7"/>
    <w:rsid w:val="00BF06E4"/>
    <w:rsid w:val="00BF083A"/>
    <w:rsid w:val="00BF0A0D"/>
    <w:rsid w:val="00BF1314"/>
    <w:rsid w:val="00BF1867"/>
    <w:rsid w:val="00BF1B05"/>
    <w:rsid w:val="00BF1C12"/>
    <w:rsid w:val="00BF1E6D"/>
    <w:rsid w:val="00BF2311"/>
    <w:rsid w:val="00BF28EB"/>
    <w:rsid w:val="00BF2AC7"/>
    <w:rsid w:val="00BF2C69"/>
    <w:rsid w:val="00BF2D2C"/>
    <w:rsid w:val="00BF2E04"/>
    <w:rsid w:val="00BF3041"/>
    <w:rsid w:val="00BF3F70"/>
    <w:rsid w:val="00BF42C2"/>
    <w:rsid w:val="00BF45A4"/>
    <w:rsid w:val="00BF45DF"/>
    <w:rsid w:val="00BF474E"/>
    <w:rsid w:val="00BF4E73"/>
    <w:rsid w:val="00BF4F5D"/>
    <w:rsid w:val="00BF5116"/>
    <w:rsid w:val="00BF55F1"/>
    <w:rsid w:val="00BF5648"/>
    <w:rsid w:val="00BF5A29"/>
    <w:rsid w:val="00BF5A87"/>
    <w:rsid w:val="00BF5BFB"/>
    <w:rsid w:val="00BF5C42"/>
    <w:rsid w:val="00BF5EC8"/>
    <w:rsid w:val="00BF5ED1"/>
    <w:rsid w:val="00BF5FF1"/>
    <w:rsid w:val="00BF6086"/>
    <w:rsid w:val="00BF67E0"/>
    <w:rsid w:val="00BF6C70"/>
    <w:rsid w:val="00BF6F58"/>
    <w:rsid w:val="00BF724D"/>
    <w:rsid w:val="00BF7293"/>
    <w:rsid w:val="00BF735A"/>
    <w:rsid w:val="00BF7AEA"/>
    <w:rsid w:val="00BFF808"/>
    <w:rsid w:val="00C00178"/>
    <w:rsid w:val="00C001B3"/>
    <w:rsid w:val="00C0056C"/>
    <w:rsid w:val="00C00749"/>
    <w:rsid w:val="00C00791"/>
    <w:rsid w:val="00C007FF"/>
    <w:rsid w:val="00C0093E"/>
    <w:rsid w:val="00C00971"/>
    <w:rsid w:val="00C009ED"/>
    <w:rsid w:val="00C01583"/>
    <w:rsid w:val="00C015E4"/>
    <w:rsid w:val="00C016CE"/>
    <w:rsid w:val="00C016ED"/>
    <w:rsid w:val="00C0175E"/>
    <w:rsid w:val="00C01931"/>
    <w:rsid w:val="00C019A8"/>
    <w:rsid w:val="00C02009"/>
    <w:rsid w:val="00C02469"/>
    <w:rsid w:val="00C029EE"/>
    <w:rsid w:val="00C02AEF"/>
    <w:rsid w:val="00C02D93"/>
    <w:rsid w:val="00C02F3A"/>
    <w:rsid w:val="00C02F55"/>
    <w:rsid w:val="00C034A1"/>
    <w:rsid w:val="00C036A7"/>
    <w:rsid w:val="00C03739"/>
    <w:rsid w:val="00C037C5"/>
    <w:rsid w:val="00C03FE7"/>
    <w:rsid w:val="00C041C8"/>
    <w:rsid w:val="00C04279"/>
    <w:rsid w:val="00C04296"/>
    <w:rsid w:val="00C05178"/>
    <w:rsid w:val="00C053C6"/>
    <w:rsid w:val="00C0546C"/>
    <w:rsid w:val="00C058AE"/>
    <w:rsid w:val="00C059FB"/>
    <w:rsid w:val="00C05E74"/>
    <w:rsid w:val="00C0622C"/>
    <w:rsid w:val="00C0635B"/>
    <w:rsid w:val="00C06419"/>
    <w:rsid w:val="00C06BA8"/>
    <w:rsid w:val="00C06C44"/>
    <w:rsid w:val="00C06D5B"/>
    <w:rsid w:val="00C07162"/>
    <w:rsid w:val="00C0736A"/>
    <w:rsid w:val="00C078D5"/>
    <w:rsid w:val="00C10039"/>
    <w:rsid w:val="00C101C6"/>
    <w:rsid w:val="00C102E3"/>
    <w:rsid w:val="00C103C5"/>
    <w:rsid w:val="00C10805"/>
    <w:rsid w:val="00C11163"/>
    <w:rsid w:val="00C1131A"/>
    <w:rsid w:val="00C116D5"/>
    <w:rsid w:val="00C11BF4"/>
    <w:rsid w:val="00C11BFC"/>
    <w:rsid w:val="00C1206F"/>
    <w:rsid w:val="00C12171"/>
    <w:rsid w:val="00C122B6"/>
    <w:rsid w:val="00C123A8"/>
    <w:rsid w:val="00C125EF"/>
    <w:rsid w:val="00C12661"/>
    <w:rsid w:val="00C12857"/>
    <w:rsid w:val="00C129C0"/>
    <w:rsid w:val="00C12AA8"/>
    <w:rsid w:val="00C12C4E"/>
    <w:rsid w:val="00C12CF7"/>
    <w:rsid w:val="00C12CF8"/>
    <w:rsid w:val="00C12DE9"/>
    <w:rsid w:val="00C12E8F"/>
    <w:rsid w:val="00C1307A"/>
    <w:rsid w:val="00C1336F"/>
    <w:rsid w:val="00C133BD"/>
    <w:rsid w:val="00C13441"/>
    <w:rsid w:val="00C13442"/>
    <w:rsid w:val="00C134E0"/>
    <w:rsid w:val="00C13542"/>
    <w:rsid w:val="00C135AF"/>
    <w:rsid w:val="00C1360C"/>
    <w:rsid w:val="00C1392A"/>
    <w:rsid w:val="00C1398B"/>
    <w:rsid w:val="00C13B90"/>
    <w:rsid w:val="00C13CF6"/>
    <w:rsid w:val="00C13D41"/>
    <w:rsid w:val="00C13D70"/>
    <w:rsid w:val="00C13F44"/>
    <w:rsid w:val="00C144EE"/>
    <w:rsid w:val="00C1483E"/>
    <w:rsid w:val="00C14D34"/>
    <w:rsid w:val="00C14FC9"/>
    <w:rsid w:val="00C151B2"/>
    <w:rsid w:val="00C1534E"/>
    <w:rsid w:val="00C154A4"/>
    <w:rsid w:val="00C15BD6"/>
    <w:rsid w:val="00C15E6B"/>
    <w:rsid w:val="00C15F29"/>
    <w:rsid w:val="00C15F42"/>
    <w:rsid w:val="00C160A2"/>
    <w:rsid w:val="00C16248"/>
    <w:rsid w:val="00C162DD"/>
    <w:rsid w:val="00C165F6"/>
    <w:rsid w:val="00C16613"/>
    <w:rsid w:val="00C166D6"/>
    <w:rsid w:val="00C16CC2"/>
    <w:rsid w:val="00C16E5C"/>
    <w:rsid w:val="00C16ED0"/>
    <w:rsid w:val="00C17048"/>
    <w:rsid w:val="00C17432"/>
    <w:rsid w:val="00C17589"/>
    <w:rsid w:val="00C17A93"/>
    <w:rsid w:val="00C17BE8"/>
    <w:rsid w:val="00C17CC7"/>
    <w:rsid w:val="00C203B8"/>
    <w:rsid w:val="00C20513"/>
    <w:rsid w:val="00C20765"/>
    <w:rsid w:val="00C20EDC"/>
    <w:rsid w:val="00C20F2F"/>
    <w:rsid w:val="00C2157B"/>
    <w:rsid w:val="00C219B2"/>
    <w:rsid w:val="00C219BA"/>
    <w:rsid w:val="00C21A8C"/>
    <w:rsid w:val="00C21DCA"/>
    <w:rsid w:val="00C2208A"/>
    <w:rsid w:val="00C2218C"/>
    <w:rsid w:val="00C22675"/>
    <w:rsid w:val="00C226AB"/>
    <w:rsid w:val="00C22DE5"/>
    <w:rsid w:val="00C22EF7"/>
    <w:rsid w:val="00C2309F"/>
    <w:rsid w:val="00C23E99"/>
    <w:rsid w:val="00C244EE"/>
    <w:rsid w:val="00C24583"/>
    <w:rsid w:val="00C246D2"/>
    <w:rsid w:val="00C24799"/>
    <w:rsid w:val="00C24877"/>
    <w:rsid w:val="00C2527A"/>
    <w:rsid w:val="00C2540B"/>
    <w:rsid w:val="00C2542F"/>
    <w:rsid w:val="00C2545F"/>
    <w:rsid w:val="00C255A3"/>
    <w:rsid w:val="00C259B4"/>
    <w:rsid w:val="00C25A69"/>
    <w:rsid w:val="00C25C4A"/>
    <w:rsid w:val="00C25D47"/>
    <w:rsid w:val="00C260ED"/>
    <w:rsid w:val="00C26143"/>
    <w:rsid w:val="00C262DD"/>
    <w:rsid w:val="00C26B72"/>
    <w:rsid w:val="00C26BFF"/>
    <w:rsid w:val="00C27088"/>
    <w:rsid w:val="00C27191"/>
    <w:rsid w:val="00C27220"/>
    <w:rsid w:val="00C27288"/>
    <w:rsid w:val="00C2783F"/>
    <w:rsid w:val="00C27E35"/>
    <w:rsid w:val="00C302ED"/>
    <w:rsid w:val="00C309BF"/>
    <w:rsid w:val="00C30D46"/>
    <w:rsid w:val="00C314D4"/>
    <w:rsid w:val="00C316AE"/>
    <w:rsid w:val="00C316E7"/>
    <w:rsid w:val="00C31753"/>
    <w:rsid w:val="00C31793"/>
    <w:rsid w:val="00C318FD"/>
    <w:rsid w:val="00C31D1B"/>
    <w:rsid w:val="00C31F71"/>
    <w:rsid w:val="00C3235A"/>
    <w:rsid w:val="00C3264D"/>
    <w:rsid w:val="00C3268D"/>
    <w:rsid w:val="00C326E8"/>
    <w:rsid w:val="00C32800"/>
    <w:rsid w:val="00C32E6D"/>
    <w:rsid w:val="00C33039"/>
    <w:rsid w:val="00C33059"/>
    <w:rsid w:val="00C331E6"/>
    <w:rsid w:val="00C33245"/>
    <w:rsid w:val="00C33276"/>
    <w:rsid w:val="00C333C6"/>
    <w:rsid w:val="00C33450"/>
    <w:rsid w:val="00C33854"/>
    <w:rsid w:val="00C33D21"/>
    <w:rsid w:val="00C33D80"/>
    <w:rsid w:val="00C33E80"/>
    <w:rsid w:val="00C33F61"/>
    <w:rsid w:val="00C34022"/>
    <w:rsid w:val="00C3458A"/>
    <w:rsid w:val="00C3466F"/>
    <w:rsid w:val="00C35002"/>
    <w:rsid w:val="00C351A3"/>
    <w:rsid w:val="00C3532B"/>
    <w:rsid w:val="00C3536A"/>
    <w:rsid w:val="00C356F9"/>
    <w:rsid w:val="00C357B8"/>
    <w:rsid w:val="00C35A79"/>
    <w:rsid w:val="00C35D4F"/>
    <w:rsid w:val="00C36460"/>
    <w:rsid w:val="00C365D4"/>
    <w:rsid w:val="00C369E9"/>
    <w:rsid w:val="00C36E64"/>
    <w:rsid w:val="00C375FD"/>
    <w:rsid w:val="00C376B7"/>
    <w:rsid w:val="00C376F4"/>
    <w:rsid w:val="00C37873"/>
    <w:rsid w:val="00C379A6"/>
    <w:rsid w:val="00C37A6F"/>
    <w:rsid w:val="00C400EC"/>
    <w:rsid w:val="00C4016F"/>
    <w:rsid w:val="00C401DF"/>
    <w:rsid w:val="00C402EB"/>
    <w:rsid w:val="00C403D9"/>
    <w:rsid w:val="00C4041D"/>
    <w:rsid w:val="00C4056E"/>
    <w:rsid w:val="00C40607"/>
    <w:rsid w:val="00C40622"/>
    <w:rsid w:val="00C40794"/>
    <w:rsid w:val="00C40831"/>
    <w:rsid w:val="00C4095D"/>
    <w:rsid w:val="00C409C2"/>
    <w:rsid w:val="00C41073"/>
    <w:rsid w:val="00C41105"/>
    <w:rsid w:val="00C41227"/>
    <w:rsid w:val="00C4123E"/>
    <w:rsid w:val="00C41892"/>
    <w:rsid w:val="00C41B11"/>
    <w:rsid w:val="00C41C54"/>
    <w:rsid w:val="00C4206D"/>
    <w:rsid w:val="00C422FA"/>
    <w:rsid w:val="00C42808"/>
    <w:rsid w:val="00C42A76"/>
    <w:rsid w:val="00C42C20"/>
    <w:rsid w:val="00C42C23"/>
    <w:rsid w:val="00C42C6E"/>
    <w:rsid w:val="00C42CC6"/>
    <w:rsid w:val="00C42DC0"/>
    <w:rsid w:val="00C42DE9"/>
    <w:rsid w:val="00C42EAD"/>
    <w:rsid w:val="00C43483"/>
    <w:rsid w:val="00C434AA"/>
    <w:rsid w:val="00C43B48"/>
    <w:rsid w:val="00C43B55"/>
    <w:rsid w:val="00C43DCD"/>
    <w:rsid w:val="00C43F53"/>
    <w:rsid w:val="00C45ABD"/>
    <w:rsid w:val="00C45AD8"/>
    <w:rsid w:val="00C45BBE"/>
    <w:rsid w:val="00C45C15"/>
    <w:rsid w:val="00C4621B"/>
    <w:rsid w:val="00C462B5"/>
    <w:rsid w:val="00C463A5"/>
    <w:rsid w:val="00C465F3"/>
    <w:rsid w:val="00C4667F"/>
    <w:rsid w:val="00C46760"/>
    <w:rsid w:val="00C46965"/>
    <w:rsid w:val="00C46B24"/>
    <w:rsid w:val="00C470C8"/>
    <w:rsid w:val="00C50003"/>
    <w:rsid w:val="00C5015C"/>
    <w:rsid w:val="00C50427"/>
    <w:rsid w:val="00C50667"/>
    <w:rsid w:val="00C50715"/>
    <w:rsid w:val="00C50A52"/>
    <w:rsid w:val="00C50BFD"/>
    <w:rsid w:val="00C50C1B"/>
    <w:rsid w:val="00C50CC4"/>
    <w:rsid w:val="00C50E46"/>
    <w:rsid w:val="00C50F69"/>
    <w:rsid w:val="00C511DD"/>
    <w:rsid w:val="00C51342"/>
    <w:rsid w:val="00C51827"/>
    <w:rsid w:val="00C5190F"/>
    <w:rsid w:val="00C5199D"/>
    <w:rsid w:val="00C51AC3"/>
    <w:rsid w:val="00C52278"/>
    <w:rsid w:val="00C522CA"/>
    <w:rsid w:val="00C5261D"/>
    <w:rsid w:val="00C52B95"/>
    <w:rsid w:val="00C53295"/>
    <w:rsid w:val="00C53B91"/>
    <w:rsid w:val="00C54105"/>
    <w:rsid w:val="00C546C7"/>
    <w:rsid w:val="00C546FB"/>
    <w:rsid w:val="00C54A5B"/>
    <w:rsid w:val="00C54B11"/>
    <w:rsid w:val="00C54D86"/>
    <w:rsid w:val="00C54F53"/>
    <w:rsid w:val="00C5518E"/>
    <w:rsid w:val="00C55523"/>
    <w:rsid w:val="00C55BCF"/>
    <w:rsid w:val="00C55BEE"/>
    <w:rsid w:val="00C55DD1"/>
    <w:rsid w:val="00C55DE5"/>
    <w:rsid w:val="00C56277"/>
    <w:rsid w:val="00C562C8"/>
    <w:rsid w:val="00C56330"/>
    <w:rsid w:val="00C56361"/>
    <w:rsid w:val="00C56653"/>
    <w:rsid w:val="00C566C0"/>
    <w:rsid w:val="00C56755"/>
    <w:rsid w:val="00C56756"/>
    <w:rsid w:val="00C5681E"/>
    <w:rsid w:val="00C5694E"/>
    <w:rsid w:val="00C5697A"/>
    <w:rsid w:val="00C56C93"/>
    <w:rsid w:val="00C56D80"/>
    <w:rsid w:val="00C57040"/>
    <w:rsid w:val="00C573DA"/>
    <w:rsid w:val="00C57472"/>
    <w:rsid w:val="00C5776B"/>
    <w:rsid w:val="00C60806"/>
    <w:rsid w:val="00C60E32"/>
    <w:rsid w:val="00C60FFA"/>
    <w:rsid w:val="00C612CF"/>
    <w:rsid w:val="00C615AC"/>
    <w:rsid w:val="00C619B1"/>
    <w:rsid w:val="00C61BDA"/>
    <w:rsid w:val="00C61C15"/>
    <w:rsid w:val="00C61CE6"/>
    <w:rsid w:val="00C61E05"/>
    <w:rsid w:val="00C61E67"/>
    <w:rsid w:val="00C62207"/>
    <w:rsid w:val="00C62593"/>
    <w:rsid w:val="00C62BFD"/>
    <w:rsid w:val="00C62C17"/>
    <w:rsid w:val="00C62C79"/>
    <w:rsid w:val="00C62CAA"/>
    <w:rsid w:val="00C62F44"/>
    <w:rsid w:val="00C63198"/>
    <w:rsid w:val="00C6373A"/>
    <w:rsid w:val="00C63806"/>
    <w:rsid w:val="00C6389A"/>
    <w:rsid w:val="00C63A13"/>
    <w:rsid w:val="00C63AC9"/>
    <w:rsid w:val="00C63DD0"/>
    <w:rsid w:val="00C6441D"/>
    <w:rsid w:val="00C6446F"/>
    <w:rsid w:val="00C646B2"/>
    <w:rsid w:val="00C647D7"/>
    <w:rsid w:val="00C64A13"/>
    <w:rsid w:val="00C64BB8"/>
    <w:rsid w:val="00C64C7F"/>
    <w:rsid w:val="00C64F7D"/>
    <w:rsid w:val="00C65331"/>
    <w:rsid w:val="00C6547E"/>
    <w:rsid w:val="00C65617"/>
    <w:rsid w:val="00C65702"/>
    <w:rsid w:val="00C6575A"/>
    <w:rsid w:val="00C658E3"/>
    <w:rsid w:val="00C659F2"/>
    <w:rsid w:val="00C65AFA"/>
    <w:rsid w:val="00C65D17"/>
    <w:rsid w:val="00C66095"/>
    <w:rsid w:val="00C660A2"/>
    <w:rsid w:val="00C66313"/>
    <w:rsid w:val="00C66386"/>
    <w:rsid w:val="00C66607"/>
    <w:rsid w:val="00C6668E"/>
    <w:rsid w:val="00C66CFC"/>
    <w:rsid w:val="00C66F7B"/>
    <w:rsid w:val="00C6720D"/>
    <w:rsid w:val="00C67842"/>
    <w:rsid w:val="00C678FA"/>
    <w:rsid w:val="00C679DA"/>
    <w:rsid w:val="00C67AC8"/>
    <w:rsid w:val="00C67C44"/>
    <w:rsid w:val="00C67D9F"/>
    <w:rsid w:val="00C7019A"/>
    <w:rsid w:val="00C701B8"/>
    <w:rsid w:val="00C704AA"/>
    <w:rsid w:val="00C706AF"/>
    <w:rsid w:val="00C7085F"/>
    <w:rsid w:val="00C70946"/>
    <w:rsid w:val="00C70C55"/>
    <w:rsid w:val="00C70E99"/>
    <w:rsid w:val="00C7124A"/>
    <w:rsid w:val="00C7136F"/>
    <w:rsid w:val="00C71668"/>
    <w:rsid w:val="00C71C43"/>
    <w:rsid w:val="00C71FEA"/>
    <w:rsid w:val="00C72055"/>
    <w:rsid w:val="00C72066"/>
    <w:rsid w:val="00C7213B"/>
    <w:rsid w:val="00C722B2"/>
    <w:rsid w:val="00C722E1"/>
    <w:rsid w:val="00C72319"/>
    <w:rsid w:val="00C72441"/>
    <w:rsid w:val="00C724BC"/>
    <w:rsid w:val="00C727D4"/>
    <w:rsid w:val="00C72823"/>
    <w:rsid w:val="00C72DC3"/>
    <w:rsid w:val="00C72F51"/>
    <w:rsid w:val="00C73282"/>
    <w:rsid w:val="00C7368B"/>
    <w:rsid w:val="00C737D9"/>
    <w:rsid w:val="00C73823"/>
    <w:rsid w:val="00C73DE7"/>
    <w:rsid w:val="00C74157"/>
    <w:rsid w:val="00C74442"/>
    <w:rsid w:val="00C74459"/>
    <w:rsid w:val="00C74555"/>
    <w:rsid w:val="00C74B5F"/>
    <w:rsid w:val="00C74B9E"/>
    <w:rsid w:val="00C74C41"/>
    <w:rsid w:val="00C74D14"/>
    <w:rsid w:val="00C74D28"/>
    <w:rsid w:val="00C754CC"/>
    <w:rsid w:val="00C754ED"/>
    <w:rsid w:val="00C75535"/>
    <w:rsid w:val="00C7577B"/>
    <w:rsid w:val="00C7584A"/>
    <w:rsid w:val="00C7589F"/>
    <w:rsid w:val="00C7631D"/>
    <w:rsid w:val="00C76405"/>
    <w:rsid w:val="00C76E4B"/>
    <w:rsid w:val="00C76F96"/>
    <w:rsid w:val="00C7708D"/>
    <w:rsid w:val="00C771EB"/>
    <w:rsid w:val="00C775CB"/>
    <w:rsid w:val="00C776C3"/>
    <w:rsid w:val="00C77BC3"/>
    <w:rsid w:val="00C77CF1"/>
    <w:rsid w:val="00C77E2F"/>
    <w:rsid w:val="00C77EE4"/>
    <w:rsid w:val="00C80091"/>
    <w:rsid w:val="00C804DD"/>
    <w:rsid w:val="00C8050F"/>
    <w:rsid w:val="00C809E7"/>
    <w:rsid w:val="00C80C16"/>
    <w:rsid w:val="00C80D48"/>
    <w:rsid w:val="00C80EDE"/>
    <w:rsid w:val="00C8173A"/>
    <w:rsid w:val="00C8189E"/>
    <w:rsid w:val="00C819AB"/>
    <w:rsid w:val="00C81F4A"/>
    <w:rsid w:val="00C82002"/>
    <w:rsid w:val="00C821B3"/>
    <w:rsid w:val="00C821EB"/>
    <w:rsid w:val="00C8261D"/>
    <w:rsid w:val="00C82984"/>
    <w:rsid w:val="00C82FAA"/>
    <w:rsid w:val="00C83386"/>
    <w:rsid w:val="00C83D9A"/>
    <w:rsid w:val="00C83DCF"/>
    <w:rsid w:val="00C8411C"/>
    <w:rsid w:val="00C84242"/>
    <w:rsid w:val="00C84766"/>
    <w:rsid w:val="00C84781"/>
    <w:rsid w:val="00C8482D"/>
    <w:rsid w:val="00C84B2C"/>
    <w:rsid w:val="00C85277"/>
    <w:rsid w:val="00C857F2"/>
    <w:rsid w:val="00C858B3"/>
    <w:rsid w:val="00C85965"/>
    <w:rsid w:val="00C85BD1"/>
    <w:rsid w:val="00C8608E"/>
    <w:rsid w:val="00C861F0"/>
    <w:rsid w:val="00C86268"/>
    <w:rsid w:val="00C86D64"/>
    <w:rsid w:val="00C87340"/>
    <w:rsid w:val="00C873C4"/>
    <w:rsid w:val="00C876A3"/>
    <w:rsid w:val="00C876E7"/>
    <w:rsid w:val="00C87B1B"/>
    <w:rsid w:val="00C87C14"/>
    <w:rsid w:val="00C901B9"/>
    <w:rsid w:val="00C90609"/>
    <w:rsid w:val="00C90623"/>
    <w:rsid w:val="00C907E9"/>
    <w:rsid w:val="00C90892"/>
    <w:rsid w:val="00C90AA1"/>
    <w:rsid w:val="00C90DD0"/>
    <w:rsid w:val="00C9142B"/>
    <w:rsid w:val="00C91461"/>
    <w:rsid w:val="00C9165B"/>
    <w:rsid w:val="00C917E6"/>
    <w:rsid w:val="00C91A8C"/>
    <w:rsid w:val="00C91B4A"/>
    <w:rsid w:val="00C91C3C"/>
    <w:rsid w:val="00C91C61"/>
    <w:rsid w:val="00C91F7B"/>
    <w:rsid w:val="00C92067"/>
    <w:rsid w:val="00C9212A"/>
    <w:rsid w:val="00C9216F"/>
    <w:rsid w:val="00C921EF"/>
    <w:rsid w:val="00C92257"/>
    <w:rsid w:val="00C92B4E"/>
    <w:rsid w:val="00C93283"/>
    <w:rsid w:val="00C93645"/>
    <w:rsid w:val="00C936AD"/>
    <w:rsid w:val="00C939A3"/>
    <w:rsid w:val="00C93B20"/>
    <w:rsid w:val="00C94041"/>
    <w:rsid w:val="00C941F0"/>
    <w:rsid w:val="00C942E6"/>
    <w:rsid w:val="00C94791"/>
    <w:rsid w:val="00C947B1"/>
    <w:rsid w:val="00C94C39"/>
    <w:rsid w:val="00C94D4B"/>
    <w:rsid w:val="00C94E7B"/>
    <w:rsid w:val="00C94E8D"/>
    <w:rsid w:val="00C950C4"/>
    <w:rsid w:val="00C95104"/>
    <w:rsid w:val="00C95251"/>
    <w:rsid w:val="00C9532D"/>
    <w:rsid w:val="00C95566"/>
    <w:rsid w:val="00C95A94"/>
    <w:rsid w:val="00C95BD2"/>
    <w:rsid w:val="00C95BD7"/>
    <w:rsid w:val="00C961CD"/>
    <w:rsid w:val="00C963FD"/>
    <w:rsid w:val="00C9644D"/>
    <w:rsid w:val="00C968AB"/>
    <w:rsid w:val="00C96B6E"/>
    <w:rsid w:val="00C972B3"/>
    <w:rsid w:val="00C978BF"/>
    <w:rsid w:val="00C978C7"/>
    <w:rsid w:val="00C97A12"/>
    <w:rsid w:val="00C97E1E"/>
    <w:rsid w:val="00CA0816"/>
    <w:rsid w:val="00CA09A6"/>
    <w:rsid w:val="00CA10C4"/>
    <w:rsid w:val="00CA13E2"/>
    <w:rsid w:val="00CA1440"/>
    <w:rsid w:val="00CA17BF"/>
    <w:rsid w:val="00CA198B"/>
    <w:rsid w:val="00CA1BAB"/>
    <w:rsid w:val="00CA2819"/>
    <w:rsid w:val="00CA2C7D"/>
    <w:rsid w:val="00CA31D3"/>
    <w:rsid w:val="00CA33BE"/>
    <w:rsid w:val="00CA348E"/>
    <w:rsid w:val="00CA3F08"/>
    <w:rsid w:val="00CA3F8C"/>
    <w:rsid w:val="00CA44FB"/>
    <w:rsid w:val="00CA4669"/>
    <w:rsid w:val="00CA49A1"/>
    <w:rsid w:val="00CA4E3B"/>
    <w:rsid w:val="00CA56FB"/>
    <w:rsid w:val="00CA5915"/>
    <w:rsid w:val="00CA59BB"/>
    <w:rsid w:val="00CA59DE"/>
    <w:rsid w:val="00CA5AF7"/>
    <w:rsid w:val="00CA5C45"/>
    <w:rsid w:val="00CA625C"/>
    <w:rsid w:val="00CA6748"/>
    <w:rsid w:val="00CA6A72"/>
    <w:rsid w:val="00CA6ABD"/>
    <w:rsid w:val="00CA6E6C"/>
    <w:rsid w:val="00CA6E98"/>
    <w:rsid w:val="00CA7369"/>
    <w:rsid w:val="00CA763A"/>
    <w:rsid w:val="00CA7647"/>
    <w:rsid w:val="00CA77E3"/>
    <w:rsid w:val="00CA78CB"/>
    <w:rsid w:val="00CA7A66"/>
    <w:rsid w:val="00CA7C5F"/>
    <w:rsid w:val="00CA7C9E"/>
    <w:rsid w:val="00CA7E38"/>
    <w:rsid w:val="00CA7F06"/>
    <w:rsid w:val="00CA7F9D"/>
    <w:rsid w:val="00CB00F0"/>
    <w:rsid w:val="00CB07AF"/>
    <w:rsid w:val="00CB1244"/>
    <w:rsid w:val="00CB14FD"/>
    <w:rsid w:val="00CB1796"/>
    <w:rsid w:val="00CB17A6"/>
    <w:rsid w:val="00CB1A2E"/>
    <w:rsid w:val="00CB1FA6"/>
    <w:rsid w:val="00CB2263"/>
    <w:rsid w:val="00CB2424"/>
    <w:rsid w:val="00CB2F72"/>
    <w:rsid w:val="00CB32C9"/>
    <w:rsid w:val="00CB334A"/>
    <w:rsid w:val="00CB33DB"/>
    <w:rsid w:val="00CB389A"/>
    <w:rsid w:val="00CB39AB"/>
    <w:rsid w:val="00CB3A9A"/>
    <w:rsid w:val="00CB3ABD"/>
    <w:rsid w:val="00CB44E2"/>
    <w:rsid w:val="00CB457D"/>
    <w:rsid w:val="00CB47D0"/>
    <w:rsid w:val="00CB4893"/>
    <w:rsid w:val="00CB4A2B"/>
    <w:rsid w:val="00CB4BA2"/>
    <w:rsid w:val="00CB4C2A"/>
    <w:rsid w:val="00CB4D56"/>
    <w:rsid w:val="00CB4F0A"/>
    <w:rsid w:val="00CB5124"/>
    <w:rsid w:val="00CB5142"/>
    <w:rsid w:val="00CB57D7"/>
    <w:rsid w:val="00CB58A9"/>
    <w:rsid w:val="00CB595B"/>
    <w:rsid w:val="00CB59EC"/>
    <w:rsid w:val="00CB5A0A"/>
    <w:rsid w:val="00CB5B92"/>
    <w:rsid w:val="00CB5E63"/>
    <w:rsid w:val="00CB603F"/>
    <w:rsid w:val="00CB616F"/>
    <w:rsid w:val="00CB63F1"/>
    <w:rsid w:val="00CB664B"/>
    <w:rsid w:val="00CB6968"/>
    <w:rsid w:val="00CB69C4"/>
    <w:rsid w:val="00CB6ACB"/>
    <w:rsid w:val="00CB6E7C"/>
    <w:rsid w:val="00CB70D9"/>
    <w:rsid w:val="00CB72CB"/>
    <w:rsid w:val="00CB7477"/>
    <w:rsid w:val="00CB78FF"/>
    <w:rsid w:val="00CB7994"/>
    <w:rsid w:val="00CB7C36"/>
    <w:rsid w:val="00CB7C74"/>
    <w:rsid w:val="00CB7FF1"/>
    <w:rsid w:val="00CC027B"/>
    <w:rsid w:val="00CC04A6"/>
    <w:rsid w:val="00CC0614"/>
    <w:rsid w:val="00CC076E"/>
    <w:rsid w:val="00CC08F8"/>
    <w:rsid w:val="00CC0BD8"/>
    <w:rsid w:val="00CC1485"/>
    <w:rsid w:val="00CC1718"/>
    <w:rsid w:val="00CC1746"/>
    <w:rsid w:val="00CC1839"/>
    <w:rsid w:val="00CC18E8"/>
    <w:rsid w:val="00CC1A88"/>
    <w:rsid w:val="00CC1C63"/>
    <w:rsid w:val="00CC2609"/>
    <w:rsid w:val="00CC2765"/>
    <w:rsid w:val="00CC2A0D"/>
    <w:rsid w:val="00CC2CDF"/>
    <w:rsid w:val="00CC30C3"/>
    <w:rsid w:val="00CC332E"/>
    <w:rsid w:val="00CC34D2"/>
    <w:rsid w:val="00CC35C9"/>
    <w:rsid w:val="00CC367D"/>
    <w:rsid w:val="00CC3899"/>
    <w:rsid w:val="00CC3A41"/>
    <w:rsid w:val="00CC3CAC"/>
    <w:rsid w:val="00CC3E70"/>
    <w:rsid w:val="00CC41B5"/>
    <w:rsid w:val="00CC4554"/>
    <w:rsid w:val="00CC45A3"/>
    <w:rsid w:val="00CC4D64"/>
    <w:rsid w:val="00CC4E88"/>
    <w:rsid w:val="00CC4F44"/>
    <w:rsid w:val="00CC50A9"/>
    <w:rsid w:val="00CC5294"/>
    <w:rsid w:val="00CC5525"/>
    <w:rsid w:val="00CC5703"/>
    <w:rsid w:val="00CC585E"/>
    <w:rsid w:val="00CC5B3A"/>
    <w:rsid w:val="00CC5D81"/>
    <w:rsid w:val="00CC6185"/>
    <w:rsid w:val="00CC648A"/>
    <w:rsid w:val="00CC6DA1"/>
    <w:rsid w:val="00CC6E0D"/>
    <w:rsid w:val="00CC7626"/>
    <w:rsid w:val="00CC7A19"/>
    <w:rsid w:val="00CC7D58"/>
    <w:rsid w:val="00CD00A7"/>
    <w:rsid w:val="00CD031C"/>
    <w:rsid w:val="00CD034B"/>
    <w:rsid w:val="00CD0845"/>
    <w:rsid w:val="00CD0A98"/>
    <w:rsid w:val="00CD0CF0"/>
    <w:rsid w:val="00CD0CFC"/>
    <w:rsid w:val="00CD0FB2"/>
    <w:rsid w:val="00CD0FF3"/>
    <w:rsid w:val="00CD19AB"/>
    <w:rsid w:val="00CD1C83"/>
    <w:rsid w:val="00CD1F52"/>
    <w:rsid w:val="00CD22C0"/>
    <w:rsid w:val="00CD2797"/>
    <w:rsid w:val="00CD364B"/>
    <w:rsid w:val="00CD37F8"/>
    <w:rsid w:val="00CD3BAF"/>
    <w:rsid w:val="00CD415C"/>
    <w:rsid w:val="00CD44CD"/>
    <w:rsid w:val="00CD4B0E"/>
    <w:rsid w:val="00CD513E"/>
    <w:rsid w:val="00CD5147"/>
    <w:rsid w:val="00CD515B"/>
    <w:rsid w:val="00CD51AA"/>
    <w:rsid w:val="00CD537D"/>
    <w:rsid w:val="00CD574F"/>
    <w:rsid w:val="00CD59BB"/>
    <w:rsid w:val="00CD5AC2"/>
    <w:rsid w:val="00CD5F2B"/>
    <w:rsid w:val="00CD5F4C"/>
    <w:rsid w:val="00CD60B0"/>
    <w:rsid w:val="00CD6160"/>
    <w:rsid w:val="00CD620B"/>
    <w:rsid w:val="00CD622B"/>
    <w:rsid w:val="00CD678C"/>
    <w:rsid w:val="00CD68DD"/>
    <w:rsid w:val="00CD6D7E"/>
    <w:rsid w:val="00CD6D8F"/>
    <w:rsid w:val="00CD7091"/>
    <w:rsid w:val="00CD70DB"/>
    <w:rsid w:val="00CD7852"/>
    <w:rsid w:val="00CD7CB0"/>
    <w:rsid w:val="00CE0174"/>
    <w:rsid w:val="00CE03A5"/>
    <w:rsid w:val="00CE060E"/>
    <w:rsid w:val="00CE0B6D"/>
    <w:rsid w:val="00CE0CB9"/>
    <w:rsid w:val="00CE0E6F"/>
    <w:rsid w:val="00CE1406"/>
    <w:rsid w:val="00CE15B7"/>
    <w:rsid w:val="00CE189E"/>
    <w:rsid w:val="00CE1AAF"/>
    <w:rsid w:val="00CE2057"/>
    <w:rsid w:val="00CE2077"/>
    <w:rsid w:val="00CE2132"/>
    <w:rsid w:val="00CE2E6B"/>
    <w:rsid w:val="00CE2F8A"/>
    <w:rsid w:val="00CE355D"/>
    <w:rsid w:val="00CE3768"/>
    <w:rsid w:val="00CE3C01"/>
    <w:rsid w:val="00CE41A2"/>
    <w:rsid w:val="00CE4334"/>
    <w:rsid w:val="00CE43EA"/>
    <w:rsid w:val="00CE4487"/>
    <w:rsid w:val="00CE4639"/>
    <w:rsid w:val="00CE47CA"/>
    <w:rsid w:val="00CE4A9A"/>
    <w:rsid w:val="00CE4EBA"/>
    <w:rsid w:val="00CE5113"/>
    <w:rsid w:val="00CE550F"/>
    <w:rsid w:val="00CE5515"/>
    <w:rsid w:val="00CE559A"/>
    <w:rsid w:val="00CE55AB"/>
    <w:rsid w:val="00CE55D6"/>
    <w:rsid w:val="00CE583A"/>
    <w:rsid w:val="00CE60FD"/>
    <w:rsid w:val="00CE610E"/>
    <w:rsid w:val="00CE6146"/>
    <w:rsid w:val="00CE6196"/>
    <w:rsid w:val="00CE672A"/>
    <w:rsid w:val="00CE690E"/>
    <w:rsid w:val="00CE69E6"/>
    <w:rsid w:val="00CE7033"/>
    <w:rsid w:val="00CE703B"/>
    <w:rsid w:val="00CE7252"/>
    <w:rsid w:val="00CE725A"/>
    <w:rsid w:val="00CE7395"/>
    <w:rsid w:val="00CE7559"/>
    <w:rsid w:val="00CE759A"/>
    <w:rsid w:val="00CE76A7"/>
    <w:rsid w:val="00CE7886"/>
    <w:rsid w:val="00CE7B6E"/>
    <w:rsid w:val="00CE7D8B"/>
    <w:rsid w:val="00CE7F48"/>
    <w:rsid w:val="00CE7FB0"/>
    <w:rsid w:val="00CF020D"/>
    <w:rsid w:val="00CF04EF"/>
    <w:rsid w:val="00CF071C"/>
    <w:rsid w:val="00CF0D8D"/>
    <w:rsid w:val="00CF1193"/>
    <w:rsid w:val="00CF192B"/>
    <w:rsid w:val="00CF1BCD"/>
    <w:rsid w:val="00CF20EB"/>
    <w:rsid w:val="00CF2227"/>
    <w:rsid w:val="00CF2519"/>
    <w:rsid w:val="00CF25E7"/>
    <w:rsid w:val="00CF271A"/>
    <w:rsid w:val="00CF2774"/>
    <w:rsid w:val="00CF290E"/>
    <w:rsid w:val="00CF2A3A"/>
    <w:rsid w:val="00CF3002"/>
    <w:rsid w:val="00CF3344"/>
    <w:rsid w:val="00CF3859"/>
    <w:rsid w:val="00CF38F6"/>
    <w:rsid w:val="00CF3A76"/>
    <w:rsid w:val="00CF3A93"/>
    <w:rsid w:val="00CF3AC0"/>
    <w:rsid w:val="00CF3C16"/>
    <w:rsid w:val="00CF3E7F"/>
    <w:rsid w:val="00CF3E90"/>
    <w:rsid w:val="00CF3F44"/>
    <w:rsid w:val="00CF3FD4"/>
    <w:rsid w:val="00CF4140"/>
    <w:rsid w:val="00CF46D5"/>
    <w:rsid w:val="00CF4B1C"/>
    <w:rsid w:val="00CF4B8D"/>
    <w:rsid w:val="00CF4C86"/>
    <w:rsid w:val="00CF4F02"/>
    <w:rsid w:val="00CF55C5"/>
    <w:rsid w:val="00CF586B"/>
    <w:rsid w:val="00CF5A92"/>
    <w:rsid w:val="00CF5C25"/>
    <w:rsid w:val="00CF5C74"/>
    <w:rsid w:val="00CF5FA6"/>
    <w:rsid w:val="00CF6094"/>
    <w:rsid w:val="00CF628E"/>
    <w:rsid w:val="00CF67CE"/>
    <w:rsid w:val="00CF68FB"/>
    <w:rsid w:val="00CF6D1A"/>
    <w:rsid w:val="00CF6D6F"/>
    <w:rsid w:val="00CF6DA8"/>
    <w:rsid w:val="00CF6F78"/>
    <w:rsid w:val="00CF7A57"/>
    <w:rsid w:val="00CF7E68"/>
    <w:rsid w:val="00D00492"/>
    <w:rsid w:val="00D00810"/>
    <w:rsid w:val="00D0093C"/>
    <w:rsid w:val="00D00C8B"/>
    <w:rsid w:val="00D00CBC"/>
    <w:rsid w:val="00D00E68"/>
    <w:rsid w:val="00D00F5F"/>
    <w:rsid w:val="00D0169B"/>
    <w:rsid w:val="00D01744"/>
    <w:rsid w:val="00D0188D"/>
    <w:rsid w:val="00D019A1"/>
    <w:rsid w:val="00D01B27"/>
    <w:rsid w:val="00D0216C"/>
    <w:rsid w:val="00D021F9"/>
    <w:rsid w:val="00D02280"/>
    <w:rsid w:val="00D0264D"/>
    <w:rsid w:val="00D0281D"/>
    <w:rsid w:val="00D03084"/>
    <w:rsid w:val="00D031BC"/>
    <w:rsid w:val="00D036C7"/>
    <w:rsid w:val="00D038DA"/>
    <w:rsid w:val="00D03912"/>
    <w:rsid w:val="00D039F5"/>
    <w:rsid w:val="00D03E4E"/>
    <w:rsid w:val="00D03F30"/>
    <w:rsid w:val="00D04023"/>
    <w:rsid w:val="00D0403E"/>
    <w:rsid w:val="00D04104"/>
    <w:rsid w:val="00D046F9"/>
    <w:rsid w:val="00D0495B"/>
    <w:rsid w:val="00D049FA"/>
    <w:rsid w:val="00D04A80"/>
    <w:rsid w:val="00D04AD1"/>
    <w:rsid w:val="00D04BBE"/>
    <w:rsid w:val="00D0540F"/>
    <w:rsid w:val="00D055F5"/>
    <w:rsid w:val="00D05776"/>
    <w:rsid w:val="00D057C5"/>
    <w:rsid w:val="00D05854"/>
    <w:rsid w:val="00D05B88"/>
    <w:rsid w:val="00D05C37"/>
    <w:rsid w:val="00D0642A"/>
    <w:rsid w:val="00D06476"/>
    <w:rsid w:val="00D067CA"/>
    <w:rsid w:val="00D06D9D"/>
    <w:rsid w:val="00D07174"/>
    <w:rsid w:val="00D0730C"/>
    <w:rsid w:val="00D0743D"/>
    <w:rsid w:val="00D0752F"/>
    <w:rsid w:val="00D0773C"/>
    <w:rsid w:val="00D07757"/>
    <w:rsid w:val="00D07CDF"/>
    <w:rsid w:val="00D07FE9"/>
    <w:rsid w:val="00D101D3"/>
    <w:rsid w:val="00D109D3"/>
    <w:rsid w:val="00D109EE"/>
    <w:rsid w:val="00D10C6E"/>
    <w:rsid w:val="00D10E5A"/>
    <w:rsid w:val="00D10E7C"/>
    <w:rsid w:val="00D10FC3"/>
    <w:rsid w:val="00D110EA"/>
    <w:rsid w:val="00D111B5"/>
    <w:rsid w:val="00D11307"/>
    <w:rsid w:val="00D1185C"/>
    <w:rsid w:val="00D11C02"/>
    <w:rsid w:val="00D11C36"/>
    <w:rsid w:val="00D1203E"/>
    <w:rsid w:val="00D12B01"/>
    <w:rsid w:val="00D12DDF"/>
    <w:rsid w:val="00D132D6"/>
    <w:rsid w:val="00D134A6"/>
    <w:rsid w:val="00D1360B"/>
    <w:rsid w:val="00D137E0"/>
    <w:rsid w:val="00D13842"/>
    <w:rsid w:val="00D138BA"/>
    <w:rsid w:val="00D139B8"/>
    <w:rsid w:val="00D13A09"/>
    <w:rsid w:val="00D13D31"/>
    <w:rsid w:val="00D13D65"/>
    <w:rsid w:val="00D13E5A"/>
    <w:rsid w:val="00D13FEB"/>
    <w:rsid w:val="00D14080"/>
    <w:rsid w:val="00D14224"/>
    <w:rsid w:val="00D14390"/>
    <w:rsid w:val="00D14A94"/>
    <w:rsid w:val="00D1525C"/>
    <w:rsid w:val="00D15A55"/>
    <w:rsid w:val="00D15BAA"/>
    <w:rsid w:val="00D15D1C"/>
    <w:rsid w:val="00D1617F"/>
    <w:rsid w:val="00D1621A"/>
    <w:rsid w:val="00D16315"/>
    <w:rsid w:val="00D16405"/>
    <w:rsid w:val="00D164E3"/>
    <w:rsid w:val="00D16735"/>
    <w:rsid w:val="00D16A34"/>
    <w:rsid w:val="00D16A82"/>
    <w:rsid w:val="00D16D95"/>
    <w:rsid w:val="00D16EC6"/>
    <w:rsid w:val="00D173DB"/>
    <w:rsid w:val="00D17551"/>
    <w:rsid w:val="00D175D5"/>
    <w:rsid w:val="00D1762F"/>
    <w:rsid w:val="00D17AFA"/>
    <w:rsid w:val="00D17C97"/>
    <w:rsid w:val="00D17FB5"/>
    <w:rsid w:val="00D20058"/>
    <w:rsid w:val="00D2011E"/>
    <w:rsid w:val="00D2042D"/>
    <w:rsid w:val="00D20AFB"/>
    <w:rsid w:val="00D20C70"/>
    <w:rsid w:val="00D20E97"/>
    <w:rsid w:val="00D21074"/>
    <w:rsid w:val="00D213F2"/>
    <w:rsid w:val="00D214FE"/>
    <w:rsid w:val="00D21910"/>
    <w:rsid w:val="00D21989"/>
    <w:rsid w:val="00D21B18"/>
    <w:rsid w:val="00D21B6B"/>
    <w:rsid w:val="00D21F00"/>
    <w:rsid w:val="00D220A5"/>
    <w:rsid w:val="00D221E3"/>
    <w:rsid w:val="00D222BC"/>
    <w:rsid w:val="00D2271D"/>
    <w:rsid w:val="00D227E8"/>
    <w:rsid w:val="00D22BC3"/>
    <w:rsid w:val="00D22F9C"/>
    <w:rsid w:val="00D230AB"/>
    <w:rsid w:val="00D230E5"/>
    <w:rsid w:val="00D23262"/>
    <w:rsid w:val="00D23395"/>
    <w:rsid w:val="00D23470"/>
    <w:rsid w:val="00D235EB"/>
    <w:rsid w:val="00D238B8"/>
    <w:rsid w:val="00D24518"/>
    <w:rsid w:val="00D2468B"/>
    <w:rsid w:val="00D24A78"/>
    <w:rsid w:val="00D24B1E"/>
    <w:rsid w:val="00D24DA4"/>
    <w:rsid w:val="00D25775"/>
    <w:rsid w:val="00D25C44"/>
    <w:rsid w:val="00D25CBC"/>
    <w:rsid w:val="00D261FE"/>
    <w:rsid w:val="00D26970"/>
    <w:rsid w:val="00D26B49"/>
    <w:rsid w:val="00D26B5C"/>
    <w:rsid w:val="00D26D40"/>
    <w:rsid w:val="00D26FA0"/>
    <w:rsid w:val="00D270E7"/>
    <w:rsid w:val="00D272E5"/>
    <w:rsid w:val="00D27322"/>
    <w:rsid w:val="00D273C3"/>
    <w:rsid w:val="00D27AA7"/>
    <w:rsid w:val="00D27D3B"/>
    <w:rsid w:val="00D305B4"/>
    <w:rsid w:val="00D30672"/>
    <w:rsid w:val="00D30C91"/>
    <w:rsid w:val="00D31550"/>
    <w:rsid w:val="00D31727"/>
    <w:rsid w:val="00D317AD"/>
    <w:rsid w:val="00D317E1"/>
    <w:rsid w:val="00D319FB"/>
    <w:rsid w:val="00D322FE"/>
    <w:rsid w:val="00D3251C"/>
    <w:rsid w:val="00D32562"/>
    <w:rsid w:val="00D3263A"/>
    <w:rsid w:val="00D326D9"/>
    <w:rsid w:val="00D327C7"/>
    <w:rsid w:val="00D32922"/>
    <w:rsid w:val="00D32A16"/>
    <w:rsid w:val="00D32B0A"/>
    <w:rsid w:val="00D32FB1"/>
    <w:rsid w:val="00D33126"/>
    <w:rsid w:val="00D331CD"/>
    <w:rsid w:val="00D331DE"/>
    <w:rsid w:val="00D333CF"/>
    <w:rsid w:val="00D33427"/>
    <w:rsid w:val="00D335C0"/>
    <w:rsid w:val="00D33C2D"/>
    <w:rsid w:val="00D33FF2"/>
    <w:rsid w:val="00D34263"/>
    <w:rsid w:val="00D342D2"/>
    <w:rsid w:val="00D343B4"/>
    <w:rsid w:val="00D346C3"/>
    <w:rsid w:val="00D34D3B"/>
    <w:rsid w:val="00D34DBA"/>
    <w:rsid w:val="00D34E5D"/>
    <w:rsid w:val="00D34F11"/>
    <w:rsid w:val="00D3501E"/>
    <w:rsid w:val="00D35172"/>
    <w:rsid w:val="00D3552A"/>
    <w:rsid w:val="00D35564"/>
    <w:rsid w:val="00D357C6"/>
    <w:rsid w:val="00D35A16"/>
    <w:rsid w:val="00D35EF5"/>
    <w:rsid w:val="00D36159"/>
    <w:rsid w:val="00D3662E"/>
    <w:rsid w:val="00D366F2"/>
    <w:rsid w:val="00D36CA7"/>
    <w:rsid w:val="00D36ED8"/>
    <w:rsid w:val="00D3706A"/>
    <w:rsid w:val="00D3714B"/>
    <w:rsid w:val="00D374D9"/>
    <w:rsid w:val="00D37888"/>
    <w:rsid w:val="00D4049C"/>
    <w:rsid w:val="00D404FC"/>
    <w:rsid w:val="00D40639"/>
    <w:rsid w:val="00D40800"/>
    <w:rsid w:val="00D409C0"/>
    <w:rsid w:val="00D40C54"/>
    <w:rsid w:val="00D410FC"/>
    <w:rsid w:val="00D413B8"/>
    <w:rsid w:val="00D414DD"/>
    <w:rsid w:val="00D41958"/>
    <w:rsid w:val="00D41C28"/>
    <w:rsid w:val="00D41D5C"/>
    <w:rsid w:val="00D41E65"/>
    <w:rsid w:val="00D421A7"/>
    <w:rsid w:val="00D423D3"/>
    <w:rsid w:val="00D42494"/>
    <w:rsid w:val="00D4250C"/>
    <w:rsid w:val="00D425C4"/>
    <w:rsid w:val="00D42D20"/>
    <w:rsid w:val="00D42E38"/>
    <w:rsid w:val="00D42F87"/>
    <w:rsid w:val="00D43386"/>
    <w:rsid w:val="00D43839"/>
    <w:rsid w:val="00D4396F"/>
    <w:rsid w:val="00D439AC"/>
    <w:rsid w:val="00D43B9D"/>
    <w:rsid w:val="00D44938"/>
    <w:rsid w:val="00D44E03"/>
    <w:rsid w:val="00D451A5"/>
    <w:rsid w:val="00D45A05"/>
    <w:rsid w:val="00D45B57"/>
    <w:rsid w:val="00D45C8B"/>
    <w:rsid w:val="00D463DE"/>
    <w:rsid w:val="00D46645"/>
    <w:rsid w:val="00D46A3B"/>
    <w:rsid w:val="00D46C6F"/>
    <w:rsid w:val="00D46D37"/>
    <w:rsid w:val="00D46FE4"/>
    <w:rsid w:val="00D4734F"/>
    <w:rsid w:val="00D473B0"/>
    <w:rsid w:val="00D473EC"/>
    <w:rsid w:val="00D477DB"/>
    <w:rsid w:val="00D4786A"/>
    <w:rsid w:val="00D479E1"/>
    <w:rsid w:val="00D47E36"/>
    <w:rsid w:val="00D5009A"/>
    <w:rsid w:val="00D50150"/>
    <w:rsid w:val="00D5017E"/>
    <w:rsid w:val="00D50501"/>
    <w:rsid w:val="00D50697"/>
    <w:rsid w:val="00D50712"/>
    <w:rsid w:val="00D50ADE"/>
    <w:rsid w:val="00D50C07"/>
    <w:rsid w:val="00D5120A"/>
    <w:rsid w:val="00D5132C"/>
    <w:rsid w:val="00D513BF"/>
    <w:rsid w:val="00D51513"/>
    <w:rsid w:val="00D517D4"/>
    <w:rsid w:val="00D51B2A"/>
    <w:rsid w:val="00D51BC9"/>
    <w:rsid w:val="00D51BD2"/>
    <w:rsid w:val="00D51FC6"/>
    <w:rsid w:val="00D5204C"/>
    <w:rsid w:val="00D5239D"/>
    <w:rsid w:val="00D53069"/>
    <w:rsid w:val="00D5333B"/>
    <w:rsid w:val="00D53352"/>
    <w:rsid w:val="00D5353A"/>
    <w:rsid w:val="00D537C4"/>
    <w:rsid w:val="00D537E1"/>
    <w:rsid w:val="00D53AB4"/>
    <w:rsid w:val="00D53C4B"/>
    <w:rsid w:val="00D53DC9"/>
    <w:rsid w:val="00D540D2"/>
    <w:rsid w:val="00D543CD"/>
    <w:rsid w:val="00D54508"/>
    <w:rsid w:val="00D549F9"/>
    <w:rsid w:val="00D54AA5"/>
    <w:rsid w:val="00D54D7F"/>
    <w:rsid w:val="00D55097"/>
    <w:rsid w:val="00D555DA"/>
    <w:rsid w:val="00D556D0"/>
    <w:rsid w:val="00D55CBD"/>
    <w:rsid w:val="00D560CE"/>
    <w:rsid w:val="00D5629D"/>
    <w:rsid w:val="00D56340"/>
    <w:rsid w:val="00D563BD"/>
    <w:rsid w:val="00D563FD"/>
    <w:rsid w:val="00D56ACD"/>
    <w:rsid w:val="00D56B32"/>
    <w:rsid w:val="00D56DE0"/>
    <w:rsid w:val="00D56F8A"/>
    <w:rsid w:val="00D573D2"/>
    <w:rsid w:val="00D574C6"/>
    <w:rsid w:val="00D57559"/>
    <w:rsid w:val="00D57655"/>
    <w:rsid w:val="00D57C02"/>
    <w:rsid w:val="00D57D2A"/>
    <w:rsid w:val="00D5E6FA"/>
    <w:rsid w:val="00D60198"/>
    <w:rsid w:val="00D6063A"/>
    <w:rsid w:val="00D60926"/>
    <w:rsid w:val="00D6097E"/>
    <w:rsid w:val="00D60F85"/>
    <w:rsid w:val="00D6182F"/>
    <w:rsid w:val="00D61845"/>
    <w:rsid w:val="00D61A15"/>
    <w:rsid w:val="00D61B53"/>
    <w:rsid w:val="00D621CF"/>
    <w:rsid w:val="00D628C8"/>
    <w:rsid w:val="00D62950"/>
    <w:rsid w:val="00D62A6B"/>
    <w:rsid w:val="00D62AF9"/>
    <w:rsid w:val="00D62B26"/>
    <w:rsid w:val="00D62BF5"/>
    <w:rsid w:val="00D62EED"/>
    <w:rsid w:val="00D63062"/>
    <w:rsid w:val="00D630A1"/>
    <w:rsid w:val="00D63746"/>
    <w:rsid w:val="00D63778"/>
    <w:rsid w:val="00D6390C"/>
    <w:rsid w:val="00D639E2"/>
    <w:rsid w:val="00D63C9B"/>
    <w:rsid w:val="00D640E4"/>
    <w:rsid w:val="00D643B1"/>
    <w:rsid w:val="00D646A3"/>
    <w:rsid w:val="00D64713"/>
    <w:rsid w:val="00D6485B"/>
    <w:rsid w:val="00D64FF4"/>
    <w:rsid w:val="00D6508E"/>
    <w:rsid w:val="00D6537D"/>
    <w:rsid w:val="00D6561E"/>
    <w:rsid w:val="00D657F9"/>
    <w:rsid w:val="00D65D40"/>
    <w:rsid w:val="00D65E0B"/>
    <w:rsid w:val="00D660AC"/>
    <w:rsid w:val="00D66813"/>
    <w:rsid w:val="00D6686E"/>
    <w:rsid w:val="00D66B22"/>
    <w:rsid w:val="00D66CC9"/>
    <w:rsid w:val="00D66D65"/>
    <w:rsid w:val="00D67012"/>
    <w:rsid w:val="00D67093"/>
    <w:rsid w:val="00D67375"/>
    <w:rsid w:val="00D674F4"/>
    <w:rsid w:val="00D6751C"/>
    <w:rsid w:val="00D675DD"/>
    <w:rsid w:val="00D67714"/>
    <w:rsid w:val="00D679F2"/>
    <w:rsid w:val="00D67F44"/>
    <w:rsid w:val="00D7000C"/>
    <w:rsid w:val="00D70051"/>
    <w:rsid w:val="00D70378"/>
    <w:rsid w:val="00D703E9"/>
    <w:rsid w:val="00D70572"/>
    <w:rsid w:val="00D70A6A"/>
    <w:rsid w:val="00D70B75"/>
    <w:rsid w:val="00D70BE7"/>
    <w:rsid w:val="00D711AA"/>
    <w:rsid w:val="00D7122D"/>
    <w:rsid w:val="00D71360"/>
    <w:rsid w:val="00D71D42"/>
    <w:rsid w:val="00D71DBB"/>
    <w:rsid w:val="00D71E12"/>
    <w:rsid w:val="00D71FA1"/>
    <w:rsid w:val="00D72453"/>
    <w:rsid w:val="00D72625"/>
    <w:rsid w:val="00D727E4"/>
    <w:rsid w:val="00D72DE2"/>
    <w:rsid w:val="00D72DE9"/>
    <w:rsid w:val="00D72FBC"/>
    <w:rsid w:val="00D72FCA"/>
    <w:rsid w:val="00D730F6"/>
    <w:rsid w:val="00D738F8"/>
    <w:rsid w:val="00D73E9A"/>
    <w:rsid w:val="00D73F51"/>
    <w:rsid w:val="00D73FA7"/>
    <w:rsid w:val="00D7444A"/>
    <w:rsid w:val="00D74853"/>
    <w:rsid w:val="00D74AA7"/>
    <w:rsid w:val="00D74D88"/>
    <w:rsid w:val="00D7563E"/>
    <w:rsid w:val="00D75CD4"/>
    <w:rsid w:val="00D75D42"/>
    <w:rsid w:val="00D75EBE"/>
    <w:rsid w:val="00D760B5"/>
    <w:rsid w:val="00D7626C"/>
    <w:rsid w:val="00D766A6"/>
    <w:rsid w:val="00D76721"/>
    <w:rsid w:val="00D76BE1"/>
    <w:rsid w:val="00D76C31"/>
    <w:rsid w:val="00D76C56"/>
    <w:rsid w:val="00D76CD1"/>
    <w:rsid w:val="00D76D2F"/>
    <w:rsid w:val="00D76E32"/>
    <w:rsid w:val="00D76EBC"/>
    <w:rsid w:val="00D770BD"/>
    <w:rsid w:val="00D770E3"/>
    <w:rsid w:val="00D7722B"/>
    <w:rsid w:val="00D774D2"/>
    <w:rsid w:val="00D776E3"/>
    <w:rsid w:val="00D77F32"/>
    <w:rsid w:val="00D803C4"/>
    <w:rsid w:val="00D80735"/>
    <w:rsid w:val="00D80D19"/>
    <w:rsid w:val="00D80D68"/>
    <w:rsid w:val="00D80E3B"/>
    <w:rsid w:val="00D810BF"/>
    <w:rsid w:val="00D8139A"/>
    <w:rsid w:val="00D813BC"/>
    <w:rsid w:val="00D818DF"/>
    <w:rsid w:val="00D81AA3"/>
    <w:rsid w:val="00D81EB6"/>
    <w:rsid w:val="00D81EF2"/>
    <w:rsid w:val="00D8274F"/>
    <w:rsid w:val="00D82C3F"/>
    <w:rsid w:val="00D82C9D"/>
    <w:rsid w:val="00D82E2D"/>
    <w:rsid w:val="00D83408"/>
    <w:rsid w:val="00D83504"/>
    <w:rsid w:val="00D836B0"/>
    <w:rsid w:val="00D839A9"/>
    <w:rsid w:val="00D83C4D"/>
    <w:rsid w:val="00D8424B"/>
    <w:rsid w:val="00D845C4"/>
    <w:rsid w:val="00D849F1"/>
    <w:rsid w:val="00D84A80"/>
    <w:rsid w:val="00D84C8D"/>
    <w:rsid w:val="00D84D0B"/>
    <w:rsid w:val="00D84F85"/>
    <w:rsid w:val="00D85242"/>
    <w:rsid w:val="00D85827"/>
    <w:rsid w:val="00D858AF"/>
    <w:rsid w:val="00D859CA"/>
    <w:rsid w:val="00D85E4A"/>
    <w:rsid w:val="00D85EBD"/>
    <w:rsid w:val="00D86251"/>
    <w:rsid w:val="00D86286"/>
    <w:rsid w:val="00D863C4"/>
    <w:rsid w:val="00D866BA"/>
    <w:rsid w:val="00D86B7B"/>
    <w:rsid w:val="00D86B8A"/>
    <w:rsid w:val="00D86CE0"/>
    <w:rsid w:val="00D86DAC"/>
    <w:rsid w:val="00D87015"/>
    <w:rsid w:val="00D87025"/>
    <w:rsid w:val="00D87039"/>
    <w:rsid w:val="00D8712D"/>
    <w:rsid w:val="00D87309"/>
    <w:rsid w:val="00D87526"/>
    <w:rsid w:val="00D8766B"/>
    <w:rsid w:val="00D878FE"/>
    <w:rsid w:val="00D87981"/>
    <w:rsid w:val="00D9006E"/>
    <w:rsid w:val="00D9024A"/>
    <w:rsid w:val="00D9025A"/>
    <w:rsid w:val="00D90269"/>
    <w:rsid w:val="00D903C9"/>
    <w:rsid w:val="00D90636"/>
    <w:rsid w:val="00D90894"/>
    <w:rsid w:val="00D911CC"/>
    <w:rsid w:val="00D9147D"/>
    <w:rsid w:val="00D91491"/>
    <w:rsid w:val="00D91701"/>
    <w:rsid w:val="00D91914"/>
    <w:rsid w:val="00D91A3A"/>
    <w:rsid w:val="00D91A40"/>
    <w:rsid w:val="00D91E85"/>
    <w:rsid w:val="00D91FE8"/>
    <w:rsid w:val="00D924DE"/>
    <w:rsid w:val="00D925F7"/>
    <w:rsid w:val="00D926D3"/>
    <w:rsid w:val="00D92A75"/>
    <w:rsid w:val="00D92BC0"/>
    <w:rsid w:val="00D9320E"/>
    <w:rsid w:val="00D936A3"/>
    <w:rsid w:val="00D93709"/>
    <w:rsid w:val="00D93E28"/>
    <w:rsid w:val="00D93E34"/>
    <w:rsid w:val="00D94267"/>
    <w:rsid w:val="00D942EC"/>
    <w:rsid w:val="00D94328"/>
    <w:rsid w:val="00D9480F"/>
    <w:rsid w:val="00D9495C"/>
    <w:rsid w:val="00D949E6"/>
    <w:rsid w:val="00D94A63"/>
    <w:rsid w:val="00D94C3F"/>
    <w:rsid w:val="00D94DBE"/>
    <w:rsid w:val="00D94DC3"/>
    <w:rsid w:val="00D94F68"/>
    <w:rsid w:val="00D9524B"/>
    <w:rsid w:val="00D9539A"/>
    <w:rsid w:val="00D95449"/>
    <w:rsid w:val="00D9557F"/>
    <w:rsid w:val="00D95586"/>
    <w:rsid w:val="00D9561D"/>
    <w:rsid w:val="00D9580D"/>
    <w:rsid w:val="00D95811"/>
    <w:rsid w:val="00D967AE"/>
    <w:rsid w:val="00D967B3"/>
    <w:rsid w:val="00D967BD"/>
    <w:rsid w:val="00D967DB"/>
    <w:rsid w:val="00D96CA2"/>
    <w:rsid w:val="00D96D13"/>
    <w:rsid w:val="00D96E5B"/>
    <w:rsid w:val="00D9700A"/>
    <w:rsid w:val="00D974AE"/>
    <w:rsid w:val="00D97CD8"/>
    <w:rsid w:val="00DA025D"/>
    <w:rsid w:val="00DA0A7F"/>
    <w:rsid w:val="00DA0C1C"/>
    <w:rsid w:val="00DA134E"/>
    <w:rsid w:val="00DA170A"/>
    <w:rsid w:val="00DA1C42"/>
    <w:rsid w:val="00DA1CD0"/>
    <w:rsid w:val="00DA1DF3"/>
    <w:rsid w:val="00DA1F1E"/>
    <w:rsid w:val="00DA2339"/>
    <w:rsid w:val="00DA2699"/>
    <w:rsid w:val="00DA288C"/>
    <w:rsid w:val="00DA28D5"/>
    <w:rsid w:val="00DA2903"/>
    <w:rsid w:val="00DA2D33"/>
    <w:rsid w:val="00DA2E0D"/>
    <w:rsid w:val="00DA2E23"/>
    <w:rsid w:val="00DA2E96"/>
    <w:rsid w:val="00DA30A9"/>
    <w:rsid w:val="00DA315A"/>
    <w:rsid w:val="00DA31A6"/>
    <w:rsid w:val="00DA3354"/>
    <w:rsid w:val="00DA36FE"/>
    <w:rsid w:val="00DA372D"/>
    <w:rsid w:val="00DA381B"/>
    <w:rsid w:val="00DA3D02"/>
    <w:rsid w:val="00DA4A5F"/>
    <w:rsid w:val="00DA4DE0"/>
    <w:rsid w:val="00DA4E25"/>
    <w:rsid w:val="00DA4EC7"/>
    <w:rsid w:val="00DA532C"/>
    <w:rsid w:val="00DA54D2"/>
    <w:rsid w:val="00DA57F4"/>
    <w:rsid w:val="00DA58F7"/>
    <w:rsid w:val="00DA59E8"/>
    <w:rsid w:val="00DA5A0B"/>
    <w:rsid w:val="00DA5A0F"/>
    <w:rsid w:val="00DA5C95"/>
    <w:rsid w:val="00DA5F1D"/>
    <w:rsid w:val="00DA6146"/>
    <w:rsid w:val="00DA61D7"/>
    <w:rsid w:val="00DA6A9E"/>
    <w:rsid w:val="00DA6B7E"/>
    <w:rsid w:val="00DA782D"/>
    <w:rsid w:val="00DA7B22"/>
    <w:rsid w:val="00DA7DE3"/>
    <w:rsid w:val="00DB04A5"/>
    <w:rsid w:val="00DB04E0"/>
    <w:rsid w:val="00DB078E"/>
    <w:rsid w:val="00DB0846"/>
    <w:rsid w:val="00DB0A13"/>
    <w:rsid w:val="00DB10AB"/>
    <w:rsid w:val="00DB10C1"/>
    <w:rsid w:val="00DB12BC"/>
    <w:rsid w:val="00DB166D"/>
    <w:rsid w:val="00DB1C59"/>
    <w:rsid w:val="00DB1D0E"/>
    <w:rsid w:val="00DB1E09"/>
    <w:rsid w:val="00DB201D"/>
    <w:rsid w:val="00DB207F"/>
    <w:rsid w:val="00DB215E"/>
    <w:rsid w:val="00DB217A"/>
    <w:rsid w:val="00DB22DF"/>
    <w:rsid w:val="00DB23F7"/>
    <w:rsid w:val="00DB28FA"/>
    <w:rsid w:val="00DB2A5D"/>
    <w:rsid w:val="00DB2C4F"/>
    <w:rsid w:val="00DB2D2F"/>
    <w:rsid w:val="00DB303C"/>
    <w:rsid w:val="00DB338A"/>
    <w:rsid w:val="00DB387D"/>
    <w:rsid w:val="00DB38A2"/>
    <w:rsid w:val="00DB3938"/>
    <w:rsid w:val="00DB3CAF"/>
    <w:rsid w:val="00DB42C6"/>
    <w:rsid w:val="00DB4317"/>
    <w:rsid w:val="00DB4431"/>
    <w:rsid w:val="00DB45E2"/>
    <w:rsid w:val="00DB4D54"/>
    <w:rsid w:val="00DB51C4"/>
    <w:rsid w:val="00DB51C7"/>
    <w:rsid w:val="00DB51F8"/>
    <w:rsid w:val="00DB5287"/>
    <w:rsid w:val="00DB5A98"/>
    <w:rsid w:val="00DB5B91"/>
    <w:rsid w:val="00DB5E31"/>
    <w:rsid w:val="00DB6442"/>
    <w:rsid w:val="00DB67E6"/>
    <w:rsid w:val="00DB6875"/>
    <w:rsid w:val="00DB694B"/>
    <w:rsid w:val="00DB6B1B"/>
    <w:rsid w:val="00DB7155"/>
    <w:rsid w:val="00DB735B"/>
    <w:rsid w:val="00DB7611"/>
    <w:rsid w:val="00DB7B88"/>
    <w:rsid w:val="00DB7C50"/>
    <w:rsid w:val="00DB7D40"/>
    <w:rsid w:val="00DB7D74"/>
    <w:rsid w:val="00DB7E49"/>
    <w:rsid w:val="00DC0524"/>
    <w:rsid w:val="00DC072A"/>
    <w:rsid w:val="00DC0981"/>
    <w:rsid w:val="00DC0A53"/>
    <w:rsid w:val="00DC0D29"/>
    <w:rsid w:val="00DC107A"/>
    <w:rsid w:val="00DC10FA"/>
    <w:rsid w:val="00DC1940"/>
    <w:rsid w:val="00DC1AF0"/>
    <w:rsid w:val="00DC1B17"/>
    <w:rsid w:val="00DC2078"/>
    <w:rsid w:val="00DC281C"/>
    <w:rsid w:val="00DC2A76"/>
    <w:rsid w:val="00DC2A77"/>
    <w:rsid w:val="00DC2B87"/>
    <w:rsid w:val="00DC2BEE"/>
    <w:rsid w:val="00DC2E36"/>
    <w:rsid w:val="00DC2F14"/>
    <w:rsid w:val="00DC312A"/>
    <w:rsid w:val="00DC3237"/>
    <w:rsid w:val="00DC3273"/>
    <w:rsid w:val="00DC32DC"/>
    <w:rsid w:val="00DC35D9"/>
    <w:rsid w:val="00DC376B"/>
    <w:rsid w:val="00DC37D4"/>
    <w:rsid w:val="00DC3AFA"/>
    <w:rsid w:val="00DC3D6C"/>
    <w:rsid w:val="00DC3DD9"/>
    <w:rsid w:val="00DC4440"/>
    <w:rsid w:val="00DC45E4"/>
    <w:rsid w:val="00DC4A2A"/>
    <w:rsid w:val="00DC4A3E"/>
    <w:rsid w:val="00DC4E98"/>
    <w:rsid w:val="00DC502E"/>
    <w:rsid w:val="00DC5146"/>
    <w:rsid w:val="00DC5985"/>
    <w:rsid w:val="00DC5A94"/>
    <w:rsid w:val="00DC5DE9"/>
    <w:rsid w:val="00DC5FD3"/>
    <w:rsid w:val="00DC6105"/>
    <w:rsid w:val="00DC62FD"/>
    <w:rsid w:val="00DC6A2F"/>
    <w:rsid w:val="00DC6E03"/>
    <w:rsid w:val="00DC6FA1"/>
    <w:rsid w:val="00DC7164"/>
    <w:rsid w:val="00DC722C"/>
    <w:rsid w:val="00DC7354"/>
    <w:rsid w:val="00DC7F8D"/>
    <w:rsid w:val="00DD0043"/>
    <w:rsid w:val="00DD011C"/>
    <w:rsid w:val="00DD06BF"/>
    <w:rsid w:val="00DD0AEC"/>
    <w:rsid w:val="00DD0D54"/>
    <w:rsid w:val="00DD0DAE"/>
    <w:rsid w:val="00DD0EC3"/>
    <w:rsid w:val="00DD1286"/>
    <w:rsid w:val="00DD1331"/>
    <w:rsid w:val="00DD152B"/>
    <w:rsid w:val="00DD156C"/>
    <w:rsid w:val="00DD15B7"/>
    <w:rsid w:val="00DD1E5B"/>
    <w:rsid w:val="00DD2101"/>
    <w:rsid w:val="00DD25F3"/>
    <w:rsid w:val="00DD2744"/>
    <w:rsid w:val="00DD324A"/>
    <w:rsid w:val="00DD33A3"/>
    <w:rsid w:val="00DD37F2"/>
    <w:rsid w:val="00DD3960"/>
    <w:rsid w:val="00DD39B4"/>
    <w:rsid w:val="00DD39E4"/>
    <w:rsid w:val="00DD3FB8"/>
    <w:rsid w:val="00DD3FDF"/>
    <w:rsid w:val="00DD41C7"/>
    <w:rsid w:val="00DD4528"/>
    <w:rsid w:val="00DD474E"/>
    <w:rsid w:val="00DD47ED"/>
    <w:rsid w:val="00DD493F"/>
    <w:rsid w:val="00DD49A6"/>
    <w:rsid w:val="00DD4F0A"/>
    <w:rsid w:val="00DD50F5"/>
    <w:rsid w:val="00DD5295"/>
    <w:rsid w:val="00DD5410"/>
    <w:rsid w:val="00DD551A"/>
    <w:rsid w:val="00DD5631"/>
    <w:rsid w:val="00DD573B"/>
    <w:rsid w:val="00DD590A"/>
    <w:rsid w:val="00DD591F"/>
    <w:rsid w:val="00DD5E39"/>
    <w:rsid w:val="00DD6278"/>
    <w:rsid w:val="00DD658A"/>
    <w:rsid w:val="00DD65D8"/>
    <w:rsid w:val="00DD67B3"/>
    <w:rsid w:val="00DD6CB8"/>
    <w:rsid w:val="00DD6CF5"/>
    <w:rsid w:val="00DD73F5"/>
    <w:rsid w:val="00DD78FD"/>
    <w:rsid w:val="00DD7994"/>
    <w:rsid w:val="00DD7B02"/>
    <w:rsid w:val="00DD7B4E"/>
    <w:rsid w:val="00DD7C87"/>
    <w:rsid w:val="00DE056C"/>
    <w:rsid w:val="00DE06AC"/>
    <w:rsid w:val="00DE0BDF"/>
    <w:rsid w:val="00DE0C9E"/>
    <w:rsid w:val="00DE0E4F"/>
    <w:rsid w:val="00DE0ED9"/>
    <w:rsid w:val="00DE11AE"/>
    <w:rsid w:val="00DE13E8"/>
    <w:rsid w:val="00DE164A"/>
    <w:rsid w:val="00DE1795"/>
    <w:rsid w:val="00DE1B5B"/>
    <w:rsid w:val="00DE1EFC"/>
    <w:rsid w:val="00DE20ED"/>
    <w:rsid w:val="00DE260A"/>
    <w:rsid w:val="00DE291D"/>
    <w:rsid w:val="00DE2D39"/>
    <w:rsid w:val="00DE30FA"/>
    <w:rsid w:val="00DE322D"/>
    <w:rsid w:val="00DE346A"/>
    <w:rsid w:val="00DE39FB"/>
    <w:rsid w:val="00DE3BC7"/>
    <w:rsid w:val="00DE3F52"/>
    <w:rsid w:val="00DE4290"/>
    <w:rsid w:val="00DE45FD"/>
    <w:rsid w:val="00DE4793"/>
    <w:rsid w:val="00DE4FE7"/>
    <w:rsid w:val="00DE5182"/>
    <w:rsid w:val="00DE5B3B"/>
    <w:rsid w:val="00DE5C6B"/>
    <w:rsid w:val="00DE5C95"/>
    <w:rsid w:val="00DE5D45"/>
    <w:rsid w:val="00DE5E77"/>
    <w:rsid w:val="00DE5F37"/>
    <w:rsid w:val="00DE6219"/>
    <w:rsid w:val="00DE6468"/>
    <w:rsid w:val="00DE68F9"/>
    <w:rsid w:val="00DE6A07"/>
    <w:rsid w:val="00DE6A16"/>
    <w:rsid w:val="00DE6CB1"/>
    <w:rsid w:val="00DE6E84"/>
    <w:rsid w:val="00DE6E93"/>
    <w:rsid w:val="00DE70F0"/>
    <w:rsid w:val="00DE7180"/>
    <w:rsid w:val="00DE73CF"/>
    <w:rsid w:val="00DE74FE"/>
    <w:rsid w:val="00DE763B"/>
    <w:rsid w:val="00DE7854"/>
    <w:rsid w:val="00DF051D"/>
    <w:rsid w:val="00DF0581"/>
    <w:rsid w:val="00DF0AFD"/>
    <w:rsid w:val="00DF0E6C"/>
    <w:rsid w:val="00DF0F6B"/>
    <w:rsid w:val="00DF1013"/>
    <w:rsid w:val="00DF1454"/>
    <w:rsid w:val="00DF1549"/>
    <w:rsid w:val="00DF1578"/>
    <w:rsid w:val="00DF17B1"/>
    <w:rsid w:val="00DF1928"/>
    <w:rsid w:val="00DF1D55"/>
    <w:rsid w:val="00DF1E35"/>
    <w:rsid w:val="00DF2A89"/>
    <w:rsid w:val="00DF3175"/>
    <w:rsid w:val="00DF35FC"/>
    <w:rsid w:val="00DF3675"/>
    <w:rsid w:val="00DF380A"/>
    <w:rsid w:val="00DF398D"/>
    <w:rsid w:val="00DF3AEC"/>
    <w:rsid w:val="00DF3F5C"/>
    <w:rsid w:val="00DF3F82"/>
    <w:rsid w:val="00DF401A"/>
    <w:rsid w:val="00DF40BA"/>
    <w:rsid w:val="00DF4617"/>
    <w:rsid w:val="00DF484A"/>
    <w:rsid w:val="00DF48E2"/>
    <w:rsid w:val="00DF49D7"/>
    <w:rsid w:val="00DF4CCE"/>
    <w:rsid w:val="00DF4D41"/>
    <w:rsid w:val="00DF4D98"/>
    <w:rsid w:val="00DF4E69"/>
    <w:rsid w:val="00DF504A"/>
    <w:rsid w:val="00DF508A"/>
    <w:rsid w:val="00DF50B0"/>
    <w:rsid w:val="00DF5425"/>
    <w:rsid w:val="00DF55CE"/>
    <w:rsid w:val="00DF588A"/>
    <w:rsid w:val="00DF59DA"/>
    <w:rsid w:val="00DF5D9F"/>
    <w:rsid w:val="00DF5FAE"/>
    <w:rsid w:val="00DF61CE"/>
    <w:rsid w:val="00DF6346"/>
    <w:rsid w:val="00DF649B"/>
    <w:rsid w:val="00DF71B7"/>
    <w:rsid w:val="00DF7335"/>
    <w:rsid w:val="00DF733E"/>
    <w:rsid w:val="00DF7726"/>
    <w:rsid w:val="00DF772C"/>
    <w:rsid w:val="00DF7900"/>
    <w:rsid w:val="00DF7A7C"/>
    <w:rsid w:val="00DF7B41"/>
    <w:rsid w:val="00DF7D67"/>
    <w:rsid w:val="00E00019"/>
    <w:rsid w:val="00E00106"/>
    <w:rsid w:val="00E005AB"/>
    <w:rsid w:val="00E00607"/>
    <w:rsid w:val="00E00667"/>
    <w:rsid w:val="00E008E1"/>
    <w:rsid w:val="00E008FB"/>
    <w:rsid w:val="00E00BB4"/>
    <w:rsid w:val="00E00D29"/>
    <w:rsid w:val="00E01009"/>
    <w:rsid w:val="00E010D2"/>
    <w:rsid w:val="00E019A4"/>
    <w:rsid w:val="00E01C8D"/>
    <w:rsid w:val="00E02787"/>
    <w:rsid w:val="00E02A43"/>
    <w:rsid w:val="00E02E26"/>
    <w:rsid w:val="00E03021"/>
    <w:rsid w:val="00E0352B"/>
    <w:rsid w:val="00E035C6"/>
    <w:rsid w:val="00E03BDB"/>
    <w:rsid w:val="00E03EA8"/>
    <w:rsid w:val="00E04143"/>
    <w:rsid w:val="00E04149"/>
    <w:rsid w:val="00E0436A"/>
    <w:rsid w:val="00E04385"/>
    <w:rsid w:val="00E04698"/>
    <w:rsid w:val="00E048A6"/>
    <w:rsid w:val="00E04A81"/>
    <w:rsid w:val="00E05446"/>
    <w:rsid w:val="00E05537"/>
    <w:rsid w:val="00E056AE"/>
    <w:rsid w:val="00E0571F"/>
    <w:rsid w:val="00E05A80"/>
    <w:rsid w:val="00E05CD8"/>
    <w:rsid w:val="00E05CDD"/>
    <w:rsid w:val="00E0638D"/>
    <w:rsid w:val="00E06451"/>
    <w:rsid w:val="00E0661E"/>
    <w:rsid w:val="00E06835"/>
    <w:rsid w:val="00E06896"/>
    <w:rsid w:val="00E068FB"/>
    <w:rsid w:val="00E07327"/>
    <w:rsid w:val="00E07475"/>
    <w:rsid w:val="00E077FD"/>
    <w:rsid w:val="00E07906"/>
    <w:rsid w:val="00E079AB"/>
    <w:rsid w:val="00E079B6"/>
    <w:rsid w:val="00E07C55"/>
    <w:rsid w:val="00E07C8C"/>
    <w:rsid w:val="00E07D3B"/>
    <w:rsid w:val="00E07EA6"/>
    <w:rsid w:val="00E1002D"/>
    <w:rsid w:val="00E1078B"/>
    <w:rsid w:val="00E108C0"/>
    <w:rsid w:val="00E10A80"/>
    <w:rsid w:val="00E10D7F"/>
    <w:rsid w:val="00E11083"/>
    <w:rsid w:val="00E11961"/>
    <w:rsid w:val="00E11A44"/>
    <w:rsid w:val="00E11C3A"/>
    <w:rsid w:val="00E11CDF"/>
    <w:rsid w:val="00E11FF7"/>
    <w:rsid w:val="00E120A3"/>
    <w:rsid w:val="00E122C9"/>
    <w:rsid w:val="00E1251D"/>
    <w:rsid w:val="00E12A60"/>
    <w:rsid w:val="00E12D97"/>
    <w:rsid w:val="00E12DE2"/>
    <w:rsid w:val="00E12F96"/>
    <w:rsid w:val="00E1308A"/>
    <w:rsid w:val="00E1312D"/>
    <w:rsid w:val="00E133B0"/>
    <w:rsid w:val="00E13420"/>
    <w:rsid w:val="00E1361D"/>
    <w:rsid w:val="00E137E1"/>
    <w:rsid w:val="00E1395B"/>
    <w:rsid w:val="00E13C3A"/>
    <w:rsid w:val="00E13CB1"/>
    <w:rsid w:val="00E13CD8"/>
    <w:rsid w:val="00E145A6"/>
    <w:rsid w:val="00E148C9"/>
    <w:rsid w:val="00E1491A"/>
    <w:rsid w:val="00E149C1"/>
    <w:rsid w:val="00E14C2A"/>
    <w:rsid w:val="00E14D44"/>
    <w:rsid w:val="00E15029"/>
    <w:rsid w:val="00E15156"/>
    <w:rsid w:val="00E154C5"/>
    <w:rsid w:val="00E1583E"/>
    <w:rsid w:val="00E158F8"/>
    <w:rsid w:val="00E15C09"/>
    <w:rsid w:val="00E1625A"/>
    <w:rsid w:val="00E16396"/>
    <w:rsid w:val="00E16633"/>
    <w:rsid w:val="00E16E3D"/>
    <w:rsid w:val="00E16FAF"/>
    <w:rsid w:val="00E17056"/>
    <w:rsid w:val="00E17357"/>
    <w:rsid w:val="00E174BC"/>
    <w:rsid w:val="00E17760"/>
    <w:rsid w:val="00E17820"/>
    <w:rsid w:val="00E179D9"/>
    <w:rsid w:val="00E17A62"/>
    <w:rsid w:val="00E17A74"/>
    <w:rsid w:val="00E17C95"/>
    <w:rsid w:val="00E17E38"/>
    <w:rsid w:val="00E17E40"/>
    <w:rsid w:val="00E201BF"/>
    <w:rsid w:val="00E20567"/>
    <w:rsid w:val="00E209FA"/>
    <w:rsid w:val="00E20CCA"/>
    <w:rsid w:val="00E20E8A"/>
    <w:rsid w:val="00E21180"/>
    <w:rsid w:val="00E21211"/>
    <w:rsid w:val="00E2139A"/>
    <w:rsid w:val="00E21955"/>
    <w:rsid w:val="00E21A7B"/>
    <w:rsid w:val="00E21B2E"/>
    <w:rsid w:val="00E21B5E"/>
    <w:rsid w:val="00E21C59"/>
    <w:rsid w:val="00E21CF4"/>
    <w:rsid w:val="00E21E7F"/>
    <w:rsid w:val="00E22118"/>
    <w:rsid w:val="00E22123"/>
    <w:rsid w:val="00E223A5"/>
    <w:rsid w:val="00E2255E"/>
    <w:rsid w:val="00E2287B"/>
    <w:rsid w:val="00E22A94"/>
    <w:rsid w:val="00E23152"/>
    <w:rsid w:val="00E2317A"/>
    <w:rsid w:val="00E2345A"/>
    <w:rsid w:val="00E2347B"/>
    <w:rsid w:val="00E234E8"/>
    <w:rsid w:val="00E236CE"/>
    <w:rsid w:val="00E237E9"/>
    <w:rsid w:val="00E24072"/>
    <w:rsid w:val="00E24179"/>
    <w:rsid w:val="00E24362"/>
    <w:rsid w:val="00E243A6"/>
    <w:rsid w:val="00E24597"/>
    <w:rsid w:val="00E246CD"/>
    <w:rsid w:val="00E25208"/>
    <w:rsid w:val="00E252B3"/>
    <w:rsid w:val="00E25347"/>
    <w:rsid w:val="00E25544"/>
    <w:rsid w:val="00E2584E"/>
    <w:rsid w:val="00E25D8D"/>
    <w:rsid w:val="00E25EC4"/>
    <w:rsid w:val="00E263D0"/>
    <w:rsid w:val="00E26722"/>
    <w:rsid w:val="00E26A41"/>
    <w:rsid w:val="00E27269"/>
    <w:rsid w:val="00E2730A"/>
    <w:rsid w:val="00E27338"/>
    <w:rsid w:val="00E27572"/>
    <w:rsid w:val="00E279D0"/>
    <w:rsid w:val="00E27B8A"/>
    <w:rsid w:val="00E27E74"/>
    <w:rsid w:val="00E27F02"/>
    <w:rsid w:val="00E27F75"/>
    <w:rsid w:val="00E30288"/>
    <w:rsid w:val="00E308F9"/>
    <w:rsid w:val="00E30B70"/>
    <w:rsid w:val="00E31401"/>
    <w:rsid w:val="00E319B3"/>
    <w:rsid w:val="00E31E88"/>
    <w:rsid w:val="00E32429"/>
    <w:rsid w:val="00E324F7"/>
    <w:rsid w:val="00E32760"/>
    <w:rsid w:val="00E327BB"/>
    <w:rsid w:val="00E328AC"/>
    <w:rsid w:val="00E3299B"/>
    <w:rsid w:val="00E32AF6"/>
    <w:rsid w:val="00E32EA7"/>
    <w:rsid w:val="00E32F46"/>
    <w:rsid w:val="00E33498"/>
    <w:rsid w:val="00E33E7C"/>
    <w:rsid w:val="00E33F37"/>
    <w:rsid w:val="00E3432A"/>
    <w:rsid w:val="00E346C1"/>
    <w:rsid w:val="00E34798"/>
    <w:rsid w:val="00E34823"/>
    <w:rsid w:val="00E34CE2"/>
    <w:rsid w:val="00E34D90"/>
    <w:rsid w:val="00E350B9"/>
    <w:rsid w:val="00E35A6B"/>
    <w:rsid w:val="00E35F02"/>
    <w:rsid w:val="00E36209"/>
    <w:rsid w:val="00E3620A"/>
    <w:rsid w:val="00E36505"/>
    <w:rsid w:val="00E36763"/>
    <w:rsid w:val="00E369E8"/>
    <w:rsid w:val="00E36B94"/>
    <w:rsid w:val="00E36CBB"/>
    <w:rsid w:val="00E37124"/>
    <w:rsid w:val="00E372EF"/>
    <w:rsid w:val="00E37466"/>
    <w:rsid w:val="00E37518"/>
    <w:rsid w:val="00E37627"/>
    <w:rsid w:val="00E3778D"/>
    <w:rsid w:val="00E37854"/>
    <w:rsid w:val="00E37A2F"/>
    <w:rsid w:val="00E37EF0"/>
    <w:rsid w:val="00E37FC4"/>
    <w:rsid w:val="00E38202"/>
    <w:rsid w:val="00E40108"/>
    <w:rsid w:val="00E405D4"/>
    <w:rsid w:val="00E40969"/>
    <w:rsid w:val="00E40BD1"/>
    <w:rsid w:val="00E41330"/>
    <w:rsid w:val="00E4145F"/>
    <w:rsid w:val="00E4194B"/>
    <w:rsid w:val="00E41DE6"/>
    <w:rsid w:val="00E4203A"/>
    <w:rsid w:val="00E423A4"/>
    <w:rsid w:val="00E42668"/>
    <w:rsid w:val="00E426C3"/>
    <w:rsid w:val="00E4273B"/>
    <w:rsid w:val="00E42989"/>
    <w:rsid w:val="00E42A6B"/>
    <w:rsid w:val="00E42AAC"/>
    <w:rsid w:val="00E42DEA"/>
    <w:rsid w:val="00E42F1B"/>
    <w:rsid w:val="00E43189"/>
    <w:rsid w:val="00E431FF"/>
    <w:rsid w:val="00E43815"/>
    <w:rsid w:val="00E43C03"/>
    <w:rsid w:val="00E43E86"/>
    <w:rsid w:val="00E447FF"/>
    <w:rsid w:val="00E44D04"/>
    <w:rsid w:val="00E44E05"/>
    <w:rsid w:val="00E44E98"/>
    <w:rsid w:val="00E45027"/>
    <w:rsid w:val="00E45120"/>
    <w:rsid w:val="00E4538E"/>
    <w:rsid w:val="00E4545A"/>
    <w:rsid w:val="00E45810"/>
    <w:rsid w:val="00E458C2"/>
    <w:rsid w:val="00E459C6"/>
    <w:rsid w:val="00E45D9F"/>
    <w:rsid w:val="00E45E59"/>
    <w:rsid w:val="00E45FEB"/>
    <w:rsid w:val="00E46008"/>
    <w:rsid w:val="00E46083"/>
    <w:rsid w:val="00E461A0"/>
    <w:rsid w:val="00E4651D"/>
    <w:rsid w:val="00E465B1"/>
    <w:rsid w:val="00E46635"/>
    <w:rsid w:val="00E46832"/>
    <w:rsid w:val="00E46AC6"/>
    <w:rsid w:val="00E46C49"/>
    <w:rsid w:val="00E46C74"/>
    <w:rsid w:val="00E46F87"/>
    <w:rsid w:val="00E46F94"/>
    <w:rsid w:val="00E47198"/>
    <w:rsid w:val="00E471C8"/>
    <w:rsid w:val="00E4725D"/>
    <w:rsid w:val="00E4759D"/>
    <w:rsid w:val="00E47E08"/>
    <w:rsid w:val="00E47E99"/>
    <w:rsid w:val="00E47ED8"/>
    <w:rsid w:val="00E47FDB"/>
    <w:rsid w:val="00E50128"/>
    <w:rsid w:val="00E502DE"/>
    <w:rsid w:val="00E50BBF"/>
    <w:rsid w:val="00E513F1"/>
    <w:rsid w:val="00E51488"/>
    <w:rsid w:val="00E51633"/>
    <w:rsid w:val="00E51808"/>
    <w:rsid w:val="00E51AC1"/>
    <w:rsid w:val="00E51C0C"/>
    <w:rsid w:val="00E51C55"/>
    <w:rsid w:val="00E51D36"/>
    <w:rsid w:val="00E51F0B"/>
    <w:rsid w:val="00E52168"/>
    <w:rsid w:val="00E521C9"/>
    <w:rsid w:val="00E5251B"/>
    <w:rsid w:val="00E528C3"/>
    <w:rsid w:val="00E52FC9"/>
    <w:rsid w:val="00E531C1"/>
    <w:rsid w:val="00E53231"/>
    <w:rsid w:val="00E5362C"/>
    <w:rsid w:val="00E53679"/>
    <w:rsid w:val="00E53D8A"/>
    <w:rsid w:val="00E53FB8"/>
    <w:rsid w:val="00E540EE"/>
    <w:rsid w:val="00E542B5"/>
    <w:rsid w:val="00E54471"/>
    <w:rsid w:val="00E5453C"/>
    <w:rsid w:val="00E54701"/>
    <w:rsid w:val="00E5486B"/>
    <w:rsid w:val="00E54B0F"/>
    <w:rsid w:val="00E54C55"/>
    <w:rsid w:val="00E54F23"/>
    <w:rsid w:val="00E552DD"/>
    <w:rsid w:val="00E5544B"/>
    <w:rsid w:val="00E554BB"/>
    <w:rsid w:val="00E55A6C"/>
    <w:rsid w:val="00E55C5F"/>
    <w:rsid w:val="00E55DA6"/>
    <w:rsid w:val="00E55E90"/>
    <w:rsid w:val="00E55FD8"/>
    <w:rsid w:val="00E56014"/>
    <w:rsid w:val="00E563B9"/>
    <w:rsid w:val="00E56490"/>
    <w:rsid w:val="00E56794"/>
    <w:rsid w:val="00E5691F"/>
    <w:rsid w:val="00E56C84"/>
    <w:rsid w:val="00E56CAA"/>
    <w:rsid w:val="00E56FE3"/>
    <w:rsid w:val="00E571A1"/>
    <w:rsid w:val="00E57351"/>
    <w:rsid w:val="00E576A2"/>
    <w:rsid w:val="00E579CD"/>
    <w:rsid w:val="00E57B76"/>
    <w:rsid w:val="00E57CC2"/>
    <w:rsid w:val="00E6004E"/>
    <w:rsid w:val="00E601B3"/>
    <w:rsid w:val="00E6068D"/>
    <w:rsid w:val="00E607A0"/>
    <w:rsid w:val="00E608B3"/>
    <w:rsid w:val="00E60B6C"/>
    <w:rsid w:val="00E60CE7"/>
    <w:rsid w:val="00E60E79"/>
    <w:rsid w:val="00E6127A"/>
    <w:rsid w:val="00E6129A"/>
    <w:rsid w:val="00E619E9"/>
    <w:rsid w:val="00E61A77"/>
    <w:rsid w:val="00E61B30"/>
    <w:rsid w:val="00E61DA8"/>
    <w:rsid w:val="00E61F63"/>
    <w:rsid w:val="00E62185"/>
    <w:rsid w:val="00E624BE"/>
    <w:rsid w:val="00E627BA"/>
    <w:rsid w:val="00E62A4D"/>
    <w:rsid w:val="00E63015"/>
    <w:rsid w:val="00E633D0"/>
    <w:rsid w:val="00E63569"/>
    <w:rsid w:val="00E63641"/>
    <w:rsid w:val="00E63748"/>
    <w:rsid w:val="00E63E97"/>
    <w:rsid w:val="00E63F0F"/>
    <w:rsid w:val="00E64351"/>
    <w:rsid w:val="00E6448C"/>
    <w:rsid w:val="00E6505F"/>
    <w:rsid w:val="00E6557A"/>
    <w:rsid w:val="00E6599B"/>
    <w:rsid w:val="00E65D5D"/>
    <w:rsid w:val="00E6612A"/>
    <w:rsid w:val="00E665F7"/>
    <w:rsid w:val="00E66715"/>
    <w:rsid w:val="00E66762"/>
    <w:rsid w:val="00E66C6D"/>
    <w:rsid w:val="00E66E2B"/>
    <w:rsid w:val="00E66E67"/>
    <w:rsid w:val="00E66E6F"/>
    <w:rsid w:val="00E670D7"/>
    <w:rsid w:val="00E67299"/>
    <w:rsid w:val="00E6737E"/>
    <w:rsid w:val="00E67662"/>
    <w:rsid w:val="00E6766E"/>
    <w:rsid w:val="00E67F0C"/>
    <w:rsid w:val="00E70048"/>
    <w:rsid w:val="00E70141"/>
    <w:rsid w:val="00E70557"/>
    <w:rsid w:val="00E707EB"/>
    <w:rsid w:val="00E70D76"/>
    <w:rsid w:val="00E71068"/>
    <w:rsid w:val="00E710D9"/>
    <w:rsid w:val="00E71224"/>
    <w:rsid w:val="00E71554"/>
    <w:rsid w:val="00E71A84"/>
    <w:rsid w:val="00E71A99"/>
    <w:rsid w:val="00E71A9F"/>
    <w:rsid w:val="00E71D5B"/>
    <w:rsid w:val="00E71DFF"/>
    <w:rsid w:val="00E72099"/>
    <w:rsid w:val="00E721EB"/>
    <w:rsid w:val="00E72290"/>
    <w:rsid w:val="00E722D3"/>
    <w:rsid w:val="00E72623"/>
    <w:rsid w:val="00E726E0"/>
    <w:rsid w:val="00E7279C"/>
    <w:rsid w:val="00E727C9"/>
    <w:rsid w:val="00E72893"/>
    <w:rsid w:val="00E728FC"/>
    <w:rsid w:val="00E730DF"/>
    <w:rsid w:val="00E73264"/>
    <w:rsid w:val="00E7355E"/>
    <w:rsid w:val="00E736AC"/>
    <w:rsid w:val="00E736C6"/>
    <w:rsid w:val="00E74373"/>
    <w:rsid w:val="00E7437D"/>
    <w:rsid w:val="00E74760"/>
    <w:rsid w:val="00E74868"/>
    <w:rsid w:val="00E7489C"/>
    <w:rsid w:val="00E74913"/>
    <w:rsid w:val="00E74E9D"/>
    <w:rsid w:val="00E75276"/>
    <w:rsid w:val="00E75289"/>
    <w:rsid w:val="00E755CA"/>
    <w:rsid w:val="00E75674"/>
    <w:rsid w:val="00E75851"/>
    <w:rsid w:val="00E75B75"/>
    <w:rsid w:val="00E75CF3"/>
    <w:rsid w:val="00E75D97"/>
    <w:rsid w:val="00E75FA9"/>
    <w:rsid w:val="00E76132"/>
    <w:rsid w:val="00E7625B"/>
    <w:rsid w:val="00E7629C"/>
    <w:rsid w:val="00E763F9"/>
    <w:rsid w:val="00E76490"/>
    <w:rsid w:val="00E7653C"/>
    <w:rsid w:val="00E76646"/>
    <w:rsid w:val="00E766A4"/>
    <w:rsid w:val="00E76B21"/>
    <w:rsid w:val="00E76FE0"/>
    <w:rsid w:val="00E770E3"/>
    <w:rsid w:val="00E777B0"/>
    <w:rsid w:val="00E77A0F"/>
    <w:rsid w:val="00E77ACF"/>
    <w:rsid w:val="00E77AD1"/>
    <w:rsid w:val="00E77AE4"/>
    <w:rsid w:val="00E77B02"/>
    <w:rsid w:val="00E77BB8"/>
    <w:rsid w:val="00E77DCA"/>
    <w:rsid w:val="00E77DFD"/>
    <w:rsid w:val="00E77E92"/>
    <w:rsid w:val="00E802A1"/>
    <w:rsid w:val="00E804B7"/>
    <w:rsid w:val="00E8064E"/>
    <w:rsid w:val="00E806F5"/>
    <w:rsid w:val="00E8072D"/>
    <w:rsid w:val="00E80A90"/>
    <w:rsid w:val="00E80CFE"/>
    <w:rsid w:val="00E80E3F"/>
    <w:rsid w:val="00E80E5D"/>
    <w:rsid w:val="00E8109A"/>
    <w:rsid w:val="00E8121D"/>
    <w:rsid w:val="00E815DB"/>
    <w:rsid w:val="00E81783"/>
    <w:rsid w:val="00E817AE"/>
    <w:rsid w:val="00E8194F"/>
    <w:rsid w:val="00E81BF1"/>
    <w:rsid w:val="00E82276"/>
    <w:rsid w:val="00E82281"/>
    <w:rsid w:val="00E82398"/>
    <w:rsid w:val="00E8266B"/>
    <w:rsid w:val="00E8298A"/>
    <w:rsid w:val="00E82A53"/>
    <w:rsid w:val="00E82D39"/>
    <w:rsid w:val="00E82E33"/>
    <w:rsid w:val="00E82F99"/>
    <w:rsid w:val="00E8302E"/>
    <w:rsid w:val="00E8322D"/>
    <w:rsid w:val="00E8346F"/>
    <w:rsid w:val="00E8353B"/>
    <w:rsid w:val="00E83607"/>
    <w:rsid w:val="00E837F7"/>
    <w:rsid w:val="00E838C3"/>
    <w:rsid w:val="00E83973"/>
    <w:rsid w:val="00E83DA1"/>
    <w:rsid w:val="00E83EE9"/>
    <w:rsid w:val="00E84549"/>
    <w:rsid w:val="00E847DE"/>
    <w:rsid w:val="00E848D9"/>
    <w:rsid w:val="00E84D12"/>
    <w:rsid w:val="00E84DC0"/>
    <w:rsid w:val="00E850CE"/>
    <w:rsid w:val="00E8543A"/>
    <w:rsid w:val="00E85675"/>
    <w:rsid w:val="00E8569F"/>
    <w:rsid w:val="00E85F68"/>
    <w:rsid w:val="00E861D1"/>
    <w:rsid w:val="00E86401"/>
    <w:rsid w:val="00E8652B"/>
    <w:rsid w:val="00E8655B"/>
    <w:rsid w:val="00E866F4"/>
    <w:rsid w:val="00E8692D"/>
    <w:rsid w:val="00E86A5E"/>
    <w:rsid w:val="00E86A70"/>
    <w:rsid w:val="00E86ED4"/>
    <w:rsid w:val="00E86F2D"/>
    <w:rsid w:val="00E87841"/>
    <w:rsid w:val="00E87A22"/>
    <w:rsid w:val="00E9040C"/>
    <w:rsid w:val="00E90440"/>
    <w:rsid w:val="00E909C6"/>
    <w:rsid w:val="00E90C8B"/>
    <w:rsid w:val="00E91073"/>
    <w:rsid w:val="00E91495"/>
    <w:rsid w:val="00E91A23"/>
    <w:rsid w:val="00E91FF5"/>
    <w:rsid w:val="00E9232D"/>
    <w:rsid w:val="00E923D1"/>
    <w:rsid w:val="00E926AC"/>
    <w:rsid w:val="00E928D6"/>
    <w:rsid w:val="00E9291B"/>
    <w:rsid w:val="00E929CF"/>
    <w:rsid w:val="00E92D25"/>
    <w:rsid w:val="00E93828"/>
    <w:rsid w:val="00E938AE"/>
    <w:rsid w:val="00E93A7E"/>
    <w:rsid w:val="00E93E66"/>
    <w:rsid w:val="00E94047"/>
    <w:rsid w:val="00E94745"/>
    <w:rsid w:val="00E94805"/>
    <w:rsid w:val="00E948F2"/>
    <w:rsid w:val="00E94937"/>
    <w:rsid w:val="00E94A1E"/>
    <w:rsid w:val="00E94AE5"/>
    <w:rsid w:val="00E94B85"/>
    <w:rsid w:val="00E94C81"/>
    <w:rsid w:val="00E95097"/>
    <w:rsid w:val="00E9539B"/>
    <w:rsid w:val="00E953C1"/>
    <w:rsid w:val="00E95467"/>
    <w:rsid w:val="00E954DA"/>
    <w:rsid w:val="00E954DF"/>
    <w:rsid w:val="00E95548"/>
    <w:rsid w:val="00E957E1"/>
    <w:rsid w:val="00E95834"/>
    <w:rsid w:val="00E95994"/>
    <w:rsid w:val="00E959F6"/>
    <w:rsid w:val="00E95B48"/>
    <w:rsid w:val="00E95B89"/>
    <w:rsid w:val="00E966E7"/>
    <w:rsid w:val="00E9685E"/>
    <w:rsid w:val="00E96882"/>
    <w:rsid w:val="00E969DE"/>
    <w:rsid w:val="00E96F2A"/>
    <w:rsid w:val="00E9711B"/>
    <w:rsid w:val="00E973E3"/>
    <w:rsid w:val="00E9742D"/>
    <w:rsid w:val="00E97818"/>
    <w:rsid w:val="00E978E9"/>
    <w:rsid w:val="00E97C01"/>
    <w:rsid w:val="00E97E70"/>
    <w:rsid w:val="00E97E92"/>
    <w:rsid w:val="00E97FD1"/>
    <w:rsid w:val="00EA0184"/>
    <w:rsid w:val="00EA022B"/>
    <w:rsid w:val="00EA031F"/>
    <w:rsid w:val="00EA03D3"/>
    <w:rsid w:val="00EA0401"/>
    <w:rsid w:val="00EA04E4"/>
    <w:rsid w:val="00EA0669"/>
    <w:rsid w:val="00EA0935"/>
    <w:rsid w:val="00EA0B8A"/>
    <w:rsid w:val="00EA0BE4"/>
    <w:rsid w:val="00EA1319"/>
    <w:rsid w:val="00EA1835"/>
    <w:rsid w:val="00EA1B60"/>
    <w:rsid w:val="00EA1BC0"/>
    <w:rsid w:val="00EA1C28"/>
    <w:rsid w:val="00EA1EE0"/>
    <w:rsid w:val="00EA25F8"/>
    <w:rsid w:val="00EA2734"/>
    <w:rsid w:val="00EA2955"/>
    <w:rsid w:val="00EA2A2F"/>
    <w:rsid w:val="00EA2D54"/>
    <w:rsid w:val="00EA2D6B"/>
    <w:rsid w:val="00EA2E44"/>
    <w:rsid w:val="00EA2F80"/>
    <w:rsid w:val="00EA30D6"/>
    <w:rsid w:val="00EA3135"/>
    <w:rsid w:val="00EA3183"/>
    <w:rsid w:val="00EA319F"/>
    <w:rsid w:val="00EA31D4"/>
    <w:rsid w:val="00EA33FA"/>
    <w:rsid w:val="00EA347B"/>
    <w:rsid w:val="00EA4194"/>
    <w:rsid w:val="00EA4575"/>
    <w:rsid w:val="00EA4898"/>
    <w:rsid w:val="00EA4A13"/>
    <w:rsid w:val="00EA4A1E"/>
    <w:rsid w:val="00EA4C5B"/>
    <w:rsid w:val="00EA4E00"/>
    <w:rsid w:val="00EA4EAF"/>
    <w:rsid w:val="00EA503F"/>
    <w:rsid w:val="00EA52D8"/>
    <w:rsid w:val="00EA538F"/>
    <w:rsid w:val="00EA54F4"/>
    <w:rsid w:val="00EA590F"/>
    <w:rsid w:val="00EA59BD"/>
    <w:rsid w:val="00EA5B15"/>
    <w:rsid w:val="00EA5BC9"/>
    <w:rsid w:val="00EA5BCC"/>
    <w:rsid w:val="00EA5DA4"/>
    <w:rsid w:val="00EA5ED5"/>
    <w:rsid w:val="00EA649F"/>
    <w:rsid w:val="00EA677B"/>
    <w:rsid w:val="00EA693D"/>
    <w:rsid w:val="00EA6B0B"/>
    <w:rsid w:val="00EA6F34"/>
    <w:rsid w:val="00EA7131"/>
    <w:rsid w:val="00EA729D"/>
    <w:rsid w:val="00EA74F8"/>
    <w:rsid w:val="00EA7841"/>
    <w:rsid w:val="00EA7C8B"/>
    <w:rsid w:val="00EA7E1F"/>
    <w:rsid w:val="00EB001F"/>
    <w:rsid w:val="00EB015A"/>
    <w:rsid w:val="00EB0AAE"/>
    <w:rsid w:val="00EB0C3B"/>
    <w:rsid w:val="00EB0C9B"/>
    <w:rsid w:val="00EB0DA0"/>
    <w:rsid w:val="00EB0F1C"/>
    <w:rsid w:val="00EB0F60"/>
    <w:rsid w:val="00EB10E6"/>
    <w:rsid w:val="00EB11D4"/>
    <w:rsid w:val="00EB147D"/>
    <w:rsid w:val="00EB1840"/>
    <w:rsid w:val="00EB1A04"/>
    <w:rsid w:val="00EB2351"/>
    <w:rsid w:val="00EB23E6"/>
    <w:rsid w:val="00EB2553"/>
    <w:rsid w:val="00EB27F8"/>
    <w:rsid w:val="00EB2EDB"/>
    <w:rsid w:val="00EB2EEE"/>
    <w:rsid w:val="00EB3396"/>
    <w:rsid w:val="00EB33B6"/>
    <w:rsid w:val="00EB3A12"/>
    <w:rsid w:val="00EB3D2A"/>
    <w:rsid w:val="00EB40BE"/>
    <w:rsid w:val="00EB413F"/>
    <w:rsid w:val="00EB46A0"/>
    <w:rsid w:val="00EB47B9"/>
    <w:rsid w:val="00EB486F"/>
    <w:rsid w:val="00EB4955"/>
    <w:rsid w:val="00EB4B76"/>
    <w:rsid w:val="00EB50E3"/>
    <w:rsid w:val="00EB5312"/>
    <w:rsid w:val="00EB5422"/>
    <w:rsid w:val="00EB57BA"/>
    <w:rsid w:val="00EB580C"/>
    <w:rsid w:val="00EB5C6A"/>
    <w:rsid w:val="00EB5EAD"/>
    <w:rsid w:val="00EB60DD"/>
    <w:rsid w:val="00EB62EB"/>
    <w:rsid w:val="00EB654C"/>
    <w:rsid w:val="00EB6598"/>
    <w:rsid w:val="00EB7243"/>
    <w:rsid w:val="00EB74C6"/>
    <w:rsid w:val="00EB7A14"/>
    <w:rsid w:val="00EB7AD0"/>
    <w:rsid w:val="00EB7B5B"/>
    <w:rsid w:val="00EB7CCD"/>
    <w:rsid w:val="00EB7D85"/>
    <w:rsid w:val="00EB7DC3"/>
    <w:rsid w:val="00EB7ED2"/>
    <w:rsid w:val="00EC0293"/>
    <w:rsid w:val="00EC02F7"/>
    <w:rsid w:val="00EC0CC0"/>
    <w:rsid w:val="00EC0EEA"/>
    <w:rsid w:val="00EC10BA"/>
    <w:rsid w:val="00EC123E"/>
    <w:rsid w:val="00EC1621"/>
    <w:rsid w:val="00EC184F"/>
    <w:rsid w:val="00EC1F54"/>
    <w:rsid w:val="00EC1FC4"/>
    <w:rsid w:val="00EC2008"/>
    <w:rsid w:val="00EC246E"/>
    <w:rsid w:val="00EC253D"/>
    <w:rsid w:val="00EC27F6"/>
    <w:rsid w:val="00EC2A2E"/>
    <w:rsid w:val="00EC2D0F"/>
    <w:rsid w:val="00EC2E0A"/>
    <w:rsid w:val="00EC317D"/>
    <w:rsid w:val="00EC31B5"/>
    <w:rsid w:val="00EC3399"/>
    <w:rsid w:val="00EC364F"/>
    <w:rsid w:val="00EC391A"/>
    <w:rsid w:val="00EC3D46"/>
    <w:rsid w:val="00EC3F04"/>
    <w:rsid w:val="00EC4253"/>
    <w:rsid w:val="00EC4442"/>
    <w:rsid w:val="00EC4587"/>
    <w:rsid w:val="00EC4782"/>
    <w:rsid w:val="00EC49BC"/>
    <w:rsid w:val="00EC49C4"/>
    <w:rsid w:val="00EC4C18"/>
    <w:rsid w:val="00EC4C1C"/>
    <w:rsid w:val="00EC4DD3"/>
    <w:rsid w:val="00EC50A1"/>
    <w:rsid w:val="00EC532A"/>
    <w:rsid w:val="00EC55DD"/>
    <w:rsid w:val="00EC5933"/>
    <w:rsid w:val="00EC61BB"/>
    <w:rsid w:val="00EC6239"/>
    <w:rsid w:val="00EC648A"/>
    <w:rsid w:val="00EC64BF"/>
    <w:rsid w:val="00EC6525"/>
    <w:rsid w:val="00EC68AC"/>
    <w:rsid w:val="00EC69BB"/>
    <w:rsid w:val="00EC6C9F"/>
    <w:rsid w:val="00EC6F3A"/>
    <w:rsid w:val="00EC73B5"/>
    <w:rsid w:val="00EC7509"/>
    <w:rsid w:val="00EC78F3"/>
    <w:rsid w:val="00EC7CF0"/>
    <w:rsid w:val="00ED000E"/>
    <w:rsid w:val="00ED0212"/>
    <w:rsid w:val="00ED0642"/>
    <w:rsid w:val="00ED08EA"/>
    <w:rsid w:val="00ED0E2C"/>
    <w:rsid w:val="00ED1142"/>
    <w:rsid w:val="00ED18AC"/>
    <w:rsid w:val="00ED1E0F"/>
    <w:rsid w:val="00ED1E3F"/>
    <w:rsid w:val="00ED1EE5"/>
    <w:rsid w:val="00ED1F0B"/>
    <w:rsid w:val="00ED23D0"/>
    <w:rsid w:val="00ED28A2"/>
    <w:rsid w:val="00ED2ADD"/>
    <w:rsid w:val="00ED2B59"/>
    <w:rsid w:val="00ED2BCA"/>
    <w:rsid w:val="00ED2C55"/>
    <w:rsid w:val="00ED2FB4"/>
    <w:rsid w:val="00ED399A"/>
    <w:rsid w:val="00ED39EE"/>
    <w:rsid w:val="00ED3BDE"/>
    <w:rsid w:val="00ED3D38"/>
    <w:rsid w:val="00ED3DE7"/>
    <w:rsid w:val="00ED3E62"/>
    <w:rsid w:val="00ED3FC5"/>
    <w:rsid w:val="00ED4127"/>
    <w:rsid w:val="00ED4945"/>
    <w:rsid w:val="00ED4A0D"/>
    <w:rsid w:val="00ED4C5E"/>
    <w:rsid w:val="00ED5637"/>
    <w:rsid w:val="00ED5F0F"/>
    <w:rsid w:val="00ED60A2"/>
    <w:rsid w:val="00ED62D1"/>
    <w:rsid w:val="00ED68B1"/>
    <w:rsid w:val="00ED6D10"/>
    <w:rsid w:val="00ED6E02"/>
    <w:rsid w:val="00ED72E1"/>
    <w:rsid w:val="00ED7450"/>
    <w:rsid w:val="00ED7D05"/>
    <w:rsid w:val="00EDFBF7"/>
    <w:rsid w:val="00EE0098"/>
    <w:rsid w:val="00EE08F4"/>
    <w:rsid w:val="00EE0CB0"/>
    <w:rsid w:val="00EE0DA8"/>
    <w:rsid w:val="00EE0E69"/>
    <w:rsid w:val="00EE1075"/>
    <w:rsid w:val="00EE1086"/>
    <w:rsid w:val="00EE14B0"/>
    <w:rsid w:val="00EE14C5"/>
    <w:rsid w:val="00EE1594"/>
    <w:rsid w:val="00EE16B6"/>
    <w:rsid w:val="00EE17E3"/>
    <w:rsid w:val="00EE1956"/>
    <w:rsid w:val="00EE1994"/>
    <w:rsid w:val="00EE1A3A"/>
    <w:rsid w:val="00EE1CA3"/>
    <w:rsid w:val="00EE1E7E"/>
    <w:rsid w:val="00EE1F33"/>
    <w:rsid w:val="00EE1FB6"/>
    <w:rsid w:val="00EE2057"/>
    <w:rsid w:val="00EE215C"/>
    <w:rsid w:val="00EE2483"/>
    <w:rsid w:val="00EE256A"/>
    <w:rsid w:val="00EE2761"/>
    <w:rsid w:val="00EE2BC9"/>
    <w:rsid w:val="00EE2CB4"/>
    <w:rsid w:val="00EE2EAC"/>
    <w:rsid w:val="00EE3624"/>
    <w:rsid w:val="00EE3AA5"/>
    <w:rsid w:val="00EE3B92"/>
    <w:rsid w:val="00EE3B99"/>
    <w:rsid w:val="00EE3BBC"/>
    <w:rsid w:val="00EE3CE9"/>
    <w:rsid w:val="00EE3E8D"/>
    <w:rsid w:val="00EE42BE"/>
    <w:rsid w:val="00EE42C7"/>
    <w:rsid w:val="00EE4736"/>
    <w:rsid w:val="00EE4B06"/>
    <w:rsid w:val="00EE4C49"/>
    <w:rsid w:val="00EE4D6F"/>
    <w:rsid w:val="00EE4DC1"/>
    <w:rsid w:val="00EE4DD4"/>
    <w:rsid w:val="00EE5432"/>
    <w:rsid w:val="00EE5A0E"/>
    <w:rsid w:val="00EE5AF6"/>
    <w:rsid w:val="00EE5DC5"/>
    <w:rsid w:val="00EE5F27"/>
    <w:rsid w:val="00EE65DE"/>
    <w:rsid w:val="00EE67DA"/>
    <w:rsid w:val="00EE6B02"/>
    <w:rsid w:val="00EE6D44"/>
    <w:rsid w:val="00EE71EC"/>
    <w:rsid w:val="00EE7A18"/>
    <w:rsid w:val="00EE7ABA"/>
    <w:rsid w:val="00EE7B92"/>
    <w:rsid w:val="00EE7EA3"/>
    <w:rsid w:val="00EF0468"/>
    <w:rsid w:val="00EF05BC"/>
    <w:rsid w:val="00EF069B"/>
    <w:rsid w:val="00EF0755"/>
    <w:rsid w:val="00EF0FBE"/>
    <w:rsid w:val="00EF1223"/>
    <w:rsid w:val="00EF12D4"/>
    <w:rsid w:val="00EF162E"/>
    <w:rsid w:val="00EF1940"/>
    <w:rsid w:val="00EF1F39"/>
    <w:rsid w:val="00EF25ED"/>
    <w:rsid w:val="00EF2A02"/>
    <w:rsid w:val="00EF2A18"/>
    <w:rsid w:val="00EF2A3D"/>
    <w:rsid w:val="00EF2CF3"/>
    <w:rsid w:val="00EF2DF1"/>
    <w:rsid w:val="00EF2E8C"/>
    <w:rsid w:val="00EF2F4D"/>
    <w:rsid w:val="00EF2FA1"/>
    <w:rsid w:val="00EF3254"/>
    <w:rsid w:val="00EF33CF"/>
    <w:rsid w:val="00EF363C"/>
    <w:rsid w:val="00EF3EF2"/>
    <w:rsid w:val="00EF3FCE"/>
    <w:rsid w:val="00EF41FF"/>
    <w:rsid w:val="00EF43DC"/>
    <w:rsid w:val="00EF43F5"/>
    <w:rsid w:val="00EF44A0"/>
    <w:rsid w:val="00EF466C"/>
    <w:rsid w:val="00EF4896"/>
    <w:rsid w:val="00EF49C7"/>
    <w:rsid w:val="00EF532D"/>
    <w:rsid w:val="00EF5472"/>
    <w:rsid w:val="00EF5A49"/>
    <w:rsid w:val="00EF5AB8"/>
    <w:rsid w:val="00EF5CD4"/>
    <w:rsid w:val="00EF605C"/>
    <w:rsid w:val="00EF635E"/>
    <w:rsid w:val="00EF63DF"/>
    <w:rsid w:val="00EF6559"/>
    <w:rsid w:val="00EF676D"/>
    <w:rsid w:val="00EF6972"/>
    <w:rsid w:val="00EF6D7E"/>
    <w:rsid w:val="00EF7401"/>
    <w:rsid w:val="00EF7474"/>
    <w:rsid w:val="00EF7645"/>
    <w:rsid w:val="00EF78DD"/>
    <w:rsid w:val="00EF7930"/>
    <w:rsid w:val="00EF79FB"/>
    <w:rsid w:val="00EF7A11"/>
    <w:rsid w:val="00EF7D3A"/>
    <w:rsid w:val="00EF7E40"/>
    <w:rsid w:val="00EF7FBE"/>
    <w:rsid w:val="00EFC8BB"/>
    <w:rsid w:val="00F0001B"/>
    <w:rsid w:val="00F00AA0"/>
    <w:rsid w:val="00F00CF7"/>
    <w:rsid w:val="00F012CC"/>
    <w:rsid w:val="00F01722"/>
    <w:rsid w:val="00F0174D"/>
    <w:rsid w:val="00F01B95"/>
    <w:rsid w:val="00F01EE6"/>
    <w:rsid w:val="00F02658"/>
    <w:rsid w:val="00F029B9"/>
    <w:rsid w:val="00F02D3B"/>
    <w:rsid w:val="00F02FA8"/>
    <w:rsid w:val="00F030E1"/>
    <w:rsid w:val="00F033BD"/>
    <w:rsid w:val="00F0343D"/>
    <w:rsid w:val="00F03484"/>
    <w:rsid w:val="00F035E2"/>
    <w:rsid w:val="00F03879"/>
    <w:rsid w:val="00F03A0D"/>
    <w:rsid w:val="00F03FFD"/>
    <w:rsid w:val="00F040FF"/>
    <w:rsid w:val="00F04280"/>
    <w:rsid w:val="00F044A2"/>
    <w:rsid w:val="00F048DE"/>
    <w:rsid w:val="00F04C04"/>
    <w:rsid w:val="00F05105"/>
    <w:rsid w:val="00F065C3"/>
    <w:rsid w:val="00F065EF"/>
    <w:rsid w:val="00F0667E"/>
    <w:rsid w:val="00F0670B"/>
    <w:rsid w:val="00F067F1"/>
    <w:rsid w:val="00F068CC"/>
    <w:rsid w:val="00F06927"/>
    <w:rsid w:val="00F06D9E"/>
    <w:rsid w:val="00F06F02"/>
    <w:rsid w:val="00F06F39"/>
    <w:rsid w:val="00F06FD4"/>
    <w:rsid w:val="00F07101"/>
    <w:rsid w:val="00F07374"/>
    <w:rsid w:val="00F0793E"/>
    <w:rsid w:val="00F079C6"/>
    <w:rsid w:val="00F07A70"/>
    <w:rsid w:val="00F07B63"/>
    <w:rsid w:val="00F07D62"/>
    <w:rsid w:val="00F10093"/>
    <w:rsid w:val="00F100FA"/>
    <w:rsid w:val="00F10142"/>
    <w:rsid w:val="00F10642"/>
    <w:rsid w:val="00F10796"/>
    <w:rsid w:val="00F1083B"/>
    <w:rsid w:val="00F10845"/>
    <w:rsid w:val="00F109A0"/>
    <w:rsid w:val="00F10B36"/>
    <w:rsid w:val="00F10CFD"/>
    <w:rsid w:val="00F10F9E"/>
    <w:rsid w:val="00F110E6"/>
    <w:rsid w:val="00F1147D"/>
    <w:rsid w:val="00F1158D"/>
    <w:rsid w:val="00F11BA9"/>
    <w:rsid w:val="00F11D20"/>
    <w:rsid w:val="00F12360"/>
    <w:rsid w:val="00F123F7"/>
    <w:rsid w:val="00F12526"/>
    <w:rsid w:val="00F12697"/>
    <w:rsid w:val="00F1275E"/>
    <w:rsid w:val="00F128C3"/>
    <w:rsid w:val="00F129AC"/>
    <w:rsid w:val="00F13516"/>
    <w:rsid w:val="00F13A6F"/>
    <w:rsid w:val="00F13BAB"/>
    <w:rsid w:val="00F13CC1"/>
    <w:rsid w:val="00F13F91"/>
    <w:rsid w:val="00F14502"/>
    <w:rsid w:val="00F1477A"/>
    <w:rsid w:val="00F148FB"/>
    <w:rsid w:val="00F1499F"/>
    <w:rsid w:val="00F14CF1"/>
    <w:rsid w:val="00F1512E"/>
    <w:rsid w:val="00F15138"/>
    <w:rsid w:val="00F1524B"/>
    <w:rsid w:val="00F159B7"/>
    <w:rsid w:val="00F15B5B"/>
    <w:rsid w:val="00F15E0C"/>
    <w:rsid w:val="00F16192"/>
    <w:rsid w:val="00F16218"/>
    <w:rsid w:val="00F1670B"/>
    <w:rsid w:val="00F16749"/>
    <w:rsid w:val="00F16AEB"/>
    <w:rsid w:val="00F16FEC"/>
    <w:rsid w:val="00F17053"/>
    <w:rsid w:val="00F1713A"/>
    <w:rsid w:val="00F17206"/>
    <w:rsid w:val="00F1777B"/>
    <w:rsid w:val="00F17B91"/>
    <w:rsid w:val="00F17CE7"/>
    <w:rsid w:val="00F17D1A"/>
    <w:rsid w:val="00F17F09"/>
    <w:rsid w:val="00F20110"/>
    <w:rsid w:val="00F2065E"/>
    <w:rsid w:val="00F21121"/>
    <w:rsid w:val="00F21123"/>
    <w:rsid w:val="00F211D3"/>
    <w:rsid w:val="00F21600"/>
    <w:rsid w:val="00F21A72"/>
    <w:rsid w:val="00F21CD5"/>
    <w:rsid w:val="00F22177"/>
    <w:rsid w:val="00F2231C"/>
    <w:rsid w:val="00F22357"/>
    <w:rsid w:val="00F229DB"/>
    <w:rsid w:val="00F22AE6"/>
    <w:rsid w:val="00F23079"/>
    <w:rsid w:val="00F235A1"/>
    <w:rsid w:val="00F2378E"/>
    <w:rsid w:val="00F23AA5"/>
    <w:rsid w:val="00F23BC2"/>
    <w:rsid w:val="00F23DAE"/>
    <w:rsid w:val="00F2409C"/>
    <w:rsid w:val="00F2426A"/>
    <w:rsid w:val="00F242AD"/>
    <w:rsid w:val="00F242CA"/>
    <w:rsid w:val="00F24701"/>
    <w:rsid w:val="00F25523"/>
    <w:rsid w:val="00F25A64"/>
    <w:rsid w:val="00F25FB8"/>
    <w:rsid w:val="00F26057"/>
    <w:rsid w:val="00F2609D"/>
    <w:rsid w:val="00F26596"/>
    <w:rsid w:val="00F26910"/>
    <w:rsid w:val="00F269AA"/>
    <w:rsid w:val="00F27043"/>
    <w:rsid w:val="00F271D4"/>
    <w:rsid w:val="00F279F2"/>
    <w:rsid w:val="00F27B20"/>
    <w:rsid w:val="00F27B53"/>
    <w:rsid w:val="00F27CC1"/>
    <w:rsid w:val="00F27DBB"/>
    <w:rsid w:val="00F27F15"/>
    <w:rsid w:val="00F3019C"/>
    <w:rsid w:val="00F3043C"/>
    <w:rsid w:val="00F30545"/>
    <w:rsid w:val="00F305BB"/>
    <w:rsid w:val="00F30648"/>
    <w:rsid w:val="00F30790"/>
    <w:rsid w:val="00F30870"/>
    <w:rsid w:val="00F30A6C"/>
    <w:rsid w:val="00F30D15"/>
    <w:rsid w:val="00F30DE0"/>
    <w:rsid w:val="00F30E28"/>
    <w:rsid w:val="00F30F40"/>
    <w:rsid w:val="00F30F79"/>
    <w:rsid w:val="00F31156"/>
    <w:rsid w:val="00F31281"/>
    <w:rsid w:val="00F313F8"/>
    <w:rsid w:val="00F3163C"/>
    <w:rsid w:val="00F31825"/>
    <w:rsid w:val="00F318B9"/>
    <w:rsid w:val="00F31B64"/>
    <w:rsid w:val="00F31BED"/>
    <w:rsid w:val="00F31CE3"/>
    <w:rsid w:val="00F323EB"/>
    <w:rsid w:val="00F32540"/>
    <w:rsid w:val="00F3287F"/>
    <w:rsid w:val="00F32D96"/>
    <w:rsid w:val="00F32D9F"/>
    <w:rsid w:val="00F33096"/>
    <w:rsid w:val="00F330E3"/>
    <w:rsid w:val="00F33295"/>
    <w:rsid w:val="00F3343E"/>
    <w:rsid w:val="00F335ED"/>
    <w:rsid w:val="00F33BE3"/>
    <w:rsid w:val="00F33C9C"/>
    <w:rsid w:val="00F33E5C"/>
    <w:rsid w:val="00F343A7"/>
    <w:rsid w:val="00F34470"/>
    <w:rsid w:val="00F3451E"/>
    <w:rsid w:val="00F34735"/>
    <w:rsid w:val="00F347B3"/>
    <w:rsid w:val="00F34AF4"/>
    <w:rsid w:val="00F34BE7"/>
    <w:rsid w:val="00F35078"/>
    <w:rsid w:val="00F353D5"/>
    <w:rsid w:val="00F3554B"/>
    <w:rsid w:val="00F35692"/>
    <w:rsid w:val="00F359E3"/>
    <w:rsid w:val="00F35B12"/>
    <w:rsid w:val="00F35C7E"/>
    <w:rsid w:val="00F35D3A"/>
    <w:rsid w:val="00F36010"/>
    <w:rsid w:val="00F360EE"/>
    <w:rsid w:val="00F36200"/>
    <w:rsid w:val="00F36640"/>
    <w:rsid w:val="00F368E5"/>
    <w:rsid w:val="00F3693E"/>
    <w:rsid w:val="00F37952"/>
    <w:rsid w:val="00F379C8"/>
    <w:rsid w:val="00F37E80"/>
    <w:rsid w:val="00F40085"/>
    <w:rsid w:val="00F4024E"/>
    <w:rsid w:val="00F40739"/>
    <w:rsid w:val="00F40C4C"/>
    <w:rsid w:val="00F40C5E"/>
    <w:rsid w:val="00F40D5D"/>
    <w:rsid w:val="00F4114C"/>
    <w:rsid w:val="00F416C3"/>
    <w:rsid w:val="00F41715"/>
    <w:rsid w:val="00F41A2D"/>
    <w:rsid w:val="00F420F4"/>
    <w:rsid w:val="00F421F8"/>
    <w:rsid w:val="00F42366"/>
    <w:rsid w:val="00F4274C"/>
    <w:rsid w:val="00F42CB4"/>
    <w:rsid w:val="00F42E91"/>
    <w:rsid w:val="00F43207"/>
    <w:rsid w:val="00F43501"/>
    <w:rsid w:val="00F43502"/>
    <w:rsid w:val="00F435A3"/>
    <w:rsid w:val="00F4367F"/>
    <w:rsid w:val="00F436A6"/>
    <w:rsid w:val="00F4391D"/>
    <w:rsid w:val="00F43958"/>
    <w:rsid w:val="00F43FC7"/>
    <w:rsid w:val="00F440A3"/>
    <w:rsid w:val="00F44113"/>
    <w:rsid w:val="00F4427E"/>
    <w:rsid w:val="00F44576"/>
    <w:rsid w:val="00F44913"/>
    <w:rsid w:val="00F44992"/>
    <w:rsid w:val="00F44A3F"/>
    <w:rsid w:val="00F44A52"/>
    <w:rsid w:val="00F4504E"/>
    <w:rsid w:val="00F45CCB"/>
    <w:rsid w:val="00F45FBA"/>
    <w:rsid w:val="00F463B8"/>
    <w:rsid w:val="00F4643B"/>
    <w:rsid w:val="00F46522"/>
    <w:rsid w:val="00F46693"/>
    <w:rsid w:val="00F46A33"/>
    <w:rsid w:val="00F46B7C"/>
    <w:rsid w:val="00F473BC"/>
    <w:rsid w:val="00F476FC"/>
    <w:rsid w:val="00F47B6C"/>
    <w:rsid w:val="00F47C75"/>
    <w:rsid w:val="00F47D9F"/>
    <w:rsid w:val="00F47E08"/>
    <w:rsid w:val="00F47FB2"/>
    <w:rsid w:val="00F47FC6"/>
    <w:rsid w:val="00F501D1"/>
    <w:rsid w:val="00F505A6"/>
    <w:rsid w:val="00F507AF"/>
    <w:rsid w:val="00F50F29"/>
    <w:rsid w:val="00F510E3"/>
    <w:rsid w:val="00F5149B"/>
    <w:rsid w:val="00F516D8"/>
    <w:rsid w:val="00F517F3"/>
    <w:rsid w:val="00F51B95"/>
    <w:rsid w:val="00F51DCE"/>
    <w:rsid w:val="00F51DCF"/>
    <w:rsid w:val="00F51ECE"/>
    <w:rsid w:val="00F52517"/>
    <w:rsid w:val="00F52733"/>
    <w:rsid w:val="00F5276E"/>
    <w:rsid w:val="00F52806"/>
    <w:rsid w:val="00F52BE8"/>
    <w:rsid w:val="00F52CF2"/>
    <w:rsid w:val="00F52D6B"/>
    <w:rsid w:val="00F52E5C"/>
    <w:rsid w:val="00F52F62"/>
    <w:rsid w:val="00F5327B"/>
    <w:rsid w:val="00F53313"/>
    <w:rsid w:val="00F534AC"/>
    <w:rsid w:val="00F53541"/>
    <w:rsid w:val="00F53744"/>
    <w:rsid w:val="00F53AD9"/>
    <w:rsid w:val="00F53D9A"/>
    <w:rsid w:val="00F53EF9"/>
    <w:rsid w:val="00F53FD1"/>
    <w:rsid w:val="00F54ADF"/>
    <w:rsid w:val="00F54B75"/>
    <w:rsid w:val="00F54B9D"/>
    <w:rsid w:val="00F54D78"/>
    <w:rsid w:val="00F55345"/>
    <w:rsid w:val="00F553EE"/>
    <w:rsid w:val="00F555DE"/>
    <w:rsid w:val="00F559A1"/>
    <w:rsid w:val="00F55C1C"/>
    <w:rsid w:val="00F560E1"/>
    <w:rsid w:val="00F5619A"/>
    <w:rsid w:val="00F566F0"/>
    <w:rsid w:val="00F56ADA"/>
    <w:rsid w:val="00F56CAA"/>
    <w:rsid w:val="00F5733E"/>
    <w:rsid w:val="00F5740A"/>
    <w:rsid w:val="00F57836"/>
    <w:rsid w:val="00F57900"/>
    <w:rsid w:val="00F57A0F"/>
    <w:rsid w:val="00F57C48"/>
    <w:rsid w:val="00F57DEA"/>
    <w:rsid w:val="00F57EB9"/>
    <w:rsid w:val="00F601F9"/>
    <w:rsid w:val="00F6038B"/>
    <w:rsid w:val="00F603B8"/>
    <w:rsid w:val="00F60544"/>
    <w:rsid w:val="00F6067A"/>
    <w:rsid w:val="00F607B0"/>
    <w:rsid w:val="00F607E3"/>
    <w:rsid w:val="00F609C4"/>
    <w:rsid w:val="00F610BC"/>
    <w:rsid w:val="00F611CD"/>
    <w:rsid w:val="00F6122B"/>
    <w:rsid w:val="00F6124F"/>
    <w:rsid w:val="00F617C8"/>
    <w:rsid w:val="00F61ABC"/>
    <w:rsid w:val="00F6207F"/>
    <w:rsid w:val="00F620E1"/>
    <w:rsid w:val="00F623E8"/>
    <w:rsid w:val="00F62608"/>
    <w:rsid w:val="00F62733"/>
    <w:rsid w:val="00F6279C"/>
    <w:rsid w:val="00F62910"/>
    <w:rsid w:val="00F62B75"/>
    <w:rsid w:val="00F62E3D"/>
    <w:rsid w:val="00F62FE5"/>
    <w:rsid w:val="00F63051"/>
    <w:rsid w:val="00F63514"/>
    <w:rsid w:val="00F63819"/>
    <w:rsid w:val="00F63862"/>
    <w:rsid w:val="00F63983"/>
    <w:rsid w:val="00F63CF1"/>
    <w:rsid w:val="00F643E7"/>
    <w:rsid w:val="00F645BB"/>
    <w:rsid w:val="00F645DF"/>
    <w:rsid w:val="00F64AE3"/>
    <w:rsid w:val="00F64FB1"/>
    <w:rsid w:val="00F652B7"/>
    <w:rsid w:val="00F652F0"/>
    <w:rsid w:val="00F65417"/>
    <w:rsid w:val="00F658BB"/>
    <w:rsid w:val="00F6593F"/>
    <w:rsid w:val="00F662E0"/>
    <w:rsid w:val="00F66359"/>
    <w:rsid w:val="00F665EC"/>
    <w:rsid w:val="00F666AE"/>
    <w:rsid w:val="00F66CE8"/>
    <w:rsid w:val="00F66EDE"/>
    <w:rsid w:val="00F66FD4"/>
    <w:rsid w:val="00F6712C"/>
    <w:rsid w:val="00F67460"/>
    <w:rsid w:val="00F6788C"/>
    <w:rsid w:val="00F67DB7"/>
    <w:rsid w:val="00F67FDB"/>
    <w:rsid w:val="00F700E9"/>
    <w:rsid w:val="00F701A2"/>
    <w:rsid w:val="00F7065A"/>
    <w:rsid w:val="00F70809"/>
    <w:rsid w:val="00F70A05"/>
    <w:rsid w:val="00F70A53"/>
    <w:rsid w:val="00F70A7D"/>
    <w:rsid w:val="00F70AD0"/>
    <w:rsid w:val="00F70D40"/>
    <w:rsid w:val="00F71013"/>
    <w:rsid w:val="00F71044"/>
    <w:rsid w:val="00F71380"/>
    <w:rsid w:val="00F71455"/>
    <w:rsid w:val="00F717AE"/>
    <w:rsid w:val="00F71C0D"/>
    <w:rsid w:val="00F71C8D"/>
    <w:rsid w:val="00F71F37"/>
    <w:rsid w:val="00F71F43"/>
    <w:rsid w:val="00F7229C"/>
    <w:rsid w:val="00F7233C"/>
    <w:rsid w:val="00F72436"/>
    <w:rsid w:val="00F7243E"/>
    <w:rsid w:val="00F72447"/>
    <w:rsid w:val="00F72734"/>
    <w:rsid w:val="00F728D9"/>
    <w:rsid w:val="00F72E1D"/>
    <w:rsid w:val="00F72F52"/>
    <w:rsid w:val="00F73644"/>
    <w:rsid w:val="00F73645"/>
    <w:rsid w:val="00F737A6"/>
    <w:rsid w:val="00F7387D"/>
    <w:rsid w:val="00F73AF5"/>
    <w:rsid w:val="00F73B77"/>
    <w:rsid w:val="00F73C03"/>
    <w:rsid w:val="00F73E04"/>
    <w:rsid w:val="00F73E38"/>
    <w:rsid w:val="00F740F1"/>
    <w:rsid w:val="00F7434D"/>
    <w:rsid w:val="00F7435F"/>
    <w:rsid w:val="00F7488C"/>
    <w:rsid w:val="00F74E7C"/>
    <w:rsid w:val="00F74F1E"/>
    <w:rsid w:val="00F750FA"/>
    <w:rsid w:val="00F752C2"/>
    <w:rsid w:val="00F7558F"/>
    <w:rsid w:val="00F758C8"/>
    <w:rsid w:val="00F75A35"/>
    <w:rsid w:val="00F75B72"/>
    <w:rsid w:val="00F75BEE"/>
    <w:rsid w:val="00F75C9E"/>
    <w:rsid w:val="00F75F5E"/>
    <w:rsid w:val="00F763E9"/>
    <w:rsid w:val="00F76776"/>
    <w:rsid w:val="00F76BC1"/>
    <w:rsid w:val="00F76FB1"/>
    <w:rsid w:val="00F773AD"/>
    <w:rsid w:val="00F77535"/>
    <w:rsid w:val="00F77586"/>
    <w:rsid w:val="00F778AE"/>
    <w:rsid w:val="00F77C2A"/>
    <w:rsid w:val="00F77C4B"/>
    <w:rsid w:val="00F80019"/>
    <w:rsid w:val="00F801AA"/>
    <w:rsid w:val="00F8077D"/>
    <w:rsid w:val="00F8087A"/>
    <w:rsid w:val="00F80884"/>
    <w:rsid w:val="00F80F15"/>
    <w:rsid w:val="00F80F30"/>
    <w:rsid w:val="00F81025"/>
    <w:rsid w:val="00F811DE"/>
    <w:rsid w:val="00F813E0"/>
    <w:rsid w:val="00F81697"/>
    <w:rsid w:val="00F817AE"/>
    <w:rsid w:val="00F818A9"/>
    <w:rsid w:val="00F81BD8"/>
    <w:rsid w:val="00F81F1D"/>
    <w:rsid w:val="00F81F63"/>
    <w:rsid w:val="00F820FD"/>
    <w:rsid w:val="00F8236D"/>
    <w:rsid w:val="00F825B7"/>
    <w:rsid w:val="00F829B1"/>
    <w:rsid w:val="00F82A11"/>
    <w:rsid w:val="00F82B5C"/>
    <w:rsid w:val="00F82BB5"/>
    <w:rsid w:val="00F82DB8"/>
    <w:rsid w:val="00F83666"/>
    <w:rsid w:val="00F8367C"/>
    <w:rsid w:val="00F8375C"/>
    <w:rsid w:val="00F83BE3"/>
    <w:rsid w:val="00F83EE0"/>
    <w:rsid w:val="00F83EF0"/>
    <w:rsid w:val="00F8420A"/>
    <w:rsid w:val="00F84430"/>
    <w:rsid w:val="00F844FC"/>
    <w:rsid w:val="00F84561"/>
    <w:rsid w:val="00F84641"/>
    <w:rsid w:val="00F847E9"/>
    <w:rsid w:val="00F849D1"/>
    <w:rsid w:val="00F84A79"/>
    <w:rsid w:val="00F84B5C"/>
    <w:rsid w:val="00F84B5F"/>
    <w:rsid w:val="00F84E21"/>
    <w:rsid w:val="00F84E4B"/>
    <w:rsid w:val="00F85043"/>
    <w:rsid w:val="00F8509D"/>
    <w:rsid w:val="00F850F4"/>
    <w:rsid w:val="00F851B0"/>
    <w:rsid w:val="00F851B8"/>
    <w:rsid w:val="00F85355"/>
    <w:rsid w:val="00F85660"/>
    <w:rsid w:val="00F85702"/>
    <w:rsid w:val="00F8570C"/>
    <w:rsid w:val="00F85A72"/>
    <w:rsid w:val="00F85B20"/>
    <w:rsid w:val="00F86310"/>
    <w:rsid w:val="00F8665A"/>
    <w:rsid w:val="00F86873"/>
    <w:rsid w:val="00F86A30"/>
    <w:rsid w:val="00F876B3"/>
    <w:rsid w:val="00F876BD"/>
    <w:rsid w:val="00F878D0"/>
    <w:rsid w:val="00F87B1F"/>
    <w:rsid w:val="00F87BF0"/>
    <w:rsid w:val="00F87ED1"/>
    <w:rsid w:val="00F90053"/>
    <w:rsid w:val="00F90700"/>
    <w:rsid w:val="00F9090D"/>
    <w:rsid w:val="00F90CA2"/>
    <w:rsid w:val="00F91295"/>
    <w:rsid w:val="00F916A7"/>
    <w:rsid w:val="00F91A04"/>
    <w:rsid w:val="00F91C0D"/>
    <w:rsid w:val="00F91C98"/>
    <w:rsid w:val="00F91F11"/>
    <w:rsid w:val="00F92366"/>
    <w:rsid w:val="00F92394"/>
    <w:rsid w:val="00F924BF"/>
    <w:rsid w:val="00F92662"/>
    <w:rsid w:val="00F9275E"/>
    <w:rsid w:val="00F928AC"/>
    <w:rsid w:val="00F92921"/>
    <w:rsid w:val="00F9296D"/>
    <w:rsid w:val="00F92BF5"/>
    <w:rsid w:val="00F92DEB"/>
    <w:rsid w:val="00F931B1"/>
    <w:rsid w:val="00F93737"/>
    <w:rsid w:val="00F93889"/>
    <w:rsid w:val="00F93A0D"/>
    <w:rsid w:val="00F93D21"/>
    <w:rsid w:val="00F93DD8"/>
    <w:rsid w:val="00F93FD2"/>
    <w:rsid w:val="00F941A7"/>
    <w:rsid w:val="00F94897"/>
    <w:rsid w:val="00F94AE5"/>
    <w:rsid w:val="00F94B46"/>
    <w:rsid w:val="00F94C00"/>
    <w:rsid w:val="00F94D79"/>
    <w:rsid w:val="00F94E30"/>
    <w:rsid w:val="00F94F25"/>
    <w:rsid w:val="00F95035"/>
    <w:rsid w:val="00F950D9"/>
    <w:rsid w:val="00F951F7"/>
    <w:rsid w:val="00F952C3"/>
    <w:rsid w:val="00F9535C"/>
    <w:rsid w:val="00F954B4"/>
    <w:rsid w:val="00F954B9"/>
    <w:rsid w:val="00F95AE2"/>
    <w:rsid w:val="00F95E78"/>
    <w:rsid w:val="00F95F48"/>
    <w:rsid w:val="00F96385"/>
    <w:rsid w:val="00F96F5F"/>
    <w:rsid w:val="00F971CA"/>
    <w:rsid w:val="00F973AF"/>
    <w:rsid w:val="00F975EA"/>
    <w:rsid w:val="00F9767B"/>
    <w:rsid w:val="00F978F6"/>
    <w:rsid w:val="00F97BA1"/>
    <w:rsid w:val="00FA0159"/>
    <w:rsid w:val="00FA029F"/>
    <w:rsid w:val="00FA03D3"/>
    <w:rsid w:val="00FA06BF"/>
    <w:rsid w:val="00FA0A60"/>
    <w:rsid w:val="00FA0AD5"/>
    <w:rsid w:val="00FA0FBF"/>
    <w:rsid w:val="00FA119D"/>
    <w:rsid w:val="00FA12C0"/>
    <w:rsid w:val="00FA135F"/>
    <w:rsid w:val="00FA1495"/>
    <w:rsid w:val="00FA1628"/>
    <w:rsid w:val="00FA1BD5"/>
    <w:rsid w:val="00FA1F25"/>
    <w:rsid w:val="00FA20AE"/>
    <w:rsid w:val="00FA2731"/>
    <w:rsid w:val="00FA29EC"/>
    <w:rsid w:val="00FA2B94"/>
    <w:rsid w:val="00FA2EC4"/>
    <w:rsid w:val="00FA313D"/>
    <w:rsid w:val="00FA325B"/>
    <w:rsid w:val="00FA32B7"/>
    <w:rsid w:val="00FA39B4"/>
    <w:rsid w:val="00FA3E19"/>
    <w:rsid w:val="00FA3F87"/>
    <w:rsid w:val="00FA4581"/>
    <w:rsid w:val="00FA4599"/>
    <w:rsid w:val="00FA46C5"/>
    <w:rsid w:val="00FA46DB"/>
    <w:rsid w:val="00FA4B00"/>
    <w:rsid w:val="00FA52BE"/>
    <w:rsid w:val="00FA54CD"/>
    <w:rsid w:val="00FA5994"/>
    <w:rsid w:val="00FA603A"/>
    <w:rsid w:val="00FA62AD"/>
    <w:rsid w:val="00FA6419"/>
    <w:rsid w:val="00FA6587"/>
    <w:rsid w:val="00FA69E1"/>
    <w:rsid w:val="00FA70EC"/>
    <w:rsid w:val="00FA714E"/>
    <w:rsid w:val="00FA7177"/>
    <w:rsid w:val="00FA71E2"/>
    <w:rsid w:val="00FA72F8"/>
    <w:rsid w:val="00FA7812"/>
    <w:rsid w:val="00FA7872"/>
    <w:rsid w:val="00FA7930"/>
    <w:rsid w:val="00FA7C7B"/>
    <w:rsid w:val="00FA7FE2"/>
    <w:rsid w:val="00FB0024"/>
    <w:rsid w:val="00FB0094"/>
    <w:rsid w:val="00FB0216"/>
    <w:rsid w:val="00FB044E"/>
    <w:rsid w:val="00FB06C9"/>
    <w:rsid w:val="00FB0802"/>
    <w:rsid w:val="00FB108A"/>
    <w:rsid w:val="00FB130D"/>
    <w:rsid w:val="00FB13E3"/>
    <w:rsid w:val="00FB161F"/>
    <w:rsid w:val="00FB166A"/>
    <w:rsid w:val="00FB1B59"/>
    <w:rsid w:val="00FB1B81"/>
    <w:rsid w:val="00FB1CBD"/>
    <w:rsid w:val="00FB1D70"/>
    <w:rsid w:val="00FB2540"/>
    <w:rsid w:val="00FB275C"/>
    <w:rsid w:val="00FB2F3E"/>
    <w:rsid w:val="00FB3145"/>
    <w:rsid w:val="00FB33A1"/>
    <w:rsid w:val="00FB35BD"/>
    <w:rsid w:val="00FB3719"/>
    <w:rsid w:val="00FB37E8"/>
    <w:rsid w:val="00FB3A64"/>
    <w:rsid w:val="00FB3AB9"/>
    <w:rsid w:val="00FB3C52"/>
    <w:rsid w:val="00FB3CA4"/>
    <w:rsid w:val="00FB3CDD"/>
    <w:rsid w:val="00FB412A"/>
    <w:rsid w:val="00FB422A"/>
    <w:rsid w:val="00FB42F6"/>
    <w:rsid w:val="00FB45E6"/>
    <w:rsid w:val="00FB49F1"/>
    <w:rsid w:val="00FB4A91"/>
    <w:rsid w:val="00FB4B30"/>
    <w:rsid w:val="00FB4B6E"/>
    <w:rsid w:val="00FB4BE8"/>
    <w:rsid w:val="00FB4DB7"/>
    <w:rsid w:val="00FB50DD"/>
    <w:rsid w:val="00FB50E8"/>
    <w:rsid w:val="00FB5415"/>
    <w:rsid w:val="00FB5730"/>
    <w:rsid w:val="00FB5B51"/>
    <w:rsid w:val="00FB5BA8"/>
    <w:rsid w:val="00FB5C78"/>
    <w:rsid w:val="00FB5CC6"/>
    <w:rsid w:val="00FB62FB"/>
    <w:rsid w:val="00FB670A"/>
    <w:rsid w:val="00FB673B"/>
    <w:rsid w:val="00FB6782"/>
    <w:rsid w:val="00FB6985"/>
    <w:rsid w:val="00FB6A56"/>
    <w:rsid w:val="00FB6AAC"/>
    <w:rsid w:val="00FB6DFB"/>
    <w:rsid w:val="00FB6E6D"/>
    <w:rsid w:val="00FB76E6"/>
    <w:rsid w:val="00FB78C6"/>
    <w:rsid w:val="00FB7AE3"/>
    <w:rsid w:val="00FB7B92"/>
    <w:rsid w:val="00FB7C8A"/>
    <w:rsid w:val="00FB7D3F"/>
    <w:rsid w:val="00FB7D55"/>
    <w:rsid w:val="00FB7E07"/>
    <w:rsid w:val="00FC001E"/>
    <w:rsid w:val="00FC00AF"/>
    <w:rsid w:val="00FC042D"/>
    <w:rsid w:val="00FC0627"/>
    <w:rsid w:val="00FC0C8C"/>
    <w:rsid w:val="00FC12D1"/>
    <w:rsid w:val="00FC15CA"/>
    <w:rsid w:val="00FC166E"/>
    <w:rsid w:val="00FC193C"/>
    <w:rsid w:val="00FC1C4A"/>
    <w:rsid w:val="00FC2058"/>
    <w:rsid w:val="00FC20A4"/>
    <w:rsid w:val="00FC2598"/>
    <w:rsid w:val="00FC2B21"/>
    <w:rsid w:val="00FC305F"/>
    <w:rsid w:val="00FC3643"/>
    <w:rsid w:val="00FC366F"/>
    <w:rsid w:val="00FC388A"/>
    <w:rsid w:val="00FC38E8"/>
    <w:rsid w:val="00FC3C01"/>
    <w:rsid w:val="00FC3CE5"/>
    <w:rsid w:val="00FC427C"/>
    <w:rsid w:val="00FC459A"/>
    <w:rsid w:val="00FC45C6"/>
    <w:rsid w:val="00FC4942"/>
    <w:rsid w:val="00FC4A23"/>
    <w:rsid w:val="00FC4B8D"/>
    <w:rsid w:val="00FC4D26"/>
    <w:rsid w:val="00FC4D7E"/>
    <w:rsid w:val="00FC4D7F"/>
    <w:rsid w:val="00FC4D99"/>
    <w:rsid w:val="00FC505A"/>
    <w:rsid w:val="00FC528D"/>
    <w:rsid w:val="00FC591B"/>
    <w:rsid w:val="00FC5C16"/>
    <w:rsid w:val="00FC5D19"/>
    <w:rsid w:val="00FC5DB3"/>
    <w:rsid w:val="00FC6C69"/>
    <w:rsid w:val="00FC6E61"/>
    <w:rsid w:val="00FC71E2"/>
    <w:rsid w:val="00FC73BB"/>
    <w:rsid w:val="00FC749E"/>
    <w:rsid w:val="00FC78FC"/>
    <w:rsid w:val="00FC7979"/>
    <w:rsid w:val="00FC7B03"/>
    <w:rsid w:val="00FD0711"/>
    <w:rsid w:val="00FD075F"/>
    <w:rsid w:val="00FD08F3"/>
    <w:rsid w:val="00FD0986"/>
    <w:rsid w:val="00FD0AB8"/>
    <w:rsid w:val="00FD0D5F"/>
    <w:rsid w:val="00FD0E40"/>
    <w:rsid w:val="00FD10C5"/>
    <w:rsid w:val="00FD146C"/>
    <w:rsid w:val="00FD1968"/>
    <w:rsid w:val="00FD1B11"/>
    <w:rsid w:val="00FD1BC8"/>
    <w:rsid w:val="00FD1C72"/>
    <w:rsid w:val="00FD2170"/>
    <w:rsid w:val="00FD24A3"/>
    <w:rsid w:val="00FD2772"/>
    <w:rsid w:val="00FD286A"/>
    <w:rsid w:val="00FD2C0C"/>
    <w:rsid w:val="00FD2D26"/>
    <w:rsid w:val="00FD306B"/>
    <w:rsid w:val="00FD30D7"/>
    <w:rsid w:val="00FD320A"/>
    <w:rsid w:val="00FD32F7"/>
    <w:rsid w:val="00FD3479"/>
    <w:rsid w:val="00FD3919"/>
    <w:rsid w:val="00FD3A13"/>
    <w:rsid w:val="00FD3E31"/>
    <w:rsid w:val="00FD4201"/>
    <w:rsid w:val="00FD4254"/>
    <w:rsid w:val="00FD4631"/>
    <w:rsid w:val="00FD471C"/>
    <w:rsid w:val="00FD48EC"/>
    <w:rsid w:val="00FD4C88"/>
    <w:rsid w:val="00FD4D9E"/>
    <w:rsid w:val="00FD4E1E"/>
    <w:rsid w:val="00FD5200"/>
    <w:rsid w:val="00FD5329"/>
    <w:rsid w:val="00FD5577"/>
    <w:rsid w:val="00FD5A08"/>
    <w:rsid w:val="00FD5BEE"/>
    <w:rsid w:val="00FD5C45"/>
    <w:rsid w:val="00FD6235"/>
    <w:rsid w:val="00FD65DF"/>
    <w:rsid w:val="00FD6628"/>
    <w:rsid w:val="00FD678F"/>
    <w:rsid w:val="00FD6A15"/>
    <w:rsid w:val="00FD6DE0"/>
    <w:rsid w:val="00FD6E93"/>
    <w:rsid w:val="00FD7235"/>
    <w:rsid w:val="00FD7347"/>
    <w:rsid w:val="00FD7475"/>
    <w:rsid w:val="00FD7629"/>
    <w:rsid w:val="00FD76E7"/>
    <w:rsid w:val="00FD7AB9"/>
    <w:rsid w:val="00FD7C2E"/>
    <w:rsid w:val="00FD7C63"/>
    <w:rsid w:val="00FD7FDA"/>
    <w:rsid w:val="00FE0089"/>
    <w:rsid w:val="00FE043E"/>
    <w:rsid w:val="00FE04D0"/>
    <w:rsid w:val="00FE0555"/>
    <w:rsid w:val="00FE0560"/>
    <w:rsid w:val="00FE07F5"/>
    <w:rsid w:val="00FE0A06"/>
    <w:rsid w:val="00FE0BC8"/>
    <w:rsid w:val="00FE1185"/>
    <w:rsid w:val="00FE19BE"/>
    <w:rsid w:val="00FE1D8D"/>
    <w:rsid w:val="00FE1E43"/>
    <w:rsid w:val="00FE1E73"/>
    <w:rsid w:val="00FE1F90"/>
    <w:rsid w:val="00FE2011"/>
    <w:rsid w:val="00FE21D1"/>
    <w:rsid w:val="00FE22AD"/>
    <w:rsid w:val="00FE2491"/>
    <w:rsid w:val="00FE2647"/>
    <w:rsid w:val="00FE2AF9"/>
    <w:rsid w:val="00FE2BEE"/>
    <w:rsid w:val="00FE35E2"/>
    <w:rsid w:val="00FE3759"/>
    <w:rsid w:val="00FE3832"/>
    <w:rsid w:val="00FE388A"/>
    <w:rsid w:val="00FE38C3"/>
    <w:rsid w:val="00FE3979"/>
    <w:rsid w:val="00FE3FDF"/>
    <w:rsid w:val="00FE4369"/>
    <w:rsid w:val="00FE4937"/>
    <w:rsid w:val="00FE50C8"/>
    <w:rsid w:val="00FE5227"/>
    <w:rsid w:val="00FE58D3"/>
    <w:rsid w:val="00FE596D"/>
    <w:rsid w:val="00FE59B4"/>
    <w:rsid w:val="00FE5B8F"/>
    <w:rsid w:val="00FE5BFB"/>
    <w:rsid w:val="00FE5C55"/>
    <w:rsid w:val="00FE5EA3"/>
    <w:rsid w:val="00FE5F3D"/>
    <w:rsid w:val="00FE5F58"/>
    <w:rsid w:val="00FE6166"/>
    <w:rsid w:val="00FE620D"/>
    <w:rsid w:val="00FE6948"/>
    <w:rsid w:val="00FE6C23"/>
    <w:rsid w:val="00FE72E3"/>
    <w:rsid w:val="00FE736A"/>
    <w:rsid w:val="00FE75E5"/>
    <w:rsid w:val="00FE7AE5"/>
    <w:rsid w:val="00FE7DE2"/>
    <w:rsid w:val="00FE7DF9"/>
    <w:rsid w:val="00FE7E6C"/>
    <w:rsid w:val="00FF0071"/>
    <w:rsid w:val="00FF008C"/>
    <w:rsid w:val="00FF0502"/>
    <w:rsid w:val="00FF075A"/>
    <w:rsid w:val="00FF0BA0"/>
    <w:rsid w:val="00FF0C1C"/>
    <w:rsid w:val="00FF0C6C"/>
    <w:rsid w:val="00FF0D5D"/>
    <w:rsid w:val="00FF0DB6"/>
    <w:rsid w:val="00FF0F15"/>
    <w:rsid w:val="00FF0F4B"/>
    <w:rsid w:val="00FF136E"/>
    <w:rsid w:val="00FF17B3"/>
    <w:rsid w:val="00FF17EF"/>
    <w:rsid w:val="00FF1B44"/>
    <w:rsid w:val="00FF203D"/>
    <w:rsid w:val="00FF292C"/>
    <w:rsid w:val="00FF2B04"/>
    <w:rsid w:val="00FF2D48"/>
    <w:rsid w:val="00FF2D4C"/>
    <w:rsid w:val="00FF3308"/>
    <w:rsid w:val="00FF3A13"/>
    <w:rsid w:val="00FF42F2"/>
    <w:rsid w:val="00FF4461"/>
    <w:rsid w:val="00FF4722"/>
    <w:rsid w:val="00FF49C4"/>
    <w:rsid w:val="00FF4A17"/>
    <w:rsid w:val="00FF4A7F"/>
    <w:rsid w:val="00FF4D44"/>
    <w:rsid w:val="00FF4DFB"/>
    <w:rsid w:val="00FF5601"/>
    <w:rsid w:val="00FF5641"/>
    <w:rsid w:val="00FF572C"/>
    <w:rsid w:val="00FF57C8"/>
    <w:rsid w:val="00FF5F59"/>
    <w:rsid w:val="00FF62A1"/>
    <w:rsid w:val="00FF64BD"/>
    <w:rsid w:val="00FF6627"/>
    <w:rsid w:val="00FF66D6"/>
    <w:rsid w:val="00FF694F"/>
    <w:rsid w:val="00FF69D6"/>
    <w:rsid w:val="00FF6A17"/>
    <w:rsid w:val="00FF6B8E"/>
    <w:rsid w:val="00FF7042"/>
    <w:rsid w:val="00FF71B3"/>
    <w:rsid w:val="00FF727E"/>
    <w:rsid w:val="00FF74B6"/>
    <w:rsid w:val="00FF770D"/>
    <w:rsid w:val="00FF78AE"/>
    <w:rsid w:val="00FF78E2"/>
    <w:rsid w:val="00FF7F0B"/>
    <w:rsid w:val="01097E5F"/>
    <w:rsid w:val="010A68E6"/>
    <w:rsid w:val="0112390A"/>
    <w:rsid w:val="0116B746"/>
    <w:rsid w:val="01177A30"/>
    <w:rsid w:val="011C486D"/>
    <w:rsid w:val="011E2190"/>
    <w:rsid w:val="011EDAB2"/>
    <w:rsid w:val="0121F665"/>
    <w:rsid w:val="01258A30"/>
    <w:rsid w:val="012FC914"/>
    <w:rsid w:val="01348327"/>
    <w:rsid w:val="013AC12F"/>
    <w:rsid w:val="013F6289"/>
    <w:rsid w:val="0144661B"/>
    <w:rsid w:val="0145AE61"/>
    <w:rsid w:val="0148B0F2"/>
    <w:rsid w:val="0148D35F"/>
    <w:rsid w:val="01494E6E"/>
    <w:rsid w:val="0149DFC5"/>
    <w:rsid w:val="014A8DAB"/>
    <w:rsid w:val="0150AF25"/>
    <w:rsid w:val="0151B6D7"/>
    <w:rsid w:val="0151D34F"/>
    <w:rsid w:val="015455E4"/>
    <w:rsid w:val="0155E4D3"/>
    <w:rsid w:val="015731BA"/>
    <w:rsid w:val="0157F386"/>
    <w:rsid w:val="015839A1"/>
    <w:rsid w:val="015F278C"/>
    <w:rsid w:val="015F88E7"/>
    <w:rsid w:val="016251A6"/>
    <w:rsid w:val="01669655"/>
    <w:rsid w:val="016C1384"/>
    <w:rsid w:val="01722D3D"/>
    <w:rsid w:val="01738348"/>
    <w:rsid w:val="0182A62F"/>
    <w:rsid w:val="01856054"/>
    <w:rsid w:val="01872AA5"/>
    <w:rsid w:val="018DDC6C"/>
    <w:rsid w:val="018E28BE"/>
    <w:rsid w:val="018F87AB"/>
    <w:rsid w:val="0192975C"/>
    <w:rsid w:val="01971CC5"/>
    <w:rsid w:val="01A2760C"/>
    <w:rsid w:val="01A34820"/>
    <w:rsid w:val="01A4AAD7"/>
    <w:rsid w:val="01A63CC6"/>
    <w:rsid w:val="01AB384D"/>
    <w:rsid w:val="01B11546"/>
    <w:rsid w:val="01B23860"/>
    <w:rsid w:val="01B3414C"/>
    <w:rsid w:val="01B589A1"/>
    <w:rsid w:val="01BA0538"/>
    <w:rsid w:val="01BDFC34"/>
    <w:rsid w:val="01C549DF"/>
    <w:rsid w:val="01DA59AB"/>
    <w:rsid w:val="01E290A0"/>
    <w:rsid w:val="01E376E5"/>
    <w:rsid w:val="01EC575C"/>
    <w:rsid w:val="01EDE5D6"/>
    <w:rsid w:val="01F086D7"/>
    <w:rsid w:val="01F97C5B"/>
    <w:rsid w:val="01FB0DEA"/>
    <w:rsid w:val="01FD918F"/>
    <w:rsid w:val="020D8412"/>
    <w:rsid w:val="0214B675"/>
    <w:rsid w:val="02199201"/>
    <w:rsid w:val="021C4AB2"/>
    <w:rsid w:val="0220AAFA"/>
    <w:rsid w:val="0228FAA5"/>
    <w:rsid w:val="022ADBD1"/>
    <w:rsid w:val="022D9B33"/>
    <w:rsid w:val="02308CD4"/>
    <w:rsid w:val="024AE920"/>
    <w:rsid w:val="024E452E"/>
    <w:rsid w:val="0253C921"/>
    <w:rsid w:val="0260FD4C"/>
    <w:rsid w:val="026AB70B"/>
    <w:rsid w:val="026FD243"/>
    <w:rsid w:val="0277A944"/>
    <w:rsid w:val="0278EA9B"/>
    <w:rsid w:val="027CCA9A"/>
    <w:rsid w:val="029047AE"/>
    <w:rsid w:val="0292D058"/>
    <w:rsid w:val="029301A2"/>
    <w:rsid w:val="029BF4B3"/>
    <w:rsid w:val="02A17B8E"/>
    <w:rsid w:val="02AA36C7"/>
    <w:rsid w:val="02AB56DF"/>
    <w:rsid w:val="02B367AB"/>
    <w:rsid w:val="02BC407B"/>
    <w:rsid w:val="02C441CF"/>
    <w:rsid w:val="02CE1C13"/>
    <w:rsid w:val="02D1F6FE"/>
    <w:rsid w:val="02E3ABF3"/>
    <w:rsid w:val="02EA29EF"/>
    <w:rsid w:val="02F20ACD"/>
    <w:rsid w:val="02F9BC39"/>
    <w:rsid w:val="02FDDA5D"/>
    <w:rsid w:val="0301DAE9"/>
    <w:rsid w:val="0314C243"/>
    <w:rsid w:val="0318E129"/>
    <w:rsid w:val="03193D8A"/>
    <w:rsid w:val="031976C4"/>
    <w:rsid w:val="031AB78B"/>
    <w:rsid w:val="0322BCAB"/>
    <w:rsid w:val="03261590"/>
    <w:rsid w:val="03280134"/>
    <w:rsid w:val="032E8D9C"/>
    <w:rsid w:val="033016E1"/>
    <w:rsid w:val="033B2538"/>
    <w:rsid w:val="033B53DE"/>
    <w:rsid w:val="0341EB5B"/>
    <w:rsid w:val="03525429"/>
    <w:rsid w:val="0366CC5D"/>
    <w:rsid w:val="0367A533"/>
    <w:rsid w:val="036A95EF"/>
    <w:rsid w:val="036C2396"/>
    <w:rsid w:val="03729188"/>
    <w:rsid w:val="0379C7FB"/>
    <w:rsid w:val="037F4746"/>
    <w:rsid w:val="038219C1"/>
    <w:rsid w:val="03866CE1"/>
    <w:rsid w:val="0388FA39"/>
    <w:rsid w:val="03941D1C"/>
    <w:rsid w:val="039D8DB9"/>
    <w:rsid w:val="03A361C8"/>
    <w:rsid w:val="03AAC576"/>
    <w:rsid w:val="03AE3927"/>
    <w:rsid w:val="03AF1569"/>
    <w:rsid w:val="03B4FB9C"/>
    <w:rsid w:val="03B8D9CA"/>
    <w:rsid w:val="03BC55DA"/>
    <w:rsid w:val="03BE3101"/>
    <w:rsid w:val="03BEF0B6"/>
    <w:rsid w:val="03C82170"/>
    <w:rsid w:val="03D41F84"/>
    <w:rsid w:val="03D56E01"/>
    <w:rsid w:val="03D99A3E"/>
    <w:rsid w:val="03E77CE7"/>
    <w:rsid w:val="03E9681D"/>
    <w:rsid w:val="03EE77EB"/>
    <w:rsid w:val="03F20D51"/>
    <w:rsid w:val="03F2BDC0"/>
    <w:rsid w:val="03FAA41E"/>
    <w:rsid w:val="04151C74"/>
    <w:rsid w:val="042528FF"/>
    <w:rsid w:val="042536C0"/>
    <w:rsid w:val="042BB8E2"/>
    <w:rsid w:val="042D745E"/>
    <w:rsid w:val="043D344F"/>
    <w:rsid w:val="043D624C"/>
    <w:rsid w:val="043F9996"/>
    <w:rsid w:val="04411F21"/>
    <w:rsid w:val="04512DFD"/>
    <w:rsid w:val="0451A431"/>
    <w:rsid w:val="0454B54D"/>
    <w:rsid w:val="045C56C9"/>
    <w:rsid w:val="0470317D"/>
    <w:rsid w:val="0475151C"/>
    <w:rsid w:val="04795AE4"/>
    <w:rsid w:val="047A2514"/>
    <w:rsid w:val="047BC10D"/>
    <w:rsid w:val="047D0962"/>
    <w:rsid w:val="048300B7"/>
    <w:rsid w:val="04840CDD"/>
    <w:rsid w:val="04915D33"/>
    <w:rsid w:val="04AE9E81"/>
    <w:rsid w:val="04B04C42"/>
    <w:rsid w:val="04B3E01A"/>
    <w:rsid w:val="04B5988A"/>
    <w:rsid w:val="04B85906"/>
    <w:rsid w:val="04C10952"/>
    <w:rsid w:val="04D21AAC"/>
    <w:rsid w:val="04D4B2FC"/>
    <w:rsid w:val="04DDAFDF"/>
    <w:rsid w:val="04F2C660"/>
    <w:rsid w:val="04F3287E"/>
    <w:rsid w:val="04F432FB"/>
    <w:rsid w:val="04F54ED4"/>
    <w:rsid w:val="04F55CF6"/>
    <w:rsid w:val="04FA8417"/>
    <w:rsid w:val="04FC36F2"/>
    <w:rsid w:val="04FD1153"/>
    <w:rsid w:val="05037859"/>
    <w:rsid w:val="05055258"/>
    <w:rsid w:val="05064260"/>
    <w:rsid w:val="05128071"/>
    <w:rsid w:val="05183B68"/>
    <w:rsid w:val="05197673"/>
    <w:rsid w:val="0519926E"/>
    <w:rsid w:val="05337082"/>
    <w:rsid w:val="05371140"/>
    <w:rsid w:val="053D1D08"/>
    <w:rsid w:val="054E39BC"/>
    <w:rsid w:val="05504854"/>
    <w:rsid w:val="0550BF4A"/>
    <w:rsid w:val="0553F32B"/>
    <w:rsid w:val="056DA141"/>
    <w:rsid w:val="056E6B3B"/>
    <w:rsid w:val="0570E2C4"/>
    <w:rsid w:val="057EA4EE"/>
    <w:rsid w:val="05810070"/>
    <w:rsid w:val="058229C1"/>
    <w:rsid w:val="0582C570"/>
    <w:rsid w:val="0590F1FC"/>
    <w:rsid w:val="0592F1C8"/>
    <w:rsid w:val="0594491D"/>
    <w:rsid w:val="059D2140"/>
    <w:rsid w:val="05B6B2B1"/>
    <w:rsid w:val="05BCFEF2"/>
    <w:rsid w:val="05CCC11E"/>
    <w:rsid w:val="05D30D3A"/>
    <w:rsid w:val="05E22448"/>
    <w:rsid w:val="05EE0F2B"/>
    <w:rsid w:val="05EF969C"/>
    <w:rsid w:val="05F1EB1F"/>
    <w:rsid w:val="05F47292"/>
    <w:rsid w:val="05F53BC8"/>
    <w:rsid w:val="05F97DC5"/>
    <w:rsid w:val="05FBB3E6"/>
    <w:rsid w:val="05FCF98A"/>
    <w:rsid w:val="0604354B"/>
    <w:rsid w:val="060AC778"/>
    <w:rsid w:val="061912F7"/>
    <w:rsid w:val="061BB64D"/>
    <w:rsid w:val="061BB80F"/>
    <w:rsid w:val="062BC561"/>
    <w:rsid w:val="0636D556"/>
    <w:rsid w:val="0636FE99"/>
    <w:rsid w:val="0643237A"/>
    <w:rsid w:val="064935AF"/>
    <w:rsid w:val="064F0B31"/>
    <w:rsid w:val="0659348B"/>
    <w:rsid w:val="06597BD5"/>
    <w:rsid w:val="065B3FCE"/>
    <w:rsid w:val="06665978"/>
    <w:rsid w:val="066E0808"/>
    <w:rsid w:val="06762FFE"/>
    <w:rsid w:val="067B4CC5"/>
    <w:rsid w:val="067CFF2E"/>
    <w:rsid w:val="06803C18"/>
    <w:rsid w:val="068A3021"/>
    <w:rsid w:val="068AA3E6"/>
    <w:rsid w:val="06A46D58"/>
    <w:rsid w:val="06AA6257"/>
    <w:rsid w:val="06AB3BD2"/>
    <w:rsid w:val="06B38FE4"/>
    <w:rsid w:val="06B5C1AA"/>
    <w:rsid w:val="06B90A70"/>
    <w:rsid w:val="06BAEE80"/>
    <w:rsid w:val="06BAFC69"/>
    <w:rsid w:val="06BE30D0"/>
    <w:rsid w:val="06BF5D83"/>
    <w:rsid w:val="06C722C8"/>
    <w:rsid w:val="06CF22D6"/>
    <w:rsid w:val="06D1A915"/>
    <w:rsid w:val="06DB9720"/>
    <w:rsid w:val="06DC66AC"/>
    <w:rsid w:val="06DE544E"/>
    <w:rsid w:val="06E303C6"/>
    <w:rsid w:val="06EC96AB"/>
    <w:rsid w:val="06F224A2"/>
    <w:rsid w:val="06F45015"/>
    <w:rsid w:val="06F580F0"/>
    <w:rsid w:val="06F8AEAC"/>
    <w:rsid w:val="06FB320B"/>
    <w:rsid w:val="06FF8AB2"/>
    <w:rsid w:val="070C6ABB"/>
    <w:rsid w:val="070E8C73"/>
    <w:rsid w:val="07184DA4"/>
    <w:rsid w:val="071F35A2"/>
    <w:rsid w:val="07256626"/>
    <w:rsid w:val="0728C04C"/>
    <w:rsid w:val="072BA1FC"/>
    <w:rsid w:val="072BFEC9"/>
    <w:rsid w:val="072C0BA3"/>
    <w:rsid w:val="072FC9E3"/>
    <w:rsid w:val="073803A7"/>
    <w:rsid w:val="07388263"/>
    <w:rsid w:val="07390DF0"/>
    <w:rsid w:val="073CE832"/>
    <w:rsid w:val="0747E056"/>
    <w:rsid w:val="074B49B3"/>
    <w:rsid w:val="074E6F70"/>
    <w:rsid w:val="076165E1"/>
    <w:rsid w:val="0767CA36"/>
    <w:rsid w:val="076C9299"/>
    <w:rsid w:val="077287DC"/>
    <w:rsid w:val="078049A7"/>
    <w:rsid w:val="07860659"/>
    <w:rsid w:val="0790E983"/>
    <w:rsid w:val="07960555"/>
    <w:rsid w:val="079B8EC2"/>
    <w:rsid w:val="07ACAB8E"/>
    <w:rsid w:val="07B1F9E1"/>
    <w:rsid w:val="07BDC6A9"/>
    <w:rsid w:val="07BEE0A0"/>
    <w:rsid w:val="07C23C9E"/>
    <w:rsid w:val="07C3E3CC"/>
    <w:rsid w:val="07C92D85"/>
    <w:rsid w:val="07D27D69"/>
    <w:rsid w:val="07D8D26E"/>
    <w:rsid w:val="07E239E8"/>
    <w:rsid w:val="07E50C51"/>
    <w:rsid w:val="07E6B5BA"/>
    <w:rsid w:val="07E866F2"/>
    <w:rsid w:val="07EFF384"/>
    <w:rsid w:val="07F72C2C"/>
    <w:rsid w:val="07FDFDB1"/>
    <w:rsid w:val="08018535"/>
    <w:rsid w:val="0801AF8A"/>
    <w:rsid w:val="0809377F"/>
    <w:rsid w:val="081A418C"/>
    <w:rsid w:val="08207435"/>
    <w:rsid w:val="082D8AA3"/>
    <w:rsid w:val="083C6309"/>
    <w:rsid w:val="08476747"/>
    <w:rsid w:val="08509863"/>
    <w:rsid w:val="08536D01"/>
    <w:rsid w:val="085E262E"/>
    <w:rsid w:val="085E32C9"/>
    <w:rsid w:val="085F70D1"/>
    <w:rsid w:val="0862A9B9"/>
    <w:rsid w:val="08674F9D"/>
    <w:rsid w:val="086951D0"/>
    <w:rsid w:val="086E0064"/>
    <w:rsid w:val="08897739"/>
    <w:rsid w:val="088ACA5C"/>
    <w:rsid w:val="089ADAE6"/>
    <w:rsid w:val="08A2695F"/>
    <w:rsid w:val="08AE2233"/>
    <w:rsid w:val="08BD1F62"/>
    <w:rsid w:val="08C53A02"/>
    <w:rsid w:val="08C975FA"/>
    <w:rsid w:val="08CB7DD1"/>
    <w:rsid w:val="08D44CD0"/>
    <w:rsid w:val="08DA4A22"/>
    <w:rsid w:val="08DC9F68"/>
    <w:rsid w:val="08DCA1D4"/>
    <w:rsid w:val="08DD1736"/>
    <w:rsid w:val="08E1D32A"/>
    <w:rsid w:val="08E50509"/>
    <w:rsid w:val="08E75DAE"/>
    <w:rsid w:val="08EE5373"/>
    <w:rsid w:val="08EE7896"/>
    <w:rsid w:val="08F57198"/>
    <w:rsid w:val="08F5DBFB"/>
    <w:rsid w:val="08F833D1"/>
    <w:rsid w:val="0904E710"/>
    <w:rsid w:val="0906B5B1"/>
    <w:rsid w:val="0910A313"/>
    <w:rsid w:val="0924097B"/>
    <w:rsid w:val="092B0CBD"/>
    <w:rsid w:val="092DAA6D"/>
    <w:rsid w:val="0933066E"/>
    <w:rsid w:val="09375AAB"/>
    <w:rsid w:val="0944E59D"/>
    <w:rsid w:val="094742A8"/>
    <w:rsid w:val="09496852"/>
    <w:rsid w:val="095B0054"/>
    <w:rsid w:val="095B610C"/>
    <w:rsid w:val="0967A61F"/>
    <w:rsid w:val="096E7618"/>
    <w:rsid w:val="0973D932"/>
    <w:rsid w:val="0976C245"/>
    <w:rsid w:val="097ABE03"/>
    <w:rsid w:val="097B13DE"/>
    <w:rsid w:val="097C577B"/>
    <w:rsid w:val="0981E781"/>
    <w:rsid w:val="0985F994"/>
    <w:rsid w:val="098CD436"/>
    <w:rsid w:val="098FB23E"/>
    <w:rsid w:val="09940F48"/>
    <w:rsid w:val="09996568"/>
    <w:rsid w:val="099F6B29"/>
    <w:rsid w:val="09A293B9"/>
    <w:rsid w:val="09AFC38D"/>
    <w:rsid w:val="09B04D1E"/>
    <w:rsid w:val="09B19111"/>
    <w:rsid w:val="09B57E38"/>
    <w:rsid w:val="09B6ED52"/>
    <w:rsid w:val="09B7619C"/>
    <w:rsid w:val="09BD41D9"/>
    <w:rsid w:val="09C59B6A"/>
    <w:rsid w:val="09CF95AE"/>
    <w:rsid w:val="09D57AC8"/>
    <w:rsid w:val="09DE1A81"/>
    <w:rsid w:val="09DF6398"/>
    <w:rsid w:val="09E90D4D"/>
    <w:rsid w:val="09F1FEC2"/>
    <w:rsid w:val="09F8B3DB"/>
    <w:rsid w:val="09FBC815"/>
    <w:rsid w:val="09FF6E25"/>
    <w:rsid w:val="0A00B109"/>
    <w:rsid w:val="0A021B30"/>
    <w:rsid w:val="0A037789"/>
    <w:rsid w:val="0A0BF07D"/>
    <w:rsid w:val="0A0EA3DD"/>
    <w:rsid w:val="0A127335"/>
    <w:rsid w:val="0A186FAB"/>
    <w:rsid w:val="0A1B2605"/>
    <w:rsid w:val="0A1B3DC1"/>
    <w:rsid w:val="0A1C1BC2"/>
    <w:rsid w:val="0A202331"/>
    <w:rsid w:val="0A21AADF"/>
    <w:rsid w:val="0A22867B"/>
    <w:rsid w:val="0A23CFA7"/>
    <w:rsid w:val="0A287713"/>
    <w:rsid w:val="0A2A66F7"/>
    <w:rsid w:val="0A2F53FC"/>
    <w:rsid w:val="0A311003"/>
    <w:rsid w:val="0A3860C1"/>
    <w:rsid w:val="0A3FDCD9"/>
    <w:rsid w:val="0A49ADBF"/>
    <w:rsid w:val="0A49B697"/>
    <w:rsid w:val="0A4AF4B3"/>
    <w:rsid w:val="0A51CEDD"/>
    <w:rsid w:val="0A5648F4"/>
    <w:rsid w:val="0A5BC76A"/>
    <w:rsid w:val="0A662048"/>
    <w:rsid w:val="0A69CD68"/>
    <w:rsid w:val="0A70DB0D"/>
    <w:rsid w:val="0A7230B8"/>
    <w:rsid w:val="0A767EFF"/>
    <w:rsid w:val="0A7C3E06"/>
    <w:rsid w:val="0A87F34B"/>
    <w:rsid w:val="0A885B9D"/>
    <w:rsid w:val="0A9B3C9F"/>
    <w:rsid w:val="0A9C912B"/>
    <w:rsid w:val="0ABDDC0B"/>
    <w:rsid w:val="0ACBAB46"/>
    <w:rsid w:val="0ACE5FB8"/>
    <w:rsid w:val="0AD52955"/>
    <w:rsid w:val="0ADEF8F3"/>
    <w:rsid w:val="0AE8F4F2"/>
    <w:rsid w:val="0AF11E1C"/>
    <w:rsid w:val="0AF12746"/>
    <w:rsid w:val="0B00123D"/>
    <w:rsid w:val="0B02286E"/>
    <w:rsid w:val="0B0454A3"/>
    <w:rsid w:val="0B06ED39"/>
    <w:rsid w:val="0B0DEF84"/>
    <w:rsid w:val="0B10AA0E"/>
    <w:rsid w:val="0B158CF0"/>
    <w:rsid w:val="0B1B989B"/>
    <w:rsid w:val="0B1E567C"/>
    <w:rsid w:val="0B1FA616"/>
    <w:rsid w:val="0B200458"/>
    <w:rsid w:val="0B209597"/>
    <w:rsid w:val="0B248A03"/>
    <w:rsid w:val="0B2735DC"/>
    <w:rsid w:val="0B2AF10D"/>
    <w:rsid w:val="0B2B63F7"/>
    <w:rsid w:val="0B2D85FA"/>
    <w:rsid w:val="0B31EC38"/>
    <w:rsid w:val="0B32E283"/>
    <w:rsid w:val="0B3D7879"/>
    <w:rsid w:val="0B40E5D3"/>
    <w:rsid w:val="0B4A34D7"/>
    <w:rsid w:val="0B4A67F9"/>
    <w:rsid w:val="0B5CD12D"/>
    <w:rsid w:val="0B5D1902"/>
    <w:rsid w:val="0B6CEB3D"/>
    <w:rsid w:val="0B6E5B32"/>
    <w:rsid w:val="0B746F48"/>
    <w:rsid w:val="0B74BA05"/>
    <w:rsid w:val="0B7C6CEA"/>
    <w:rsid w:val="0B7D68B2"/>
    <w:rsid w:val="0B8B7DF5"/>
    <w:rsid w:val="0B8E0939"/>
    <w:rsid w:val="0B8ED2EC"/>
    <w:rsid w:val="0B9679D8"/>
    <w:rsid w:val="0B9C9627"/>
    <w:rsid w:val="0BA540FF"/>
    <w:rsid w:val="0BBDE070"/>
    <w:rsid w:val="0BBF8956"/>
    <w:rsid w:val="0BC25E77"/>
    <w:rsid w:val="0BC32E80"/>
    <w:rsid w:val="0BCC4347"/>
    <w:rsid w:val="0BD34746"/>
    <w:rsid w:val="0BD3DC6F"/>
    <w:rsid w:val="0BD6E7D3"/>
    <w:rsid w:val="0BE18A22"/>
    <w:rsid w:val="0BEAF873"/>
    <w:rsid w:val="0BFDB6D2"/>
    <w:rsid w:val="0C00129C"/>
    <w:rsid w:val="0C015D5C"/>
    <w:rsid w:val="0C0AF8BD"/>
    <w:rsid w:val="0C0D23CC"/>
    <w:rsid w:val="0C116898"/>
    <w:rsid w:val="0C2319CA"/>
    <w:rsid w:val="0C2779AE"/>
    <w:rsid w:val="0C287169"/>
    <w:rsid w:val="0C2B942D"/>
    <w:rsid w:val="0C2DA307"/>
    <w:rsid w:val="0C38D7CA"/>
    <w:rsid w:val="0C3A1F4C"/>
    <w:rsid w:val="0C427948"/>
    <w:rsid w:val="0C472E40"/>
    <w:rsid w:val="0C491945"/>
    <w:rsid w:val="0C4E68C5"/>
    <w:rsid w:val="0C5477A0"/>
    <w:rsid w:val="0C5CBD3B"/>
    <w:rsid w:val="0C5E713A"/>
    <w:rsid w:val="0C6AD053"/>
    <w:rsid w:val="0C6B9A58"/>
    <w:rsid w:val="0C6D606F"/>
    <w:rsid w:val="0C70CCBA"/>
    <w:rsid w:val="0C726B65"/>
    <w:rsid w:val="0C7D8869"/>
    <w:rsid w:val="0C80A02E"/>
    <w:rsid w:val="0C83F593"/>
    <w:rsid w:val="0C846B40"/>
    <w:rsid w:val="0C847942"/>
    <w:rsid w:val="0C8F8DBF"/>
    <w:rsid w:val="0C9738CD"/>
    <w:rsid w:val="0C97A922"/>
    <w:rsid w:val="0C9F860A"/>
    <w:rsid w:val="0CAE0110"/>
    <w:rsid w:val="0CB0B7A4"/>
    <w:rsid w:val="0CB60BE0"/>
    <w:rsid w:val="0CB90B54"/>
    <w:rsid w:val="0CB92B39"/>
    <w:rsid w:val="0CB9BD4D"/>
    <w:rsid w:val="0CBB1F2B"/>
    <w:rsid w:val="0CCF241D"/>
    <w:rsid w:val="0CD14426"/>
    <w:rsid w:val="0CDAA4B1"/>
    <w:rsid w:val="0CDB035B"/>
    <w:rsid w:val="0CDCE3F5"/>
    <w:rsid w:val="0CE42D15"/>
    <w:rsid w:val="0CF116DB"/>
    <w:rsid w:val="0CF2CC3E"/>
    <w:rsid w:val="0CF61F37"/>
    <w:rsid w:val="0D049DA2"/>
    <w:rsid w:val="0D04BB6E"/>
    <w:rsid w:val="0D04E1C3"/>
    <w:rsid w:val="0D066C84"/>
    <w:rsid w:val="0D0FD822"/>
    <w:rsid w:val="0D116865"/>
    <w:rsid w:val="0D1B4983"/>
    <w:rsid w:val="0D1D77EF"/>
    <w:rsid w:val="0D2A40D3"/>
    <w:rsid w:val="0D2C219C"/>
    <w:rsid w:val="0D2CB3CF"/>
    <w:rsid w:val="0D338C76"/>
    <w:rsid w:val="0D338D4A"/>
    <w:rsid w:val="0D376003"/>
    <w:rsid w:val="0D3A28C4"/>
    <w:rsid w:val="0D4329A4"/>
    <w:rsid w:val="0D4A40A9"/>
    <w:rsid w:val="0D4BD73D"/>
    <w:rsid w:val="0D55672F"/>
    <w:rsid w:val="0D569BBE"/>
    <w:rsid w:val="0D5806C6"/>
    <w:rsid w:val="0D58750A"/>
    <w:rsid w:val="0D685A79"/>
    <w:rsid w:val="0D6A3396"/>
    <w:rsid w:val="0D73E287"/>
    <w:rsid w:val="0D7547F6"/>
    <w:rsid w:val="0D7CBE8D"/>
    <w:rsid w:val="0D9256D1"/>
    <w:rsid w:val="0D98F7DE"/>
    <w:rsid w:val="0D994D52"/>
    <w:rsid w:val="0DB96573"/>
    <w:rsid w:val="0DCA44F8"/>
    <w:rsid w:val="0DD149E1"/>
    <w:rsid w:val="0DD2F873"/>
    <w:rsid w:val="0DD5F0D8"/>
    <w:rsid w:val="0DD89BC7"/>
    <w:rsid w:val="0DDC625B"/>
    <w:rsid w:val="0DDC821C"/>
    <w:rsid w:val="0DDCBB84"/>
    <w:rsid w:val="0DE0FA01"/>
    <w:rsid w:val="0DE3A2CC"/>
    <w:rsid w:val="0DF394C4"/>
    <w:rsid w:val="0DF55E29"/>
    <w:rsid w:val="0DF59C87"/>
    <w:rsid w:val="0DF79B12"/>
    <w:rsid w:val="0DFAD1F7"/>
    <w:rsid w:val="0DFBD0E4"/>
    <w:rsid w:val="0E000F8B"/>
    <w:rsid w:val="0E055F94"/>
    <w:rsid w:val="0E0880F6"/>
    <w:rsid w:val="0E147D09"/>
    <w:rsid w:val="0E15EA1F"/>
    <w:rsid w:val="0E164C9A"/>
    <w:rsid w:val="0E1746E1"/>
    <w:rsid w:val="0E1B8016"/>
    <w:rsid w:val="0E1F8868"/>
    <w:rsid w:val="0E257850"/>
    <w:rsid w:val="0E28A166"/>
    <w:rsid w:val="0E28BEDE"/>
    <w:rsid w:val="0E2AD90D"/>
    <w:rsid w:val="0E2E3F70"/>
    <w:rsid w:val="0E32D492"/>
    <w:rsid w:val="0E3495B7"/>
    <w:rsid w:val="0E367282"/>
    <w:rsid w:val="0E3A8801"/>
    <w:rsid w:val="0E3E327D"/>
    <w:rsid w:val="0E5049DD"/>
    <w:rsid w:val="0E50CAF1"/>
    <w:rsid w:val="0E524B3E"/>
    <w:rsid w:val="0E536F98"/>
    <w:rsid w:val="0E70F6C6"/>
    <w:rsid w:val="0E7484B6"/>
    <w:rsid w:val="0E81EDD2"/>
    <w:rsid w:val="0E88F0A4"/>
    <w:rsid w:val="0E9DF38C"/>
    <w:rsid w:val="0EA35613"/>
    <w:rsid w:val="0EA9A5C9"/>
    <w:rsid w:val="0EAC7A87"/>
    <w:rsid w:val="0EAD9A03"/>
    <w:rsid w:val="0EB1D073"/>
    <w:rsid w:val="0EB2E9AB"/>
    <w:rsid w:val="0EBDCFBF"/>
    <w:rsid w:val="0EBFDC30"/>
    <w:rsid w:val="0EC15F57"/>
    <w:rsid w:val="0ECA2329"/>
    <w:rsid w:val="0ECAB2E8"/>
    <w:rsid w:val="0ECD8049"/>
    <w:rsid w:val="0ED41955"/>
    <w:rsid w:val="0ED72ED1"/>
    <w:rsid w:val="0ED98D83"/>
    <w:rsid w:val="0EDDA9AD"/>
    <w:rsid w:val="0EE3737C"/>
    <w:rsid w:val="0EE965C7"/>
    <w:rsid w:val="0EEB3E0A"/>
    <w:rsid w:val="0EFC3E55"/>
    <w:rsid w:val="0F07BB25"/>
    <w:rsid w:val="0F0B321F"/>
    <w:rsid w:val="0F100A55"/>
    <w:rsid w:val="0F153E0E"/>
    <w:rsid w:val="0F1ABB21"/>
    <w:rsid w:val="0F1D6714"/>
    <w:rsid w:val="0F24283E"/>
    <w:rsid w:val="0F2B087C"/>
    <w:rsid w:val="0F2BDF1F"/>
    <w:rsid w:val="0F2C9D67"/>
    <w:rsid w:val="0F32577C"/>
    <w:rsid w:val="0F341F48"/>
    <w:rsid w:val="0F3D9162"/>
    <w:rsid w:val="0F467FC6"/>
    <w:rsid w:val="0F51D2A1"/>
    <w:rsid w:val="0F528A17"/>
    <w:rsid w:val="0F5B53D5"/>
    <w:rsid w:val="0F6912DF"/>
    <w:rsid w:val="0F6E5164"/>
    <w:rsid w:val="0F7286B4"/>
    <w:rsid w:val="0F73CA11"/>
    <w:rsid w:val="0F77CF82"/>
    <w:rsid w:val="0F80CF84"/>
    <w:rsid w:val="0F86E4A1"/>
    <w:rsid w:val="0F8A55E2"/>
    <w:rsid w:val="0F8A83AB"/>
    <w:rsid w:val="0F9292BC"/>
    <w:rsid w:val="0F9A9229"/>
    <w:rsid w:val="0F9E2D9E"/>
    <w:rsid w:val="0FA5D2DA"/>
    <w:rsid w:val="0FAFD8B0"/>
    <w:rsid w:val="0FB5A6C7"/>
    <w:rsid w:val="0FB9EE88"/>
    <w:rsid w:val="0FC0B3F3"/>
    <w:rsid w:val="0FC23DD5"/>
    <w:rsid w:val="0FC2B6EC"/>
    <w:rsid w:val="0FC48F3F"/>
    <w:rsid w:val="0FC668EF"/>
    <w:rsid w:val="0FC7893C"/>
    <w:rsid w:val="0FC9F8BF"/>
    <w:rsid w:val="0FD0A564"/>
    <w:rsid w:val="0FD60594"/>
    <w:rsid w:val="0FDDD83F"/>
    <w:rsid w:val="0FDF0A84"/>
    <w:rsid w:val="0FE7D4ED"/>
    <w:rsid w:val="0FF6B020"/>
    <w:rsid w:val="0FF75848"/>
    <w:rsid w:val="1018BA89"/>
    <w:rsid w:val="101C77EE"/>
    <w:rsid w:val="101CEEA7"/>
    <w:rsid w:val="1022BB81"/>
    <w:rsid w:val="1023C2C8"/>
    <w:rsid w:val="102582B4"/>
    <w:rsid w:val="102D27B5"/>
    <w:rsid w:val="102F763E"/>
    <w:rsid w:val="1035087A"/>
    <w:rsid w:val="103B163F"/>
    <w:rsid w:val="1040C40A"/>
    <w:rsid w:val="10449B07"/>
    <w:rsid w:val="104A93C0"/>
    <w:rsid w:val="104F6C86"/>
    <w:rsid w:val="1051ED5F"/>
    <w:rsid w:val="1054A5B9"/>
    <w:rsid w:val="1057CEF9"/>
    <w:rsid w:val="1059C1A5"/>
    <w:rsid w:val="1070F080"/>
    <w:rsid w:val="10712873"/>
    <w:rsid w:val="107B9E7D"/>
    <w:rsid w:val="10806DC8"/>
    <w:rsid w:val="1084374F"/>
    <w:rsid w:val="108B8305"/>
    <w:rsid w:val="10979CB4"/>
    <w:rsid w:val="109B0BE3"/>
    <w:rsid w:val="109F278D"/>
    <w:rsid w:val="10A54100"/>
    <w:rsid w:val="10A82D38"/>
    <w:rsid w:val="10BF7354"/>
    <w:rsid w:val="10C2E074"/>
    <w:rsid w:val="10C34FE0"/>
    <w:rsid w:val="10C56C1A"/>
    <w:rsid w:val="10C841E3"/>
    <w:rsid w:val="10CEE8C7"/>
    <w:rsid w:val="10D4AEB3"/>
    <w:rsid w:val="10E53ECF"/>
    <w:rsid w:val="10EA6CE0"/>
    <w:rsid w:val="10EFEDDD"/>
    <w:rsid w:val="10F08D99"/>
    <w:rsid w:val="10F1D77F"/>
    <w:rsid w:val="1101FDF9"/>
    <w:rsid w:val="11046DEF"/>
    <w:rsid w:val="1105D493"/>
    <w:rsid w:val="1107FEC7"/>
    <w:rsid w:val="1108B9C6"/>
    <w:rsid w:val="110A73E5"/>
    <w:rsid w:val="11203296"/>
    <w:rsid w:val="1124C2CB"/>
    <w:rsid w:val="11262D61"/>
    <w:rsid w:val="11310D06"/>
    <w:rsid w:val="113228AC"/>
    <w:rsid w:val="113233F4"/>
    <w:rsid w:val="11348442"/>
    <w:rsid w:val="113A2D67"/>
    <w:rsid w:val="113C5618"/>
    <w:rsid w:val="113F6E75"/>
    <w:rsid w:val="11408440"/>
    <w:rsid w:val="11637D08"/>
    <w:rsid w:val="1165CC42"/>
    <w:rsid w:val="11746F79"/>
    <w:rsid w:val="1174E76C"/>
    <w:rsid w:val="1175C08D"/>
    <w:rsid w:val="1177B42A"/>
    <w:rsid w:val="117EB797"/>
    <w:rsid w:val="1182FDF6"/>
    <w:rsid w:val="118928DA"/>
    <w:rsid w:val="118CC5B9"/>
    <w:rsid w:val="1193D359"/>
    <w:rsid w:val="1194ED2F"/>
    <w:rsid w:val="119ACA61"/>
    <w:rsid w:val="11A1B6D4"/>
    <w:rsid w:val="11A3B015"/>
    <w:rsid w:val="11A62753"/>
    <w:rsid w:val="11B11C60"/>
    <w:rsid w:val="11B6625C"/>
    <w:rsid w:val="11B6AA01"/>
    <w:rsid w:val="11B951A2"/>
    <w:rsid w:val="11BBA054"/>
    <w:rsid w:val="11C64DA7"/>
    <w:rsid w:val="11C6AB65"/>
    <w:rsid w:val="11D52130"/>
    <w:rsid w:val="11D72865"/>
    <w:rsid w:val="11DB2063"/>
    <w:rsid w:val="11DBDE66"/>
    <w:rsid w:val="11DDF7C4"/>
    <w:rsid w:val="11E04227"/>
    <w:rsid w:val="11E53AC5"/>
    <w:rsid w:val="11E83845"/>
    <w:rsid w:val="11EAC29F"/>
    <w:rsid w:val="11EBAC17"/>
    <w:rsid w:val="11EE2384"/>
    <w:rsid w:val="11EEA039"/>
    <w:rsid w:val="1203B761"/>
    <w:rsid w:val="1208EB4A"/>
    <w:rsid w:val="120DCA6A"/>
    <w:rsid w:val="12196959"/>
    <w:rsid w:val="121A0AF8"/>
    <w:rsid w:val="121F2335"/>
    <w:rsid w:val="12213A86"/>
    <w:rsid w:val="1223BB96"/>
    <w:rsid w:val="1228175E"/>
    <w:rsid w:val="122AFB02"/>
    <w:rsid w:val="122BB855"/>
    <w:rsid w:val="1233C5E6"/>
    <w:rsid w:val="1239B392"/>
    <w:rsid w:val="123AD012"/>
    <w:rsid w:val="123B113F"/>
    <w:rsid w:val="123F1CE5"/>
    <w:rsid w:val="1240AECF"/>
    <w:rsid w:val="124195D6"/>
    <w:rsid w:val="1241B66E"/>
    <w:rsid w:val="12496E17"/>
    <w:rsid w:val="124E7468"/>
    <w:rsid w:val="124F3194"/>
    <w:rsid w:val="125EC032"/>
    <w:rsid w:val="12604F46"/>
    <w:rsid w:val="1261E05D"/>
    <w:rsid w:val="1268A21C"/>
    <w:rsid w:val="12706970"/>
    <w:rsid w:val="1272D4B3"/>
    <w:rsid w:val="1287DB25"/>
    <w:rsid w:val="1289E3DF"/>
    <w:rsid w:val="128FEB7F"/>
    <w:rsid w:val="1297DD48"/>
    <w:rsid w:val="129B2E39"/>
    <w:rsid w:val="129CB4DA"/>
    <w:rsid w:val="12A08BEB"/>
    <w:rsid w:val="12A41D57"/>
    <w:rsid w:val="12C45990"/>
    <w:rsid w:val="12C45BD9"/>
    <w:rsid w:val="12CB81D5"/>
    <w:rsid w:val="12CF7E43"/>
    <w:rsid w:val="12D00C03"/>
    <w:rsid w:val="12D0AC61"/>
    <w:rsid w:val="12D3D027"/>
    <w:rsid w:val="12D6A3B3"/>
    <w:rsid w:val="12E6D795"/>
    <w:rsid w:val="12EC1A93"/>
    <w:rsid w:val="12EEF9D1"/>
    <w:rsid w:val="12F3516F"/>
    <w:rsid w:val="12F72EB4"/>
    <w:rsid w:val="12F80D36"/>
    <w:rsid w:val="13097EC3"/>
    <w:rsid w:val="130C4E7C"/>
    <w:rsid w:val="130E7CF4"/>
    <w:rsid w:val="130F4F6F"/>
    <w:rsid w:val="131F48BA"/>
    <w:rsid w:val="13214271"/>
    <w:rsid w:val="132AF4AA"/>
    <w:rsid w:val="132E11E4"/>
    <w:rsid w:val="132E7432"/>
    <w:rsid w:val="13330C61"/>
    <w:rsid w:val="1333CC1A"/>
    <w:rsid w:val="133A5245"/>
    <w:rsid w:val="133AF1BE"/>
    <w:rsid w:val="133ED93A"/>
    <w:rsid w:val="1345C609"/>
    <w:rsid w:val="135E90C5"/>
    <w:rsid w:val="13662142"/>
    <w:rsid w:val="136ABC55"/>
    <w:rsid w:val="136B4E04"/>
    <w:rsid w:val="13707864"/>
    <w:rsid w:val="1370C034"/>
    <w:rsid w:val="137D43A3"/>
    <w:rsid w:val="137FBDC7"/>
    <w:rsid w:val="13802695"/>
    <w:rsid w:val="1389CC22"/>
    <w:rsid w:val="1389EEEE"/>
    <w:rsid w:val="1390EFCF"/>
    <w:rsid w:val="1397030D"/>
    <w:rsid w:val="1397DF46"/>
    <w:rsid w:val="1399BE37"/>
    <w:rsid w:val="13AA414A"/>
    <w:rsid w:val="13AC9954"/>
    <w:rsid w:val="13AE24AD"/>
    <w:rsid w:val="13B15C64"/>
    <w:rsid w:val="13BB9AB7"/>
    <w:rsid w:val="13BBA7FA"/>
    <w:rsid w:val="13BFE62B"/>
    <w:rsid w:val="13C12C67"/>
    <w:rsid w:val="13C94E44"/>
    <w:rsid w:val="13CA7B95"/>
    <w:rsid w:val="13E5C346"/>
    <w:rsid w:val="13F09302"/>
    <w:rsid w:val="13F0FD6E"/>
    <w:rsid w:val="13F3E125"/>
    <w:rsid w:val="13F78933"/>
    <w:rsid w:val="13F7DA29"/>
    <w:rsid w:val="13FADA39"/>
    <w:rsid w:val="13FFECFA"/>
    <w:rsid w:val="140A88BB"/>
    <w:rsid w:val="141B7551"/>
    <w:rsid w:val="1428143B"/>
    <w:rsid w:val="14327836"/>
    <w:rsid w:val="1434D361"/>
    <w:rsid w:val="14423B36"/>
    <w:rsid w:val="14425079"/>
    <w:rsid w:val="14481F0C"/>
    <w:rsid w:val="1450A42F"/>
    <w:rsid w:val="1451056C"/>
    <w:rsid w:val="145A54E8"/>
    <w:rsid w:val="146DCE40"/>
    <w:rsid w:val="147A0278"/>
    <w:rsid w:val="148A698F"/>
    <w:rsid w:val="148D5150"/>
    <w:rsid w:val="149A9018"/>
    <w:rsid w:val="149B3783"/>
    <w:rsid w:val="149C5422"/>
    <w:rsid w:val="149FBFCB"/>
    <w:rsid w:val="14A5C2D5"/>
    <w:rsid w:val="14A7DEBE"/>
    <w:rsid w:val="14AD1FA9"/>
    <w:rsid w:val="14B89B88"/>
    <w:rsid w:val="14C08682"/>
    <w:rsid w:val="14C617E3"/>
    <w:rsid w:val="14CA1A2D"/>
    <w:rsid w:val="14CC1BCB"/>
    <w:rsid w:val="14CCD86E"/>
    <w:rsid w:val="14D0B8B5"/>
    <w:rsid w:val="14D46862"/>
    <w:rsid w:val="14D72E5F"/>
    <w:rsid w:val="14D78993"/>
    <w:rsid w:val="14DE6618"/>
    <w:rsid w:val="14DF0FBF"/>
    <w:rsid w:val="14E2B66B"/>
    <w:rsid w:val="14E754F5"/>
    <w:rsid w:val="14EC1930"/>
    <w:rsid w:val="14EEA1CF"/>
    <w:rsid w:val="14EEFCF2"/>
    <w:rsid w:val="14FF3792"/>
    <w:rsid w:val="15062212"/>
    <w:rsid w:val="1506D412"/>
    <w:rsid w:val="150BA0B0"/>
    <w:rsid w:val="150BE5A1"/>
    <w:rsid w:val="150FEA9D"/>
    <w:rsid w:val="1510E8F6"/>
    <w:rsid w:val="1516E18C"/>
    <w:rsid w:val="151B5EBA"/>
    <w:rsid w:val="152FFAFD"/>
    <w:rsid w:val="15362D21"/>
    <w:rsid w:val="15373D67"/>
    <w:rsid w:val="15386D76"/>
    <w:rsid w:val="15408324"/>
    <w:rsid w:val="1546324C"/>
    <w:rsid w:val="154A1E14"/>
    <w:rsid w:val="155407CA"/>
    <w:rsid w:val="15565D34"/>
    <w:rsid w:val="1557AEFE"/>
    <w:rsid w:val="155A0D6C"/>
    <w:rsid w:val="155F5961"/>
    <w:rsid w:val="1564A069"/>
    <w:rsid w:val="156DB4B7"/>
    <w:rsid w:val="157AE2D0"/>
    <w:rsid w:val="157B7EF4"/>
    <w:rsid w:val="157E9688"/>
    <w:rsid w:val="157F825B"/>
    <w:rsid w:val="1587766E"/>
    <w:rsid w:val="158FAD0E"/>
    <w:rsid w:val="15945E4D"/>
    <w:rsid w:val="15954116"/>
    <w:rsid w:val="1595BDD0"/>
    <w:rsid w:val="15987CB3"/>
    <w:rsid w:val="1598FA81"/>
    <w:rsid w:val="15B29716"/>
    <w:rsid w:val="15BFCF9B"/>
    <w:rsid w:val="15C0BF9D"/>
    <w:rsid w:val="15CD6328"/>
    <w:rsid w:val="15D3B38B"/>
    <w:rsid w:val="15DD0EB3"/>
    <w:rsid w:val="15EB4F74"/>
    <w:rsid w:val="15FD2C23"/>
    <w:rsid w:val="15FE47D3"/>
    <w:rsid w:val="1606AE00"/>
    <w:rsid w:val="160B16E2"/>
    <w:rsid w:val="160F7244"/>
    <w:rsid w:val="16163537"/>
    <w:rsid w:val="161B0090"/>
    <w:rsid w:val="1621ABEC"/>
    <w:rsid w:val="16228409"/>
    <w:rsid w:val="1623C236"/>
    <w:rsid w:val="162485EC"/>
    <w:rsid w:val="1632349E"/>
    <w:rsid w:val="16375B22"/>
    <w:rsid w:val="16382483"/>
    <w:rsid w:val="164C86AA"/>
    <w:rsid w:val="16519031"/>
    <w:rsid w:val="16554778"/>
    <w:rsid w:val="16577D17"/>
    <w:rsid w:val="1662F81F"/>
    <w:rsid w:val="16668B1A"/>
    <w:rsid w:val="166EFAEF"/>
    <w:rsid w:val="167D00DF"/>
    <w:rsid w:val="167D5606"/>
    <w:rsid w:val="167ED4B0"/>
    <w:rsid w:val="16834F86"/>
    <w:rsid w:val="16923DF0"/>
    <w:rsid w:val="16965B5D"/>
    <w:rsid w:val="1699B433"/>
    <w:rsid w:val="169C8A3C"/>
    <w:rsid w:val="169CE852"/>
    <w:rsid w:val="169D08AF"/>
    <w:rsid w:val="169EFC1B"/>
    <w:rsid w:val="16A03F5D"/>
    <w:rsid w:val="16B5DBDC"/>
    <w:rsid w:val="16B72FB2"/>
    <w:rsid w:val="16BB4CDE"/>
    <w:rsid w:val="16BBF1F3"/>
    <w:rsid w:val="16BC6CA3"/>
    <w:rsid w:val="16C164DD"/>
    <w:rsid w:val="16C605C0"/>
    <w:rsid w:val="16D53B08"/>
    <w:rsid w:val="16DD7E60"/>
    <w:rsid w:val="16E7DB60"/>
    <w:rsid w:val="16EC3100"/>
    <w:rsid w:val="16F4076B"/>
    <w:rsid w:val="16F4EF2A"/>
    <w:rsid w:val="16F61AC1"/>
    <w:rsid w:val="16F71B21"/>
    <w:rsid w:val="170BE90D"/>
    <w:rsid w:val="170D89F4"/>
    <w:rsid w:val="1710AB9F"/>
    <w:rsid w:val="1710CC66"/>
    <w:rsid w:val="17198D03"/>
    <w:rsid w:val="171A3685"/>
    <w:rsid w:val="1720D19F"/>
    <w:rsid w:val="1727D6F5"/>
    <w:rsid w:val="172F8A26"/>
    <w:rsid w:val="17362C08"/>
    <w:rsid w:val="1742578C"/>
    <w:rsid w:val="17484503"/>
    <w:rsid w:val="17532FB1"/>
    <w:rsid w:val="175605E1"/>
    <w:rsid w:val="17563456"/>
    <w:rsid w:val="175ADC5C"/>
    <w:rsid w:val="1774C679"/>
    <w:rsid w:val="17752245"/>
    <w:rsid w:val="17757569"/>
    <w:rsid w:val="177A04F0"/>
    <w:rsid w:val="177F0528"/>
    <w:rsid w:val="1783DDC1"/>
    <w:rsid w:val="17887C9B"/>
    <w:rsid w:val="178A79D8"/>
    <w:rsid w:val="178AD4E4"/>
    <w:rsid w:val="178FC756"/>
    <w:rsid w:val="17917AC0"/>
    <w:rsid w:val="1791E5B8"/>
    <w:rsid w:val="179AC6FD"/>
    <w:rsid w:val="179B6944"/>
    <w:rsid w:val="179DE8DD"/>
    <w:rsid w:val="17A32147"/>
    <w:rsid w:val="17A49AF7"/>
    <w:rsid w:val="17AE9418"/>
    <w:rsid w:val="17B52FD7"/>
    <w:rsid w:val="17B98714"/>
    <w:rsid w:val="17BD07FB"/>
    <w:rsid w:val="17BD589C"/>
    <w:rsid w:val="17C36937"/>
    <w:rsid w:val="17CB1807"/>
    <w:rsid w:val="17D30736"/>
    <w:rsid w:val="17DB0849"/>
    <w:rsid w:val="17E2E4F9"/>
    <w:rsid w:val="17E9971A"/>
    <w:rsid w:val="17F08265"/>
    <w:rsid w:val="17F34377"/>
    <w:rsid w:val="17F67F53"/>
    <w:rsid w:val="17F9CF31"/>
    <w:rsid w:val="17FC3135"/>
    <w:rsid w:val="17FC3434"/>
    <w:rsid w:val="17FD51CE"/>
    <w:rsid w:val="1805E100"/>
    <w:rsid w:val="1811549A"/>
    <w:rsid w:val="18199CB1"/>
    <w:rsid w:val="181D95FA"/>
    <w:rsid w:val="181EBB3E"/>
    <w:rsid w:val="181F4CE7"/>
    <w:rsid w:val="18231C62"/>
    <w:rsid w:val="1824DF61"/>
    <w:rsid w:val="182A6846"/>
    <w:rsid w:val="182C709B"/>
    <w:rsid w:val="182CB50E"/>
    <w:rsid w:val="182F5811"/>
    <w:rsid w:val="182FF887"/>
    <w:rsid w:val="1835B09D"/>
    <w:rsid w:val="183F8A04"/>
    <w:rsid w:val="184106B3"/>
    <w:rsid w:val="1857890B"/>
    <w:rsid w:val="1858A588"/>
    <w:rsid w:val="1863F433"/>
    <w:rsid w:val="186425EC"/>
    <w:rsid w:val="18686D94"/>
    <w:rsid w:val="186B2445"/>
    <w:rsid w:val="186DE18D"/>
    <w:rsid w:val="1874078A"/>
    <w:rsid w:val="18740CD3"/>
    <w:rsid w:val="187510BB"/>
    <w:rsid w:val="187613C4"/>
    <w:rsid w:val="18771E35"/>
    <w:rsid w:val="1877EF18"/>
    <w:rsid w:val="1878D8C6"/>
    <w:rsid w:val="187A0265"/>
    <w:rsid w:val="187DC196"/>
    <w:rsid w:val="187EBDBF"/>
    <w:rsid w:val="188285D2"/>
    <w:rsid w:val="18880A9B"/>
    <w:rsid w:val="188A41F5"/>
    <w:rsid w:val="188B6B7B"/>
    <w:rsid w:val="18900678"/>
    <w:rsid w:val="18921A54"/>
    <w:rsid w:val="1893B0C1"/>
    <w:rsid w:val="1897617F"/>
    <w:rsid w:val="189958D7"/>
    <w:rsid w:val="189BF50E"/>
    <w:rsid w:val="18A200BD"/>
    <w:rsid w:val="18A65496"/>
    <w:rsid w:val="18B4AAB2"/>
    <w:rsid w:val="18BA3688"/>
    <w:rsid w:val="18D20EC8"/>
    <w:rsid w:val="18DD161B"/>
    <w:rsid w:val="18DF7746"/>
    <w:rsid w:val="18E0EE1A"/>
    <w:rsid w:val="18E23908"/>
    <w:rsid w:val="18EFFE4A"/>
    <w:rsid w:val="18F252EA"/>
    <w:rsid w:val="18F80D18"/>
    <w:rsid w:val="18F9CEE0"/>
    <w:rsid w:val="19043032"/>
    <w:rsid w:val="19161753"/>
    <w:rsid w:val="191BA122"/>
    <w:rsid w:val="1921AEF2"/>
    <w:rsid w:val="192B625B"/>
    <w:rsid w:val="192B77EE"/>
    <w:rsid w:val="192E0AC8"/>
    <w:rsid w:val="192E6E54"/>
    <w:rsid w:val="19330492"/>
    <w:rsid w:val="19331832"/>
    <w:rsid w:val="1937D14E"/>
    <w:rsid w:val="193CE6AF"/>
    <w:rsid w:val="193F0782"/>
    <w:rsid w:val="19469A5A"/>
    <w:rsid w:val="1947F5ED"/>
    <w:rsid w:val="194DC7C4"/>
    <w:rsid w:val="195276A3"/>
    <w:rsid w:val="1963D8A0"/>
    <w:rsid w:val="19665274"/>
    <w:rsid w:val="196F9A86"/>
    <w:rsid w:val="19775794"/>
    <w:rsid w:val="198FCE7F"/>
    <w:rsid w:val="19992BD4"/>
    <w:rsid w:val="199D8FD1"/>
    <w:rsid w:val="19AE766E"/>
    <w:rsid w:val="19B77692"/>
    <w:rsid w:val="19B7B644"/>
    <w:rsid w:val="19D1929C"/>
    <w:rsid w:val="19D4F503"/>
    <w:rsid w:val="19DD6F83"/>
    <w:rsid w:val="19DD90FA"/>
    <w:rsid w:val="19DFC3D5"/>
    <w:rsid w:val="19E21604"/>
    <w:rsid w:val="19E53C35"/>
    <w:rsid w:val="19EA8A33"/>
    <w:rsid w:val="19EE196A"/>
    <w:rsid w:val="19EEC8D0"/>
    <w:rsid w:val="19FBBCCB"/>
    <w:rsid w:val="19FEF2E5"/>
    <w:rsid w:val="1A05967F"/>
    <w:rsid w:val="1A0B8A63"/>
    <w:rsid w:val="1A15A7FD"/>
    <w:rsid w:val="1A184003"/>
    <w:rsid w:val="1A245523"/>
    <w:rsid w:val="1A262601"/>
    <w:rsid w:val="1A37FBB1"/>
    <w:rsid w:val="1A41F679"/>
    <w:rsid w:val="1A42A52E"/>
    <w:rsid w:val="1A43FF7E"/>
    <w:rsid w:val="1A46A29D"/>
    <w:rsid w:val="1A4AFE8F"/>
    <w:rsid w:val="1A4B1561"/>
    <w:rsid w:val="1A5670C1"/>
    <w:rsid w:val="1A5B02B3"/>
    <w:rsid w:val="1A5B1F7A"/>
    <w:rsid w:val="1A614A74"/>
    <w:rsid w:val="1A614B10"/>
    <w:rsid w:val="1A741787"/>
    <w:rsid w:val="1A80D982"/>
    <w:rsid w:val="1A832332"/>
    <w:rsid w:val="1A839A0A"/>
    <w:rsid w:val="1A856232"/>
    <w:rsid w:val="1A8A0A0F"/>
    <w:rsid w:val="1A8E1015"/>
    <w:rsid w:val="1A8EADCB"/>
    <w:rsid w:val="1A94614B"/>
    <w:rsid w:val="1A954884"/>
    <w:rsid w:val="1AA0479E"/>
    <w:rsid w:val="1AA25F10"/>
    <w:rsid w:val="1AA6B4B1"/>
    <w:rsid w:val="1AA8A6D2"/>
    <w:rsid w:val="1AB20C62"/>
    <w:rsid w:val="1AB54CB9"/>
    <w:rsid w:val="1AB6B91B"/>
    <w:rsid w:val="1AB903C5"/>
    <w:rsid w:val="1ABE7E74"/>
    <w:rsid w:val="1AD3D43A"/>
    <w:rsid w:val="1AD9D445"/>
    <w:rsid w:val="1ADA5231"/>
    <w:rsid w:val="1ADEB35A"/>
    <w:rsid w:val="1AE0ACEC"/>
    <w:rsid w:val="1AE49222"/>
    <w:rsid w:val="1AE4A967"/>
    <w:rsid w:val="1AE5AED8"/>
    <w:rsid w:val="1AEAC085"/>
    <w:rsid w:val="1AEBBF6D"/>
    <w:rsid w:val="1AED148C"/>
    <w:rsid w:val="1AEF36FF"/>
    <w:rsid w:val="1AEFE887"/>
    <w:rsid w:val="1AF83CB6"/>
    <w:rsid w:val="1AF997D1"/>
    <w:rsid w:val="1AFD64CC"/>
    <w:rsid w:val="1AFE2B1E"/>
    <w:rsid w:val="1B040952"/>
    <w:rsid w:val="1B0B5420"/>
    <w:rsid w:val="1B0DD153"/>
    <w:rsid w:val="1B19C71A"/>
    <w:rsid w:val="1B1A7768"/>
    <w:rsid w:val="1B21B586"/>
    <w:rsid w:val="1B264D3C"/>
    <w:rsid w:val="1B3B9323"/>
    <w:rsid w:val="1B4104D7"/>
    <w:rsid w:val="1B45E81B"/>
    <w:rsid w:val="1B4AE08C"/>
    <w:rsid w:val="1B503CCB"/>
    <w:rsid w:val="1B51551F"/>
    <w:rsid w:val="1B562B8F"/>
    <w:rsid w:val="1B62C783"/>
    <w:rsid w:val="1B62FA3A"/>
    <w:rsid w:val="1B631821"/>
    <w:rsid w:val="1B66604B"/>
    <w:rsid w:val="1B6B416F"/>
    <w:rsid w:val="1B6FF39E"/>
    <w:rsid w:val="1B7449BC"/>
    <w:rsid w:val="1B79B934"/>
    <w:rsid w:val="1B7CF94C"/>
    <w:rsid w:val="1B7D9508"/>
    <w:rsid w:val="1B7F6FF2"/>
    <w:rsid w:val="1B837279"/>
    <w:rsid w:val="1B87EFD3"/>
    <w:rsid w:val="1B8879B6"/>
    <w:rsid w:val="1B9C4F10"/>
    <w:rsid w:val="1BA753ED"/>
    <w:rsid w:val="1BABDB7F"/>
    <w:rsid w:val="1BB47FFB"/>
    <w:rsid w:val="1BB811BB"/>
    <w:rsid w:val="1BB88337"/>
    <w:rsid w:val="1BB9074A"/>
    <w:rsid w:val="1BC15276"/>
    <w:rsid w:val="1BC26C2E"/>
    <w:rsid w:val="1BC34C93"/>
    <w:rsid w:val="1BCFF25D"/>
    <w:rsid w:val="1BD1B8B1"/>
    <w:rsid w:val="1BD27271"/>
    <w:rsid w:val="1BD37D1F"/>
    <w:rsid w:val="1BDE5274"/>
    <w:rsid w:val="1BE0C6E5"/>
    <w:rsid w:val="1BE29CE9"/>
    <w:rsid w:val="1BECC6F5"/>
    <w:rsid w:val="1BF761C3"/>
    <w:rsid w:val="1BFFC224"/>
    <w:rsid w:val="1BFFF52A"/>
    <w:rsid w:val="1C045BBB"/>
    <w:rsid w:val="1C0590A1"/>
    <w:rsid w:val="1C12C117"/>
    <w:rsid w:val="1C282EDB"/>
    <w:rsid w:val="1C348067"/>
    <w:rsid w:val="1C3ABFBC"/>
    <w:rsid w:val="1C3F7CFF"/>
    <w:rsid w:val="1C49F3D7"/>
    <w:rsid w:val="1C5A8A7F"/>
    <w:rsid w:val="1C62CDD6"/>
    <w:rsid w:val="1C66CAF9"/>
    <w:rsid w:val="1C693846"/>
    <w:rsid w:val="1C71E8E0"/>
    <w:rsid w:val="1C720955"/>
    <w:rsid w:val="1C7288F0"/>
    <w:rsid w:val="1C72ACC9"/>
    <w:rsid w:val="1C7A0459"/>
    <w:rsid w:val="1C7DEB09"/>
    <w:rsid w:val="1C80C755"/>
    <w:rsid w:val="1C848994"/>
    <w:rsid w:val="1C9D17D8"/>
    <w:rsid w:val="1C9F377D"/>
    <w:rsid w:val="1CA3D45D"/>
    <w:rsid w:val="1CAD18CE"/>
    <w:rsid w:val="1CB13912"/>
    <w:rsid w:val="1CB3A703"/>
    <w:rsid w:val="1CB4B41A"/>
    <w:rsid w:val="1CB5977B"/>
    <w:rsid w:val="1CC1DBB9"/>
    <w:rsid w:val="1CC5076E"/>
    <w:rsid w:val="1CC569A9"/>
    <w:rsid w:val="1CD04AA7"/>
    <w:rsid w:val="1CD4A379"/>
    <w:rsid w:val="1CD5B29B"/>
    <w:rsid w:val="1CDEFEAC"/>
    <w:rsid w:val="1CE4CE03"/>
    <w:rsid w:val="1CEAE308"/>
    <w:rsid w:val="1CF1FBF0"/>
    <w:rsid w:val="1CF2C055"/>
    <w:rsid w:val="1CF70F42"/>
    <w:rsid w:val="1CFC3941"/>
    <w:rsid w:val="1D03B4A4"/>
    <w:rsid w:val="1D098DC7"/>
    <w:rsid w:val="1D0B8C54"/>
    <w:rsid w:val="1D0BC6C7"/>
    <w:rsid w:val="1D0DF91D"/>
    <w:rsid w:val="1D1016FD"/>
    <w:rsid w:val="1D1296A9"/>
    <w:rsid w:val="1D140C6E"/>
    <w:rsid w:val="1D1588A4"/>
    <w:rsid w:val="1D1FEAF9"/>
    <w:rsid w:val="1D230A02"/>
    <w:rsid w:val="1D30EB37"/>
    <w:rsid w:val="1D32E23F"/>
    <w:rsid w:val="1D36D263"/>
    <w:rsid w:val="1D389A43"/>
    <w:rsid w:val="1D4232C4"/>
    <w:rsid w:val="1D4AD8B1"/>
    <w:rsid w:val="1D4EF4E7"/>
    <w:rsid w:val="1D53DB7A"/>
    <w:rsid w:val="1D53E21C"/>
    <w:rsid w:val="1D5B34B7"/>
    <w:rsid w:val="1D5C2B9D"/>
    <w:rsid w:val="1D617A2B"/>
    <w:rsid w:val="1D649FF9"/>
    <w:rsid w:val="1D668A6C"/>
    <w:rsid w:val="1D68037E"/>
    <w:rsid w:val="1D703A04"/>
    <w:rsid w:val="1D746173"/>
    <w:rsid w:val="1D7AE66C"/>
    <w:rsid w:val="1D7FCC91"/>
    <w:rsid w:val="1D814243"/>
    <w:rsid w:val="1D89BC9B"/>
    <w:rsid w:val="1D915674"/>
    <w:rsid w:val="1D9295CC"/>
    <w:rsid w:val="1DA15ED4"/>
    <w:rsid w:val="1DA248C0"/>
    <w:rsid w:val="1DA702CA"/>
    <w:rsid w:val="1DA92F3A"/>
    <w:rsid w:val="1DA963D2"/>
    <w:rsid w:val="1DADA813"/>
    <w:rsid w:val="1DB09FA7"/>
    <w:rsid w:val="1DB8503B"/>
    <w:rsid w:val="1DC143AF"/>
    <w:rsid w:val="1DC43C19"/>
    <w:rsid w:val="1DCCF46F"/>
    <w:rsid w:val="1DCE018A"/>
    <w:rsid w:val="1DD2D24E"/>
    <w:rsid w:val="1DD83581"/>
    <w:rsid w:val="1DDA11C3"/>
    <w:rsid w:val="1DDA5A37"/>
    <w:rsid w:val="1DDF6362"/>
    <w:rsid w:val="1DE678A1"/>
    <w:rsid w:val="1DFDDC3F"/>
    <w:rsid w:val="1E07B117"/>
    <w:rsid w:val="1E082BF9"/>
    <w:rsid w:val="1E0A38B6"/>
    <w:rsid w:val="1E0F1873"/>
    <w:rsid w:val="1E11BB5D"/>
    <w:rsid w:val="1E11F673"/>
    <w:rsid w:val="1E15A60F"/>
    <w:rsid w:val="1E1631F2"/>
    <w:rsid w:val="1E24576E"/>
    <w:rsid w:val="1E251221"/>
    <w:rsid w:val="1E294D53"/>
    <w:rsid w:val="1E3D917B"/>
    <w:rsid w:val="1E400E6E"/>
    <w:rsid w:val="1E435845"/>
    <w:rsid w:val="1E4C937F"/>
    <w:rsid w:val="1E574952"/>
    <w:rsid w:val="1E58F57A"/>
    <w:rsid w:val="1E5ABFAE"/>
    <w:rsid w:val="1E5CDB1F"/>
    <w:rsid w:val="1E68945D"/>
    <w:rsid w:val="1E6E0D50"/>
    <w:rsid w:val="1E71277D"/>
    <w:rsid w:val="1E7279AB"/>
    <w:rsid w:val="1E75D769"/>
    <w:rsid w:val="1E76265B"/>
    <w:rsid w:val="1E7A7B04"/>
    <w:rsid w:val="1E816A42"/>
    <w:rsid w:val="1E8D5316"/>
    <w:rsid w:val="1E923C4D"/>
    <w:rsid w:val="1E99A826"/>
    <w:rsid w:val="1EB01B24"/>
    <w:rsid w:val="1EB59FC6"/>
    <w:rsid w:val="1EB74B6B"/>
    <w:rsid w:val="1EB7FD68"/>
    <w:rsid w:val="1EBEAEA8"/>
    <w:rsid w:val="1EC8FA97"/>
    <w:rsid w:val="1ED0F032"/>
    <w:rsid w:val="1EDF08C6"/>
    <w:rsid w:val="1EE221EA"/>
    <w:rsid w:val="1EE558BA"/>
    <w:rsid w:val="1EE7A1E9"/>
    <w:rsid w:val="1EE970BE"/>
    <w:rsid w:val="1EE9C674"/>
    <w:rsid w:val="1EF06F41"/>
    <w:rsid w:val="1EFE7167"/>
    <w:rsid w:val="1F01D98A"/>
    <w:rsid w:val="1F043571"/>
    <w:rsid w:val="1F05C8DC"/>
    <w:rsid w:val="1F089ABC"/>
    <w:rsid w:val="1F0C41EF"/>
    <w:rsid w:val="1F0EA795"/>
    <w:rsid w:val="1F115B64"/>
    <w:rsid w:val="1F1212AC"/>
    <w:rsid w:val="1F135BA4"/>
    <w:rsid w:val="1F18EA0D"/>
    <w:rsid w:val="1F1FB039"/>
    <w:rsid w:val="1F344B8B"/>
    <w:rsid w:val="1F40F28B"/>
    <w:rsid w:val="1F438B1B"/>
    <w:rsid w:val="1F53A0DC"/>
    <w:rsid w:val="1F56E6F3"/>
    <w:rsid w:val="1F581142"/>
    <w:rsid w:val="1F5CE0DA"/>
    <w:rsid w:val="1F6196E5"/>
    <w:rsid w:val="1F628A6C"/>
    <w:rsid w:val="1F62D653"/>
    <w:rsid w:val="1F771CE3"/>
    <w:rsid w:val="1F77DF1F"/>
    <w:rsid w:val="1F78BBAD"/>
    <w:rsid w:val="1F7AE0E6"/>
    <w:rsid w:val="1F7D5AFB"/>
    <w:rsid w:val="1F7E7523"/>
    <w:rsid w:val="1F838B42"/>
    <w:rsid w:val="1F83CF40"/>
    <w:rsid w:val="1FAC9C96"/>
    <w:rsid w:val="1FBA01F1"/>
    <w:rsid w:val="1FBD82E2"/>
    <w:rsid w:val="1FBD8C9B"/>
    <w:rsid w:val="1FBE287D"/>
    <w:rsid w:val="1FC12FEA"/>
    <w:rsid w:val="1FCB79E0"/>
    <w:rsid w:val="1FCB8C20"/>
    <w:rsid w:val="1FCC9052"/>
    <w:rsid w:val="1FD9F453"/>
    <w:rsid w:val="1FDD5993"/>
    <w:rsid w:val="1FE4B990"/>
    <w:rsid w:val="1FF3D028"/>
    <w:rsid w:val="1FF3D7FB"/>
    <w:rsid w:val="1FF87C38"/>
    <w:rsid w:val="1FFBB836"/>
    <w:rsid w:val="1FFDCCAB"/>
    <w:rsid w:val="200261FD"/>
    <w:rsid w:val="2007EB69"/>
    <w:rsid w:val="200CB794"/>
    <w:rsid w:val="201005E0"/>
    <w:rsid w:val="201E6540"/>
    <w:rsid w:val="202B87BB"/>
    <w:rsid w:val="202CE502"/>
    <w:rsid w:val="2031E78D"/>
    <w:rsid w:val="2032D4D3"/>
    <w:rsid w:val="20364569"/>
    <w:rsid w:val="203D9887"/>
    <w:rsid w:val="203DF703"/>
    <w:rsid w:val="203FD58E"/>
    <w:rsid w:val="2045728F"/>
    <w:rsid w:val="204665D1"/>
    <w:rsid w:val="20477A30"/>
    <w:rsid w:val="205EA64C"/>
    <w:rsid w:val="205EB4B4"/>
    <w:rsid w:val="20619DDE"/>
    <w:rsid w:val="2067974B"/>
    <w:rsid w:val="2071B220"/>
    <w:rsid w:val="2072E36E"/>
    <w:rsid w:val="2075100A"/>
    <w:rsid w:val="207900ED"/>
    <w:rsid w:val="2087BFAA"/>
    <w:rsid w:val="2091791D"/>
    <w:rsid w:val="20931113"/>
    <w:rsid w:val="209776B9"/>
    <w:rsid w:val="209AEED0"/>
    <w:rsid w:val="209CD346"/>
    <w:rsid w:val="20A2F5F9"/>
    <w:rsid w:val="20A68ACD"/>
    <w:rsid w:val="20AF11C7"/>
    <w:rsid w:val="20B2D9DE"/>
    <w:rsid w:val="20C34154"/>
    <w:rsid w:val="20C6B4A7"/>
    <w:rsid w:val="20CF92AC"/>
    <w:rsid w:val="20D08CC0"/>
    <w:rsid w:val="20D86138"/>
    <w:rsid w:val="20E76B88"/>
    <w:rsid w:val="20E8B6E9"/>
    <w:rsid w:val="20ECDA28"/>
    <w:rsid w:val="20F62ABB"/>
    <w:rsid w:val="20FC9245"/>
    <w:rsid w:val="210834BC"/>
    <w:rsid w:val="210C24CE"/>
    <w:rsid w:val="210EA4E5"/>
    <w:rsid w:val="2111E5EA"/>
    <w:rsid w:val="21123B8C"/>
    <w:rsid w:val="21167BE3"/>
    <w:rsid w:val="2118841A"/>
    <w:rsid w:val="211C12C4"/>
    <w:rsid w:val="211D8481"/>
    <w:rsid w:val="211EB756"/>
    <w:rsid w:val="211EC9FA"/>
    <w:rsid w:val="211EF0DE"/>
    <w:rsid w:val="211F1B78"/>
    <w:rsid w:val="2120C3F9"/>
    <w:rsid w:val="21269646"/>
    <w:rsid w:val="21278C66"/>
    <w:rsid w:val="212BDEF8"/>
    <w:rsid w:val="2130AF14"/>
    <w:rsid w:val="2134B12B"/>
    <w:rsid w:val="21367B8A"/>
    <w:rsid w:val="213719D2"/>
    <w:rsid w:val="213BD9CB"/>
    <w:rsid w:val="213C3BD0"/>
    <w:rsid w:val="2140379C"/>
    <w:rsid w:val="2152B7E7"/>
    <w:rsid w:val="2156A7E9"/>
    <w:rsid w:val="2159CA94"/>
    <w:rsid w:val="215FECDB"/>
    <w:rsid w:val="2162B0E2"/>
    <w:rsid w:val="216584DF"/>
    <w:rsid w:val="216AD5DB"/>
    <w:rsid w:val="2175F7B1"/>
    <w:rsid w:val="21784DC5"/>
    <w:rsid w:val="217D7F69"/>
    <w:rsid w:val="2181D0A8"/>
    <w:rsid w:val="2189F146"/>
    <w:rsid w:val="21976336"/>
    <w:rsid w:val="219BFC91"/>
    <w:rsid w:val="219F1A9D"/>
    <w:rsid w:val="21A23C30"/>
    <w:rsid w:val="21A3A65F"/>
    <w:rsid w:val="21A84873"/>
    <w:rsid w:val="21AD3915"/>
    <w:rsid w:val="21B4210D"/>
    <w:rsid w:val="21B62A7A"/>
    <w:rsid w:val="21BC857E"/>
    <w:rsid w:val="21BF0B70"/>
    <w:rsid w:val="21C46F93"/>
    <w:rsid w:val="21C5B4D1"/>
    <w:rsid w:val="21CD477E"/>
    <w:rsid w:val="21CF1A66"/>
    <w:rsid w:val="21D0E270"/>
    <w:rsid w:val="21D47A7D"/>
    <w:rsid w:val="21DBD08B"/>
    <w:rsid w:val="21DE714E"/>
    <w:rsid w:val="21E55B75"/>
    <w:rsid w:val="21E6EE4D"/>
    <w:rsid w:val="21F111BA"/>
    <w:rsid w:val="21F2EAF9"/>
    <w:rsid w:val="2205628A"/>
    <w:rsid w:val="22056AEF"/>
    <w:rsid w:val="2208DB7A"/>
    <w:rsid w:val="2216FE5C"/>
    <w:rsid w:val="221C1A04"/>
    <w:rsid w:val="2228DB86"/>
    <w:rsid w:val="222B75A9"/>
    <w:rsid w:val="2230B695"/>
    <w:rsid w:val="22318FCC"/>
    <w:rsid w:val="223290EC"/>
    <w:rsid w:val="2234BC85"/>
    <w:rsid w:val="22395257"/>
    <w:rsid w:val="223F5DF5"/>
    <w:rsid w:val="224B2BAF"/>
    <w:rsid w:val="22543D1F"/>
    <w:rsid w:val="225B1175"/>
    <w:rsid w:val="22618BBD"/>
    <w:rsid w:val="2261A2CE"/>
    <w:rsid w:val="226BF4BF"/>
    <w:rsid w:val="226D0D2B"/>
    <w:rsid w:val="226DD2C9"/>
    <w:rsid w:val="2274A36D"/>
    <w:rsid w:val="2276FC9A"/>
    <w:rsid w:val="22772A22"/>
    <w:rsid w:val="227917A7"/>
    <w:rsid w:val="2282FAD0"/>
    <w:rsid w:val="228E2E9C"/>
    <w:rsid w:val="229468E2"/>
    <w:rsid w:val="229CF2B5"/>
    <w:rsid w:val="22A1FE41"/>
    <w:rsid w:val="22A99929"/>
    <w:rsid w:val="22B1C830"/>
    <w:rsid w:val="22B5E30A"/>
    <w:rsid w:val="22B823C7"/>
    <w:rsid w:val="22BA94AB"/>
    <w:rsid w:val="22C8B128"/>
    <w:rsid w:val="22CDED70"/>
    <w:rsid w:val="22D4D6D2"/>
    <w:rsid w:val="22D4DD04"/>
    <w:rsid w:val="22D5FCA5"/>
    <w:rsid w:val="22DB7EE0"/>
    <w:rsid w:val="22DC9F02"/>
    <w:rsid w:val="22F1BC39"/>
    <w:rsid w:val="22F99D53"/>
    <w:rsid w:val="22FF95AC"/>
    <w:rsid w:val="2302E568"/>
    <w:rsid w:val="230536A1"/>
    <w:rsid w:val="230A5FA8"/>
    <w:rsid w:val="230DBDF9"/>
    <w:rsid w:val="2317D3F6"/>
    <w:rsid w:val="2318801E"/>
    <w:rsid w:val="231962F8"/>
    <w:rsid w:val="231C25E7"/>
    <w:rsid w:val="231CD16D"/>
    <w:rsid w:val="231D1CFE"/>
    <w:rsid w:val="23230A8C"/>
    <w:rsid w:val="2327E9E3"/>
    <w:rsid w:val="23298336"/>
    <w:rsid w:val="232A654B"/>
    <w:rsid w:val="2339C3C2"/>
    <w:rsid w:val="233F26C7"/>
    <w:rsid w:val="235180D9"/>
    <w:rsid w:val="235675BF"/>
    <w:rsid w:val="2360F627"/>
    <w:rsid w:val="23618790"/>
    <w:rsid w:val="23660436"/>
    <w:rsid w:val="23698522"/>
    <w:rsid w:val="237008C6"/>
    <w:rsid w:val="23799E40"/>
    <w:rsid w:val="237FA4D3"/>
    <w:rsid w:val="2385F419"/>
    <w:rsid w:val="2388292B"/>
    <w:rsid w:val="238E4FD7"/>
    <w:rsid w:val="23A2A333"/>
    <w:rsid w:val="23AC804B"/>
    <w:rsid w:val="23B3660C"/>
    <w:rsid w:val="23BFC716"/>
    <w:rsid w:val="23C077FA"/>
    <w:rsid w:val="23C13351"/>
    <w:rsid w:val="23CA707A"/>
    <w:rsid w:val="23D53FBD"/>
    <w:rsid w:val="23D6D9AD"/>
    <w:rsid w:val="23D9F274"/>
    <w:rsid w:val="23E342BB"/>
    <w:rsid w:val="23E72F4A"/>
    <w:rsid w:val="23E8DB31"/>
    <w:rsid w:val="23F11B3F"/>
    <w:rsid w:val="23F4229F"/>
    <w:rsid w:val="24006D4C"/>
    <w:rsid w:val="240616BE"/>
    <w:rsid w:val="24092064"/>
    <w:rsid w:val="240E4B62"/>
    <w:rsid w:val="2414B660"/>
    <w:rsid w:val="241DF24C"/>
    <w:rsid w:val="242393BE"/>
    <w:rsid w:val="2425ABB2"/>
    <w:rsid w:val="24264A3C"/>
    <w:rsid w:val="24275B31"/>
    <w:rsid w:val="24280D8D"/>
    <w:rsid w:val="24318E87"/>
    <w:rsid w:val="2432664A"/>
    <w:rsid w:val="24381921"/>
    <w:rsid w:val="24388F66"/>
    <w:rsid w:val="24459FEF"/>
    <w:rsid w:val="244660D6"/>
    <w:rsid w:val="24535D97"/>
    <w:rsid w:val="24562A9F"/>
    <w:rsid w:val="245F2AA9"/>
    <w:rsid w:val="2463F9A1"/>
    <w:rsid w:val="24742D27"/>
    <w:rsid w:val="247AAB1B"/>
    <w:rsid w:val="247F7EBA"/>
    <w:rsid w:val="2482BA9D"/>
    <w:rsid w:val="2486E9E7"/>
    <w:rsid w:val="248BD2C0"/>
    <w:rsid w:val="249C9B88"/>
    <w:rsid w:val="249CC432"/>
    <w:rsid w:val="249CEB2A"/>
    <w:rsid w:val="249F0B96"/>
    <w:rsid w:val="24A9F670"/>
    <w:rsid w:val="24AFD0B6"/>
    <w:rsid w:val="24B3191E"/>
    <w:rsid w:val="24B84201"/>
    <w:rsid w:val="24B8A076"/>
    <w:rsid w:val="24B96A47"/>
    <w:rsid w:val="24C6A51E"/>
    <w:rsid w:val="24E06FE4"/>
    <w:rsid w:val="24E0AF07"/>
    <w:rsid w:val="24E73D32"/>
    <w:rsid w:val="24E9A0ED"/>
    <w:rsid w:val="24ED0655"/>
    <w:rsid w:val="24F41D7C"/>
    <w:rsid w:val="2501CCD0"/>
    <w:rsid w:val="2506F399"/>
    <w:rsid w:val="250BD0A7"/>
    <w:rsid w:val="25189621"/>
    <w:rsid w:val="251F0296"/>
    <w:rsid w:val="252D942B"/>
    <w:rsid w:val="2530723D"/>
    <w:rsid w:val="2531C0BB"/>
    <w:rsid w:val="253413B0"/>
    <w:rsid w:val="253D30CF"/>
    <w:rsid w:val="25434CA9"/>
    <w:rsid w:val="25436A19"/>
    <w:rsid w:val="2547CD20"/>
    <w:rsid w:val="254E9F1E"/>
    <w:rsid w:val="254F7A37"/>
    <w:rsid w:val="255EAFB0"/>
    <w:rsid w:val="256310FD"/>
    <w:rsid w:val="2563D072"/>
    <w:rsid w:val="25697E7D"/>
    <w:rsid w:val="257716C7"/>
    <w:rsid w:val="257C7861"/>
    <w:rsid w:val="258525CA"/>
    <w:rsid w:val="258F1841"/>
    <w:rsid w:val="2596B3A8"/>
    <w:rsid w:val="25990BD5"/>
    <w:rsid w:val="259FCC29"/>
    <w:rsid w:val="25A51E75"/>
    <w:rsid w:val="25A5531C"/>
    <w:rsid w:val="25A951AB"/>
    <w:rsid w:val="25ABB30A"/>
    <w:rsid w:val="25B2C29E"/>
    <w:rsid w:val="25B9969A"/>
    <w:rsid w:val="25C38BF2"/>
    <w:rsid w:val="25CC1D0E"/>
    <w:rsid w:val="25CD4C8E"/>
    <w:rsid w:val="25D8CD60"/>
    <w:rsid w:val="25DBB413"/>
    <w:rsid w:val="25DF6565"/>
    <w:rsid w:val="25E1218A"/>
    <w:rsid w:val="25E585C5"/>
    <w:rsid w:val="25E73289"/>
    <w:rsid w:val="25E87583"/>
    <w:rsid w:val="25E98B55"/>
    <w:rsid w:val="25ECFEDB"/>
    <w:rsid w:val="25EF6AC2"/>
    <w:rsid w:val="25EF741A"/>
    <w:rsid w:val="25F3B0F7"/>
    <w:rsid w:val="25F3FB0C"/>
    <w:rsid w:val="25F6335D"/>
    <w:rsid w:val="25FBC3C2"/>
    <w:rsid w:val="26083B13"/>
    <w:rsid w:val="260D343D"/>
    <w:rsid w:val="260D42D5"/>
    <w:rsid w:val="260F40F2"/>
    <w:rsid w:val="260FF975"/>
    <w:rsid w:val="261C8E5A"/>
    <w:rsid w:val="261FD672"/>
    <w:rsid w:val="26243D28"/>
    <w:rsid w:val="26259EA0"/>
    <w:rsid w:val="262EB9DC"/>
    <w:rsid w:val="2630F1AB"/>
    <w:rsid w:val="26379242"/>
    <w:rsid w:val="263795EF"/>
    <w:rsid w:val="263AC56A"/>
    <w:rsid w:val="263D83A4"/>
    <w:rsid w:val="263FB3C5"/>
    <w:rsid w:val="263FF363"/>
    <w:rsid w:val="2646C0A2"/>
    <w:rsid w:val="265E581D"/>
    <w:rsid w:val="265F9B38"/>
    <w:rsid w:val="2660828D"/>
    <w:rsid w:val="26633255"/>
    <w:rsid w:val="2663D7E1"/>
    <w:rsid w:val="266A9403"/>
    <w:rsid w:val="266C5B0F"/>
    <w:rsid w:val="266CE663"/>
    <w:rsid w:val="266F02F9"/>
    <w:rsid w:val="2675B83D"/>
    <w:rsid w:val="267BD04E"/>
    <w:rsid w:val="2683DA5B"/>
    <w:rsid w:val="26851FFC"/>
    <w:rsid w:val="2698547D"/>
    <w:rsid w:val="26A46C7E"/>
    <w:rsid w:val="26AB4455"/>
    <w:rsid w:val="26ABCF52"/>
    <w:rsid w:val="26ABD541"/>
    <w:rsid w:val="26AD193E"/>
    <w:rsid w:val="26B13F6E"/>
    <w:rsid w:val="26B4AA97"/>
    <w:rsid w:val="26BEBE68"/>
    <w:rsid w:val="26C6E6E4"/>
    <w:rsid w:val="26C76033"/>
    <w:rsid w:val="26CD8631"/>
    <w:rsid w:val="26D37977"/>
    <w:rsid w:val="26D3DD34"/>
    <w:rsid w:val="26D6BA22"/>
    <w:rsid w:val="26DE03B5"/>
    <w:rsid w:val="26EC27B6"/>
    <w:rsid w:val="26F767D8"/>
    <w:rsid w:val="26F9CF69"/>
    <w:rsid w:val="2704E8AF"/>
    <w:rsid w:val="270D2E4B"/>
    <w:rsid w:val="271B001C"/>
    <w:rsid w:val="271B1F9D"/>
    <w:rsid w:val="2720FA06"/>
    <w:rsid w:val="272115E7"/>
    <w:rsid w:val="272831B5"/>
    <w:rsid w:val="27337FD7"/>
    <w:rsid w:val="273AFE9D"/>
    <w:rsid w:val="274A2020"/>
    <w:rsid w:val="274ACD48"/>
    <w:rsid w:val="274BD370"/>
    <w:rsid w:val="2752A368"/>
    <w:rsid w:val="2754DDE2"/>
    <w:rsid w:val="2755C354"/>
    <w:rsid w:val="275BC931"/>
    <w:rsid w:val="2764F2DA"/>
    <w:rsid w:val="27686357"/>
    <w:rsid w:val="2771808E"/>
    <w:rsid w:val="2771A4D3"/>
    <w:rsid w:val="27731E5A"/>
    <w:rsid w:val="2774EB35"/>
    <w:rsid w:val="2778EB24"/>
    <w:rsid w:val="277F37AF"/>
    <w:rsid w:val="278B4EEF"/>
    <w:rsid w:val="278D0B11"/>
    <w:rsid w:val="27900898"/>
    <w:rsid w:val="279F1545"/>
    <w:rsid w:val="279F6948"/>
    <w:rsid w:val="279F98FD"/>
    <w:rsid w:val="27A18C70"/>
    <w:rsid w:val="27A19971"/>
    <w:rsid w:val="27A43226"/>
    <w:rsid w:val="27A8E737"/>
    <w:rsid w:val="27AE77AB"/>
    <w:rsid w:val="27B4ED5C"/>
    <w:rsid w:val="27B5602F"/>
    <w:rsid w:val="27C2785D"/>
    <w:rsid w:val="27C4F6FD"/>
    <w:rsid w:val="27CD0F40"/>
    <w:rsid w:val="27D3437A"/>
    <w:rsid w:val="27D9A58B"/>
    <w:rsid w:val="27E9FCEE"/>
    <w:rsid w:val="27EA821E"/>
    <w:rsid w:val="27F0D06D"/>
    <w:rsid w:val="27F9DBE5"/>
    <w:rsid w:val="28016276"/>
    <w:rsid w:val="28066B0C"/>
    <w:rsid w:val="280B018F"/>
    <w:rsid w:val="2814E723"/>
    <w:rsid w:val="28188395"/>
    <w:rsid w:val="28188D78"/>
    <w:rsid w:val="281CE606"/>
    <w:rsid w:val="282D95AF"/>
    <w:rsid w:val="28304CFC"/>
    <w:rsid w:val="28329C78"/>
    <w:rsid w:val="2832B659"/>
    <w:rsid w:val="28394707"/>
    <w:rsid w:val="283D461C"/>
    <w:rsid w:val="28446CE3"/>
    <w:rsid w:val="284A38A6"/>
    <w:rsid w:val="284CF536"/>
    <w:rsid w:val="2850F803"/>
    <w:rsid w:val="285D2ED2"/>
    <w:rsid w:val="285F8748"/>
    <w:rsid w:val="28680305"/>
    <w:rsid w:val="286D5D7C"/>
    <w:rsid w:val="286D6CBF"/>
    <w:rsid w:val="286DFB52"/>
    <w:rsid w:val="2877CB69"/>
    <w:rsid w:val="28796B20"/>
    <w:rsid w:val="287A9BF3"/>
    <w:rsid w:val="287B3141"/>
    <w:rsid w:val="287B5C18"/>
    <w:rsid w:val="28847EBA"/>
    <w:rsid w:val="28849A3D"/>
    <w:rsid w:val="2886828D"/>
    <w:rsid w:val="289C07D7"/>
    <w:rsid w:val="28A6AEB6"/>
    <w:rsid w:val="28AD9578"/>
    <w:rsid w:val="28AFEEBB"/>
    <w:rsid w:val="28B1FF4D"/>
    <w:rsid w:val="28B57516"/>
    <w:rsid w:val="28BC6DAD"/>
    <w:rsid w:val="28C79663"/>
    <w:rsid w:val="28D0693C"/>
    <w:rsid w:val="28D95C7A"/>
    <w:rsid w:val="28D99769"/>
    <w:rsid w:val="28DB8BFF"/>
    <w:rsid w:val="28DBCD62"/>
    <w:rsid w:val="28DCD472"/>
    <w:rsid w:val="28DE09B0"/>
    <w:rsid w:val="28E94D22"/>
    <w:rsid w:val="28EED70D"/>
    <w:rsid w:val="28EF4AF0"/>
    <w:rsid w:val="28EFDBA8"/>
    <w:rsid w:val="28F18071"/>
    <w:rsid w:val="28F1C065"/>
    <w:rsid w:val="28F6862F"/>
    <w:rsid w:val="28F7DA58"/>
    <w:rsid w:val="28FFE56C"/>
    <w:rsid w:val="29026985"/>
    <w:rsid w:val="29040AC9"/>
    <w:rsid w:val="29058A8D"/>
    <w:rsid w:val="29074AF0"/>
    <w:rsid w:val="290756AF"/>
    <w:rsid w:val="290BDE0E"/>
    <w:rsid w:val="290BEEF2"/>
    <w:rsid w:val="2911640B"/>
    <w:rsid w:val="29126E34"/>
    <w:rsid w:val="2926B9A2"/>
    <w:rsid w:val="2927B1A9"/>
    <w:rsid w:val="292CDE3D"/>
    <w:rsid w:val="2934FD72"/>
    <w:rsid w:val="293D991C"/>
    <w:rsid w:val="2944C652"/>
    <w:rsid w:val="2944DA62"/>
    <w:rsid w:val="294DFBA5"/>
    <w:rsid w:val="294F7063"/>
    <w:rsid w:val="29515427"/>
    <w:rsid w:val="29716880"/>
    <w:rsid w:val="29782A80"/>
    <w:rsid w:val="297B7372"/>
    <w:rsid w:val="297E8039"/>
    <w:rsid w:val="29808855"/>
    <w:rsid w:val="298758E0"/>
    <w:rsid w:val="298AAFEC"/>
    <w:rsid w:val="2990A4D0"/>
    <w:rsid w:val="2991C0C2"/>
    <w:rsid w:val="29942362"/>
    <w:rsid w:val="299491F9"/>
    <w:rsid w:val="299C26D6"/>
    <w:rsid w:val="29A5B0C5"/>
    <w:rsid w:val="29A9D80C"/>
    <w:rsid w:val="29AB0408"/>
    <w:rsid w:val="29ADB24E"/>
    <w:rsid w:val="29BE40A5"/>
    <w:rsid w:val="29C7C166"/>
    <w:rsid w:val="29D3DC32"/>
    <w:rsid w:val="29D420DD"/>
    <w:rsid w:val="29DFA4D4"/>
    <w:rsid w:val="29EED435"/>
    <w:rsid w:val="29EEE324"/>
    <w:rsid w:val="29F24993"/>
    <w:rsid w:val="29F51AB7"/>
    <w:rsid w:val="29F9EC35"/>
    <w:rsid w:val="29FB4AD2"/>
    <w:rsid w:val="2A01D672"/>
    <w:rsid w:val="2A05DBD4"/>
    <w:rsid w:val="2A08C0D4"/>
    <w:rsid w:val="2A0B0336"/>
    <w:rsid w:val="2A0B35B4"/>
    <w:rsid w:val="2A25D857"/>
    <w:rsid w:val="2A28A464"/>
    <w:rsid w:val="2A33F6F4"/>
    <w:rsid w:val="2A3C26D5"/>
    <w:rsid w:val="2A3F1D1F"/>
    <w:rsid w:val="2A423725"/>
    <w:rsid w:val="2A43AC2D"/>
    <w:rsid w:val="2A4A57EA"/>
    <w:rsid w:val="2A4CAE9E"/>
    <w:rsid w:val="2A4D5D86"/>
    <w:rsid w:val="2A5564CE"/>
    <w:rsid w:val="2A55BFA6"/>
    <w:rsid w:val="2A5A6167"/>
    <w:rsid w:val="2A6083A5"/>
    <w:rsid w:val="2A6111A1"/>
    <w:rsid w:val="2A6263B6"/>
    <w:rsid w:val="2A6A14B1"/>
    <w:rsid w:val="2A70A1AA"/>
    <w:rsid w:val="2A77DAF0"/>
    <w:rsid w:val="2A7B0CC2"/>
    <w:rsid w:val="2A816B28"/>
    <w:rsid w:val="2A8B17FE"/>
    <w:rsid w:val="2A8EB25B"/>
    <w:rsid w:val="2A931E18"/>
    <w:rsid w:val="2A958E8B"/>
    <w:rsid w:val="2A95EA5E"/>
    <w:rsid w:val="2AA98399"/>
    <w:rsid w:val="2AAAC7DD"/>
    <w:rsid w:val="2AACDD46"/>
    <w:rsid w:val="2AAD11CC"/>
    <w:rsid w:val="2AAE696A"/>
    <w:rsid w:val="2AB3B5B8"/>
    <w:rsid w:val="2AC27158"/>
    <w:rsid w:val="2AC98CCF"/>
    <w:rsid w:val="2ACABC87"/>
    <w:rsid w:val="2AD5F326"/>
    <w:rsid w:val="2AD7F45E"/>
    <w:rsid w:val="2AD81A8D"/>
    <w:rsid w:val="2AD9697D"/>
    <w:rsid w:val="2ADAFA44"/>
    <w:rsid w:val="2AE87D73"/>
    <w:rsid w:val="2AF61962"/>
    <w:rsid w:val="2AF9542E"/>
    <w:rsid w:val="2B011720"/>
    <w:rsid w:val="2B0468BD"/>
    <w:rsid w:val="2B064A01"/>
    <w:rsid w:val="2B22B3E8"/>
    <w:rsid w:val="2B253ABC"/>
    <w:rsid w:val="2B2E9E75"/>
    <w:rsid w:val="2B356A7B"/>
    <w:rsid w:val="2B36E4B8"/>
    <w:rsid w:val="2B42121E"/>
    <w:rsid w:val="2B485E11"/>
    <w:rsid w:val="2B539030"/>
    <w:rsid w:val="2B59316F"/>
    <w:rsid w:val="2B5A5A39"/>
    <w:rsid w:val="2B5F48C6"/>
    <w:rsid w:val="2B60BC75"/>
    <w:rsid w:val="2B6119CB"/>
    <w:rsid w:val="2B62D17C"/>
    <w:rsid w:val="2B669B58"/>
    <w:rsid w:val="2B6C2B42"/>
    <w:rsid w:val="2B6EA48A"/>
    <w:rsid w:val="2B6ED3D8"/>
    <w:rsid w:val="2B75B527"/>
    <w:rsid w:val="2B760BE7"/>
    <w:rsid w:val="2B776E62"/>
    <w:rsid w:val="2B7BDB5B"/>
    <w:rsid w:val="2B7D882D"/>
    <w:rsid w:val="2B846823"/>
    <w:rsid w:val="2B8F730D"/>
    <w:rsid w:val="2B8FFD98"/>
    <w:rsid w:val="2B902EC5"/>
    <w:rsid w:val="2B924D36"/>
    <w:rsid w:val="2B97F038"/>
    <w:rsid w:val="2B988ACB"/>
    <w:rsid w:val="2BA4CC55"/>
    <w:rsid w:val="2BB11A1B"/>
    <w:rsid w:val="2BB49E46"/>
    <w:rsid w:val="2BCBE823"/>
    <w:rsid w:val="2BCCE5E1"/>
    <w:rsid w:val="2BCEBF68"/>
    <w:rsid w:val="2BD3AB0F"/>
    <w:rsid w:val="2BD49E83"/>
    <w:rsid w:val="2BD93AF6"/>
    <w:rsid w:val="2BE5687C"/>
    <w:rsid w:val="2BE8966F"/>
    <w:rsid w:val="2BEACBA4"/>
    <w:rsid w:val="2BEB4BF7"/>
    <w:rsid w:val="2BEBD7B6"/>
    <w:rsid w:val="2BF0419B"/>
    <w:rsid w:val="2BF2093E"/>
    <w:rsid w:val="2BF306E4"/>
    <w:rsid w:val="2C072B84"/>
    <w:rsid w:val="2C095F78"/>
    <w:rsid w:val="2C0E3446"/>
    <w:rsid w:val="2C22F383"/>
    <w:rsid w:val="2C2E897D"/>
    <w:rsid w:val="2C3C522F"/>
    <w:rsid w:val="2C3E81D4"/>
    <w:rsid w:val="2C43BC03"/>
    <w:rsid w:val="2C47E76C"/>
    <w:rsid w:val="2C4A51C1"/>
    <w:rsid w:val="2C522F40"/>
    <w:rsid w:val="2C5824C6"/>
    <w:rsid w:val="2C5A024C"/>
    <w:rsid w:val="2C61A2C3"/>
    <w:rsid w:val="2C7539DE"/>
    <w:rsid w:val="2C760595"/>
    <w:rsid w:val="2C7FBE58"/>
    <w:rsid w:val="2C842ADB"/>
    <w:rsid w:val="2C8E91F3"/>
    <w:rsid w:val="2C979AD4"/>
    <w:rsid w:val="2C9928DB"/>
    <w:rsid w:val="2CA18159"/>
    <w:rsid w:val="2CA3E112"/>
    <w:rsid w:val="2CAA422B"/>
    <w:rsid w:val="2CAC8EC1"/>
    <w:rsid w:val="2CAEF43C"/>
    <w:rsid w:val="2CB2787B"/>
    <w:rsid w:val="2CBAFF76"/>
    <w:rsid w:val="2CBBBB58"/>
    <w:rsid w:val="2CBE60B8"/>
    <w:rsid w:val="2CBF4347"/>
    <w:rsid w:val="2CC1E720"/>
    <w:rsid w:val="2CC1F4B8"/>
    <w:rsid w:val="2CC352ED"/>
    <w:rsid w:val="2CC3B34D"/>
    <w:rsid w:val="2CE5098C"/>
    <w:rsid w:val="2CE61CC9"/>
    <w:rsid w:val="2CEA7DBC"/>
    <w:rsid w:val="2CEAE8BD"/>
    <w:rsid w:val="2CEC6352"/>
    <w:rsid w:val="2CF1E30B"/>
    <w:rsid w:val="2CF4C89C"/>
    <w:rsid w:val="2CF7AC06"/>
    <w:rsid w:val="2CFA4732"/>
    <w:rsid w:val="2D00A3E1"/>
    <w:rsid w:val="2D0300B8"/>
    <w:rsid w:val="2D0888E4"/>
    <w:rsid w:val="2D0B5A9D"/>
    <w:rsid w:val="2D0CE1C0"/>
    <w:rsid w:val="2D1339AB"/>
    <w:rsid w:val="2D13701F"/>
    <w:rsid w:val="2D2A7825"/>
    <w:rsid w:val="2D32F4E9"/>
    <w:rsid w:val="2D368915"/>
    <w:rsid w:val="2D3BBACC"/>
    <w:rsid w:val="2D3C3CC9"/>
    <w:rsid w:val="2D44DEAB"/>
    <w:rsid w:val="2D4799FD"/>
    <w:rsid w:val="2D492BFC"/>
    <w:rsid w:val="2D4E0E0C"/>
    <w:rsid w:val="2D58278C"/>
    <w:rsid w:val="2D5B3DD6"/>
    <w:rsid w:val="2D6AA421"/>
    <w:rsid w:val="2D6B6DB3"/>
    <w:rsid w:val="2D6CFEF2"/>
    <w:rsid w:val="2D752228"/>
    <w:rsid w:val="2D7F2FD8"/>
    <w:rsid w:val="2D82E356"/>
    <w:rsid w:val="2D8782C4"/>
    <w:rsid w:val="2D886E5D"/>
    <w:rsid w:val="2D8B81D9"/>
    <w:rsid w:val="2D8E7202"/>
    <w:rsid w:val="2D9262FE"/>
    <w:rsid w:val="2DA0FC77"/>
    <w:rsid w:val="2DA417F5"/>
    <w:rsid w:val="2DA5C2C1"/>
    <w:rsid w:val="2DAA3852"/>
    <w:rsid w:val="2DAF7D8A"/>
    <w:rsid w:val="2DB3DF1F"/>
    <w:rsid w:val="2DB65BE3"/>
    <w:rsid w:val="2DBB8FE0"/>
    <w:rsid w:val="2DBFB0C4"/>
    <w:rsid w:val="2DC62815"/>
    <w:rsid w:val="2DCABC43"/>
    <w:rsid w:val="2DCBF2CF"/>
    <w:rsid w:val="2DD3009B"/>
    <w:rsid w:val="2DDAA3DA"/>
    <w:rsid w:val="2DE1B9D1"/>
    <w:rsid w:val="2DE42B6E"/>
    <w:rsid w:val="2DE86E61"/>
    <w:rsid w:val="2DEAE80E"/>
    <w:rsid w:val="2DEC2F41"/>
    <w:rsid w:val="2DECC5BA"/>
    <w:rsid w:val="2DF453AF"/>
    <w:rsid w:val="2DFF1932"/>
    <w:rsid w:val="2E09F5C9"/>
    <w:rsid w:val="2E17B46D"/>
    <w:rsid w:val="2E197B5E"/>
    <w:rsid w:val="2E1D507A"/>
    <w:rsid w:val="2E1EDAF9"/>
    <w:rsid w:val="2E20D0BE"/>
    <w:rsid w:val="2E21C6BD"/>
    <w:rsid w:val="2E228C8D"/>
    <w:rsid w:val="2E243D67"/>
    <w:rsid w:val="2E269DDF"/>
    <w:rsid w:val="2E29147D"/>
    <w:rsid w:val="2E30D2EE"/>
    <w:rsid w:val="2E31CB7A"/>
    <w:rsid w:val="2E33793E"/>
    <w:rsid w:val="2E3F27C5"/>
    <w:rsid w:val="2E419CD3"/>
    <w:rsid w:val="2E49FCE0"/>
    <w:rsid w:val="2E4B4DF5"/>
    <w:rsid w:val="2E5C2B2C"/>
    <w:rsid w:val="2E5E0DC0"/>
    <w:rsid w:val="2E65DB19"/>
    <w:rsid w:val="2E6639A1"/>
    <w:rsid w:val="2E7552B3"/>
    <w:rsid w:val="2E7FB168"/>
    <w:rsid w:val="2E823B6B"/>
    <w:rsid w:val="2E845981"/>
    <w:rsid w:val="2E84D437"/>
    <w:rsid w:val="2E91645D"/>
    <w:rsid w:val="2E9791F0"/>
    <w:rsid w:val="2E98DE3A"/>
    <w:rsid w:val="2E9AEDF5"/>
    <w:rsid w:val="2EA6754D"/>
    <w:rsid w:val="2EAE77AC"/>
    <w:rsid w:val="2EB011D6"/>
    <w:rsid w:val="2EB359C3"/>
    <w:rsid w:val="2EB5F57C"/>
    <w:rsid w:val="2ECA5EF0"/>
    <w:rsid w:val="2ECE487E"/>
    <w:rsid w:val="2ED512A9"/>
    <w:rsid w:val="2EDA34A4"/>
    <w:rsid w:val="2EECD079"/>
    <w:rsid w:val="2EED364B"/>
    <w:rsid w:val="2EFBF951"/>
    <w:rsid w:val="2EFF260C"/>
    <w:rsid w:val="2F01A565"/>
    <w:rsid w:val="2F07816C"/>
    <w:rsid w:val="2F08F56B"/>
    <w:rsid w:val="2F0BA82F"/>
    <w:rsid w:val="2F0FF5CC"/>
    <w:rsid w:val="2F10506D"/>
    <w:rsid w:val="2F1529DA"/>
    <w:rsid w:val="2F167902"/>
    <w:rsid w:val="2F1A0137"/>
    <w:rsid w:val="2F221107"/>
    <w:rsid w:val="2F27560E"/>
    <w:rsid w:val="2F2774C9"/>
    <w:rsid w:val="2F2CF872"/>
    <w:rsid w:val="2F32688D"/>
    <w:rsid w:val="2F3AF4EF"/>
    <w:rsid w:val="2F3FC6DD"/>
    <w:rsid w:val="2F4A1A49"/>
    <w:rsid w:val="2F4B35C2"/>
    <w:rsid w:val="2F513FE3"/>
    <w:rsid w:val="2F580E6B"/>
    <w:rsid w:val="2F5EA059"/>
    <w:rsid w:val="2F62225D"/>
    <w:rsid w:val="2F65E823"/>
    <w:rsid w:val="2F66A925"/>
    <w:rsid w:val="2F671CAC"/>
    <w:rsid w:val="2F717C72"/>
    <w:rsid w:val="2F7264DF"/>
    <w:rsid w:val="2F7304E8"/>
    <w:rsid w:val="2F74C524"/>
    <w:rsid w:val="2F8322FB"/>
    <w:rsid w:val="2F864FEB"/>
    <w:rsid w:val="2F8651C1"/>
    <w:rsid w:val="2F88D6E0"/>
    <w:rsid w:val="2F8C3553"/>
    <w:rsid w:val="2F933451"/>
    <w:rsid w:val="2F9BF0F2"/>
    <w:rsid w:val="2F9E05FE"/>
    <w:rsid w:val="2FA211EC"/>
    <w:rsid w:val="2FA99022"/>
    <w:rsid w:val="2FAD2602"/>
    <w:rsid w:val="2FAF4AB3"/>
    <w:rsid w:val="2FB1AA4C"/>
    <w:rsid w:val="2FB1E461"/>
    <w:rsid w:val="2FBD2714"/>
    <w:rsid w:val="2FCD7E49"/>
    <w:rsid w:val="2FCDB89A"/>
    <w:rsid w:val="2FD4AF81"/>
    <w:rsid w:val="2FD980B1"/>
    <w:rsid w:val="2FEE5A22"/>
    <w:rsid w:val="2FFF8C2F"/>
    <w:rsid w:val="3001A34B"/>
    <w:rsid w:val="30119C86"/>
    <w:rsid w:val="3013F809"/>
    <w:rsid w:val="302BE909"/>
    <w:rsid w:val="302FF009"/>
    <w:rsid w:val="3030BA23"/>
    <w:rsid w:val="30339971"/>
    <w:rsid w:val="30376FCD"/>
    <w:rsid w:val="3038749A"/>
    <w:rsid w:val="303B11B4"/>
    <w:rsid w:val="303D2A83"/>
    <w:rsid w:val="304659FA"/>
    <w:rsid w:val="304A4D80"/>
    <w:rsid w:val="304DED6E"/>
    <w:rsid w:val="304E3ED2"/>
    <w:rsid w:val="3059ED32"/>
    <w:rsid w:val="3062A4D5"/>
    <w:rsid w:val="3067EFF2"/>
    <w:rsid w:val="306F5CF4"/>
    <w:rsid w:val="307048D9"/>
    <w:rsid w:val="3070E43A"/>
    <w:rsid w:val="307135AD"/>
    <w:rsid w:val="30724DA4"/>
    <w:rsid w:val="30735B8E"/>
    <w:rsid w:val="30744589"/>
    <w:rsid w:val="3077DE37"/>
    <w:rsid w:val="3078035D"/>
    <w:rsid w:val="30783A46"/>
    <w:rsid w:val="30796E83"/>
    <w:rsid w:val="307E6979"/>
    <w:rsid w:val="30818792"/>
    <w:rsid w:val="308E5C43"/>
    <w:rsid w:val="30912625"/>
    <w:rsid w:val="309FC5F8"/>
    <w:rsid w:val="30AA30CA"/>
    <w:rsid w:val="30AA3E3E"/>
    <w:rsid w:val="30AA9608"/>
    <w:rsid w:val="30AC14A4"/>
    <w:rsid w:val="30AF2296"/>
    <w:rsid w:val="30B3E3D6"/>
    <w:rsid w:val="30B81E3D"/>
    <w:rsid w:val="30BA07CF"/>
    <w:rsid w:val="30BA58A0"/>
    <w:rsid w:val="30C7DA7A"/>
    <w:rsid w:val="30D9F017"/>
    <w:rsid w:val="30DCB9DB"/>
    <w:rsid w:val="30E4BC17"/>
    <w:rsid w:val="30EC520E"/>
    <w:rsid w:val="30F05DEA"/>
    <w:rsid w:val="30F082C8"/>
    <w:rsid w:val="30F08A40"/>
    <w:rsid w:val="30F38DEE"/>
    <w:rsid w:val="30F7B775"/>
    <w:rsid w:val="30F860C4"/>
    <w:rsid w:val="30FCA8D7"/>
    <w:rsid w:val="310BABC4"/>
    <w:rsid w:val="310DCBAC"/>
    <w:rsid w:val="310E92BE"/>
    <w:rsid w:val="3116C61B"/>
    <w:rsid w:val="311B9613"/>
    <w:rsid w:val="311E2122"/>
    <w:rsid w:val="31208395"/>
    <w:rsid w:val="3121FFAE"/>
    <w:rsid w:val="312A976C"/>
    <w:rsid w:val="312B2812"/>
    <w:rsid w:val="31310D64"/>
    <w:rsid w:val="3138EC46"/>
    <w:rsid w:val="3144FE93"/>
    <w:rsid w:val="31479BAC"/>
    <w:rsid w:val="314F79E0"/>
    <w:rsid w:val="31512DF2"/>
    <w:rsid w:val="31523C49"/>
    <w:rsid w:val="315CF4D9"/>
    <w:rsid w:val="315DE117"/>
    <w:rsid w:val="315FA3DD"/>
    <w:rsid w:val="3167D9EE"/>
    <w:rsid w:val="31724B28"/>
    <w:rsid w:val="317F945C"/>
    <w:rsid w:val="31835B5C"/>
    <w:rsid w:val="318B0110"/>
    <w:rsid w:val="3197C1A1"/>
    <w:rsid w:val="319A5A5F"/>
    <w:rsid w:val="319AA7B3"/>
    <w:rsid w:val="319E02AE"/>
    <w:rsid w:val="319FFE22"/>
    <w:rsid w:val="31A0898E"/>
    <w:rsid w:val="31A2A0A4"/>
    <w:rsid w:val="31A456C5"/>
    <w:rsid w:val="31A82B4D"/>
    <w:rsid w:val="31AAB21D"/>
    <w:rsid w:val="31B6B047"/>
    <w:rsid w:val="31B92FB9"/>
    <w:rsid w:val="31B9322E"/>
    <w:rsid w:val="31CA8FEE"/>
    <w:rsid w:val="31CED280"/>
    <w:rsid w:val="31D68A32"/>
    <w:rsid w:val="31D846B0"/>
    <w:rsid w:val="31E3B671"/>
    <w:rsid w:val="31E7C1DA"/>
    <w:rsid w:val="31ED06BF"/>
    <w:rsid w:val="31F53AFA"/>
    <w:rsid w:val="31FA62F6"/>
    <w:rsid w:val="31FADA74"/>
    <w:rsid w:val="31FC630F"/>
    <w:rsid w:val="321971DC"/>
    <w:rsid w:val="32274F0E"/>
    <w:rsid w:val="322E3470"/>
    <w:rsid w:val="3232B70E"/>
    <w:rsid w:val="323B008E"/>
    <w:rsid w:val="323EB795"/>
    <w:rsid w:val="324032E9"/>
    <w:rsid w:val="3248A319"/>
    <w:rsid w:val="326329C6"/>
    <w:rsid w:val="32682DD6"/>
    <w:rsid w:val="3269D856"/>
    <w:rsid w:val="326B435D"/>
    <w:rsid w:val="327F15FA"/>
    <w:rsid w:val="327F276E"/>
    <w:rsid w:val="3281B0EC"/>
    <w:rsid w:val="328923D3"/>
    <w:rsid w:val="32894050"/>
    <w:rsid w:val="328A049C"/>
    <w:rsid w:val="328B1517"/>
    <w:rsid w:val="3294DF5A"/>
    <w:rsid w:val="3295B953"/>
    <w:rsid w:val="3298BDA3"/>
    <w:rsid w:val="329C67B0"/>
    <w:rsid w:val="329E800E"/>
    <w:rsid w:val="329F07D4"/>
    <w:rsid w:val="32A0E583"/>
    <w:rsid w:val="32A1EE21"/>
    <w:rsid w:val="32A5BDBD"/>
    <w:rsid w:val="32B2E775"/>
    <w:rsid w:val="32B92310"/>
    <w:rsid w:val="32BA97BC"/>
    <w:rsid w:val="32C05885"/>
    <w:rsid w:val="32D288FF"/>
    <w:rsid w:val="32D4F8B7"/>
    <w:rsid w:val="32DC9747"/>
    <w:rsid w:val="32DCC708"/>
    <w:rsid w:val="32E0F1AF"/>
    <w:rsid w:val="32E30257"/>
    <w:rsid w:val="32E39430"/>
    <w:rsid w:val="32E4124C"/>
    <w:rsid w:val="32E4E621"/>
    <w:rsid w:val="32E4EE25"/>
    <w:rsid w:val="32F1B00E"/>
    <w:rsid w:val="32F2B850"/>
    <w:rsid w:val="32F2CAF0"/>
    <w:rsid w:val="32F8291A"/>
    <w:rsid w:val="32F87F13"/>
    <w:rsid w:val="32F9AED6"/>
    <w:rsid w:val="3300523D"/>
    <w:rsid w:val="3302CD24"/>
    <w:rsid w:val="33086A5F"/>
    <w:rsid w:val="3309B44E"/>
    <w:rsid w:val="3309D062"/>
    <w:rsid w:val="3309E8BC"/>
    <w:rsid w:val="330CC913"/>
    <w:rsid w:val="3314AC98"/>
    <w:rsid w:val="331C5BC7"/>
    <w:rsid w:val="33260860"/>
    <w:rsid w:val="3329C080"/>
    <w:rsid w:val="332F209C"/>
    <w:rsid w:val="333AA651"/>
    <w:rsid w:val="333B7695"/>
    <w:rsid w:val="333EA5AB"/>
    <w:rsid w:val="3345440D"/>
    <w:rsid w:val="334C9A63"/>
    <w:rsid w:val="336086AA"/>
    <w:rsid w:val="33632285"/>
    <w:rsid w:val="336BC532"/>
    <w:rsid w:val="336CF28D"/>
    <w:rsid w:val="336D1015"/>
    <w:rsid w:val="336EB1E4"/>
    <w:rsid w:val="3372E709"/>
    <w:rsid w:val="337440A9"/>
    <w:rsid w:val="3379592C"/>
    <w:rsid w:val="337B884B"/>
    <w:rsid w:val="337D27A2"/>
    <w:rsid w:val="3380ED96"/>
    <w:rsid w:val="3382383B"/>
    <w:rsid w:val="3384B233"/>
    <w:rsid w:val="338A764A"/>
    <w:rsid w:val="338BAF15"/>
    <w:rsid w:val="33955364"/>
    <w:rsid w:val="33A41CAE"/>
    <w:rsid w:val="33B07B90"/>
    <w:rsid w:val="33B22BB4"/>
    <w:rsid w:val="33B32846"/>
    <w:rsid w:val="33B4E3A2"/>
    <w:rsid w:val="33BEA764"/>
    <w:rsid w:val="33D207F6"/>
    <w:rsid w:val="33D4C021"/>
    <w:rsid w:val="33D765E2"/>
    <w:rsid w:val="33E02DEE"/>
    <w:rsid w:val="33E03376"/>
    <w:rsid w:val="33E4C548"/>
    <w:rsid w:val="33E95012"/>
    <w:rsid w:val="33EA001A"/>
    <w:rsid w:val="33ECAF25"/>
    <w:rsid w:val="33F2D0E7"/>
    <w:rsid w:val="33F6CF82"/>
    <w:rsid w:val="33FDA781"/>
    <w:rsid w:val="340A8475"/>
    <w:rsid w:val="340EA499"/>
    <w:rsid w:val="34151B5F"/>
    <w:rsid w:val="34186DD8"/>
    <w:rsid w:val="341B9597"/>
    <w:rsid w:val="342048B8"/>
    <w:rsid w:val="342653C7"/>
    <w:rsid w:val="34283578"/>
    <w:rsid w:val="34301DA9"/>
    <w:rsid w:val="3430F31F"/>
    <w:rsid w:val="3435A582"/>
    <w:rsid w:val="343A51FA"/>
    <w:rsid w:val="343FC2FA"/>
    <w:rsid w:val="34428507"/>
    <w:rsid w:val="344AC282"/>
    <w:rsid w:val="3464DEA5"/>
    <w:rsid w:val="346BC1A5"/>
    <w:rsid w:val="34769191"/>
    <w:rsid w:val="34780F46"/>
    <w:rsid w:val="34829030"/>
    <w:rsid w:val="348F72BD"/>
    <w:rsid w:val="349295E7"/>
    <w:rsid w:val="3496337C"/>
    <w:rsid w:val="349B511B"/>
    <w:rsid w:val="349D1323"/>
    <w:rsid w:val="34A4DD19"/>
    <w:rsid w:val="34A8EEA6"/>
    <w:rsid w:val="34B1F8C8"/>
    <w:rsid w:val="34B510F0"/>
    <w:rsid w:val="34B60D0F"/>
    <w:rsid w:val="34BB660C"/>
    <w:rsid w:val="34BD7D83"/>
    <w:rsid w:val="34C2DA64"/>
    <w:rsid w:val="34C338BA"/>
    <w:rsid w:val="34C6E0B7"/>
    <w:rsid w:val="34C88ECE"/>
    <w:rsid w:val="34D0D6A8"/>
    <w:rsid w:val="34D3D82B"/>
    <w:rsid w:val="34E45F6E"/>
    <w:rsid w:val="34E56220"/>
    <w:rsid w:val="34E82547"/>
    <w:rsid w:val="34F21C87"/>
    <w:rsid w:val="34FAA41D"/>
    <w:rsid w:val="34FE2F6D"/>
    <w:rsid w:val="34FF1DCD"/>
    <w:rsid w:val="35004AD5"/>
    <w:rsid w:val="3504EA5F"/>
    <w:rsid w:val="350DC7D4"/>
    <w:rsid w:val="35107611"/>
    <w:rsid w:val="3519A1D3"/>
    <w:rsid w:val="351F25FA"/>
    <w:rsid w:val="3523E136"/>
    <w:rsid w:val="352ACC39"/>
    <w:rsid w:val="352F8465"/>
    <w:rsid w:val="3544EDC0"/>
    <w:rsid w:val="354A20E2"/>
    <w:rsid w:val="354EF8A7"/>
    <w:rsid w:val="355205F7"/>
    <w:rsid w:val="3559A941"/>
    <w:rsid w:val="3561CD19"/>
    <w:rsid w:val="3561E1D5"/>
    <w:rsid w:val="35679549"/>
    <w:rsid w:val="356ABD0E"/>
    <w:rsid w:val="356E19DE"/>
    <w:rsid w:val="356EB475"/>
    <w:rsid w:val="35742B86"/>
    <w:rsid w:val="3575AF43"/>
    <w:rsid w:val="3576B815"/>
    <w:rsid w:val="3576CE4D"/>
    <w:rsid w:val="35802ED2"/>
    <w:rsid w:val="3587A0D5"/>
    <w:rsid w:val="358CDA85"/>
    <w:rsid w:val="35957418"/>
    <w:rsid w:val="359AE04C"/>
    <w:rsid w:val="35A23610"/>
    <w:rsid w:val="35A32667"/>
    <w:rsid w:val="35A39B06"/>
    <w:rsid w:val="35A7E1F8"/>
    <w:rsid w:val="35AAE761"/>
    <w:rsid w:val="35AD6153"/>
    <w:rsid w:val="35BCEBFD"/>
    <w:rsid w:val="35C1FB45"/>
    <w:rsid w:val="35CD99A9"/>
    <w:rsid w:val="35D08BDB"/>
    <w:rsid w:val="35E38F59"/>
    <w:rsid w:val="35EC4209"/>
    <w:rsid w:val="35EDFCD8"/>
    <w:rsid w:val="35F09C10"/>
    <w:rsid w:val="35FED8A0"/>
    <w:rsid w:val="360D15CC"/>
    <w:rsid w:val="36102733"/>
    <w:rsid w:val="36163D39"/>
    <w:rsid w:val="3619FB3B"/>
    <w:rsid w:val="361C18BE"/>
    <w:rsid w:val="361E50A3"/>
    <w:rsid w:val="362C6E77"/>
    <w:rsid w:val="3631DE34"/>
    <w:rsid w:val="363614FC"/>
    <w:rsid w:val="3636C244"/>
    <w:rsid w:val="363EDBB1"/>
    <w:rsid w:val="363F1523"/>
    <w:rsid w:val="36428809"/>
    <w:rsid w:val="36465F16"/>
    <w:rsid w:val="364C2B8F"/>
    <w:rsid w:val="365119F9"/>
    <w:rsid w:val="36549A72"/>
    <w:rsid w:val="36576B1B"/>
    <w:rsid w:val="365D58C1"/>
    <w:rsid w:val="36648C61"/>
    <w:rsid w:val="3668B73A"/>
    <w:rsid w:val="3669E85B"/>
    <w:rsid w:val="367E675C"/>
    <w:rsid w:val="3686A4AC"/>
    <w:rsid w:val="3691B3F8"/>
    <w:rsid w:val="3693383B"/>
    <w:rsid w:val="369361D7"/>
    <w:rsid w:val="36941421"/>
    <w:rsid w:val="3695C0E8"/>
    <w:rsid w:val="369AEB34"/>
    <w:rsid w:val="369EE6F8"/>
    <w:rsid w:val="36A2E469"/>
    <w:rsid w:val="36A6892D"/>
    <w:rsid w:val="36A9DBD6"/>
    <w:rsid w:val="36AC319E"/>
    <w:rsid w:val="36ACFE37"/>
    <w:rsid w:val="36C309A8"/>
    <w:rsid w:val="36C3BDD8"/>
    <w:rsid w:val="36D78F8B"/>
    <w:rsid w:val="36E0364F"/>
    <w:rsid w:val="36E74F2F"/>
    <w:rsid w:val="36ECB8AA"/>
    <w:rsid w:val="36F2149B"/>
    <w:rsid w:val="36F38DF3"/>
    <w:rsid w:val="36F534DC"/>
    <w:rsid w:val="36F5A4A3"/>
    <w:rsid w:val="36F5B6A8"/>
    <w:rsid w:val="36FB6C37"/>
    <w:rsid w:val="370042C2"/>
    <w:rsid w:val="37012D97"/>
    <w:rsid w:val="3704B7F9"/>
    <w:rsid w:val="37057D1F"/>
    <w:rsid w:val="370C32B7"/>
    <w:rsid w:val="370EB8BD"/>
    <w:rsid w:val="37101A56"/>
    <w:rsid w:val="3716A9A8"/>
    <w:rsid w:val="3719101E"/>
    <w:rsid w:val="371B2F21"/>
    <w:rsid w:val="37229B1F"/>
    <w:rsid w:val="372EBADD"/>
    <w:rsid w:val="372EE86A"/>
    <w:rsid w:val="3733FE86"/>
    <w:rsid w:val="3735400C"/>
    <w:rsid w:val="373BAE20"/>
    <w:rsid w:val="37402284"/>
    <w:rsid w:val="374090B9"/>
    <w:rsid w:val="3740F050"/>
    <w:rsid w:val="3742A073"/>
    <w:rsid w:val="3747E09F"/>
    <w:rsid w:val="374A322A"/>
    <w:rsid w:val="3757D895"/>
    <w:rsid w:val="3758746A"/>
    <w:rsid w:val="3759C534"/>
    <w:rsid w:val="375BE3A7"/>
    <w:rsid w:val="375C4842"/>
    <w:rsid w:val="375D06B8"/>
    <w:rsid w:val="37659E53"/>
    <w:rsid w:val="3768F9A1"/>
    <w:rsid w:val="3772DD3A"/>
    <w:rsid w:val="377A4B5B"/>
    <w:rsid w:val="37805911"/>
    <w:rsid w:val="3792EAE2"/>
    <w:rsid w:val="3796359D"/>
    <w:rsid w:val="3797A981"/>
    <w:rsid w:val="379AB194"/>
    <w:rsid w:val="37A6F90B"/>
    <w:rsid w:val="37AB9495"/>
    <w:rsid w:val="37ACB0BB"/>
    <w:rsid w:val="37B3A142"/>
    <w:rsid w:val="37BA0C64"/>
    <w:rsid w:val="37BAA835"/>
    <w:rsid w:val="37C02A46"/>
    <w:rsid w:val="37C23A5A"/>
    <w:rsid w:val="37CB351A"/>
    <w:rsid w:val="37CB8EE1"/>
    <w:rsid w:val="37D1C7F3"/>
    <w:rsid w:val="37D5E538"/>
    <w:rsid w:val="37DB2DDF"/>
    <w:rsid w:val="37E15042"/>
    <w:rsid w:val="37E80132"/>
    <w:rsid w:val="37E89FFE"/>
    <w:rsid w:val="37EDFD3E"/>
    <w:rsid w:val="37EEDD87"/>
    <w:rsid w:val="37F9CB57"/>
    <w:rsid w:val="37FC496C"/>
    <w:rsid w:val="37FD1353"/>
    <w:rsid w:val="3801E89D"/>
    <w:rsid w:val="3804AD88"/>
    <w:rsid w:val="38083AB2"/>
    <w:rsid w:val="3812F09E"/>
    <w:rsid w:val="3814976A"/>
    <w:rsid w:val="381560B0"/>
    <w:rsid w:val="3817E009"/>
    <w:rsid w:val="381AAB53"/>
    <w:rsid w:val="381D2B6C"/>
    <w:rsid w:val="3827B1FB"/>
    <w:rsid w:val="382DC996"/>
    <w:rsid w:val="38368D1C"/>
    <w:rsid w:val="38426B28"/>
    <w:rsid w:val="38429609"/>
    <w:rsid w:val="38495941"/>
    <w:rsid w:val="384A33C5"/>
    <w:rsid w:val="384E334B"/>
    <w:rsid w:val="3852F597"/>
    <w:rsid w:val="385FDD95"/>
    <w:rsid w:val="38651068"/>
    <w:rsid w:val="386531E8"/>
    <w:rsid w:val="387A96A3"/>
    <w:rsid w:val="387C93DD"/>
    <w:rsid w:val="387DFAA1"/>
    <w:rsid w:val="3880F287"/>
    <w:rsid w:val="38815D9A"/>
    <w:rsid w:val="38862F8A"/>
    <w:rsid w:val="38866D1F"/>
    <w:rsid w:val="388A68D0"/>
    <w:rsid w:val="388BB3C2"/>
    <w:rsid w:val="388FD26E"/>
    <w:rsid w:val="389371AD"/>
    <w:rsid w:val="38984932"/>
    <w:rsid w:val="389FB038"/>
    <w:rsid w:val="38A084DC"/>
    <w:rsid w:val="38B057D7"/>
    <w:rsid w:val="38B072B7"/>
    <w:rsid w:val="38B26AE1"/>
    <w:rsid w:val="38C25122"/>
    <w:rsid w:val="38C5DA99"/>
    <w:rsid w:val="38CA3EA3"/>
    <w:rsid w:val="38CF91DD"/>
    <w:rsid w:val="38DAC544"/>
    <w:rsid w:val="38DFAA5C"/>
    <w:rsid w:val="38E0E372"/>
    <w:rsid w:val="38E1CDA6"/>
    <w:rsid w:val="38E39D53"/>
    <w:rsid w:val="38E78D3F"/>
    <w:rsid w:val="38F0BD8E"/>
    <w:rsid w:val="38F471BD"/>
    <w:rsid w:val="38F4C466"/>
    <w:rsid w:val="390579CF"/>
    <w:rsid w:val="3906E31A"/>
    <w:rsid w:val="390B721C"/>
    <w:rsid w:val="3910E37B"/>
    <w:rsid w:val="3919B8B6"/>
    <w:rsid w:val="39217CE5"/>
    <w:rsid w:val="39219423"/>
    <w:rsid w:val="3921A257"/>
    <w:rsid w:val="393769BD"/>
    <w:rsid w:val="3939C19C"/>
    <w:rsid w:val="3939C29E"/>
    <w:rsid w:val="394BBB66"/>
    <w:rsid w:val="39640217"/>
    <w:rsid w:val="3965DE0D"/>
    <w:rsid w:val="39660CEE"/>
    <w:rsid w:val="396E77F2"/>
    <w:rsid w:val="3978CC65"/>
    <w:rsid w:val="3986FE17"/>
    <w:rsid w:val="3987ACB6"/>
    <w:rsid w:val="399232A8"/>
    <w:rsid w:val="3996C7CF"/>
    <w:rsid w:val="39990775"/>
    <w:rsid w:val="399CDEB3"/>
    <w:rsid w:val="399FDF09"/>
    <w:rsid w:val="39A1779F"/>
    <w:rsid w:val="39A39F28"/>
    <w:rsid w:val="39A6F8DD"/>
    <w:rsid w:val="39A7C7A1"/>
    <w:rsid w:val="39AF7FCB"/>
    <w:rsid w:val="39C38746"/>
    <w:rsid w:val="39CA5634"/>
    <w:rsid w:val="39DAE11F"/>
    <w:rsid w:val="39DB6EFD"/>
    <w:rsid w:val="39E1B244"/>
    <w:rsid w:val="39E6FBF8"/>
    <w:rsid w:val="39E97904"/>
    <w:rsid w:val="39ED38EF"/>
    <w:rsid w:val="39F5C0FB"/>
    <w:rsid w:val="39F6853E"/>
    <w:rsid w:val="39FA1E90"/>
    <w:rsid w:val="39FCE01C"/>
    <w:rsid w:val="3A050536"/>
    <w:rsid w:val="3A05EC59"/>
    <w:rsid w:val="3A0DBC88"/>
    <w:rsid w:val="3A0E0AAA"/>
    <w:rsid w:val="3A0F5D70"/>
    <w:rsid w:val="3A0FA37A"/>
    <w:rsid w:val="3A1D8D45"/>
    <w:rsid w:val="3A1F14B6"/>
    <w:rsid w:val="3A2A65E6"/>
    <w:rsid w:val="3A37A719"/>
    <w:rsid w:val="3A3F9CB0"/>
    <w:rsid w:val="3A41C449"/>
    <w:rsid w:val="3A449B3A"/>
    <w:rsid w:val="3A49AB94"/>
    <w:rsid w:val="3A599D37"/>
    <w:rsid w:val="3A5C968F"/>
    <w:rsid w:val="3A5FAE81"/>
    <w:rsid w:val="3A651087"/>
    <w:rsid w:val="3A696374"/>
    <w:rsid w:val="3A773C43"/>
    <w:rsid w:val="3A7962DC"/>
    <w:rsid w:val="3A7A4135"/>
    <w:rsid w:val="3A866D9D"/>
    <w:rsid w:val="3A96CF03"/>
    <w:rsid w:val="3AAF9578"/>
    <w:rsid w:val="3AB307B9"/>
    <w:rsid w:val="3AB4D2B5"/>
    <w:rsid w:val="3AB631D9"/>
    <w:rsid w:val="3ABE0CF2"/>
    <w:rsid w:val="3AC53BC7"/>
    <w:rsid w:val="3AC6D829"/>
    <w:rsid w:val="3ACC3377"/>
    <w:rsid w:val="3ACDDAF3"/>
    <w:rsid w:val="3AD32854"/>
    <w:rsid w:val="3AD60D20"/>
    <w:rsid w:val="3ADDC7EE"/>
    <w:rsid w:val="3AEE1D86"/>
    <w:rsid w:val="3AF46B8B"/>
    <w:rsid w:val="3AF68649"/>
    <w:rsid w:val="3AF8F8A6"/>
    <w:rsid w:val="3AFEB76E"/>
    <w:rsid w:val="3B056858"/>
    <w:rsid w:val="3B133509"/>
    <w:rsid w:val="3B1959B7"/>
    <w:rsid w:val="3B1D7A6E"/>
    <w:rsid w:val="3B1FDDF1"/>
    <w:rsid w:val="3B241101"/>
    <w:rsid w:val="3B2FDBE1"/>
    <w:rsid w:val="3B3322DA"/>
    <w:rsid w:val="3B403695"/>
    <w:rsid w:val="3B41F1F9"/>
    <w:rsid w:val="3B475D0F"/>
    <w:rsid w:val="3B4DA77B"/>
    <w:rsid w:val="3B566BD7"/>
    <w:rsid w:val="3B57F4B6"/>
    <w:rsid w:val="3B60C6A3"/>
    <w:rsid w:val="3B66A4FB"/>
    <w:rsid w:val="3B7012D3"/>
    <w:rsid w:val="3B70C476"/>
    <w:rsid w:val="3B71DF6D"/>
    <w:rsid w:val="3B750734"/>
    <w:rsid w:val="3B7FF406"/>
    <w:rsid w:val="3B8043B4"/>
    <w:rsid w:val="3B84D93D"/>
    <w:rsid w:val="3B88C5F5"/>
    <w:rsid w:val="3B8CB03C"/>
    <w:rsid w:val="3B8E3C71"/>
    <w:rsid w:val="3B900BF2"/>
    <w:rsid w:val="3BA3178E"/>
    <w:rsid w:val="3BB53821"/>
    <w:rsid w:val="3BB8A2A4"/>
    <w:rsid w:val="3BB9E954"/>
    <w:rsid w:val="3BC5F39B"/>
    <w:rsid w:val="3BD12485"/>
    <w:rsid w:val="3BD19150"/>
    <w:rsid w:val="3BD3F019"/>
    <w:rsid w:val="3BD431BA"/>
    <w:rsid w:val="3BD5750C"/>
    <w:rsid w:val="3BDF6E5B"/>
    <w:rsid w:val="3BE0FCC5"/>
    <w:rsid w:val="3BE1BE2B"/>
    <w:rsid w:val="3BEA374F"/>
    <w:rsid w:val="3BEA4816"/>
    <w:rsid w:val="3BFB87DC"/>
    <w:rsid w:val="3C030D73"/>
    <w:rsid w:val="3C034328"/>
    <w:rsid w:val="3C0A6203"/>
    <w:rsid w:val="3C14B8FE"/>
    <w:rsid w:val="3C162478"/>
    <w:rsid w:val="3C169226"/>
    <w:rsid w:val="3C16B1A4"/>
    <w:rsid w:val="3C182A97"/>
    <w:rsid w:val="3C194530"/>
    <w:rsid w:val="3C1A7CEE"/>
    <w:rsid w:val="3C21F7A5"/>
    <w:rsid w:val="3C243B9C"/>
    <w:rsid w:val="3C252D27"/>
    <w:rsid w:val="3C261B47"/>
    <w:rsid w:val="3C2AB506"/>
    <w:rsid w:val="3C2C82D7"/>
    <w:rsid w:val="3C2DA268"/>
    <w:rsid w:val="3C37F09A"/>
    <w:rsid w:val="3C3D17CE"/>
    <w:rsid w:val="3C50D3B8"/>
    <w:rsid w:val="3C527E31"/>
    <w:rsid w:val="3C545A22"/>
    <w:rsid w:val="3C5495B3"/>
    <w:rsid w:val="3C593971"/>
    <w:rsid w:val="3C5EBB74"/>
    <w:rsid w:val="3C5F216A"/>
    <w:rsid w:val="3C78B7DE"/>
    <w:rsid w:val="3C7C44F9"/>
    <w:rsid w:val="3C93E0CC"/>
    <w:rsid w:val="3C95B323"/>
    <w:rsid w:val="3C96EA31"/>
    <w:rsid w:val="3C9EDD7A"/>
    <w:rsid w:val="3C9F043C"/>
    <w:rsid w:val="3CAA98FD"/>
    <w:rsid w:val="3CACAF5A"/>
    <w:rsid w:val="3CB3D7F2"/>
    <w:rsid w:val="3CBFE4B3"/>
    <w:rsid w:val="3CCA052B"/>
    <w:rsid w:val="3CCA4157"/>
    <w:rsid w:val="3CCAB381"/>
    <w:rsid w:val="3CCB22C5"/>
    <w:rsid w:val="3CCEA555"/>
    <w:rsid w:val="3CCEAB42"/>
    <w:rsid w:val="3CD6EC2F"/>
    <w:rsid w:val="3CDB00E2"/>
    <w:rsid w:val="3CDF5DE4"/>
    <w:rsid w:val="3CE400B1"/>
    <w:rsid w:val="3CE83052"/>
    <w:rsid w:val="3CE977DC"/>
    <w:rsid w:val="3CF743F2"/>
    <w:rsid w:val="3CFA94A9"/>
    <w:rsid w:val="3D0478D4"/>
    <w:rsid w:val="3D07340B"/>
    <w:rsid w:val="3D0AB6CA"/>
    <w:rsid w:val="3D1196DF"/>
    <w:rsid w:val="3D1986DA"/>
    <w:rsid w:val="3D1BB438"/>
    <w:rsid w:val="3D1BC80F"/>
    <w:rsid w:val="3D208DE7"/>
    <w:rsid w:val="3D23902E"/>
    <w:rsid w:val="3D290045"/>
    <w:rsid w:val="3D2F56DA"/>
    <w:rsid w:val="3D2FB275"/>
    <w:rsid w:val="3D302012"/>
    <w:rsid w:val="3D327BED"/>
    <w:rsid w:val="3D341405"/>
    <w:rsid w:val="3D34AAF5"/>
    <w:rsid w:val="3D3A4A01"/>
    <w:rsid w:val="3D4EFFC1"/>
    <w:rsid w:val="3D505776"/>
    <w:rsid w:val="3D543CDB"/>
    <w:rsid w:val="3D5C2068"/>
    <w:rsid w:val="3D6BE5CA"/>
    <w:rsid w:val="3D759414"/>
    <w:rsid w:val="3D760C6F"/>
    <w:rsid w:val="3D79C254"/>
    <w:rsid w:val="3D8593C6"/>
    <w:rsid w:val="3D86B6AF"/>
    <w:rsid w:val="3DA14D56"/>
    <w:rsid w:val="3DA1DADD"/>
    <w:rsid w:val="3DAB25FA"/>
    <w:rsid w:val="3DC45F91"/>
    <w:rsid w:val="3DD0E37A"/>
    <w:rsid w:val="3DD4D63A"/>
    <w:rsid w:val="3DD66FD7"/>
    <w:rsid w:val="3DD835BB"/>
    <w:rsid w:val="3DDD0FCB"/>
    <w:rsid w:val="3DE3DE1F"/>
    <w:rsid w:val="3DE6C09F"/>
    <w:rsid w:val="3DE7B121"/>
    <w:rsid w:val="3DECFBB8"/>
    <w:rsid w:val="3DFF5002"/>
    <w:rsid w:val="3E0D5C13"/>
    <w:rsid w:val="3E0F9309"/>
    <w:rsid w:val="3E116F0A"/>
    <w:rsid w:val="3E12812E"/>
    <w:rsid w:val="3E1827B1"/>
    <w:rsid w:val="3E1D1639"/>
    <w:rsid w:val="3E1D94BF"/>
    <w:rsid w:val="3E1D9829"/>
    <w:rsid w:val="3E1F8F7B"/>
    <w:rsid w:val="3E2E417F"/>
    <w:rsid w:val="3E362999"/>
    <w:rsid w:val="3E3A37EA"/>
    <w:rsid w:val="3E3D9959"/>
    <w:rsid w:val="3E3EAEDE"/>
    <w:rsid w:val="3E437624"/>
    <w:rsid w:val="3E46CFB1"/>
    <w:rsid w:val="3E4BA14B"/>
    <w:rsid w:val="3E54BF44"/>
    <w:rsid w:val="3E683EC2"/>
    <w:rsid w:val="3E6B54BA"/>
    <w:rsid w:val="3E704195"/>
    <w:rsid w:val="3E7398BF"/>
    <w:rsid w:val="3E79DDF3"/>
    <w:rsid w:val="3E7F36ED"/>
    <w:rsid w:val="3E7F7A6F"/>
    <w:rsid w:val="3E8B462F"/>
    <w:rsid w:val="3E92A38A"/>
    <w:rsid w:val="3E961E38"/>
    <w:rsid w:val="3E9A4BFB"/>
    <w:rsid w:val="3EAD24D9"/>
    <w:rsid w:val="3EB191D6"/>
    <w:rsid w:val="3EB5E889"/>
    <w:rsid w:val="3EB9B4ED"/>
    <w:rsid w:val="3EBE1D03"/>
    <w:rsid w:val="3EC31488"/>
    <w:rsid w:val="3ECD4FEC"/>
    <w:rsid w:val="3ED82385"/>
    <w:rsid w:val="3EDE6C85"/>
    <w:rsid w:val="3EE2C967"/>
    <w:rsid w:val="3EE32EA2"/>
    <w:rsid w:val="3EE51089"/>
    <w:rsid w:val="3EE639EB"/>
    <w:rsid w:val="3EE97781"/>
    <w:rsid w:val="3EEA0904"/>
    <w:rsid w:val="3EEA3CCB"/>
    <w:rsid w:val="3F0E947C"/>
    <w:rsid w:val="3F10AA3B"/>
    <w:rsid w:val="3F146BDC"/>
    <w:rsid w:val="3F15FF95"/>
    <w:rsid w:val="3F208FC3"/>
    <w:rsid w:val="3F213816"/>
    <w:rsid w:val="3F219434"/>
    <w:rsid w:val="3F22E7F2"/>
    <w:rsid w:val="3F2ED8AA"/>
    <w:rsid w:val="3F3071C6"/>
    <w:rsid w:val="3F37F4C3"/>
    <w:rsid w:val="3F42C364"/>
    <w:rsid w:val="3F449D8F"/>
    <w:rsid w:val="3F49F909"/>
    <w:rsid w:val="3F4B91E1"/>
    <w:rsid w:val="3F53FA69"/>
    <w:rsid w:val="3F55CE8A"/>
    <w:rsid w:val="3F6CB24D"/>
    <w:rsid w:val="3F6FFC5B"/>
    <w:rsid w:val="3F725546"/>
    <w:rsid w:val="3F7286E3"/>
    <w:rsid w:val="3F786C55"/>
    <w:rsid w:val="3F79227B"/>
    <w:rsid w:val="3F7FCA52"/>
    <w:rsid w:val="3F8117DC"/>
    <w:rsid w:val="3F83DE65"/>
    <w:rsid w:val="3F843892"/>
    <w:rsid w:val="3F85CA27"/>
    <w:rsid w:val="3F88F940"/>
    <w:rsid w:val="3F9E8993"/>
    <w:rsid w:val="3FA077AE"/>
    <w:rsid w:val="3FAC4D8F"/>
    <w:rsid w:val="3FC0B306"/>
    <w:rsid w:val="3FC3FE02"/>
    <w:rsid w:val="3FC4077F"/>
    <w:rsid w:val="3FC55471"/>
    <w:rsid w:val="3FCDADA5"/>
    <w:rsid w:val="3FCFCE1C"/>
    <w:rsid w:val="3FD02F40"/>
    <w:rsid w:val="3FD485BB"/>
    <w:rsid w:val="3FDE4869"/>
    <w:rsid w:val="3FE5193D"/>
    <w:rsid w:val="3FE6F1F5"/>
    <w:rsid w:val="3FEEB6E4"/>
    <w:rsid w:val="3FEF630E"/>
    <w:rsid w:val="3FF4CD74"/>
    <w:rsid w:val="3FFDE527"/>
    <w:rsid w:val="40072D0E"/>
    <w:rsid w:val="4008EC1B"/>
    <w:rsid w:val="400D2A51"/>
    <w:rsid w:val="401D9097"/>
    <w:rsid w:val="4020CB42"/>
    <w:rsid w:val="402512A9"/>
    <w:rsid w:val="40286C6C"/>
    <w:rsid w:val="402A31F5"/>
    <w:rsid w:val="402A61AB"/>
    <w:rsid w:val="402BCBDD"/>
    <w:rsid w:val="40307AE2"/>
    <w:rsid w:val="4030E324"/>
    <w:rsid w:val="40348AFC"/>
    <w:rsid w:val="4038B826"/>
    <w:rsid w:val="403B77DF"/>
    <w:rsid w:val="40401C20"/>
    <w:rsid w:val="404254F8"/>
    <w:rsid w:val="4047415F"/>
    <w:rsid w:val="40497206"/>
    <w:rsid w:val="404A68FE"/>
    <w:rsid w:val="404E7019"/>
    <w:rsid w:val="406428C4"/>
    <w:rsid w:val="40749C17"/>
    <w:rsid w:val="407A4E7A"/>
    <w:rsid w:val="407AE779"/>
    <w:rsid w:val="4084B42D"/>
    <w:rsid w:val="408DC4AD"/>
    <w:rsid w:val="4096EF7A"/>
    <w:rsid w:val="40A0F217"/>
    <w:rsid w:val="40A30F35"/>
    <w:rsid w:val="40A33311"/>
    <w:rsid w:val="40A4F907"/>
    <w:rsid w:val="40AEF649"/>
    <w:rsid w:val="40BCE0BF"/>
    <w:rsid w:val="40BDB21D"/>
    <w:rsid w:val="40BEF406"/>
    <w:rsid w:val="40C32C7A"/>
    <w:rsid w:val="40C82CB8"/>
    <w:rsid w:val="40CC5F73"/>
    <w:rsid w:val="40CE2647"/>
    <w:rsid w:val="40CF0FC1"/>
    <w:rsid w:val="40D5669F"/>
    <w:rsid w:val="40D5C6D0"/>
    <w:rsid w:val="40D84191"/>
    <w:rsid w:val="40DB1F99"/>
    <w:rsid w:val="40DBDE4F"/>
    <w:rsid w:val="40DFB03F"/>
    <w:rsid w:val="40E59D2D"/>
    <w:rsid w:val="40E7B27A"/>
    <w:rsid w:val="40EDD679"/>
    <w:rsid w:val="40F0E78F"/>
    <w:rsid w:val="40F51686"/>
    <w:rsid w:val="40F892FE"/>
    <w:rsid w:val="40FA6EB3"/>
    <w:rsid w:val="41012122"/>
    <w:rsid w:val="41055862"/>
    <w:rsid w:val="4106698A"/>
    <w:rsid w:val="4109FE2F"/>
    <w:rsid w:val="410EE996"/>
    <w:rsid w:val="4110CCB5"/>
    <w:rsid w:val="41175BF8"/>
    <w:rsid w:val="41183D2B"/>
    <w:rsid w:val="411CA09D"/>
    <w:rsid w:val="411D6AE9"/>
    <w:rsid w:val="41265953"/>
    <w:rsid w:val="413B5EB6"/>
    <w:rsid w:val="41411DAD"/>
    <w:rsid w:val="414285C9"/>
    <w:rsid w:val="41453E4E"/>
    <w:rsid w:val="414A48DE"/>
    <w:rsid w:val="414FC873"/>
    <w:rsid w:val="41571F0A"/>
    <w:rsid w:val="41668E33"/>
    <w:rsid w:val="41669676"/>
    <w:rsid w:val="416B7DBB"/>
    <w:rsid w:val="416EEC8C"/>
    <w:rsid w:val="416F723D"/>
    <w:rsid w:val="41781492"/>
    <w:rsid w:val="417A09FB"/>
    <w:rsid w:val="417FC8EE"/>
    <w:rsid w:val="4182C5B6"/>
    <w:rsid w:val="4183C041"/>
    <w:rsid w:val="418F242E"/>
    <w:rsid w:val="419166CE"/>
    <w:rsid w:val="41958ADB"/>
    <w:rsid w:val="4197BBEA"/>
    <w:rsid w:val="41982BDF"/>
    <w:rsid w:val="4199B7AA"/>
    <w:rsid w:val="419AFFBB"/>
    <w:rsid w:val="41A35A68"/>
    <w:rsid w:val="41A6AFAB"/>
    <w:rsid w:val="41A77570"/>
    <w:rsid w:val="41B235B1"/>
    <w:rsid w:val="41B5A9A5"/>
    <w:rsid w:val="41B81C3F"/>
    <w:rsid w:val="41BCE8FF"/>
    <w:rsid w:val="41BD9FE5"/>
    <w:rsid w:val="41BDB60E"/>
    <w:rsid w:val="41BE8186"/>
    <w:rsid w:val="41BF1990"/>
    <w:rsid w:val="41D6B224"/>
    <w:rsid w:val="41D91936"/>
    <w:rsid w:val="41E0101C"/>
    <w:rsid w:val="41E23E92"/>
    <w:rsid w:val="41E859DA"/>
    <w:rsid w:val="41ECF582"/>
    <w:rsid w:val="41F18D7F"/>
    <w:rsid w:val="41F3912D"/>
    <w:rsid w:val="41F61037"/>
    <w:rsid w:val="41F776FE"/>
    <w:rsid w:val="41F83681"/>
    <w:rsid w:val="41FAC490"/>
    <w:rsid w:val="41FD8002"/>
    <w:rsid w:val="4200DABA"/>
    <w:rsid w:val="42010195"/>
    <w:rsid w:val="420B03FB"/>
    <w:rsid w:val="420C2541"/>
    <w:rsid w:val="4212BC9B"/>
    <w:rsid w:val="42217AE8"/>
    <w:rsid w:val="42221B68"/>
    <w:rsid w:val="422BE201"/>
    <w:rsid w:val="42321F29"/>
    <w:rsid w:val="423921CD"/>
    <w:rsid w:val="425FEB06"/>
    <w:rsid w:val="42610926"/>
    <w:rsid w:val="428933A2"/>
    <w:rsid w:val="428FC60B"/>
    <w:rsid w:val="42923C43"/>
    <w:rsid w:val="4294E1E4"/>
    <w:rsid w:val="429A285D"/>
    <w:rsid w:val="42A8E5E2"/>
    <w:rsid w:val="42B07C95"/>
    <w:rsid w:val="42B8AB53"/>
    <w:rsid w:val="42C3C8DC"/>
    <w:rsid w:val="42C9ADD5"/>
    <w:rsid w:val="42CCED77"/>
    <w:rsid w:val="42DB98AE"/>
    <w:rsid w:val="42DD5780"/>
    <w:rsid w:val="42E160D7"/>
    <w:rsid w:val="42E1663E"/>
    <w:rsid w:val="42E8EE04"/>
    <w:rsid w:val="42EC5B10"/>
    <w:rsid w:val="42EFAA9C"/>
    <w:rsid w:val="42F31F30"/>
    <w:rsid w:val="42F52B46"/>
    <w:rsid w:val="42F6A01D"/>
    <w:rsid w:val="42FFD95B"/>
    <w:rsid w:val="4306D96D"/>
    <w:rsid w:val="430B46B9"/>
    <w:rsid w:val="430E9E6B"/>
    <w:rsid w:val="4312DD5E"/>
    <w:rsid w:val="4315A484"/>
    <w:rsid w:val="4316B54D"/>
    <w:rsid w:val="431ECAFF"/>
    <w:rsid w:val="4321AF06"/>
    <w:rsid w:val="43229266"/>
    <w:rsid w:val="4323A846"/>
    <w:rsid w:val="4323ED19"/>
    <w:rsid w:val="43254F3F"/>
    <w:rsid w:val="432F10E2"/>
    <w:rsid w:val="432FCC2C"/>
    <w:rsid w:val="433123F0"/>
    <w:rsid w:val="4332DB12"/>
    <w:rsid w:val="43350671"/>
    <w:rsid w:val="43370268"/>
    <w:rsid w:val="433F469B"/>
    <w:rsid w:val="4345883B"/>
    <w:rsid w:val="4346BF1E"/>
    <w:rsid w:val="435078A8"/>
    <w:rsid w:val="43591F72"/>
    <w:rsid w:val="43597A56"/>
    <w:rsid w:val="4360FA05"/>
    <w:rsid w:val="4361798F"/>
    <w:rsid w:val="4362182B"/>
    <w:rsid w:val="4364333A"/>
    <w:rsid w:val="43686D58"/>
    <w:rsid w:val="436C60CC"/>
    <w:rsid w:val="436D0798"/>
    <w:rsid w:val="4370FF2E"/>
    <w:rsid w:val="43755EA0"/>
    <w:rsid w:val="4377E0CC"/>
    <w:rsid w:val="437A70E3"/>
    <w:rsid w:val="437CBCD0"/>
    <w:rsid w:val="437FBC87"/>
    <w:rsid w:val="438460D7"/>
    <w:rsid w:val="438E3F3A"/>
    <w:rsid w:val="4398D562"/>
    <w:rsid w:val="439EEB96"/>
    <w:rsid w:val="43A11589"/>
    <w:rsid w:val="43A62501"/>
    <w:rsid w:val="43A8A2B9"/>
    <w:rsid w:val="43AA5648"/>
    <w:rsid w:val="43AD9D59"/>
    <w:rsid w:val="43B59905"/>
    <w:rsid w:val="43BA7BC5"/>
    <w:rsid w:val="43BB259E"/>
    <w:rsid w:val="43C6E737"/>
    <w:rsid w:val="43C8C055"/>
    <w:rsid w:val="43CD275C"/>
    <w:rsid w:val="43CFC066"/>
    <w:rsid w:val="43D1D53E"/>
    <w:rsid w:val="43DB99A6"/>
    <w:rsid w:val="43EAA925"/>
    <w:rsid w:val="43EC1D36"/>
    <w:rsid w:val="43EF5F45"/>
    <w:rsid w:val="43F4905A"/>
    <w:rsid w:val="43FA0FBD"/>
    <w:rsid w:val="43FB869F"/>
    <w:rsid w:val="44077154"/>
    <w:rsid w:val="440908A2"/>
    <w:rsid w:val="440984E3"/>
    <w:rsid w:val="4409C24C"/>
    <w:rsid w:val="440B2DDF"/>
    <w:rsid w:val="441CB971"/>
    <w:rsid w:val="4424166F"/>
    <w:rsid w:val="442FAE43"/>
    <w:rsid w:val="44399653"/>
    <w:rsid w:val="443AF6C9"/>
    <w:rsid w:val="443DB80A"/>
    <w:rsid w:val="443DCA0C"/>
    <w:rsid w:val="44467070"/>
    <w:rsid w:val="445581A3"/>
    <w:rsid w:val="4457875A"/>
    <w:rsid w:val="445CF362"/>
    <w:rsid w:val="445EA0E8"/>
    <w:rsid w:val="446208D5"/>
    <w:rsid w:val="4464E3BB"/>
    <w:rsid w:val="446B602D"/>
    <w:rsid w:val="4475267A"/>
    <w:rsid w:val="447A3CE6"/>
    <w:rsid w:val="447E9D80"/>
    <w:rsid w:val="4480432D"/>
    <w:rsid w:val="4481EEEA"/>
    <w:rsid w:val="44838082"/>
    <w:rsid w:val="4485C63E"/>
    <w:rsid w:val="448745A9"/>
    <w:rsid w:val="448C8A12"/>
    <w:rsid w:val="4490ED78"/>
    <w:rsid w:val="44943F76"/>
    <w:rsid w:val="449CC007"/>
    <w:rsid w:val="449D1A9A"/>
    <w:rsid w:val="44A29A4C"/>
    <w:rsid w:val="44A6E118"/>
    <w:rsid w:val="44AD571D"/>
    <w:rsid w:val="44AFDF33"/>
    <w:rsid w:val="44B8E890"/>
    <w:rsid w:val="44BFBF57"/>
    <w:rsid w:val="44C6D7FC"/>
    <w:rsid w:val="44CC31E8"/>
    <w:rsid w:val="44CD2246"/>
    <w:rsid w:val="44D3DE1D"/>
    <w:rsid w:val="44D48682"/>
    <w:rsid w:val="44D55EDE"/>
    <w:rsid w:val="44E8EDA1"/>
    <w:rsid w:val="44ECAEAA"/>
    <w:rsid w:val="44EF98BE"/>
    <w:rsid w:val="44F171A4"/>
    <w:rsid w:val="44F36DAF"/>
    <w:rsid w:val="44FA32AF"/>
    <w:rsid w:val="44FC93B9"/>
    <w:rsid w:val="44FCB9B9"/>
    <w:rsid w:val="4505AAB7"/>
    <w:rsid w:val="4505BE29"/>
    <w:rsid w:val="450E005B"/>
    <w:rsid w:val="450EC588"/>
    <w:rsid w:val="4514230F"/>
    <w:rsid w:val="4514EE65"/>
    <w:rsid w:val="4518E20C"/>
    <w:rsid w:val="4519942E"/>
    <w:rsid w:val="452364F6"/>
    <w:rsid w:val="45269084"/>
    <w:rsid w:val="453503C8"/>
    <w:rsid w:val="453AE856"/>
    <w:rsid w:val="453D93A6"/>
    <w:rsid w:val="454925DC"/>
    <w:rsid w:val="4549E3C2"/>
    <w:rsid w:val="454A10FC"/>
    <w:rsid w:val="454AD69F"/>
    <w:rsid w:val="454AE555"/>
    <w:rsid w:val="454DD867"/>
    <w:rsid w:val="454DF49C"/>
    <w:rsid w:val="45505CCE"/>
    <w:rsid w:val="455F813D"/>
    <w:rsid w:val="456F3D40"/>
    <w:rsid w:val="4570550A"/>
    <w:rsid w:val="45715A07"/>
    <w:rsid w:val="4574A748"/>
    <w:rsid w:val="457B5773"/>
    <w:rsid w:val="457E275A"/>
    <w:rsid w:val="457FC23A"/>
    <w:rsid w:val="45844C03"/>
    <w:rsid w:val="458FF77A"/>
    <w:rsid w:val="459C14E9"/>
    <w:rsid w:val="45AA991F"/>
    <w:rsid w:val="45AC1C94"/>
    <w:rsid w:val="45B3D3E5"/>
    <w:rsid w:val="45C4E3D8"/>
    <w:rsid w:val="45CCBEAB"/>
    <w:rsid w:val="45D3CE59"/>
    <w:rsid w:val="45E7CC87"/>
    <w:rsid w:val="45F1B44F"/>
    <w:rsid w:val="45F83E4A"/>
    <w:rsid w:val="45FE8292"/>
    <w:rsid w:val="460071F3"/>
    <w:rsid w:val="46050C52"/>
    <w:rsid w:val="4607ECF1"/>
    <w:rsid w:val="4638CAAD"/>
    <w:rsid w:val="463B61DE"/>
    <w:rsid w:val="464BF1EC"/>
    <w:rsid w:val="46521D3F"/>
    <w:rsid w:val="46543ADD"/>
    <w:rsid w:val="4658EFEC"/>
    <w:rsid w:val="4659048F"/>
    <w:rsid w:val="4659771B"/>
    <w:rsid w:val="465ACE67"/>
    <w:rsid w:val="465AF663"/>
    <w:rsid w:val="4662A1FF"/>
    <w:rsid w:val="46644D2C"/>
    <w:rsid w:val="466E9D32"/>
    <w:rsid w:val="46770B57"/>
    <w:rsid w:val="467A714E"/>
    <w:rsid w:val="467F1E81"/>
    <w:rsid w:val="467F4FB7"/>
    <w:rsid w:val="4681A980"/>
    <w:rsid w:val="468B5601"/>
    <w:rsid w:val="468C07F4"/>
    <w:rsid w:val="469375A6"/>
    <w:rsid w:val="469DD830"/>
    <w:rsid w:val="469EABDD"/>
    <w:rsid w:val="46A122A5"/>
    <w:rsid w:val="46A848A7"/>
    <w:rsid w:val="46A86B4C"/>
    <w:rsid w:val="46AEDE80"/>
    <w:rsid w:val="46B277F4"/>
    <w:rsid w:val="46B37447"/>
    <w:rsid w:val="46B3D5BC"/>
    <w:rsid w:val="46BE1DFF"/>
    <w:rsid w:val="46C2F135"/>
    <w:rsid w:val="46C6721B"/>
    <w:rsid w:val="46D57B70"/>
    <w:rsid w:val="46DA7023"/>
    <w:rsid w:val="46E07354"/>
    <w:rsid w:val="46E7901C"/>
    <w:rsid w:val="46EBC7D9"/>
    <w:rsid w:val="46F06655"/>
    <w:rsid w:val="46F852F1"/>
    <w:rsid w:val="46F908C0"/>
    <w:rsid w:val="46FE506E"/>
    <w:rsid w:val="46FE8247"/>
    <w:rsid w:val="47027904"/>
    <w:rsid w:val="470545A9"/>
    <w:rsid w:val="47074B99"/>
    <w:rsid w:val="4708F289"/>
    <w:rsid w:val="4708FD93"/>
    <w:rsid w:val="470C81AC"/>
    <w:rsid w:val="4710F274"/>
    <w:rsid w:val="47204B25"/>
    <w:rsid w:val="472C2745"/>
    <w:rsid w:val="4735A80C"/>
    <w:rsid w:val="47362F63"/>
    <w:rsid w:val="473D4684"/>
    <w:rsid w:val="47534EEA"/>
    <w:rsid w:val="47545A52"/>
    <w:rsid w:val="47560676"/>
    <w:rsid w:val="4756A4D3"/>
    <w:rsid w:val="4758B6EA"/>
    <w:rsid w:val="4759502B"/>
    <w:rsid w:val="475FA6EA"/>
    <w:rsid w:val="47712DBB"/>
    <w:rsid w:val="47723817"/>
    <w:rsid w:val="477A7B35"/>
    <w:rsid w:val="477B7285"/>
    <w:rsid w:val="477BDFF6"/>
    <w:rsid w:val="4780FE6E"/>
    <w:rsid w:val="47883594"/>
    <w:rsid w:val="47890950"/>
    <w:rsid w:val="478A600C"/>
    <w:rsid w:val="4795AB0B"/>
    <w:rsid w:val="479B417F"/>
    <w:rsid w:val="479CFC76"/>
    <w:rsid w:val="47A34481"/>
    <w:rsid w:val="47A41C4C"/>
    <w:rsid w:val="47A4A454"/>
    <w:rsid w:val="47AA4DA4"/>
    <w:rsid w:val="47B4AD34"/>
    <w:rsid w:val="47B894F8"/>
    <w:rsid w:val="47B8B1CB"/>
    <w:rsid w:val="47BFCED6"/>
    <w:rsid w:val="47C55893"/>
    <w:rsid w:val="47C57433"/>
    <w:rsid w:val="47CD3656"/>
    <w:rsid w:val="47CE25DB"/>
    <w:rsid w:val="47D155C3"/>
    <w:rsid w:val="47D77FC6"/>
    <w:rsid w:val="47E17A5F"/>
    <w:rsid w:val="47E540EC"/>
    <w:rsid w:val="47E7ABF4"/>
    <w:rsid w:val="480920DB"/>
    <w:rsid w:val="480BC6BC"/>
    <w:rsid w:val="480C15EA"/>
    <w:rsid w:val="4816916E"/>
    <w:rsid w:val="4818D3A3"/>
    <w:rsid w:val="481ED858"/>
    <w:rsid w:val="48267BD4"/>
    <w:rsid w:val="482ED621"/>
    <w:rsid w:val="48314E0F"/>
    <w:rsid w:val="4835C9E3"/>
    <w:rsid w:val="48374D4D"/>
    <w:rsid w:val="483F879B"/>
    <w:rsid w:val="48444167"/>
    <w:rsid w:val="484BBDAD"/>
    <w:rsid w:val="48528F4B"/>
    <w:rsid w:val="4859E8D6"/>
    <w:rsid w:val="485BEA8C"/>
    <w:rsid w:val="485D9839"/>
    <w:rsid w:val="485ED6C4"/>
    <w:rsid w:val="4862722B"/>
    <w:rsid w:val="4869DC35"/>
    <w:rsid w:val="486B07A5"/>
    <w:rsid w:val="486C01F9"/>
    <w:rsid w:val="4873AA73"/>
    <w:rsid w:val="48769592"/>
    <w:rsid w:val="4877940F"/>
    <w:rsid w:val="48808270"/>
    <w:rsid w:val="4882FBB5"/>
    <w:rsid w:val="4884A627"/>
    <w:rsid w:val="488AE688"/>
    <w:rsid w:val="488C49EB"/>
    <w:rsid w:val="488F8FF9"/>
    <w:rsid w:val="48935F3C"/>
    <w:rsid w:val="4893E59C"/>
    <w:rsid w:val="48A7E932"/>
    <w:rsid w:val="48B1F270"/>
    <w:rsid w:val="48B4975E"/>
    <w:rsid w:val="48C29CC0"/>
    <w:rsid w:val="48C863BC"/>
    <w:rsid w:val="48C9AF97"/>
    <w:rsid w:val="48CEDB46"/>
    <w:rsid w:val="48D25CBE"/>
    <w:rsid w:val="48DC73F3"/>
    <w:rsid w:val="48E120B9"/>
    <w:rsid w:val="48E3A2C8"/>
    <w:rsid w:val="48EC5A35"/>
    <w:rsid w:val="48ECB53E"/>
    <w:rsid w:val="48F4C875"/>
    <w:rsid w:val="48FBB0F8"/>
    <w:rsid w:val="48FBFC01"/>
    <w:rsid w:val="4901121F"/>
    <w:rsid w:val="49012F41"/>
    <w:rsid w:val="49151CA6"/>
    <w:rsid w:val="49303DCE"/>
    <w:rsid w:val="4931017E"/>
    <w:rsid w:val="4934B95C"/>
    <w:rsid w:val="493E5753"/>
    <w:rsid w:val="494EFCDF"/>
    <w:rsid w:val="4951E172"/>
    <w:rsid w:val="4954ABD7"/>
    <w:rsid w:val="4962E3A6"/>
    <w:rsid w:val="496B1A43"/>
    <w:rsid w:val="496DEC3A"/>
    <w:rsid w:val="496E192D"/>
    <w:rsid w:val="4973F412"/>
    <w:rsid w:val="497D66A8"/>
    <w:rsid w:val="498356C6"/>
    <w:rsid w:val="4987D010"/>
    <w:rsid w:val="4988E5DA"/>
    <w:rsid w:val="498F1CBC"/>
    <w:rsid w:val="49916835"/>
    <w:rsid w:val="499B2CBC"/>
    <w:rsid w:val="49A8191C"/>
    <w:rsid w:val="49AB5EFB"/>
    <w:rsid w:val="49AC7E66"/>
    <w:rsid w:val="49B216DB"/>
    <w:rsid w:val="49B6399B"/>
    <w:rsid w:val="49B958AC"/>
    <w:rsid w:val="49B97AEF"/>
    <w:rsid w:val="49C0F668"/>
    <w:rsid w:val="49C35F81"/>
    <w:rsid w:val="49C3DF98"/>
    <w:rsid w:val="49C78A43"/>
    <w:rsid w:val="49CDE655"/>
    <w:rsid w:val="49D047B4"/>
    <w:rsid w:val="49D3658B"/>
    <w:rsid w:val="49D45B82"/>
    <w:rsid w:val="49D7D13A"/>
    <w:rsid w:val="49DE8479"/>
    <w:rsid w:val="49E02D88"/>
    <w:rsid w:val="49E0D748"/>
    <w:rsid w:val="49E23B0B"/>
    <w:rsid w:val="49F63B22"/>
    <w:rsid w:val="4A0644B2"/>
    <w:rsid w:val="4A103912"/>
    <w:rsid w:val="4A224827"/>
    <w:rsid w:val="4A25ACFA"/>
    <w:rsid w:val="4A272BA9"/>
    <w:rsid w:val="4A2A9D31"/>
    <w:rsid w:val="4A352C94"/>
    <w:rsid w:val="4A36BE71"/>
    <w:rsid w:val="4A3B19D9"/>
    <w:rsid w:val="4A3C297C"/>
    <w:rsid w:val="4A43B576"/>
    <w:rsid w:val="4A494C2E"/>
    <w:rsid w:val="4A4CAEFB"/>
    <w:rsid w:val="4A598C18"/>
    <w:rsid w:val="4A647D2E"/>
    <w:rsid w:val="4A67F5A2"/>
    <w:rsid w:val="4A6BE431"/>
    <w:rsid w:val="4A6CB283"/>
    <w:rsid w:val="4A6E7ABA"/>
    <w:rsid w:val="4A7504DA"/>
    <w:rsid w:val="4A77F3E1"/>
    <w:rsid w:val="4A7A000F"/>
    <w:rsid w:val="4A7CA308"/>
    <w:rsid w:val="4A8577CA"/>
    <w:rsid w:val="4A8A009D"/>
    <w:rsid w:val="4A8DBFAC"/>
    <w:rsid w:val="4A909922"/>
    <w:rsid w:val="4A90D41B"/>
    <w:rsid w:val="4AA43139"/>
    <w:rsid w:val="4AA5D614"/>
    <w:rsid w:val="4AA8B5FF"/>
    <w:rsid w:val="4AA9929A"/>
    <w:rsid w:val="4AAA0AF6"/>
    <w:rsid w:val="4AACF873"/>
    <w:rsid w:val="4AB75656"/>
    <w:rsid w:val="4AC8C876"/>
    <w:rsid w:val="4AD67B9B"/>
    <w:rsid w:val="4ADA5A54"/>
    <w:rsid w:val="4AE5FA55"/>
    <w:rsid w:val="4AEFEDEA"/>
    <w:rsid w:val="4AF936FC"/>
    <w:rsid w:val="4AFB752A"/>
    <w:rsid w:val="4B0ADC97"/>
    <w:rsid w:val="4B0E867F"/>
    <w:rsid w:val="4B10B144"/>
    <w:rsid w:val="4B1438A5"/>
    <w:rsid w:val="4B30532B"/>
    <w:rsid w:val="4B350985"/>
    <w:rsid w:val="4B376B93"/>
    <w:rsid w:val="4B37CB71"/>
    <w:rsid w:val="4B476400"/>
    <w:rsid w:val="4B495BF0"/>
    <w:rsid w:val="4B50C751"/>
    <w:rsid w:val="4B529B44"/>
    <w:rsid w:val="4B5E284A"/>
    <w:rsid w:val="4B5FCE82"/>
    <w:rsid w:val="4B636017"/>
    <w:rsid w:val="4B65F046"/>
    <w:rsid w:val="4B68F870"/>
    <w:rsid w:val="4B69BEF7"/>
    <w:rsid w:val="4B73D7E4"/>
    <w:rsid w:val="4B7E00D4"/>
    <w:rsid w:val="4B828472"/>
    <w:rsid w:val="4B87BC8F"/>
    <w:rsid w:val="4B8ACA0E"/>
    <w:rsid w:val="4B8ED022"/>
    <w:rsid w:val="4B98F2BC"/>
    <w:rsid w:val="4B99B7C1"/>
    <w:rsid w:val="4BA1E83D"/>
    <w:rsid w:val="4BA2D904"/>
    <w:rsid w:val="4BA35E16"/>
    <w:rsid w:val="4BAA98C8"/>
    <w:rsid w:val="4BB0037A"/>
    <w:rsid w:val="4BB2616D"/>
    <w:rsid w:val="4BB74072"/>
    <w:rsid w:val="4BB7E084"/>
    <w:rsid w:val="4BC48FA1"/>
    <w:rsid w:val="4BC53802"/>
    <w:rsid w:val="4BC671C0"/>
    <w:rsid w:val="4BCF29C9"/>
    <w:rsid w:val="4BD193CD"/>
    <w:rsid w:val="4BD1B115"/>
    <w:rsid w:val="4BD469B2"/>
    <w:rsid w:val="4BE039F5"/>
    <w:rsid w:val="4BE073EE"/>
    <w:rsid w:val="4BE07941"/>
    <w:rsid w:val="4BE70EC7"/>
    <w:rsid w:val="4BF20EA4"/>
    <w:rsid w:val="4BF70752"/>
    <w:rsid w:val="4BFED856"/>
    <w:rsid w:val="4BFFEDC6"/>
    <w:rsid w:val="4C078A34"/>
    <w:rsid w:val="4C1CC96E"/>
    <w:rsid w:val="4C1EB849"/>
    <w:rsid w:val="4C1FA1C7"/>
    <w:rsid w:val="4C25A688"/>
    <w:rsid w:val="4C2CAC99"/>
    <w:rsid w:val="4C2EBD34"/>
    <w:rsid w:val="4C2F9613"/>
    <w:rsid w:val="4C30651A"/>
    <w:rsid w:val="4C3C3DB3"/>
    <w:rsid w:val="4C4028B7"/>
    <w:rsid w:val="4C4BB4FD"/>
    <w:rsid w:val="4C4FEACE"/>
    <w:rsid w:val="4C53ED58"/>
    <w:rsid w:val="4C546A3F"/>
    <w:rsid w:val="4C561BDC"/>
    <w:rsid w:val="4C56CFAC"/>
    <w:rsid w:val="4C631048"/>
    <w:rsid w:val="4C651C55"/>
    <w:rsid w:val="4C6A84A3"/>
    <w:rsid w:val="4C6D0C7C"/>
    <w:rsid w:val="4C6F6947"/>
    <w:rsid w:val="4C7028F7"/>
    <w:rsid w:val="4C70BC34"/>
    <w:rsid w:val="4C75462A"/>
    <w:rsid w:val="4C762F15"/>
    <w:rsid w:val="4C8862C8"/>
    <w:rsid w:val="4C8A6242"/>
    <w:rsid w:val="4C8A776E"/>
    <w:rsid w:val="4C8EAF00"/>
    <w:rsid w:val="4C98FC23"/>
    <w:rsid w:val="4CA2FC36"/>
    <w:rsid w:val="4CA6CC95"/>
    <w:rsid w:val="4CACE0BF"/>
    <w:rsid w:val="4CB49802"/>
    <w:rsid w:val="4CB6E4B3"/>
    <w:rsid w:val="4CC01CC1"/>
    <w:rsid w:val="4CC49281"/>
    <w:rsid w:val="4CCE1D27"/>
    <w:rsid w:val="4CD04768"/>
    <w:rsid w:val="4CD6A4D3"/>
    <w:rsid w:val="4CDAAE40"/>
    <w:rsid w:val="4CDACE93"/>
    <w:rsid w:val="4CDE268F"/>
    <w:rsid w:val="4CE79960"/>
    <w:rsid w:val="4CE79C19"/>
    <w:rsid w:val="4CE9E33A"/>
    <w:rsid w:val="4CEA4B7C"/>
    <w:rsid w:val="4CECCCAC"/>
    <w:rsid w:val="4CF2D3A8"/>
    <w:rsid w:val="4CF56FD7"/>
    <w:rsid w:val="4D0092C0"/>
    <w:rsid w:val="4D03A66A"/>
    <w:rsid w:val="4D176399"/>
    <w:rsid w:val="4D19839E"/>
    <w:rsid w:val="4D232C77"/>
    <w:rsid w:val="4D2BB454"/>
    <w:rsid w:val="4D32B730"/>
    <w:rsid w:val="4D3703C2"/>
    <w:rsid w:val="4D42B380"/>
    <w:rsid w:val="4D42BB35"/>
    <w:rsid w:val="4D437916"/>
    <w:rsid w:val="4D47F432"/>
    <w:rsid w:val="4D49AC4A"/>
    <w:rsid w:val="4D4D4903"/>
    <w:rsid w:val="4D5B5F89"/>
    <w:rsid w:val="4D5F788F"/>
    <w:rsid w:val="4D67AD86"/>
    <w:rsid w:val="4D6E34D3"/>
    <w:rsid w:val="4D6F8B71"/>
    <w:rsid w:val="4D72FBCE"/>
    <w:rsid w:val="4D781F0E"/>
    <w:rsid w:val="4D7E24A1"/>
    <w:rsid w:val="4D8A6CEB"/>
    <w:rsid w:val="4D8A9F4C"/>
    <w:rsid w:val="4D8BF95F"/>
    <w:rsid w:val="4D9AE9AA"/>
    <w:rsid w:val="4DA66E55"/>
    <w:rsid w:val="4DB01873"/>
    <w:rsid w:val="4DB04E0F"/>
    <w:rsid w:val="4DB2C1A9"/>
    <w:rsid w:val="4DB7D2FD"/>
    <w:rsid w:val="4DBFA224"/>
    <w:rsid w:val="4DC61AAD"/>
    <w:rsid w:val="4DC774DD"/>
    <w:rsid w:val="4DD426E8"/>
    <w:rsid w:val="4DD45AE1"/>
    <w:rsid w:val="4DD518DE"/>
    <w:rsid w:val="4DDD0515"/>
    <w:rsid w:val="4DDECD7A"/>
    <w:rsid w:val="4DE42DDB"/>
    <w:rsid w:val="4DEB2F7C"/>
    <w:rsid w:val="4DEE29B5"/>
    <w:rsid w:val="4DF2822A"/>
    <w:rsid w:val="4DF79AFC"/>
    <w:rsid w:val="4DFDC4AF"/>
    <w:rsid w:val="4E0D0165"/>
    <w:rsid w:val="4E10BF9D"/>
    <w:rsid w:val="4E13FDD6"/>
    <w:rsid w:val="4E167856"/>
    <w:rsid w:val="4E18472F"/>
    <w:rsid w:val="4E23AEA9"/>
    <w:rsid w:val="4E277A37"/>
    <w:rsid w:val="4E28B785"/>
    <w:rsid w:val="4E2BE9CD"/>
    <w:rsid w:val="4E308A39"/>
    <w:rsid w:val="4E318C52"/>
    <w:rsid w:val="4E39E78F"/>
    <w:rsid w:val="4E3E4D93"/>
    <w:rsid w:val="4E42235B"/>
    <w:rsid w:val="4E452C82"/>
    <w:rsid w:val="4E52C30B"/>
    <w:rsid w:val="4E5492AB"/>
    <w:rsid w:val="4E68A5A6"/>
    <w:rsid w:val="4E6F04FA"/>
    <w:rsid w:val="4E6FB9DB"/>
    <w:rsid w:val="4E70F824"/>
    <w:rsid w:val="4E76AE0E"/>
    <w:rsid w:val="4E7EDD57"/>
    <w:rsid w:val="4E7F84D0"/>
    <w:rsid w:val="4E9C8B30"/>
    <w:rsid w:val="4E9E8E51"/>
    <w:rsid w:val="4EA2A057"/>
    <w:rsid w:val="4EA77AD4"/>
    <w:rsid w:val="4EA8C45C"/>
    <w:rsid w:val="4EAAFE46"/>
    <w:rsid w:val="4EAF533A"/>
    <w:rsid w:val="4EB001FD"/>
    <w:rsid w:val="4EB42E0F"/>
    <w:rsid w:val="4EB7E035"/>
    <w:rsid w:val="4EBCCD0D"/>
    <w:rsid w:val="4EBF9D2A"/>
    <w:rsid w:val="4ED01ADB"/>
    <w:rsid w:val="4ED13A06"/>
    <w:rsid w:val="4EE151D5"/>
    <w:rsid w:val="4EE1B154"/>
    <w:rsid w:val="4EEF3A8A"/>
    <w:rsid w:val="4F0228FF"/>
    <w:rsid w:val="4F0359F1"/>
    <w:rsid w:val="4F0BFEA6"/>
    <w:rsid w:val="4F0FD75B"/>
    <w:rsid w:val="4F116327"/>
    <w:rsid w:val="4F11B68E"/>
    <w:rsid w:val="4F14A828"/>
    <w:rsid w:val="4F155A95"/>
    <w:rsid w:val="4F1F6DB9"/>
    <w:rsid w:val="4F24375D"/>
    <w:rsid w:val="4F26A98B"/>
    <w:rsid w:val="4F27B995"/>
    <w:rsid w:val="4F28068B"/>
    <w:rsid w:val="4F2A9C9D"/>
    <w:rsid w:val="4F2C8196"/>
    <w:rsid w:val="4F325B44"/>
    <w:rsid w:val="4F38D9AB"/>
    <w:rsid w:val="4F3ABDF0"/>
    <w:rsid w:val="4F4C9B85"/>
    <w:rsid w:val="4F5804E8"/>
    <w:rsid w:val="4F5CD7EA"/>
    <w:rsid w:val="4F5E6D21"/>
    <w:rsid w:val="4F650B4A"/>
    <w:rsid w:val="4F65C95E"/>
    <w:rsid w:val="4F662873"/>
    <w:rsid w:val="4F6DDCA9"/>
    <w:rsid w:val="4F6DE936"/>
    <w:rsid w:val="4F6ED36D"/>
    <w:rsid w:val="4F7126B5"/>
    <w:rsid w:val="4F7624F4"/>
    <w:rsid w:val="4F7A22E1"/>
    <w:rsid w:val="4F7C56B5"/>
    <w:rsid w:val="4F80F192"/>
    <w:rsid w:val="4F84E657"/>
    <w:rsid w:val="4F9A7CA5"/>
    <w:rsid w:val="4F9F68AD"/>
    <w:rsid w:val="4FAB1823"/>
    <w:rsid w:val="4FADD176"/>
    <w:rsid w:val="4FB3B8ED"/>
    <w:rsid w:val="4FB9E73A"/>
    <w:rsid w:val="4FBD9A52"/>
    <w:rsid w:val="4FBDCC13"/>
    <w:rsid w:val="4FC5897D"/>
    <w:rsid w:val="4FC64CD8"/>
    <w:rsid w:val="4FCB8FE4"/>
    <w:rsid w:val="4FD854E3"/>
    <w:rsid w:val="4FD9D708"/>
    <w:rsid w:val="4FDBC4B7"/>
    <w:rsid w:val="4FE8D2E4"/>
    <w:rsid w:val="4FEDA287"/>
    <w:rsid w:val="4FF1434C"/>
    <w:rsid w:val="4FF3E5D8"/>
    <w:rsid w:val="4FFAB351"/>
    <w:rsid w:val="5006B833"/>
    <w:rsid w:val="500D0C05"/>
    <w:rsid w:val="501423AF"/>
    <w:rsid w:val="501B559B"/>
    <w:rsid w:val="502092C1"/>
    <w:rsid w:val="502171A1"/>
    <w:rsid w:val="5022B0AB"/>
    <w:rsid w:val="5025B99A"/>
    <w:rsid w:val="502AC44E"/>
    <w:rsid w:val="502C9759"/>
    <w:rsid w:val="503A956C"/>
    <w:rsid w:val="504C0494"/>
    <w:rsid w:val="504C08D7"/>
    <w:rsid w:val="504DD414"/>
    <w:rsid w:val="5051A02F"/>
    <w:rsid w:val="5051D5F5"/>
    <w:rsid w:val="50589D6E"/>
    <w:rsid w:val="505ACD39"/>
    <w:rsid w:val="505ADE40"/>
    <w:rsid w:val="505E1DAB"/>
    <w:rsid w:val="5060E7CB"/>
    <w:rsid w:val="5060E996"/>
    <w:rsid w:val="506C4415"/>
    <w:rsid w:val="506DAA6C"/>
    <w:rsid w:val="506E6A9D"/>
    <w:rsid w:val="507CF210"/>
    <w:rsid w:val="507F131E"/>
    <w:rsid w:val="50868C03"/>
    <w:rsid w:val="508D0490"/>
    <w:rsid w:val="508E013F"/>
    <w:rsid w:val="50A31804"/>
    <w:rsid w:val="50A6992A"/>
    <w:rsid w:val="50B26FA2"/>
    <w:rsid w:val="50B81101"/>
    <w:rsid w:val="50C130A3"/>
    <w:rsid w:val="50CDA487"/>
    <w:rsid w:val="50D650E0"/>
    <w:rsid w:val="50E3CC74"/>
    <w:rsid w:val="50E5C251"/>
    <w:rsid w:val="50E8B455"/>
    <w:rsid w:val="50F2CA04"/>
    <w:rsid w:val="50F7668B"/>
    <w:rsid w:val="50FFB2E5"/>
    <w:rsid w:val="510554BA"/>
    <w:rsid w:val="5111071E"/>
    <w:rsid w:val="51151BFD"/>
    <w:rsid w:val="51182775"/>
    <w:rsid w:val="5119E100"/>
    <w:rsid w:val="512C11DA"/>
    <w:rsid w:val="512D4413"/>
    <w:rsid w:val="512EE0E7"/>
    <w:rsid w:val="51310AF3"/>
    <w:rsid w:val="5140EB7F"/>
    <w:rsid w:val="51411318"/>
    <w:rsid w:val="5151DBC1"/>
    <w:rsid w:val="51643018"/>
    <w:rsid w:val="51660C9F"/>
    <w:rsid w:val="51670EFA"/>
    <w:rsid w:val="516A6CE1"/>
    <w:rsid w:val="516F822D"/>
    <w:rsid w:val="517B22E1"/>
    <w:rsid w:val="517C1C77"/>
    <w:rsid w:val="517C9E2E"/>
    <w:rsid w:val="5182A311"/>
    <w:rsid w:val="518ABF97"/>
    <w:rsid w:val="518ACDE9"/>
    <w:rsid w:val="518BFAF3"/>
    <w:rsid w:val="518D04EF"/>
    <w:rsid w:val="518D2ACA"/>
    <w:rsid w:val="519255CD"/>
    <w:rsid w:val="5199FE5E"/>
    <w:rsid w:val="519FAEF0"/>
    <w:rsid w:val="51A02175"/>
    <w:rsid w:val="51A04693"/>
    <w:rsid w:val="51A5E683"/>
    <w:rsid w:val="51A68E43"/>
    <w:rsid w:val="51A72AB9"/>
    <w:rsid w:val="51AB1777"/>
    <w:rsid w:val="51AF614B"/>
    <w:rsid w:val="51AFF425"/>
    <w:rsid w:val="51BE08B0"/>
    <w:rsid w:val="51BF3582"/>
    <w:rsid w:val="51C847A3"/>
    <w:rsid w:val="51CA38D6"/>
    <w:rsid w:val="51CBEC3B"/>
    <w:rsid w:val="51D15159"/>
    <w:rsid w:val="51E22FEC"/>
    <w:rsid w:val="51E4AFE5"/>
    <w:rsid w:val="51E59EF0"/>
    <w:rsid w:val="51E69F72"/>
    <w:rsid w:val="51ED57F5"/>
    <w:rsid w:val="51F64A4B"/>
    <w:rsid w:val="51F79856"/>
    <w:rsid w:val="51FD17CD"/>
    <w:rsid w:val="52006FA0"/>
    <w:rsid w:val="52026600"/>
    <w:rsid w:val="5204D7BE"/>
    <w:rsid w:val="52057C40"/>
    <w:rsid w:val="52080293"/>
    <w:rsid w:val="521400AB"/>
    <w:rsid w:val="5214A59C"/>
    <w:rsid w:val="5221EBC5"/>
    <w:rsid w:val="52247E0C"/>
    <w:rsid w:val="522579DB"/>
    <w:rsid w:val="522FFA0E"/>
    <w:rsid w:val="52332F7E"/>
    <w:rsid w:val="5252467E"/>
    <w:rsid w:val="5253CD35"/>
    <w:rsid w:val="525B0635"/>
    <w:rsid w:val="52641C91"/>
    <w:rsid w:val="52698499"/>
    <w:rsid w:val="526AFBB9"/>
    <w:rsid w:val="52729A46"/>
    <w:rsid w:val="527351A6"/>
    <w:rsid w:val="5274D48B"/>
    <w:rsid w:val="5289622B"/>
    <w:rsid w:val="528C48EB"/>
    <w:rsid w:val="529191E6"/>
    <w:rsid w:val="52925C74"/>
    <w:rsid w:val="5293A7BE"/>
    <w:rsid w:val="52A0BB55"/>
    <w:rsid w:val="52AB7BB2"/>
    <w:rsid w:val="52ACFBD7"/>
    <w:rsid w:val="52AE9E06"/>
    <w:rsid w:val="52B385F6"/>
    <w:rsid w:val="52BC2B6C"/>
    <w:rsid w:val="52BF3A82"/>
    <w:rsid w:val="52C57A70"/>
    <w:rsid w:val="52C7FE5C"/>
    <w:rsid w:val="52CA5D6A"/>
    <w:rsid w:val="52CB8978"/>
    <w:rsid w:val="52CC6C21"/>
    <w:rsid w:val="52CDB714"/>
    <w:rsid w:val="52CE01F1"/>
    <w:rsid w:val="52D7096F"/>
    <w:rsid w:val="52DCAE8E"/>
    <w:rsid w:val="52DD0222"/>
    <w:rsid w:val="52DE9FEF"/>
    <w:rsid w:val="52DEDA7D"/>
    <w:rsid w:val="52DF18C6"/>
    <w:rsid w:val="52E26CB9"/>
    <w:rsid w:val="52ECAC2A"/>
    <w:rsid w:val="52ED32FE"/>
    <w:rsid w:val="52F6D7EF"/>
    <w:rsid w:val="52FD5389"/>
    <w:rsid w:val="530B52EB"/>
    <w:rsid w:val="530BE510"/>
    <w:rsid w:val="53172063"/>
    <w:rsid w:val="5326A062"/>
    <w:rsid w:val="5327AF87"/>
    <w:rsid w:val="5334520D"/>
    <w:rsid w:val="5334C210"/>
    <w:rsid w:val="533677A4"/>
    <w:rsid w:val="5337C8EC"/>
    <w:rsid w:val="5339B091"/>
    <w:rsid w:val="533F5BF4"/>
    <w:rsid w:val="53427112"/>
    <w:rsid w:val="534696C1"/>
    <w:rsid w:val="5347BFE5"/>
    <w:rsid w:val="5352094E"/>
    <w:rsid w:val="535445B4"/>
    <w:rsid w:val="535867C5"/>
    <w:rsid w:val="5359423F"/>
    <w:rsid w:val="5359BDEB"/>
    <w:rsid w:val="535CD82E"/>
    <w:rsid w:val="535CFC95"/>
    <w:rsid w:val="53861C41"/>
    <w:rsid w:val="53894D38"/>
    <w:rsid w:val="538C389B"/>
    <w:rsid w:val="538F603F"/>
    <w:rsid w:val="53956B08"/>
    <w:rsid w:val="5396957E"/>
    <w:rsid w:val="5398DDF7"/>
    <w:rsid w:val="53A4B087"/>
    <w:rsid w:val="53B190DD"/>
    <w:rsid w:val="53BC2AA5"/>
    <w:rsid w:val="53C5E7C5"/>
    <w:rsid w:val="53D5AE05"/>
    <w:rsid w:val="53E32A25"/>
    <w:rsid w:val="53E3B032"/>
    <w:rsid w:val="53EB5CF9"/>
    <w:rsid w:val="53F5CCF9"/>
    <w:rsid w:val="53F915DA"/>
    <w:rsid w:val="53FF1F73"/>
    <w:rsid w:val="5402612F"/>
    <w:rsid w:val="54089BED"/>
    <w:rsid w:val="5408C624"/>
    <w:rsid w:val="540EBF87"/>
    <w:rsid w:val="541039EA"/>
    <w:rsid w:val="5411B93E"/>
    <w:rsid w:val="54160F34"/>
    <w:rsid w:val="541C89E0"/>
    <w:rsid w:val="541E0554"/>
    <w:rsid w:val="5420F03E"/>
    <w:rsid w:val="542184FD"/>
    <w:rsid w:val="54260E43"/>
    <w:rsid w:val="542AA389"/>
    <w:rsid w:val="542E4595"/>
    <w:rsid w:val="54300519"/>
    <w:rsid w:val="5430D1AB"/>
    <w:rsid w:val="5437DFC9"/>
    <w:rsid w:val="54464CB9"/>
    <w:rsid w:val="54524633"/>
    <w:rsid w:val="545960C9"/>
    <w:rsid w:val="546582A7"/>
    <w:rsid w:val="546A2F45"/>
    <w:rsid w:val="546BDDF1"/>
    <w:rsid w:val="546D9913"/>
    <w:rsid w:val="547139A2"/>
    <w:rsid w:val="54715393"/>
    <w:rsid w:val="54775243"/>
    <w:rsid w:val="54777FBF"/>
    <w:rsid w:val="54785CCB"/>
    <w:rsid w:val="547A55E5"/>
    <w:rsid w:val="547A943A"/>
    <w:rsid w:val="547ECEAC"/>
    <w:rsid w:val="548A2D66"/>
    <w:rsid w:val="548A5ED3"/>
    <w:rsid w:val="549134FD"/>
    <w:rsid w:val="54954F4C"/>
    <w:rsid w:val="549F8F2E"/>
    <w:rsid w:val="54A42DB9"/>
    <w:rsid w:val="54A7234C"/>
    <w:rsid w:val="54AF3899"/>
    <w:rsid w:val="54B286BC"/>
    <w:rsid w:val="54B4FFDA"/>
    <w:rsid w:val="54B76CF8"/>
    <w:rsid w:val="54C7D0BE"/>
    <w:rsid w:val="54CD1F42"/>
    <w:rsid w:val="54CDEDB2"/>
    <w:rsid w:val="54D997DD"/>
    <w:rsid w:val="54DFFEE4"/>
    <w:rsid w:val="54E69DF5"/>
    <w:rsid w:val="54EA8F3B"/>
    <w:rsid w:val="54FC75D4"/>
    <w:rsid w:val="54FCD747"/>
    <w:rsid w:val="550273A4"/>
    <w:rsid w:val="550A685C"/>
    <w:rsid w:val="550EB0A6"/>
    <w:rsid w:val="55115A26"/>
    <w:rsid w:val="5513558E"/>
    <w:rsid w:val="55164C9B"/>
    <w:rsid w:val="551F6C53"/>
    <w:rsid w:val="55265366"/>
    <w:rsid w:val="5529A2CE"/>
    <w:rsid w:val="552DC979"/>
    <w:rsid w:val="5531A2E0"/>
    <w:rsid w:val="55330E5F"/>
    <w:rsid w:val="5535C319"/>
    <w:rsid w:val="5538667F"/>
    <w:rsid w:val="5541618A"/>
    <w:rsid w:val="5542F6FD"/>
    <w:rsid w:val="554E0DAC"/>
    <w:rsid w:val="5550BF3D"/>
    <w:rsid w:val="55510540"/>
    <w:rsid w:val="5551148E"/>
    <w:rsid w:val="555484F0"/>
    <w:rsid w:val="5555E5D0"/>
    <w:rsid w:val="555CC6C6"/>
    <w:rsid w:val="556585C0"/>
    <w:rsid w:val="5569269B"/>
    <w:rsid w:val="5569F154"/>
    <w:rsid w:val="5570ED2B"/>
    <w:rsid w:val="5571B84C"/>
    <w:rsid w:val="557500F0"/>
    <w:rsid w:val="55782BFA"/>
    <w:rsid w:val="55788686"/>
    <w:rsid w:val="557B1AA0"/>
    <w:rsid w:val="557E67F7"/>
    <w:rsid w:val="55895225"/>
    <w:rsid w:val="55915A10"/>
    <w:rsid w:val="559366D2"/>
    <w:rsid w:val="5599372B"/>
    <w:rsid w:val="559BD84F"/>
    <w:rsid w:val="55A32DF3"/>
    <w:rsid w:val="55A40D96"/>
    <w:rsid w:val="55A9CA5A"/>
    <w:rsid w:val="55AAB843"/>
    <w:rsid w:val="55AB7622"/>
    <w:rsid w:val="55B1BD3C"/>
    <w:rsid w:val="55B71AD9"/>
    <w:rsid w:val="55B76549"/>
    <w:rsid w:val="55BD0CB9"/>
    <w:rsid w:val="55BFE34F"/>
    <w:rsid w:val="55C40165"/>
    <w:rsid w:val="55CE6105"/>
    <w:rsid w:val="55DA6CCA"/>
    <w:rsid w:val="55E5BED6"/>
    <w:rsid w:val="55EB4D11"/>
    <w:rsid w:val="55EE3A6D"/>
    <w:rsid w:val="55F08A52"/>
    <w:rsid w:val="55F28FD8"/>
    <w:rsid w:val="55F8AF2D"/>
    <w:rsid w:val="56026A6F"/>
    <w:rsid w:val="56063E1B"/>
    <w:rsid w:val="560AF643"/>
    <w:rsid w:val="560C1E56"/>
    <w:rsid w:val="560E8BC7"/>
    <w:rsid w:val="5615AB5F"/>
    <w:rsid w:val="561765CD"/>
    <w:rsid w:val="561EEDC5"/>
    <w:rsid w:val="5625AC0C"/>
    <w:rsid w:val="563335F4"/>
    <w:rsid w:val="563755CD"/>
    <w:rsid w:val="563E74C8"/>
    <w:rsid w:val="563ECDF1"/>
    <w:rsid w:val="56401F7D"/>
    <w:rsid w:val="56405152"/>
    <w:rsid w:val="5642F3AD"/>
    <w:rsid w:val="564E2769"/>
    <w:rsid w:val="56526D84"/>
    <w:rsid w:val="56535D29"/>
    <w:rsid w:val="56621BE6"/>
    <w:rsid w:val="5667D55B"/>
    <w:rsid w:val="566964B7"/>
    <w:rsid w:val="5671593E"/>
    <w:rsid w:val="567392E4"/>
    <w:rsid w:val="56798B20"/>
    <w:rsid w:val="5683D061"/>
    <w:rsid w:val="56840A6A"/>
    <w:rsid w:val="5689F167"/>
    <w:rsid w:val="568F077C"/>
    <w:rsid w:val="5696B239"/>
    <w:rsid w:val="569D38EF"/>
    <w:rsid w:val="56A56AFB"/>
    <w:rsid w:val="56A63090"/>
    <w:rsid w:val="56AFB60D"/>
    <w:rsid w:val="56B1970B"/>
    <w:rsid w:val="56B2B051"/>
    <w:rsid w:val="56B86DFB"/>
    <w:rsid w:val="56C2EDFC"/>
    <w:rsid w:val="56C3D5ED"/>
    <w:rsid w:val="56C4C00C"/>
    <w:rsid w:val="56D48869"/>
    <w:rsid w:val="56E15176"/>
    <w:rsid w:val="56E27A06"/>
    <w:rsid w:val="56E560D9"/>
    <w:rsid w:val="56F15DF6"/>
    <w:rsid w:val="56F66347"/>
    <w:rsid w:val="56F87C0B"/>
    <w:rsid w:val="56FBCEE3"/>
    <w:rsid w:val="56FD71FB"/>
    <w:rsid w:val="56FF88AD"/>
    <w:rsid w:val="5702B2E3"/>
    <w:rsid w:val="5704DFA9"/>
    <w:rsid w:val="57089C89"/>
    <w:rsid w:val="570E06FE"/>
    <w:rsid w:val="5710A70B"/>
    <w:rsid w:val="57167305"/>
    <w:rsid w:val="57192B99"/>
    <w:rsid w:val="571A5862"/>
    <w:rsid w:val="571BA338"/>
    <w:rsid w:val="571F125F"/>
    <w:rsid w:val="5723F8F0"/>
    <w:rsid w:val="57262F0F"/>
    <w:rsid w:val="57271619"/>
    <w:rsid w:val="57303196"/>
    <w:rsid w:val="5734A3DD"/>
    <w:rsid w:val="5738DF73"/>
    <w:rsid w:val="5748D5EB"/>
    <w:rsid w:val="574A3E11"/>
    <w:rsid w:val="574FA274"/>
    <w:rsid w:val="57506A8B"/>
    <w:rsid w:val="575211F2"/>
    <w:rsid w:val="5759FC49"/>
    <w:rsid w:val="575AF912"/>
    <w:rsid w:val="575F82D3"/>
    <w:rsid w:val="57632C63"/>
    <w:rsid w:val="576B3A47"/>
    <w:rsid w:val="576F8515"/>
    <w:rsid w:val="576FBF46"/>
    <w:rsid w:val="57805F6A"/>
    <w:rsid w:val="578A10AE"/>
    <w:rsid w:val="578C1F18"/>
    <w:rsid w:val="579DAD97"/>
    <w:rsid w:val="579EAF21"/>
    <w:rsid w:val="579F3638"/>
    <w:rsid w:val="57A5A314"/>
    <w:rsid w:val="57AA057D"/>
    <w:rsid w:val="57B87E5A"/>
    <w:rsid w:val="57B90811"/>
    <w:rsid w:val="57BAD524"/>
    <w:rsid w:val="57BD0027"/>
    <w:rsid w:val="57C80332"/>
    <w:rsid w:val="57CA2CC6"/>
    <w:rsid w:val="57D46565"/>
    <w:rsid w:val="57D6052D"/>
    <w:rsid w:val="57D7F90B"/>
    <w:rsid w:val="57D991FD"/>
    <w:rsid w:val="57DA8E1C"/>
    <w:rsid w:val="57EC5E18"/>
    <w:rsid w:val="57F6F9D0"/>
    <w:rsid w:val="57FB0B8C"/>
    <w:rsid w:val="58033F08"/>
    <w:rsid w:val="58059A64"/>
    <w:rsid w:val="5808AF3E"/>
    <w:rsid w:val="580CEFB3"/>
    <w:rsid w:val="580D5583"/>
    <w:rsid w:val="580E530D"/>
    <w:rsid w:val="5810CC0C"/>
    <w:rsid w:val="581D2762"/>
    <w:rsid w:val="581F6309"/>
    <w:rsid w:val="5826620F"/>
    <w:rsid w:val="58267117"/>
    <w:rsid w:val="58269E83"/>
    <w:rsid w:val="582DCB80"/>
    <w:rsid w:val="58449EC4"/>
    <w:rsid w:val="585A29B4"/>
    <w:rsid w:val="585B628F"/>
    <w:rsid w:val="586A0C04"/>
    <w:rsid w:val="586AF194"/>
    <w:rsid w:val="586B9DAC"/>
    <w:rsid w:val="5871786B"/>
    <w:rsid w:val="58745491"/>
    <w:rsid w:val="587A6A07"/>
    <w:rsid w:val="587AB301"/>
    <w:rsid w:val="5889535F"/>
    <w:rsid w:val="588C482C"/>
    <w:rsid w:val="588F75C9"/>
    <w:rsid w:val="5891FB79"/>
    <w:rsid w:val="58934EC0"/>
    <w:rsid w:val="58948834"/>
    <w:rsid w:val="589A20B4"/>
    <w:rsid w:val="589BD4D7"/>
    <w:rsid w:val="589CB7F9"/>
    <w:rsid w:val="589EAE4B"/>
    <w:rsid w:val="58A7C16A"/>
    <w:rsid w:val="58A8D0E1"/>
    <w:rsid w:val="58B532D6"/>
    <w:rsid w:val="58B53565"/>
    <w:rsid w:val="58B5DD96"/>
    <w:rsid w:val="58BFFA24"/>
    <w:rsid w:val="58C0152D"/>
    <w:rsid w:val="58C721D4"/>
    <w:rsid w:val="58C80418"/>
    <w:rsid w:val="58C99912"/>
    <w:rsid w:val="58D45EC5"/>
    <w:rsid w:val="58D730DD"/>
    <w:rsid w:val="58D7940B"/>
    <w:rsid w:val="58DA9531"/>
    <w:rsid w:val="58E06BDF"/>
    <w:rsid w:val="58E22419"/>
    <w:rsid w:val="58E44F41"/>
    <w:rsid w:val="58E95881"/>
    <w:rsid w:val="58EE0DE5"/>
    <w:rsid w:val="58F0D697"/>
    <w:rsid w:val="58F78A53"/>
    <w:rsid w:val="58F81DF1"/>
    <w:rsid w:val="58FAE8EF"/>
    <w:rsid w:val="58FDC046"/>
    <w:rsid w:val="590244C5"/>
    <w:rsid w:val="590442CE"/>
    <w:rsid w:val="5908A377"/>
    <w:rsid w:val="5908B0F2"/>
    <w:rsid w:val="5908C691"/>
    <w:rsid w:val="590C4F77"/>
    <w:rsid w:val="590FC205"/>
    <w:rsid w:val="590FEB02"/>
    <w:rsid w:val="5913F727"/>
    <w:rsid w:val="591AA179"/>
    <w:rsid w:val="591EECDE"/>
    <w:rsid w:val="5930CF51"/>
    <w:rsid w:val="5933D826"/>
    <w:rsid w:val="5934EE5D"/>
    <w:rsid w:val="593A2DB5"/>
    <w:rsid w:val="593E8176"/>
    <w:rsid w:val="594079B4"/>
    <w:rsid w:val="5945A056"/>
    <w:rsid w:val="5953B936"/>
    <w:rsid w:val="5957C93D"/>
    <w:rsid w:val="595AE958"/>
    <w:rsid w:val="595B6A65"/>
    <w:rsid w:val="5961FE16"/>
    <w:rsid w:val="596F1D1B"/>
    <w:rsid w:val="5978F3BC"/>
    <w:rsid w:val="5982E344"/>
    <w:rsid w:val="59943E2F"/>
    <w:rsid w:val="59957CE9"/>
    <w:rsid w:val="59A54BA8"/>
    <w:rsid w:val="59AA1636"/>
    <w:rsid w:val="59AA7D6D"/>
    <w:rsid w:val="59BA02B1"/>
    <w:rsid w:val="59BB021C"/>
    <w:rsid w:val="59BBEB68"/>
    <w:rsid w:val="59C2B3D3"/>
    <w:rsid w:val="59C50B83"/>
    <w:rsid w:val="59D06026"/>
    <w:rsid w:val="59D72C9A"/>
    <w:rsid w:val="59D747EB"/>
    <w:rsid w:val="59DFC49A"/>
    <w:rsid w:val="59E1A577"/>
    <w:rsid w:val="59E552FE"/>
    <w:rsid w:val="59EA2084"/>
    <w:rsid w:val="59ED5EA6"/>
    <w:rsid w:val="59F1C8BB"/>
    <w:rsid w:val="59F26437"/>
    <w:rsid w:val="59F51B90"/>
    <w:rsid w:val="59F8CE19"/>
    <w:rsid w:val="59F97D0A"/>
    <w:rsid w:val="59FEE284"/>
    <w:rsid w:val="5A0AD334"/>
    <w:rsid w:val="5A0E4213"/>
    <w:rsid w:val="5A128F09"/>
    <w:rsid w:val="5A3573C4"/>
    <w:rsid w:val="5A3BE20D"/>
    <w:rsid w:val="5A459A13"/>
    <w:rsid w:val="5A5485E0"/>
    <w:rsid w:val="5A54B51B"/>
    <w:rsid w:val="5A6B03E7"/>
    <w:rsid w:val="5A6D489E"/>
    <w:rsid w:val="5A7FDE13"/>
    <w:rsid w:val="5A948D67"/>
    <w:rsid w:val="5A9833CE"/>
    <w:rsid w:val="5A98500B"/>
    <w:rsid w:val="5AA37E5F"/>
    <w:rsid w:val="5AAC645F"/>
    <w:rsid w:val="5ABD94ED"/>
    <w:rsid w:val="5ABEBE34"/>
    <w:rsid w:val="5AC212E4"/>
    <w:rsid w:val="5ACA10EC"/>
    <w:rsid w:val="5AD292C2"/>
    <w:rsid w:val="5AE66FF7"/>
    <w:rsid w:val="5AEDD0EF"/>
    <w:rsid w:val="5AF0258F"/>
    <w:rsid w:val="5AF342A7"/>
    <w:rsid w:val="5B0312D0"/>
    <w:rsid w:val="5B064294"/>
    <w:rsid w:val="5B09DCEE"/>
    <w:rsid w:val="5B0CB380"/>
    <w:rsid w:val="5B0EF1A1"/>
    <w:rsid w:val="5B1BAE90"/>
    <w:rsid w:val="5B24B9D2"/>
    <w:rsid w:val="5B2804AB"/>
    <w:rsid w:val="5B30248F"/>
    <w:rsid w:val="5B3C241C"/>
    <w:rsid w:val="5B46B444"/>
    <w:rsid w:val="5B4FE3F7"/>
    <w:rsid w:val="5B5034F4"/>
    <w:rsid w:val="5B545396"/>
    <w:rsid w:val="5B584DE8"/>
    <w:rsid w:val="5B633010"/>
    <w:rsid w:val="5B67B9C7"/>
    <w:rsid w:val="5B79FB03"/>
    <w:rsid w:val="5B7CF666"/>
    <w:rsid w:val="5B7ED74A"/>
    <w:rsid w:val="5B8763BD"/>
    <w:rsid w:val="5B87C817"/>
    <w:rsid w:val="5B8F446B"/>
    <w:rsid w:val="5B9040D5"/>
    <w:rsid w:val="5B9A60C9"/>
    <w:rsid w:val="5BA5D918"/>
    <w:rsid w:val="5BADE0E3"/>
    <w:rsid w:val="5BAE6C9F"/>
    <w:rsid w:val="5BB7F00D"/>
    <w:rsid w:val="5BBBC94A"/>
    <w:rsid w:val="5BCBD6B3"/>
    <w:rsid w:val="5BCE7EF9"/>
    <w:rsid w:val="5BDBC7A6"/>
    <w:rsid w:val="5BEC95C6"/>
    <w:rsid w:val="5BF2398F"/>
    <w:rsid w:val="5BF571B0"/>
    <w:rsid w:val="5BF933E5"/>
    <w:rsid w:val="5C05A5C8"/>
    <w:rsid w:val="5C0C96EC"/>
    <w:rsid w:val="5C11F0AF"/>
    <w:rsid w:val="5C13C443"/>
    <w:rsid w:val="5C14E2F1"/>
    <w:rsid w:val="5C1C2734"/>
    <w:rsid w:val="5C1FCB76"/>
    <w:rsid w:val="5C203CD1"/>
    <w:rsid w:val="5C3384A9"/>
    <w:rsid w:val="5C373B86"/>
    <w:rsid w:val="5C3AC8B8"/>
    <w:rsid w:val="5C3D720F"/>
    <w:rsid w:val="5C4D2C57"/>
    <w:rsid w:val="5C53A4D1"/>
    <w:rsid w:val="5C5489A5"/>
    <w:rsid w:val="5C5FADA5"/>
    <w:rsid w:val="5C6AD51C"/>
    <w:rsid w:val="5C6DB30C"/>
    <w:rsid w:val="5C72E314"/>
    <w:rsid w:val="5C74CE15"/>
    <w:rsid w:val="5C7E3D7C"/>
    <w:rsid w:val="5C7E6D08"/>
    <w:rsid w:val="5C823F59"/>
    <w:rsid w:val="5C838734"/>
    <w:rsid w:val="5C852419"/>
    <w:rsid w:val="5C8C62FC"/>
    <w:rsid w:val="5C927C0F"/>
    <w:rsid w:val="5CA1BC15"/>
    <w:rsid w:val="5CA2116B"/>
    <w:rsid w:val="5CA856B8"/>
    <w:rsid w:val="5CAD3E5E"/>
    <w:rsid w:val="5CAE50B3"/>
    <w:rsid w:val="5CAEA8C8"/>
    <w:rsid w:val="5CB92BE0"/>
    <w:rsid w:val="5CB96F99"/>
    <w:rsid w:val="5CC8202F"/>
    <w:rsid w:val="5CCB5D78"/>
    <w:rsid w:val="5CD163A5"/>
    <w:rsid w:val="5CD19BDE"/>
    <w:rsid w:val="5CD7BD4C"/>
    <w:rsid w:val="5CDA3369"/>
    <w:rsid w:val="5CE26544"/>
    <w:rsid w:val="5CF19723"/>
    <w:rsid w:val="5CFEED16"/>
    <w:rsid w:val="5D0271F6"/>
    <w:rsid w:val="5D02B81F"/>
    <w:rsid w:val="5D09B878"/>
    <w:rsid w:val="5D0C8166"/>
    <w:rsid w:val="5D11A5E4"/>
    <w:rsid w:val="5D13E81F"/>
    <w:rsid w:val="5D15DD79"/>
    <w:rsid w:val="5D198D90"/>
    <w:rsid w:val="5D1AA7AB"/>
    <w:rsid w:val="5D253B20"/>
    <w:rsid w:val="5D306CD4"/>
    <w:rsid w:val="5D3B2BD9"/>
    <w:rsid w:val="5D3FFD36"/>
    <w:rsid w:val="5D42D8AA"/>
    <w:rsid w:val="5D4B0D5F"/>
    <w:rsid w:val="5D593C71"/>
    <w:rsid w:val="5D5AA292"/>
    <w:rsid w:val="5D5FF7D2"/>
    <w:rsid w:val="5D607302"/>
    <w:rsid w:val="5D679040"/>
    <w:rsid w:val="5D67A259"/>
    <w:rsid w:val="5D6AE580"/>
    <w:rsid w:val="5D6B0E24"/>
    <w:rsid w:val="5D6BF9FE"/>
    <w:rsid w:val="5D6F1E80"/>
    <w:rsid w:val="5D794500"/>
    <w:rsid w:val="5D7BA343"/>
    <w:rsid w:val="5D7F19B3"/>
    <w:rsid w:val="5D8572F7"/>
    <w:rsid w:val="5D8610DC"/>
    <w:rsid w:val="5D8A04E0"/>
    <w:rsid w:val="5D916E29"/>
    <w:rsid w:val="5DB8B3ED"/>
    <w:rsid w:val="5DC2582A"/>
    <w:rsid w:val="5DCAB841"/>
    <w:rsid w:val="5DCD2B3C"/>
    <w:rsid w:val="5DCEA30E"/>
    <w:rsid w:val="5DDA9765"/>
    <w:rsid w:val="5DDEF2DC"/>
    <w:rsid w:val="5DE11E7A"/>
    <w:rsid w:val="5DE83049"/>
    <w:rsid w:val="5DF09200"/>
    <w:rsid w:val="5DFC00E0"/>
    <w:rsid w:val="5E010851"/>
    <w:rsid w:val="5E023FDC"/>
    <w:rsid w:val="5E062F22"/>
    <w:rsid w:val="5E063FAF"/>
    <w:rsid w:val="5E089E0D"/>
    <w:rsid w:val="5E0B9227"/>
    <w:rsid w:val="5E11F299"/>
    <w:rsid w:val="5E12AD9F"/>
    <w:rsid w:val="5E1493AB"/>
    <w:rsid w:val="5E1C4876"/>
    <w:rsid w:val="5E1CBE12"/>
    <w:rsid w:val="5E1D5CCC"/>
    <w:rsid w:val="5E1D6938"/>
    <w:rsid w:val="5E1F440A"/>
    <w:rsid w:val="5E2743D8"/>
    <w:rsid w:val="5E2F59CE"/>
    <w:rsid w:val="5E379F35"/>
    <w:rsid w:val="5E42DEEE"/>
    <w:rsid w:val="5E457CF5"/>
    <w:rsid w:val="5E4E0E28"/>
    <w:rsid w:val="5E548D0D"/>
    <w:rsid w:val="5E589BBE"/>
    <w:rsid w:val="5E5DA760"/>
    <w:rsid w:val="5E61DAB6"/>
    <w:rsid w:val="5E6484BC"/>
    <w:rsid w:val="5E654440"/>
    <w:rsid w:val="5E7113E1"/>
    <w:rsid w:val="5E719748"/>
    <w:rsid w:val="5E721E47"/>
    <w:rsid w:val="5E79DB71"/>
    <w:rsid w:val="5E7A90A2"/>
    <w:rsid w:val="5E841222"/>
    <w:rsid w:val="5E88674A"/>
    <w:rsid w:val="5E961084"/>
    <w:rsid w:val="5EA62E2C"/>
    <w:rsid w:val="5EAE25BC"/>
    <w:rsid w:val="5EB37442"/>
    <w:rsid w:val="5EB5122E"/>
    <w:rsid w:val="5EBCF7D5"/>
    <w:rsid w:val="5EC2DCF0"/>
    <w:rsid w:val="5EC3E5CB"/>
    <w:rsid w:val="5EC454C7"/>
    <w:rsid w:val="5EC69FA3"/>
    <w:rsid w:val="5ED58258"/>
    <w:rsid w:val="5EDA0047"/>
    <w:rsid w:val="5EDAC743"/>
    <w:rsid w:val="5EDD4A96"/>
    <w:rsid w:val="5EE83BF1"/>
    <w:rsid w:val="5EEBCFAA"/>
    <w:rsid w:val="5EF4EA84"/>
    <w:rsid w:val="5EF5FADE"/>
    <w:rsid w:val="5F07455A"/>
    <w:rsid w:val="5F07C313"/>
    <w:rsid w:val="5F0DB126"/>
    <w:rsid w:val="5F11FD16"/>
    <w:rsid w:val="5F13C3DA"/>
    <w:rsid w:val="5F192D80"/>
    <w:rsid w:val="5F1AEA14"/>
    <w:rsid w:val="5F25AF9D"/>
    <w:rsid w:val="5F2DE568"/>
    <w:rsid w:val="5F346DF9"/>
    <w:rsid w:val="5F3AAE9C"/>
    <w:rsid w:val="5F3C8362"/>
    <w:rsid w:val="5F4422FB"/>
    <w:rsid w:val="5F478E5F"/>
    <w:rsid w:val="5F4AA085"/>
    <w:rsid w:val="5F5380A8"/>
    <w:rsid w:val="5F6983F1"/>
    <w:rsid w:val="5F704293"/>
    <w:rsid w:val="5F706A17"/>
    <w:rsid w:val="5F7175F6"/>
    <w:rsid w:val="5F730127"/>
    <w:rsid w:val="5F77F319"/>
    <w:rsid w:val="5F795281"/>
    <w:rsid w:val="5F7D3E8A"/>
    <w:rsid w:val="5F7DC715"/>
    <w:rsid w:val="5F7FAD5C"/>
    <w:rsid w:val="5F7FCC2D"/>
    <w:rsid w:val="5F8AE97C"/>
    <w:rsid w:val="5F97909D"/>
    <w:rsid w:val="5F979160"/>
    <w:rsid w:val="5F9E8061"/>
    <w:rsid w:val="5FAA4F04"/>
    <w:rsid w:val="5FAD02F2"/>
    <w:rsid w:val="5FB51FFA"/>
    <w:rsid w:val="5FB9FCF4"/>
    <w:rsid w:val="5FBA73CB"/>
    <w:rsid w:val="5FC55870"/>
    <w:rsid w:val="5FC89722"/>
    <w:rsid w:val="5FCA23C0"/>
    <w:rsid w:val="5FD704B0"/>
    <w:rsid w:val="5FD80741"/>
    <w:rsid w:val="5FD992F1"/>
    <w:rsid w:val="5FD9BC14"/>
    <w:rsid w:val="5FE594C7"/>
    <w:rsid w:val="5FE7CFA7"/>
    <w:rsid w:val="5FF08F94"/>
    <w:rsid w:val="5FF22013"/>
    <w:rsid w:val="5FF8FD4E"/>
    <w:rsid w:val="6000F9B2"/>
    <w:rsid w:val="6004E830"/>
    <w:rsid w:val="60128CFF"/>
    <w:rsid w:val="60155DD1"/>
    <w:rsid w:val="60163743"/>
    <w:rsid w:val="6016DC80"/>
    <w:rsid w:val="601CC028"/>
    <w:rsid w:val="601DA029"/>
    <w:rsid w:val="6025CCC2"/>
    <w:rsid w:val="602CB12B"/>
    <w:rsid w:val="6032FE60"/>
    <w:rsid w:val="60359A79"/>
    <w:rsid w:val="6037FAE7"/>
    <w:rsid w:val="603998DA"/>
    <w:rsid w:val="603A218A"/>
    <w:rsid w:val="603AC3FC"/>
    <w:rsid w:val="603C1B39"/>
    <w:rsid w:val="604B1DED"/>
    <w:rsid w:val="60510A32"/>
    <w:rsid w:val="6066C84A"/>
    <w:rsid w:val="606C6A4F"/>
    <w:rsid w:val="606D9E52"/>
    <w:rsid w:val="606EA307"/>
    <w:rsid w:val="606EC396"/>
    <w:rsid w:val="60764D8E"/>
    <w:rsid w:val="6076D3DE"/>
    <w:rsid w:val="607D9181"/>
    <w:rsid w:val="607E3900"/>
    <w:rsid w:val="608E3709"/>
    <w:rsid w:val="609211E8"/>
    <w:rsid w:val="609E41B4"/>
    <w:rsid w:val="60A2B184"/>
    <w:rsid w:val="60A8B9CF"/>
    <w:rsid w:val="60ADB724"/>
    <w:rsid w:val="60B35477"/>
    <w:rsid w:val="60B49DA1"/>
    <w:rsid w:val="60B6A9F7"/>
    <w:rsid w:val="60B8DA24"/>
    <w:rsid w:val="60C5DB10"/>
    <w:rsid w:val="60D4C531"/>
    <w:rsid w:val="60D7308D"/>
    <w:rsid w:val="60D90C7B"/>
    <w:rsid w:val="60D93B04"/>
    <w:rsid w:val="60D99D3D"/>
    <w:rsid w:val="60DE4A39"/>
    <w:rsid w:val="60EAC1AF"/>
    <w:rsid w:val="60F0F955"/>
    <w:rsid w:val="60F522A2"/>
    <w:rsid w:val="60F6D2E0"/>
    <w:rsid w:val="60FD0CB4"/>
    <w:rsid w:val="61059CB7"/>
    <w:rsid w:val="61060B7C"/>
    <w:rsid w:val="610A7319"/>
    <w:rsid w:val="610AD8D3"/>
    <w:rsid w:val="610B3915"/>
    <w:rsid w:val="610F0B21"/>
    <w:rsid w:val="6111A156"/>
    <w:rsid w:val="61129C95"/>
    <w:rsid w:val="611ECB3D"/>
    <w:rsid w:val="611FD55E"/>
    <w:rsid w:val="61238925"/>
    <w:rsid w:val="61240C3B"/>
    <w:rsid w:val="6124E666"/>
    <w:rsid w:val="6127D62B"/>
    <w:rsid w:val="6130ACFE"/>
    <w:rsid w:val="61361A2E"/>
    <w:rsid w:val="613EC67B"/>
    <w:rsid w:val="613F4737"/>
    <w:rsid w:val="61406188"/>
    <w:rsid w:val="6146F05E"/>
    <w:rsid w:val="61550573"/>
    <w:rsid w:val="6168229F"/>
    <w:rsid w:val="616FCC18"/>
    <w:rsid w:val="617629D8"/>
    <w:rsid w:val="6177CD90"/>
    <w:rsid w:val="617E0C1D"/>
    <w:rsid w:val="617FBDCE"/>
    <w:rsid w:val="61833269"/>
    <w:rsid w:val="61910941"/>
    <w:rsid w:val="6191EF65"/>
    <w:rsid w:val="61934B6B"/>
    <w:rsid w:val="6197A95A"/>
    <w:rsid w:val="6199775D"/>
    <w:rsid w:val="61A97EE6"/>
    <w:rsid w:val="61AB9BA8"/>
    <w:rsid w:val="61ADAF3A"/>
    <w:rsid w:val="61ADBEA1"/>
    <w:rsid w:val="61B2E23A"/>
    <w:rsid w:val="61B5B1A0"/>
    <w:rsid w:val="61BDE73E"/>
    <w:rsid w:val="61C0187E"/>
    <w:rsid w:val="61C74B5C"/>
    <w:rsid w:val="61C94D1E"/>
    <w:rsid w:val="61D0865C"/>
    <w:rsid w:val="61E38471"/>
    <w:rsid w:val="61E40711"/>
    <w:rsid w:val="61ECAD79"/>
    <w:rsid w:val="61FA6B6A"/>
    <w:rsid w:val="62086945"/>
    <w:rsid w:val="6223F728"/>
    <w:rsid w:val="62277BC0"/>
    <w:rsid w:val="622A3636"/>
    <w:rsid w:val="622DA755"/>
    <w:rsid w:val="6232E83C"/>
    <w:rsid w:val="623544B1"/>
    <w:rsid w:val="623C859B"/>
    <w:rsid w:val="623DA660"/>
    <w:rsid w:val="6243575B"/>
    <w:rsid w:val="62438004"/>
    <w:rsid w:val="624DF2EF"/>
    <w:rsid w:val="62528AD6"/>
    <w:rsid w:val="62536AE6"/>
    <w:rsid w:val="625B3296"/>
    <w:rsid w:val="625C1EC6"/>
    <w:rsid w:val="626A5059"/>
    <w:rsid w:val="626ADEBC"/>
    <w:rsid w:val="626B8A5D"/>
    <w:rsid w:val="626EF9D9"/>
    <w:rsid w:val="6270BE7C"/>
    <w:rsid w:val="6270C282"/>
    <w:rsid w:val="62756C7E"/>
    <w:rsid w:val="627688EF"/>
    <w:rsid w:val="6277C1F3"/>
    <w:rsid w:val="627C4687"/>
    <w:rsid w:val="627E4A1E"/>
    <w:rsid w:val="627F0006"/>
    <w:rsid w:val="6284431D"/>
    <w:rsid w:val="629A577A"/>
    <w:rsid w:val="629EB262"/>
    <w:rsid w:val="62AB78D2"/>
    <w:rsid w:val="62AE077A"/>
    <w:rsid w:val="62AF5297"/>
    <w:rsid w:val="62B329F3"/>
    <w:rsid w:val="62B500BE"/>
    <w:rsid w:val="62B908D0"/>
    <w:rsid w:val="62BC5D35"/>
    <w:rsid w:val="62BD4996"/>
    <w:rsid w:val="62BF78FB"/>
    <w:rsid w:val="62BFFBDD"/>
    <w:rsid w:val="62C558B2"/>
    <w:rsid w:val="62CCF97C"/>
    <w:rsid w:val="62D6D1FA"/>
    <w:rsid w:val="62DB6F35"/>
    <w:rsid w:val="62DDAF45"/>
    <w:rsid w:val="62DDF3D0"/>
    <w:rsid w:val="62DE12AA"/>
    <w:rsid w:val="62DE1CCE"/>
    <w:rsid w:val="62E19820"/>
    <w:rsid w:val="62E27925"/>
    <w:rsid w:val="62E61623"/>
    <w:rsid w:val="62EBEEB2"/>
    <w:rsid w:val="62EE4254"/>
    <w:rsid w:val="62F06B9B"/>
    <w:rsid w:val="62F9254A"/>
    <w:rsid w:val="62F95B3B"/>
    <w:rsid w:val="62FD36DA"/>
    <w:rsid w:val="63022767"/>
    <w:rsid w:val="6308A9EB"/>
    <w:rsid w:val="630A3C73"/>
    <w:rsid w:val="630BCB4E"/>
    <w:rsid w:val="630C129F"/>
    <w:rsid w:val="6310DB66"/>
    <w:rsid w:val="63119FA9"/>
    <w:rsid w:val="6311F99A"/>
    <w:rsid w:val="631356A9"/>
    <w:rsid w:val="63162DC9"/>
    <w:rsid w:val="631D2FE4"/>
    <w:rsid w:val="631FCDEE"/>
    <w:rsid w:val="63231EBB"/>
    <w:rsid w:val="6325BC11"/>
    <w:rsid w:val="63269BC2"/>
    <w:rsid w:val="632EC71A"/>
    <w:rsid w:val="632F3B11"/>
    <w:rsid w:val="6330315C"/>
    <w:rsid w:val="633294FA"/>
    <w:rsid w:val="63396408"/>
    <w:rsid w:val="633B1E9B"/>
    <w:rsid w:val="6341CF56"/>
    <w:rsid w:val="6342D55A"/>
    <w:rsid w:val="63431168"/>
    <w:rsid w:val="63446CE0"/>
    <w:rsid w:val="63523B75"/>
    <w:rsid w:val="63561EC5"/>
    <w:rsid w:val="635A5843"/>
    <w:rsid w:val="635EBF35"/>
    <w:rsid w:val="635FEB39"/>
    <w:rsid w:val="636B661F"/>
    <w:rsid w:val="636D9EB2"/>
    <w:rsid w:val="637FCE25"/>
    <w:rsid w:val="6384238C"/>
    <w:rsid w:val="6393BA12"/>
    <w:rsid w:val="6394FD0F"/>
    <w:rsid w:val="63966E7C"/>
    <w:rsid w:val="63981B53"/>
    <w:rsid w:val="63A21B74"/>
    <w:rsid w:val="63A29A51"/>
    <w:rsid w:val="63A4344A"/>
    <w:rsid w:val="63A4F064"/>
    <w:rsid w:val="63A53351"/>
    <w:rsid w:val="63A540B6"/>
    <w:rsid w:val="63A940FA"/>
    <w:rsid w:val="63AA5C76"/>
    <w:rsid w:val="63BA566E"/>
    <w:rsid w:val="63BAC78D"/>
    <w:rsid w:val="63BE5C35"/>
    <w:rsid w:val="63C06FA0"/>
    <w:rsid w:val="63C8E41B"/>
    <w:rsid w:val="63C91B32"/>
    <w:rsid w:val="63CAEC32"/>
    <w:rsid w:val="63CBDC54"/>
    <w:rsid w:val="63CBEC2A"/>
    <w:rsid w:val="63CCE6CD"/>
    <w:rsid w:val="63CF6D85"/>
    <w:rsid w:val="63CFDDFC"/>
    <w:rsid w:val="63D3135E"/>
    <w:rsid w:val="63D4FC3A"/>
    <w:rsid w:val="63D72916"/>
    <w:rsid w:val="63E444BD"/>
    <w:rsid w:val="63F2F305"/>
    <w:rsid w:val="63F3432C"/>
    <w:rsid w:val="63FBAF27"/>
    <w:rsid w:val="63FD989D"/>
    <w:rsid w:val="64000D5F"/>
    <w:rsid w:val="6405D559"/>
    <w:rsid w:val="6405E1BC"/>
    <w:rsid w:val="640B6F3D"/>
    <w:rsid w:val="640E3421"/>
    <w:rsid w:val="640F701F"/>
    <w:rsid w:val="6412060D"/>
    <w:rsid w:val="6413E7DA"/>
    <w:rsid w:val="64168B5F"/>
    <w:rsid w:val="641F9C2D"/>
    <w:rsid w:val="6422A9BD"/>
    <w:rsid w:val="6423238B"/>
    <w:rsid w:val="642C2BEC"/>
    <w:rsid w:val="642E3023"/>
    <w:rsid w:val="64342B4E"/>
    <w:rsid w:val="64358ECD"/>
    <w:rsid w:val="64383423"/>
    <w:rsid w:val="643879C6"/>
    <w:rsid w:val="643BA113"/>
    <w:rsid w:val="6442B300"/>
    <w:rsid w:val="6446C04F"/>
    <w:rsid w:val="644AED51"/>
    <w:rsid w:val="6452D07A"/>
    <w:rsid w:val="6458A736"/>
    <w:rsid w:val="645A7129"/>
    <w:rsid w:val="645DD7B3"/>
    <w:rsid w:val="64641B1D"/>
    <w:rsid w:val="64652363"/>
    <w:rsid w:val="646D1BEB"/>
    <w:rsid w:val="64714D08"/>
    <w:rsid w:val="6479F8CB"/>
    <w:rsid w:val="647B5B8D"/>
    <w:rsid w:val="649A960D"/>
    <w:rsid w:val="64A076EB"/>
    <w:rsid w:val="64A32626"/>
    <w:rsid w:val="64A38EA9"/>
    <w:rsid w:val="64A68A33"/>
    <w:rsid w:val="64A7E300"/>
    <w:rsid w:val="64A92531"/>
    <w:rsid w:val="64B43AFC"/>
    <w:rsid w:val="64B79C55"/>
    <w:rsid w:val="64BEA223"/>
    <w:rsid w:val="64C16A64"/>
    <w:rsid w:val="64C2CB99"/>
    <w:rsid w:val="64CA7B64"/>
    <w:rsid w:val="64D33710"/>
    <w:rsid w:val="64D5E445"/>
    <w:rsid w:val="64DB231D"/>
    <w:rsid w:val="64DB2682"/>
    <w:rsid w:val="64DEF091"/>
    <w:rsid w:val="64E1B5FD"/>
    <w:rsid w:val="64E97886"/>
    <w:rsid w:val="64F5A6FF"/>
    <w:rsid w:val="64FB10B9"/>
    <w:rsid w:val="65013D9C"/>
    <w:rsid w:val="651AE3E6"/>
    <w:rsid w:val="651B29D0"/>
    <w:rsid w:val="65241529"/>
    <w:rsid w:val="6525FA15"/>
    <w:rsid w:val="652C2EDB"/>
    <w:rsid w:val="652EC9C8"/>
    <w:rsid w:val="6536378B"/>
    <w:rsid w:val="653AAB99"/>
    <w:rsid w:val="65403055"/>
    <w:rsid w:val="65435A32"/>
    <w:rsid w:val="65504E4A"/>
    <w:rsid w:val="655079AE"/>
    <w:rsid w:val="65569C80"/>
    <w:rsid w:val="6556D743"/>
    <w:rsid w:val="65595A7E"/>
    <w:rsid w:val="655EE3C3"/>
    <w:rsid w:val="65653591"/>
    <w:rsid w:val="6565E075"/>
    <w:rsid w:val="656974F5"/>
    <w:rsid w:val="656D154F"/>
    <w:rsid w:val="656D7DF4"/>
    <w:rsid w:val="656EE3BF"/>
    <w:rsid w:val="657036F2"/>
    <w:rsid w:val="65710EC8"/>
    <w:rsid w:val="6576BB8D"/>
    <w:rsid w:val="65778F66"/>
    <w:rsid w:val="657B41A5"/>
    <w:rsid w:val="657D1155"/>
    <w:rsid w:val="65865C0E"/>
    <w:rsid w:val="6586A931"/>
    <w:rsid w:val="658E1F5B"/>
    <w:rsid w:val="658EBFCF"/>
    <w:rsid w:val="65A9481A"/>
    <w:rsid w:val="65BACCA3"/>
    <w:rsid w:val="65C154C5"/>
    <w:rsid w:val="65C8D51B"/>
    <w:rsid w:val="65D0256F"/>
    <w:rsid w:val="65D0C4C0"/>
    <w:rsid w:val="65D0EA52"/>
    <w:rsid w:val="65D29E1A"/>
    <w:rsid w:val="65E5DAD5"/>
    <w:rsid w:val="65E8F89F"/>
    <w:rsid w:val="65F0BA82"/>
    <w:rsid w:val="65F8068B"/>
    <w:rsid w:val="65FBDA1B"/>
    <w:rsid w:val="6605A785"/>
    <w:rsid w:val="660B2AD2"/>
    <w:rsid w:val="661DA541"/>
    <w:rsid w:val="661F74FE"/>
    <w:rsid w:val="66236ED8"/>
    <w:rsid w:val="6624CDFB"/>
    <w:rsid w:val="662A140B"/>
    <w:rsid w:val="662F7C32"/>
    <w:rsid w:val="66320320"/>
    <w:rsid w:val="6634D8D9"/>
    <w:rsid w:val="6636B417"/>
    <w:rsid w:val="663831E0"/>
    <w:rsid w:val="6638FCE2"/>
    <w:rsid w:val="663D4CBF"/>
    <w:rsid w:val="6640C130"/>
    <w:rsid w:val="6643B361"/>
    <w:rsid w:val="664A0DFD"/>
    <w:rsid w:val="664D18D4"/>
    <w:rsid w:val="6651C63E"/>
    <w:rsid w:val="6657D6A0"/>
    <w:rsid w:val="66622A8D"/>
    <w:rsid w:val="666497D4"/>
    <w:rsid w:val="666DBADF"/>
    <w:rsid w:val="66703620"/>
    <w:rsid w:val="6670A391"/>
    <w:rsid w:val="667A6981"/>
    <w:rsid w:val="667B07B0"/>
    <w:rsid w:val="667BD9B7"/>
    <w:rsid w:val="667C0FAD"/>
    <w:rsid w:val="668473AB"/>
    <w:rsid w:val="6691007E"/>
    <w:rsid w:val="669E5CC1"/>
    <w:rsid w:val="66A6F30C"/>
    <w:rsid w:val="66B98645"/>
    <w:rsid w:val="66D07292"/>
    <w:rsid w:val="66DB5513"/>
    <w:rsid w:val="66DC3CB0"/>
    <w:rsid w:val="66E232E1"/>
    <w:rsid w:val="66E48B0E"/>
    <w:rsid w:val="66E8E3D9"/>
    <w:rsid w:val="66EB4F11"/>
    <w:rsid w:val="66EBB2EC"/>
    <w:rsid w:val="66EC7849"/>
    <w:rsid w:val="66EE62D6"/>
    <w:rsid w:val="66FEED6F"/>
    <w:rsid w:val="67049340"/>
    <w:rsid w:val="670A21CC"/>
    <w:rsid w:val="670EBDE7"/>
    <w:rsid w:val="670EEDC2"/>
    <w:rsid w:val="670FA50A"/>
    <w:rsid w:val="67168F68"/>
    <w:rsid w:val="6717587A"/>
    <w:rsid w:val="6717BDD7"/>
    <w:rsid w:val="67180529"/>
    <w:rsid w:val="671A71AD"/>
    <w:rsid w:val="6722532D"/>
    <w:rsid w:val="6729220D"/>
    <w:rsid w:val="672C247A"/>
    <w:rsid w:val="67392AE5"/>
    <w:rsid w:val="673A0E84"/>
    <w:rsid w:val="673FD317"/>
    <w:rsid w:val="6743E151"/>
    <w:rsid w:val="674BE340"/>
    <w:rsid w:val="67507EE3"/>
    <w:rsid w:val="67537FAB"/>
    <w:rsid w:val="675641C8"/>
    <w:rsid w:val="67593F8D"/>
    <w:rsid w:val="675BD853"/>
    <w:rsid w:val="675DFEA7"/>
    <w:rsid w:val="676142BD"/>
    <w:rsid w:val="676450F8"/>
    <w:rsid w:val="67648433"/>
    <w:rsid w:val="676B65D1"/>
    <w:rsid w:val="676C22F0"/>
    <w:rsid w:val="6771B68E"/>
    <w:rsid w:val="67816E3D"/>
    <w:rsid w:val="67833873"/>
    <w:rsid w:val="678435B7"/>
    <w:rsid w:val="678A133A"/>
    <w:rsid w:val="678E976B"/>
    <w:rsid w:val="679678A0"/>
    <w:rsid w:val="6799FAEC"/>
    <w:rsid w:val="679A8195"/>
    <w:rsid w:val="67A1817B"/>
    <w:rsid w:val="67A98D96"/>
    <w:rsid w:val="67ADD3F8"/>
    <w:rsid w:val="67B3B307"/>
    <w:rsid w:val="67B76FA0"/>
    <w:rsid w:val="67BCFE26"/>
    <w:rsid w:val="67C5D051"/>
    <w:rsid w:val="67CD959B"/>
    <w:rsid w:val="67D3E65C"/>
    <w:rsid w:val="67D49CEE"/>
    <w:rsid w:val="67DD46E7"/>
    <w:rsid w:val="67DF516D"/>
    <w:rsid w:val="67E4846D"/>
    <w:rsid w:val="67E78FAA"/>
    <w:rsid w:val="67E9EA39"/>
    <w:rsid w:val="67EF1283"/>
    <w:rsid w:val="67F19081"/>
    <w:rsid w:val="67F1DAC9"/>
    <w:rsid w:val="67F2831B"/>
    <w:rsid w:val="67F6BD3E"/>
    <w:rsid w:val="67FB1544"/>
    <w:rsid w:val="6806CF27"/>
    <w:rsid w:val="6809A606"/>
    <w:rsid w:val="681E061D"/>
    <w:rsid w:val="682B9DC6"/>
    <w:rsid w:val="6837148A"/>
    <w:rsid w:val="683B819D"/>
    <w:rsid w:val="6841D7F7"/>
    <w:rsid w:val="68461E1A"/>
    <w:rsid w:val="684C8897"/>
    <w:rsid w:val="684D8DD0"/>
    <w:rsid w:val="68530978"/>
    <w:rsid w:val="685CCC16"/>
    <w:rsid w:val="6862F9EB"/>
    <w:rsid w:val="6863F046"/>
    <w:rsid w:val="6865E786"/>
    <w:rsid w:val="6867A39F"/>
    <w:rsid w:val="686ACDC0"/>
    <w:rsid w:val="6871D99C"/>
    <w:rsid w:val="6877A75D"/>
    <w:rsid w:val="687C18D0"/>
    <w:rsid w:val="688D51DA"/>
    <w:rsid w:val="68909AAE"/>
    <w:rsid w:val="6895EE7C"/>
    <w:rsid w:val="68979A35"/>
    <w:rsid w:val="689DC61E"/>
    <w:rsid w:val="68A9B080"/>
    <w:rsid w:val="68AE9CDB"/>
    <w:rsid w:val="68B540B5"/>
    <w:rsid w:val="68BA1E58"/>
    <w:rsid w:val="68BC6303"/>
    <w:rsid w:val="68C076EC"/>
    <w:rsid w:val="68CAFB65"/>
    <w:rsid w:val="68CE09C8"/>
    <w:rsid w:val="68D85753"/>
    <w:rsid w:val="68E6D839"/>
    <w:rsid w:val="68EB8888"/>
    <w:rsid w:val="68FDDE39"/>
    <w:rsid w:val="690C44D1"/>
    <w:rsid w:val="690CEC8A"/>
    <w:rsid w:val="6910BFC1"/>
    <w:rsid w:val="69150E5B"/>
    <w:rsid w:val="69157600"/>
    <w:rsid w:val="691BDD53"/>
    <w:rsid w:val="691FE22E"/>
    <w:rsid w:val="69228A2E"/>
    <w:rsid w:val="69260D6E"/>
    <w:rsid w:val="692B4957"/>
    <w:rsid w:val="693A9D29"/>
    <w:rsid w:val="693AF910"/>
    <w:rsid w:val="693BF14D"/>
    <w:rsid w:val="693F76C3"/>
    <w:rsid w:val="6944F7A8"/>
    <w:rsid w:val="6945868A"/>
    <w:rsid w:val="694A0E6C"/>
    <w:rsid w:val="694CF6FA"/>
    <w:rsid w:val="69624CE5"/>
    <w:rsid w:val="696C3FB5"/>
    <w:rsid w:val="696DB856"/>
    <w:rsid w:val="6970C119"/>
    <w:rsid w:val="697B5423"/>
    <w:rsid w:val="6997C561"/>
    <w:rsid w:val="699EB781"/>
    <w:rsid w:val="69A00A93"/>
    <w:rsid w:val="69A287D6"/>
    <w:rsid w:val="69A7230D"/>
    <w:rsid w:val="69A97E7A"/>
    <w:rsid w:val="69B0608A"/>
    <w:rsid w:val="69B68A56"/>
    <w:rsid w:val="69B6F013"/>
    <w:rsid w:val="69BB736F"/>
    <w:rsid w:val="69BCD75A"/>
    <w:rsid w:val="69BF9281"/>
    <w:rsid w:val="69CB922A"/>
    <w:rsid w:val="69CED4CE"/>
    <w:rsid w:val="69CEDBA3"/>
    <w:rsid w:val="69D40F0C"/>
    <w:rsid w:val="69E12F3E"/>
    <w:rsid w:val="69E3EC27"/>
    <w:rsid w:val="69E5C8D1"/>
    <w:rsid w:val="6A01781F"/>
    <w:rsid w:val="6A046E04"/>
    <w:rsid w:val="6A0843EB"/>
    <w:rsid w:val="6A09F722"/>
    <w:rsid w:val="6A0F86CB"/>
    <w:rsid w:val="6A1501FC"/>
    <w:rsid w:val="6A15FDA0"/>
    <w:rsid w:val="6A16C477"/>
    <w:rsid w:val="6A1BD58A"/>
    <w:rsid w:val="6A1FC95A"/>
    <w:rsid w:val="6A2AA4E9"/>
    <w:rsid w:val="6A3B4C82"/>
    <w:rsid w:val="6A3D9934"/>
    <w:rsid w:val="6A3DDE8F"/>
    <w:rsid w:val="6A403DBC"/>
    <w:rsid w:val="6A409121"/>
    <w:rsid w:val="6A40D422"/>
    <w:rsid w:val="6A4356BD"/>
    <w:rsid w:val="6A4F8B19"/>
    <w:rsid w:val="6A557C00"/>
    <w:rsid w:val="6A575790"/>
    <w:rsid w:val="6A580578"/>
    <w:rsid w:val="6A613317"/>
    <w:rsid w:val="6A7CF4D8"/>
    <w:rsid w:val="6A7F89AC"/>
    <w:rsid w:val="6A7F92E7"/>
    <w:rsid w:val="6A812164"/>
    <w:rsid w:val="6A8343C9"/>
    <w:rsid w:val="6A84731F"/>
    <w:rsid w:val="6A879ECD"/>
    <w:rsid w:val="6A8C355E"/>
    <w:rsid w:val="6A922D4F"/>
    <w:rsid w:val="6AA40456"/>
    <w:rsid w:val="6AABEB7F"/>
    <w:rsid w:val="6AB6A7A4"/>
    <w:rsid w:val="6ABAC1BC"/>
    <w:rsid w:val="6ABE9FDA"/>
    <w:rsid w:val="6AC2AB78"/>
    <w:rsid w:val="6AC681A1"/>
    <w:rsid w:val="6AD1775C"/>
    <w:rsid w:val="6AD3FC55"/>
    <w:rsid w:val="6ADC0229"/>
    <w:rsid w:val="6AE6DF98"/>
    <w:rsid w:val="6AE8A8DC"/>
    <w:rsid w:val="6AEB366A"/>
    <w:rsid w:val="6AED7428"/>
    <w:rsid w:val="6AEFFE25"/>
    <w:rsid w:val="6AF5D3DB"/>
    <w:rsid w:val="6AFD8D73"/>
    <w:rsid w:val="6B1CB9A9"/>
    <w:rsid w:val="6B1D66F3"/>
    <w:rsid w:val="6B209BEC"/>
    <w:rsid w:val="6B20C1CB"/>
    <w:rsid w:val="6B264E49"/>
    <w:rsid w:val="6B27861C"/>
    <w:rsid w:val="6B2CE354"/>
    <w:rsid w:val="6B3756F3"/>
    <w:rsid w:val="6B496072"/>
    <w:rsid w:val="6B4970A7"/>
    <w:rsid w:val="6B4C967F"/>
    <w:rsid w:val="6B568BCD"/>
    <w:rsid w:val="6B61AAF4"/>
    <w:rsid w:val="6B63DB9B"/>
    <w:rsid w:val="6B6D84AA"/>
    <w:rsid w:val="6B7335A6"/>
    <w:rsid w:val="6B773CBB"/>
    <w:rsid w:val="6B80C8DE"/>
    <w:rsid w:val="6B8771FB"/>
    <w:rsid w:val="6B87DB37"/>
    <w:rsid w:val="6B8B44B1"/>
    <w:rsid w:val="6B8FBED2"/>
    <w:rsid w:val="6BA4F3ED"/>
    <w:rsid w:val="6BA9766D"/>
    <w:rsid w:val="6BB04ACD"/>
    <w:rsid w:val="6BB0A2FB"/>
    <w:rsid w:val="6BB31C34"/>
    <w:rsid w:val="6BBEB055"/>
    <w:rsid w:val="6BC516B5"/>
    <w:rsid w:val="6BE20E68"/>
    <w:rsid w:val="6BF41BA3"/>
    <w:rsid w:val="6BF4FD1B"/>
    <w:rsid w:val="6BF898BB"/>
    <w:rsid w:val="6BF9D255"/>
    <w:rsid w:val="6C00513C"/>
    <w:rsid w:val="6C0E6D99"/>
    <w:rsid w:val="6C154828"/>
    <w:rsid w:val="6C19993D"/>
    <w:rsid w:val="6C1B1B6A"/>
    <w:rsid w:val="6C1BB174"/>
    <w:rsid w:val="6C25CEFA"/>
    <w:rsid w:val="6C2878B8"/>
    <w:rsid w:val="6C2AED3A"/>
    <w:rsid w:val="6C2CF1C0"/>
    <w:rsid w:val="6C2E8E2B"/>
    <w:rsid w:val="6C2E9E9E"/>
    <w:rsid w:val="6C32447B"/>
    <w:rsid w:val="6C3C11F3"/>
    <w:rsid w:val="6C3C6B06"/>
    <w:rsid w:val="6C439841"/>
    <w:rsid w:val="6C45DCDB"/>
    <w:rsid w:val="6C52F5D6"/>
    <w:rsid w:val="6C6AF48B"/>
    <w:rsid w:val="6C80EA2B"/>
    <w:rsid w:val="6C80F282"/>
    <w:rsid w:val="6C87E8AD"/>
    <w:rsid w:val="6C8CFF51"/>
    <w:rsid w:val="6C8E7E7E"/>
    <w:rsid w:val="6C91DA6D"/>
    <w:rsid w:val="6C968B95"/>
    <w:rsid w:val="6C981D2E"/>
    <w:rsid w:val="6CA12B23"/>
    <w:rsid w:val="6CA2744B"/>
    <w:rsid w:val="6CA52373"/>
    <w:rsid w:val="6CA62DE1"/>
    <w:rsid w:val="6CBA4D62"/>
    <w:rsid w:val="6CC26863"/>
    <w:rsid w:val="6CC29808"/>
    <w:rsid w:val="6CCB227C"/>
    <w:rsid w:val="6CCD8F5E"/>
    <w:rsid w:val="6CD3EA24"/>
    <w:rsid w:val="6CD7D179"/>
    <w:rsid w:val="6CDA1238"/>
    <w:rsid w:val="6CDBB17E"/>
    <w:rsid w:val="6CE5E997"/>
    <w:rsid w:val="6CE7E3A9"/>
    <w:rsid w:val="6CEAB104"/>
    <w:rsid w:val="6CF01B7A"/>
    <w:rsid w:val="6CF98FDD"/>
    <w:rsid w:val="6CF9C693"/>
    <w:rsid w:val="6D005546"/>
    <w:rsid w:val="6D0337BD"/>
    <w:rsid w:val="6D035F7B"/>
    <w:rsid w:val="6D0D165A"/>
    <w:rsid w:val="6D0FAAA5"/>
    <w:rsid w:val="6D0FC0F4"/>
    <w:rsid w:val="6D173D7B"/>
    <w:rsid w:val="6D1AC33B"/>
    <w:rsid w:val="6D1D693D"/>
    <w:rsid w:val="6D1EB383"/>
    <w:rsid w:val="6D1FFFFB"/>
    <w:rsid w:val="6D206004"/>
    <w:rsid w:val="6D29FA6B"/>
    <w:rsid w:val="6D2D9846"/>
    <w:rsid w:val="6D303FB4"/>
    <w:rsid w:val="6D389D78"/>
    <w:rsid w:val="6D3F8EAE"/>
    <w:rsid w:val="6D409258"/>
    <w:rsid w:val="6D466B8D"/>
    <w:rsid w:val="6D4F26AB"/>
    <w:rsid w:val="6D523B54"/>
    <w:rsid w:val="6D57267B"/>
    <w:rsid w:val="6D584F63"/>
    <w:rsid w:val="6D5C7976"/>
    <w:rsid w:val="6D7CC645"/>
    <w:rsid w:val="6D80A2B2"/>
    <w:rsid w:val="6D84CE0F"/>
    <w:rsid w:val="6D8CD8F3"/>
    <w:rsid w:val="6D8F1A07"/>
    <w:rsid w:val="6D959303"/>
    <w:rsid w:val="6D989259"/>
    <w:rsid w:val="6DA22C95"/>
    <w:rsid w:val="6DA314B2"/>
    <w:rsid w:val="6DA48D3B"/>
    <w:rsid w:val="6DA887ED"/>
    <w:rsid w:val="6DAADB25"/>
    <w:rsid w:val="6DAC9D35"/>
    <w:rsid w:val="6DADF4F9"/>
    <w:rsid w:val="6DBA2D4F"/>
    <w:rsid w:val="6DBC899E"/>
    <w:rsid w:val="6DBCA2C1"/>
    <w:rsid w:val="6DBFF29E"/>
    <w:rsid w:val="6DC0BA96"/>
    <w:rsid w:val="6DC483B8"/>
    <w:rsid w:val="6DCA73E6"/>
    <w:rsid w:val="6DCF1520"/>
    <w:rsid w:val="6DD1B3DF"/>
    <w:rsid w:val="6DD77400"/>
    <w:rsid w:val="6DD9970F"/>
    <w:rsid w:val="6DD99F0F"/>
    <w:rsid w:val="6DDACC50"/>
    <w:rsid w:val="6DE71758"/>
    <w:rsid w:val="6DEDAB04"/>
    <w:rsid w:val="6DEEEC96"/>
    <w:rsid w:val="6DFA3A64"/>
    <w:rsid w:val="6DFD561C"/>
    <w:rsid w:val="6E0DBFC0"/>
    <w:rsid w:val="6E15777B"/>
    <w:rsid w:val="6E1E9482"/>
    <w:rsid w:val="6E1F592D"/>
    <w:rsid w:val="6E20557C"/>
    <w:rsid w:val="6E232755"/>
    <w:rsid w:val="6E3ACB2E"/>
    <w:rsid w:val="6E4D0A5C"/>
    <w:rsid w:val="6E50585C"/>
    <w:rsid w:val="6E5516A0"/>
    <w:rsid w:val="6E570B3C"/>
    <w:rsid w:val="6E5B26F9"/>
    <w:rsid w:val="6E62A815"/>
    <w:rsid w:val="6E698D2A"/>
    <w:rsid w:val="6E7BF7BC"/>
    <w:rsid w:val="6E7F1262"/>
    <w:rsid w:val="6E8056FC"/>
    <w:rsid w:val="6E823055"/>
    <w:rsid w:val="6E85E6D6"/>
    <w:rsid w:val="6E912625"/>
    <w:rsid w:val="6E9DC08B"/>
    <w:rsid w:val="6EA125F4"/>
    <w:rsid w:val="6EAAF84F"/>
    <w:rsid w:val="6EB0CAB6"/>
    <w:rsid w:val="6EB0CDD8"/>
    <w:rsid w:val="6EBA1259"/>
    <w:rsid w:val="6EBE54C3"/>
    <w:rsid w:val="6EC2F890"/>
    <w:rsid w:val="6EC4E944"/>
    <w:rsid w:val="6ED15063"/>
    <w:rsid w:val="6ED3469F"/>
    <w:rsid w:val="6ED711DF"/>
    <w:rsid w:val="6EE4C560"/>
    <w:rsid w:val="6EF11A81"/>
    <w:rsid w:val="6EF14214"/>
    <w:rsid w:val="6EF700C9"/>
    <w:rsid w:val="6F12A6CB"/>
    <w:rsid w:val="6F14463F"/>
    <w:rsid w:val="6F151E85"/>
    <w:rsid w:val="6F16C698"/>
    <w:rsid w:val="6F189EE1"/>
    <w:rsid w:val="6F1A54AC"/>
    <w:rsid w:val="6F1CE476"/>
    <w:rsid w:val="6F1EEB57"/>
    <w:rsid w:val="6F2903DB"/>
    <w:rsid w:val="6F295FDC"/>
    <w:rsid w:val="6F2B1922"/>
    <w:rsid w:val="6F2B4EC0"/>
    <w:rsid w:val="6F2E5B8E"/>
    <w:rsid w:val="6F35EA98"/>
    <w:rsid w:val="6F36200E"/>
    <w:rsid w:val="6F3830DA"/>
    <w:rsid w:val="6F3A4785"/>
    <w:rsid w:val="6F3AD56F"/>
    <w:rsid w:val="6F3E2830"/>
    <w:rsid w:val="6F428839"/>
    <w:rsid w:val="6F50B5CE"/>
    <w:rsid w:val="6F52BC24"/>
    <w:rsid w:val="6F5363BC"/>
    <w:rsid w:val="6F5549F4"/>
    <w:rsid w:val="6F5D5188"/>
    <w:rsid w:val="6F5D7867"/>
    <w:rsid w:val="6F637282"/>
    <w:rsid w:val="6F655754"/>
    <w:rsid w:val="6F65F3B0"/>
    <w:rsid w:val="6F66CB0D"/>
    <w:rsid w:val="6F68735E"/>
    <w:rsid w:val="6F6C6B7E"/>
    <w:rsid w:val="6F6E67B4"/>
    <w:rsid w:val="6F6F2B5F"/>
    <w:rsid w:val="6F7634A1"/>
    <w:rsid w:val="6F7CA5C2"/>
    <w:rsid w:val="6F821966"/>
    <w:rsid w:val="6F855BE0"/>
    <w:rsid w:val="6F889275"/>
    <w:rsid w:val="6F8A3E3B"/>
    <w:rsid w:val="6F908012"/>
    <w:rsid w:val="6F9C5C75"/>
    <w:rsid w:val="6FAAA2B4"/>
    <w:rsid w:val="6FAAF115"/>
    <w:rsid w:val="6FABDEBE"/>
    <w:rsid w:val="6FBF3620"/>
    <w:rsid w:val="6FC4512F"/>
    <w:rsid w:val="6FC60DC1"/>
    <w:rsid w:val="6FC8156B"/>
    <w:rsid w:val="6FCC4CA5"/>
    <w:rsid w:val="6FCC6869"/>
    <w:rsid w:val="6FD35D3B"/>
    <w:rsid w:val="6FD6BAE1"/>
    <w:rsid w:val="6FD938EA"/>
    <w:rsid w:val="6FDEDAB2"/>
    <w:rsid w:val="6FE11D42"/>
    <w:rsid w:val="6FE1D6C3"/>
    <w:rsid w:val="6FF95D6E"/>
    <w:rsid w:val="6FFC0EA2"/>
    <w:rsid w:val="70043B2D"/>
    <w:rsid w:val="700C71C2"/>
    <w:rsid w:val="701C6F54"/>
    <w:rsid w:val="701D648B"/>
    <w:rsid w:val="701F966C"/>
    <w:rsid w:val="702622BD"/>
    <w:rsid w:val="70274E4D"/>
    <w:rsid w:val="702E0DCA"/>
    <w:rsid w:val="7030AD9F"/>
    <w:rsid w:val="70331BC6"/>
    <w:rsid w:val="70497D5C"/>
    <w:rsid w:val="7050DA12"/>
    <w:rsid w:val="70525008"/>
    <w:rsid w:val="7052DB89"/>
    <w:rsid w:val="70641523"/>
    <w:rsid w:val="70646DC3"/>
    <w:rsid w:val="7067F310"/>
    <w:rsid w:val="707E399F"/>
    <w:rsid w:val="7080B9F5"/>
    <w:rsid w:val="7087AC4E"/>
    <w:rsid w:val="70885C14"/>
    <w:rsid w:val="708997CA"/>
    <w:rsid w:val="7089DB2E"/>
    <w:rsid w:val="708B14F9"/>
    <w:rsid w:val="70938ED1"/>
    <w:rsid w:val="70A0840A"/>
    <w:rsid w:val="70A1B658"/>
    <w:rsid w:val="70A343D7"/>
    <w:rsid w:val="70AC5915"/>
    <w:rsid w:val="70AD8EC4"/>
    <w:rsid w:val="70B7B290"/>
    <w:rsid w:val="70BB4115"/>
    <w:rsid w:val="70BD2616"/>
    <w:rsid w:val="70E8B45B"/>
    <w:rsid w:val="70E95F36"/>
    <w:rsid w:val="70EBAF8F"/>
    <w:rsid w:val="70EC14CC"/>
    <w:rsid w:val="70F34DCD"/>
    <w:rsid w:val="70F7A3A6"/>
    <w:rsid w:val="70F8DA47"/>
    <w:rsid w:val="70FFF1F6"/>
    <w:rsid w:val="710BE74B"/>
    <w:rsid w:val="7110C0B0"/>
    <w:rsid w:val="711ACD5A"/>
    <w:rsid w:val="711B5C3C"/>
    <w:rsid w:val="711C44E4"/>
    <w:rsid w:val="711F1BED"/>
    <w:rsid w:val="712498C3"/>
    <w:rsid w:val="7127F31F"/>
    <w:rsid w:val="712F7C7E"/>
    <w:rsid w:val="71314F7A"/>
    <w:rsid w:val="713B0212"/>
    <w:rsid w:val="713D671D"/>
    <w:rsid w:val="714014AC"/>
    <w:rsid w:val="714AB512"/>
    <w:rsid w:val="714C5EFE"/>
    <w:rsid w:val="715030BF"/>
    <w:rsid w:val="7150E6AF"/>
    <w:rsid w:val="7151CA83"/>
    <w:rsid w:val="71540C77"/>
    <w:rsid w:val="71550A07"/>
    <w:rsid w:val="71571B16"/>
    <w:rsid w:val="71589285"/>
    <w:rsid w:val="7159E9C6"/>
    <w:rsid w:val="715F43D4"/>
    <w:rsid w:val="7165189F"/>
    <w:rsid w:val="71663B8D"/>
    <w:rsid w:val="7167E53A"/>
    <w:rsid w:val="716F12D2"/>
    <w:rsid w:val="71751923"/>
    <w:rsid w:val="71802E87"/>
    <w:rsid w:val="71961B6E"/>
    <w:rsid w:val="71988130"/>
    <w:rsid w:val="719CEAB0"/>
    <w:rsid w:val="71A18028"/>
    <w:rsid w:val="71A8EC14"/>
    <w:rsid w:val="71AE0301"/>
    <w:rsid w:val="71B01983"/>
    <w:rsid w:val="71C5F365"/>
    <w:rsid w:val="71C780B5"/>
    <w:rsid w:val="71CEC3A4"/>
    <w:rsid w:val="71D9398D"/>
    <w:rsid w:val="71DA82CD"/>
    <w:rsid w:val="71DF9B8C"/>
    <w:rsid w:val="71ED3FCA"/>
    <w:rsid w:val="71F887A9"/>
    <w:rsid w:val="71FAF7C4"/>
    <w:rsid w:val="71FCBAEE"/>
    <w:rsid w:val="7205AE2E"/>
    <w:rsid w:val="7207F23D"/>
    <w:rsid w:val="720885E4"/>
    <w:rsid w:val="720910EF"/>
    <w:rsid w:val="720EF18D"/>
    <w:rsid w:val="721E999D"/>
    <w:rsid w:val="721EBE18"/>
    <w:rsid w:val="72232F01"/>
    <w:rsid w:val="722408AB"/>
    <w:rsid w:val="72266E34"/>
    <w:rsid w:val="72289C2B"/>
    <w:rsid w:val="72383213"/>
    <w:rsid w:val="7238DC88"/>
    <w:rsid w:val="7239D974"/>
    <w:rsid w:val="72507058"/>
    <w:rsid w:val="7255623C"/>
    <w:rsid w:val="725B9390"/>
    <w:rsid w:val="725DE003"/>
    <w:rsid w:val="7261009E"/>
    <w:rsid w:val="7265DE42"/>
    <w:rsid w:val="726A78A3"/>
    <w:rsid w:val="726DC26D"/>
    <w:rsid w:val="72721C10"/>
    <w:rsid w:val="7274BBED"/>
    <w:rsid w:val="7277DF7D"/>
    <w:rsid w:val="727B499A"/>
    <w:rsid w:val="728187CA"/>
    <w:rsid w:val="7283163D"/>
    <w:rsid w:val="7285B528"/>
    <w:rsid w:val="728B460D"/>
    <w:rsid w:val="729E48B3"/>
    <w:rsid w:val="72A38CFA"/>
    <w:rsid w:val="72A74331"/>
    <w:rsid w:val="72AB23D3"/>
    <w:rsid w:val="72AD919B"/>
    <w:rsid w:val="72B05A0A"/>
    <w:rsid w:val="72B69C8B"/>
    <w:rsid w:val="72BAF2F3"/>
    <w:rsid w:val="72BF1E0F"/>
    <w:rsid w:val="72CCF964"/>
    <w:rsid w:val="72D8B833"/>
    <w:rsid w:val="72DD6E4B"/>
    <w:rsid w:val="72E99037"/>
    <w:rsid w:val="72EE1FA6"/>
    <w:rsid w:val="72F0664C"/>
    <w:rsid w:val="72F123B1"/>
    <w:rsid w:val="72F6B901"/>
    <w:rsid w:val="7305FA2C"/>
    <w:rsid w:val="7307D067"/>
    <w:rsid w:val="7310C71F"/>
    <w:rsid w:val="7311C4A7"/>
    <w:rsid w:val="73142D23"/>
    <w:rsid w:val="73152A1C"/>
    <w:rsid w:val="731AC1A5"/>
    <w:rsid w:val="731E3B23"/>
    <w:rsid w:val="73208517"/>
    <w:rsid w:val="73269B92"/>
    <w:rsid w:val="7334DD1B"/>
    <w:rsid w:val="73352F27"/>
    <w:rsid w:val="733842E0"/>
    <w:rsid w:val="733EF04A"/>
    <w:rsid w:val="734248A6"/>
    <w:rsid w:val="734B9500"/>
    <w:rsid w:val="7357CAB4"/>
    <w:rsid w:val="735DF078"/>
    <w:rsid w:val="736178C1"/>
    <w:rsid w:val="73692C44"/>
    <w:rsid w:val="736D56A2"/>
    <w:rsid w:val="7370B07C"/>
    <w:rsid w:val="7371C582"/>
    <w:rsid w:val="7373FDD9"/>
    <w:rsid w:val="7379EE7F"/>
    <w:rsid w:val="7388773D"/>
    <w:rsid w:val="738F7979"/>
    <w:rsid w:val="73913955"/>
    <w:rsid w:val="7391AB0C"/>
    <w:rsid w:val="7399C6E3"/>
    <w:rsid w:val="739B132C"/>
    <w:rsid w:val="73A0046B"/>
    <w:rsid w:val="73A55D3F"/>
    <w:rsid w:val="73B0D03E"/>
    <w:rsid w:val="73B348CC"/>
    <w:rsid w:val="73BA1CB3"/>
    <w:rsid w:val="73BA4907"/>
    <w:rsid w:val="73C037B4"/>
    <w:rsid w:val="73C0F7DF"/>
    <w:rsid w:val="73C66795"/>
    <w:rsid w:val="73D1DAB4"/>
    <w:rsid w:val="73E1E83E"/>
    <w:rsid w:val="73ECC5AA"/>
    <w:rsid w:val="73EF4A79"/>
    <w:rsid w:val="73F6EA46"/>
    <w:rsid w:val="73F9F4A2"/>
    <w:rsid w:val="73FAB446"/>
    <w:rsid w:val="74086DC4"/>
    <w:rsid w:val="740CD0D2"/>
    <w:rsid w:val="7412CED7"/>
    <w:rsid w:val="74194907"/>
    <w:rsid w:val="741C3C38"/>
    <w:rsid w:val="741F55F3"/>
    <w:rsid w:val="74233AE7"/>
    <w:rsid w:val="742A7B2E"/>
    <w:rsid w:val="742E158E"/>
    <w:rsid w:val="7432086D"/>
    <w:rsid w:val="74383DE1"/>
    <w:rsid w:val="7438CB13"/>
    <w:rsid w:val="743B7BFA"/>
    <w:rsid w:val="743F5E42"/>
    <w:rsid w:val="744CEB7D"/>
    <w:rsid w:val="7450DA2D"/>
    <w:rsid w:val="745196F2"/>
    <w:rsid w:val="746239D7"/>
    <w:rsid w:val="746A537C"/>
    <w:rsid w:val="746B5076"/>
    <w:rsid w:val="746C4998"/>
    <w:rsid w:val="746E2145"/>
    <w:rsid w:val="746F93E4"/>
    <w:rsid w:val="7470E49A"/>
    <w:rsid w:val="7473B3B3"/>
    <w:rsid w:val="74802094"/>
    <w:rsid w:val="74806CDF"/>
    <w:rsid w:val="74921B0B"/>
    <w:rsid w:val="74947219"/>
    <w:rsid w:val="7495CE2D"/>
    <w:rsid w:val="749C779B"/>
    <w:rsid w:val="749F49B7"/>
    <w:rsid w:val="74A2F2BD"/>
    <w:rsid w:val="74AEFECB"/>
    <w:rsid w:val="74B11638"/>
    <w:rsid w:val="74B1A999"/>
    <w:rsid w:val="74B69102"/>
    <w:rsid w:val="74B96214"/>
    <w:rsid w:val="74BDCF47"/>
    <w:rsid w:val="74BF41FD"/>
    <w:rsid w:val="74C3AC42"/>
    <w:rsid w:val="74C9AF73"/>
    <w:rsid w:val="74D2B06F"/>
    <w:rsid w:val="74D3B6BE"/>
    <w:rsid w:val="74D7E9D7"/>
    <w:rsid w:val="74DB09D1"/>
    <w:rsid w:val="74DD4317"/>
    <w:rsid w:val="74E72AB4"/>
    <w:rsid w:val="74EEDB32"/>
    <w:rsid w:val="74EF0C36"/>
    <w:rsid w:val="74F3EFDF"/>
    <w:rsid w:val="74F8269D"/>
    <w:rsid w:val="74F88BEA"/>
    <w:rsid w:val="74FBD512"/>
    <w:rsid w:val="74FCAB8D"/>
    <w:rsid w:val="750108F2"/>
    <w:rsid w:val="750973D1"/>
    <w:rsid w:val="7509C224"/>
    <w:rsid w:val="750C7883"/>
    <w:rsid w:val="751E1C39"/>
    <w:rsid w:val="751FD268"/>
    <w:rsid w:val="752AFAB5"/>
    <w:rsid w:val="752F95F0"/>
    <w:rsid w:val="7538951D"/>
    <w:rsid w:val="7539E0FF"/>
    <w:rsid w:val="753C95D8"/>
    <w:rsid w:val="754AD32E"/>
    <w:rsid w:val="75550C1D"/>
    <w:rsid w:val="7556744A"/>
    <w:rsid w:val="7557B5DF"/>
    <w:rsid w:val="7563EF9B"/>
    <w:rsid w:val="7565D4B4"/>
    <w:rsid w:val="75879325"/>
    <w:rsid w:val="758CC9B3"/>
    <w:rsid w:val="758DD8FE"/>
    <w:rsid w:val="7593396C"/>
    <w:rsid w:val="759355C1"/>
    <w:rsid w:val="75943C04"/>
    <w:rsid w:val="7594EF28"/>
    <w:rsid w:val="75A0DDE9"/>
    <w:rsid w:val="75A3CC23"/>
    <w:rsid w:val="75A99CEA"/>
    <w:rsid w:val="75B1A685"/>
    <w:rsid w:val="75CA1FB6"/>
    <w:rsid w:val="75CC96CF"/>
    <w:rsid w:val="75D3114A"/>
    <w:rsid w:val="75E6615B"/>
    <w:rsid w:val="75EADCAC"/>
    <w:rsid w:val="75EF5DEB"/>
    <w:rsid w:val="75EF7602"/>
    <w:rsid w:val="75F4E230"/>
    <w:rsid w:val="75FBE07E"/>
    <w:rsid w:val="760F18ED"/>
    <w:rsid w:val="761EE4D2"/>
    <w:rsid w:val="762AFCA6"/>
    <w:rsid w:val="7634E8C1"/>
    <w:rsid w:val="76381DB6"/>
    <w:rsid w:val="763D4A7A"/>
    <w:rsid w:val="763ED9B1"/>
    <w:rsid w:val="76414821"/>
    <w:rsid w:val="7642410F"/>
    <w:rsid w:val="764DE9EB"/>
    <w:rsid w:val="76569A4A"/>
    <w:rsid w:val="765A9994"/>
    <w:rsid w:val="76607F32"/>
    <w:rsid w:val="766703FB"/>
    <w:rsid w:val="7673D85A"/>
    <w:rsid w:val="76769232"/>
    <w:rsid w:val="76790D16"/>
    <w:rsid w:val="76861A1E"/>
    <w:rsid w:val="768AD081"/>
    <w:rsid w:val="7693D589"/>
    <w:rsid w:val="7697ECA6"/>
    <w:rsid w:val="769C7FBA"/>
    <w:rsid w:val="76A2EA8E"/>
    <w:rsid w:val="76A4976D"/>
    <w:rsid w:val="76B7EF2E"/>
    <w:rsid w:val="76BBEDCE"/>
    <w:rsid w:val="76BBF35D"/>
    <w:rsid w:val="76C7BE5E"/>
    <w:rsid w:val="76C7C283"/>
    <w:rsid w:val="76CBB554"/>
    <w:rsid w:val="76CBD0C9"/>
    <w:rsid w:val="76CDB7E6"/>
    <w:rsid w:val="76D04DFB"/>
    <w:rsid w:val="76D9649A"/>
    <w:rsid w:val="76DF50C3"/>
    <w:rsid w:val="76E5E8A2"/>
    <w:rsid w:val="76F0B3B9"/>
    <w:rsid w:val="76F222C8"/>
    <w:rsid w:val="76F6C3C1"/>
    <w:rsid w:val="76FB08DC"/>
    <w:rsid w:val="76FF54E4"/>
    <w:rsid w:val="7703B4D5"/>
    <w:rsid w:val="7703E998"/>
    <w:rsid w:val="770BA9DD"/>
    <w:rsid w:val="770DD305"/>
    <w:rsid w:val="770F4861"/>
    <w:rsid w:val="7714D4A4"/>
    <w:rsid w:val="7714F2FF"/>
    <w:rsid w:val="77158C5B"/>
    <w:rsid w:val="77223FD5"/>
    <w:rsid w:val="77273E0E"/>
    <w:rsid w:val="772B0E5C"/>
    <w:rsid w:val="772FD28D"/>
    <w:rsid w:val="7738EE51"/>
    <w:rsid w:val="773C5A4E"/>
    <w:rsid w:val="775B172B"/>
    <w:rsid w:val="7761D4E4"/>
    <w:rsid w:val="77629EDE"/>
    <w:rsid w:val="7765B694"/>
    <w:rsid w:val="7769C3F5"/>
    <w:rsid w:val="777136B1"/>
    <w:rsid w:val="77797634"/>
    <w:rsid w:val="777DA748"/>
    <w:rsid w:val="7785EB98"/>
    <w:rsid w:val="778BDE33"/>
    <w:rsid w:val="778D7410"/>
    <w:rsid w:val="7790E412"/>
    <w:rsid w:val="7792624D"/>
    <w:rsid w:val="7796EA1B"/>
    <w:rsid w:val="7797587F"/>
    <w:rsid w:val="779EA107"/>
    <w:rsid w:val="77A0C59E"/>
    <w:rsid w:val="77A69D9B"/>
    <w:rsid w:val="77A840D7"/>
    <w:rsid w:val="77B24851"/>
    <w:rsid w:val="77B415BB"/>
    <w:rsid w:val="77B4257E"/>
    <w:rsid w:val="77B61252"/>
    <w:rsid w:val="77BA1729"/>
    <w:rsid w:val="77BC3B1E"/>
    <w:rsid w:val="77BCD099"/>
    <w:rsid w:val="77C33484"/>
    <w:rsid w:val="77C5874F"/>
    <w:rsid w:val="77C59D8D"/>
    <w:rsid w:val="77D39EB8"/>
    <w:rsid w:val="77D90AF1"/>
    <w:rsid w:val="77E10D5D"/>
    <w:rsid w:val="77E92992"/>
    <w:rsid w:val="77EAE87B"/>
    <w:rsid w:val="77F1F7F3"/>
    <w:rsid w:val="77F76510"/>
    <w:rsid w:val="77F8A7BF"/>
    <w:rsid w:val="77FD9345"/>
    <w:rsid w:val="77FF5C94"/>
    <w:rsid w:val="780BCDDE"/>
    <w:rsid w:val="780F9937"/>
    <w:rsid w:val="781227F3"/>
    <w:rsid w:val="78128F3B"/>
    <w:rsid w:val="78133957"/>
    <w:rsid w:val="78143B88"/>
    <w:rsid w:val="7814DBA9"/>
    <w:rsid w:val="781523FC"/>
    <w:rsid w:val="781B448A"/>
    <w:rsid w:val="781BF8DF"/>
    <w:rsid w:val="7823E153"/>
    <w:rsid w:val="783C7B62"/>
    <w:rsid w:val="7840F736"/>
    <w:rsid w:val="78453A89"/>
    <w:rsid w:val="784DBAD5"/>
    <w:rsid w:val="784EAE47"/>
    <w:rsid w:val="78510635"/>
    <w:rsid w:val="78600102"/>
    <w:rsid w:val="7862B5B6"/>
    <w:rsid w:val="7867B517"/>
    <w:rsid w:val="7877AA2E"/>
    <w:rsid w:val="7882121C"/>
    <w:rsid w:val="788915CF"/>
    <w:rsid w:val="788A2FFE"/>
    <w:rsid w:val="788C639E"/>
    <w:rsid w:val="788DB660"/>
    <w:rsid w:val="78A2C1DC"/>
    <w:rsid w:val="78A36546"/>
    <w:rsid w:val="78A4E2F7"/>
    <w:rsid w:val="78AAFF0B"/>
    <w:rsid w:val="78B9D259"/>
    <w:rsid w:val="78BF3107"/>
    <w:rsid w:val="78C19CAE"/>
    <w:rsid w:val="78C5A74A"/>
    <w:rsid w:val="78C84399"/>
    <w:rsid w:val="78CEF08D"/>
    <w:rsid w:val="78D4BB48"/>
    <w:rsid w:val="78E75A49"/>
    <w:rsid w:val="78E8CAAA"/>
    <w:rsid w:val="78EC5C8D"/>
    <w:rsid w:val="78EF3F85"/>
    <w:rsid w:val="78F377F8"/>
    <w:rsid w:val="78F50649"/>
    <w:rsid w:val="79033480"/>
    <w:rsid w:val="7906DCFD"/>
    <w:rsid w:val="7916BB95"/>
    <w:rsid w:val="791E1533"/>
    <w:rsid w:val="79268EB6"/>
    <w:rsid w:val="7932E545"/>
    <w:rsid w:val="79378B90"/>
    <w:rsid w:val="793F3037"/>
    <w:rsid w:val="7944DB57"/>
    <w:rsid w:val="7949261E"/>
    <w:rsid w:val="794E857A"/>
    <w:rsid w:val="79591C33"/>
    <w:rsid w:val="795D2FFF"/>
    <w:rsid w:val="79617AB6"/>
    <w:rsid w:val="7962EA3E"/>
    <w:rsid w:val="7966C336"/>
    <w:rsid w:val="796BEA4F"/>
    <w:rsid w:val="796C3CC8"/>
    <w:rsid w:val="79727F03"/>
    <w:rsid w:val="79765BF7"/>
    <w:rsid w:val="7979B543"/>
    <w:rsid w:val="798F7FCD"/>
    <w:rsid w:val="79902124"/>
    <w:rsid w:val="7995A535"/>
    <w:rsid w:val="79978F5B"/>
    <w:rsid w:val="79A57449"/>
    <w:rsid w:val="79A81FB9"/>
    <w:rsid w:val="79A84C07"/>
    <w:rsid w:val="79B1B93D"/>
    <w:rsid w:val="79B68115"/>
    <w:rsid w:val="79B6F9EA"/>
    <w:rsid w:val="79B86D1C"/>
    <w:rsid w:val="79BD3F93"/>
    <w:rsid w:val="79C42AEE"/>
    <w:rsid w:val="79CD0F14"/>
    <w:rsid w:val="79D10CEF"/>
    <w:rsid w:val="79D4D0DE"/>
    <w:rsid w:val="79D6F277"/>
    <w:rsid w:val="79DA1C53"/>
    <w:rsid w:val="79DD2470"/>
    <w:rsid w:val="79E0F54E"/>
    <w:rsid w:val="79E56413"/>
    <w:rsid w:val="79E5EA9C"/>
    <w:rsid w:val="79E8ED4D"/>
    <w:rsid w:val="79EB52B2"/>
    <w:rsid w:val="79EBB66F"/>
    <w:rsid w:val="79F0F3C9"/>
    <w:rsid w:val="7A0493D7"/>
    <w:rsid w:val="7A0682F7"/>
    <w:rsid w:val="7A0A35B6"/>
    <w:rsid w:val="7A171C76"/>
    <w:rsid w:val="7A1AB9C8"/>
    <w:rsid w:val="7A27B755"/>
    <w:rsid w:val="7A27E375"/>
    <w:rsid w:val="7A29FBAA"/>
    <w:rsid w:val="7A330139"/>
    <w:rsid w:val="7A353940"/>
    <w:rsid w:val="7A383105"/>
    <w:rsid w:val="7A3D71BA"/>
    <w:rsid w:val="7A3E5792"/>
    <w:rsid w:val="7A412B86"/>
    <w:rsid w:val="7A44BA76"/>
    <w:rsid w:val="7A45AB54"/>
    <w:rsid w:val="7A483202"/>
    <w:rsid w:val="7A488784"/>
    <w:rsid w:val="7A4B5E20"/>
    <w:rsid w:val="7A532CD9"/>
    <w:rsid w:val="7A54305F"/>
    <w:rsid w:val="7A547E4D"/>
    <w:rsid w:val="7A59960A"/>
    <w:rsid w:val="7A618075"/>
    <w:rsid w:val="7A63202C"/>
    <w:rsid w:val="7A659DBE"/>
    <w:rsid w:val="7A67FFE6"/>
    <w:rsid w:val="7A6E2B4F"/>
    <w:rsid w:val="7A741F5A"/>
    <w:rsid w:val="7A7C9E37"/>
    <w:rsid w:val="7A7D8DE0"/>
    <w:rsid w:val="7A827959"/>
    <w:rsid w:val="7A83BEEA"/>
    <w:rsid w:val="7A88AFA1"/>
    <w:rsid w:val="7A94A32A"/>
    <w:rsid w:val="7A9541A1"/>
    <w:rsid w:val="7A96B3A5"/>
    <w:rsid w:val="7A99CF64"/>
    <w:rsid w:val="7AA32C2C"/>
    <w:rsid w:val="7AAB66C8"/>
    <w:rsid w:val="7AB0F6B1"/>
    <w:rsid w:val="7ABAA9E7"/>
    <w:rsid w:val="7AC84D2D"/>
    <w:rsid w:val="7ACF73D3"/>
    <w:rsid w:val="7AD245BD"/>
    <w:rsid w:val="7AD4BD1B"/>
    <w:rsid w:val="7AE7D59C"/>
    <w:rsid w:val="7AE8BF16"/>
    <w:rsid w:val="7AF0CAFB"/>
    <w:rsid w:val="7AF3FE38"/>
    <w:rsid w:val="7AFF3E4B"/>
    <w:rsid w:val="7B02EDEF"/>
    <w:rsid w:val="7B069154"/>
    <w:rsid w:val="7B0832B1"/>
    <w:rsid w:val="7B0D4B9C"/>
    <w:rsid w:val="7B0FE2FE"/>
    <w:rsid w:val="7B10566F"/>
    <w:rsid w:val="7B115744"/>
    <w:rsid w:val="7B13A361"/>
    <w:rsid w:val="7B1480B8"/>
    <w:rsid w:val="7B1655B3"/>
    <w:rsid w:val="7B16B672"/>
    <w:rsid w:val="7B1703D2"/>
    <w:rsid w:val="7B17A81B"/>
    <w:rsid w:val="7B2729C3"/>
    <w:rsid w:val="7B2F76A4"/>
    <w:rsid w:val="7B455DF0"/>
    <w:rsid w:val="7B4804EF"/>
    <w:rsid w:val="7B480DA9"/>
    <w:rsid w:val="7B4C3D71"/>
    <w:rsid w:val="7B4C9614"/>
    <w:rsid w:val="7B4D6047"/>
    <w:rsid w:val="7B4FD89D"/>
    <w:rsid w:val="7B5993C7"/>
    <w:rsid w:val="7B61622F"/>
    <w:rsid w:val="7B69BD80"/>
    <w:rsid w:val="7B6BC3DB"/>
    <w:rsid w:val="7B72B380"/>
    <w:rsid w:val="7B7E73E9"/>
    <w:rsid w:val="7B7EDD6D"/>
    <w:rsid w:val="7B80B7F5"/>
    <w:rsid w:val="7B8941D9"/>
    <w:rsid w:val="7B8B0658"/>
    <w:rsid w:val="7B8B0711"/>
    <w:rsid w:val="7B917666"/>
    <w:rsid w:val="7B91E6B6"/>
    <w:rsid w:val="7B94E94B"/>
    <w:rsid w:val="7B990BC0"/>
    <w:rsid w:val="7B9CCCF4"/>
    <w:rsid w:val="7BA83E34"/>
    <w:rsid w:val="7BAA1572"/>
    <w:rsid w:val="7BC3496E"/>
    <w:rsid w:val="7BC99ADB"/>
    <w:rsid w:val="7BD1339D"/>
    <w:rsid w:val="7BD9D5C4"/>
    <w:rsid w:val="7BDC8FDD"/>
    <w:rsid w:val="7BE2C6F0"/>
    <w:rsid w:val="7BE600FE"/>
    <w:rsid w:val="7BEB60A9"/>
    <w:rsid w:val="7BF9CAA3"/>
    <w:rsid w:val="7BFEE5BD"/>
    <w:rsid w:val="7C063DBD"/>
    <w:rsid w:val="7C0E3EB4"/>
    <w:rsid w:val="7C1C1905"/>
    <w:rsid w:val="7C20E05B"/>
    <w:rsid w:val="7C237357"/>
    <w:rsid w:val="7C24FA96"/>
    <w:rsid w:val="7C255829"/>
    <w:rsid w:val="7C2B972A"/>
    <w:rsid w:val="7C34D198"/>
    <w:rsid w:val="7C374F59"/>
    <w:rsid w:val="7C38847B"/>
    <w:rsid w:val="7C3B05D9"/>
    <w:rsid w:val="7C40BDB0"/>
    <w:rsid w:val="7C4EB002"/>
    <w:rsid w:val="7C503BB1"/>
    <w:rsid w:val="7C560699"/>
    <w:rsid w:val="7C5AB04A"/>
    <w:rsid w:val="7C5F9310"/>
    <w:rsid w:val="7C64766A"/>
    <w:rsid w:val="7C697F8B"/>
    <w:rsid w:val="7C6B8575"/>
    <w:rsid w:val="7C6E5D57"/>
    <w:rsid w:val="7C731D7B"/>
    <w:rsid w:val="7C7A2343"/>
    <w:rsid w:val="7C8C12DF"/>
    <w:rsid w:val="7C95587A"/>
    <w:rsid w:val="7C9ABE61"/>
    <w:rsid w:val="7C9E75F7"/>
    <w:rsid w:val="7CA7281A"/>
    <w:rsid w:val="7CAC8BFE"/>
    <w:rsid w:val="7CB4D98C"/>
    <w:rsid w:val="7CCB7268"/>
    <w:rsid w:val="7CCD0095"/>
    <w:rsid w:val="7CCE637C"/>
    <w:rsid w:val="7CD28BAE"/>
    <w:rsid w:val="7CD5E719"/>
    <w:rsid w:val="7CD5FDAF"/>
    <w:rsid w:val="7CDB515C"/>
    <w:rsid w:val="7CDCD7C6"/>
    <w:rsid w:val="7CE3C8A6"/>
    <w:rsid w:val="7CE75432"/>
    <w:rsid w:val="7CE7B320"/>
    <w:rsid w:val="7CEC09B1"/>
    <w:rsid w:val="7CED7693"/>
    <w:rsid w:val="7CFD9E8A"/>
    <w:rsid w:val="7D029CBE"/>
    <w:rsid w:val="7D060C89"/>
    <w:rsid w:val="7D06D666"/>
    <w:rsid w:val="7D0F92AB"/>
    <w:rsid w:val="7D118CBB"/>
    <w:rsid w:val="7D1499E2"/>
    <w:rsid w:val="7D22DD21"/>
    <w:rsid w:val="7D28BECB"/>
    <w:rsid w:val="7D2C554C"/>
    <w:rsid w:val="7D2FE9B7"/>
    <w:rsid w:val="7D33CD8D"/>
    <w:rsid w:val="7D340BE3"/>
    <w:rsid w:val="7D39B454"/>
    <w:rsid w:val="7D3DE86F"/>
    <w:rsid w:val="7D4D46E5"/>
    <w:rsid w:val="7D4DBC98"/>
    <w:rsid w:val="7D561AB7"/>
    <w:rsid w:val="7D57E990"/>
    <w:rsid w:val="7D607869"/>
    <w:rsid w:val="7D8479D4"/>
    <w:rsid w:val="7D894DAC"/>
    <w:rsid w:val="7D8DDA92"/>
    <w:rsid w:val="7D928520"/>
    <w:rsid w:val="7D982D9F"/>
    <w:rsid w:val="7D98E1BD"/>
    <w:rsid w:val="7D9B3E52"/>
    <w:rsid w:val="7D9DA6F5"/>
    <w:rsid w:val="7D9F4FD8"/>
    <w:rsid w:val="7DA86E0A"/>
    <w:rsid w:val="7DABC0EF"/>
    <w:rsid w:val="7DBB4BA5"/>
    <w:rsid w:val="7DBD1E11"/>
    <w:rsid w:val="7DC933CA"/>
    <w:rsid w:val="7DC9F696"/>
    <w:rsid w:val="7DD1C323"/>
    <w:rsid w:val="7DD29193"/>
    <w:rsid w:val="7DD394BB"/>
    <w:rsid w:val="7DD520ED"/>
    <w:rsid w:val="7DD72BC2"/>
    <w:rsid w:val="7DDBAC6D"/>
    <w:rsid w:val="7DE63CAA"/>
    <w:rsid w:val="7DED62DE"/>
    <w:rsid w:val="7DF320FF"/>
    <w:rsid w:val="7DFF136F"/>
    <w:rsid w:val="7E06C28E"/>
    <w:rsid w:val="7E0B66C3"/>
    <w:rsid w:val="7E0B8CDA"/>
    <w:rsid w:val="7E1141A3"/>
    <w:rsid w:val="7E1181C0"/>
    <w:rsid w:val="7E1B6042"/>
    <w:rsid w:val="7E216D92"/>
    <w:rsid w:val="7E263E58"/>
    <w:rsid w:val="7E27296E"/>
    <w:rsid w:val="7E29040D"/>
    <w:rsid w:val="7E2DDC71"/>
    <w:rsid w:val="7E2F2858"/>
    <w:rsid w:val="7E3688AD"/>
    <w:rsid w:val="7E392516"/>
    <w:rsid w:val="7E3F9968"/>
    <w:rsid w:val="7E3FD373"/>
    <w:rsid w:val="7E42FE61"/>
    <w:rsid w:val="7E434B20"/>
    <w:rsid w:val="7E43CC18"/>
    <w:rsid w:val="7E5720B7"/>
    <w:rsid w:val="7E5E8045"/>
    <w:rsid w:val="7E65466C"/>
    <w:rsid w:val="7E6B1884"/>
    <w:rsid w:val="7E6F0393"/>
    <w:rsid w:val="7E733037"/>
    <w:rsid w:val="7E75FF1F"/>
    <w:rsid w:val="7E771DEB"/>
    <w:rsid w:val="7E7C1160"/>
    <w:rsid w:val="7E817873"/>
    <w:rsid w:val="7E8DEB26"/>
    <w:rsid w:val="7E8E9809"/>
    <w:rsid w:val="7E936D76"/>
    <w:rsid w:val="7E985FCC"/>
    <w:rsid w:val="7E9E437C"/>
    <w:rsid w:val="7E9F05D4"/>
    <w:rsid w:val="7EA7B16F"/>
    <w:rsid w:val="7EAFFF4D"/>
    <w:rsid w:val="7EB073E4"/>
    <w:rsid w:val="7EC56DBE"/>
    <w:rsid w:val="7EC85B90"/>
    <w:rsid w:val="7ECBCBF4"/>
    <w:rsid w:val="7ECD1DDB"/>
    <w:rsid w:val="7ECD74C3"/>
    <w:rsid w:val="7ECD93BC"/>
    <w:rsid w:val="7ED06A37"/>
    <w:rsid w:val="7EDA633C"/>
    <w:rsid w:val="7EE46C00"/>
    <w:rsid w:val="7EED814D"/>
    <w:rsid w:val="7EF690EB"/>
    <w:rsid w:val="7F03682C"/>
    <w:rsid w:val="7F03DC88"/>
    <w:rsid w:val="7F1655F4"/>
    <w:rsid w:val="7F1A15BF"/>
    <w:rsid w:val="7F289E6B"/>
    <w:rsid w:val="7F34FAB6"/>
    <w:rsid w:val="7F3EDD79"/>
    <w:rsid w:val="7F440E6A"/>
    <w:rsid w:val="7F47712C"/>
    <w:rsid w:val="7F486BDB"/>
    <w:rsid w:val="7F495692"/>
    <w:rsid w:val="7F4E2C74"/>
    <w:rsid w:val="7F60121D"/>
    <w:rsid w:val="7F62B2A4"/>
    <w:rsid w:val="7F7D7D33"/>
    <w:rsid w:val="7F828C2E"/>
    <w:rsid w:val="7F89972B"/>
    <w:rsid w:val="7F8D9CE0"/>
    <w:rsid w:val="7F92018A"/>
    <w:rsid w:val="7F9360A2"/>
    <w:rsid w:val="7F97A597"/>
    <w:rsid w:val="7F9CD944"/>
    <w:rsid w:val="7FA18CB0"/>
    <w:rsid w:val="7FA2F443"/>
    <w:rsid w:val="7FA6FE2C"/>
    <w:rsid w:val="7FAE8FAB"/>
    <w:rsid w:val="7FB27E68"/>
    <w:rsid w:val="7FBBA7F1"/>
    <w:rsid w:val="7FCB879A"/>
    <w:rsid w:val="7FD6F72D"/>
    <w:rsid w:val="7FDF3D79"/>
    <w:rsid w:val="7FE271F1"/>
    <w:rsid w:val="7FE74D30"/>
    <w:rsid w:val="7FF23BB7"/>
    <w:rsid w:val="7FF55D1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4C8D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7F1"/>
    <w:pPr>
      <w:jc w:val="both"/>
    </w:pPr>
    <w:rPr>
      <w:rFonts w:ascii="Times New Roman" w:hAnsi="Times New Roman"/>
    </w:rPr>
  </w:style>
  <w:style w:type="paragraph" w:styleId="Heading1">
    <w:name w:val="heading 1"/>
    <w:basedOn w:val="Normal"/>
    <w:next w:val="Normal"/>
    <w:link w:val="Heading1Char"/>
    <w:uiPriority w:val="90"/>
    <w:qFormat/>
    <w:rsid w:val="00E6448C"/>
    <w:pPr>
      <w:keepNext/>
      <w:numPr>
        <w:numId w:val="11"/>
      </w:numPr>
      <w:spacing w:before="240" w:after="240" w:line="240" w:lineRule="auto"/>
      <w:outlineLvl w:val="0"/>
    </w:pPr>
    <w:rPr>
      <w:rFonts w:ascii="Calibri" w:eastAsia="Calibri" w:hAnsi="Calibri" w:cs="Calibri"/>
      <w:b/>
      <w:smallCaps/>
      <w:sz w:val="24"/>
    </w:rPr>
  </w:style>
  <w:style w:type="paragraph" w:styleId="Heading2">
    <w:name w:val="heading 2"/>
    <w:basedOn w:val="Normal"/>
    <w:next w:val="Normal"/>
    <w:link w:val="Heading2Char"/>
    <w:uiPriority w:val="90"/>
    <w:qFormat/>
    <w:rsid w:val="00E6448C"/>
    <w:pPr>
      <w:keepNext/>
      <w:numPr>
        <w:ilvl w:val="1"/>
        <w:numId w:val="11"/>
      </w:numPr>
      <w:spacing w:after="240" w:line="240" w:lineRule="auto"/>
      <w:outlineLvl w:val="1"/>
    </w:pPr>
    <w:rPr>
      <w:rFonts w:ascii="Calibri Light" w:eastAsia="Calibri Light" w:hAnsi="Calibri Light" w:cs="Calibri Light"/>
      <w:b/>
      <w:sz w:val="24"/>
    </w:rPr>
  </w:style>
  <w:style w:type="paragraph" w:styleId="Heading3">
    <w:name w:val="heading 3"/>
    <w:basedOn w:val="Normal"/>
    <w:next w:val="Normal"/>
    <w:link w:val="Heading3Char"/>
    <w:uiPriority w:val="90"/>
    <w:qFormat/>
    <w:rsid w:val="00E6448C"/>
    <w:pPr>
      <w:keepNext/>
      <w:numPr>
        <w:ilvl w:val="2"/>
        <w:numId w:val="11"/>
      </w:numPr>
      <w:tabs>
        <w:tab w:val="clear" w:pos="1922"/>
        <w:tab w:val="num" w:pos="360"/>
      </w:tabs>
      <w:spacing w:after="240" w:line="240" w:lineRule="auto"/>
      <w:ind w:left="0" w:firstLine="0"/>
      <w:outlineLvl w:val="2"/>
    </w:pPr>
    <w:rPr>
      <w:rFonts w:ascii="Calibri Light" w:eastAsia="Calibri Light" w:hAnsi="Calibri Light" w:cs="Calibri Light"/>
      <w:i/>
      <w:sz w:val="24"/>
    </w:rPr>
  </w:style>
  <w:style w:type="paragraph" w:styleId="Heading4">
    <w:name w:val="heading 4"/>
    <w:basedOn w:val="Normal"/>
    <w:next w:val="Normal"/>
    <w:link w:val="Heading4Char"/>
    <w:uiPriority w:val="90"/>
    <w:qFormat/>
    <w:rsid w:val="00E6448C"/>
    <w:pPr>
      <w:keepNext/>
      <w:numPr>
        <w:ilvl w:val="3"/>
        <w:numId w:val="11"/>
      </w:numPr>
      <w:tabs>
        <w:tab w:val="clear" w:pos="2880"/>
        <w:tab w:val="num" w:pos="360"/>
      </w:tabs>
      <w:spacing w:after="240" w:line="240" w:lineRule="auto"/>
      <w:ind w:left="0" w:firstLine="0"/>
      <w:outlineLvl w:val="3"/>
    </w:pPr>
    <w:rPr>
      <w:rFonts w:ascii="Calibri Light" w:eastAsia="Calibri Light" w:hAnsi="Calibri Light" w:cs="Calibri Light"/>
      <w:sz w:val="24"/>
    </w:rPr>
  </w:style>
  <w:style w:type="paragraph" w:styleId="Heading5">
    <w:name w:val="heading 5"/>
    <w:basedOn w:val="Normal"/>
    <w:next w:val="Normal"/>
    <w:link w:val="Heading5Char"/>
    <w:semiHidden/>
    <w:rsid w:val="00E6448C"/>
    <w:pPr>
      <w:keepNext/>
      <w:numPr>
        <w:ilvl w:val="4"/>
        <w:numId w:val="11"/>
      </w:numPr>
      <w:tabs>
        <w:tab w:val="clear" w:pos="2880"/>
        <w:tab w:val="num" w:pos="360"/>
      </w:tabs>
      <w:spacing w:after="240" w:line="240" w:lineRule="auto"/>
      <w:ind w:left="0" w:firstLine="0"/>
      <w:outlineLvl w:val="4"/>
    </w:pPr>
    <w:rPr>
      <w:rFonts w:ascii="Calibri Light" w:eastAsia="Calibri Light" w:hAnsi="Calibri Light" w:cs="Calibri Light"/>
      <w:sz w:val="24"/>
    </w:rPr>
  </w:style>
  <w:style w:type="paragraph" w:styleId="Heading6">
    <w:name w:val="heading 6"/>
    <w:basedOn w:val="Normal"/>
    <w:next w:val="Normal"/>
    <w:link w:val="Heading6Char"/>
    <w:semiHidden/>
    <w:rsid w:val="00E6448C"/>
    <w:pPr>
      <w:keepNext/>
      <w:numPr>
        <w:ilvl w:val="5"/>
        <w:numId w:val="11"/>
      </w:numPr>
      <w:tabs>
        <w:tab w:val="clear" w:pos="2880"/>
        <w:tab w:val="num" w:pos="360"/>
      </w:tabs>
      <w:spacing w:after="240" w:line="240" w:lineRule="auto"/>
      <w:ind w:left="0" w:firstLine="0"/>
      <w:outlineLvl w:val="5"/>
    </w:pPr>
    <w:rPr>
      <w:rFonts w:ascii="Calibri Light" w:eastAsia="Calibri Light" w:hAnsi="Calibri Light" w:cs="Calibri Light"/>
      <w:sz w:val="24"/>
    </w:rPr>
  </w:style>
  <w:style w:type="paragraph" w:styleId="Heading7">
    <w:name w:val="heading 7"/>
    <w:basedOn w:val="Normal"/>
    <w:next w:val="Normal"/>
    <w:link w:val="Heading7Char"/>
    <w:semiHidden/>
    <w:rsid w:val="00E6448C"/>
    <w:pPr>
      <w:keepNext/>
      <w:numPr>
        <w:ilvl w:val="6"/>
        <w:numId w:val="11"/>
      </w:numPr>
      <w:tabs>
        <w:tab w:val="clear" w:pos="2880"/>
        <w:tab w:val="num" w:pos="360"/>
      </w:tabs>
      <w:spacing w:after="240" w:line="240" w:lineRule="auto"/>
      <w:ind w:left="0" w:firstLine="0"/>
      <w:outlineLvl w:val="6"/>
    </w:pPr>
    <w:rPr>
      <w:rFonts w:ascii="Calibri Light" w:eastAsia="Calibri Light" w:hAnsi="Calibri Light" w:cs="Calibri Light"/>
      <w:sz w:val="24"/>
    </w:rPr>
  </w:style>
  <w:style w:type="paragraph" w:styleId="Heading8">
    <w:name w:val="heading 8"/>
    <w:basedOn w:val="Normal"/>
    <w:next w:val="Normal"/>
    <w:link w:val="Heading8Char"/>
    <w:semiHidden/>
    <w:rsid w:val="00E6448C"/>
    <w:pPr>
      <w:keepNext/>
      <w:numPr>
        <w:ilvl w:val="7"/>
        <w:numId w:val="11"/>
      </w:numPr>
      <w:tabs>
        <w:tab w:val="clear" w:pos="2880"/>
        <w:tab w:val="num" w:pos="360"/>
      </w:tabs>
      <w:spacing w:after="240" w:line="240" w:lineRule="auto"/>
      <w:ind w:left="0" w:firstLine="0"/>
      <w:outlineLvl w:val="7"/>
    </w:pPr>
    <w:rPr>
      <w:rFonts w:ascii="Calibri Light" w:eastAsia="Calibri Light" w:hAnsi="Calibri Light" w:cs="Calibri Light"/>
      <w:sz w:val="24"/>
    </w:rPr>
  </w:style>
  <w:style w:type="paragraph" w:styleId="Heading9">
    <w:name w:val="heading 9"/>
    <w:basedOn w:val="Normal"/>
    <w:next w:val="Normal"/>
    <w:link w:val="Heading9Char"/>
    <w:semiHidden/>
    <w:rsid w:val="00E6448C"/>
    <w:pPr>
      <w:keepNext/>
      <w:numPr>
        <w:ilvl w:val="8"/>
        <w:numId w:val="11"/>
      </w:numPr>
      <w:tabs>
        <w:tab w:val="clear" w:pos="2880"/>
        <w:tab w:val="num" w:pos="360"/>
      </w:tabs>
      <w:spacing w:after="240" w:line="240" w:lineRule="auto"/>
      <w:ind w:left="0" w:firstLine="0"/>
      <w:outlineLvl w:val="8"/>
    </w:pPr>
    <w:rPr>
      <w:rFonts w:ascii="Calibri Light" w:eastAsia="Calibri Light" w:hAnsi="Calibri Light" w:cs="Calibri Light"/>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Normal"/>
    <w:next w:val="Normal"/>
    <w:uiPriority w:val="99"/>
    <w:rsid w:val="00E6448C"/>
    <w:pPr>
      <w:spacing w:after="480" w:line="240" w:lineRule="auto"/>
      <w:ind w:left="1531" w:hanging="1531"/>
    </w:pPr>
    <w:rPr>
      <w:rFonts w:ascii="Calibri Light" w:eastAsia="Calibri Light" w:hAnsi="Calibri Light" w:cs="Calibri Light"/>
      <w:b/>
      <w:sz w:val="24"/>
    </w:rPr>
  </w:style>
  <w:style w:type="paragraph" w:customStyle="1" w:styleId="NoteHead">
    <w:name w:val="NoteHead"/>
    <w:basedOn w:val="Normal"/>
    <w:next w:val="Subject"/>
    <w:uiPriority w:val="99"/>
    <w:rsid w:val="00E6448C"/>
    <w:pPr>
      <w:spacing w:before="720" w:after="720" w:line="240" w:lineRule="auto"/>
      <w:jc w:val="center"/>
    </w:pPr>
    <w:rPr>
      <w:rFonts w:ascii="Calibri Light" w:eastAsia="Calibri Light" w:hAnsi="Calibri Light" w:cs="Calibri Light"/>
      <w:b/>
      <w:smallCaps/>
      <w:sz w:val="24"/>
    </w:rPr>
  </w:style>
  <w:style w:type="character" w:customStyle="1" w:styleId="Heading1Char">
    <w:name w:val="Heading 1 Char"/>
    <w:basedOn w:val="DefaultParagraphFont"/>
    <w:link w:val="Heading1"/>
    <w:uiPriority w:val="90"/>
    <w:rsid w:val="00E6448C"/>
    <w:rPr>
      <w:rFonts w:ascii="Calibri" w:eastAsia="Calibri" w:hAnsi="Calibri" w:cs="Calibri"/>
      <w:b/>
      <w:smallCaps/>
      <w:sz w:val="24"/>
    </w:rPr>
  </w:style>
  <w:style w:type="character" w:customStyle="1" w:styleId="Heading2Char">
    <w:name w:val="Heading 2 Char"/>
    <w:basedOn w:val="DefaultParagraphFont"/>
    <w:link w:val="Heading2"/>
    <w:uiPriority w:val="90"/>
    <w:rsid w:val="00E6448C"/>
    <w:rPr>
      <w:rFonts w:ascii="Calibri Light" w:eastAsia="Calibri Light" w:hAnsi="Calibri Light" w:cs="Calibri Light"/>
      <w:b/>
      <w:sz w:val="24"/>
    </w:rPr>
  </w:style>
  <w:style w:type="character" w:customStyle="1" w:styleId="Heading3Char">
    <w:name w:val="Heading 3 Char"/>
    <w:basedOn w:val="DefaultParagraphFont"/>
    <w:link w:val="Heading3"/>
    <w:uiPriority w:val="90"/>
    <w:rsid w:val="00E6448C"/>
    <w:rPr>
      <w:rFonts w:ascii="Calibri Light" w:eastAsia="Calibri Light" w:hAnsi="Calibri Light" w:cs="Calibri Light"/>
      <w:i/>
      <w:sz w:val="24"/>
    </w:rPr>
  </w:style>
  <w:style w:type="character" w:customStyle="1" w:styleId="Heading4Char">
    <w:name w:val="Heading 4 Char"/>
    <w:basedOn w:val="DefaultParagraphFont"/>
    <w:link w:val="Heading4"/>
    <w:uiPriority w:val="90"/>
    <w:rsid w:val="00E6448C"/>
    <w:rPr>
      <w:rFonts w:ascii="Calibri Light" w:eastAsia="Calibri Light" w:hAnsi="Calibri Light" w:cs="Calibri Light"/>
      <w:sz w:val="24"/>
    </w:rPr>
  </w:style>
  <w:style w:type="character" w:customStyle="1" w:styleId="Heading5Char">
    <w:name w:val="Heading 5 Char"/>
    <w:basedOn w:val="DefaultParagraphFont"/>
    <w:link w:val="Heading5"/>
    <w:semiHidden/>
    <w:rsid w:val="00E6448C"/>
    <w:rPr>
      <w:rFonts w:ascii="Calibri Light" w:eastAsia="Calibri Light" w:hAnsi="Calibri Light" w:cs="Calibri Light"/>
      <w:sz w:val="24"/>
    </w:rPr>
  </w:style>
  <w:style w:type="character" w:customStyle="1" w:styleId="Heading6Char">
    <w:name w:val="Heading 6 Char"/>
    <w:basedOn w:val="DefaultParagraphFont"/>
    <w:link w:val="Heading6"/>
    <w:semiHidden/>
    <w:rsid w:val="00E6448C"/>
    <w:rPr>
      <w:rFonts w:ascii="Calibri Light" w:eastAsia="Calibri Light" w:hAnsi="Calibri Light" w:cs="Calibri Light"/>
      <w:sz w:val="24"/>
    </w:rPr>
  </w:style>
  <w:style w:type="character" w:customStyle="1" w:styleId="Heading7Char">
    <w:name w:val="Heading 7 Char"/>
    <w:basedOn w:val="DefaultParagraphFont"/>
    <w:link w:val="Heading7"/>
    <w:semiHidden/>
    <w:rsid w:val="00E6448C"/>
    <w:rPr>
      <w:rFonts w:ascii="Calibri Light" w:eastAsia="Calibri Light" w:hAnsi="Calibri Light" w:cs="Calibri Light"/>
      <w:sz w:val="24"/>
    </w:rPr>
  </w:style>
  <w:style w:type="character" w:customStyle="1" w:styleId="Heading8Char">
    <w:name w:val="Heading 8 Char"/>
    <w:basedOn w:val="DefaultParagraphFont"/>
    <w:link w:val="Heading8"/>
    <w:semiHidden/>
    <w:rsid w:val="00E6448C"/>
    <w:rPr>
      <w:rFonts w:ascii="Calibri Light" w:eastAsia="Calibri Light" w:hAnsi="Calibri Light" w:cs="Calibri Light"/>
      <w:sz w:val="24"/>
    </w:rPr>
  </w:style>
  <w:style w:type="character" w:customStyle="1" w:styleId="Heading9Char">
    <w:name w:val="Heading 9 Char"/>
    <w:basedOn w:val="DefaultParagraphFont"/>
    <w:link w:val="Heading9"/>
    <w:semiHidden/>
    <w:rsid w:val="00E6448C"/>
    <w:rPr>
      <w:rFonts w:ascii="Calibri Light" w:eastAsia="Calibri Light" w:hAnsi="Calibri Light" w:cs="Calibri Light"/>
      <w:sz w:val="24"/>
    </w:rPr>
  </w:style>
  <w:style w:type="paragraph" w:styleId="FootnoteText">
    <w:name w:val="footnote text"/>
    <w:basedOn w:val="Normal"/>
    <w:link w:val="FootnoteTextChar"/>
    <w:autoRedefine/>
    <w:uiPriority w:val="99"/>
    <w:qFormat/>
    <w:rsid w:val="00C64A13"/>
    <w:pPr>
      <w:spacing w:after="0" w:line="240" w:lineRule="auto"/>
    </w:pPr>
    <w:rPr>
      <w:rFonts w:eastAsia="Calibri Light" w:cs="Times New Roman"/>
      <w:sz w:val="20"/>
    </w:rPr>
  </w:style>
  <w:style w:type="character" w:customStyle="1" w:styleId="FootnoteTextChar">
    <w:name w:val="Footnote Text Char"/>
    <w:basedOn w:val="DefaultParagraphFont"/>
    <w:link w:val="FootnoteText"/>
    <w:uiPriority w:val="99"/>
    <w:rsid w:val="00C64A13"/>
    <w:rPr>
      <w:rFonts w:ascii="Times New Roman" w:eastAsia="Calibri Light" w:hAnsi="Times New Roman" w:cs="Times New Roman"/>
      <w:sz w:val="20"/>
    </w:rPr>
  </w:style>
  <w:style w:type="character" w:styleId="FootnoteReference">
    <w:name w:val="footnote reference"/>
    <w:basedOn w:val="DefaultParagraphFont"/>
    <w:link w:val="16Point"/>
    <w:uiPriority w:val="99"/>
    <w:qFormat/>
    <w:rsid w:val="005C5F69"/>
    <w:rPr>
      <w:rFonts w:ascii="Times New Roman" w:hAnsi="Times New Roman"/>
      <w:sz w:val="20"/>
      <w:vertAlign w:val="superscript"/>
    </w:rPr>
  </w:style>
  <w:style w:type="paragraph" w:customStyle="1" w:styleId="16Point">
    <w:name w:val="16 Point"/>
    <w:basedOn w:val="Normal"/>
    <w:link w:val="FootnoteReference"/>
    <w:autoRedefine/>
    <w:uiPriority w:val="99"/>
    <w:qFormat/>
    <w:rsid w:val="005C5F69"/>
    <w:pPr>
      <w:spacing w:line="240" w:lineRule="exact"/>
    </w:pPr>
    <w:rPr>
      <w:sz w:val="20"/>
      <w:vertAlign w:val="superscript"/>
    </w:rPr>
  </w:style>
  <w:style w:type="character" w:styleId="Hyperlink">
    <w:name w:val="Hyperlink"/>
    <w:basedOn w:val="DefaultParagraphFont"/>
    <w:uiPriority w:val="99"/>
    <w:rsid w:val="00E6448C"/>
    <w:rPr>
      <w:color w:val="0563C1" w:themeColor="hyperlink"/>
      <w:u w:val="single"/>
    </w:rPr>
  </w:style>
  <w:style w:type="character" w:styleId="FollowedHyperlink">
    <w:name w:val="FollowedHyperlink"/>
    <w:basedOn w:val="DefaultParagraphFont"/>
    <w:uiPriority w:val="99"/>
    <w:semiHidden/>
    <w:unhideWhenUsed/>
    <w:rsid w:val="00E6448C"/>
    <w:rPr>
      <w:color w:val="954F72" w:themeColor="followedHyperlink"/>
      <w:u w:val="single"/>
    </w:rPr>
  </w:style>
  <w:style w:type="paragraph" w:styleId="ListParagraph">
    <w:name w:val="List Paragraph"/>
    <w:basedOn w:val="Normal"/>
    <w:link w:val="ListParagraphChar"/>
    <w:uiPriority w:val="34"/>
    <w:qFormat/>
    <w:rsid w:val="00B82AD8"/>
    <w:pPr>
      <w:spacing w:after="240" w:line="240" w:lineRule="auto"/>
      <w:ind w:left="720"/>
      <w:contextualSpacing/>
    </w:pPr>
    <w:rPr>
      <w:rFonts w:eastAsia="Calibri Light" w:cs="Calibri Light"/>
    </w:rPr>
  </w:style>
  <w:style w:type="table" w:styleId="TableGrid">
    <w:name w:val="Table Grid"/>
    <w:basedOn w:val="TableNormal"/>
    <w:uiPriority w:val="39"/>
    <w:rsid w:val="00441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next w:val="Normal"/>
    <w:link w:val="BodyTextChar"/>
    <w:autoRedefine/>
    <w:semiHidden/>
    <w:unhideWhenUsed/>
    <w:qFormat/>
    <w:rsid w:val="00E624BE"/>
    <w:pPr>
      <w:spacing w:before="240" w:after="120" w:line="276" w:lineRule="auto"/>
    </w:pPr>
    <w:rPr>
      <w:rFonts w:eastAsia="Calibri Light" w:cs="Yu Mincho"/>
    </w:rPr>
  </w:style>
  <w:style w:type="character" w:customStyle="1" w:styleId="BodyTextChar">
    <w:name w:val="Body Text Char"/>
    <w:basedOn w:val="DefaultParagraphFont"/>
    <w:link w:val="BodyText"/>
    <w:semiHidden/>
    <w:rsid w:val="00E624BE"/>
    <w:rPr>
      <w:rFonts w:ascii="Times New Roman" w:eastAsia="Calibri Light" w:hAnsi="Times New Roman" w:cs="Yu Mincho"/>
    </w:rPr>
  </w:style>
  <w:style w:type="paragraph" w:customStyle="1" w:styleId="paragraph">
    <w:name w:val="paragraph"/>
    <w:basedOn w:val="Normal"/>
    <w:rsid w:val="00BA2F49"/>
    <w:pPr>
      <w:spacing w:before="100" w:beforeAutospacing="1" w:after="100" w:afterAutospacing="1" w:line="240" w:lineRule="auto"/>
    </w:pPr>
    <w:rPr>
      <w:rFonts w:ascii="Calibri Light" w:eastAsia="Calibri Light" w:hAnsi="Calibri Light" w:cs="Calibri Light"/>
      <w:sz w:val="24"/>
    </w:rPr>
  </w:style>
  <w:style w:type="character" w:customStyle="1" w:styleId="normaltextrun">
    <w:name w:val="normaltextrun"/>
    <w:basedOn w:val="DefaultParagraphFont"/>
    <w:rsid w:val="00BA2F49"/>
  </w:style>
  <w:style w:type="character" w:customStyle="1" w:styleId="eop">
    <w:name w:val="eop"/>
    <w:basedOn w:val="DefaultParagraphFont"/>
    <w:rsid w:val="00BA2F49"/>
  </w:style>
  <w:style w:type="paragraph" w:styleId="NormalWeb">
    <w:name w:val="Normal (Web)"/>
    <w:basedOn w:val="Normal"/>
    <w:uiPriority w:val="99"/>
    <w:unhideWhenUsed/>
    <w:rsid w:val="00105BCE"/>
    <w:pPr>
      <w:spacing w:before="100" w:beforeAutospacing="1" w:after="100" w:afterAutospacing="1" w:line="240" w:lineRule="auto"/>
    </w:pPr>
    <w:rPr>
      <w:rFonts w:ascii="Calibri Light" w:eastAsia="Calibri Light" w:hAnsi="Calibri Light" w:cs="Calibri Light"/>
      <w:sz w:val="24"/>
    </w:rPr>
  </w:style>
  <w:style w:type="paragraph" w:styleId="Header">
    <w:name w:val="header"/>
    <w:basedOn w:val="Normal"/>
    <w:link w:val="HeaderChar"/>
    <w:uiPriority w:val="99"/>
    <w:unhideWhenUsed/>
    <w:rsid w:val="00AF1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438"/>
  </w:style>
  <w:style w:type="paragraph" w:styleId="Footer">
    <w:name w:val="footer"/>
    <w:basedOn w:val="Normal"/>
    <w:link w:val="FooterChar"/>
    <w:uiPriority w:val="99"/>
    <w:unhideWhenUsed/>
    <w:rsid w:val="00AF1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438"/>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sz w:val="20"/>
    </w:rPr>
  </w:style>
  <w:style w:type="character" w:styleId="CommentReference">
    <w:name w:val="annotation reference"/>
    <w:basedOn w:val="DefaultParagraphFont"/>
    <w:uiPriority w:val="99"/>
    <w:semiHidden/>
    <w:unhideWhenUsed/>
    <w:rPr>
      <w:sz w:val="16"/>
    </w:rPr>
  </w:style>
  <w:style w:type="paragraph" w:styleId="Revision">
    <w:name w:val="Revision"/>
    <w:hidden/>
    <w:uiPriority w:val="99"/>
    <w:semiHidden/>
    <w:rsid w:val="007A65CD"/>
    <w:pPr>
      <w:spacing w:after="0" w:line="240" w:lineRule="auto"/>
    </w:pPr>
  </w:style>
  <w:style w:type="paragraph" w:styleId="CommentSubject">
    <w:name w:val="annotation subject"/>
    <w:basedOn w:val="CommentText"/>
    <w:next w:val="CommentText"/>
    <w:link w:val="CommentSubjectChar"/>
    <w:uiPriority w:val="99"/>
    <w:semiHidden/>
    <w:unhideWhenUsed/>
    <w:rsid w:val="008A5483"/>
    <w:rPr>
      <w:b/>
    </w:rPr>
  </w:style>
  <w:style w:type="character" w:customStyle="1" w:styleId="CommentSubjectChar">
    <w:name w:val="Comment Subject Char"/>
    <w:basedOn w:val="CommentTextChar"/>
    <w:link w:val="CommentSubject"/>
    <w:uiPriority w:val="99"/>
    <w:semiHidden/>
    <w:rsid w:val="008A5483"/>
    <w:rPr>
      <w:b/>
      <w:sz w:val="20"/>
    </w:rPr>
  </w:style>
  <w:style w:type="character" w:customStyle="1" w:styleId="UnresolvedMention">
    <w:name w:val="Unresolved Mention"/>
    <w:basedOn w:val="DefaultParagraphFont"/>
    <w:uiPriority w:val="99"/>
    <w:unhideWhenUsed/>
    <w:rsid w:val="00802766"/>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 w:type="character" w:styleId="Emphasis">
    <w:name w:val="Emphasis"/>
    <w:basedOn w:val="DefaultParagraphFont"/>
    <w:uiPriority w:val="20"/>
    <w:qFormat/>
    <w:rsid w:val="00785D55"/>
    <w:rPr>
      <w:i/>
    </w:rPr>
  </w:style>
  <w:style w:type="character" w:customStyle="1" w:styleId="ui-provider">
    <w:name w:val="ui-provider"/>
    <w:basedOn w:val="DefaultParagraphFont"/>
    <w:rsid w:val="001A7F21"/>
  </w:style>
  <w:style w:type="character" w:customStyle="1" w:styleId="EndnoteTextChar">
    <w:name w:val="Endnote Text Char"/>
    <w:basedOn w:val="DefaultParagraphFont"/>
    <w:link w:val="EndnoteText"/>
    <w:rPr>
      <w:sz w:val="20"/>
    </w:rPr>
  </w:style>
  <w:style w:type="paragraph" w:styleId="EndnoteText">
    <w:name w:val="endnote text"/>
    <w:basedOn w:val="Normal"/>
    <w:link w:val="EndnoteTextChar"/>
    <w:unhideWhenUsed/>
    <w:pPr>
      <w:spacing w:after="0" w:line="240" w:lineRule="auto"/>
    </w:pPr>
    <w:rPr>
      <w:sz w:val="20"/>
    </w:rPr>
  </w:style>
  <w:style w:type="character" w:customStyle="1" w:styleId="EndnoteTextChar1">
    <w:name w:val="Endnote Text Char1"/>
    <w:basedOn w:val="DefaultParagraphFont"/>
    <w:uiPriority w:val="99"/>
    <w:semiHidden/>
    <w:rsid w:val="008E6306"/>
    <w:rPr>
      <w:sz w:val="20"/>
    </w:rPr>
  </w:style>
  <w:style w:type="character" w:customStyle="1" w:styleId="ListParagraphChar">
    <w:name w:val="List Paragraph Char"/>
    <w:link w:val="ListParagraph"/>
    <w:uiPriority w:val="34"/>
    <w:qFormat/>
    <w:locked/>
    <w:rsid w:val="008F54C6"/>
    <w:rPr>
      <w:rFonts w:ascii="Times New Roman" w:eastAsia="Calibri Light" w:hAnsi="Times New Roman" w:cs="Calibri Light"/>
    </w:rPr>
  </w:style>
  <w:style w:type="character" w:styleId="EndnoteReference">
    <w:name w:val="endnote reference"/>
    <w:basedOn w:val="DefaultParagraphFont"/>
    <w:semiHidden/>
    <w:rsid w:val="008F54C6"/>
    <w:rPr>
      <w:vertAlign w:val="superscript"/>
    </w:rPr>
  </w:style>
  <w:style w:type="paragraph" w:customStyle="1" w:styleId="EASME-SMEFOOTNOTE">
    <w:name w:val="EASME-SME FOOTNOTE"/>
    <w:basedOn w:val="Normal"/>
    <w:uiPriority w:val="99"/>
    <w:rsid w:val="00C56277"/>
    <w:pPr>
      <w:spacing w:before="60" w:line="240" w:lineRule="exact"/>
    </w:pPr>
    <w:rPr>
      <w:rFonts w:eastAsia="Times New Roman" w:cs="Times New Roman"/>
      <w:sz w:val="24"/>
      <w:vertAlign w:val="superscript"/>
    </w:rPr>
  </w:style>
  <w:style w:type="character" w:styleId="Strong">
    <w:name w:val="Strong"/>
    <w:basedOn w:val="DefaultParagraphFont"/>
    <w:uiPriority w:val="22"/>
    <w:qFormat/>
    <w:rsid w:val="00A3711F"/>
    <w:rPr>
      <w:b/>
    </w:rPr>
  </w:style>
  <w:style w:type="paragraph" w:customStyle="1" w:styleId="References">
    <w:name w:val="References"/>
    <w:basedOn w:val="Normal"/>
    <w:next w:val="Normal"/>
    <w:rsid w:val="00376955"/>
    <w:pPr>
      <w:spacing w:after="120" w:line="240" w:lineRule="auto"/>
      <w:ind w:left="5102" w:right="-567"/>
      <w:jc w:val="left"/>
    </w:pPr>
    <w:rPr>
      <w:rFonts w:eastAsia="Times New Roman" w:cs="Times New Roman"/>
      <w:sz w:val="20"/>
    </w:rPr>
  </w:style>
  <w:style w:type="paragraph" w:styleId="Date">
    <w:name w:val="Date"/>
    <w:basedOn w:val="Normal"/>
    <w:next w:val="References"/>
    <w:link w:val="DateChar"/>
    <w:rsid w:val="00376955"/>
    <w:pPr>
      <w:spacing w:after="0" w:line="240" w:lineRule="auto"/>
      <w:ind w:left="5102" w:right="-567"/>
      <w:jc w:val="left"/>
    </w:pPr>
    <w:rPr>
      <w:rFonts w:eastAsia="Times New Roman" w:cs="Times New Roman"/>
      <w:sz w:val="24"/>
    </w:rPr>
  </w:style>
  <w:style w:type="character" w:customStyle="1" w:styleId="DateChar">
    <w:name w:val="Date Char"/>
    <w:basedOn w:val="DefaultParagraphFont"/>
    <w:link w:val="Date"/>
    <w:rsid w:val="00376955"/>
    <w:rPr>
      <w:rFonts w:ascii="Times New Roman" w:eastAsia="Times New Roman" w:hAnsi="Times New Roman" w:cs="Times New Roman"/>
      <w:sz w:val="24"/>
    </w:rPr>
  </w:style>
  <w:style w:type="paragraph" w:customStyle="1" w:styleId="ZDGName">
    <w:name w:val="Z_DGName"/>
    <w:basedOn w:val="Normal"/>
    <w:uiPriority w:val="99"/>
    <w:semiHidden/>
    <w:rsid w:val="00376955"/>
    <w:pPr>
      <w:widowControl w:val="0"/>
      <w:spacing w:after="0" w:line="240" w:lineRule="auto"/>
      <w:ind w:right="85"/>
      <w:jc w:val="left"/>
    </w:pPr>
    <w:rPr>
      <w:rFonts w:eastAsia="Times New Roman" w:cs="Times New Roman"/>
      <w:sz w:val="16"/>
    </w:rPr>
  </w:style>
  <w:style w:type="paragraph" w:customStyle="1" w:styleId="ZCom">
    <w:name w:val="Z_Com"/>
    <w:basedOn w:val="Normal"/>
    <w:next w:val="Normal"/>
    <w:uiPriority w:val="99"/>
    <w:semiHidden/>
    <w:rsid w:val="00376955"/>
    <w:pPr>
      <w:widowControl w:val="0"/>
      <w:spacing w:before="90" w:after="0" w:line="240" w:lineRule="auto"/>
      <w:ind w:right="85"/>
    </w:pPr>
    <w:rPr>
      <w:rFonts w:eastAsia="Times New Roman" w:cs="Times New Roman"/>
      <w:sz w:val="24"/>
    </w:rPr>
  </w:style>
  <w:style w:type="paragraph" w:customStyle="1" w:styleId="ZFlag">
    <w:name w:val="Z_Flag"/>
    <w:basedOn w:val="Normal"/>
    <w:next w:val="Normal"/>
    <w:uiPriority w:val="99"/>
    <w:semiHidden/>
    <w:rsid w:val="00376955"/>
    <w:pPr>
      <w:widowControl w:val="0"/>
      <w:spacing w:after="0" w:line="240" w:lineRule="auto"/>
      <w:ind w:right="85"/>
    </w:pPr>
    <w:rPr>
      <w:rFonts w:eastAsia="Times New Roman" w:cs="Times New Roman"/>
      <w:sz w:val="24"/>
    </w:rPr>
  </w:style>
  <w:style w:type="table" w:customStyle="1" w:styleId="TableLetterhead">
    <w:name w:val="Table Letterhead"/>
    <w:basedOn w:val="TableNormal"/>
    <w:uiPriority w:val="99"/>
    <w:rsid w:val="00376955"/>
    <w:pPr>
      <w:spacing w:after="0" w:line="240" w:lineRule="auto"/>
    </w:pPr>
    <w:rPr>
      <w:rFonts w:ascii="Times New Roman" w:eastAsia="Times New Roman" w:hAnsi="Times New Roman" w:cs="Times New Roman"/>
      <w:sz w:val="24"/>
    </w:rPr>
    <w:tblPr>
      <w:tblCellMar>
        <w:left w:w="0" w:type="dxa"/>
        <w:bottom w:w="340" w:type="dxa"/>
        <w:right w:w="0" w:type="dxa"/>
      </w:tblCellMar>
    </w:tblPr>
  </w:style>
  <w:style w:type="character" w:customStyle="1" w:styleId="Marker">
    <w:name w:val="Marker"/>
    <w:basedOn w:val="DefaultParagraphFont"/>
    <w:rsid w:val="00230B3F"/>
    <w:rPr>
      <w:color w:val="0000FF"/>
      <w:shd w:val="clear" w:color="auto" w:fill="auto"/>
    </w:rPr>
  </w:style>
  <w:style w:type="paragraph" w:customStyle="1" w:styleId="Pagedecouverture">
    <w:name w:val="Page de couverture"/>
    <w:basedOn w:val="Normal"/>
    <w:next w:val="Normal"/>
    <w:rsid w:val="004B1351"/>
    <w:pPr>
      <w:spacing w:after="0" w:line="240" w:lineRule="auto"/>
    </w:pPr>
    <w:rPr>
      <w:rFonts w:cs="Times New Roman"/>
      <w:sz w:val="24"/>
    </w:rPr>
  </w:style>
  <w:style w:type="paragraph" w:customStyle="1" w:styleId="FooterCoverPage">
    <w:name w:val="Footer Cover Page"/>
    <w:basedOn w:val="Normal"/>
    <w:link w:val="FooterCoverPageChar"/>
    <w:rsid w:val="004B1351"/>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sid w:val="004B1351"/>
    <w:rPr>
      <w:rFonts w:ascii="Times New Roman" w:hAnsi="Times New Roman"/>
      <w:sz w:val="24"/>
    </w:rPr>
  </w:style>
  <w:style w:type="paragraph" w:customStyle="1" w:styleId="FooterSensitivity">
    <w:name w:val="Footer Sensitivity"/>
    <w:basedOn w:val="Normal"/>
    <w:link w:val="FooterSensitivityChar"/>
    <w:rsid w:val="004B135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sid w:val="004B1351"/>
    <w:rPr>
      <w:rFonts w:ascii="Times New Roman" w:hAnsi="Times New Roman"/>
      <w:b/>
      <w:sz w:val="32"/>
    </w:rPr>
  </w:style>
  <w:style w:type="paragraph" w:customStyle="1" w:styleId="HeaderCoverPage">
    <w:name w:val="Header Cover Page"/>
    <w:basedOn w:val="Normal"/>
    <w:link w:val="HeaderCoverPageChar"/>
    <w:rsid w:val="004B1351"/>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sid w:val="004B1351"/>
    <w:rPr>
      <w:rFonts w:ascii="Times New Roman" w:hAnsi="Times New Roman"/>
      <w:sz w:val="24"/>
    </w:rPr>
  </w:style>
  <w:style w:type="paragraph" w:customStyle="1" w:styleId="HeaderSensitivity">
    <w:name w:val="Header Sensitivity"/>
    <w:basedOn w:val="Normal"/>
    <w:link w:val="HeaderSensitivityChar"/>
    <w:rsid w:val="004B1351"/>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4B1351"/>
    <w:rPr>
      <w:rFonts w:ascii="Times New Roman" w:hAnsi="Times New Roman"/>
      <w:b/>
      <w:sz w:val="32"/>
    </w:rPr>
  </w:style>
  <w:style w:type="paragraph" w:customStyle="1" w:styleId="HeaderSensitivityRight">
    <w:name w:val="Header Sensitivity Right"/>
    <w:basedOn w:val="Normal"/>
    <w:link w:val="HeaderSensitivityRightChar"/>
    <w:rsid w:val="004B1351"/>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4B1351"/>
    <w:rPr>
      <w:rFonts w:ascii="Times New Roman" w:hAnsi="Times New Roman"/>
      <w:sz w:val="28"/>
    </w:rPr>
  </w:style>
  <w:style w:type="character" w:customStyle="1" w:styleId="s2">
    <w:name w:val="s2"/>
    <w:basedOn w:val="DefaultParagraphFont"/>
    <w:rsid w:val="002E17E0"/>
  </w:style>
  <w:style w:type="character" w:customStyle="1" w:styleId="cf01">
    <w:name w:val="cf01"/>
    <w:basedOn w:val="DefaultParagraphFont"/>
    <w:rsid w:val="006024CB"/>
    <w:rPr>
      <w:rFonts w:ascii="Segoe UI" w:hAnsi="Segoe UI" w:cs="Segoe UI" w:hint="default"/>
      <w:color w:val="333333"/>
      <w:sz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7167">
      <w:bodyDiv w:val="1"/>
      <w:marLeft w:val="0"/>
      <w:marRight w:val="0"/>
      <w:marTop w:val="0"/>
      <w:marBottom w:val="0"/>
      <w:divBdr>
        <w:top w:val="none" w:sz="0" w:space="0" w:color="auto"/>
        <w:left w:val="none" w:sz="0" w:space="0" w:color="auto"/>
        <w:bottom w:val="none" w:sz="0" w:space="0" w:color="auto"/>
        <w:right w:val="none" w:sz="0" w:space="0" w:color="auto"/>
      </w:divBdr>
    </w:div>
    <w:div w:id="70585749">
      <w:bodyDiv w:val="1"/>
      <w:marLeft w:val="0"/>
      <w:marRight w:val="0"/>
      <w:marTop w:val="0"/>
      <w:marBottom w:val="0"/>
      <w:divBdr>
        <w:top w:val="none" w:sz="0" w:space="0" w:color="auto"/>
        <w:left w:val="none" w:sz="0" w:space="0" w:color="auto"/>
        <w:bottom w:val="none" w:sz="0" w:space="0" w:color="auto"/>
        <w:right w:val="none" w:sz="0" w:space="0" w:color="auto"/>
      </w:divBdr>
    </w:div>
    <w:div w:id="90245924">
      <w:bodyDiv w:val="1"/>
      <w:marLeft w:val="0"/>
      <w:marRight w:val="0"/>
      <w:marTop w:val="0"/>
      <w:marBottom w:val="0"/>
      <w:divBdr>
        <w:top w:val="none" w:sz="0" w:space="0" w:color="auto"/>
        <w:left w:val="none" w:sz="0" w:space="0" w:color="auto"/>
        <w:bottom w:val="none" w:sz="0" w:space="0" w:color="auto"/>
        <w:right w:val="none" w:sz="0" w:space="0" w:color="auto"/>
      </w:divBdr>
    </w:div>
    <w:div w:id="90325722">
      <w:bodyDiv w:val="1"/>
      <w:marLeft w:val="0"/>
      <w:marRight w:val="0"/>
      <w:marTop w:val="0"/>
      <w:marBottom w:val="0"/>
      <w:divBdr>
        <w:top w:val="none" w:sz="0" w:space="0" w:color="auto"/>
        <w:left w:val="none" w:sz="0" w:space="0" w:color="auto"/>
        <w:bottom w:val="none" w:sz="0" w:space="0" w:color="auto"/>
        <w:right w:val="none" w:sz="0" w:space="0" w:color="auto"/>
      </w:divBdr>
    </w:div>
    <w:div w:id="97335370">
      <w:bodyDiv w:val="1"/>
      <w:marLeft w:val="0"/>
      <w:marRight w:val="0"/>
      <w:marTop w:val="0"/>
      <w:marBottom w:val="0"/>
      <w:divBdr>
        <w:top w:val="none" w:sz="0" w:space="0" w:color="auto"/>
        <w:left w:val="none" w:sz="0" w:space="0" w:color="auto"/>
        <w:bottom w:val="none" w:sz="0" w:space="0" w:color="auto"/>
        <w:right w:val="none" w:sz="0" w:space="0" w:color="auto"/>
      </w:divBdr>
    </w:div>
    <w:div w:id="183402287">
      <w:bodyDiv w:val="1"/>
      <w:marLeft w:val="0"/>
      <w:marRight w:val="0"/>
      <w:marTop w:val="0"/>
      <w:marBottom w:val="0"/>
      <w:divBdr>
        <w:top w:val="none" w:sz="0" w:space="0" w:color="auto"/>
        <w:left w:val="none" w:sz="0" w:space="0" w:color="auto"/>
        <w:bottom w:val="none" w:sz="0" w:space="0" w:color="auto"/>
        <w:right w:val="none" w:sz="0" w:space="0" w:color="auto"/>
      </w:divBdr>
    </w:div>
    <w:div w:id="278412108">
      <w:bodyDiv w:val="1"/>
      <w:marLeft w:val="0"/>
      <w:marRight w:val="0"/>
      <w:marTop w:val="0"/>
      <w:marBottom w:val="0"/>
      <w:divBdr>
        <w:top w:val="none" w:sz="0" w:space="0" w:color="auto"/>
        <w:left w:val="none" w:sz="0" w:space="0" w:color="auto"/>
        <w:bottom w:val="none" w:sz="0" w:space="0" w:color="auto"/>
        <w:right w:val="none" w:sz="0" w:space="0" w:color="auto"/>
      </w:divBdr>
    </w:div>
    <w:div w:id="347487676">
      <w:bodyDiv w:val="1"/>
      <w:marLeft w:val="0"/>
      <w:marRight w:val="0"/>
      <w:marTop w:val="0"/>
      <w:marBottom w:val="0"/>
      <w:divBdr>
        <w:top w:val="none" w:sz="0" w:space="0" w:color="auto"/>
        <w:left w:val="none" w:sz="0" w:space="0" w:color="auto"/>
        <w:bottom w:val="none" w:sz="0" w:space="0" w:color="auto"/>
        <w:right w:val="none" w:sz="0" w:space="0" w:color="auto"/>
      </w:divBdr>
    </w:div>
    <w:div w:id="499469555">
      <w:bodyDiv w:val="1"/>
      <w:marLeft w:val="0"/>
      <w:marRight w:val="0"/>
      <w:marTop w:val="0"/>
      <w:marBottom w:val="0"/>
      <w:divBdr>
        <w:top w:val="none" w:sz="0" w:space="0" w:color="auto"/>
        <w:left w:val="none" w:sz="0" w:space="0" w:color="auto"/>
        <w:bottom w:val="none" w:sz="0" w:space="0" w:color="auto"/>
        <w:right w:val="none" w:sz="0" w:space="0" w:color="auto"/>
      </w:divBdr>
    </w:div>
    <w:div w:id="578977223">
      <w:bodyDiv w:val="1"/>
      <w:marLeft w:val="0"/>
      <w:marRight w:val="0"/>
      <w:marTop w:val="0"/>
      <w:marBottom w:val="0"/>
      <w:divBdr>
        <w:top w:val="none" w:sz="0" w:space="0" w:color="auto"/>
        <w:left w:val="none" w:sz="0" w:space="0" w:color="auto"/>
        <w:bottom w:val="none" w:sz="0" w:space="0" w:color="auto"/>
        <w:right w:val="none" w:sz="0" w:space="0" w:color="auto"/>
      </w:divBdr>
      <w:divsChild>
        <w:div w:id="1520241442">
          <w:marLeft w:val="0"/>
          <w:marRight w:val="0"/>
          <w:marTop w:val="0"/>
          <w:marBottom w:val="0"/>
          <w:divBdr>
            <w:top w:val="none" w:sz="0" w:space="0" w:color="auto"/>
            <w:left w:val="none" w:sz="0" w:space="0" w:color="auto"/>
            <w:bottom w:val="none" w:sz="0" w:space="0" w:color="auto"/>
            <w:right w:val="none" w:sz="0" w:space="0" w:color="auto"/>
          </w:divBdr>
        </w:div>
      </w:divsChild>
    </w:div>
    <w:div w:id="788620085">
      <w:bodyDiv w:val="1"/>
      <w:marLeft w:val="0"/>
      <w:marRight w:val="0"/>
      <w:marTop w:val="0"/>
      <w:marBottom w:val="0"/>
      <w:divBdr>
        <w:top w:val="none" w:sz="0" w:space="0" w:color="auto"/>
        <w:left w:val="none" w:sz="0" w:space="0" w:color="auto"/>
        <w:bottom w:val="none" w:sz="0" w:space="0" w:color="auto"/>
        <w:right w:val="none" w:sz="0" w:space="0" w:color="auto"/>
      </w:divBdr>
    </w:div>
    <w:div w:id="1025133906">
      <w:bodyDiv w:val="1"/>
      <w:marLeft w:val="0"/>
      <w:marRight w:val="0"/>
      <w:marTop w:val="0"/>
      <w:marBottom w:val="0"/>
      <w:divBdr>
        <w:top w:val="none" w:sz="0" w:space="0" w:color="auto"/>
        <w:left w:val="none" w:sz="0" w:space="0" w:color="auto"/>
        <w:bottom w:val="none" w:sz="0" w:space="0" w:color="auto"/>
        <w:right w:val="none" w:sz="0" w:space="0" w:color="auto"/>
      </w:divBdr>
    </w:div>
    <w:div w:id="1051349672">
      <w:bodyDiv w:val="1"/>
      <w:marLeft w:val="0"/>
      <w:marRight w:val="0"/>
      <w:marTop w:val="0"/>
      <w:marBottom w:val="0"/>
      <w:divBdr>
        <w:top w:val="none" w:sz="0" w:space="0" w:color="auto"/>
        <w:left w:val="none" w:sz="0" w:space="0" w:color="auto"/>
        <w:bottom w:val="none" w:sz="0" w:space="0" w:color="auto"/>
        <w:right w:val="none" w:sz="0" w:space="0" w:color="auto"/>
      </w:divBdr>
    </w:div>
    <w:div w:id="1087386486">
      <w:bodyDiv w:val="1"/>
      <w:marLeft w:val="0"/>
      <w:marRight w:val="0"/>
      <w:marTop w:val="0"/>
      <w:marBottom w:val="0"/>
      <w:divBdr>
        <w:top w:val="none" w:sz="0" w:space="0" w:color="auto"/>
        <w:left w:val="none" w:sz="0" w:space="0" w:color="auto"/>
        <w:bottom w:val="none" w:sz="0" w:space="0" w:color="auto"/>
        <w:right w:val="none" w:sz="0" w:space="0" w:color="auto"/>
      </w:divBdr>
    </w:div>
    <w:div w:id="1090271258">
      <w:bodyDiv w:val="1"/>
      <w:marLeft w:val="0"/>
      <w:marRight w:val="0"/>
      <w:marTop w:val="0"/>
      <w:marBottom w:val="0"/>
      <w:divBdr>
        <w:top w:val="none" w:sz="0" w:space="0" w:color="auto"/>
        <w:left w:val="none" w:sz="0" w:space="0" w:color="auto"/>
        <w:bottom w:val="none" w:sz="0" w:space="0" w:color="auto"/>
        <w:right w:val="none" w:sz="0" w:space="0" w:color="auto"/>
      </w:divBdr>
    </w:div>
    <w:div w:id="1494222787">
      <w:bodyDiv w:val="1"/>
      <w:marLeft w:val="0"/>
      <w:marRight w:val="0"/>
      <w:marTop w:val="0"/>
      <w:marBottom w:val="0"/>
      <w:divBdr>
        <w:top w:val="none" w:sz="0" w:space="0" w:color="auto"/>
        <w:left w:val="none" w:sz="0" w:space="0" w:color="auto"/>
        <w:bottom w:val="none" w:sz="0" w:space="0" w:color="auto"/>
        <w:right w:val="none" w:sz="0" w:space="0" w:color="auto"/>
      </w:divBdr>
    </w:div>
    <w:div w:id="1516575705">
      <w:bodyDiv w:val="1"/>
      <w:marLeft w:val="0"/>
      <w:marRight w:val="0"/>
      <w:marTop w:val="0"/>
      <w:marBottom w:val="0"/>
      <w:divBdr>
        <w:top w:val="none" w:sz="0" w:space="0" w:color="auto"/>
        <w:left w:val="none" w:sz="0" w:space="0" w:color="auto"/>
        <w:bottom w:val="none" w:sz="0" w:space="0" w:color="auto"/>
        <w:right w:val="none" w:sz="0" w:space="0" w:color="auto"/>
      </w:divBdr>
    </w:div>
    <w:div w:id="1573277885">
      <w:bodyDiv w:val="1"/>
      <w:marLeft w:val="0"/>
      <w:marRight w:val="0"/>
      <w:marTop w:val="0"/>
      <w:marBottom w:val="0"/>
      <w:divBdr>
        <w:top w:val="none" w:sz="0" w:space="0" w:color="auto"/>
        <w:left w:val="none" w:sz="0" w:space="0" w:color="auto"/>
        <w:bottom w:val="none" w:sz="0" w:space="0" w:color="auto"/>
        <w:right w:val="none" w:sz="0" w:space="0" w:color="auto"/>
      </w:divBdr>
    </w:div>
    <w:div w:id="1650404457">
      <w:bodyDiv w:val="1"/>
      <w:marLeft w:val="0"/>
      <w:marRight w:val="0"/>
      <w:marTop w:val="0"/>
      <w:marBottom w:val="0"/>
      <w:divBdr>
        <w:top w:val="none" w:sz="0" w:space="0" w:color="auto"/>
        <w:left w:val="none" w:sz="0" w:space="0" w:color="auto"/>
        <w:bottom w:val="none" w:sz="0" w:space="0" w:color="auto"/>
        <w:right w:val="none" w:sz="0" w:space="0" w:color="auto"/>
      </w:divBdr>
    </w:div>
    <w:div w:id="1792093939">
      <w:bodyDiv w:val="1"/>
      <w:marLeft w:val="0"/>
      <w:marRight w:val="0"/>
      <w:marTop w:val="0"/>
      <w:marBottom w:val="0"/>
      <w:divBdr>
        <w:top w:val="none" w:sz="0" w:space="0" w:color="auto"/>
        <w:left w:val="none" w:sz="0" w:space="0" w:color="auto"/>
        <w:bottom w:val="none" w:sz="0" w:space="0" w:color="auto"/>
        <w:right w:val="none" w:sz="0" w:space="0" w:color="auto"/>
      </w:divBdr>
    </w:div>
    <w:div w:id="1866670379">
      <w:bodyDiv w:val="1"/>
      <w:marLeft w:val="0"/>
      <w:marRight w:val="0"/>
      <w:marTop w:val="0"/>
      <w:marBottom w:val="0"/>
      <w:divBdr>
        <w:top w:val="none" w:sz="0" w:space="0" w:color="auto"/>
        <w:left w:val="none" w:sz="0" w:space="0" w:color="auto"/>
        <w:bottom w:val="none" w:sz="0" w:space="0" w:color="auto"/>
        <w:right w:val="none" w:sz="0" w:space="0" w:color="auto"/>
      </w:divBdr>
    </w:div>
    <w:div w:id="1873498939">
      <w:bodyDiv w:val="1"/>
      <w:marLeft w:val="0"/>
      <w:marRight w:val="0"/>
      <w:marTop w:val="0"/>
      <w:marBottom w:val="0"/>
      <w:divBdr>
        <w:top w:val="none" w:sz="0" w:space="0" w:color="auto"/>
        <w:left w:val="none" w:sz="0" w:space="0" w:color="auto"/>
        <w:bottom w:val="none" w:sz="0" w:space="0" w:color="auto"/>
        <w:right w:val="none" w:sz="0" w:space="0" w:color="auto"/>
      </w:divBdr>
    </w:div>
    <w:div w:id="1933010897">
      <w:bodyDiv w:val="1"/>
      <w:marLeft w:val="0"/>
      <w:marRight w:val="0"/>
      <w:marTop w:val="0"/>
      <w:marBottom w:val="0"/>
      <w:divBdr>
        <w:top w:val="none" w:sz="0" w:space="0" w:color="auto"/>
        <w:left w:val="none" w:sz="0" w:space="0" w:color="auto"/>
        <w:bottom w:val="none" w:sz="0" w:space="0" w:color="auto"/>
        <w:right w:val="none" w:sz="0" w:space="0" w:color="auto"/>
      </w:divBdr>
    </w:div>
    <w:div w:id="1970817576">
      <w:bodyDiv w:val="1"/>
      <w:marLeft w:val="0"/>
      <w:marRight w:val="0"/>
      <w:marTop w:val="0"/>
      <w:marBottom w:val="0"/>
      <w:divBdr>
        <w:top w:val="none" w:sz="0" w:space="0" w:color="auto"/>
        <w:left w:val="none" w:sz="0" w:space="0" w:color="auto"/>
        <w:bottom w:val="none" w:sz="0" w:space="0" w:color="auto"/>
        <w:right w:val="none" w:sz="0" w:space="0" w:color="auto"/>
      </w:divBdr>
      <w:divsChild>
        <w:div w:id="283074248">
          <w:marLeft w:val="0"/>
          <w:marRight w:val="0"/>
          <w:marTop w:val="0"/>
          <w:marBottom w:val="0"/>
          <w:divBdr>
            <w:top w:val="none" w:sz="0" w:space="0" w:color="auto"/>
            <w:left w:val="none" w:sz="0" w:space="0" w:color="auto"/>
            <w:bottom w:val="none" w:sz="0" w:space="0" w:color="auto"/>
            <w:right w:val="none" w:sz="0" w:space="0" w:color="auto"/>
          </w:divBdr>
        </w:div>
        <w:div w:id="542788535">
          <w:marLeft w:val="0"/>
          <w:marRight w:val="0"/>
          <w:marTop w:val="0"/>
          <w:marBottom w:val="0"/>
          <w:divBdr>
            <w:top w:val="none" w:sz="0" w:space="0" w:color="auto"/>
            <w:left w:val="none" w:sz="0" w:space="0" w:color="auto"/>
            <w:bottom w:val="none" w:sz="0" w:space="0" w:color="auto"/>
            <w:right w:val="none" w:sz="0" w:space="0" w:color="auto"/>
          </w:divBdr>
        </w:div>
        <w:div w:id="843934907">
          <w:marLeft w:val="0"/>
          <w:marRight w:val="0"/>
          <w:marTop w:val="0"/>
          <w:marBottom w:val="0"/>
          <w:divBdr>
            <w:top w:val="none" w:sz="0" w:space="0" w:color="auto"/>
            <w:left w:val="none" w:sz="0" w:space="0" w:color="auto"/>
            <w:bottom w:val="none" w:sz="0" w:space="0" w:color="auto"/>
            <w:right w:val="none" w:sz="0" w:space="0" w:color="auto"/>
          </w:divBdr>
        </w:div>
        <w:div w:id="1172645778">
          <w:marLeft w:val="0"/>
          <w:marRight w:val="0"/>
          <w:marTop w:val="0"/>
          <w:marBottom w:val="0"/>
          <w:divBdr>
            <w:top w:val="none" w:sz="0" w:space="0" w:color="auto"/>
            <w:left w:val="none" w:sz="0" w:space="0" w:color="auto"/>
            <w:bottom w:val="none" w:sz="0" w:space="0" w:color="auto"/>
            <w:right w:val="none" w:sz="0" w:space="0" w:color="auto"/>
          </w:divBdr>
        </w:div>
      </w:divsChild>
    </w:div>
    <w:div w:id="2009554724">
      <w:bodyDiv w:val="1"/>
      <w:marLeft w:val="0"/>
      <w:marRight w:val="0"/>
      <w:marTop w:val="0"/>
      <w:marBottom w:val="0"/>
      <w:divBdr>
        <w:top w:val="none" w:sz="0" w:space="0" w:color="auto"/>
        <w:left w:val="none" w:sz="0" w:space="0" w:color="auto"/>
        <w:bottom w:val="none" w:sz="0" w:space="0" w:color="auto"/>
        <w:right w:val="none" w:sz="0" w:space="0" w:color="auto"/>
      </w:divBdr>
    </w:div>
    <w:div w:id="20639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s://www.fsb.org/2023/09/enhancing-the-resilience-of-non-bank-financial-intermediation-progress-report-3/" TargetMode="External"/><Relationship Id="rId18" Type="http://schemas.openxmlformats.org/officeDocument/2006/relationships/hyperlink" Target="https://www.ecb.europa.eu/pub/financial-stability/fsr/html/ecb.fsr202311~bfe9d7c565.en.html" TargetMode="External"/><Relationship Id="rId26" Type="http://schemas.openxmlformats.org/officeDocument/2006/relationships/hyperlink" Target="https://ec.europa.eu/commission/presscorner/detail/en/ip_21_4783" TargetMode="External"/><Relationship Id="rId39" Type="http://schemas.openxmlformats.org/officeDocument/2006/relationships/hyperlink" Target="https://www.ecb.europa.eu/pub/financial-stability/fsr/special/html/ecb.fsrart202111_01~111d31fca7.en.html" TargetMode="External"/><Relationship Id="rId21" Type="http://schemas.openxmlformats.org/officeDocument/2006/relationships/hyperlink" Target="https://finance.ec.europa.eu/publications/capital-markets-union-commission-adopts-package-ensure-better-data-access-and-revamped-investment_en" TargetMode="External"/><Relationship Id="rId34" Type="http://schemas.openxmlformats.org/officeDocument/2006/relationships/hyperlink" Target="https://www.ecb.europa.eu/pub/pdf/scpops/ecb.op329~60b6f9aa26.en.pdf" TargetMode="External"/><Relationship Id="rId42" Type="http://schemas.openxmlformats.org/officeDocument/2006/relationships/hyperlink" Target="https://www.ecb.europa.eu/pub/pdf/scpwps/ecb.wp2644~7d82c23abf.en.pdf?a6ea999a5302230189454d2464059287" TargetMode="External"/><Relationship Id="rId47" Type="http://schemas.openxmlformats.org/officeDocument/2006/relationships/hyperlink" Target="https://www.esrb.europa.eu/pub/pdf/other/esrb.reviewmacropruframeworkcfa.220331~5d81cb2173.en.pdf?7263115b46a985b4481328afd3f2326d" TargetMode="External"/><Relationship Id="rId50" Type="http://schemas.openxmlformats.org/officeDocument/2006/relationships/hyperlink" Target="https://www.bankingsupervision.europa.eu/press/pr/date/2024/html/ssm.pr240103~a26e1930b0.en.html" TargetMode="External"/><Relationship Id="rId55" Type="http://schemas.openxmlformats.org/officeDocument/2006/relationships/hyperlink" Target="https://www.bankofengland.co.uk/speech/2023/september/andrew-hauser-speech-at-market-news-international-connect-event" TargetMode="External"/><Relationship Id="rId63" Type="http://schemas.openxmlformats.org/officeDocument/2006/relationships/hyperlink" Target="https://finance.ec.europa.eu/publications/strategy-supervisory-data-eu-financial-services_en" TargetMode="External"/><Relationship Id="rId7" Type="http://schemas.openxmlformats.org/officeDocument/2006/relationships/hyperlink" Target="https://www.esrb.europa.eu/shared/pdf/de_larosiere_report_de.pdf?27ac25e3e0132be567ddc3fa2590d579" TargetMode="External"/><Relationship Id="rId2" Type="http://schemas.openxmlformats.org/officeDocument/2006/relationships/hyperlink" Target="https://finance.ec.europa.eu/system/files/2022-06/2021-banking-macroprudential-framework-summary-of-responses_en.pdf" TargetMode="External"/><Relationship Id="rId16" Type="http://schemas.openxmlformats.org/officeDocument/2006/relationships/hyperlink" Target="https://www.ecb.europa.eu/pub/financial-stability/fsr/focus/2022/html/ecb.fsrbox202211_06~1caf5f3bca.en.html" TargetMode="External"/><Relationship Id="rId20" Type="http://schemas.openxmlformats.org/officeDocument/2006/relationships/hyperlink" Target="https://www.centralbank.ie/docs/default-source/publications/discussion-papers/discussion-paper-11/dp-11-an-approach-to-macroprudential-policy-for-investment-funds.pdf?sfvrsn=23059f1d_3" TargetMode="External"/><Relationship Id="rId29" Type="http://schemas.openxmlformats.org/officeDocument/2006/relationships/hyperlink" Target="https://www.esrb.europa.eu/pub/pdf/other/esrb.letter221116_on_solvencyii_review_ep~8def68c373.en.pdf?10eb1d148e7ac6732fb2a98139fe3118" TargetMode="External"/><Relationship Id="rId41" Type="http://schemas.openxmlformats.org/officeDocument/2006/relationships/hyperlink" Target="https://www.ecb.europa.eu/pub/pdf/scpwps/ecb.wp2644~7d82c23abf.en.pdf?a6ea999a5302230189454d2464059287" TargetMode="External"/><Relationship Id="rId54" Type="http://schemas.openxmlformats.org/officeDocument/2006/relationships/hyperlink" Target="https://www.bankofengland.co.uk/speech/2023/september/andrew-hauser-speech-at-market-news-international-connect-event" TargetMode="External"/><Relationship Id="rId62" Type="http://schemas.openxmlformats.org/officeDocument/2006/relationships/hyperlink" Target="https://www.fsb.org/2023/09/the-financial-stability-implications-of-leverage-in-non-bank-financial-intermediation/" TargetMode="External"/><Relationship Id="rId1" Type="http://schemas.openxmlformats.org/officeDocument/2006/relationships/hyperlink" Target="https://finance.ec.europa.eu/system/files/2021-11/2021-banking-macroprudential-framework-consultation-document_en.pdf" TargetMode="External"/><Relationship Id="rId6" Type="http://schemas.openxmlformats.org/officeDocument/2006/relationships/hyperlink" Target="https://www.esrb.europa.eu/shared/pdf/de_larosiere_report_de.pdf?27ac25e3e0132be567ddc3fa2590d579" TargetMode="External"/><Relationship Id="rId11" Type="http://schemas.openxmlformats.org/officeDocument/2006/relationships/hyperlink" Target="https://www.fsb.org/2022/12/global-monitoring-report-on-non-bank-financial-intermediation-2022/=WSEDSE" TargetMode="External"/><Relationship Id="rId24" Type="http://schemas.openxmlformats.org/officeDocument/2006/relationships/hyperlink" Target="https://finance.ec.europa.eu/regulation-and-supervision/consultations/finance-2022-money-market-funds_en" TargetMode="External"/><Relationship Id="rId32" Type="http://schemas.openxmlformats.org/officeDocument/2006/relationships/hyperlink" Target="https://www.ecb.europa.eu/pub/financial-stability/macroprudential-bulletin/html/ecb.mpbu202010_1~01c4f1a5f4.en.html" TargetMode="External"/><Relationship Id="rId37" Type="http://schemas.openxmlformats.org/officeDocument/2006/relationships/hyperlink" Target="https://www.ecb.europa.eu/pub/financial-stability/macroprudential-bulletin/html/ecb.mpbu201903_01~c307e09dd7.en.html" TargetMode="External"/><Relationship Id="rId40" Type="http://schemas.openxmlformats.org/officeDocument/2006/relationships/hyperlink" Target="https://www.ecb.europa.eu/pub/pdf/scpwps/ecb.wp2644~7d82c23abf.en.pdf?a6ea999a5302230189454d2464059287" TargetMode="External"/><Relationship Id="rId45" Type="http://schemas.openxmlformats.org/officeDocument/2006/relationships/hyperlink" Target="https://www.esrb.europa.eu/pub/pdf/reports/esrb.report190923_vulnerabilities_eea_countries~a4864b42bf.en.pdf" TargetMode="External"/><Relationship Id="rId53" Type="http://schemas.openxmlformats.org/officeDocument/2006/relationships/hyperlink" Target="https://www.bankofengland.co.uk/speech/2023/september/andrew-hauser-speech-at-market-news-international-connect-event" TargetMode="External"/><Relationship Id="rId58" Type="http://schemas.openxmlformats.org/officeDocument/2006/relationships/hyperlink" Target="https://www.esrb.europa.eu/pub/pdf/occasional/esrb.op.21~38d05c779d.en.pdf" TargetMode="External"/><Relationship Id="rId5" Type="http://schemas.openxmlformats.org/officeDocument/2006/relationships/hyperlink" Target="https://www.esrb.europa.eu/shared/pdf/de_larosiere_report_de.pdf?27ac25e3e0132be567ddc3fa2590d579" TargetMode="External"/><Relationship Id="rId15" Type="http://schemas.openxmlformats.org/officeDocument/2006/relationships/hyperlink" Target="https://www.esrb.europa.eu/pub/pdf/reports/nbfi_monitor/esrb.nbfi202306~58b19c8627.en.pdf" TargetMode="External"/><Relationship Id="rId23" Type="http://schemas.openxmlformats.org/officeDocument/2006/relationships/hyperlink" Target="https://eur-lex.europa.eu/legal-content/DE/TXT/?uri=CELEX%3A02017R1131-20190101&amp;qid=1690881926273" TargetMode="External"/><Relationship Id="rId28" Type="http://schemas.openxmlformats.org/officeDocument/2006/relationships/hyperlink" Target="https://www.esrb.europa.eu/pub/pdf/other/esrb.letter220202_on_solvencyii~10566b70b1.en.pdf?460bb936fb9bf165e33120bf98d65ba1" TargetMode="External"/><Relationship Id="rId36" Type="http://schemas.openxmlformats.org/officeDocument/2006/relationships/hyperlink" Target="https://www.ecb.europa.eu/pub/financial-stability/macroprudential-bulletin/html/ecb.mpbu201903_01~c307e09dd7.en.html" TargetMode="External"/><Relationship Id="rId49" Type="http://schemas.openxmlformats.org/officeDocument/2006/relationships/hyperlink" Target="https://www.esrb.europa.eu/news/pr/date/2022/html/esrb.pr.220127~f1548f677e.en.html" TargetMode="External"/><Relationship Id="rId57" Type="http://schemas.openxmlformats.org/officeDocument/2006/relationships/hyperlink" Target="https://www.esrb.europa.eu/pub/pdf/occasional/esrb.op.21~38d05c779d.en.pdf" TargetMode="External"/><Relationship Id="rId61" Type="http://schemas.openxmlformats.org/officeDocument/2006/relationships/hyperlink" Target="https://www.esma.europa.eu/press-news/esma-news/esma-publishes-ex-post-analysis-derivatives-risks-in-archegos" TargetMode="External"/><Relationship Id="rId10" Type="http://schemas.openxmlformats.org/officeDocument/2006/relationships/hyperlink" Target="https://www.esrb.europa.eu/pub/pdf/reports/nbfi_monitor/esrb.nbfi202306~58b19c8627.en.pdf" TargetMode="External"/><Relationship Id="rId19" Type="http://schemas.openxmlformats.org/officeDocument/2006/relationships/hyperlink" Target="https://www.banque-france.fr/index.php/en/publications-and-statistics/publications/non-bank-financial-intermediation-vulnerabilities-and-challenges" TargetMode="External"/><Relationship Id="rId31" Type="http://schemas.openxmlformats.org/officeDocument/2006/relationships/hyperlink" Target="https://finance.ec.europa.eu/publications/capital-markets-union-clearing-insolvency-and-listing-package_en" TargetMode="External"/><Relationship Id="rId44" Type="http://schemas.openxmlformats.org/officeDocument/2006/relationships/hyperlink" Target="https://www.esrb.europa.eu/pub/pdf/reports/161128_vulnerabilities_eu_residential_real_estate_sector.en.pdf" TargetMode="External"/><Relationship Id="rId52" Type="http://schemas.openxmlformats.org/officeDocument/2006/relationships/hyperlink" Target="https://www.bankofengland.co.uk/-/media/boe/files/working-paper/2023/an-anatomy-of-the-2022-gilt-market-crisisC=WSEDSE" TargetMode="External"/><Relationship Id="rId60" Type="http://schemas.openxmlformats.org/officeDocument/2006/relationships/hyperlink" Target="https://www.fsb.org/wp-content/uploads/P101122.pdf" TargetMode="External"/><Relationship Id="rId4" Type="http://schemas.openxmlformats.org/officeDocument/2006/relationships/hyperlink" Target="https://www.esrb.europa.eu/shared/pdf/de_larosiere_report_de.pdf?27ac25e3e0132be567ddc3fa2590d579" TargetMode="External"/><Relationship Id="rId9" Type="http://schemas.openxmlformats.org/officeDocument/2006/relationships/hyperlink" Target="https://www.fsb.org/work-of-the-fsb/financial-innovation-and-structural-change/non-bank-financial-intermediation/" TargetMode="External"/><Relationship Id="rId14" Type="http://schemas.openxmlformats.org/officeDocument/2006/relationships/hyperlink" Target="https://www.fsb.org/2022/12/global-monitoring-report-on-non-bank-financial-intermediation-2022/=WSEDSE" TargetMode="External"/><Relationship Id="rId22" Type="http://schemas.openxmlformats.org/officeDocument/2006/relationships/hyperlink" Target="https://finance.ec.europa.eu/publications/capital-markets-union-commission-adopts-package-ensure-better-data-access-and-revamped-investment_en" TargetMode="External"/><Relationship Id="rId27" Type="http://schemas.openxmlformats.org/officeDocument/2006/relationships/hyperlink" Target="https://www.eiopa.europa.eu/publications/opinion-2020-review-solvency-ii_en" TargetMode="External"/><Relationship Id="rId30" Type="http://schemas.openxmlformats.org/officeDocument/2006/relationships/hyperlink" Target="https://finance.ec.europa.eu/publications/capital-markets-union-clearing-insolvency-and-listing-package_en" TargetMode="External"/><Relationship Id="rId35" Type="http://schemas.openxmlformats.org/officeDocument/2006/relationships/hyperlink" Target="https://www.ecb.europa.eu/pub/pdf/scpops/ecb.op329~60b6f9aa26.en.pdf" TargetMode="External"/><Relationship Id="rId43" Type="http://schemas.openxmlformats.org/officeDocument/2006/relationships/hyperlink" Target="https://www.eba.europa.eu/sites/default/documents/files/document_library/Publications/Reports/2020/961796/EBA%20report%20on%20calibration%20of%20OSII%20buffer%20rates.pdf" TargetMode="External"/><Relationship Id="rId48" Type="http://schemas.openxmlformats.org/officeDocument/2006/relationships/hyperlink" Target="https://www.esrb.europa.eu/pub/pdf/other/esrb.reviewmacropruframeworkcfa.220331~5d81cb2173.en.pdf?7263115b46a985b4481328afd3f2326d" TargetMode="External"/><Relationship Id="rId56" Type="http://schemas.openxmlformats.org/officeDocument/2006/relationships/hyperlink" Target="https://finance.ec.europa.eu/system/files/2023-07/230720-report-money-market-funds_en.pdf" TargetMode="External"/><Relationship Id="rId64" Type="http://schemas.openxmlformats.org/officeDocument/2006/relationships/hyperlink" Target="https://www.esrb.europa.eu/pub/pdf/reports/nbfi_monitor/esrb.NBFI_Monitor.20220715~a623f2329b.en.pdf" TargetMode="External"/><Relationship Id="rId8" Type="http://schemas.openxmlformats.org/officeDocument/2006/relationships/hyperlink" Target="https://www.esrb.europa.eu/pub/pdf/reports/nbfi_monitor/esrb.nbfi202306~58b19c8627.en.pdf" TargetMode="External"/><Relationship Id="rId51" Type="http://schemas.openxmlformats.org/officeDocument/2006/relationships/hyperlink" Target="https://www.fsb.org/2020/11/holistic-review-of-the-march-market-turmoil/" TargetMode="External"/><Relationship Id="rId3" Type="http://schemas.openxmlformats.org/officeDocument/2006/relationships/hyperlink" Target="https://www.imf.org/external/np/pp/eng/2011/031411.pdf" TargetMode="External"/><Relationship Id="rId12" Type="http://schemas.openxmlformats.org/officeDocument/2006/relationships/hyperlink" Target="https://www.fsb.org/2022/12/global-monitoring-report-on-non-bank-financial-intermediation-2022/=WSEDSE" TargetMode="External"/><Relationship Id="rId17" Type="http://schemas.openxmlformats.org/officeDocument/2006/relationships/hyperlink" Target="https://www.ecb.europa.eu/pub/financial-stability/fsr/focus/2022/html/ecb.fsrbox202211_06~1caf5f3bca.en.html" TargetMode="External"/><Relationship Id="rId25" Type="http://schemas.openxmlformats.org/officeDocument/2006/relationships/hyperlink" Target="https://finance.ec.europa.eu/system/files/2023-07/230720-report-money-market-funds_en.pdf" TargetMode="External"/><Relationship Id="rId33" Type="http://schemas.openxmlformats.org/officeDocument/2006/relationships/hyperlink" Target="https://www.esrb.europa.eu/pub/pdf/reports/esrb.ATFreport211217_capitalbuffers~a1d4725ab0.en.pdf" TargetMode="External"/><Relationship Id="rId38" Type="http://schemas.openxmlformats.org/officeDocument/2006/relationships/hyperlink" Target="https://www.bis.org/bcbs/publ/d542.htm" TargetMode="External"/><Relationship Id="rId46" Type="http://schemas.openxmlformats.org/officeDocument/2006/relationships/hyperlink" Target="https://www.esrb.europa.eu/pub/pdf/reports/esrb.report220211_vulnerabilities_eea_countries~27e571112b.en.pdf?cb8132dc3e0f0f53a4fce3292a690bd6" TargetMode="External"/><Relationship Id="rId59" Type="http://schemas.openxmlformats.org/officeDocument/2006/relationships/hyperlink" Target="https://www.fsb.org/wp-content/uploads/P101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0D94BF79903409A44EFD8C6ED4DE5" ma:contentTypeVersion="15" ma:contentTypeDescription="Create a new document." ma:contentTypeScope="" ma:versionID="4a76546f9012c7876847027e4927cd6c">
  <xsd:schema xmlns:xsd="http://www.w3.org/2001/XMLSchema" xmlns:xs="http://www.w3.org/2001/XMLSchema" xmlns:p="http://schemas.microsoft.com/office/2006/metadata/properties" xmlns:ns2="fb6c068c-bc2d-4620-b517-6a4d82a7e161" xmlns:ns3="604b4288-15a6-4b36-801c-a9875e40b072" targetNamespace="http://schemas.microsoft.com/office/2006/metadata/properties" ma:root="true" ma:fieldsID="5b0c22d888ac26bb2091344b5c5be8c6" ns2:_="" ns3:_="">
    <xsd:import namespace="fb6c068c-bc2d-4620-b517-6a4d82a7e161"/>
    <xsd:import namespace="604b4288-15a6-4b36-801c-a9875e40b072"/>
    <xsd:element name="properties">
      <xsd:complexType>
        <xsd:sequence>
          <xsd:element name="documentManagement">
            <xsd:complexType>
              <xsd:all>
                <xsd:element ref="ns2:MediaServiceMetadata" minOccurs="0"/>
                <xsd:element ref="ns2:MediaServiceFastMetadata" minOccurs="0"/>
                <xsd:element ref="ns2:Category" minOccurs="0"/>
                <xsd:element ref="ns2:MediaServiceAutoKeyPoints" minOccurs="0"/>
                <xsd:element ref="ns2:MediaServiceKeyPoints" minOccurs="0"/>
                <xsd:element ref="ns2:Doc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c068c-bc2d-4620-b517-6a4d82a7e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ternalName="Category">
      <xsd:simpleType>
        <xsd:restriction base="dms:Choice">
          <xsd:enumeration value="Meeting minutes"/>
          <xsd:enumeration value="Template"/>
          <xsd:enumeration value="Note takers"/>
          <xsd:enumeration value="Other"/>
          <xsd:enumeration value="ESRB"/>
          <xsd:enumeration value="Training"/>
          <xsd:enumeration value="Mission"/>
          <xsd:enumeration value="National measures"/>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ocStatus" ma:index="13" nillable="true" ma:displayName="Doc Status" ma:default="Draft" ma:format="Dropdown" ma:internalName="DocStatus">
      <xsd:simpleType>
        <xsd:restriction base="dms:Choice">
          <xsd:enumeration value="Draft"/>
          <xsd:enumeration value="Final"/>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b4288-15a6-4b36-801c-a9875e40b0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2707a19-a31c-4344-937b-e77748b7d6ba}" ma:internalName="TaxCatchAll" ma:showField="CatchAllData" ma:web="604b4288-15a6-4b36-801c-a9875e40b0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fb6c068c-bc2d-4620-b517-6a4d82a7e161" xsi:nil="true"/>
    <DocStatus xmlns="fb6c068c-bc2d-4620-b517-6a4d82a7e161">Draft</DocStatus>
    <TaxCatchAll xmlns="604b4288-15a6-4b36-801c-a9875e40b072" xsi:nil="true"/>
    <lcf76f155ced4ddcb4097134ff3c332f xmlns="fb6c068c-bc2d-4620-b517-6a4d82a7e16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E1DC0-1D66-414E-9A2A-5BB2347FD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c068c-bc2d-4620-b517-6a4d82a7e161"/>
    <ds:schemaRef ds:uri="604b4288-15a6-4b36-801c-a9875e40b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20174-0835-430E-808C-CF178561FB7C}">
  <ds:schemaRefs>
    <ds:schemaRef ds:uri="http://schemas.microsoft.com/sharepoint/v3/contenttype/forms"/>
  </ds:schemaRefs>
</ds:datastoreItem>
</file>

<file path=customXml/itemProps3.xml><?xml version="1.0" encoding="utf-8"?>
<ds:datastoreItem xmlns:ds="http://schemas.openxmlformats.org/officeDocument/2006/customXml" ds:itemID="{73FFA7C2-4FC2-42EC-BD69-C568C667F885}">
  <ds:schemaRefs>
    <ds:schemaRef ds:uri="http://schemas.microsoft.com/office/2006/metadata/properties"/>
    <ds:schemaRef ds:uri="http://schemas.microsoft.com/office/infopath/2007/PartnerControls"/>
    <ds:schemaRef ds:uri="fb6c068c-bc2d-4620-b517-6a4d82a7e161"/>
    <ds:schemaRef ds:uri="604b4288-15a6-4b36-801c-a9875e40b072"/>
  </ds:schemaRefs>
</ds:datastoreItem>
</file>

<file path=customXml/itemProps4.xml><?xml version="1.0" encoding="utf-8"?>
<ds:datastoreItem xmlns:ds="http://schemas.openxmlformats.org/officeDocument/2006/customXml" ds:itemID="{BA319D91-87C7-46DC-AE29-324D2CBC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8993</Words>
  <Characters>51263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60136</CharactersWithSpaces>
  <SharedDoc>false</SharedDoc>
  <HLinks>
    <vt:vector size="282" baseType="variant">
      <vt:variant>
        <vt:i4>1769478</vt:i4>
      </vt:variant>
      <vt:variant>
        <vt:i4>138</vt:i4>
      </vt:variant>
      <vt:variant>
        <vt:i4>0</vt:i4>
      </vt:variant>
      <vt:variant>
        <vt:i4>5</vt:i4>
      </vt:variant>
      <vt:variant>
        <vt:lpwstr>https://www.esrb.europa.eu/pub/pdf/reports/nbfi_monitor/esrb.NBFI_Monitor.20220715~a623f2329b.en.pdf</vt:lpwstr>
      </vt:variant>
      <vt:variant>
        <vt:lpwstr/>
      </vt:variant>
      <vt:variant>
        <vt:i4>2687063</vt:i4>
      </vt:variant>
      <vt:variant>
        <vt:i4>135</vt:i4>
      </vt:variant>
      <vt:variant>
        <vt:i4>0</vt:i4>
      </vt:variant>
      <vt:variant>
        <vt:i4>5</vt:i4>
      </vt:variant>
      <vt:variant>
        <vt:lpwstr>https://finance.ec.europa.eu/publications/strategy-supervisory-data-eu-financial-services_en</vt:lpwstr>
      </vt:variant>
      <vt:variant>
        <vt:lpwstr/>
      </vt:variant>
      <vt:variant>
        <vt:i4>6357040</vt:i4>
      </vt:variant>
      <vt:variant>
        <vt:i4>132</vt:i4>
      </vt:variant>
      <vt:variant>
        <vt:i4>0</vt:i4>
      </vt:variant>
      <vt:variant>
        <vt:i4>5</vt:i4>
      </vt:variant>
      <vt:variant>
        <vt:lpwstr>https://www.fsb.org/2023/09/the-financial-stability-implications-of-leverage-in-non-bank-financial-intermediation/</vt:lpwstr>
      </vt:variant>
      <vt:variant>
        <vt:lpwstr/>
      </vt:variant>
      <vt:variant>
        <vt:i4>720983</vt:i4>
      </vt:variant>
      <vt:variant>
        <vt:i4>129</vt:i4>
      </vt:variant>
      <vt:variant>
        <vt:i4>0</vt:i4>
      </vt:variant>
      <vt:variant>
        <vt:i4>5</vt:i4>
      </vt:variant>
      <vt:variant>
        <vt:lpwstr>https://www.esma.europa.eu/press-news/esma-news/esma-publishes-ex-post-analysis-derivatives-risks-in-archegos</vt:lpwstr>
      </vt:variant>
      <vt:variant>
        <vt:lpwstr/>
      </vt:variant>
      <vt:variant>
        <vt:i4>7995488</vt:i4>
      </vt:variant>
      <vt:variant>
        <vt:i4>126</vt:i4>
      </vt:variant>
      <vt:variant>
        <vt:i4>0</vt:i4>
      </vt:variant>
      <vt:variant>
        <vt:i4>5</vt:i4>
      </vt:variant>
      <vt:variant>
        <vt:lpwstr>https://www.fsb.org/wp-content/uploads/P101122.pdf</vt:lpwstr>
      </vt:variant>
      <vt:variant>
        <vt:lpwstr/>
      </vt:variant>
      <vt:variant>
        <vt:i4>6553634</vt:i4>
      </vt:variant>
      <vt:variant>
        <vt:i4>123</vt:i4>
      </vt:variant>
      <vt:variant>
        <vt:i4>0</vt:i4>
      </vt:variant>
      <vt:variant>
        <vt:i4>5</vt:i4>
      </vt:variant>
      <vt:variant>
        <vt:lpwstr>https://www.esrb.europa.eu/pub/pdf/occasional/esrb.op.21~38d05c779d.en.pdf</vt:lpwstr>
      </vt:variant>
      <vt:variant>
        <vt:lpwstr/>
      </vt:variant>
      <vt:variant>
        <vt:i4>1703972</vt:i4>
      </vt:variant>
      <vt:variant>
        <vt:i4>120</vt:i4>
      </vt:variant>
      <vt:variant>
        <vt:i4>0</vt:i4>
      </vt:variant>
      <vt:variant>
        <vt:i4>5</vt:i4>
      </vt:variant>
      <vt:variant>
        <vt:lpwstr>https://finance.ec.europa.eu/system/files/2023-07/230720-report-money-market-funds_en.pdf</vt:lpwstr>
      </vt:variant>
      <vt:variant>
        <vt:lpwstr/>
      </vt:variant>
      <vt:variant>
        <vt:i4>6815787</vt:i4>
      </vt:variant>
      <vt:variant>
        <vt:i4>117</vt:i4>
      </vt:variant>
      <vt:variant>
        <vt:i4>0</vt:i4>
      </vt:variant>
      <vt:variant>
        <vt:i4>5</vt:i4>
      </vt:variant>
      <vt:variant>
        <vt:lpwstr>https://www.bankofengland.co.uk/-/media/boe/files/working-paper/2023/an-anatomy-of-the-2022-gilt-market-crisisC=WSEDSE</vt:lpwstr>
      </vt:variant>
      <vt:variant>
        <vt:lpwstr/>
      </vt:variant>
      <vt:variant>
        <vt:i4>131145</vt:i4>
      </vt:variant>
      <vt:variant>
        <vt:i4>114</vt:i4>
      </vt:variant>
      <vt:variant>
        <vt:i4>0</vt:i4>
      </vt:variant>
      <vt:variant>
        <vt:i4>5</vt:i4>
      </vt:variant>
      <vt:variant>
        <vt:lpwstr>https://www.fsb.org/2020/11/holistic-review-of-the-march-market-turmoil/</vt:lpwstr>
      </vt:variant>
      <vt:variant>
        <vt:lpwstr/>
      </vt:variant>
      <vt:variant>
        <vt:i4>1703937</vt:i4>
      </vt:variant>
      <vt:variant>
        <vt:i4>111</vt:i4>
      </vt:variant>
      <vt:variant>
        <vt:i4>0</vt:i4>
      </vt:variant>
      <vt:variant>
        <vt:i4>5</vt:i4>
      </vt:variant>
      <vt:variant>
        <vt:lpwstr>https://www.bankingsupervision.europa.eu/press/pr/date/2024/html/ssm.pr240103~a26e1930b0.en.html</vt:lpwstr>
      </vt:variant>
      <vt:variant>
        <vt:lpwstr/>
      </vt:variant>
      <vt:variant>
        <vt:i4>6422585</vt:i4>
      </vt:variant>
      <vt:variant>
        <vt:i4>108</vt:i4>
      </vt:variant>
      <vt:variant>
        <vt:i4>0</vt:i4>
      </vt:variant>
      <vt:variant>
        <vt:i4>5</vt:i4>
      </vt:variant>
      <vt:variant>
        <vt:lpwstr>https://www.esrb.europa.eu/news/pr/date/2022/html/esrb.pr.220127~f1548f677e.en.html</vt:lpwstr>
      </vt:variant>
      <vt:variant>
        <vt:lpwstr/>
      </vt:variant>
      <vt:variant>
        <vt:i4>7078012</vt:i4>
      </vt:variant>
      <vt:variant>
        <vt:i4>105</vt:i4>
      </vt:variant>
      <vt:variant>
        <vt:i4>0</vt:i4>
      </vt:variant>
      <vt:variant>
        <vt:i4>5</vt:i4>
      </vt:variant>
      <vt:variant>
        <vt:lpwstr>https://www.esrb.europa.eu/pub/pdf/other/esrb.reviewmacropruframeworkcfa.220331~5d81cb2173.en.pdf?7263115b46a985b4481328afd3f2326d</vt:lpwstr>
      </vt:variant>
      <vt:variant>
        <vt:lpwstr/>
      </vt:variant>
      <vt:variant>
        <vt:i4>5439549</vt:i4>
      </vt:variant>
      <vt:variant>
        <vt:i4>102</vt:i4>
      </vt:variant>
      <vt:variant>
        <vt:i4>0</vt:i4>
      </vt:variant>
      <vt:variant>
        <vt:i4>5</vt:i4>
      </vt:variant>
      <vt:variant>
        <vt:lpwstr>https://www.esrb.europa.eu/pub/pdf/reports/esrb.report220211_vulnerabilities_eea_countries~27e571112b.en.pdf?cb8132dc3e0f0f53a4fce3292a690bd6</vt:lpwstr>
      </vt:variant>
      <vt:variant>
        <vt:lpwstr/>
      </vt:variant>
      <vt:variant>
        <vt:i4>196709</vt:i4>
      </vt:variant>
      <vt:variant>
        <vt:i4>99</vt:i4>
      </vt:variant>
      <vt:variant>
        <vt:i4>0</vt:i4>
      </vt:variant>
      <vt:variant>
        <vt:i4>5</vt:i4>
      </vt:variant>
      <vt:variant>
        <vt:lpwstr>https://www.esrb.europa.eu/pub/pdf/reports/esrb.report190923_vulnerabilities_eea_countries~a4864b42bf.en.pdf</vt:lpwstr>
      </vt:variant>
      <vt:variant>
        <vt:lpwstr/>
      </vt:variant>
      <vt:variant>
        <vt:i4>5177429</vt:i4>
      </vt:variant>
      <vt:variant>
        <vt:i4>96</vt:i4>
      </vt:variant>
      <vt:variant>
        <vt:i4>0</vt:i4>
      </vt:variant>
      <vt:variant>
        <vt:i4>5</vt:i4>
      </vt:variant>
      <vt:variant>
        <vt:lpwstr>https://www.esrb.europa.eu/pub/pdf/reports/161128_vulnerabilities_eu_residential_real_estate_sector.en.pdf</vt:lpwstr>
      </vt:variant>
      <vt:variant>
        <vt:lpwstr/>
      </vt:variant>
      <vt:variant>
        <vt:i4>4587646</vt:i4>
      </vt:variant>
      <vt:variant>
        <vt:i4>93</vt:i4>
      </vt:variant>
      <vt:variant>
        <vt:i4>0</vt:i4>
      </vt:variant>
      <vt:variant>
        <vt:i4>5</vt:i4>
      </vt:variant>
      <vt:variant>
        <vt:lpwstr>https://www.eba.europa.eu/sites/default/documents/files/document_library/Publications/Reports/2020/961796/EBA report on calibration of OSII buffer rates.pdf</vt:lpwstr>
      </vt:variant>
      <vt:variant>
        <vt:lpwstr/>
      </vt:variant>
      <vt:variant>
        <vt:i4>7143545</vt:i4>
      </vt:variant>
      <vt:variant>
        <vt:i4>90</vt:i4>
      </vt:variant>
      <vt:variant>
        <vt:i4>0</vt:i4>
      </vt:variant>
      <vt:variant>
        <vt:i4>5</vt:i4>
      </vt:variant>
      <vt:variant>
        <vt:lpwstr>https://www.ecb.europa.eu/pub/pdf/scpwps/ecb.wp2644~7d82c23abf.en.pdf?a6ea999a5302230189454d2464059287</vt:lpwstr>
      </vt:variant>
      <vt:variant>
        <vt:lpwstr/>
      </vt:variant>
      <vt:variant>
        <vt:i4>4063254</vt:i4>
      </vt:variant>
      <vt:variant>
        <vt:i4>87</vt:i4>
      </vt:variant>
      <vt:variant>
        <vt:i4>0</vt:i4>
      </vt:variant>
      <vt:variant>
        <vt:i4>5</vt:i4>
      </vt:variant>
      <vt:variant>
        <vt:lpwstr>https://www.ecb.europa.eu/pub/financial-stability/fsr/special/html/ecb.fsrart202111_01~111d31fca7.en.html</vt:lpwstr>
      </vt:variant>
      <vt:variant>
        <vt:lpwstr/>
      </vt:variant>
      <vt:variant>
        <vt:i4>8192101</vt:i4>
      </vt:variant>
      <vt:variant>
        <vt:i4>84</vt:i4>
      </vt:variant>
      <vt:variant>
        <vt:i4>0</vt:i4>
      </vt:variant>
      <vt:variant>
        <vt:i4>5</vt:i4>
      </vt:variant>
      <vt:variant>
        <vt:lpwstr>https://www.bis.org/bcbs/publ/d542.htm</vt:lpwstr>
      </vt:variant>
      <vt:variant>
        <vt:lpwstr/>
      </vt:variant>
      <vt:variant>
        <vt:i4>131123</vt:i4>
      </vt:variant>
      <vt:variant>
        <vt:i4>81</vt:i4>
      </vt:variant>
      <vt:variant>
        <vt:i4>0</vt:i4>
      </vt:variant>
      <vt:variant>
        <vt:i4>5</vt:i4>
      </vt:variant>
      <vt:variant>
        <vt:lpwstr>https://www.ecb.europa.eu/pub/financial-stability/macroprudential-bulletin/html/ecb.mpbu201903_01~c307e09dd7.en.html</vt:lpwstr>
      </vt:variant>
      <vt:variant>
        <vt:lpwstr/>
      </vt:variant>
      <vt:variant>
        <vt:i4>983061</vt:i4>
      </vt:variant>
      <vt:variant>
        <vt:i4>78</vt:i4>
      </vt:variant>
      <vt:variant>
        <vt:i4>0</vt:i4>
      </vt:variant>
      <vt:variant>
        <vt:i4>5</vt:i4>
      </vt:variant>
      <vt:variant>
        <vt:lpwstr>https://www.ecb.europa.eu/pub/pdf/scpops/ecb.op329~60b6f9aa26.en.pdf</vt:lpwstr>
      </vt:variant>
      <vt:variant>
        <vt:lpwstr/>
      </vt:variant>
      <vt:variant>
        <vt:i4>7995401</vt:i4>
      </vt:variant>
      <vt:variant>
        <vt:i4>75</vt:i4>
      </vt:variant>
      <vt:variant>
        <vt:i4>0</vt:i4>
      </vt:variant>
      <vt:variant>
        <vt:i4>5</vt:i4>
      </vt:variant>
      <vt:variant>
        <vt:lpwstr>https://www.esrb.europa.eu/pub/pdf/reports/esrb.ATFreport211217_capitalbuffers~a1d4725ab0.en.pdf</vt:lpwstr>
      </vt:variant>
      <vt:variant>
        <vt:lpwstr/>
      </vt:variant>
      <vt:variant>
        <vt:i4>3407962</vt:i4>
      </vt:variant>
      <vt:variant>
        <vt:i4>72</vt:i4>
      </vt:variant>
      <vt:variant>
        <vt:i4>0</vt:i4>
      </vt:variant>
      <vt:variant>
        <vt:i4>5</vt:i4>
      </vt:variant>
      <vt:variant>
        <vt:lpwstr>https://www.ecb.europa.eu/pub/financial-stability/macroprudential-bulletin/html/ecb.mpbu202010_1~01c4f1a5f4.en.html</vt:lpwstr>
      </vt:variant>
      <vt:variant>
        <vt:lpwstr/>
      </vt:variant>
      <vt:variant>
        <vt:i4>1900650</vt:i4>
      </vt:variant>
      <vt:variant>
        <vt:i4>69</vt:i4>
      </vt:variant>
      <vt:variant>
        <vt:i4>0</vt:i4>
      </vt:variant>
      <vt:variant>
        <vt:i4>5</vt:i4>
      </vt:variant>
      <vt:variant>
        <vt:lpwstr>https://finance.ec.europa.eu/publications/capital-markets-union-clearing-insolvency-and-listing-package_en</vt:lpwstr>
      </vt:variant>
      <vt:variant>
        <vt:lpwstr/>
      </vt:variant>
      <vt:variant>
        <vt:i4>5898335</vt:i4>
      </vt:variant>
      <vt:variant>
        <vt:i4>66</vt:i4>
      </vt:variant>
      <vt:variant>
        <vt:i4>0</vt:i4>
      </vt:variant>
      <vt:variant>
        <vt:i4>5</vt:i4>
      </vt:variant>
      <vt:variant>
        <vt:lpwstr>https://www.esrb.europa.eu/pub/pdf/other/esrb.letter221116_on_solvencyii_review_ep~8def68c373.en.pdf?10eb1d148e7ac6732fb2a98139fe3118</vt:lpwstr>
      </vt:variant>
      <vt:variant>
        <vt:lpwstr/>
      </vt:variant>
      <vt:variant>
        <vt:i4>5177364</vt:i4>
      </vt:variant>
      <vt:variant>
        <vt:i4>63</vt:i4>
      </vt:variant>
      <vt:variant>
        <vt:i4>0</vt:i4>
      </vt:variant>
      <vt:variant>
        <vt:i4>5</vt:i4>
      </vt:variant>
      <vt:variant>
        <vt:lpwstr>https://www.esrb.europa.eu/pub/pdf/other/esrb.letter220202_on_solvencyii~10566b70b1.en.pdf?460bb936fb9bf165e33120bf98d65ba1</vt:lpwstr>
      </vt:variant>
      <vt:variant>
        <vt:lpwstr/>
      </vt:variant>
      <vt:variant>
        <vt:i4>3342349</vt:i4>
      </vt:variant>
      <vt:variant>
        <vt:i4>60</vt:i4>
      </vt:variant>
      <vt:variant>
        <vt:i4>0</vt:i4>
      </vt:variant>
      <vt:variant>
        <vt:i4>5</vt:i4>
      </vt:variant>
      <vt:variant>
        <vt:lpwstr>https://www.eiopa.europa.eu/publications/opinion-2020-review-solvency-ii_en</vt:lpwstr>
      </vt:variant>
      <vt:variant>
        <vt:lpwstr/>
      </vt:variant>
      <vt:variant>
        <vt:i4>8061034</vt:i4>
      </vt:variant>
      <vt:variant>
        <vt:i4>57</vt:i4>
      </vt:variant>
      <vt:variant>
        <vt:i4>0</vt:i4>
      </vt:variant>
      <vt:variant>
        <vt:i4>5</vt:i4>
      </vt:variant>
      <vt:variant>
        <vt:lpwstr>https://ec.europa.eu/commission/presscorner/detail/en/ip_21_4783</vt:lpwstr>
      </vt:variant>
      <vt:variant>
        <vt:lpwstr/>
      </vt:variant>
      <vt:variant>
        <vt:i4>1703972</vt:i4>
      </vt:variant>
      <vt:variant>
        <vt:i4>54</vt:i4>
      </vt:variant>
      <vt:variant>
        <vt:i4>0</vt:i4>
      </vt:variant>
      <vt:variant>
        <vt:i4>5</vt:i4>
      </vt:variant>
      <vt:variant>
        <vt:lpwstr>https://finance.ec.europa.eu/system/files/2023-07/230720-report-money-market-funds_en.pdf</vt:lpwstr>
      </vt:variant>
      <vt:variant>
        <vt:lpwstr/>
      </vt:variant>
      <vt:variant>
        <vt:i4>2228312</vt:i4>
      </vt:variant>
      <vt:variant>
        <vt:i4>51</vt:i4>
      </vt:variant>
      <vt:variant>
        <vt:i4>0</vt:i4>
      </vt:variant>
      <vt:variant>
        <vt:i4>5</vt:i4>
      </vt:variant>
      <vt:variant>
        <vt:lpwstr>https://finance.ec.europa.eu/regulation-and-supervision/consultations/finance-2022-money-market-funds_en</vt:lpwstr>
      </vt:variant>
      <vt:variant>
        <vt:lpwstr/>
      </vt:variant>
      <vt:variant>
        <vt:i4>1835076</vt:i4>
      </vt:variant>
      <vt:variant>
        <vt:i4>48</vt:i4>
      </vt:variant>
      <vt:variant>
        <vt:i4>0</vt:i4>
      </vt:variant>
      <vt:variant>
        <vt:i4>5</vt:i4>
      </vt:variant>
      <vt:variant>
        <vt:lpwstr>https://eur-lex.europa.eu/legal-content/EN/TXT/?uri=CELEX%3A02017R1131-20190101&amp;qid=1690881926273</vt:lpwstr>
      </vt:variant>
      <vt:variant>
        <vt:lpwstr/>
      </vt:variant>
      <vt:variant>
        <vt:i4>1179696</vt:i4>
      </vt:variant>
      <vt:variant>
        <vt:i4>45</vt:i4>
      </vt:variant>
      <vt:variant>
        <vt:i4>0</vt:i4>
      </vt:variant>
      <vt:variant>
        <vt:i4>5</vt:i4>
      </vt:variant>
      <vt:variant>
        <vt:lpwstr>https://finance.ec.europa.eu/publications/capital-markets-union-commission-adopts-package-ensure-better-data-access-and-revamped-investment_en</vt:lpwstr>
      </vt:variant>
      <vt:variant>
        <vt:lpwstr/>
      </vt:variant>
      <vt:variant>
        <vt:i4>4653176</vt:i4>
      </vt:variant>
      <vt:variant>
        <vt:i4>42</vt:i4>
      </vt:variant>
      <vt:variant>
        <vt:i4>0</vt:i4>
      </vt:variant>
      <vt:variant>
        <vt:i4>5</vt:i4>
      </vt:variant>
      <vt:variant>
        <vt:lpwstr>https://www.centralbank.ie/docs/default-source/publications/discussion-papers/discussion-paper-11/dp-11-an-approach-to-macroprudential-policy-for-investment-funds.pdf?sfvrsn=23059f1d_3</vt:lpwstr>
      </vt:variant>
      <vt:variant>
        <vt:lpwstr/>
      </vt:variant>
      <vt:variant>
        <vt:i4>7995488</vt:i4>
      </vt:variant>
      <vt:variant>
        <vt:i4>39</vt:i4>
      </vt:variant>
      <vt:variant>
        <vt:i4>0</vt:i4>
      </vt:variant>
      <vt:variant>
        <vt:i4>5</vt:i4>
      </vt:variant>
      <vt:variant>
        <vt:lpwstr>https://www.banque-france.fr/index.php/en/publications-and-statistics/publications/non-bank-financial-intermediation-vulnerabilities-and-challenges</vt:lpwstr>
      </vt:variant>
      <vt:variant>
        <vt:lpwstr/>
      </vt:variant>
      <vt:variant>
        <vt:i4>2228334</vt:i4>
      </vt:variant>
      <vt:variant>
        <vt:i4>36</vt:i4>
      </vt:variant>
      <vt:variant>
        <vt:i4>0</vt:i4>
      </vt:variant>
      <vt:variant>
        <vt:i4>5</vt:i4>
      </vt:variant>
      <vt:variant>
        <vt:lpwstr>https://www.ecb.europa.eu/pub/financial-stability/fsr/html/ecb.fsr202311~bfe9d7c565.en.html</vt:lpwstr>
      </vt:variant>
      <vt:variant>
        <vt:lpwstr>toc36</vt:lpwstr>
      </vt:variant>
      <vt:variant>
        <vt:i4>4391008</vt:i4>
      </vt:variant>
      <vt:variant>
        <vt:i4>33</vt:i4>
      </vt:variant>
      <vt:variant>
        <vt:i4>0</vt:i4>
      </vt:variant>
      <vt:variant>
        <vt:i4>5</vt:i4>
      </vt:variant>
      <vt:variant>
        <vt:lpwstr>https://www.ecb.europa.eu/pub/financial-stability/fsr/focus/2022/html/ecb.fsrbox202211_06~1caf5f3bca.en.html</vt:lpwstr>
      </vt:variant>
      <vt:variant>
        <vt:lpwstr/>
      </vt:variant>
      <vt:variant>
        <vt:i4>6291541</vt:i4>
      </vt:variant>
      <vt:variant>
        <vt:i4>30</vt:i4>
      </vt:variant>
      <vt:variant>
        <vt:i4>0</vt:i4>
      </vt:variant>
      <vt:variant>
        <vt:i4>5</vt:i4>
      </vt:variant>
      <vt:variant>
        <vt:lpwstr>https://www.esrb.europa.eu/pub/pdf/reports/nbfi_monitor/esrb.nbfi202306~58b19c8627.en.pdf</vt:lpwstr>
      </vt:variant>
      <vt:variant>
        <vt:lpwstr/>
      </vt:variant>
      <vt:variant>
        <vt:i4>8323181</vt:i4>
      </vt:variant>
      <vt:variant>
        <vt:i4>27</vt:i4>
      </vt:variant>
      <vt:variant>
        <vt:i4>0</vt:i4>
      </vt:variant>
      <vt:variant>
        <vt:i4>5</vt:i4>
      </vt:variant>
      <vt:variant>
        <vt:lpwstr>https://www.fsb.org/2022/12/global-monitoring-report-on-non-bank-financial-intermediation-2022/=WSEDSE</vt:lpwstr>
      </vt:variant>
      <vt:variant>
        <vt:lpwstr/>
      </vt:variant>
      <vt:variant>
        <vt:i4>1900570</vt:i4>
      </vt:variant>
      <vt:variant>
        <vt:i4>24</vt:i4>
      </vt:variant>
      <vt:variant>
        <vt:i4>0</vt:i4>
      </vt:variant>
      <vt:variant>
        <vt:i4>5</vt:i4>
      </vt:variant>
      <vt:variant>
        <vt:lpwstr>https://www.fsb.org/2023/09/enhancing-the-resilience-of-non-bank-financial-intermediation-progress-report-3/</vt:lpwstr>
      </vt:variant>
      <vt:variant>
        <vt:lpwstr/>
      </vt:variant>
      <vt:variant>
        <vt:i4>8323181</vt:i4>
      </vt:variant>
      <vt:variant>
        <vt:i4>21</vt:i4>
      </vt:variant>
      <vt:variant>
        <vt:i4>0</vt:i4>
      </vt:variant>
      <vt:variant>
        <vt:i4>5</vt:i4>
      </vt:variant>
      <vt:variant>
        <vt:lpwstr>https://www.fsb.org/2022/12/global-monitoring-report-on-non-bank-financial-intermediation-2022/=WSEDSE</vt:lpwstr>
      </vt:variant>
      <vt:variant>
        <vt:lpwstr/>
      </vt:variant>
      <vt:variant>
        <vt:i4>6291541</vt:i4>
      </vt:variant>
      <vt:variant>
        <vt:i4>18</vt:i4>
      </vt:variant>
      <vt:variant>
        <vt:i4>0</vt:i4>
      </vt:variant>
      <vt:variant>
        <vt:i4>5</vt:i4>
      </vt:variant>
      <vt:variant>
        <vt:lpwstr>https://www.esrb.europa.eu/pub/pdf/reports/nbfi_monitor/esrb.nbfi202306~58b19c8627.en.pdf</vt:lpwstr>
      </vt:variant>
      <vt:variant>
        <vt:lpwstr/>
      </vt:variant>
      <vt:variant>
        <vt:i4>524290</vt:i4>
      </vt:variant>
      <vt:variant>
        <vt:i4>15</vt:i4>
      </vt:variant>
      <vt:variant>
        <vt:i4>0</vt:i4>
      </vt:variant>
      <vt:variant>
        <vt:i4>5</vt:i4>
      </vt:variant>
      <vt:variant>
        <vt:lpwstr>https://www.fsb.org/work-of-the-fsb/financial-innovation-and-structural-change/non-bank-financial-intermediation/</vt:lpwstr>
      </vt:variant>
      <vt:variant>
        <vt:lpwstr/>
      </vt:variant>
      <vt:variant>
        <vt:i4>6291541</vt:i4>
      </vt:variant>
      <vt:variant>
        <vt:i4>12</vt:i4>
      </vt:variant>
      <vt:variant>
        <vt:i4>0</vt:i4>
      </vt:variant>
      <vt:variant>
        <vt:i4>5</vt:i4>
      </vt:variant>
      <vt:variant>
        <vt:lpwstr>https://www.esrb.europa.eu/pub/pdf/reports/nbfi_monitor/esrb.nbfi202306~58b19c8627.en.pdf</vt:lpwstr>
      </vt:variant>
      <vt:variant>
        <vt:lpwstr/>
      </vt:variant>
      <vt:variant>
        <vt:i4>3473517</vt:i4>
      </vt:variant>
      <vt:variant>
        <vt:i4>9</vt:i4>
      </vt:variant>
      <vt:variant>
        <vt:i4>0</vt:i4>
      </vt:variant>
      <vt:variant>
        <vt:i4>5</vt:i4>
      </vt:variant>
      <vt:variant>
        <vt:lpwstr>https://ec.europa.eu/economy_finance/publications/pages/publication14527_en.pdf</vt:lpwstr>
      </vt:variant>
      <vt:variant>
        <vt:lpwstr/>
      </vt:variant>
      <vt:variant>
        <vt:i4>3473517</vt:i4>
      </vt:variant>
      <vt:variant>
        <vt:i4>6</vt:i4>
      </vt:variant>
      <vt:variant>
        <vt:i4>0</vt:i4>
      </vt:variant>
      <vt:variant>
        <vt:i4>5</vt:i4>
      </vt:variant>
      <vt:variant>
        <vt:lpwstr>https://ec.europa.eu/economy_finance/publications/pages/publication14527_en.pdf</vt:lpwstr>
      </vt:variant>
      <vt:variant>
        <vt:lpwstr/>
      </vt:variant>
      <vt:variant>
        <vt:i4>8060995</vt:i4>
      </vt:variant>
      <vt:variant>
        <vt:i4>3</vt:i4>
      </vt:variant>
      <vt:variant>
        <vt:i4>0</vt:i4>
      </vt:variant>
      <vt:variant>
        <vt:i4>5</vt:i4>
      </vt:variant>
      <vt:variant>
        <vt:lpwstr>https://finance.ec.europa.eu/system/files/2022-06/2021-banking-macroprudential-framework-summary-of-responses_en.pdf</vt:lpwstr>
      </vt:variant>
      <vt:variant>
        <vt:lpwstr/>
      </vt:variant>
      <vt:variant>
        <vt:i4>1704055</vt:i4>
      </vt:variant>
      <vt:variant>
        <vt:i4>0</vt:i4>
      </vt:variant>
      <vt:variant>
        <vt:i4>0</vt:i4>
      </vt:variant>
      <vt:variant>
        <vt:i4>5</vt:i4>
      </vt:variant>
      <vt:variant>
        <vt:lpwstr>https://finance.ec.europa.eu/system/files/2021-11/2021-banking-macroprudential-framework-consultation-document_en.pdf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2024-01-09T10:47:00Z</dcterms:created>
  <dcterms:modified xsi:type="dcterms:W3CDTF">2024-02-08T08:55:00Z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2023-12-22T17:21:02Z</vt:lpwstr>
  </property>
  <property fmtid="{D5CDD505-2E9C-101B-9397-08002B2CF9AE}" pid="6" name="MSIP_Label_6bd9ddd1-4d20-43f6-abfa-fc3c07406f94_Method">
    <vt:lpwstr>Privileged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984412ab-216b-4326-8f32-a41e75b86bed</vt:lpwstr>
  </property>
  <property fmtid="{D5CDD505-2E9C-101B-9397-08002B2CF9AE}" pid="10" name="MSIP_Label_6bd9ddd1-4d20-43f6-abfa-fc3c07406f94_ContentBits">
    <vt:lpwstr>0</vt:lpwstr>
  </property>
  <property fmtid="{D5CDD505-2E9C-101B-9397-08002B2CF9AE}" pid="11" name="ContentTypeId">
    <vt:lpwstr>0x010100D920D94BF79903409A44EFD8C6ED4DE5</vt:lpwstr>
  </property>
  <property fmtid="{D5CDD505-2E9C-101B-9397-08002B2CF9AE}" pid="12" name="Order">
    <vt:r8>5800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Level of sensitivity">
    <vt:lpwstr>Standard treatment</vt:lpwstr>
  </property>
  <property fmtid="{D5CDD505-2E9C-101B-9397-08002B2CF9AE}" pid="21" name="Part">
    <vt:lpwstr>1</vt:lpwstr>
  </property>
  <property fmtid="{D5CDD505-2E9C-101B-9397-08002B2CF9AE}" pid="22" name="Total parts">
    <vt:lpwstr>1</vt:lpwstr>
  </property>
  <property fmtid="{D5CDD505-2E9C-101B-9397-08002B2CF9AE}" pid="23" name="CPTemplateID">
    <vt:lpwstr>CP-006</vt:lpwstr>
  </property>
  <property fmtid="{D5CDD505-2E9C-101B-9397-08002B2CF9AE}" pid="24" name="Created using">
    <vt:lpwstr>LW 9.0, Build 20230317</vt:lpwstr>
  </property>
</Properties>
</file>