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D9028" w14:textId="3AADD8EB" w:rsidR="00487235" w:rsidRDefault="00DA3C4C" w:rsidP="00DA3C4C">
      <w:pPr>
        <w:pStyle w:val="Pagedecouverture"/>
        <w:rPr>
          <w:noProof/>
        </w:rPr>
      </w:pPr>
      <w:bookmarkStart w:id="0" w:name="LW_BM_COVERPAGE"/>
      <w:r>
        <w:rPr>
          <w:noProof/>
        </w:rPr>
        <w:pict w14:anchorId="2AC6D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0285536F-7D9A-4A16-8164-A0793DD8FAB7" style="width:455.25pt;height:410.25pt">
            <v:imagedata r:id="rId11" o:title=""/>
          </v:shape>
        </w:pict>
      </w:r>
    </w:p>
    <w:bookmarkEnd w:id="0"/>
    <w:p w14:paraId="4195D314" w14:textId="77777777" w:rsidR="00487235" w:rsidRDefault="00487235" w:rsidP="00487235">
      <w:pPr>
        <w:rPr>
          <w:noProof/>
          <w:lang w:val="en-IE"/>
        </w:rPr>
        <w:sectPr w:rsidR="00487235" w:rsidSect="00DA3C4C">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622E9D51" w14:textId="6EBD29E8" w:rsidR="00305D89" w:rsidRDefault="00305D89" w:rsidP="00305D89">
      <w:pPr>
        <w:jc w:val="center"/>
        <w:rPr>
          <w:rFonts w:ascii="Times New Roman" w:hAnsi="Times New Roman" w:cs="Times New Roman"/>
          <w:b/>
          <w:bCs/>
          <w:noProof/>
          <w:sz w:val="24"/>
          <w:szCs w:val="24"/>
        </w:rPr>
      </w:pPr>
      <w:bookmarkStart w:id="1" w:name="_GoBack"/>
      <w:bookmarkEnd w:id="1"/>
      <w:r>
        <w:rPr>
          <w:rFonts w:ascii="Times New Roman" w:hAnsi="Times New Roman"/>
          <w:b/>
          <w:noProof/>
          <w:sz w:val="24"/>
        </w:rPr>
        <w:lastRenderedPageBreak/>
        <w:t>I priedas</w:t>
      </w:r>
    </w:p>
    <w:p w14:paraId="245A3D24" w14:textId="74D6740A" w:rsidR="00F90F6E" w:rsidRDefault="00305D89" w:rsidP="00305D89">
      <w:pPr>
        <w:jc w:val="center"/>
        <w:rPr>
          <w:rFonts w:ascii="Times New Roman" w:hAnsi="Times New Roman" w:cs="Times New Roman"/>
          <w:b/>
          <w:bCs/>
          <w:noProof/>
          <w:sz w:val="24"/>
          <w:szCs w:val="24"/>
        </w:rPr>
      </w:pPr>
      <w:r>
        <w:rPr>
          <w:rFonts w:ascii="Times New Roman" w:hAnsi="Times New Roman"/>
          <w:b/>
          <w:noProof/>
          <w:sz w:val="24"/>
        </w:rPr>
        <w:t>Veiksmų planas EBCG reglamento įgyvendinimui remti</w:t>
      </w:r>
    </w:p>
    <w:p w14:paraId="615E2C4D" w14:textId="1F7045AD" w:rsidR="00305D89" w:rsidRDefault="00305D89" w:rsidP="00305D89">
      <w:pPr>
        <w:rPr>
          <w:rFonts w:ascii="Times New Roman" w:hAnsi="Times New Roman" w:cs="Times New Roman"/>
          <w:b/>
          <w:bCs/>
          <w:noProof/>
          <w:sz w:val="24"/>
          <w:szCs w:val="24"/>
          <w:lang w:val="en-IE"/>
        </w:rPr>
      </w:pPr>
    </w:p>
    <w:p w14:paraId="065A0A3D" w14:textId="6ED36E7D" w:rsidR="00A11523" w:rsidRDefault="00A11523" w:rsidP="00A11523">
      <w:pPr>
        <w:jc w:val="both"/>
        <w:rPr>
          <w:rFonts w:ascii="Times New Roman" w:hAnsi="Times New Roman" w:cs="Times New Roman"/>
          <w:noProof/>
          <w:sz w:val="24"/>
          <w:szCs w:val="24"/>
        </w:rPr>
      </w:pPr>
      <w:r>
        <w:rPr>
          <w:rFonts w:ascii="Times New Roman" w:hAnsi="Times New Roman"/>
          <w:noProof/>
          <w:sz w:val="24"/>
        </w:rPr>
        <w:t>Nors EBCG reglamento vertinimas ir nuolatinio korpuso peržiūra parodė, kad reglamentas davė gerų rezultatų jo aktualumo, suderinamumo ir ES pridėtinės vertės požiūriu, taip pat paaiškėjo keletas jo įgyvendinimo trūkumų, kuriuos reikia toliau spręsti.</w:t>
      </w:r>
    </w:p>
    <w:p w14:paraId="312DC6C1" w14:textId="3FF605EC" w:rsidR="00305D89" w:rsidRDefault="00A11523" w:rsidP="00A11523">
      <w:pPr>
        <w:jc w:val="both"/>
        <w:rPr>
          <w:rFonts w:ascii="Times New Roman" w:hAnsi="Times New Roman" w:cs="Times New Roman"/>
          <w:noProof/>
          <w:sz w:val="24"/>
          <w:szCs w:val="24"/>
        </w:rPr>
      </w:pPr>
      <w:r>
        <w:rPr>
          <w:rFonts w:ascii="Times New Roman" w:hAnsi="Times New Roman"/>
          <w:noProof/>
          <w:sz w:val="24"/>
        </w:rPr>
        <w:t>Reglamentas šiuo metu dar įgyvendinamas; todėl šiame veiksmų plane išvardijamos svarbiausios įgyvendinimo spragos, nustatytos atliekant vertinimą, kurias reikia pašalinti proceso metu, taip pat tolesni veiksmai ir atsakingi subjektai. Veiksmų planas nedaro poveikio Agentūros užduočių pagal EBCG reglamentą ir atitinkamus Valdančiosios tarybos sprendimus (pvz., IRT strategiją) įgyvendinimui. Veikiau šių veiksmų kartu su kitomis Agentūros užduotimis įgyvendinimas turėtų sudaryti sąlygas pasiekti, kad iki 2027 m. reglamentas būtų visiškai veiksmingas.</w:t>
      </w:r>
    </w:p>
    <w:p w14:paraId="42C3ABB2" w14:textId="0E824E1C" w:rsidR="004D2334" w:rsidRDefault="004D2334" w:rsidP="00A11523">
      <w:pPr>
        <w:jc w:val="both"/>
        <w:rPr>
          <w:rFonts w:ascii="Times New Roman" w:hAnsi="Times New Roman" w:cs="Times New Roman"/>
          <w:b/>
          <w:bCs/>
          <w:i/>
          <w:iCs/>
          <w:noProof/>
          <w:sz w:val="24"/>
          <w:szCs w:val="24"/>
        </w:rPr>
      </w:pPr>
      <w:r>
        <w:rPr>
          <w:rFonts w:ascii="Times New Roman" w:hAnsi="Times New Roman"/>
          <w:b/>
          <w:i/>
          <w:noProof/>
          <w:sz w:val="24"/>
        </w:rPr>
        <w:t>Agentūros valdymas ir organizacinė struktūra</w:t>
      </w:r>
    </w:p>
    <w:tbl>
      <w:tblPr>
        <w:tblStyle w:val="TableGrid"/>
        <w:tblW w:w="14071" w:type="dxa"/>
        <w:tblLook w:val="04A0" w:firstRow="1" w:lastRow="0" w:firstColumn="1" w:lastColumn="0" w:noHBand="0" w:noVBand="1"/>
      </w:tblPr>
      <w:tblGrid>
        <w:gridCol w:w="3397"/>
        <w:gridCol w:w="8505"/>
        <w:gridCol w:w="2169"/>
      </w:tblGrid>
      <w:tr w:rsidR="004D2334" w:rsidRPr="004D2334" w14:paraId="19E6C1D1" w14:textId="77777777" w:rsidTr="00A34DE8">
        <w:tc>
          <w:tcPr>
            <w:tcW w:w="3397" w:type="dxa"/>
          </w:tcPr>
          <w:p w14:paraId="7DF235FF" w14:textId="2229E6A3" w:rsidR="004D2334" w:rsidRPr="004D2334" w:rsidRDefault="00756EA4" w:rsidP="004D2334">
            <w:pPr>
              <w:spacing w:before="120" w:after="120"/>
              <w:jc w:val="center"/>
              <w:rPr>
                <w:rFonts w:ascii="Times New Roman" w:hAnsi="Times New Roman" w:cs="Times New Roman"/>
                <w:b/>
                <w:bCs/>
                <w:noProof/>
              </w:rPr>
            </w:pPr>
            <w:r>
              <w:rPr>
                <w:rFonts w:ascii="Times New Roman" w:hAnsi="Times New Roman"/>
                <w:b/>
                <w:noProof/>
              </w:rPr>
              <w:t>Problema</w:t>
            </w:r>
          </w:p>
        </w:tc>
        <w:tc>
          <w:tcPr>
            <w:tcW w:w="8505" w:type="dxa"/>
          </w:tcPr>
          <w:p w14:paraId="500E6329" w14:textId="4B39D9F8" w:rsidR="004D2334" w:rsidRPr="004D2334" w:rsidRDefault="006F7E3F" w:rsidP="004D2334">
            <w:pPr>
              <w:spacing w:before="120" w:after="120"/>
              <w:jc w:val="center"/>
              <w:rPr>
                <w:rFonts w:ascii="Times New Roman" w:hAnsi="Times New Roman" w:cs="Times New Roman"/>
                <w:b/>
                <w:bCs/>
                <w:noProof/>
              </w:rPr>
            </w:pPr>
            <w:r>
              <w:rPr>
                <w:rFonts w:ascii="Times New Roman" w:hAnsi="Times New Roman"/>
                <w:b/>
                <w:noProof/>
              </w:rPr>
              <w:t>Veiksmai</w:t>
            </w:r>
          </w:p>
        </w:tc>
        <w:tc>
          <w:tcPr>
            <w:tcW w:w="2169" w:type="dxa"/>
          </w:tcPr>
          <w:p w14:paraId="52FEF416" w14:textId="1A449CD1" w:rsidR="004D2334" w:rsidRPr="004D2334" w:rsidRDefault="004D2334" w:rsidP="004D2334">
            <w:pPr>
              <w:spacing w:before="120" w:after="120"/>
              <w:jc w:val="center"/>
              <w:rPr>
                <w:rFonts w:ascii="Times New Roman" w:hAnsi="Times New Roman" w:cs="Times New Roman"/>
                <w:b/>
                <w:bCs/>
                <w:noProof/>
              </w:rPr>
            </w:pPr>
            <w:r>
              <w:rPr>
                <w:rFonts w:ascii="Times New Roman" w:hAnsi="Times New Roman"/>
                <w:b/>
                <w:noProof/>
              </w:rPr>
              <w:t>Atsakingas subjektas</w:t>
            </w:r>
          </w:p>
        </w:tc>
      </w:tr>
      <w:tr w:rsidR="00471F42" w:rsidRPr="004D2334" w14:paraId="78D9C41B" w14:textId="77777777" w:rsidTr="00A34DE8">
        <w:tc>
          <w:tcPr>
            <w:tcW w:w="3397" w:type="dxa"/>
          </w:tcPr>
          <w:p w14:paraId="44A62FE3" w14:textId="4042A88C" w:rsidR="00471F42" w:rsidRPr="00427757" w:rsidRDefault="00471F42" w:rsidP="00427757">
            <w:pPr>
              <w:pStyle w:val="ListParagraph"/>
              <w:numPr>
                <w:ilvl w:val="0"/>
                <w:numId w:val="2"/>
              </w:numPr>
              <w:spacing w:before="120" w:after="120"/>
              <w:rPr>
                <w:rFonts w:ascii="Times New Roman" w:hAnsi="Times New Roman" w:cs="Times New Roman"/>
                <w:noProof/>
              </w:rPr>
            </w:pPr>
            <w:r>
              <w:rPr>
                <w:rFonts w:ascii="Times New Roman" w:hAnsi="Times New Roman"/>
                <w:noProof/>
              </w:rPr>
              <w:t>Agentūros organizacinė struktūra dar nėra visiškai suderinta su jos įgaliojimais, visų pirma kiek tai susiję su nuolatinio korpuso valdymu.</w:t>
            </w:r>
          </w:p>
        </w:tc>
        <w:tc>
          <w:tcPr>
            <w:tcW w:w="8505" w:type="dxa"/>
          </w:tcPr>
          <w:p w14:paraId="368803D0" w14:textId="57AA3A6E" w:rsidR="00471F42" w:rsidRPr="004D2334" w:rsidRDefault="009D1CCC" w:rsidP="00D61152">
            <w:pPr>
              <w:spacing w:before="120" w:after="120"/>
              <w:rPr>
                <w:rFonts w:ascii="Times New Roman" w:hAnsi="Times New Roman" w:cs="Times New Roman"/>
                <w:noProof/>
              </w:rPr>
            </w:pPr>
            <w:r>
              <w:rPr>
                <w:rFonts w:ascii="Times New Roman" w:hAnsi="Times New Roman"/>
                <w:noProof/>
              </w:rPr>
              <w:t>1.1. Visiškas naujos organizacinės struktūros įgyvendinimas, įskaitant laipsnišką nuolatinio korpuso darbuotojų iškėlimą iš Agentūros būstinės.</w:t>
            </w:r>
          </w:p>
        </w:tc>
        <w:tc>
          <w:tcPr>
            <w:tcW w:w="2169" w:type="dxa"/>
          </w:tcPr>
          <w:p w14:paraId="1B070F11" w14:textId="79B4AAA8" w:rsidR="00471F42" w:rsidRPr="004D2334" w:rsidRDefault="009D1CCC" w:rsidP="004D2334">
            <w:pPr>
              <w:spacing w:before="120" w:after="120"/>
              <w:jc w:val="both"/>
              <w:rPr>
                <w:rFonts w:ascii="Times New Roman" w:hAnsi="Times New Roman" w:cs="Times New Roman"/>
                <w:noProof/>
              </w:rPr>
            </w:pPr>
            <w:r>
              <w:rPr>
                <w:rFonts w:ascii="Times New Roman" w:hAnsi="Times New Roman"/>
                <w:noProof/>
              </w:rPr>
              <w:t>FRONTEX</w:t>
            </w:r>
          </w:p>
        </w:tc>
      </w:tr>
    </w:tbl>
    <w:p w14:paraId="1D01EF65" w14:textId="056E6D9F" w:rsidR="004D2334" w:rsidRDefault="004D2334" w:rsidP="004D2334">
      <w:pPr>
        <w:spacing w:before="120" w:after="120" w:line="240" w:lineRule="auto"/>
        <w:jc w:val="both"/>
        <w:rPr>
          <w:rFonts w:ascii="Times New Roman" w:hAnsi="Times New Roman" w:cs="Times New Roman"/>
          <w:noProof/>
          <w:lang w:val="en-IE"/>
        </w:rPr>
      </w:pPr>
    </w:p>
    <w:p w14:paraId="78700DCD" w14:textId="0E8BA0A1" w:rsidR="006F7E3F" w:rsidRPr="006F7E3F" w:rsidRDefault="006F7E3F" w:rsidP="00B71769">
      <w:pPr>
        <w:keepNext/>
        <w:spacing w:before="120" w:after="120" w:line="240" w:lineRule="auto"/>
        <w:jc w:val="both"/>
        <w:rPr>
          <w:rFonts w:ascii="Times New Roman" w:hAnsi="Times New Roman" w:cs="Times New Roman"/>
          <w:b/>
          <w:bCs/>
          <w:i/>
          <w:iCs/>
          <w:noProof/>
          <w:sz w:val="24"/>
          <w:szCs w:val="24"/>
        </w:rPr>
      </w:pPr>
      <w:r>
        <w:rPr>
          <w:rFonts w:ascii="Times New Roman" w:hAnsi="Times New Roman"/>
          <w:b/>
          <w:i/>
          <w:noProof/>
          <w:sz w:val="24"/>
        </w:rPr>
        <w:t>Operacijos</w:t>
      </w:r>
    </w:p>
    <w:tbl>
      <w:tblPr>
        <w:tblStyle w:val="TableGrid"/>
        <w:tblW w:w="14071" w:type="dxa"/>
        <w:tblLook w:val="04A0" w:firstRow="1" w:lastRow="0" w:firstColumn="1" w:lastColumn="0" w:noHBand="0" w:noVBand="1"/>
      </w:tblPr>
      <w:tblGrid>
        <w:gridCol w:w="3397"/>
        <w:gridCol w:w="8505"/>
        <w:gridCol w:w="2169"/>
      </w:tblGrid>
      <w:tr w:rsidR="00D61152" w:rsidRPr="004D2334" w14:paraId="3DDBF324" w14:textId="77777777" w:rsidTr="00A34DE8">
        <w:tc>
          <w:tcPr>
            <w:tcW w:w="3397" w:type="dxa"/>
          </w:tcPr>
          <w:p w14:paraId="308F5910" w14:textId="4240653A" w:rsidR="00D61152" w:rsidRPr="004D2334" w:rsidRDefault="00CC5D3D" w:rsidP="008F0249">
            <w:pPr>
              <w:spacing w:before="120" w:after="120"/>
              <w:jc w:val="center"/>
              <w:rPr>
                <w:rFonts w:ascii="Times New Roman" w:hAnsi="Times New Roman" w:cs="Times New Roman"/>
                <w:b/>
                <w:bCs/>
                <w:noProof/>
              </w:rPr>
            </w:pPr>
            <w:r>
              <w:rPr>
                <w:rFonts w:ascii="Times New Roman" w:hAnsi="Times New Roman"/>
                <w:b/>
                <w:noProof/>
              </w:rPr>
              <w:t>Problema</w:t>
            </w:r>
          </w:p>
        </w:tc>
        <w:tc>
          <w:tcPr>
            <w:tcW w:w="8505" w:type="dxa"/>
          </w:tcPr>
          <w:p w14:paraId="06587EA0" w14:textId="6D745CF1" w:rsidR="00D61152" w:rsidRPr="004D2334" w:rsidRDefault="006F7E3F" w:rsidP="008F0249">
            <w:pPr>
              <w:spacing w:before="120" w:after="120"/>
              <w:jc w:val="center"/>
              <w:rPr>
                <w:rFonts w:ascii="Times New Roman" w:hAnsi="Times New Roman" w:cs="Times New Roman"/>
                <w:b/>
                <w:bCs/>
                <w:noProof/>
              </w:rPr>
            </w:pPr>
            <w:r>
              <w:rPr>
                <w:rFonts w:ascii="Times New Roman" w:hAnsi="Times New Roman"/>
                <w:b/>
                <w:noProof/>
              </w:rPr>
              <w:t>Veiksmai</w:t>
            </w:r>
          </w:p>
        </w:tc>
        <w:tc>
          <w:tcPr>
            <w:tcW w:w="2169" w:type="dxa"/>
          </w:tcPr>
          <w:p w14:paraId="0BFE825D" w14:textId="77777777" w:rsidR="00D61152" w:rsidRPr="004D2334" w:rsidRDefault="00D61152" w:rsidP="008F0249">
            <w:pPr>
              <w:spacing w:before="120" w:after="120"/>
              <w:jc w:val="center"/>
              <w:rPr>
                <w:rFonts w:ascii="Times New Roman" w:hAnsi="Times New Roman" w:cs="Times New Roman"/>
                <w:b/>
                <w:bCs/>
                <w:noProof/>
              </w:rPr>
            </w:pPr>
            <w:r>
              <w:rPr>
                <w:rFonts w:ascii="Times New Roman" w:hAnsi="Times New Roman"/>
                <w:b/>
                <w:noProof/>
              </w:rPr>
              <w:t>Atsakingas subjektas</w:t>
            </w:r>
          </w:p>
        </w:tc>
      </w:tr>
      <w:tr w:rsidR="00D44700" w:rsidRPr="004D2334" w14:paraId="158C40E5" w14:textId="77777777" w:rsidTr="00A34DE8">
        <w:tc>
          <w:tcPr>
            <w:tcW w:w="3397" w:type="dxa"/>
            <w:vMerge w:val="restart"/>
          </w:tcPr>
          <w:p w14:paraId="3A0B7F40" w14:textId="1F3EB666" w:rsidR="00D44700" w:rsidRPr="00427757" w:rsidRDefault="00D44700" w:rsidP="00427757">
            <w:pPr>
              <w:pStyle w:val="ListParagraph"/>
              <w:numPr>
                <w:ilvl w:val="0"/>
                <w:numId w:val="2"/>
              </w:numPr>
              <w:spacing w:before="120" w:after="120"/>
              <w:rPr>
                <w:rFonts w:ascii="Times New Roman" w:hAnsi="Times New Roman" w:cs="Times New Roman"/>
                <w:noProof/>
              </w:rPr>
            </w:pPr>
            <w:r>
              <w:rPr>
                <w:rFonts w:ascii="Times New Roman" w:hAnsi="Times New Roman"/>
                <w:noProof/>
              </w:rPr>
              <w:t>Agentūros veiklos planavimo ciklas yra sudėtingas ir lėtas, o siuntimas ne visada atspindi kintančius operacinius poreikius sienos ruože.</w:t>
            </w:r>
          </w:p>
        </w:tc>
        <w:tc>
          <w:tcPr>
            <w:tcW w:w="8505" w:type="dxa"/>
          </w:tcPr>
          <w:p w14:paraId="1599611F" w14:textId="5848D581" w:rsidR="00D44700" w:rsidRPr="004D2334" w:rsidRDefault="00DE6561" w:rsidP="008F0249">
            <w:pPr>
              <w:spacing w:before="120" w:after="120"/>
              <w:rPr>
                <w:rFonts w:ascii="Times New Roman" w:hAnsi="Times New Roman" w:cs="Times New Roman"/>
                <w:noProof/>
              </w:rPr>
            </w:pPr>
            <w:r>
              <w:rPr>
                <w:rFonts w:ascii="Times New Roman" w:hAnsi="Times New Roman"/>
                <w:noProof/>
              </w:rPr>
              <w:t>2.1. Tolesnis trumpalaikis, vidutinės trukmės ir ilgalaikis siuntimo į sienos ruožus prioritetų nustatymas ir susijusių poreikių vertinimas, siekiant pagerinti siuntimo planavimą.</w:t>
            </w:r>
          </w:p>
        </w:tc>
        <w:tc>
          <w:tcPr>
            <w:tcW w:w="2169" w:type="dxa"/>
          </w:tcPr>
          <w:p w14:paraId="139350B7" w14:textId="6E8DF119" w:rsidR="00D44700" w:rsidRPr="004D2334" w:rsidRDefault="00D44700" w:rsidP="008F0249">
            <w:pPr>
              <w:spacing w:before="120" w:after="120"/>
              <w:jc w:val="both"/>
              <w:rPr>
                <w:rFonts w:ascii="Times New Roman" w:hAnsi="Times New Roman" w:cs="Times New Roman"/>
                <w:noProof/>
              </w:rPr>
            </w:pPr>
            <w:r>
              <w:rPr>
                <w:rFonts w:ascii="Times New Roman" w:hAnsi="Times New Roman"/>
                <w:noProof/>
              </w:rPr>
              <w:t>FRONTEX</w:t>
            </w:r>
          </w:p>
        </w:tc>
      </w:tr>
      <w:tr w:rsidR="00D44700" w:rsidRPr="004D2334" w14:paraId="7F49629F" w14:textId="77777777" w:rsidTr="00A34DE8">
        <w:tc>
          <w:tcPr>
            <w:tcW w:w="3397" w:type="dxa"/>
            <w:vMerge/>
          </w:tcPr>
          <w:p w14:paraId="7FF2656C" w14:textId="77777777" w:rsidR="00D44700" w:rsidRDefault="00D44700" w:rsidP="008F0249">
            <w:pPr>
              <w:spacing w:before="120" w:after="120"/>
              <w:rPr>
                <w:rFonts w:ascii="Times New Roman" w:hAnsi="Times New Roman" w:cs="Times New Roman"/>
                <w:noProof/>
                <w:lang w:val="en-IE"/>
              </w:rPr>
            </w:pPr>
          </w:p>
        </w:tc>
        <w:tc>
          <w:tcPr>
            <w:tcW w:w="8505" w:type="dxa"/>
          </w:tcPr>
          <w:p w14:paraId="1129E755" w14:textId="7D339D1C" w:rsidR="00D44700" w:rsidRPr="00DE6561" w:rsidRDefault="001F11AC" w:rsidP="001F11AC">
            <w:pPr>
              <w:spacing w:before="120" w:after="120"/>
              <w:rPr>
                <w:rFonts w:ascii="Times New Roman" w:hAnsi="Times New Roman" w:cs="Times New Roman"/>
                <w:noProof/>
              </w:rPr>
            </w:pPr>
            <w:r>
              <w:rPr>
                <w:rFonts w:ascii="Times New Roman" w:hAnsi="Times New Roman"/>
                <w:noProof/>
              </w:rPr>
              <w:t>2.2. Sukurti ir įdiegti nuolatinio korpuso operacijų koncepciją siekiant padidinti siuntimo veiksmingumą ir lanksčiau paskirstyti išteklius.</w:t>
            </w:r>
          </w:p>
        </w:tc>
        <w:tc>
          <w:tcPr>
            <w:tcW w:w="2169" w:type="dxa"/>
          </w:tcPr>
          <w:p w14:paraId="0F9C6E8A" w14:textId="58736E5E" w:rsidR="00D44700" w:rsidRDefault="00D44700" w:rsidP="008F0249">
            <w:pPr>
              <w:spacing w:before="120" w:after="120"/>
              <w:jc w:val="both"/>
              <w:rPr>
                <w:rFonts w:ascii="Times New Roman" w:hAnsi="Times New Roman" w:cs="Times New Roman"/>
                <w:noProof/>
              </w:rPr>
            </w:pPr>
            <w:r>
              <w:rPr>
                <w:rFonts w:ascii="Times New Roman" w:hAnsi="Times New Roman"/>
                <w:noProof/>
              </w:rPr>
              <w:t>FRONTEX</w:t>
            </w:r>
          </w:p>
        </w:tc>
      </w:tr>
      <w:tr w:rsidR="00A6292B" w:rsidRPr="004D2334" w14:paraId="39C4D28C" w14:textId="77777777" w:rsidTr="00A34DE8">
        <w:tc>
          <w:tcPr>
            <w:tcW w:w="3397" w:type="dxa"/>
            <w:vMerge/>
          </w:tcPr>
          <w:p w14:paraId="138D5C9A" w14:textId="77777777" w:rsidR="00A6292B" w:rsidRDefault="00A6292B" w:rsidP="008F0249">
            <w:pPr>
              <w:spacing w:before="120" w:after="120"/>
              <w:rPr>
                <w:rFonts w:ascii="Times New Roman" w:hAnsi="Times New Roman" w:cs="Times New Roman"/>
                <w:noProof/>
                <w:lang w:val="en-IE"/>
              </w:rPr>
            </w:pPr>
          </w:p>
        </w:tc>
        <w:tc>
          <w:tcPr>
            <w:tcW w:w="8505" w:type="dxa"/>
          </w:tcPr>
          <w:p w14:paraId="3126379E" w14:textId="401F46EA" w:rsidR="00A6292B" w:rsidRPr="00A6292B" w:rsidRDefault="00DE6561" w:rsidP="008F0249">
            <w:pPr>
              <w:spacing w:before="120" w:after="120"/>
              <w:rPr>
                <w:rFonts w:ascii="Times New Roman" w:hAnsi="Times New Roman" w:cs="Times New Roman"/>
                <w:noProof/>
              </w:rPr>
            </w:pPr>
            <w:r>
              <w:rPr>
                <w:rFonts w:ascii="Times New Roman" w:hAnsi="Times New Roman"/>
                <w:noProof/>
              </w:rPr>
              <w:t>2.3. Veiklos planavimą visų pirma grįsti rizikos analize ir pažeidžiamumo vertinimu, kurie nuolat atnaujinami ir prie kurių pridedami atitinkami veiklos rezultatų rodikliai, padedantys priimti operacinius sprendimus.</w:t>
            </w:r>
          </w:p>
        </w:tc>
        <w:tc>
          <w:tcPr>
            <w:tcW w:w="2169" w:type="dxa"/>
          </w:tcPr>
          <w:p w14:paraId="223080AB" w14:textId="14910305" w:rsidR="00A6292B" w:rsidRDefault="00A6292B" w:rsidP="008F0249">
            <w:pPr>
              <w:spacing w:before="120" w:after="120"/>
              <w:jc w:val="both"/>
              <w:rPr>
                <w:rFonts w:ascii="Times New Roman" w:hAnsi="Times New Roman" w:cs="Times New Roman"/>
                <w:noProof/>
              </w:rPr>
            </w:pPr>
            <w:r>
              <w:rPr>
                <w:rFonts w:ascii="Times New Roman" w:hAnsi="Times New Roman"/>
                <w:noProof/>
              </w:rPr>
              <w:t>FRONTEX</w:t>
            </w:r>
          </w:p>
        </w:tc>
      </w:tr>
      <w:tr w:rsidR="00D44700" w:rsidRPr="004D2334" w14:paraId="5B867A0F" w14:textId="77777777" w:rsidTr="00A34DE8">
        <w:tc>
          <w:tcPr>
            <w:tcW w:w="3397" w:type="dxa"/>
            <w:vMerge/>
          </w:tcPr>
          <w:p w14:paraId="53D421CC" w14:textId="77777777" w:rsidR="00D44700" w:rsidRDefault="00D44700" w:rsidP="008F0249">
            <w:pPr>
              <w:spacing w:before="120" w:after="120"/>
              <w:rPr>
                <w:rFonts w:ascii="Times New Roman" w:hAnsi="Times New Roman" w:cs="Times New Roman"/>
                <w:noProof/>
                <w:lang w:val="en-IE"/>
              </w:rPr>
            </w:pPr>
          </w:p>
        </w:tc>
        <w:tc>
          <w:tcPr>
            <w:tcW w:w="8505" w:type="dxa"/>
          </w:tcPr>
          <w:p w14:paraId="0C217038" w14:textId="7A458A23" w:rsidR="00D44700" w:rsidRPr="00106010" w:rsidRDefault="00DE6561" w:rsidP="008F0249">
            <w:pPr>
              <w:spacing w:before="120" w:after="120"/>
              <w:rPr>
                <w:rFonts w:ascii="Times New Roman" w:hAnsi="Times New Roman" w:cs="Times New Roman"/>
                <w:noProof/>
              </w:rPr>
            </w:pPr>
            <w:r>
              <w:rPr>
                <w:rFonts w:ascii="Times New Roman" w:hAnsi="Times New Roman"/>
                <w:noProof/>
              </w:rPr>
              <w:t>2.4. Vykdant integruoto planavimo procesą, parengti ir įgyvendinti veiklos ir nenumatytų atvejų planus, kuriais užtikrinamas suderinamumas ir lankstumas rengiant bendras operacijas.</w:t>
            </w:r>
          </w:p>
        </w:tc>
        <w:tc>
          <w:tcPr>
            <w:tcW w:w="2169" w:type="dxa"/>
          </w:tcPr>
          <w:p w14:paraId="4D1DCFCA" w14:textId="77777777" w:rsidR="00C37DDD" w:rsidRDefault="00041EB7" w:rsidP="008F0249">
            <w:pPr>
              <w:spacing w:before="120" w:after="120"/>
              <w:jc w:val="both"/>
              <w:rPr>
                <w:rFonts w:ascii="Times New Roman" w:hAnsi="Times New Roman" w:cs="Times New Roman"/>
                <w:noProof/>
              </w:rPr>
            </w:pPr>
            <w:r>
              <w:rPr>
                <w:rFonts w:ascii="Times New Roman" w:hAnsi="Times New Roman"/>
                <w:noProof/>
              </w:rPr>
              <w:t>Valstybės narės</w:t>
            </w:r>
          </w:p>
          <w:p w14:paraId="79DAD767" w14:textId="0C56F8AB" w:rsidR="00D44700" w:rsidRPr="00C37DDD" w:rsidRDefault="00C37DDD" w:rsidP="008F0249">
            <w:pPr>
              <w:spacing w:before="120" w:after="120"/>
              <w:jc w:val="both"/>
              <w:rPr>
                <w:rFonts w:ascii="Times New Roman" w:hAnsi="Times New Roman" w:cs="Times New Roman"/>
                <w:noProof/>
              </w:rPr>
            </w:pPr>
            <w:r>
              <w:rPr>
                <w:rFonts w:ascii="Times New Roman" w:hAnsi="Times New Roman"/>
                <w:noProof/>
              </w:rPr>
              <w:t>Šengeno asocijuotosios šalys</w:t>
            </w:r>
          </w:p>
        </w:tc>
      </w:tr>
      <w:tr w:rsidR="004F08FB" w:rsidRPr="004D2334" w14:paraId="6A312A1C" w14:textId="77777777" w:rsidTr="00A34DE8">
        <w:tc>
          <w:tcPr>
            <w:tcW w:w="3397" w:type="dxa"/>
            <w:vMerge w:val="restart"/>
          </w:tcPr>
          <w:p w14:paraId="40A23E73" w14:textId="63CE49FF" w:rsidR="004F08FB" w:rsidRPr="00427757" w:rsidRDefault="004F08FB" w:rsidP="00427757">
            <w:pPr>
              <w:pStyle w:val="ListParagraph"/>
              <w:numPr>
                <w:ilvl w:val="0"/>
                <w:numId w:val="2"/>
              </w:numPr>
              <w:spacing w:before="120" w:after="120"/>
              <w:rPr>
                <w:rFonts w:ascii="Times New Roman" w:hAnsi="Times New Roman" w:cs="Times New Roman"/>
                <w:noProof/>
              </w:rPr>
            </w:pPr>
            <w:r>
              <w:rPr>
                <w:rFonts w:ascii="Times New Roman" w:hAnsi="Times New Roman"/>
                <w:noProof/>
              </w:rPr>
              <w:t>Nuolatinis korpusas turi sudėtingas ir neefektyvias vadovavimo ir kontrolės struktūras, įskaitant daugialypius atskaitomybės ryšius, kurie riboja jo veiklos veiksmingumą.</w:t>
            </w:r>
          </w:p>
        </w:tc>
        <w:tc>
          <w:tcPr>
            <w:tcW w:w="8505" w:type="dxa"/>
          </w:tcPr>
          <w:p w14:paraId="2B429087" w14:textId="1D9A5C8E" w:rsidR="004F08FB" w:rsidRPr="004D2334" w:rsidRDefault="00DE6561" w:rsidP="00911F69">
            <w:pPr>
              <w:spacing w:before="120" w:after="120"/>
              <w:rPr>
                <w:rFonts w:ascii="Times New Roman" w:hAnsi="Times New Roman" w:cs="Times New Roman"/>
                <w:noProof/>
              </w:rPr>
            </w:pPr>
            <w:r>
              <w:rPr>
                <w:rFonts w:ascii="Times New Roman" w:hAnsi="Times New Roman"/>
                <w:noProof/>
              </w:rPr>
              <w:t>3.1. Sukurti ir įdiegti naują vadovavimo grandies struktūrą, pagal kurią būtų sukurti aiškūs atskaitomybės ryšiai ir būtų sudarytos sąlygos nuolatiniame korpuse greitai priimti ir įgyvendinti sprendimus.</w:t>
            </w:r>
          </w:p>
        </w:tc>
        <w:tc>
          <w:tcPr>
            <w:tcW w:w="2169" w:type="dxa"/>
          </w:tcPr>
          <w:p w14:paraId="33AF6136" w14:textId="011D8B38" w:rsidR="004F08FB" w:rsidRPr="004D2334" w:rsidRDefault="004F08FB" w:rsidP="008F0249">
            <w:pPr>
              <w:spacing w:before="120" w:after="120"/>
              <w:jc w:val="both"/>
              <w:rPr>
                <w:rFonts w:ascii="Times New Roman" w:hAnsi="Times New Roman" w:cs="Times New Roman"/>
                <w:noProof/>
              </w:rPr>
            </w:pPr>
            <w:r>
              <w:rPr>
                <w:rFonts w:ascii="Times New Roman" w:hAnsi="Times New Roman"/>
                <w:noProof/>
              </w:rPr>
              <w:t>FRONTEX</w:t>
            </w:r>
          </w:p>
        </w:tc>
      </w:tr>
      <w:tr w:rsidR="004F08FB" w:rsidRPr="004D2334" w14:paraId="7611178A" w14:textId="77777777" w:rsidTr="00A34DE8">
        <w:tc>
          <w:tcPr>
            <w:tcW w:w="3397" w:type="dxa"/>
            <w:vMerge/>
          </w:tcPr>
          <w:p w14:paraId="2B58F8E4" w14:textId="77777777" w:rsidR="004F08FB" w:rsidRDefault="004F08FB" w:rsidP="0053592F">
            <w:pPr>
              <w:spacing w:before="120" w:after="120"/>
              <w:rPr>
                <w:rFonts w:ascii="Times New Roman" w:hAnsi="Times New Roman" w:cs="Times New Roman"/>
                <w:noProof/>
                <w:lang w:val="en-IE"/>
              </w:rPr>
            </w:pPr>
          </w:p>
        </w:tc>
        <w:tc>
          <w:tcPr>
            <w:tcW w:w="8505" w:type="dxa"/>
          </w:tcPr>
          <w:p w14:paraId="0F50FEED" w14:textId="64DB1EFB" w:rsidR="004F08FB" w:rsidRDefault="006C731C" w:rsidP="00911F69">
            <w:pPr>
              <w:spacing w:before="120" w:after="120"/>
              <w:rPr>
                <w:rFonts w:ascii="Times New Roman" w:hAnsi="Times New Roman" w:cs="Times New Roman"/>
                <w:noProof/>
              </w:rPr>
            </w:pPr>
            <w:r>
              <w:rPr>
                <w:rFonts w:ascii="Times New Roman" w:hAnsi="Times New Roman"/>
                <w:noProof/>
              </w:rPr>
              <w:t>3.2. Nustatyti aiškius vaidmenis ir ryšių kanalus tarp Agentūros būstinės ir išsiųstų darbuotojų.</w:t>
            </w:r>
          </w:p>
        </w:tc>
        <w:tc>
          <w:tcPr>
            <w:tcW w:w="2169" w:type="dxa"/>
          </w:tcPr>
          <w:p w14:paraId="31507123" w14:textId="4E89C05C" w:rsidR="004F08FB" w:rsidRDefault="004F08FB" w:rsidP="008F0249">
            <w:pPr>
              <w:spacing w:before="120" w:after="120"/>
              <w:jc w:val="both"/>
              <w:rPr>
                <w:rFonts w:ascii="Times New Roman" w:hAnsi="Times New Roman" w:cs="Times New Roman"/>
                <w:noProof/>
              </w:rPr>
            </w:pPr>
            <w:r>
              <w:rPr>
                <w:rFonts w:ascii="Times New Roman" w:hAnsi="Times New Roman"/>
                <w:noProof/>
              </w:rPr>
              <w:t>FRONTEX</w:t>
            </w:r>
          </w:p>
        </w:tc>
      </w:tr>
      <w:tr w:rsidR="00554E02" w:rsidRPr="004D2334" w14:paraId="1CDE63C4" w14:textId="77777777" w:rsidTr="00A34DE8">
        <w:tc>
          <w:tcPr>
            <w:tcW w:w="3397" w:type="dxa"/>
            <w:vMerge w:val="restart"/>
          </w:tcPr>
          <w:p w14:paraId="7B2957AC" w14:textId="7B5D4682" w:rsidR="00554E02" w:rsidRPr="00427757" w:rsidRDefault="00554E02" w:rsidP="00427757">
            <w:pPr>
              <w:pStyle w:val="ListParagraph"/>
              <w:numPr>
                <w:ilvl w:val="0"/>
                <w:numId w:val="2"/>
              </w:numPr>
              <w:spacing w:before="120" w:after="120"/>
              <w:rPr>
                <w:rFonts w:ascii="Times New Roman" w:hAnsi="Times New Roman" w:cs="Times New Roman"/>
                <w:noProof/>
              </w:rPr>
            </w:pPr>
            <w:r>
              <w:rPr>
                <w:rFonts w:ascii="Times New Roman" w:hAnsi="Times New Roman"/>
                <w:noProof/>
              </w:rPr>
              <w:t>Tam tikri praktiniai ir logistiniai klausimai (pvz., ginklų vežimas, mėlynų žibintų naudojimas, automobilių nuoma ir apgyvendinimas) kelia didelių sunkumų išsiųstiems nuolatinio korpuso darbuotojams ir dėl techninės įrangos naudojimo (pvz., FRONTEX transporto priemonių pripažinimas, registracija, priežiūra).</w:t>
            </w:r>
          </w:p>
        </w:tc>
        <w:tc>
          <w:tcPr>
            <w:tcW w:w="8505" w:type="dxa"/>
          </w:tcPr>
          <w:p w14:paraId="7C156A13" w14:textId="0AF04FB6" w:rsidR="00554E02" w:rsidRPr="004D2334" w:rsidRDefault="006C731C" w:rsidP="00503813">
            <w:pPr>
              <w:spacing w:before="120" w:after="120"/>
              <w:rPr>
                <w:rFonts w:ascii="Times New Roman" w:hAnsi="Times New Roman" w:cs="Times New Roman"/>
                <w:noProof/>
              </w:rPr>
            </w:pPr>
            <w:r>
              <w:rPr>
                <w:rFonts w:ascii="Times New Roman" w:hAnsi="Times New Roman"/>
                <w:noProof/>
              </w:rPr>
              <w:t>4.1. Parengti praktinių ir logistinių klausimų valstybėse narėse ir (arba) Šengeno asocijuotosiose šalyse, trukdančių siųsti nuolatinį korpusą ir įrangą, sąrašą.</w:t>
            </w:r>
          </w:p>
        </w:tc>
        <w:tc>
          <w:tcPr>
            <w:tcW w:w="2169" w:type="dxa"/>
          </w:tcPr>
          <w:p w14:paraId="5C936033" w14:textId="29EF1028" w:rsidR="00554E02" w:rsidRPr="004D2334" w:rsidRDefault="00554E02" w:rsidP="00554E02">
            <w:pPr>
              <w:spacing w:before="120" w:after="120"/>
              <w:jc w:val="both"/>
              <w:rPr>
                <w:rFonts w:ascii="Times New Roman" w:hAnsi="Times New Roman" w:cs="Times New Roman"/>
                <w:noProof/>
              </w:rPr>
            </w:pPr>
            <w:r>
              <w:rPr>
                <w:rFonts w:ascii="Times New Roman" w:hAnsi="Times New Roman"/>
                <w:noProof/>
              </w:rPr>
              <w:t>FRONTEX</w:t>
            </w:r>
          </w:p>
        </w:tc>
      </w:tr>
      <w:tr w:rsidR="00547AC6" w:rsidRPr="004D2334" w14:paraId="70770529" w14:textId="77777777" w:rsidTr="00A34DE8">
        <w:tc>
          <w:tcPr>
            <w:tcW w:w="3397" w:type="dxa"/>
            <w:vMerge/>
          </w:tcPr>
          <w:p w14:paraId="561CE084" w14:textId="77777777" w:rsidR="00547AC6" w:rsidRDefault="00547AC6" w:rsidP="00DF0901">
            <w:pPr>
              <w:spacing w:before="120" w:after="120"/>
              <w:rPr>
                <w:rFonts w:ascii="Times New Roman" w:hAnsi="Times New Roman" w:cs="Times New Roman"/>
                <w:noProof/>
                <w:lang w:val="en-IE"/>
              </w:rPr>
            </w:pPr>
          </w:p>
        </w:tc>
        <w:tc>
          <w:tcPr>
            <w:tcW w:w="8505" w:type="dxa"/>
          </w:tcPr>
          <w:p w14:paraId="2CDDF8F4" w14:textId="1EC01537" w:rsidR="00547AC6" w:rsidRDefault="006C731C" w:rsidP="00503813">
            <w:pPr>
              <w:spacing w:before="120" w:after="120"/>
              <w:rPr>
                <w:rFonts w:ascii="Times New Roman" w:hAnsi="Times New Roman" w:cs="Times New Roman"/>
                <w:noProof/>
              </w:rPr>
            </w:pPr>
            <w:r>
              <w:rPr>
                <w:rFonts w:ascii="Times New Roman" w:hAnsi="Times New Roman"/>
                <w:noProof/>
              </w:rPr>
              <w:t>4.2. Prireikus iš dalies pakeisti nacionalinės teisės aktus, kad šioje srityje būtų galima visapusiškai ir veiksmingai įgyvendinti EBCG reglamentą.</w:t>
            </w:r>
          </w:p>
        </w:tc>
        <w:tc>
          <w:tcPr>
            <w:tcW w:w="2169" w:type="dxa"/>
          </w:tcPr>
          <w:p w14:paraId="5AA469AD" w14:textId="74FDEC7D" w:rsidR="00547AC6" w:rsidRDefault="00547AC6" w:rsidP="008F0249">
            <w:pPr>
              <w:spacing w:before="120" w:after="120"/>
              <w:jc w:val="both"/>
              <w:rPr>
                <w:rFonts w:ascii="Times New Roman" w:hAnsi="Times New Roman" w:cs="Times New Roman"/>
                <w:noProof/>
              </w:rPr>
            </w:pPr>
            <w:r>
              <w:rPr>
                <w:rFonts w:ascii="Times New Roman" w:hAnsi="Times New Roman"/>
                <w:noProof/>
              </w:rPr>
              <w:t>Valstybės narės / Šengeno asocijuotosios šalys</w:t>
            </w:r>
          </w:p>
        </w:tc>
      </w:tr>
      <w:tr w:rsidR="00554E02" w:rsidRPr="004D2334" w14:paraId="0031DD8D" w14:textId="77777777" w:rsidTr="00A34DE8">
        <w:tc>
          <w:tcPr>
            <w:tcW w:w="3397" w:type="dxa"/>
            <w:vMerge/>
          </w:tcPr>
          <w:p w14:paraId="2EA66F11" w14:textId="77777777" w:rsidR="00554E02" w:rsidRPr="00B23B2A" w:rsidRDefault="00554E02" w:rsidP="00DF0901">
            <w:pPr>
              <w:spacing w:before="120" w:after="120"/>
              <w:rPr>
                <w:rFonts w:ascii="Times New Roman" w:hAnsi="Times New Roman" w:cs="Times New Roman"/>
                <w:noProof/>
              </w:rPr>
            </w:pPr>
          </w:p>
        </w:tc>
        <w:tc>
          <w:tcPr>
            <w:tcW w:w="8505" w:type="dxa"/>
          </w:tcPr>
          <w:p w14:paraId="41FF9BDE" w14:textId="76AFEC9B" w:rsidR="00554E02" w:rsidRDefault="006C731C" w:rsidP="00503813">
            <w:pPr>
              <w:spacing w:before="120" w:after="120"/>
              <w:rPr>
                <w:rFonts w:ascii="Times New Roman" w:hAnsi="Times New Roman" w:cs="Times New Roman"/>
                <w:noProof/>
              </w:rPr>
            </w:pPr>
            <w:r>
              <w:rPr>
                <w:rFonts w:ascii="Times New Roman" w:hAnsi="Times New Roman"/>
                <w:noProof/>
              </w:rPr>
              <w:t>4.3. Sukurti pajėgumus ir plėtoti logistinės ir techninės paramos nuolatiniam korpusui ir prie išorės sienų išsiųstos techninės įrangos logistikos ir techninės priežiūros procesus, pvz., įsteigiant atstovybių biurus.</w:t>
            </w:r>
          </w:p>
        </w:tc>
        <w:tc>
          <w:tcPr>
            <w:tcW w:w="2169" w:type="dxa"/>
          </w:tcPr>
          <w:p w14:paraId="060B7270" w14:textId="623E0481" w:rsidR="00554E02" w:rsidRDefault="000A3759" w:rsidP="008F0249">
            <w:pPr>
              <w:spacing w:before="120" w:after="120"/>
              <w:jc w:val="both"/>
              <w:rPr>
                <w:rFonts w:ascii="Times New Roman" w:hAnsi="Times New Roman" w:cs="Times New Roman"/>
                <w:noProof/>
              </w:rPr>
            </w:pPr>
            <w:r>
              <w:rPr>
                <w:rFonts w:ascii="Times New Roman" w:hAnsi="Times New Roman"/>
                <w:noProof/>
              </w:rPr>
              <w:t>FRONTEX</w:t>
            </w:r>
          </w:p>
        </w:tc>
      </w:tr>
      <w:tr w:rsidR="00B17AEF" w:rsidRPr="004D2334" w14:paraId="27CF0F3E" w14:textId="77777777" w:rsidTr="00A34DE8">
        <w:tc>
          <w:tcPr>
            <w:tcW w:w="3397" w:type="dxa"/>
            <w:vMerge w:val="restart"/>
          </w:tcPr>
          <w:p w14:paraId="5E358103" w14:textId="0D9FD1D4" w:rsidR="00B17AEF" w:rsidRPr="00427757" w:rsidRDefault="00B17AEF" w:rsidP="00427757">
            <w:pPr>
              <w:pStyle w:val="ListParagraph"/>
              <w:numPr>
                <w:ilvl w:val="0"/>
                <w:numId w:val="2"/>
              </w:numPr>
              <w:spacing w:before="120" w:after="120"/>
              <w:rPr>
                <w:rFonts w:ascii="Times New Roman" w:hAnsi="Times New Roman" w:cs="Times New Roman"/>
                <w:noProof/>
              </w:rPr>
            </w:pPr>
            <w:r>
              <w:rPr>
                <w:rFonts w:ascii="Times New Roman" w:hAnsi="Times New Roman"/>
                <w:noProof/>
              </w:rPr>
              <w:t>Išsiųsti nuolatinio korpuso darbuotojai daugumoje priimančiųjų valstybių narių neturi prieigos prie Europos (pvz., SIS) ir nacionalinių duomenų bazių, o tai labai riboja išsiųstų darbuotojų veiksmingumą (pvz., jie negali atlikti patikrinimų kertant sieną).</w:t>
            </w:r>
          </w:p>
        </w:tc>
        <w:tc>
          <w:tcPr>
            <w:tcW w:w="8505" w:type="dxa"/>
          </w:tcPr>
          <w:p w14:paraId="45A343A1" w14:textId="402E9E48" w:rsidR="00B17AEF" w:rsidRDefault="006C731C" w:rsidP="00503813">
            <w:pPr>
              <w:spacing w:before="120" w:after="120"/>
              <w:rPr>
                <w:rFonts w:ascii="Times New Roman" w:hAnsi="Times New Roman" w:cs="Times New Roman"/>
                <w:noProof/>
              </w:rPr>
            </w:pPr>
            <w:r>
              <w:rPr>
                <w:rFonts w:ascii="Times New Roman" w:hAnsi="Times New Roman"/>
                <w:noProof/>
              </w:rPr>
              <w:t>5.1. Nuolatinio korpuso darbuotojams suteikti prieigą prie SIS, kad jie galėtų atlikti pirminės grandies pareigūnų darbą.</w:t>
            </w:r>
          </w:p>
        </w:tc>
        <w:tc>
          <w:tcPr>
            <w:tcW w:w="2169" w:type="dxa"/>
          </w:tcPr>
          <w:p w14:paraId="236654C7" w14:textId="3557DBD5" w:rsidR="00B55E30" w:rsidRDefault="00B17AEF" w:rsidP="008F0249">
            <w:pPr>
              <w:spacing w:before="120" w:after="120"/>
              <w:jc w:val="both"/>
              <w:rPr>
                <w:rFonts w:ascii="Times New Roman" w:hAnsi="Times New Roman" w:cs="Times New Roman"/>
                <w:noProof/>
              </w:rPr>
            </w:pPr>
            <w:r>
              <w:rPr>
                <w:rFonts w:ascii="Times New Roman" w:hAnsi="Times New Roman"/>
                <w:noProof/>
              </w:rPr>
              <w:t>FRONTEX</w:t>
            </w:r>
          </w:p>
        </w:tc>
      </w:tr>
      <w:tr w:rsidR="00B17AEF" w:rsidRPr="004D2334" w14:paraId="0939BD75" w14:textId="77777777" w:rsidTr="00A34DE8">
        <w:tc>
          <w:tcPr>
            <w:tcW w:w="3397" w:type="dxa"/>
            <w:vMerge/>
          </w:tcPr>
          <w:p w14:paraId="75D97C12" w14:textId="77777777" w:rsidR="00B17AEF" w:rsidRDefault="00B17AEF" w:rsidP="00DF0901">
            <w:pPr>
              <w:spacing w:before="120" w:after="120"/>
              <w:rPr>
                <w:rFonts w:ascii="Times New Roman" w:hAnsi="Times New Roman" w:cs="Times New Roman"/>
                <w:noProof/>
                <w:lang w:val="en-IE"/>
              </w:rPr>
            </w:pPr>
          </w:p>
        </w:tc>
        <w:tc>
          <w:tcPr>
            <w:tcW w:w="8505" w:type="dxa"/>
          </w:tcPr>
          <w:p w14:paraId="3379A232" w14:textId="76263E51" w:rsidR="00B17AEF" w:rsidRDefault="006C731C" w:rsidP="00503813">
            <w:pPr>
              <w:spacing w:before="120" w:after="120"/>
              <w:rPr>
                <w:rFonts w:ascii="Times New Roman" w:hAnsi="Times New Roman" w:cs="Times New Roman"/>
                <w:noProof/>
              </w:rPr>
            </w:pPr>
            <w:r>
              <w:rPr>
                <w:rFonts w:ascii="Times New Roman" w:hAnsi="Times New Roman"/>
                <w:noProof/>
              </w:rPr>
              <w:t>5.2. Peržiūrėti ir pašalinti nacionalinės teisės aktuose įtvirtintas arba techninio ar administracinio pobūdžio kliūtis, trukdančias nuolatiniam korpusui naudotis nacionalinėmis duomenų bazėmis, kurios yra būtinos jo užduotims atlikti, kaip apibrėžta EBCG reglamente ir veiklos planuose.</w:t>
            </w:r>
          </w:p>
        </w:tc>
        <w:tc>
          <w:tcPr>
            <w:tcW w:w="2169" w:type="dxa"/>
          </w:tcPr>
          <w:p w14:paraId="5C50221E" w14:textId="5E44E933" w:rsidR="00B17AEF" w:rsidRDefault="00EC2D6F" w:rsidP="008F0249">
            <w:pPr>
              <w:spacing w:before="120" w:after="120"/>
              <w:jc w:val="both"/>
              <w:rPr>
                <w:rFonts w:ascii="Times New Roman" w:hAnsi="Times New Roman" w:cs="Times New Roman"/>
                <w:noProof/>
              </w:rPr>
            </w:pPr>
            <w:r>
              <w:rPr>
                <w:rFonts w:ascii="Times New Roman" w:hAnsi="Times New Roman"/>
                <w:noProof/>
              </w:rPr>
              <w:t>Valstybės narės / Šengeno asocijuotosios šalys</w:t>
            </w:r>
          </w:p>
        </w:tc>
      </w:tr>
    </w:tbl>
    <w:p w14:paraId="2081D9DB" w14:textId="653BBA94" w:rsidR="00D61152" w:rsidRPr="00B23B2A" w:rsidRDefault="00D61152" w:rsidP="004D2334">
      <w:pPr>
        <w:spacing w:before="120" w:after="120" w:line="240" w:lineRule="auto"/>
        <w:jc w:val="both"/>
        <w:rPr>
          <w:rFonts w:ascii="Times New Roman" w:hAnsi="Times New Roman" w:cs="Times New Roman"/>
          <w:noProof/>
        </w:rPr>
      </w:pPr>
    </w:p>
    <w:p w14:paraId="37A863B3" w14:textId="0699472F" w:rsidR="003B3CA9" w:rsidRPr="00E40A1B" w:rsidRDefault="00DA3BE8" w:rsidP="004D2334">
      <w:pPr>
        <w:spacing w:before="120" w:after="120" w:line="240" w:lineRule="auto"/>
        <w:jc w:val="both"/>
        <w:rPr>
          <w:rFonts w:ascii="Times New Roman" w:hAnsi="Times New Roman" w:cs="Times New Roman"/>
          <w:b/>
          <w:bCs/>
          <w:i/>
          <w:iCs/>
          <w:noProof/>
          <w:sz w:val="24"/>
          <w:szCs w:val="24"/>
        </w:rPr>
      </w:pPr>
      <w:r>
        <w:rPr>
          <w:rFonts w:ascii="Times New Roman" w:hAnsi="Times New Roman"/>
          <w:b/>
          <w:i/>
          <w:noProof/>
          <w:sz w:val="24"/>
        </w:rPr>
        <w:t xml:space="preserve">Grąžinimas </w:t>
      </w:r>
    </w:p>
    <w:tbl>
      <w:tblPr>
        <w:tblStyle w:val="TableGrid"/>
        <w:tblW w:w="14071" w:type="dxa"/>
        <w:tblLook w:val="04A0" w:firstRow="1" w:lastRow="0" w:firstColumn="1" w:lastColumn="0" w:noHBand="0" w:noVBand="1"/>
      </w:tblPr>
      <w:tblGrid>
        <w:gridCol w:w="3397"/>
        <w:gridCol w:w="8505"/>
        <w:gridCol w:w="2169"/>
      </w:tblGrid>
      <w:tr w:rsidR="00D61152" w:rsidRPr="004D2334" w14:paraId="15B6ABDC" w14:textId="77777777" w:rsidTr="009A4408">
        <w:tc>
          <w:tcPr>
            <w:tcW w:w="3397" w:type="dxa"/>
          </w:tcPr>
          <w:p w14:paraId="520596E7" w14:textId="7E4FC849" w:rsidR="00D61152" w:rsidRPr="004D2334" w:rsidRDefault="00AD2610" w:rsidP="008F0249">
            <w:pPr>
              <w:spacing w:before="120" w:after="120"/>
              <w:jc w:val="center"/>
              <w:rPr>
                <w:rFonts w:ascii="Times New Roman" w:hAnsi="Times New Roman" w:cs="Times New Roman"/>
                <w:b/>
                <w:bCs/>
                <w:noProof/>
              </w:rPr>
            </w:pPr>
            <w:r>
              <w:rPr>
                <w:rFonts w:ascii="Times New Roman" w:hAnsi="Times New Roman"/>
                <w:b/>
                <w:noProof/>
              </w:rPr>
              <w:t>Problema</w:t>
            </w:r>
          </w:p>
        </w:tc>
        <w:tc>
          <w:tcPr>
            <w:tcW w:w="8505" w:type="dxa"/>
          </w:tcPr>
          <w:p w14:paraId="3B7B03B2" w14:textId="77777777" w:rsidR="00D61152" w:rsidRPr="004D2334" w:rsidRDefault="003B3CA9" w:rsidP="008F0249">
            <w:pPr>
              <w:spacing w:before="120" w:after="120"/>
              <w:jc w:val="center"/>
              <w:rPr>
                <w:rFonts w:ascii="Times New Roman" w:hAnsi="Times New Roman" w:cs="Times New Roman"/>
                <w:b/>
                <w:bCs/>
                <w:noProof/>
              </w:rPr>
            </w:pPr>
            <w:r>
              <w:rPr>
                <w:rFonts w:ascii="Times New Roman" w:hAnsi="Times New Roman"/>
                <w:b/>
                <w:noProof/>
              </w:rPr>
              <w:t>Veiksmai</w:t>
            </w:r>
          </w:p>
        </w:tc>
        <w:tc>
          <w:tcPr>
            <w:tcW w:w="2169" w:type="dxa"/>
          </w:tcPr>
          <w:p w14:paraId="79498D17" w14:textId="77777777" w:rsidR="00D61152" w:rsidRPr="004D2334" w:rsidRDefault="00D61152" w:rsidP="008F0249">
            <w:pPr>
              <w:spacing w:before="120" w:after="120"/>
              <w:jc w:val="center"/>
              <w:rPr>
                <w:rFonts w:ascii="Times New Roman" w:hAnsi="Times New Roman" w:cs="Times New Roman"/>
                <w:b/>
                <w:bCs/>
                <w:noProof/>
              </w:rPr>
            </w:pPr>
            <w:r>
              <w:rPr>
                <w:rFonts w:ascii="Times New Roman" w:hAnsi="Times New Roman"/>
                <w:b/>
                <w:noProof/>
              </w:rPr>
              <w:t>Atsakingas subjektas</w:t>
            </w:r>
          </w:p>
        </w:tc>
      </w:tr>
      <w:tr w:rsidR="00BC233F" w:rsidRPr="004D2334" w14:paraId="56B0D4FB" w14:textId="77777777" w:rsidTr="009A4408">
        <w:tc>
          <w:tcPr>
            <w:tcW w:w="3397" w:type="dxa"/>
            <w:vMerge w:val="restart"/>
          </w:tcPr>
          <w:p w14:paraId="1BEBDE2E" w14:textId="26C5471A" w:rsidR="00BC233F" w:rsidRPr="006C731C" w:rsidRDefault="00286D9A" w:rsidP="006C731C">
            <w:pPr>
              <w:pStyle w:val="ListParagraph"/>
              <w:numPr>
                <w:ilvl w:val="0"/>
                <w:numId w:val="2"/>
              </w:numPr>
              <w:spacing w:before="120" w:after="120"/>
              <w:rPr>
                <w:rFonts w:ascii="Times New Roman" w:hAnsi="Times New Roman" w:cs="Times New Roman"/>
                <w:noProof/>
              </w:rPr>
            </w:pPr>
            <w:r>
              <w:rPr>
                <w:rFonts w:ascii="Times New Roman" w:hAnsi="Times New Roman"/>
                <w:noProof/>
              </w:rPr>
              <w:t>Atsižvelgiant į išplėstus Agentūros įgaliojimus grąžinimo srityje, pasakytina, kad Valdančioji taryba neužtikrina pakankamo strateginio vadovavimo ir tolesnių veiksmų, susijusių su aukšto lygio apskritojo stalo grupės grąžinimo klausimais darbu. Valdančiosios tarybos darbotvarkės punktuose, susijusiuose su grąžinimu, šiuo metu daugiausia dėmesio skiriama tik Agentūros veiklos ataskaitoms.</w:t>
            </w:r>
          </w:p>
        </w:tc>
        <w:tc>
          <w:tcPr>
            <w:tcW w:w="8505" w:type="dxa"/>
          </w:tcPr>
          <w:p w14:paraId="0F1AF819" w14:textId="577B0D97" w:rsidR="00BC233F" w:rsidRPr="001F11AC" w:rsidRDefault="00BC233F" w:rsidP="001F11AC">
            <w:pPr>
              <w:pStyle w:val="ListParagraph"/>
              <w:numPr>
                <w:ilvl w:val="1"/>
                <w:numId w:val="14"/>
              </w:numPr>
              <w:spacing w:before="120" w:after="120"/>
              <w:ind w:left="357" w:hanging="357"/>
              <w:contextualSpacing w:val="0"/>
              <w:rPr>
                <w:rFonts w:ascii="Times New Roman" w:hAnsi="Times New Roman" w:cs="Times New Roman"/>
                <w:noProof/>
              </w:rPr>
            </w:pPr>
            <w:r>
              <w:rPr>
                <w:rFonts w:ascii="Times New Roman" w:hAnsi="Times New Roman"/>
                <w:noProof/>
              </w:rPr>
              <w:t>Valdančiosios tarybos narių ir pakaitinių narių peržiūra.</w:t>
            </w:r>
          </w:p>
        </w:tc>
        <w:tc>
          <w:tcPr>
            <w:tcW w:w="2169" w:type="dxa"/>
          </w:tcPr>
          <w:p w14:paraId="00123CBD" w14:textId="3CAF5FFA" w:rsidR="00961C3C" w:rsidRPr="002C3279" w:rsidRDefault="00BC233F" w:rsidP="008F0249">
            <w:pPr>
              <w:spacing w:before="120" w:after="120"/>
              <w:jc w:val="both"/>
              <w:rPr>
                <w:rFonts w:ascii="Times New Roman" w:hAnsi="Times New Roman" w:cs="Times New Roman"/>
                <w:noProof/>
              </w:rPr>
            </w:pPr>
            <w:r>
              <w:rPr>
                <w:rFonts w:ascii="Times New Roman" w:hAnsi="Times New Roman"/>
                <w:noProof/>
              </w:rPr>
              <w:t>Valstybės narės / Šengeno asocijuotosios šalys</w:t>
            </w:r>
          </w:p>
        </w:tc>
      </w:tr>
      <w:tr w:rsidR="00BC233F" w:rsidRPr="004D2334" w14:paraId="09175FB3" w14:textId="77777777" w:rsidTr="009A4408">
        <w:tc>
          <w:tcPr>
            <w:tcW w:w="3397" w:type="dxa"/>
            <w:vMerge/>
          </w:tcPr>
          <w:p w14:paraId="71C2AFC8" w14:textId="77777777" w:rsidR="00BC233F" w:rsidRDefault="00BC233F" w:rsidP="008F0249">
            <w:pPr>
              <w:spacing w:before="120" w:after="120"/>
              <w:rPr>
                <w:rStyle w:val="CommentReference"/>
                <w:noProof/>
              </w:rPr>
            </w:pPr>
          </w:p>
        </w:tc>
        <w:tc>
          <w:tcPr>
            <w:tcW w:w="8505" w:type="dxa"/>
          </w:tcPr>
          <w:p w14:paraId="54DE7501" w14:textId="1A03CD1E" w:rsidR="00BC233F" w:rsidRPr="00C37DDD" w:rsidRDefault="006C731C" w:rsidP="00C37DDD">
            <w:pPr>
              <w:spacing w:before="120" w:after="120"/>
              <w:rPr>
                <w:rFonts w:ascii="Times New Roman" w:hAnsi="Times New Roman" w:cs="Times New Roman"/>
                <w:noProof/>
              </w:rPr>
            </w:pPr>
            <w:r>
              <w:rPr>
                <w:rFonts w:ascii="Times New Roman" w:hAnsi="Times New Roman"/>
                <w:noProof/>
              </w:rPr>
              <w:t>6.2. Užtikrinti, kad būtų reguliariai planuojama Valdančiosios tarybos posėdžiuose rengti strategines diskusijas grąžinimo klausimais.</w:t>
            </w:r>
          </w:p>
        </w:tc>
        <w:tc>
          <w:tcPr>
            <w:tcW w:w="2169" w:type="dxa"/>
          </w:tcPr>
          <w:p w14:paraId="753B902F" w14:textId="236420F0" w:rsidR="00BC233F" w:rsidRPr="00433128" w:rsidRDefault="00BC233F" w:rsidP="008F0249">
            <w:pPr>
              <w:spacing w:before="120" w:after="120"/>
              <w:jc w:val="both"/>
              <w:rPr>
                <w:rFonts w:ascii="Times New Roman" w:hAnsi="Times New Roman" w:cs="Times New Roman"/>
                <w:noProof/>
              </w:rPr>
            </w:pPr>
            <w:r>
              <w:rPr>
                <w:rFonts w:ascii="Times New Roman" w:hAnsi="Times New Roman"/>
                <w:noProof/>
              </w:rPr>
              <w:t>Valdančioji taryba</w:t>
            </w:r>
          </w:p>
        </w:tc>
      </w:tr>
      <w:tr w:rsidR="00BC233F" w:rsidRPr="004D2334" w14:paraId="398736A4" w14:textId="77777777" w:rsidTr="009A4408">
        <w:tc>
          <w:tcPr>
            <w:tcW w:w="3397" w:type="dxa"/>
            <w:vMerge/>
          </w:tcPr>
          <w:p w14:paraId="0448C1C9" w14:textId="77777777" w:rsidR="00BC233F" w:rsidRDefault="00BC233F" w:rsidP="008F0249">
            <w:pPr>
              <w:spacing w:before="120" w:after="120"/>
              <w:rPr>
                <w:rStyle w:val="CommentReference"/>
                <w:noProof/>
              </w:rPr>
            </w:pPr>
          </w:p>
        </w:tc>
        <w:tc>
          <w:tcPr>
            <w:tcW w:w="8505" w:type="dxa"/>
          </w:tcPr>
          <w:p w14:paraId="763EE06F" w14:textId="6B09D5EC" w:rsidR="00BC233F" w:rsidRPr="00C37DDD" w:rsidRDefault="00EB59FC" w:rsidP="00C37DDD">
            <w:pPr>
              <w:spacing w:before="120" w:after="120"/>
              <w:rPr>
                <w:rFonts w:ascii="Times New Roman" w:hAnsi="Times New Roman" w:cs="Times New Roman"/>
                <w:noProof/>
              </w:rPr>
            </w:pPr>
            <w:r>
              <w:rPr>
                <w:rFonts w:ascii="Times New Roman" w:hAnsi="Times New Roman"/>
                <w:noProof/>
              </w:rPr>
              <w:t>6.3. Pakoreguoti aukšto lygio apskritojo stalo diskusijų grąžinimo klausimais posėdžių ir techninių posėdžių laiką ir dažnumą, kad būtų galima veiksmingai pasirengti strateginėms diskusijoms Valdančiosios tarybos posėdžiuose ir imtis tolesnių su jomis susijusių veiksmų.</w:t>
            </w:r>
          </w:p>
        </w:tc>
        <w:tc>
          <w:tcPr>
            <w:tcW w:w="2169" w:type="dxa"/>
          </w:tcPr>
          <w:p w14:paraId="4B5D091D" w14:textId="77777777" w:rsidR="00BC233F" w:rsidRDefault="00BC233F" w:rsidP="002C3279">
            <w:pPr>
              <w:spacing w:before="120" w:after="120"/>
              <w:jc w:val="both"/>
              <w:rPr>
                <w:rFonts w:ascii="Times New Roman" w:hAnsi="Times New Roman" w:cs="Times New Roman"/>
                <w:noProof/>
              </w:rPr>
            </w:pPr>
            <w:r>
              <w:rPr>
                <w:rFonts w:ascii="Times New Roman" w:hAnsi="Times New Roman"/>
                <w:noProof/>
              </w:rPr>
              <w:t xml:space="preserve">FRONTEX </w:t>
            </w:r>
          </w:p>
          <w:p w14:paraId="3568FF76" w14:textId="77777777" w:rsidR="00BC233F" w:rsidRDefault="00BC233F" w:rsidP="002C3279">
            <w:pPr>
              <w:spacing w:before="120" w:after="120"/>
              <w:jc w:val="both"/>
              <w:rPr>
                <w:rFonts w:ascii="Times New Roman" w:hAnsi="Times New Roman" w:cs="Times New Roman"/>
                <w:noProof/>
              </w:rPr>
            </w:pPr>
            <w:r>
              <w:rPr>
                <w:rFonts w:ascii="Times New Roman" w:hAnsi="Times New Roman"/>
                <w:noProof/>
              </w:rPr>
              <w:t xml:space="preserve">Europos Komisija </w:t>
            </w:r>
          </w:p>
          <w:p w14:paraId="6534E6CD" w14:textId="022736AB" w:rsidR="00BC233F" w:rsidRPr="00BC233F" w:rsidRDefault="00BC233F" w:rsidP="002C3279">
            <w:pPr>
              <w:spacing w:before="120" w:after="120"/>
              <w:jc w:val="both"/>
              <w:rPr>
                <w:rFonts w:ascii="Times New Roman" w:hAnsi="Times New Roman" w:cs="Times New Roman"/>
                <w:noProof/>
              </w:rPr>
            </w:pPr>
            <w:r>
              <w:rPr>
                <w:rFonts w:ascii="Times New Roman" w:hAnsi="Times New Roman"/>
                <w:noProof/>
              </w:rPr>
              <w:t>Valstybės narės / Šengeno asocijuotosios šalys</w:t>
            </w:r>
          </w:p>
        </w:tc>
      </w:tr>
      <w:tr w:rsidR="00286D9A" w:rsidRPr="004D2334" w14:paraId="2C9B3362" w14:textId="77777777" w:rsidTr="009A4408">
        <w:tc>
          <w:tcPr>
            <w:tcW w:w="3397" w:type="dxa"/>
          </w:tcPr>
          <w:p w14:paraId="6F215D13" w14:textId="1A9D2E3D" w:rsidR="00286D9A" w:rsidRPr="00EB59FC" w:rsidRDefault="00286D9A" w:rsidP="00EB59FC">
            <w:pPr>
              <w:pStyle w:val="ListParagraph"/>
              <w:numPr>
                <w:ilvl w:val="0"/>
                <w:numId w:val="2"/>
              </w:numPr>
              <w:spacing w:before="120" w:after="120"/>
              <w:rPr>
                <w:rFonts w:ascii="Times New Roman" w:hAnsi="Times New Roman" w:cs="Times New Roman"/>
                <w:noProof/>
              </w:rPr>
            </w:pPr>
            <w:r>
              <w:rPr>
                <w:rFonts w:ascii="Times New Roman" w:hAnsi="Times New Roman"/>
                <w:noProof/>
              </w:rPr>
              <w:t xml:space="preserve">Europos Komisija ir Agentūra nepakankamai koordinuoja operacinės paramos grąžinimo srityje organizavimą. </w:t>
            </w:r>
          </w:p>
        </w:tc>
        <w:tc>
          <w:tcPr>
            <w:tcW w:w="8505" w:type="dxa"/>
          </w:tcPr>
          <w:p w14:paraId="6DFC8BEC" w14:textId="7E0BFD7E" w:rsidR="00286D9A" w:rsidRDefault="00EB59FC" w:rsidP="008F0249">
            <w:pPr>
              <w:spacing w:before="120" w:after="120"/>
              <w:jc w:val="both"/>
              <w:rPr>
                <w:rFonts w:ascii="Times New Roman" w:hAnsi="Times New Roman" w:cs="Times New Roman"/>
                <w:noProof/>
              </w:rPr>
            </w:pPr>
            <w:r>
              <w:rPr>
                <w:rFonts w:ascii="Times New Roman" w:hAnsi="Times New Roman"/>
                <w:noProof/>
              </w:rPr>
              <w:t>7.1. Reguliariai koordinuoti operacinės veiklos ir dalyvavimo trečiosiose šalyse ir kartu su jomis vykdomose operacijose aukštesnio lygmens sprendimus siekiant užtikrinti, kad Agentūros teikiama operacinė parama padėtų įgyvendinti ES prioritetus, įskaitant grąžinimo koordinatoriaus vadovaujamų tikslinių grąžinimo veiksmų gaires ir Vizų kodekso 25a straipsnį. Reguliarūs susitikimai siekiant užtikrinti, kad Agentūra veiktų remdamasi naujausia informacija apie bendradarbiavimą su valstybėmis narėmis ir trečiosiomis šalimis.</w:t>
            </w:r>
          </w:p>
        </w:tc>
        <w:tc>
          <w:tcPr>
            <w:tcW w:w="2169" w:type="dxa"/>
          </w:tcPr>
          <w:p w14:paraId="0A872939" w14:textId="77777777" w:rsidR="00286D9A" w:rsidRDefault="007E34A7">
            <w:pPr>
              <w:spacing w:before="120" w:after="120"/>
              <w:jc w:val="both"/>
              <w:rPr>
                <w:rFonts w:ascii="Times New Roman" w:hAnsi="Times New Roman" w:cs="Times New Roman"/>
                <w:noProof/>
              </w:rPr>
            </w:pPr>
            <w:r>
              <w:rPr>
                <w:rFonts w:ascii="Times New Roman" w:hAnsi="Times New Roman"/>
                <w:noProof/>
              </w:rPr>
              <w:t>FRONTEX</w:t>
            </w:r>
          </w:p>
          <w:p w14:paraId="0C90DDD7" w14:textId="2346C7D9" w:rsidR="007E34A7" w:rsidRDefault="007E34A7">
            <w:pPr>
              <w:spacing w:before="120" w:after="120"/>
              <w:jc w:val="both"/>
              <w:rPr>
                <w:rFonts w:ascii="Times New Roman" w:hAnsi="Times New Roman" w:cs="Times New Roman"/>
                <w:noProof/>
              </w:rPr>
            </w:pPr>
            <w:r>
              <w:rPr>
                <w:rFonts w:ascii="Times New Roman" w:hAnsi="Times New Roman"/>
                <w:noProof/>
              </w:rPr>
              <w:t>Europos Komisija</w:t>
            </w:r>
          </w:p>
        </w:tc>
      </w:tr>
      <w:tr w:rsidR="007B57EE" w:rsidRPr="004D2334" w14:paraId="479926C2" w14:textId="77777777" w:rsidTr="009A4408">
        <w:tc>
          <w:tcPr>
            <w:tcW w:w="3397" w:type="dxa"/>
            <w:vMerge w:val="restart"/>
          </w:tcPr>
          <w:p w14:paraId="58E79579" w14:textId="28581982" w:rsidR="007B57EE" w:rsidRPr="00EB59FC" w:rsidRDefault="007B57EE" w:rsidP="00EB59FC">
            <w:pPr>
              <w:pStyle w:val="ListParagraph"/>
              <w:numPr>
                <w:ilvl w:val="0"/>
                <w:numId w:val="2"/>
              </w:numPr>
              <w:spacing w:before="120" w:after="120"/>
              <w:rPr>
                <w:rFonts w:ascii="Times New Roman" w:hAnsi="Times New Roman" w:cs="Times New Roman"/>
                <w:noProof/>
              </w:rPr>
            </w:pPr>
            <w:r>
              <w:rPr>
                <w:rFonts w:ascii="Times New Roman" w:hAnsi="Times New Roman"/>
                <w:noProof/>
              </w:rPr>
              <w:t>Grąžinimo veiklos kompetencijos sritys dažnai paskirstomos skirtingoms valstybių narių nacionalinėms institucijoms. Bendravimas su nacionalinėmis institucijomis, atsakingomis už grąžinimą, per nacionalinį FRONTEX ryšių punktą ne visada vyksta sklandžiai.</w:t>
            </w:r>
          </w:p>
        </w:tc>
        <w:tc>
          <w:tcPr>
            <w:tcW w:w="8505" w:type="dxa"/>
          </w:tcPr>
          <w:p w14:paraId="475E26D6" w14:textId="68506E99" w:rsidR="0061090B" w:rsidRPr="00E640F2" w:rsidRDefault="00EB59FC" w:rsidP="008F0249">
            <w:pPr>
              <w:spacing w:before="120" w:after="120"/>
              <w:jc w:val="both"/>
              <w:rPr>
                <w:rFonts w:ascii="Times New Roman" w:hAnsi="Times New Roman" w:cs="Times New Roman"/>
                <w:noProof/>
              </w:rPr>
            </w:pPr>
            <w:r>
              <w:rPr>
                <w:rFonts w:ascii="Times New Roman" w:hAnsi="Times New Roman"/>
                <w:noProof/>
              </w:rPr>
              <w:t>8.1. Užtikrinti tinkamą nacionalinio FRONTEX ryšių punkto ir už grąžinimą atsakingų nacionalinių institucijų bendradarbiavimą ir informacijos srautą.</w:t>
            </w:r>
          </w:p>
        </w:tc>
        <w:tc>
          <w:tcPr>
            <w:tcW w:w="2169" w:type="dxa"/>
          </w:tcPr>
          <w:p w14:paraId="0204BE75" w14:textId="794583D6" w:rsidR="007B57EE" w:rsidRDefault="007B57EE">
            <w:pPr>
              <w:spacing w:before="120" w:after="120"/>
              <w:jc w:val="both"/>
              <w:rPr>
                <w:rFonts w:ascii="Times New Roman" w:hAnsi="Times New Roman" w:cs="Times New Roman"/>
                <w:noProof/>
              </w:rPr>
            </w:pPr>
            <w:r>
              <w:rPr>
                <w:rFonts w:ascii="Times New Roman" w:hAnsi="Times New Roman"/>
                <w:noProof/>
              </w:rPr>
              <w:t>Valstybės narės / Šengeno asocijuotosios šalys</w:t>
            </w:r>
          </w:p>
          <w:p w14:paraId="0B0B3266" w14:textId="167B1097" w:rsidR="007B57EE" w:rsidRPr="00EB4198" w:rsidRDefault="007B57EE" w:rsidP="008F0249">
            <w:pPr>
              <w:spacing w:before="120" w:after="120"/>
              <w:jc w:val="both"/>
              <w:rPr>
                <w:rFonts w:ascii="Times New Roman" w:hAnsi="Times New Roman" w:cs="Times New Roman"/>
                <w:noProof/>
              </w:rPr>
            </w:pPr>
          </w:p>
        </w:tc>
      </w:tr>
      <w:tr w:rsidR="007B57EE" w:rsidRPr="004D2334" w14:paraId="2178E0B8" w14:textId="77777777" w:rsidTr="009A4408">
        <w:tc>
          <w:tcPr>
            <w:tcW w:w="3397" w:type="dxa"/>
            <w:vMerge/>
          </w:tcPr>
          <w:p w14:paraId="19217913" w14:textId="77777777" w:rsidR="007B57EE" w:rsidRDefault="007B57EE" w:rsidP="00BA0B8B">
            <w:pPr>
              <w:spacing w:before="120" w:after="120"/>
              <w:rPr>
                <w:rFonts w:ascii="Times New Roman" w:hAnsi="Times New Roman" w:cs="Times New Roman"/>
                <w:noProof/>
              </w:rPr>
            </w:pPr>
          </w:p>
        </w:tc>
        <w:tc>
          <w:tcPr>
            <w:tcW w:w="8505" w:type="dxa"/>
          </w:tcPr>
          <w:p w14:paraId="342E94C9" w14:textId="531A05A9" w:rsidR="007B57EE" w:rsidRDefault="00EB59FC" w:rsidP="00911F69">
            <w:pPr>
              <w:spacing w:before="120" w:after="120"/>
              <w:rPr>
                <w:rFonts w:ascii="Times New Roman" w:hAnsi="Times New Roman" w:cs="Times New Roman"/>
                <w:noProof/>
              </w:rPr>
            </w:pPr>
            <w:r>
              <w:rPr>
                <w:rFonts w:ascii="Times New Roman" w:hAnsi="Times New Roman"/>
                <w:noProof/>
              </w:rPr>
              <w:t>8.2. Sustiprinti nacionalinį integruoto išorės sienų valdymo (EISV) administravimą suburiant visas už grąžinimą atsakingas nacionalines institucijas į atitinkamą nacionalinį forumą ir paskirti specialius kontaktinius punktus grąžinimo klausimais, kad ES lygmens susitikimuose būtų galima atstovauti vienai bendrai nacionalinei pozicijai.</w:t>
            </w:r>
          </w:p>
        </w:tc>
        <w:tc>
          <w:tcPr>
            <w:tcW w:w="2169" w:type="dxa"/>
          </w:tcPr>
          <w:p w14:paraId="7A0EB669" w14:textId="4B897043" w:rsidR="007B57EE" w:rsidRPr="007B57EE" w:rsidRDefault="007B57EE">
            <w:pPr>
              <w:spacing w:before="120" w:after="120"/>
              <w:jc w:val="both"/>
              <w:rPr>
                <w:rFonts w:ascii="Times New Roman" w:hAnsi="Times New Roman" w:cs="Times New Roman"/>
                <w:noProof/>
              </w:rPr>
            </w:pPr>
            <w:r>
              <w:rPr>
                <w:rFonts w:ascii="Times New Roman" w:hAnsi="Times New Roman"/>
                <w:noProof/>
              </w:rPr>
              <w:t>Valstybės narės / Šengeno asocijuotosios šalys</w:t>
            </w:r>
          </w:p>
        </w:tc>
      </w:tr>
      <w:tr w:rsidR="00D61152" w:rsidRPr="004D2334" w14:paraId="50E4D6EA" w14:textId="77777777" w:rsidTr="009A4408">
        <w:tc>
          <w:tcPr>
            <w:tcW w:w="3397" w:type="dxa"/>
          </w:tcPr>
          <w:p w14:paraId="5970B7AF" w14:textId="34E4AD15" w:rsidR="00D61152" w:rsidRPr="00CB5994" w:rsidRDefault="101C489A" w:rsidP="00CB5994">
            <w:pPr>
              <w:pStyle w:val="ListParagraph"/>
              <w:numPr>
                <w:ilvl w:val="0"/>
                <w:numId w:val="2"/>
              </w:numPr>
              <w:spacing w:before="120" w:after="120"/>
              <w:rPr>
                <w:rFonts w:ascii="Times New Roman" w:hAnsi="Times New Roman" w:cs="Times New Roman"/>
                <w:noProof/>
              </w:rPr>
            </w:pPr>
            <w:r>
              <w:rPr>
                <w:rFonts w:ascii="Times New Roman" w:hAnsi="Times New Roman"/>
                <w:noProof/>
              </w:rPr>
              <w:t>Dėl skirtingo pagrindinių su grąžinimu susijusių sąvokų (pvz., savanoriško grįžimo, savanoriško išvykimo) supratimo nuomonės dėl FRONTEX paramos apimties skiriasi.</w:t>
            </w:r>
          </w:p>
        </w:tc>
        <w:tc>
          <w:tcPr>
            <w:tcW w:w="8505" w:type="dxa"/>
          </w:tcPr>
          <w:p w14:paraId="3DD02A0A" w14:textId="72557297" w:rsidR="005D1F5A" w:rsidRDefault="00CB5994" w:rsidP="00911F69">
            <w:pPr>
              <w:spacing w:before="120" w:after="120"/>
              <w:rPr>
                <w:rFonts w:ascii="Times New Roman" w:hAnsi="Times New Roman" w:cs="Times New Roman"/>
                <w:noProof/>
              </w:rPr>
            </w:pPr>
            <w:r>
              <w:rPr>
                <w:rFonts w:ascii="Times New Roman" w:hAnsi="Times New Roman"/>
                <w:noProof/>
              </w:rPr>
              <w:t>9.1. Aukšto lygio apskritojo stalo grupėje grąžinimo klausimais surengti specialias diskusijas dėl Agentūros paslaugų, kuriomis būtų remiamas grąžinimas, aprėpties, siekiant sumažinti skirtumus ir palengvinti Agentūros įgaliojimų vykdymą grąžinimo operacijų srityje.</w:t>
            </w:r>
          </w:p>
          <w:p w14:paraId="54438F9C" w14:textId="3E04AFBC" w:rsidR="00D61152" w:rsidRPr="00B01057" w:rsidRDefault="00D61152" w:rsidP="008F0249">
            <w:pPr>
              <w:spacing w:before="120" w:after="120"/>
              <w:jc w:val="both"/>
              <w:rPr>
                <w:rFonts w:ascii="Times New Roman" w:hAnsi="Times New Roman" w:cs="Times New Roman"/>
                <w:noProof/>
              </w:rPr>
            </w:pPr>
          </w:p>
        </w:tc>
        <w:tc>
          <w:tcPr>
            <w:tcW w:w="2169" w:type="dxa"/>
          </w:tcPr>
          <w:p w14:paraId="020D6744" w14:textId="002485F8" w:rsidR="007B57EE" w:rsidRDefault="00B01057" w:rsidP="00BC76C3">
            <w:pPr>
              <w:spacing w:before="120" w:after="120"/>
              <w:jc w:val="both"/>
              <w:rPr>
                <w:rFonts w:ascii="Times New Roman" w:hAnsi="Times New Roman" w:cs="Times New Roman"/>
                <w:noProof/>
              </w:rPr>
            </w:pPr>
            <w:r>
              <w:rPr>
                <w:rFonts w:ascii="Times New Roman" w:hAnsi="Times New Roman"/>
                <w:noProof/>
              </w:rPr>
              <w:t xml:space="preserve">FRONTEX </w:t>
            </w:r>
          </w:p>
          <w:p w14:paraId="0CC6156D" w14:textId="77777777" w:rsidR="007B57EE" w:rsidRDefault="007B57EE" w:rsidP="008F0249">
            <w:pPr>
              <w:spacing w:before="120" w:after="120"/>
              <w:jc w:val="both"/>
              <w:rPr>
                <w:rFonts w:ascii="Times New Roman" w:hAnsi="Times New Roman" w:cs="Times New Roman"/>
                <w:noProof/>
              </w:rPr>
            </w:pPr>
            <w:r>
              <w:rPr>
                <w:rFonts w:ascii="Times New Roman" w:hAnsi="Times New Roman"/>
                <w:noProof/>
              </w:rPr>
              <w:t xml:space="preserve">Europos Komisija </w:t>
            </w:r>
          </w:p>
          <w:p w14:paraId="16803E5B" w14:textId="7ADFAF4F" w:rsidR="00D61152" w:rsidRPr="00B01057" w:rsidRDefault="00B01057" w:rsidP="008F0249">
            <w:pPr>
              <w:spacing w:before="120" w:after="120"/>
              <w:jc w:val="both"/>
              <w:rPr>
                <w:rFonts w:ascii="Times New Roman" w:hAnsi="Times New Roman" w:cs="Times New Roman"/>
                <w:noProof/>
              </w:rPr>
            </w:pPr>
            <w:r>
              <w:rPr>
                <w:rFonts w:ascii="Times New Roman" w:hAnsi="Times New Roman"/>
                <w:noProof/>
              </w:rPr>
              <w:t>Valstybės narės / Šengeno asocijuotosios šalys</w:t>
            </w:r>
          </w:p>
        </w:tc>
      </w:tr>
      <w:tr w:rsidR="00286D9A" w:rsidRPr="004D2334" w14:paraId="16E2B221" w14:textId="77777777" w:rsidTr="009A4408">
        <w:trPr>
          <w:trHeight w:val="1271"/>
        </w:trPr>
        <w:tc>
          <w:tcPr>
            <w:tcW w:w="3397" w:type="dxa"/>
          </w:tcPr>
          <w:p w14:paraId="5E4E7D1D" w14:textId="56D76665" w:rsidR="00286D9A" w:rsidRPr="00CB5994" w:rsidRDefault="00286D9A" w:rsidP="00CB5994">
            <w:pPr>
              <w:pStyle w:val="ListParagraph"/>
              <w:numPr>
                <w:ilvl w:val="0"/>
                <w:numId w:val="2"/>
              </w:numPr>
              <w:spacing w:before="120" w:after="120"/>
              <w:rPr>
                <w:rFonts w:ascii="Times New Roman" w:hAnsi="Times New Roman" w:cs="Times New Roman"/>
                <w:noProof/>
              </w:rPr>
            </w:pPr>
            <w:r>
              <w:rPr>
                <w:rFonts w:ascii="Times New Roman" w:hAnsi="Times New Roman"/>
                <w:noProof/>
              </w:rPr>
              <w:t>Priverstinio grąžinimo stebėtojų rezervo nepakanka visoms atitinkamoms grąžinimo operacijoms stebėti.</w:t>
            </w:r>
          </w:p>
        </w:tc>
        <w:tc>
          <w:tcPr>
            <w:tcW w:w="8505" w:type="dxa"/>
          </w:tcPr>
          <w:p w14:paraId="0422BBAC" w14:textId="658D1E25" w:rsidR="00286D9A" w:rsidRDefault="00CB5994" w:rsidP="00911F69">
            <w:pPr>
              <w:spacing w:before="120" w:after="120"/>
              <w:rPr>
                <w:rFonts w:ascii="Times New Roman" w:hAnsi="Times New Roman" w:cs="Times New Roman"/>
                <w:noProof/>
              </w:rPr>
            </w:pPr>
            <w:r>
              <w:rPr>
                <w:rFonts w:ascii="Times New Roman" w:hAnsi="Times New Roman"/>
                <w:noProof/>
              </w:rPr>
              <w:t>10.1. Padidinti priverstinio grąžinimo stebėtojų rezervo dydį ir prieinamumą, kad būtų galima stebėti visas atitinkamas operacijas.</w:t>
            </w:r>
          </w:p>
        </w:tc>
        <w:tc>
          <w:tcPr>
            <w:tcW w:w="2169" w:type="dxa"/>
          </w:tcPr>
          <w:p w14:paraId="28718869" w14:textId="333DF04C" w:rsidR="00286D9A" w:rsidRDefault="00286D9A" w:rsidP="00B01057">
            <w:pPr>
              <w:spacing w:before="120" w:after="120"/>
              <w:jc w:val="both"/>
              <w:rPr>
                <w:rFonts w:ascii="Times New Roman" w:hAnsi="Times New Roman" w:cs="Times New Roman"/>
                <w:noProof/>
              </w:rPr>
            </w:pPr>
            <w:r>
              <w:rPr>
                <w:rFonts w:ascii="Times New Roman" w:hAnsi="Times New Roman"/>
                <w:noProof/>
              </w:rPr>
              <w:t>FRONTEX</w:t>
            </w:r>
          </w:p>
          <w:p w14:paraId="43866BCF" w14:textId="268ADEF7" w:rsidR="00286D9A" w:rsidRDefault="00286D9A" w:rsidP="004958A5">
            <w:pPr>
              <w:spacing w:before="120" w:after="120"/>
              <w:jc w:val="both"/>
              <w:rPr>
                <w:rFonts w:ascii="Times New Roman" w:hAnsi="Times New Roman" w:cs="Times New Roman"/>
                <w:noProof/>
              </w:rPr>
            </w:pPr>
            <w:r>
              <w:rPr>
                <w:rFonts w:ascii="Times New Roman" w:hAnsi="Times New Roman"/>
                <w:noProof/>
              </w:rPr>
              <w:t>Valstybės narės / Šengeno asocijuotosios šalys</w:t>
            </w:r>
          </w:p>
        </w:tc>
      </w:tr>
    </w:tbl>
    <w:p w14:paraId="7615AF23" w14:textId="77777777" w:rsidR="00D61152" w:rsidRPr="00B23B2A" w:rsidRDefault="00D61152" w:rsidP="004D2334">
      <w:pPr>
        <w:spacing w:before="120" w:after="120" w:line="240" w:lineRule="auto"/>
        <w:jc w:val="both"/>
        <w:rPr>
          <w:rFonts w:ascii="Times New Roman" w:hAnsi="Times New Roman" w:cs="Times New Roman"/>
          <w:noProof/>
        </w:rPr>
      </w:pPr>
    </w:p>
    <w:p w14:paraId="6127364C" w14:textId="7E7DAB9F" w:rsidR="00E40A1B" w:rsidRPr="00E40A1B" w:rsidRDefault="00E40A1B" w:rsidP="004D2334">
      <w:pPr>
        <w:spacing w:before="120" w:after="120" w:line="240" w:lineRule="auto"/>
        <w:jc w:val="both"/>
        <w:rPr>
          <w:rFonts w:ascii="Times New Roman" w:hAnsi="Times New Roman" w:cs="Times New Roman"/>
          <w:b/>
          <w:bCs/>
          <w:i/>
          <w:iCs/>
          <w:noProof/>
          <w:sz w:val="24"/>
          <w:szCs w:val="24"/>
        </w:rPr>
      </w:pPr>
      <w:r>
        <w:rPr>
          <w:rFonts w:ascii="Times New Roman" w:hAnsi="Times New Roman"/>
          <w:b/>
          <w:i/>
          <w:noProof/>
          <w:sz w:val="24"/>
        </w:rPr>
        <w:t>Informuotumas apie padėtį</w:t>
      </w:r>
    </w:p>
    <w:tbl>
      <w:tblPr>
        <w:tblStyle w:val="TableGrid"/>
        <w:tblW w:w="14071" w:type="dxa"/>
        <w:tblLook w:val="04A0" w:firstRow="1" w:lastRow="0" w:firstColumn="1" w:lastColumn="0" w:noHBand="0" w:noVBand="1"/>
      </w:tblPr>
      <w:tblGrid>
        <w:gridCol w:w="3397"/>
        <w:gridCol w:w="8505"/>
        <w:gridCol w:w="2169"/>
      </w:tblGrid>
      <w:tr w:rsidR="00D61152" w:rsidRPr="004D2334" w14:paraId="4D8C9B59" w14:textId="77777777" w:rsidTr="009A4408">
        <w:tc>
          <w:tcPr>
            <w:tcW w:w="3397" w:type="dxa"/>
          </w:tcPr>
          <w:p w14:paraId="32D38556" w14:textId="74297E30" w:rsidR="00D61152" w:rsidRPr="004D2334" w:rsidRDefault="007223B4" w:rsidP="008F0249">
            <w:pPr>
              <w:spacing w:before="120" w:after="120"/>
              <w:jc w:val="center"/>
              <w:rPr>
                <w:rFonts w:ascii="Times New Roman" w:hAnsi="Times New Roman" w:cs="Times New Roman"/>
                <w:b/>
                <w:bCs/>
                <w:noProof/>
              </w:rPr>
            </w:pPr>
            <w:r>
              <w:rPr>
                <w:rFonts w:ascii="Times New Roman" w:hAnsi="Times New Roman"/>
                <w:b/>
                <w:noProof/>
              </w:rPr>
              <w:t>Problema</w:t>
            </w:r>
          </w:p>
        </w:tc>
        <w:tc>
          <w:tcPr>
            <w:tcW w:w="8505" w:type="dxa"/>
          </w:tcPr>
          <w:p w14:paraId="77AEF786" w14:textId="4205900D" w:rsidR="00D61152" w:rsidRPr="004D2334" w:rsidRDefault="003B3CA9" w:rsidP="008F0249">
            <w:pPr>
              <w:spacing w:before="120" w:after="120"/>
              <w:jc w:val="center"/>
              <w:rPr>
                <w:rFonts w:ascii="Times New Roman" w:hAnsi="Times New Roman" w:cs="Times New Roman"/>
                <w:b/>
                <w:bCs/>
                <w:noProof/>
              </w:rPr>
            </w:pPr>
            <w:r>
              <w:rPr>
                <w:rFonts w:ascii="Times New Roman" w:hAnsi="Times New Roman"/>
                <w:b/>
                <w:noProof/>
              </w:rPr>
              <w:t>Veiksmai</w:t>
            </w:r>
          </w:p>
        </w:tc>
        <w:tc>
          <w:tcPr>
            <w:tcW w:w="2169" w:type="dxa"/>
          </w:tcPr>
          <w:p w14:paraId="0E5AD43B" w14:textId="77777777" w:rsidR="00D61152" w:rsidRPr="004D2334" w:rsidRDefault="00D61152" w:rsidP="008F0249">
            <w:pPr>
              <w:spacing w:before="120" w:after="120"/>
              <w:jc w:val="center"/>
              <w:rPr>
                <w:rFonts w:ascii="Times New Roman" w:hAnsi="Times New Roman" w:cs="Times New Roman"/>
                <w:b/>
                <w:bCs/>
                <w:noProof/>
              </w:rPr>
            </w:pPr>
            <w:r>
              <w:rPr>
                <w:rFonts w:ascii="Times New Roman" w:hAnsi="Times New Roman"/>
                <w:b/>
                <w:noProof/>
              </w:rPr>
              <w:t>Atsakingas subjektas</w:t>
            </w:r>
          </w:p>
        </w:tc>
      </w:tr>
      <w:tr w:rsidR="001F4E31" w:rsidRPr="004D2334" w14:paraId="2D2BFDB8" w14:textId="77777777" w:rsidTr="009A4408">
        <w:tc>
          <w:tcPr>
            <w:tcW w:w="3397" w:type="dxa"/>
          </w:tcPr>
          <w:p w14:paraId="26307CDA" w14:textId="7745E9A7" w:rsidR="001F4E31" w:rsidRPr="00CB5994" w:rsidRDefault="001F4E31" w:rsidP="00CB5994">
            <w:pPr>
              <w:pStyle w:val="ListParagraph"/>
              <w:numPr>
                <w:ilvl w:val="0"/>
                <w:numId w:val="2"/>
              </w:numPr>
              <w:spacing w:before="120" w:after="120"/>
              <w:rPr>
                <w:rFonts w:ascii="Times New Roman" w:hAnsi="Times New Roman" w:cs="Times New Roman"/>
                <w:noProof/>
              </w:rPr>
            </w:pPr>
            <w:r>
              <w:rPr>
                <w:rFonts w:ascii="Times New Roman" w:hAnsi="Times New Roman"/>
                <w:noProof/>
              </w:rPr>
              <w:t>EUROSUR teikiama padėties prie ES išorės sienų vaizdo sistema nėra visiškai tiksli, visapusiška ir atnaujinama. Taip yra iš dalies dėl skirtingo nacionalinių institucijų bendradarbiavimo, ataskaitų teikimo praktikos ir naujų pajėgumų integravimo lygio.</w:t>
            </w:r>
          </w:p>
        </w:tc>
        <w:tc>
          <w:tcPr>
            <w:tcW w:w="8505" w:type="dxa"/>
          </w:tcPr>
          <w:p w14:paraId="45984AA1" w14:textId="20800630" w:rsidR="001F4E31" w:rsidRDefault="007A54AB" w:rsidP="008F0249">
            <w:pPr>
              <w:spacing w:before="120" w:after="120"/>
              <w:rPr>
                <w:rFonts w:ascii="Times New Roman" w:hAnsi="Times New Roman" w:cs="Times New Roman"/>
                <w:noProof/>
              </w:rPr>
            </w:pPr>
            <w:r>
              <w:rPr>
                <w:rFonts w:ascii="Times New Roman" w:hAnsi="Times New Roman"/>
                <w:noProof/>
              </w:rPr>
              <w:t>11.1. Suderinti informacijos ir kokybės reikalavimus ir stebėti, kaip jų laikomasi, siekiant užtikrinti, kad nacionalinės institucijos pateiktų išsamią ir palyginamą informaciją apie savo išorės sienų ruožus.</w:t>
            </w:r>
          </w:p>
          <w:p w14:paraId="1768F3EE" w14:textId="77777777" w:rsidR="001F4E31" w:rsidRPr="00B23B2A" w:rsidRDefault="001F4E31" w:rsidP="008F0249">
            <w:pPr>
              <w:spacing w:before="120" w:after="120"/>
              <w:rPr>
                <w:rFonts w:ascii="Times New Roman" w:hAnsi="Times New Roman" w:cs="Times New Roman"/>
                <w:noProof/>
              </w:rPr>
            </w:pPr>
          </w:p>
          <w:p w14:paraId="03190FD0" w14:textId="2758D04A" w:rsidR="001F4E31" w:rsidRPr="00B23B2A" w:rsidRDefault="001F4E31" w:rsidP="008F0249">
            <w:pPr>
              <w:spacing w:before="120" w:after="120"/>
              <w:rPr>
                <w:rFonts w:ascii="Times New Roman" w:hAnsi="Times New Roman" w:cs="Times New Roman"/>
                <w:noProof/>
              </w:rPr>
            </w:pPr>
          </w:p>
        </w:tc>
        <w:tc>
          <w:tcPr>
            <w:tcW w:w="2169" w:type="dxa"/>
          </w:tcPr>
          <w:p w14:paraId="6D89D5AD" w14:textId="77777777" w:rsidR="001F4E31" w:rsidRDefault="001F4E31" w:rsidP="008F0249">
            <w:pPr>
              <w:spacing w:before="120" w:after="120"/>
              <w:jc w:val="both"/>
              <w:rPr>
                <w:rFonts w:ascii="Times New Roman" w:hAnsi="Times New Roman" w:cs="Times New Roman"/>
                <w:noProof/>
              </w:rPr>
            </w:pPr>
            <w:r>
              <w:rPr>
                <w:rFonts w:ascii="Times New Roman" w:hAnsi="Times New Roman"/>
                <w:noProof/>
              </w:rPr>
              <w:t>FRONTEX</w:t>
            </w:r>
          </w:p>
          <w:p w14:paraId="429586B9" w14:textId="77777777" w:rsidR="001F4E31" w:rsidRDefault="001F4E31" w:rsidP="008F0249">
            <w:pPr>
              <w:spacing w:before="120" w:after="120"/>
              <w:jc w:val="both"/>
              <w:rPr>
                <w:rFonts w:ascii="Times New Roman" w:hAnsi="Times New Roman" w:cs="Times New Roman"/>
                <w:noProof/>
              </w:rPr>
            </w:pPr>
            <w:r>
              <w:rPr>
                <w:rFonts w:ascii="Times New Roman" w:hAnsi="Times New Roman"/>
                <w:noProof/>
              </w:rPr>
              <w:t>Valstybės narės / Šengeno asocijuotosios šalys</w:t>
            </w:r>
          </w:p>
          <w:p w14:paraId="09E228A2" w14:textId="77777777" w:rsidR="001F4E31" w:rsidRPr="00B23B2A" w:rsidRDefault="001F4E31" w:rsidP="008F0249">
            <w:pPr>
              <w:spacing w:before="120" w:after="120"/>
              <w:jc w:val="both"/>
              <w:rPr>
                <w:rFonts w:ascii="Times New Roman" w:hAnsi="Times New Roman" w:cs="Times New Roman"/>
                <w:noProof/>
              </w:rPr>
            </w:pPr>
          </w:p>
          <w:p w14:paraId="1F1CC12F" w14:textId="426C9543" w:rsidR="001F4E31" w:rsidRPr="00B23B2A" w:rsidRDefault="001F4E31" w:rsidP="008F0249">
            <w:pPr>
              <w:spacing w:before="120" w:after="120"/>
              <w:jc w:val="both"/>
              <w:rPr>
                <w:rFonts w:ascii="Times New Roman" w:hAnsi="Times New Roman" w:cs="Times New Roman"/>
                <w:noProof/>
              </w:rPr>
            </w:pPr>
          </w:p>
        </w:tc>
      </w:tr>
      <w:tr w:rsidR="001F4E44" w:rsidRPr="004D2334" w14:paraId="6517E812" w14:textId="77777777" w:rsidTr="009A4408">
        <w:tc>
          <w:tcPr>
            <w:tcW w:w="3397" w:type="dxa"/>
            <w:vMerge w:val="restart"/>
          </w:tcPr>
          <w:p w14:paraId="0BB146ED" w14:textId="7DD2C9C3" w:rsidR="001F4E44" w:rsidRPr="007A54AB" w:rsidRDefault="001F4E44" w:rsidP="007A54AB">
            <w:pPr>
              <w:pStyle w:val="ListParagraph"/>
              <w:numPr>
                <w:ilvl w:val="0"/>
                <w:numId w:val="2"/>
              </w:numPr>
              <w:spacing w:before="120" w:after="120"/>
              <w:rPr>
                <w:rFonts w:ascii="Times New Roman" w:hAnsi="Times New Roman" w:cs="Times New Roman"/>
                <w:noProof/>
              </w:rPr>
            </w:pPr>
            <w:r>
              <w:rPr>
                <w:rFonts w:ascii="Times New Roman" w:hAnsi="Times New Roman"/>
                <w:noProof/>
              </w:rPr>
              <w:t>EUROSUR ryšių tinklo modernizavimo iki slaptumo žymos CONFIDENTIEL UE/EU CONFIDENTIAL laipsnio, kaip numatyta EBCG reglamente, didelės sąnaudos ir ribota pridėtinė vertė.</w:t>
            </w:r>
          </w:p>
        </w:tc>
        <w:tc>
          <w:tcPr>
            <w:tcW w:w="8505" w:type="dxa"/>
          </w:tcPr>
          <w:p w14:paraId="2AFAA5BA" w14:textId="2429FA17" w:rsidR="001F4E44" w:rsidRPr="004D2334" w:rsidRDefault="007A54AB" w:rsidP="001F4E44">
            <w:pPr>
              <w:spacing w:before="120" w:after="120"/>
              <w:rPr>
                <w:rFonts w:ascii="Times New Roman" w:hAnsi="Times New Roman" w:cs="Times New Roman"/>
                <w:noProof/>
              </w:rPr>
            </w:pPr>
            <w:r>
              <w:rPr>
                <w:rFonts w:ascii="Times New Roman" w:hAnsi="Times New Roman"/>
                <w:noProof/>
              </w:rPr>
              <w:t>12.1. Nurodyti faktinius poreikius, susijusius su informacijos, kuria turi būti keičiamasi, rūšimi ir mastu, siekiant modernizuoti keitimąsi informacija EUROSUR ir kitose ES keitimosi įslaptinta informacija sistemose iki slaptumo žymos CONFIDENTIEL UE/EU CONFIDENTIAL laipsnio.</w:t>
            </w:r>
          </w:p>
        </w:tc>
        <w:tc>
          <w:tcPr>
            <w:tcW w:w="2169" w:type="dxa"/>
          </w:tcPr>
          <w:p w14:paraId="36B1F5A9" w14:textId="77777777" w:rsidR="001F4E44" w:rsidRDefault="001F4E44" w:rsidP="008F0249">
            <w:pPr>
              <w:spacing w:before="120" w:after="120"/>
              <w:jc w:val="both"/>
              <w:rPr>
                <w:rFonts w:ascii="Times New Roman" w:hAnsi="Times New Roman" w:cs="Times New Roman"/>
                <w:noProof/>
              </w:rPr>
            </w:pPr>
            <w:r>
              <w:rPr>
                <w:rFonts w:ascii="Times New Roman" w:hAnsi="Times New Roman"/>
                <w:noProof/>
              </w:rPr>
              <w:t xml:space="preserve">FRONTEX </w:t>
            </w:r>
          </w:p>
          <w:p w14:paraId="6CB489D0" w14:textId="39100753" w:rsidR="001F4E44" w:rsidRPr="004D2334" w:rsidRDefault="001F4E44" w:rsidP="008F0249">
            <w:pPr>
              <w:spacing w:before="120" w:after="120"/>
              <w:jc w:val="both"/>
              <w:rPr>
                <w:rFonts w:ascii="Times New Roman" w:hAnsi="Times New Roman" w:cs="Times New Roman"/>
                <w:noProof/>
              </w:rPr>
            </w:pPr>
            <w:r>
              <w:rPr>
                <w:rFonts w:ascii="Times New Roman" w:hAnsi="Times New Roman"/>
                <w:noProof/>
              </w:rPr>
              <w:t>Valstybės narės / Šengeno asocijuotosios šalys</w:t>
            </w:r>
          </w:p>
        </w:tc>
      </w:tr>
      <w:tr w:rsidR="001F4E44" w:rsidRPr="004D2334" w14:paraId="68014EDE" w14:textId="77777777" w:rsidTr="009A4408">
        <w:tc>
          <w:tcPr>
            <w:tcW w:w="3397" w:type="dxa"/>
            <w:vMerge/>
          </w:tcPr>
          <w:p w14:paraId="47BB0733" w14:textId="77777777" w:rsidR="001F4E44" w:rsidRPr="00B23B2A" w:rsidRDefault="001F4E44" w:rsidP="007A1491">
            <w:pPr>
              <w:spacing w:before="120" w:after="120"/>
              <w:rPr>
                <w:rFonts w:ascii="Times New Roman" w:hAnsi="Times New Roman" w:cs="Times New Roman"/>
                <w:noProof/>
              </w:rPr>
            </w:pPr>
          </w:p>
        </w:tc>
        <w:tc>
          <w:tcPr>
            <w:tcW w:w="8505" w:type="dxa"/>
          </w:tcPr>
          <w:p w14:paraId="6D1017AD" w14:textId="71575EB8" w:rsidR="001F4E44" w:rsidRDefault="007A54AB" w:rsidP="001F4E44">
            <w:pPr>
              <w:spacing w:before="120" w:after="120"/>
              <w:rPr>
                <w:rFonts w:ascii="Times New Roman" w:hAnsi="Times New Roman" w:cs="Times New Roman"/>
                <w:noProof/>
              </w:rPr>
            </w:pPr>
            <w:r>
              <w:rPr>
                <w:rFonts w:ascii="Times New Roman" w:hAnsi="Times New Roman"/>
                <w:noProof/>
              </w:rPr>
              <w:t>12.2. Parengti tokius sprendimus ir įgyvendinti tokias veiksmų gaires, kad su mažesnėmis finansinėmis investicijomis ir logistinėmis sąnaudomis būtų sudaromos sąlygos keistis slaptumo žyma CONFIDENTIEL UE/EU CONFIDENTIAL pažymėta informacija.</w:t>
            </w:r>
          </w:p>
        </w:tc>
        <w:tc>
          <w:tcPr>
            <w:tcW w:w="2169" w:type="dxa"/>
          </w:tcPr>
          <w:p w14:paraId="1D69341F" w14:textId="3D1BE6E6" w:rsidR="001F4E44" w:rsidRDefault="001F4E44" w:rsidP="008F0249">
            <w:pPr>
              <w:spacing w:before="120" w:after="120"/>
              <w:jc w:val="both"/>
              <w:rPr>
                <w:rFonts w:ascii="Times New Roman" w:hAnsi="Times New Roman" w:cs="Times New Roman"/>
                <w:noProof/>
              </w:rPr>
            </w:pPr>
            <w:r>
              <w:rPr>
                <w:rFonts w:ascii="Times New Roman" w:hAnsi="Times New Roman"/>
                <w:noProof/>
              </w:rPr>
              <w:t>FRONTEX</w:t>
            </w:r>
          </w:p>
        </w:tc>
      </w:tr>
      <w:tr w:rsidR="007225A6" w:rsidRPr="004D2334" w14:paraId="27A9741D" w14:textId="77777777" w:rsidTr="007225A6">
        <w:trPr>
          <w:trHeight w:val="810"/>
        </w:trPr>
        <w:tc>
          <w:tcPr>
            <w:tcW w:w="3397" w:type="dxa"/>
            <w:vMerge w:val="restart"/>
          </w:tcPr>
          <w:p w14:paraId="612EEFF3" w14:textId="69A73BFF" w:rsidR="007225A6" w:rsidRPr="0095702A" w:rsidRDefault="007225A6" w:rsidP="0095702A">
            <w:pPr>
              <w:pStyle w:val="ListParagraph"/>
              <w:numPr>
                <w:ilvl w:val="0"/>
                <w:numId w:val="2"/>
              </w:numPr>
              <w:spacing w:before="120" w:after="120"/>
              <w:jc w:val="both"/>
              <w:rPr>
                <w:rFonts w:ascii="Times New Roman" w:hAnsi="Times New Roman" w:cs="Times New Roman"/>
                <w:noProof/>
              </w:rPr>
            </w:pPr>
            <w:r>
              <w:rPr>
                <w:rFonts w:ascii="Times New Roman" w:hAnsi="Times New Roman"/>
                <w:noProof/>
              </w:rPr>
              <w:t>Rizikos analizė neapima grąžinimo ir informacijos apie trečiąsias šalis, nors tai yra pagrindiniai EISV komponentai.</w:t>
            </w:r>
          </w:p>
        </w:tc>
        <w:tc>
          <w:tcPr>
            <w:tcW w:w="8505" w:type="dxa"/>
          </w:tcPr>
          <w:p w14:paraId="7F875BA7" w14:textId="6A7A1C94" w:rsidR="007225A6" w:rsidRDefault="007225A6" w:rsidP="003C4D56">
            <w:pPr>
              <w:spacing w:before="120" w:after="120"/>
              <w:rPr>
                <w:rFonts w:ascii="Times New Roman" w:hAnsi="Times New Roman" w:cs="Times New Roman"/>
                <w:noProof/>
              </w:rPr>
            </w:pPr>
            <w:r>
              <w:rPr>
                <w:rFonts w:ascii="Times New Roman" w:hAnsi="Times New Roman"/>
                <w:noProof/>
              </w:rPr>
              <w:t>13.1. Parengti rodiklius ir nustatyti duomenų poreikius, kad Agentūra galėtų atlikti grąžinimo ir migracijos srautų iš trečiųjų šalių rizikos analizę.</w:t>
            </w:r>
          </w:p>
          <w:p w14:paraId="60B82F51" w14:textId="2EBEE361" w:rsidR="007225A6" w:rsidRPr="00B23B2A" w:rsidRDefault="007225A6" w:rsidP="003C4D56">
            <w:pPr>
              <w:spacing w:before="120" w:after="120"/>
              <w:rPr>
                <w:rFonts w:ascii="Times New Roman" w:hAnsi="Times New Roman" w:cs="Times New Roman"/>
                <w:noProof/>
              </w:rPr>
            </w:pPr>
          </w:p>
        </w:tc>
        <w:tc>
          <w:tcPr>
            <w:tcW w:w="2169" w:type="dxa"/>
          </w:tcPr>
          <w:p w14:paraId="7C359A9C" w14:textId="77777777" w:rsidR="007225A6" w:rsidRDefault="007225A6" w:rsidP="00045CE2">
            <w:pPr>
              <w:spacing w:before="120" w:after="120"/>
              <w:jc w:val="both"/>
              <w:rPr>
                <w:rFonts w:ascii="Times New Roman" w:hAnsi="Times New Roman" w:cs="Times New Roman"/>
                <w:noProof/>
              </w:rPr>
            </w:pPr>
            <w:r>
              <w:rPr>
                <w:rFonts w:ascii="Times New Roman" w:hAnsi="Times New Roman"/>
                <w:noProof/>
              </w:rPr>
              <w:t>FRONTEX</w:t>
            </w:r>
          </w:p>
          <w:p w14:paraId="14FC21CD" w14:textId="2F794D55" w:rsidR="007225A6" w:rsidRPr="004D2334" w:rsidRDefault="007225A6" w:rsidP="00045CE2">
            <w:pPr>
              <w:spacing w:before="120" w:after="120"/>
              <w:jc w:val="both"/>
              <w:rPr>
                <w:rFonts w:ascii="Times New Roman" w:hAnsi="Times New Roman" w:cs="Times New Roman"/>
                <w:noProof/>
              </w:rPr>
            </w:pPr>
            <w:r>
              <w:rPr>
                <w:rFonts w:ascii="Times New Roman" w:hAnsi="Times New Roman"/>
                <w:noProof/>
              </w:rPr>
              <w:t>Valstybės narės / Šengeno asocijuotosios šalys</w:t>
            </w:r>
          </w:p>
        </w:tc>
      </w:tr>
      <w:tr w:rsidR="007225A6" w:rsidRPr="004D2334" w14:paraId="0193B7E5" w14:textId="77777777" w:rsidTr="009A4408">
        <w:trPr>
          <w:trHeight w:val="810"/>
        </w:trPr>
        <w:tc>
          <w:tcPr>
            <w:tcW w:w="3397" w:type="dxa"/>
            <w:vMerge/>
          </w:tcPr>
          <w:p w14:paraId="094A36C5" w14:textId="77777777" w:rsidR="007225A6" w:rsidRPr="00B23B2A" w:rsidRDefault="007225A6" w:rsidP="0095702A">
            <w:pPr>
              <w:pStyle w:val="ListParagraph"/>
              <w:numPr>
                <w:ilvl w:val="0"/>
                <w:numId w:val="2"/>
              </w:numPr>
              <w:spacing w:before="120" w:after="120"/>
              <w:jc w:val="both"/>
              <w:rPr>
                <w:rFonts w:ascii="Times New Roman" w:hAnsi="Times New Roman" w:cs="Times New Roman"/>
                <w:noProof/>
              </w:rPr>
            </w:pPr>
          </w:p>
        </w:tc>
        <w:tc>
          <w:tcPr>
            <w:tcW w:w="8505" w:type="dxa"/>
          </w:tcPr>
          <w:p w14:paraId="7F23E8A6" w14:textId="5BB576A0" w:rsidR="007225A6" w:rsidRDefault="007225A6" w:rsidP="003C4D56">
            <w:pPr>
              <w:spacing w:before="120" w:after="120"/>
              <w:rPr>
                <w:rFonts w:ascii="Times New Roman" w:hAnsi="Times New Roman" w:cs="Times New Roman"/>
                <w:noProof/>
              </w:rPr>
            </w:pPr>
            <w:r>
              <w:rPr>
                <w:rFonts w:ascii="Times New Roman" w:hAnsi="Times New Roman"/>
                <w:noProof/>
              </w:rPr>
              <w:t>13.2. Reguliariai stebėti FRONTEX turimos informacijos apie grąžinimą ir migracijos srautus iš trečiųjų šalių suderinamumą su oficialia Europos statistika. Bendradarbiauti su valstybėmis narėmis ir Europos Komisija (Eurostatu) siekiant pagerinti duomenų suderinamumą tais atvejais, kai esama skirtumų.</w:t>
            </w:r>
          </w:p>
        </w:tc>
        <w:tc>
          <w:tcPr>
            <w:tcW w:w="2169" w:type="dxa"/>
          </w:tcPr>
          <w:p w14:paraId="2822C324" w14:textId="2A08C153" w:rsidR="007225A6" w:rsidRDefault="007225A6" w:rsidP="00045CE2">
            <w:pPr>
              <w:spacing w:before="120" w:after="120"/>
              <w:jc w:val="both"/>
              <w:rPr>
                <w:rFonts w:ascii="Times New Roman" w:hAnsi="Times New Roman" w:cs="Times New Roman"/>
                <w:noProof/>
              </w:rPr>
            </w:pPr>
            <w:r>
              <w:rPr>
                <w:rFonts w:ascii="Times New Roman" w:hAnsi="Times New Roman"/>
                <w:noProof/>
              </w:rPr>
              <w:t>FRONTEX</w:t>
            </w:r>
          </w:p>
          <w:p w14:paraId="4F57C6E5" w14:textId="10438BA3" w:rsidR="007225A6" w:rsidRDefault="007225A6" w:rsidP="00045CE2">
            <w:pPr>
              <w:spacing w:before="120" w:after="120"/>
              <w:jc w:val="both"/>
              <w:rPr>
                <w:rFonts w:ascii="Times New Roman" w:hAnsi="Times New Roman" w:cs="Times New Roman"/>
                <w:noProof/>
              </w:rPr>
            </w:pPr>
            <w:r>
              <w:rPr>
                <w:rFonts w:ascii="Times New Roman" w:hAnsi="Times New Roman"/>
                <w:noProof/>
              </w:rPr>
              <w:t>Valstybės narės / Šengeno asocijuotosios šalys</w:t>
            </w:r>
          </w:p>
          <w:p w14:paraId="1FA11447" w14:textId="269B795C" w:rsidR="007225A6" w:rsidRDefault="005E7D8E" w:rsidP="00045CE2">
            <w:pPr>
              <w:spacing w:before="120" w:after="120"/>
              <w:jc w:val="both"/>
              <w:rPr>
                <w:rFonts w:ascii="Times New Roman" w:hAnsi="Times New Roman" w:cs="Times New Roman"/>
                <w:noProof/>
              </w:rPr>
            </w:pPr>
            <w:r>
              <w:rPr>
                <w:rFonts w:ascii="Times New Roman" w:hAnsi="Times New Roman"/>
                <w:noProof/>
              </w:rPr>
              <w:t>Europos Komisija</w:t>
            </w:r>
          </w:p>
        </w:tc>
      </w:tr>
      <w:tr w:rsidR="00211786" w:rsidRPr="004D2334" w14:paraId="1058E2EC" w14:textId="77777777" w:rsidTr="009A4408">
        <w:tc>
          <w:tcPr>
            <w:tcW w:w="3397" w:type="dxa"/>
          </w:tcPr>
          <w:p w14:paraId="10C634AD" w14:textId="5ADA6F2E" w:rsidR="00211786" w:rsidRPr="000F281F" w:rsidRDefault="00046285" w:rsidP="000F281F">
            <w:pPr>
              <w:pStyle w:val="ListParagraph"/>
              <w:numPr>
                <w:ilvl w:val="0"/>
                <w:numId w:val="2"/>
              </w:numPr>
              <w:spacing w:before="120" w:after="120"/>
              <w:rPr>
                <w:rFonts w:ascii="Times New Roman" w:hAnsi="Times New Roman" w:cs="Times New Roman"/>
                <w:noProof/>
              </w:rPr>
            </w:pPr>
            <w:r>
              <w:rPr>
                <w:rFonts w:ascii="Times New Roman" w:hAnsi="Times New Roman"/>
                <w:noProof/>
              </w:rPr>
              <w:t>Pažeidžiamumo vertinimo duomenys nėra visapusiškai naudojami rizikos analizės produktuose, nepaisant to, kad jie yra pagrindinės priemonės galimam pažeidžiamumui prie ES išorės sienų nustatyti, todėl mažėja rizikos analizės tikslumas.</w:t>
            </w:r>
          </w:p>
        </w:tc>
        <w:tc>
          <w:tcPr>
            <w:tcW w:w="8505" w:type="dxa"/>
          </w:tcPr>
          <w:p w14:paraId="1EDF8886" w14:textId="4FB5847F" w:rsidR="00211786" w:rsidRDefault="000F281F" w:rsidP="00211786">
            <w:pPr>
              <w:spacing w:before="120" w:after="120"/>
              <w:rPr>
                <w:rFonts w:ascii="Times New Roman" w:hAnsi="Times New Roman" w:cs="Times New Roman"/>
                <w:noProof/>
              </w:rPr>
            </w:pPr>
            <w:r>
              <w:rPr>
                <w:rFonts w:ascii="Times New Roman" w:hAnsi="Times New Roman"/>
                <w:noProof/>
              </w:rPr>
              <w:t>14.1. Peržiūrėti ir pašalinti kliūtis, trukdančias naudoti pažeidžiamumo vertinimo duomenis atliekant rizikos analizę, be kita ko, peržiūrėti atitinkamas metodikas ir konfidencialumo reikalavimus.</w:t>
            </w:r>
          </w:p>
        </w:tc>
        <w:tc>
          <w:tcPr>
            <w:tcW w:w="2169" w:type="dxa"/>
          </w:tcPr>
          <w:p w14:paraId="4C893000" w14:textId="77777777" w:rsidR="00211786" w:rsidRDefault="00211786" w:rsidP="00211786">
            <w:pPr>
              <w:spacing w:before="120" w:after="120"/>
              <w:jc w:val="both"/>
              <w:rPr>
                <w:rFonts w:ascii="Times New Roman" w:hAnsi="Times New Roman" w:cs="Times New Roman"/>
                <w:noProof/>
              </w:rPr>
            </w:pPr>
            <w:r>
              <w:rPr>
                <w:rFonts w:ascii="Times New Roman" w:hAnsi="Times New Roman"/>
                <w:noProof/>
              </w:rPr>
              <w:t>FRONTEX</w:t>
            </w:r>
          </w:p>
          <w:p w14:paraId="00852E96" w14:textId="46033CCD" w:rsidR="00211786" w:rsidRDefault="00211786" w:rsidP="00211786">
            <w:pPr>
              <w:spacing w:before="120" w:after="120"/>
              <w:jc w:val="both"/>
              <w:rPr>
                <w:rFonts w:ascii="Times New Roman" w:hAnsi="Times New Roman" w:cs="Times New Roman"/>
                <w:noProof/>
              </w:rPr>
            </w:pPr>
            <w:r>
              <w:rPr>
                <w:rFonts w:ascii="Times New Roman" w:hAnsi="Times New Roman"/>
                <w:noProof/>
              </w:rPr>
              <w:t>Valstybės narės / Šengeno asocijuotosios šalys</w:t>
            </w:r>
          </w:p>
        </w:tc>
      </w:tr>
      <w:tr w:rsidR="004B2780" w:rsidRPr="004D2334" w14:paraId="6C88260C" w14:textId="77777777" w:rsidTr="009A4408">
        <w:tc>
          <w:tcPr>
            <w:tcW w:w="3397" w:type="dxa"/>
          </w:tcPr>
          <w:p w14:paraId="32B18F00" w14:textId="3D388ED6" w:rsidR="004B2780" w:rsidRPr="000F281F" w:rsidRDefault="00E30EB8" w:rsidP="000F281F">
            <w:pPr>
              <w:pStyle w:val="ListParagraph"/>
              <w:numPr>
                <w:ilvl w:val="0"/>
                <w:numId w:val="2"/>
              </w:numPr>
              <w:spacing w:before="120" w:after="120"/>
              <w:rPr>
                <w:rFonts w:ascii="Times New Roman" w:hAnsi="Times New Roman" w:cs="Times New Roman"/>
                <w:noProof/>
              </w:rPr>
            </w:pPr>
            <w:r>
              <w:rPr>
                <w:rFonts w:ascii="Times New Roman" w:hAnsi="Times New Roman"/>
                <w:noProof/>
              </w:rPr>
              <w:t>Mechanizmas, kuriuo užtikrinamas vykdomojo direktoriaus rekomendacijų valstybėms narėms vykdymas remiantis pažeidžiamumo vertinimais, nėra visapusiškai išnaudojamas, nors tos rekomendacijos susijusios su dideliu pažeidžiamumu prie išorės sienų, keliančiu riziką EISV.</w:t>
            </w:r>
          </w:p>
        </w:tc>
        <w:tc>
          <w:tcPr>
            <w:tcW w:w="8505" w:type="dxa"/>
          </w:tcPr>
          <w:p w14:paraId="60C7BB74" w14:textId="01A8D455" w:rsidR="004B2780" w:rsidRDefault="000F281F" w:rsidP="00211786">
            <w:pPr>
              <w:spacing w:before="120" w:after="120"/>
              <w:rPr>
                <w:rFonts w:ascii="Times New Roman" w:hAnsi="Times New Roman" w:cs="Times New Roman"/>
                <w:noProof/>
              </w:rPr>
            </w:pPr>
            <w:r>
              <w:rPr>
                <w:rFonts w:ascii="Times New Roman" w:hAnsi="Times New Roman"/>
                <w:noProof/>
              </w:rPr>
              <w:t>15.1. Greičiau priimti sprendimus dėl vykdomojo direktoriaus rekomendacijų valstybėms narėms, kad būtų galima veiksmingiau pašalinti pažeidžiamumą prie ES išorės sienų.</w:t>
            </w:r>
          </w:p>
        </w:tc>
        <w:tc>
          <w:tcPr>
            <w:tcW w:w="2169" w:type="dxa"/>
          </w:tcPr>
          <w:p w14:paraId="6A10959B" w14:textId="77777777" w:rsidR="00EF6A48" w:rsidRDefault="00EF6A48" w:rsidP="00211786">
            <w:pPr>
              <w:spacing w:before="120" w:after="120"/>
              <w:jc w:val="both"/>
              <w:rPr>
                <w:rFonts w:ascii="Times New Roman" w:hAnsi="Times New Roman" w:cs="Times New Roman"/>
                <w:noProof/>
              </w:rPr>
            </w:pPr>
            <w:r>
              <w:rPr>
                <w:rFonts w:ascii="Times New Roman" w:hAnsi="Times New Roman"/>
                <w:noProof/>
              </w:rPr>
              <w:t>Valdančioji taryba</w:t>
            </w:r>
          </w:p>
          <w:p w14:paraId="696F43C7" w14:textId="2CBBDFE3" w:rsidR="00843645" w:rsidRDefault="00843645" w:rsidP="00211786">
            <w:pPr>
              <w:spacing w:before="120" w:after="120"/>
              <w:jc w:val="both"/>
              <w:rPr>
                <w:rFonts w:ascii="Times New Roman" w:hAnsi="Times New Roman" w:cs="Times New Roman"/>
                <w:noProof/>
                <w:lang w:val="en-IE"/>
              </w:rPr>
            </w:pPr>
          </w:p>
        </w:tc>
      </w:tr>
    </w:tbl>
    <w:p w14:paraId="30E8101C" w14:textId="77777777" w:rsidR="00C341DC" w:rsidRDefault="00C341DC" w:rsidP="00C341DC">
      <w:pPr>
        <w:jc w:val="both"/>
        <w:rPr>
          <w:rFonts w:ascii="Times New Roman" w:hAnsi="Times New Roman" w:cs="Times New Roman"/>
          <w:b/>
          <w:bCs/>
          <w:i/>
          <w:iCs/>
          <w:noProof/>
          <w:sz w:val="24"/>
          <w:szCs w:val="24"/>
          <w:lang w:val="en-IE"/>
        </w:rPr>
      </w:pPr>
    </w:p>
    <w:p w14:paraId="19C72963" w14:textId="2B1A7430" w:rsidR="00C341DC" w:rsidRDefault="00C341DC" w:rsidP="00C341DC">
      <w:pPr>
        <w:jc w:val="both"/>
        <w:rPr>
          <w:rFonts w:ascii="Times New Roman" w:hAnsi="Times New Roman" w:cs="Times New Roman"/>
          <w:b/>
          <w:bCs/>
          <w:i/>
          <w:iCs/>
          <w:noProof/>
          <w:sz w:val="24"/>
          <w:szCs w:val="24"/>
        </w:rPr>
      </w:pPr>
      <w:r>
        <w:rPr>
          <w:rFonts w:ascii="Times New Roman" w:hAnsi="Times New Roman"/>
          <w:b/>
          <w:i/>
          <w:noProof/>
          <w:sz w:val="24"/>
        </w:rPr>
        <w:t>Europos integruotas sienų valdymas</w:t>
      </w:r>
    </w:p>
    <w:tbl>
      <w:tblPr>
        <w:tblStyle w:val="TableGrid"/>
        <w:tblW w:w="14071" w:type="dxa"/>
        <w:tblLook w:val="04A0" w:firstRow="1" w:lastRow="0" w:firstColumn="1" w:lastColumn="0" w:noHBand="0" w:noVBand="1"/>
      </w:tblPr>
      <w:tblGrid>
        <w:gridCol w:w="3397"/>
        <w:gridCol w:w="8505"/>
        <w:gridCol w:w="2169"/>
      </w:tblGrid>
      <w:tr w:rsidR="00C341DC" w:rsidRPr="004D2334" w14:paraId="5E94D527" w14:textId="77777777" w:rsidTr="4DD0DB96">
        <w:tc>
          <w:tcPr>
            <w:tcW w:w="3397" w:type="dxa"/>
          </w:tcPr>
          <w:p w14:paraId="088B77CF" w14:textId="486593CD" w:rsidR="00C341DC" w:rsidRPr="004D2334" w:rsidRDefault="00961D0F" w:rsidP="008F0249">
            <w:pPr>
              <w:spacing w:before="120" w:after="120"/>
              <w:jc w:val="center"/>
              <w:rPr>
                <w:rFonts w:ascii="Times New Roman" w:hAnsi="Times New Roman" w:cs="Times New Roman"/>
                <w:b/>
                <w:bCs/>
                <w:noProof/>
              </w:rPr>
            </w:pPr>
            <w:r>
              <w:rPr>
                <w:rFonts w:ascii="Times New Roman" w:hAnsi="Times New Roman"/>
                <w:b/>
                <w:noProof/>
              </w:rPr>
              <w:t>Problema</w:t>
            </w:r>
          </w:p>
        </w:tc>
        <w:tc>
          <w:tcPr>
            <w:tcW w:w="8505" w:type="dxa"/>
          </w:tcPr>
          <w:p w14:paraId="6980068E" w14:textId="77777777" w:rsidR="00C341DC" w:rsidRPr="004D2334" w:rsidRDefault="00C341DC" w:rsidP="008F0249">
            <w:pPr>
              <w:spacing w:before="120" w:after="120"/>
              <w:jc w:val="center"/>
              <w:rPr>
                <w:rFonts w:ascii="Times New Roman" w:hAnsi="Times New Roman" w:cs="Times New Roman"/>
                <w:b/>
                <w:bCs/>
                <w:noProof/>
              </w:rPr>
            </w:pPr>
            <w:r>
              <w:rPr>
                <w:rFonts w:ascii="Times New Roman" w:hAnsi="Times New Roman"/>
                <w:b/>
                <w:noProof/>
              </w:rPr>
              <w:t>Veiksmai</w:t>
            </w:r>
          </w:p>
        </w:tc>
        <w:tc>
          <w:tcPr>
            <w:tcW w:w="2169" w:type="dxa"/>
          </w:tcPr>
          <w:p w14:paraId="6F8864ED" w14:textId="77777777" w:rsidR="00C341DC" w:rsidRPr="004D2334" w:rsidRDefault="00C341DC" w:rsidP="008F0249">
            <w:pPr>
              <w:spacing w:before="120" w:after="120"/>
              <w:jc w:val="center"/>
              <w:rPr>
                <w:rFonts w:ascii="Times New Roman" w:hAnsi="Times New Roman" w:cs="Times New Roman"/>
                <w:b/>
                <w:bCs/>
                <w:noProof/>
              </w:rPr>
            </w:pPr>
            <w:r>
              <w:rPr>
                <w:rFonts w:ascii="Times New Roman" w:hAnsi="Times New Roman"/>
                <w:b/>
                <w:noProof/>
              </w:rPr>
              <w:t>Atsakingas subjektas</w:t>
            </w:r>
          </w:p>
        </w:tc>
      </w:tr>
      <w:tr w:rsidR="000F6E1A" w:rsidRPr="004D2334" w14:paraId="0FE8DB45" w14:textId="77777777" w:rsidTr="4DD0DB96">
        <w:trPr>
          <w:trHeight w:val="2264"/>
        </w:trPr>
        <w:tc>
          <w:tcPr>
            <w:tcW w:w="3397" w:type="dxa"/>
          </w:tcPr>
          <w:p w14:paraId="0EC21928" w14:textId="04BFD58A" w:rsidR="000F6E1A" w:rsidRPr="000F281F" w:rsidRDefault="000F6E1A" w:rsidP="000F281F">
            <w:pPr>
              <w:pStyle w:val="ListParagraph"/>
              <w:numPr>
                <w:ilvl w:val="0"/>
                <w:numId w:val="2"/>
              </w:numPr>
              <w:spacing w:before="120" w:after="120"/>
              <w:rPr>
                <w:rFonts w:ascii="Times New Roman" w:hAnsi="Times New Roman" w:cs="Times New Roman"/>
                <w:noProof/>
              </w:rPr>
            </w:pPr>
            <w:r>
              <w:rPr>
                <w:rFonts w:ascii="Times New Roman" w:hAnsi="Times New Roman"/>
                <w:noProof/>
              </w:rPr>
              <w:t>Sėkmingas EISV įgyvendinimas iš esmės priklauso nuo veiksmingo ir suderinto EISV daugiametės politikos ciklo įgyvendinimo nacionalinėse EISV strategijose, kurių pritaikymo procesas vis dar vykdomas.</w:t>
            </w:r>
          </w:p>
        </w:tc>
        <w:tc>
          <w:tcPr>
            <w:tcW w:w="8505" w:type="dxa"/>
          </w:tcPr>
          <w:p w14:paraId="474BBACB" w14:textId="6E9FD51E" w:rsidR="000F6E1A" w:rsidRPr="00571F59" w:rsidRDefault="00571F59" w:rsidP="00571F59">
            <w:pPr>
              <w:spacing w:before="120" w:after="120"/>
              <w:rPr>
                <w:rFonts w:ascii="Times New Roman" w:hAnsi="Times New Roman" w:cs="Times New Roman"/>
                <w:noProof/>
              </w:rPr>
            </w:pPr>
            <w:r>
              <w:rPr>
                <w:rFonts w:ascii="Times New Roman" w:hAnsi="Times New Roman"/>
                <w:noProof/>
              </w:rPr>
              <w:t>16.1. Suderinti nacionalines EISV strategijas su reikalavimais dėl jo 15 komponentų, išdėstytų komunikate dėl EISV daugiametės strateginės politikos ir EISV techninėje ir veiklos strategijoje.</w:t>
            </w:r>
          </w:p>
        </w:tc>
        <w:tc>
          <w:tcPr>
            <w:tcW w:w="2169" w:type="dxa"/>
          </w:tcPr>
          <w:p w14:paraId="1504AC30" w14:textId="14FFAD18" w:rsidR="000F6E1A" w:rsidRDefault="000F6E1A" w:rsidP="00865367">
            <w:pPr>
              <w:spacing w:before="120" w:after="120"/>
              <w:jc w:val="both"/>
              <w:rPr>
                <w:rFonts w:ascii="Times New Roman" w:hAnsi="Times New Roman" w:cs="Times New Roman"/>
                <w:noProof/>
              </w:rPr>
            </w:pPr>
            <w:r>
              <w:rPr>
                <w:rFonts w:ascii="Times New Roman" w:hAnsi="Times New Roman"/>
                <w:noProof/>
              </w:rPr>
              <w:t>Valstybės narės / Šengeno asocijuotosios šalys</w:t>
            </w:r>
          </w:p>
          <w:p w14:paraId="3F49DE7B" w14:textId="79E6C425" w:rsidR="000F6E1A" w:rsidRPr="00E161F3" w:rsidRDefault="000F6E1A" w:rsidP="00E161F3">
            <w:pPr>
              <w:rPr>
                <w:rFonts w:ascii="Times New Roman" w:hAnsi="Times New Roman" w:cs="Times New Roman"/>
                <w:noProof/>
                <w:lang w:val="en-IE"/>
              </w:rPr>
            </w:pPr>
          </w:p>
        </w:tc>
      </w:tr>
    </w:tbl>
    <w:p w14:paraId="73309D96" w14:textId="77777777" w:rsidR="00C341DC" w:rsidRDefault="00C341DC" w:rsidP="00C341DC">
      <w:pPr>
        <w:jc w:val="both"/>
        <w:rPr>
          <w:rFonts w:ascii="Times New Roman" w:hAnsi="Times New Roman" w:cs="Times New Roman"/>
          <w:b/>
          <w:bCs/>
          <w:i/>
          <w:iCs/>
          <w:noProof/>
          <w:sz w:val="24"/>
          <w:szCs w:val="24"/>
          <w:lang w:val="en-IE"/>
        </w:rPr>
      </w:pPr>
    </w:p>
    <w:p w14:paraId="4B59104F" w14:textId="1F005879" w:rsidR="00D61152" w:rsidRPr="00364414" w:rsidRDefault="00364414" w:rsidP="004D2334">
      <w:pPr>
        <w:spacing w:before="120" w:after="120" w:line="240" w:lineRule="auto"/>
        <w:jc w:val="both"/>
        <w:rPr>
          <w:rFonts w:ascii="Times New Roman" w:hAnsi="Times New Roman" w:cs="Times New Roman"/>
          <w:b/>
          <w:bCs/>
          <w:i/>
          <w:iCs/>
          <w:noProof/>
          <w:sz w:val="24"/>
          <w:szCs w:val="24"/>
        </w:rPr>
      </w:pPr>
      <w:r>
        <w:rPr>
          <w:rFonts w:ascii="Times New Roman" w:hAnsi="Times New Roman"/>
          <w:b/>
          <w:i/>
          <w:noProof/>
          <w:sz w:val="24"/>
        </w:rPr>
        <w:t>Pajėgumų plėtojimas</w:t>
      </w:r>
    </w:p>
    <w:tbl>
      <w:tblPr>
        <w:tblStyle w:val="TableGrid"/>
        <w:tblW w:w="14071" w:type="dxa"/>
        <w:tblLook w:val="04A0" w:firstRow="1" w:lastRow="0" w:firstColumn="1" w:lastColumn="0" w:noHBand="0" w:noVBand="1"/>
      </w:tblPr>
      <w:tblGrid>
        <w:gridCol w:w="3397"/>
        <w:gridCol w:w="8505"/>
        <w:gridCol w:w="2169"/>
      </w:tblGrid>
      <w:tr w:rsidR="00D61152" w:rsidRPr="004D2334" w14:paraId="7DF68EFD" w14:textId="77777777" w:rsidTr="00034E1A">
        <w:tc>
          <w:tcPr>
            <w:tcW w:w="3397" w:type="dxa"/>
          </w:tcPr>
          <w:p w14:paraId="462DCE8F" w14:textId="210BD5E4" w:rsidR="00D61152" w:rsidRPr="004D2334" w:rsidRDefault="002D4482" w:rsidP="008F0249">
            <w:pPr>
              <w:spacing w:before="120" w:after="120"/>
              <w:jc w:val="center"/>
              <w:rPr>
                <w:rFonts w:ascii="Times New Roman" w:hAnsi="Times New Roman" w:cs="Times New Roman"/>
                <w:b/>
                <w:bCs/>
                <w:noProof/>
              </w:rPr>
            </w:pPr>
            <w:r>
              <w:rPr>
                <w:rFonts w:ascii="Times New Roman" w:hAnsi="Times New Roman"/>
                <w:b/>
                <w:noProof/>
              </w:rPr>
              <w:t>Problema</w:t>
            </w:r>
          </w:p>
        </w:tc>
        <w:tc>
          <w:tcPr>
            <w:tcW w:w="8505" w:type="dxa"/>
          </w:tcPr>
          <w:p w14:paraId="665A1C10" w14:textId="25A3ABB0" w:rsidR="00D61152" w:rsidRPr="004D2334" w:rsidRDefault="0020465E" w:rsidP="008F0249">
            <w:pPr>
              <w:spacing w:before="120" w:after="120"/>
              <w:jc w:val="center"/>
              <w:rPr>
                <w:rFonts w:ascii="Times New Roman" w:hAnsi="Times New Roman" w:cs="Times New Roman"/>
                <w:b/>
                <w:bCs/>
                <w:noProof/>
              </w:rPr>
            </w:pPr>
            <w:r>
              <w:rPr>
                <w:rFonts w:ascii="Times New Roman" w:hAnsi="Times New Roman"/>
                <w:b/>
                <w:noProof/>
              </w:rPr>
              <w:t>Veiksmai</w:t>
            </w:r>
          </w:p>
        </w:tc>
        <w:tc>
          <w:tcPr>
            <w:tcW w:w="2169" w:type="dxa"/>
          </w:tcPr>
          <w:p w14:paraId="29F38308" w14:textId="77777777" w:rsidR="00D61152" w:rsidRPr="004D2334" w:rsidRDefault="00D61152" w:rsidP="008F0249">
            <w:pPr>
              <w:spacing w:before="120" w:after="120"/>
              <w:jc w:val="center"/>
              <w:rPr>
                <w:rFonts w:ascii="Times New Roman" w:hAnsi="Times New Roman" w:cs="Times New Roman"/>
                <w:b/>
                <w:bCs/>
                <w:noProof/>
              </w:rPr>
            </w:pPr>
            <w:r>
              <w:rPr>
                <w:rFonts w:ascii="Times New Roman" w:hAnsi="Times New Roman"/>
                <w:b/>
                <w:noProof/>
              </w:rPr>
              <w:t>Atsakingas subjektas</w:t>
            </w:r>
          </w:p>
        </w:tc>
      </w:tr>
      <w:tr w:rsidR="00004D18" w:rsidRPr="004D2334" w14:paraId="4BB29583" w14:textId="77777777" w:rsidTr="00034E1A">
        <w:tc>
          <w:tcPr>
            <w:tcW w:w="3397" w:type="dxa"/>
            <w:vMerge w:val="restart"/>
          </w:tcPr>
          <w:p w14:paraId="1CCCC20D" w14:textId="14C038D6" w:rsidR="00004D18" w:rsidRPr="000F281F" w:rsidRDefault="00004D18" w:rsidP="000F281F">
            <w:pPr>
              <w:pStyle w:val="ListParagraph"/>
              <w:numPr>
                <w:ilvl w:val="0"/>
                <w:numId w:val="2"/>
              </w:numPr>
              <w:spacing w:before="120" w:after="120"/>
              <w:rPr>
                <w:rFonts w:ascii="Times New Roman" w:hAnsi="Times New Roman" w:cs="Times New Roman"/>
                <w:noProof/>
              </w:rPr>
            </w:pPr>
            <w:r>
              <w:rPr>
                <w:rFonts w:ascii="Times New Roman" w:hAnsi="Times New Roman"/>
                <w:noProof/>
              </w:rPr>
              <w:t>Agentūroje ir valstybėse narėse trūksta ilgalaikio strateginio požiūrio ir nuspėjamumo, kad būtų galima vykdyti svarbiausias investicijas į pajėgumus, pavyzdžiui, įdarbinimo, mokymo, techninės įrangos, mokslinių tyrimų ir plėtros pajėgumus.</w:t>
            </w:r>
          </w:p>
        </w:tc>
        <w:tc>
          <w:tcPr>
            <w:tcW w:w="8505" w:type="dxa"/>
          </w:tcPr>
          <w:p w14:paraId="238CEB05" w14:textId="03A82ED9" w:rsidR="00004D18" w:rsidRDefault="000F281F" w:rsidP="00865367">
            <w:pPr>
              <w:spacing w:before="120" w:after="120"/>
              <w:rPr>
                <w:rFonts w:ascii="Times New Roman" w:hAnsi="Times New Roman" w:cs="Times New Roman"/>
                <w:noProof/>
              </w:rPr>
            </w:pPr>
            <w:r>
              <w:rPr>
                <w:rFonts w:ascii="Times New Roman" w:hAnsi="Times New Roman"/>
                <w:noProof/>
              </w:rPr>
              <w:t>17.1. Parengti pajėgumo planą ir kasmet teikti Valdančiajai tarybai naujausią informaciją apie jo įgyvendinimą, kad būtų toliau plėtojamas ir įgyvendinamas EBCG integruoto planavimo procesas.</w:t>
            </w:r>
          </w:p>
          <w:p w14:paraId="763D21D8" w14:textId="558576D2" w:rsidR="00004D18" w:rsidRPr="00B23B2A" w:rsidRDefault="00004D18" w:rsidP="005F48DF">
            <w:pPr>
              <w:spacing w:before="120" w:after="120"/>
              <w:rPr>
                <w:rFonts w:ascii="Times New Roman" w:hAnsi="Times New Roman" w:cs="Times New Roman"/>
                <w:noProof/>
              </w:rPr>
            </w:pPr>
          </w:p>
        </w:tc>
        <w:tc>
          <w:tcPr>
            <w:tcW w:w="2169" w:type="dxa"/>
          </w:tcPr>
          <w:p w14:paraId="7E5E0B64" w14:textId="77777777" w:rsidR="00004D18" w:rsidRPr="00865367" w:rsidRDefault="00004D18" w:rsidP="00865367">
            <w:pPr>
              <w:spacing w:before="120" w:after="120"/>
              <w:jc w:val="both"/>
              <w:rPr>
                <w:rFonts w:ascii="Times New Roman" w:hAnsi="Times New Roman" w:cs="Times New Roman"/>
                <w:noProof/>
              </w:rPr>
            </w:pPr>
            <w:r>
              <w:rPr>
                <w:rFonts w:ascii="Times New Roman" w:hAnsi="Times New Roman"/>
                <w:noProof/>
              </w:rPr>
              <w:t>FRONTEX</w:t>
            </w:r>
          </w:p>
          <w:p w14:paraId="2248535B" w14:textId="46820CDA" w:rsidR="00004D18" w:rsidRDefault="00004D18" w:rsidP="00865367">
            <w:pPr>
              <w:spacing w:before="120" w:after="120"/>
              <w:jc w:val="both"/>
              <w:rPr>
                <w:rFonts w:ascii="Times New Roman" w:hAnsi="Times New Roman" w:cs="Times New Roman"/>
                <w:noProof/>
                <w:lang w:val="en-IE"/>
              </w:rPr>
            </w:pPr>
          </w:p>
        </w:tc>
      </w:tr>
      <w:tr w:rsidR="00004D18" w:rsidRPr="004D2334" w14:paraId="5CE23885" w14:textId="77777777" w:rsidTr="00034E1A">
        <w:tc>
          <w:tcPr>
            <w:tcW w:w="3397" w:type="dxa"/>
            <w:vMerge/>
          </w:tcPr>
          <w:p w14:paraId="6166998B" w14:textId="77777777" w:rsidR="00004D18" w:rsidRDefault="00004D18" w:rsidP="008F0249">
            <w:pPr>
              <w:spacing w:before="120" w:after="120"/>
              <w:rPr>
                <w:rFonts w:ascii="Times New Roman" w:hAnsi="Times New Roman" w:cs="Times New Roman"/>
                <w:noProof/>
                <w:lang w:val="en-IE"/>
              </w:rPr>
            </w:pPr>
          </w:p>
        </w:tc>
        <w:tc>
          <w:tcPr>
            <w:tcW w:w="8505" w:type="dxa"/>
          </w:tcPr>
          <w:p w14:paraId="381D43EF" w14:textId="2246E6C5" w:rsidR="00004D18" w:rsidRPr="00865367" w:rsidRDefault="000F281F" w:rsidP="00865367">
            <w:pPr>
              <w:spacing w:before="120" w:after="120"/>
              <w:rPr>
                <w:rFonts w:ascii="Times New Roman" w:hAnsi="Times New Roman" w:cs="Times New Roman"/>
                <w:noProof/>
              </w:rPr>
            </w:pPr>
            <w:r>
              <w:rPr>
                <w:rFonts w:ascii="Times New Roman" w:hAnsi="Times New Roman"/>
                <w:noProof/>
              </w:rPr>
              <w:t>17.2. Nustatyti ir atnaujinti nacionalinius pajėgumų plėtojimo planus, atsižvelgiant į nacionalinę EISV strategiją, įskaitant vidutinės trukmės ir ilgalaikę nacionalinių žmogiškųjų ir techninių sienų valdymo ir grąžinimo veiklos pajėgumų raidą.</w:t>
            </w:r>
          </w:p>
        </w:tc>
        <w:tc>
          <w:tcPr>
            <w:tcW w:w="2169" w:type="dxa"/>
          </w:tcPr>
          <w:p w14:paraId="55C40AE1" w14:textId="3A8D1E31" w:rsidR="00004D18" w:rsidRPr="00865367" w:rsidRDefault="00004D18" w:rsidP="00865367">
            <w:pPr>
              <w:spacing w:before="120" w:after="120"/>
              <w:jc w:val="both"/>
              <w:rPr>
                <w:rFonts w:ascii="Times New Roman" w:hAnsi="Times New Roman" w:cs="Times New Roman"/>
                <w:noProof/>
              </w:rPr>
            </w:pPr>
            <w:r>
              <w:rPr>
                <w:rFonts w:ascii="Times New Roman" w:hAnsi="Times New Roman"/>
                <w:noProof/>
              </w:rPr>
              <w:t>Valstybės narės / Šengeno asocijuotosios šalys</w:t>
            </w:r>
          </w:p>
        </w:tc>
      </w:tr>
      <w:tr w:rsidR="002F4719" w:rsidRPr="004D2334" w14:paraId="00A872B0" w14:textId="77777777" w:rsidTr="00034E1A">
        <w:tc>
          <w:tcPr>
            <w:tcW w:w="3397" w:type="dxa"/>
            <w:vMerge w:val="restart"/>
          </w:tcPr>
          <w:p w14:paraId="76D86BE1" w14:textId="0567DFE6" w:rsidR="002F4719" w:rsidRPr="000F281F" w:rsidRDefault="002F4719" w:rsidP="000F281F">
            <w:pPr>
              <w:pStyle w:val="ListParagraph"/>
              <w:numPr>
                <w:ilvl w:val="0"/>
                <w:numId w:val="2"/>
              </w:numPr>
              <w:spacing w:before="120" w:after="120"/>
              <w:rPr>
                <w:rFonts w:ascii="Times New Roman" w:hAnsi="Times New Roman" w:cs="Times New Roman"/>
                <w:noProof/>
              </w:rPr>
            </w:pPr>
            <w:r>
              <w:rPr>
                <w:rFonts w:ascii="Times New Roman" w:hAnsi="Times New Roman"/>
                <w:noProof/>
              </w:rPr>
              <w:t>Agentūros įsigijimo strategijos įgyvendinimas atsilieka nuo tvarkaraščio, o tai daro neigiamą poveikį Agentūros gebėjimui įsisavinti pagal daugiametę finansinę programą techninei įrangai skirtus finansinius išteklius ir taip pasiekti EBCG reglamento tikslus.</w:t>
            </w:r>
          </w:p>
        </w:tc>
        <w:tc>
          <w:tcPr>
            <w:tcW w:w="8505" w:type="dxa"/>
          </w:tcPr>
          <w:p w14:paraId="54C8BE1C" w14:textId="44E66C56" w:rsidR="002F4719" w:rsidRPr="004D2334" w:rsidRDefault="000F281F" w:rsidP="008F0249">
            <w:pPr>
              <w:spacing w:before="120" w:after="120"/>
              <w:rPr>
                <w:rFonts w:ascii="Times New Roman" w:hAnsi="Times New Roman" w:cs="Times New Roman"/>
                <w:noProof/>
              </w:rPr>
            </w:pPr>
            <w:r>
              <w:rPr>
                <w:rFonts w:ascii="Times New Roman" w:hAnsi="Times New Roman"/>
                <w:noProof/>
              </w:rPr>
              <w:t>18.1. Nustatyti pagrindinius techninės įrangos įsigijimo arba išperkamosios nuomos orientyrus ir jų laikytis.</w:t>
            </w:r>
          </w:p>
        </w:tc>
        <w:tc>
          <w:tcPr>
            <w:tcW w:w="2169" w:type="dxa"/>
          </w:tcPr>
          <w:p w14:paraId="00B025D8" w14:textId="753C4995" w:rsidR="002F4719" w:rsidRPr="004D2334" w:rsidRDefault="002F4719" w:rsidP="008F0249">
            <w:pPr>
              <w:spacing w:before="120" w:after="120"/>
              <w:jc w:val="both"/>
              <w:rPr>
                <w:rFonts w:ascii="Times New Roman" w:hAnsi="Times New Roman" w:cs="Times New Roman"/>
                <w:noProof/>
              </w:rPr>
            </w:pPr>
            <w:r>
              <w:rPr>
                <w:rFonts w:ascii="Times New Roman" w:hAnsi="Times New Roman"/>
                <w:noProof/>
              </w:rPr>
              <w:t>FRONTEX</w:t>
            </w:r>
          </w:p>
        </w:tc>
      </w:tr>
      <w:tr w:rsidR="002F4719" w:rsidRPr="004D2334" w14:paraId="1CCDF405" w14:textId="77777777" w:rsidTr="00034E1A">
        <w:tc>
          <w:tcPr>
            <w:tcW w:w="3397" w:type="dxa"/>
            <w:vMerge/>
          </w:tcPr>
          <w:p w14:paraId="47128192" w14:textId="77777777" w:rsidR="002F4719" w:rsidRDefault="002F4719" w:rsidP="008F0249">
            <w:pPr>
              <w:spacing w:before="120" w:after="120"/>
              <w:rPr>
                <w:rFonts w:ascii="Times New Roman" w:hAnsi="Times New Roman" w:cs="Times New Roman"/>
                <w:noProof/>
                <w:lang w:val="en-IE"/>
              </w:rPr>
            </w:pPr>
          </w:p>
        </w:tc>
        <w:tc>
          <w:tcPr>
            <w:tcW w:w="8505" w:type="dxa"/>
          </w:tcPr>
          <w:p w14:paraId="2C0194CF" w14:textId="1223E07D" w:rsidR="002F4719" w:rsidRDefault="000F281F" w:rsidP="008F0249">
            <w:pPr>
              <w:spacing w:before="120" w:after="120"/>
              <w:rPr>
                <w:rFonts w:ascii="Times New Roman" w:hAnsi="Times New Roman" w:cs="Times New Roman"/>
                <w:noProof/>
              </w:rPr>
            </w:pPr>
            <w:r>
              <w:rPr>
                <w:rFonts w:ascii="Times New Roman" w:hAnsi="Times New Roman"/>
                <w:noProof/>
              </w:rPr>
              <w:t>18.2. Peržiūrėti praktinį viešųjų pirkimų taisyklių taikymą Agentūroje, kad būtų nustatytos ir, kai įmanoma, sprendžiamos problemos, dėl kurių neįvyksta daug viešųjų pirkimų.</w:t>
            </w:r>
          </w:p>
        </w:tc>
        <w:tc>
          <w:tcPr>
            <w:tcW w:w="2169" w:type="dxa"/>
          </w:tcPr>
          <w:p w14:paraId="53B689B6" w14:textId="7709FCA6" w:rsidR="002F4719" w:rsidRDefault="002F4719" w:rsidP="008F0249">
            <w:pPr>
              <w:spacing w:before="120" w:after="120"/>
              <w:jc w:val="both"/>
              <w:rPr>
                <w:rFonts w:ascii="Times New Roman" w:hAnsi="Times New Roman" w:cs="Times New Roman"/>
                <w:noProof/>
              </w:rPr>
            </w:pPr>
            <w:r>
              <w:rPr>
                <w:rFonts w:ascii="Times New Roman" w:hAnsi="Times New Roman"/>
                <w:noProof/>
              </w:rPr>
              <w:t>FRONTEX</w:t>
            </w:r>
          </w:p>
        </w:tc>
      </w:tr>
      <w:tr w:rsidR="005C71D3" w:rsidRPr="004D2334" w14:paraId="36B99C70" w14:textId="77777777" w:rsidTr="00034E1A">
        <w:tc>
          <w:tcPr>
            <w:tcW w:w="3397" w:type="dxa"/>
            <w:vMerge/>
          </w:tcPr>
          <w:p w14:paraId="70E4E4EE" w14:textId="77777777" w:rsidR="005C71D3" w:rsidRDefault="005C71D3" w:rsidP="008F0249">
            <w:pPr>
              <w:spacing w:before="120" w:after="120"/>
              <w:rPr>
                <w:rFonts w:ascii="Times New Roman" w:hAnsi="Times New Roman" w:cs="Times New Roman"/>
                <w:noProof/>
                <w:lang w:val="en-IE"/>
              </w:rPr>
            </w:pPr>
          </w:p>
        </w:tc>
        <w:tc>
          <w:tcPr>
            <w:tcW w:w="8505" w:type="dxa"/>
          </w:tcPr>
          <w:p w14:paraId="182F74ED" w14:textId="56D70692" w:rsidR="005C71D3" w:rsidRPr="00554E02" w:rsidRDefault="000F281F" w:rsidP="008F0249">
            <w:pPr>
              <w:spacing w:before="120" w:after="120"/>
              <w:rPr>
                <w:rFonts w:ascii="Times New Roman" w:hAnsi="Times New Roman" w:cs="Times New Roman"/>
                <w:noProof/>
              </w:rPr>
            </w:pPr>
            <w:r>
              <w:rPr>
                <w:rFonts w:ascii="Times New Roman" w:hAnsi="Times New Roman"/>
                <w:noProof/>
              </w:rPr>
              <w:t>18.3. Sukurti tokią valdymo struktūrą, kad Valdančioji taryba ir valstybės narės galėtų atidžiai stebėti Agentūros pažangą vykdant įgyvendinimo planą.</w:t>
            </w:r>
          </w:p>
        </w:tc>
        <w:tc>
          <w:tcPr>
            <w:tcW w:w="2169" w:type="dxa"/>
          </w:tcPr>
          <w:p w14:paraId="4DFCB73D" w14:textId="77777777" w:rsidR="005C71D3" w:rsidRDefault="005C71D3" w:rsidP="008F0249">
            <w:pPr>
              <w:spacing w:before="120" w:after="120"/>
              <w:jc w:val="both"/>
              <w:rPr>
                <w:rFonts w:ascii="Times New Roman" w:hAnsi="Times New Roman" w:cs="Times New Roman"/>
                <w:noProof/>
              </w:rPr>
            </w:pPr>
            <w:r>
              <w:rPr>
                <w:rFonts w:ascii="Times New Roman" w:hAnsi="Times New Roman"/>
                <w:noProof/>
              </w:rPr>
              <w:t>FRONTEX</w:t>
            </w:r>
          </w:p>
          <w:p w14:paraId="6FA56250" w14:textId="2D8CDB55" w:rsidR="009E6740" w:rsidRDefault="009E6740" w:rsidP="008F0249">
            <w:pPr>
              <w:spacing w:before="120" w:after="120"/>
              <w:jc w:val="both"/>
              <w:rPr>
                <w:rFonts w:ascii="Times New Roman" w:hAnsi="Times New Roman" w:cs="Times New Roman"/>
                <w:noProof/>
              </w:rPr>
            </w:pPr>
            <w:r>
              <w:rPr>
                <w:rFonts w:ascii="Times New Roman" w:hAnsi="Times New Roman"/>
                <w:noProof/>
              </w:rPr>
              <w:t>Valdančioji taryba</w:t>
            </w:r>
          </w:p>
        </w:tc>
      </w:tr>
      <w:tr w:rsidR="003C557B" w:rsidRPr="000F281F" w14:paraId="3AA68D4D" w14:textId="77777777" w:rsidTr="00034E1A">
        <w:tc>
          <w:tcPr>
            <w:tcW w:w="3397" w:type="dxa"/>
            <w:vMerge w:val="restart"/>
          </w:tcPr>
          <w:p w14:paraId="412EBB4D" w14:textId="7D052EC7" w:rsidR="003C557B" w:rsidRPr="000F281F" w:rsidRDefault="003C557B" w:rsidP="000F281F">
            <w:pPr>
              <w:pStyle w:val="ListParagraph"/>
              <w:numPr>
                <w:ilvl w:val="0"/>
                <w:numId w:val="2"/>
              </w:numPr>
              <w:spacing w:before="120" w:after="120"/>
              <w:rPr>
                <w:rFonts w:ascii="Times New Roman" w:hAnsi="Times New Roman" w:cs="Times New Roman"/>
                <w:noProof/>
              </w:rPr>
            </w:pPr>
            <w:r>
              <w:rPr>
                <w:rFonts w:ascii="Times New Roman" w:hAnsi="Times New Roman"/>
                <w:noProof/>
              </w:rPr>
              <w:t>Valstybių narių poreikiai gauti Agentūros paramą technine įranga, ypač didelės apimties įranga, gerokai viršija Agentūros turimą techninės įrangos rezervą; tai daro didelį neigiamą poveikį Agentūros gebėjimui patenkinti operacinius poreikius prie ES išorės sienų.</w:t>
            </w:r>
          </w:p>
        </w:tc>
        <w:tc>
          <w:tcPr>
            <w:tcW w:w="8505" w:type="dxa"/>
          </w:tcPr>
          <w:p w14:paraId="38D4403B" w14:textId="4B085D09" w:rsidR="003C557B" w:rsidRPr="000F281F" w:rsidRDefault="003C557B" w:rsidP="00AB78F1">
            <w:pPr>
              <w:spacing w:before="120" w:after="120"/>
              <w:rPr>
                <w:rFonts w:ascii="Times New Roman" w:hAnsi="Times New Roman" w:cs="Times New Roman"/>
                <w:noProof/>
              </w:rPr>
            </w:pPr>
            <w:r>
              <w:rPr>
                <w:rFonts w:ascii="Times New Roman" w:hAnsi="Times New Roman"/>
                <w:noProof/>
              </w:rPr>
              <w:t>19.1. Pagerinti ilgalaikį planavimą ir užtikrinti, kad valstybės narės įsipareigotų prisidėti prie techninės įrangos rezervo, taip sudarant sąlygas greitai siųsti įrangą atsižvelgiant į faktinius operacinius poreikius.</w:t>
            </w:r>
          </w:p>
        </w:tc>
        <w:tc>
          <w:tcPr>
            <w:tcW w:w="2169" w:type="dxa"/>
          </w:tcPr>
          <w:p w14:paraId="41B0E74F" w14:textId="64F48836" w:rsidR="003C557B" w:rsidRPr="000F281F" w:rsidRDefault="003C557B" w:rsidP="008F0249">
            <w:pPr>
              <w:spacing w:before="120" w:after="120"/>
              <w:jc w:val="both"/>
              <w:rPr>
                <w:rFonts w:ascii="Times New Roman" w:hAnsi="Times New Roman" w:cs="Times New Roman"/>
                <w:noProof/>
              </w:rPr>
            </w:pPr>
            <w:r>
              <w:rPr>
                <w:rFonts w:ascii="Times New Roman" w:hAnsi="Times New Roman"/>
                <w:noProof/>
              </w:rPr>
              <w:t>FRONTEX</w:t>
            </w:r>
          </w:p>
        </w:tc>
      </w:tr>
      <w:tr w:rsidR="003C557B" w:rsidRPr="000F281F" w14:paraId="0E822DCC" w14:textId="77777777" w:rsidTr="00034E1A">
        <w:tc>
          <w:tcPr>
            <w:tcW w:w="3397" w:type="dxa"/>
            <w:vMerge/>
          </w:tcPr>
          <w:p w14:paraId="177E7EE2" w14:textId="7A8A3B03" w:rsidR="003C557B" w:rsidRPr="003C557B" w:rsidRDefault="003C557B" w:rsidP="003C557B">
            <w:pPr>
              <w:spacing w:before="120" w:after="120"/>
              <w:rPr>
                <w:rFonts w:ascii="Times New Roman" w:hAnsi="Times New Roman" w:cs="Times New Roman"/>
                <w:noProof/>
                <w:lang w:val="en-IE"/>
              </w:rPr>
            </w:pPr>
          </w:p>
        </w:tc>
        <w:tc>
          <w:tcPr>
            <w:tcW w:w="8505" w:type="dxa"/>
          </w:tcPr>
          <w:p w14:paraId="6AD66177" w14:textId="479CA565" w:rsidR="003C557B" w:rsidRDefault="005F39B9" w:rsidP="00AB78F1">
            <w:pPr>
              <w:spacing w:before="120" w:after="120"/>
              <w:rPr>
                <w:rFonts w:ascii="Times New Roman" w:hAnsi="Times New Roman" w:cs="Times New Roman"/>
                <w:noProof/>
              </w:rPr>
            </w:pPr>
            <w:r>
              <w:rPr>
                <w:rFonts w:ascii="Times New Roman" w:hAnsi="Times New Roman"/>
                <w:noProof/>
              </w:rPr>
              <w:t>19.2. Prisidėti prie techninės įrangos rezervo laikantis EBCG reglamente nustatytų teisinių įpareigojimų.</w:t>
            </w:r>
          </w:p>
        </w:tc>
        <w:tc>
          <w:tcPr>
            <w:tcW w:w="2169" w:type="dxa"/>
          </w:tcPr>
          <w:p w14:paraId="3D66095E" w14:textId="6CF0B4AE" w:rsidR="003C557B" w:rsidRPr="000F281F" w:rsidRDefault="009730AD" w:rsidP="008F0249">
            <w:pPr>
              <w:spacing w:before="120" w:after="120"/>
              <w:jc w:val="both"/>
              <w:rPr>
                <w:rFonts w:ascii="Times New Roman" w:hAnsi="Times New Roman" w:cs="Times New Roman"/>
                <w:noProof/>
              </w:rPr>
            </w:pPr>
            <w:r>
              <w:rPr>
                <w:rFonts w:ascii="Times New Roman" w:hAnsi="Times New Roman"/>
                <w:noProof/>
              </w:rPr>
              <w:t>Valstybės narės / Šengeno asocijuotosios šalys</w:t>
            </w:r>
          </w:p>
        </w:tc>
      </w:tr>
    </w:tbl>
    <w:p w14:paraId="12F293BD" w14:textId="77777777" w:rsidR="008B619A" w:rsidRPr="00B23B2A" w:rsidRDefault="008B619A" w:rsidP="004D2334">
      <w:pPr>
        <w:spacing w:before="120" w:after="120" w:line="240" w:lineRule="auto"/>
        <w:jc w:val="both"/>
        <w:rPr>
          <w:rFonts w:ascii="Times New Roman" w:hAnsi="Times New Roman" w:cs="Times New Roman"/>
          <w:b/>
          <w:bCs/>
          <w:i/>
          <w:iCs/>
          <w:noProof/>
          <w:sz w:val="24"/>
          <w:szCs w:val="24"/>
        </w:rPr>
      </w:pPr>
    </w:p>
    <w:p w14:paraId="6D5377BF" w14:textId="698E4B7B" w:rsidR="009E6740" w:rsidRPr="006A4026" w:rsidRDefault="000D690F" w:rsidP="00215AD4">
      <w:pPr>
        <w:keepNext/>
        <w:spacing w:before="120" w:after="120" w:line="240" w:lineRule="auto"/>
        <w:jc w:val="both"/>
        <w:rPr>
          <w:rFonts w:ascii="Times New Roman" w:hAnsi="Times New Roman" w:cs="Times New Roman"/>
          <w:b/>
          <w:bCs/>
          <w:i/>
          <w:iCs/>
          <w:noProof/>
          <w:sz w:val="24"/>
          <w:szCs w:val="24"/>
        </w:rPr>
      </w:pPr>
      <w:r>
        <w:rPr>
          <w:rFonts w:ascii="Times New Roman" w:hAnsi="Times New Roman"/>
          <w:b/>
          <w:i/>
          <w:noProof/>
          <w:sz w:val="24"/>
        </w:rPr>
        <w:t>Bendradarbiavimas</w:t>
      </w:r>
    </w:p>
    <w:tbl>
      <w:tblPr>
        <w:tblStyle w:val="TableGrid"/>
        <w:tblW w:w="14071" w:type="dxa"/>
        <w:tblLook w:val="04A0" w:firstRow="1" w:lastRow="0" w:firstColumn="1" w:lastColumn="0" w:noHBand="0" w:noVBand="1"/>
      </w:tblPr>
      <w:tblGrid>
        <w:gridCol w:w="3397"/>
        <w:gridCol w:w="8488"/>
        <w:gridCol w:w="2186"/>
      </w:tblGrid>
      <w:tr w:rsidR="00D61152" w:rsidRPr="004D2334" w14:paraId="7DE75CDF" w14:textId="77777777" w:rsidTr="00034E1A">
        <w:trPr>
          <w:trHeight w:val="483"/>
        </w:trPr>
        <w:tc>
          <w:tcPr>
            <w:tcW w:w="3397" w:type="dxa"/>
          </w:tcPr>
          <w:p w14:paraId="11E1F64F" w14:textId="0F1FFFBC" w:rsidR="00D61152" w:rsidRPr="004D2334" w:rsidRDefault="007B62A5" w:rsidP="00215AD4">
            <w:pPr>
              <w:keepNext/>
              <w:spacing w:before="120" w:after="120"/>
              <w:jc w:val="center"/>
              <w:rPr>
                <w:rFonts w:ascii="Times New Roman" w:hAnsi="Times New Roman" w:cs="Times New Roman"/>
                <w:b/>
                <w:bCs/>
                <w:noProof/>
              </w:rPr>
            </w:pPr>
            <w:r>
              <w:rPr>
                <w:rFonts w:ascii="Times New Roman" w:hAnsi="Times New Roman"/>
                <w:b/>
                <w:noProof/>
              </w:rPr>
              <w:t>Problema</w:t>
            </w:r>
          </w:p>
        </w:tc>
        <w:tc>
          <w:tcPr>
            <w:tcW w:w="8488" w:type="dxa"/>
          </w:tcPr>
          <w:p w14:paraId="24B2DED0" w14:textId="6DAB3828" w:rsidR="00D61152" w:rsidRPr="004D2334" w:rsidRDefault="0020465E" w:rsidP="00215AD4">
            <w:pPr>
              <w:keepNext/>
              <w:spacing w:before="120" w:after="120"/>
              <w:jc w:val="center"/>
              <w:rPr>
                <w:rFonts w:ascii="Times New Roman" w:hAnsi="Times New Roman" w:cs="Times New Roman"/>
                <w:b/>
                <w:bCs/>
                <w:noProof/>
              </w:rPr>
            </w:pPr>
            <w:r>
              <w:rPr>
                <w:rFonts w:ascii="Times New Roman" w:hAnsi="Times New Roman"/>
                <w:b/>
                <w:noProof/>
              </w:rPr>
              <w:t>Veiksmai</w:t>
            </w:r>
          </w:p>
        </w:tc>
        <w:tc>
          <w:tcPr>
            <w:tcW w:w="2186" w:type="dxa"/>
          </w:tcPr>
          <w:p w14:paraId="7D1A882F" w14:textId="77777777" w:rsidR="00D61152" w:rsidRPr="004D2334" w:rsidRDefault="00D61152" w:rsidP="00215AD4">
            <w:pPr>
              <w:keepNext/>
              <w:spacing w:before="120" w:after="120"/>
              <w:jc w:val="center"/>
              <w:rPr>
                <w:rFonts w:ascii="Times New Roman" w:hAnsi="Times New Roman" w:cs="Times New Roman"/>
                <w:b/>
                <w:bCs/>
                <w:noProof/>
              </w:rPr>
            </w:pPr>
            <w:r>
              <w:rPr>
                <w:rFonts w:ascii="Times New Roman" w:hAnsi="Times New Roman"/>
                <w:b/>
                <w:noProof/>
              </w:rPr>
              <w:t>Atsakingas subjektas</w:t>
            </w:r>
          </w:p>
        </w:tc>
      </w:tr>
      <w:tr w:rsidR="00433697" w:rsidRPr="004D2334" w14:paraId="425E635E" w14:textId="77777777" w:rsidTr="00B11F33">
        <w:trPr>
          <w:trHeight w:val="1372"/>
        </w:trPr>
        <w:tc>
          <w:tcPr>
            <w:tcW w:w="3397" w:type="dxa"/>
            <w:vMerge w:val="restart"/>
          </w:tcPr>
          <w:p w14:paraId="2FE2C322" w14:textId="4AE07949" w:rsidR="00433697" w:rsidRPr="000F281F" w:rsidRDefault="00433697" w:rsidP="000F281F">
            <w:pPr>
              <w:pStyle w:val="ListParagraph"/>
              <w:numPr>
                <w:ilvl w:val="0"/>
                <w:numId w:val="2"/>
              </w:numPr>
              <w:spacing w:before="120" w:after="120"/>
              <w:rPr>
                <w:rFonts w:ascii="Times New Roman" w:hAnsi="Times New Roman" w:cs="Times New Roman"/>
                <w:noProof/>
              </w:rPr>
            </w:pPr>
            <w:r>
              <w:rPr>
                <w:rFonts w:ascii="Times New Roman" w:hAnsi="Times New Roman"/>
                <w:noProof/>
              </w:rPr>
              <w:t xml:space="preserve"> Per pastaruosius metus Agentūra sudarė arba atnaujino kelis darbo tvarkos susitarimus su ES įstaigomis ir agentūromis. Tačiau kai kurie pagrindiniai jos bendradarbiavimo (visų pirma su Europolu) aspektai grindžiami susitarimais, sudarytais iki EBCG reglamento priėmimo, todėl nėra su juo suderinti.</w:t>
            </w:r>
          </w:p>
        </w:tc>
        <w:tc>
          <w:tcPr>
            <w:tcW w:w="8488" w:type="dxa"/>
          </w:tcPr>
          <w:p w14:paraId="1B28273C" w14:textId="12DE96DB" w:rsidR="00433697" w:rsidRPr="004D2334" w:rsidRDefault="00433697" w:rsidP="008F0249">
            <w:pPr>
              <w:spacing w:before="120" w:after="120"/>
              <w:rPr>
                <w:rFonts w:ascii="Times New Roman" w:hAnsi="Times New Roman" w:cs="Times New Roman"/>
                <w:noProof/>
              </w:rPr>
            </w:pPr>
            <w:r>
              <w:rPr>
                <w:rFonts w:ascii="Times New Roman" w:hAnsi="Times New Roman"/>
                <w:noProof/>
              </w:rPr>
              <w:t>20.1. Peržiūrėti darbo tvarkos susitarimus ir prireikus iš naujo dėl jų susiderėti, kad jie būtų suderinti su EBCG reglamento reikalavimais ir kad jais būtų užtikrintas veiksmingas operatyvinis bendradarbiavimas, įskaitant keitimąsi informacija.</w:t>
            </w:r>
          </w:p>
        </w:tc>
        <w:tc>
          <w:tcPr>
            <w:tcW w:w="2186" w:type="dxa"/>
          </w:tcPr>
          <w:p w14:paraId="36393B9F" w14:textId="77777777" w:rsidR="00433697" w:rsidRDefault="00433697" w:rsidP="008F0249">
            <w:pPr>
              <w:spacing w:before="120" w:after="120"/>
              <w:jc w:val="both"/>
              <w:rPr>
                <w:rFonts w:ascii="Times New Roman" w:hAnsi="Times New Roman" w:cs="Times New Roman"/>
                <w:noProof/>
              </w:rPr>
            </w:pPr>
            <w:r>
              <w:rPr>
                <w:rFonts w:ascii="Times New Roman" w:hAnsi="Times New Roman"/>
                <w:noProof/>
              </w:rPr>
              <w:t>FRONTEX</w:t>
            </w:r>
          </w:p>
          <w:p w14:paraId="3A67FCEA" w14:textId="2A881BA4" w:rsidR="00433697" w:rsidRPr="004D2334" w:rsidRDefault="00433697" w:rsidP="008F0249">
            <w:pPr>
              <w:spacing w:before="120" w:after="120"/>
              <w:jc w:val="both"/>
              <w:rPr>
                <w:rFonts w:ascii="Times New Roman" w:hAnsi="Times New Roman" w:cs="Times New Roman"/>
                <w:noProof/>
              </w:rPr>
            </w:pPr>
            <w:r>
              <w:rPr>
                <w:rFonts w:ascii="Times New Roman" w:hAnsi="Times New Roman"/>
                <w:noProof/>
              </w:rPr>
              <w:t>Valdančioji taryba</w:t>
            </w:r>
          </w:p>
        </w:tc>
      </w:tr>
      <w:tr w:rsidR="00433697" w:rsidRPr="004D2334" w14:paraId="4EFCD2FC" w14:textId="77777777" w:rsidTr="00034E1A">
        <w:trPr>
          <w:trHeight w:val="1372"/>
        </w:trPr>
        <w:tc>
          <w:tcPr>
            <w:tcW w:w="3397" w:type="dxa"/>
            <w:vMerge/>
          </w:tcPr>
          <w:p w14:paraId="1C7E8B83" w14:textId="77777777" w:rsidR="00433697" w:rsidRPr="000F281F" w:rsidRDefault="00433697" w:rsidP="000F281F">
            <w:pPr>
              <w:pStyle w:val="ListParagraph"/>
              <w:numPr>
                <w:ilvl w:val="0"/>
                <w:numId w:val="2"/>
              </w:numPr>
              <w:spacing w:before="120" w:after="120"/>
              <w:rPr>
                <w:rFonts w:ascii="Times New Roman" w:hAnsi="Times New Roman" w:cs="Times New Roman"/>
                <w:noProof/>
                <w:lang w:val="en-IE"/>
              </w:rPr>
            </w:pPr>
          </w:p>
        </w:tc>
        <w:tc>
          <w:tcPr>
            <w:tcW w:w="8488" w:type="dxa"/>
          </w:tcPr>
          <w:p w14:paraId="3DBAEFA4" w14:textId="693806F0" w:rsidR="00433697" w:rsidRDefault="00433697" w:rsidP="008F0249">
            <w:pPr>
              <w:spacing w:before="120" w:after="120"/>
              <w:rPr>
                <w:rFonts w:ascii="Times New Roman" w:hAnsi="Times New Roman" w:cs="Times New Roman"/>
                <w:noProof/>
              </w:rPr>
            </w:pPr>
            <w:r>
              <w:rPr>
                <w:rFonts w:ascii="Times New Roman" w:hAnsi="Times New Roman"/>
                <w:noProof/>
              </w:rPr>
              <w:t xml:space="preserve">20.2. Sudaryti atnaujintą Europolo ir FRONTEX darbo tvarkos susitarimą siekiant palengvinti, </w:t>
            </w:r>
            <w:r>
              <w:rPr>
                <w:rFonts w:ascii="Times New Roman" w:hAnsi="Times New Roman"/>
                <w:i/>
                <w:noProof/>
              </w:rPr>
              <w:t>inter alia</w:t>
            </w:r>
            <w:r>
              <w:rPr>
                <w:rFonts w:ascii="Times New Roman" w:hAnsi="Times New Roman"/>
                <w:noProof/>
              </w:rPr>
              <w:t>, duomenų perdavimą kovos su neteisėtu migrantų gabenimu tikslais.</w:t>
            </w:r>
          </w:p>
        </w:tc>
        <w:tc>
          <w:tcPr>
            <w:tcW w:w="2186" w:type="dxa"/>
          </w:tcPr>
          <w:p w14:paraId="7BAE9034" w14:textId="77777777" w:rsidR="00433697" w:rsidRDefault="00EF14BE" w:rsidP="008F0249">
            <w:pPr>
              <w:spacing w:before="120" w:after="120"/>
              <w:jc w:val="both"/>
              <w:rPr>
                <w:rFonts w:ascii="Times New Roman" w:hAnsi="Times New Roman" w:cs="Times New Roman"/>
                <w:noProof/>
              </w:rPr>
            </w:pPr>
            <w:r>
              <w:rPr>
                <w:rFonts w:ascii="Times New Roman" w:hAnsi="Times New Roman"/>
                <w:noProof/>
              </w:rPr>
              <w:t>FRONTEX</w:t>
            </w:r>
          </w:p>
          <w:p w14:paraId="47883241" w14:textId="0FC447B1" w:rsidR="00EF14BE" w:rsidRDefault="00EF14BE" w:rsidP="008F0249">
            <w:pPr>
              <w:spacing w:before="120" w:after="120"/>
              <w:jc w:val="both"/>
              <w:rPr>
                <w:rFonts w:ascii="Times New Roman" w:hAnsi="Times New Roman" w:cs="Times New Roman"/>
                <w:noProof/>
              </w:rPr>
            </w:pPr>
            <w:r>
              <w:rPr>
                <w:rFonts w:ascii="Times New Roman" w:hAnsi="Times New Roman"/>
                <w:noProof/>
              </w:rPr>
              <w:t>Europolas</w:t>
            </w:r>
          </w:p>
        </w:tc>
      </w:tr>
      <w:tr w:rsidR="00944DC1" w:rsidRPr="004D2334" w14:paraId="2B1EA71C" w14:textId="77777777" w:rsidTr="00034E1A">
        <w:tc>
          <w:tcPr>
            <w:tcW w:w="3397" w:type="dxa"/>
          </w:tcPr>
          <w:p w14:paraId="1EB8E014" w14:textId="7BCA58AD" w:rsidR="00944DC1" w:rsidRPr="00B20BE8" w:rsidRDefault="00944DC1" w:rsidP="00B20BE8">
            <w:pPr>
              <w:pStyle w:val="ListParagraph"/>
              <w:numPr>
                <w:ilvl w:val="0"/>
                <w:numId w:val="2"/>
              </w:numPr>
              <w:spacing w:before="120" w:after="120"/>
              <w:rPr>
                <w:rFonts w:ascii="Times New Roman" w:hAnsi="Times New Roman" w:cs="Times New Roman"/>
                <w:noProof/>
              </w:rPr>
            </w:pPr>
            <w:r>
              <w:rPr>
                <w:rFonts w:ascii="Times New Roman" w:hAnsi="Times New Roman"/>
                <w:noProof/>
              </w:rPr>
              <w:t>Bendradarbiaujant su trečiosiomis šalimis kovos su neteisėta migracija ir susijusiu tarpvalstybiniu nusikalstamumu, visų pirma neteisėtu migrantų gabenimu, srityje nėra visapusiškai išnaudojama sąveika su kitomis ES agentūromis.</w:t>
            </w:r>
          </w:p>
        </w:tc>
        <w:tc>
          <w:tcPr>
            <w:tcW w:w="8488" w:type="dxa"/>
          </w:tcPr>
          <w:p w14:paraId="35791E5B" w14:textId="70F82CA2" w:rsidR="00944DC1" w:rsidRDefault="00567CF4" w:rsidP="008F0249">
            <w:pPr>
              <w:spacing w:before="120" w:after="120"/>
              <w:rPr>
                <w:rFonts w:ascii="Times New Roman" w:hAnsi="Times New Roman" w:cs="Times New Roman"/>
                <w:noProof/>
              </w:rPr>
            </w:pPr>
            <w:r>
              <w:rPr>
                <w:rFonts w:ascii="Times New Roman" w:hAnsi="Times New Roman"/>
                <w:noProof/>
              </w:rPr>
              <w:t>21.1. Plėtoti glaudesnį bendradarbiavimą su kitomis ES agentūromis, neviršijant agentūrų teisinių įgaliojimų ir siekiant optimizuoti išteklių, informacijos ir praktinės patirties naudojimą, kad būtų sustiprintas bendradarbiavimas su trečiosiomis šalimis kovojant su neteisėta migracija ir susijusiu tarpvalstybiniu nusikalstamumu.</w:t>
            </w:r>
          </w:p>
        </w:tc>
        <w:tc>
          <w:tcPr>
            <w:tcW w:w="2186" w:type="dxa"/>
          </w:tcPr>
          <w:p w14:paraId="00A746C3" w14:textId="77777777" w:rsidR="00944DC1" w:rsidRDefault="008B619A" w:rsidP="008F0249">
            <w:pPr>
              <w:spacing w:before="120" w:after="120"/>
              <w:jc w:val="both"/>
              <w:rPr>
                <w:rFonts w:ascii="Times New Roman" w:hAnsi="Times New Roman" w:cs="Times New Roman"/>
                <w:noProof/>
              </w:rPr>
            </w:pPr>
            <w:r>
              <w:rPr>
                <w:rFonts w:ascii="Times New Roman" w:hAnsi="Times New Roman"/>
                <w:noProof/>
              </w:rPr>
              <w:t>FRONTEX</w:t>
            </w:r>
          </w:p>
          <w:p w14:paraId="500526AD" w14:textId="77777777" w:rsidR="008B619A" w:rsidRDefault="008B619A" w:rsidP="008F0249">
            <w:pPr>
              <w:spacing w:before="120" w:after="120"/>
              <w:jc w:val="both"/>
              <w:rPr>
                <w:rFonts w:ascii="Times New Roman" w:hAnsi="Times New Roman" w:cs="Times New Roman"/>
                <w:noProof/>
              </w:rPr>
            </w:pPr>
            <w:r>
              <w:rPr>
                <w:rFonts w:ascii="Times New Roman" w:hAnsi="Times New Roman"/>
                <w:noProof/>
              </w:rPr>
              <w:t xml:space="preserve">Europolas </w:t>
            </w:r>
          </w:p>
          <w:p w14:paraId="028E60A7" w14:textId="4279AD43" w:rsidR="008B619A" w:rsidRDefault="008B619A" w:rsidP="008F0249">
            <w:pPr>
              <w:spacing w:before="120" w:after="120"/>
              <w:jc w:val="both"/>
              <w:rPr>
                <w:rFonts w:ascii="Times New Roman" w:hAnsi="Times New Roman" w:cs="Times New Roman"/>
                <w:noProof/>
              </w:rPr>
            </w:pPr>
            <w:r>
              <w:rPr>
                <w:rFonts w:ascii="Times New Roman" w:hAnsi="Times New Roman"/>
                <w:noProof/>
              </w:rPr>
              <w:t>Eurojustas</w:t>
            </w:r>
          </w:p>
        </w:tc>
      </w:tr>
      <w:tr w:rsidR="00D61152" w:rsidRPr="004D2334" w14:paraId="3589E8EC" w14:textId="77777777" w:rsidTr="00034E1A">
        <w:tc>
          <w:tcPr>
            <w:tcW w:w="3397" w:type="dxa"/>
          </w:tcPr>
          <w:p w14:paraId="3A16D621" w14:textId="30AD2506" w:rsidR="00D61152" w:rsidRPr="00567CF4" w:rsidRDefault="005C5AF3" w:rsidP="00567CF4">
            <w:pPr>
              <w:pStyle w:val="ListParagraph"/>
              <w:numPr>
                <w:ilvl w:val="0"/>
                <w:numId w:val="2"/>
              </w:numPr>
              <w:spacing w:before="120" w:after="120"/>
              <w:rPr>
                <w:rFonts w:ascii="Times New Roman" w:hAnsi="Times New Roman" w:cs="Times New Roman"/>
                <w:noProof/>
              </w:rPr>
            </w:pPr>
            <w:r>
              <w:rPr>
                <w:rFonts w:ascii="Times New Roman" w:hAnsi="Times New Roman"/>
                <w:noProof/>
              </w:rPr>
              <w:t>Agentūra yra sudariusi darbo tvarkos susitarimus su keliomis tarptautinėmis organizacijomis, įskaitant kai kuriuos sudarytus iki EBCG reglamento priėmimo ir jame neišvardytus.</w:t>
            </w:r>
          </w:p>
        </w:tc>
        <w:tc>
          <w:tcPr>
            <w:tcW w:w="8488" w:type="dxa"/>
          </w:tcPr>
          <w:p w14:paraId="192186AF" w14:textId="3D01081F" w:rsidR="00D61152" w:rsidRPr="004D2334" w:rsidRDefault="00567CF4" w:rsidP="005C5AF3">
            <w:pPr>
              <w:spacing w:before="120" w:after="120"/>
              <w:rPr>
                <w:rFonts w:ascii="Times New Roman" w:hAnsi="Times New Roman" w:cs="Times New Roman"/>
                <w:noProof/>
              </w:rPr>
            </w:pPr>
            <w:r>
              <w:rPr>
                <w:rFonts w:ascii="Times New Roman" w:hAnsi="Times New Roman"/>
                <w:noProof/>
              </w:rPr>
              <w:t>22.1. Peržiūrėti galiojančius darbo tvarkos susitarimus su tarptautinėmis organizacijomis ir suderinti juos su EBCG reglamentu.</w:t>
            </w:r>
          </w:p>
        </w:tc>
        <w:tc>
          <w:tcPr>
            <w:tcW w:w="2186" w:type="dxa"/>
          </w:tcPr>
          <w:p w14:paraId="4509A812" w14:textId="77777777" w:rsidR="005C5AF3" w:rsidRPr="005C5AF3" w:rsidRDefault="005C5AF3" w:rsidP="005C5AF3">
            <w:pPr>
              <w:spacing w:before="120" w:after="120"/>
              <w:jc w:val="both"/>
              <w:rPr>
                <w:rFonts w:ascii="Times New Roman" w:hAnsi="Times New Roman" w:cs="Times New Roman"/>
                <w:noProof/>
              </w:rPr>
            </w:pPr>
            <w:r>
              <w:rPr>
                <w:rFonts w:ascii="Times New Roman" w:hAnsi="Times New Roman"/>
                <w:noProof/>
              </w:rPr>
              <w:t>FRONTEX</w:t>
            </w:r>
          </w:p>
          <w:p w14:paraId="3638A11F" w14:textId="1E819D12" w:rsidR="00D61152" w:rsidRPr="004D2334" w:rsidRDefault="005C5AF3" w:rsidP="005C5AF3">
            <w:pPr>
              <w:spacing w:before="120" w:after="120"/>
              <w:jc w:val="both"/>
              <w:rPr>
                <w:rFonts w:ascii="Times New Roman" w:hAnsi="Times New Roman" w:cs="Times New Roman"/>
                <w:noProof/>
              </w:rPr>
            </w:pPr>
            <w:r>
              <w:rPr>
                <w:rFonts w:ascii="Times New Roman" w:hAnsi="Times New Roman"/>
                <w:noProof/>
              </w:rPr>
              <w:t>Valdančioji taryba</w:t>
            </w:r>
          </w:p>
        </w:tc>
      </w:tr>
      <w:tr w:rsidR="00D61152" w:rsidRPr="004D2334" w14:paraId="39D23776" w14:textId="77777777" w:rsidTr="00034E1A">
        <w:tc>
          <w:tcPr>
            <w:tcW w:w="3397" w:type="dxa"/>
          </w:tcPr>
          <w:p w14:paraId="06B9643A" w14:textId="4C3D7597" w:rsidR="00D61152" w:rsidRPr="00567CF4" w:rsidRDefault="00280055" w:rsidP="00567CF4">
            <w:pPr>
              <w:pStyle w:val="ListParagraph"/>
              <w:numPr>
                <w:ilvl w:val="0"/>
                <w:numId w:val="2"/>
              </w:numPr>
              <w:spacing w:before="120" w:after="120"/>
              <w:rPr>
                <w:rFonts w:ascii="Times New Roman" w:hAnsi="Times New Roman" w:cs="Times New Roman"/>
                <w:noProof/>
              </w:rPr>
            </w:pPr>
            <w:r>
              <w:rPr>
                <w:rFonts w:ascii="Times New Roman" w:hAnsi="Times New Roman"/>
                <w:noProof/>
              </w:rPr>
              <w:t>Susitarimais dėl statuso sudaromos sąlygos FRONTEX siųsti darbuotojus į trečiąsias šalis siekiant sustiprinti jų išorės sienų apsaugą. Tačiau susitarimai dėl statuso dar nesudaryti su svarbiomis migracijos į ES kilmės ar tranzito šalimis.</w:t>
            </w:r>
          </w:p>
        </w:tc>
        <w:tc>
          <w:tcPr>
            <w:tcW w:w="8488" w:type="dxa"/>
          </w:tcPr>
          <w:p w14:paraId="33F7A8AC" w14:textId="2099BC10" w:rsidR="00D61152" w:rsidRDefault="00567CF4" w:rsidP="00280055">
            <w:pPr>
              <w:spacing w:before="120" w:after="120"/>
              <w:rPr>
                <w:rFonts w:ascii="Times New Roman" w:hAnsi="Times New Roman" w:cs="Times New Roman"/>
                <w:noProof/>
              </w:rPr>
            </w:pPr>
            <w:r>
              <w:rPr>
                <w:rFonts w:ascii="Times New Roman" w:hAnsi="Times New Roman"/>
                <w:noProof/>
              </w:rPr>
              <w:t>23.1. Intensyvinti pastangas derėtis dėl susitarimų dėl statuso su prioritetinėmis trečiosiomis šalimis ir juos sudaryti, atsižvelgiant į bendrus ES santykius su šiomis šalimis, kad pagal veiklos poreikius būtų galima siųsti nuolatinį korpusą ir techninę įrangą.</w:t>
            </w:r>
          </w:p>
          <w:p w14:paraId="1146CB48" w14:textId="753F6238" w:rsidR="0017638B" w:rsidRPr="00B23B2A" w:rsidRDefault="0017638B" w:rsidP="00280055">
            <w:pPr>
              <w:spacing w:before="120" w:after="120"/>
              <w:rPr>
                <w:rFonts w:ascii="Times New Roman" w:hAnsi="Times New Roman" w:cs="Times New Roman"/>
                <w:noProof/>
              </w:rPr>
            </w:pPr>
          </w:p>
        </w:tc>
        <w:tc>
          <w:tcPr>
            <w:tcW w:w="2186" w:type="dxa"/>
          </w:tcPr>
          <w:p w14:paraId="63F14433" w14:textId="2BFE5D5D" w:rsidR="00D61152" w:rsidRPr="004D2334" w:rsidRDefault="00280055" w:rsidP="008F0249">
            <w:pPr>
              <w:spacing w:before="120" w:after="120"/>
              <w:jc w:val="both"/>
              <w:rPr>
                <w:rFonts w:ascii="Times New Roman" w:hAnsi="Times New Roman" w:cs="Times New Roman"/>
                <w:noProof/>
              </w:rPr>
            </w:pPr>
            <w:r>
              <w:rPr>
                <w:rFonts w:ascii="Times New Roman" w:hAnsi="Times New Roman"/>
                <w:noProof/>
              </w:rPr>
              <w:t>Europos Komisija</w:t>
            </w:r>
          </w:p>
        </w:tc>
      </w:tr>
      <w:tr w:rsidR="004C7EC8" w:rsidRPr="004D2334" w14:paraId="6F4E41C6" w14:textId="77777777" w:rsidTr="00034E1A">
        <w:tc>
          <w:tcPr>
            <w:tcW w:w="3397" w:type="dxa"/>
            <w:vMerge w:val="restart"/>
          </w:tcPr>
          <w:p w14:paraId="59AC3918" w14:textId="1E56FAF1" w:rsidR="004C7EC8" w:rsidRPr="00567CF4" w:rsidRDefault="004C7EC8" w:rsidP="00567CF4">
            <w:pPr>
              <w:pStyle w:val="ListParagraph"/>
              <w:numPr>
                <w:ilvl w:val="0"/>
                <w:numId w:val="2"/>
              </w:numPr>
              <w:spacing w:before="120" w:after="120"/>
              <w:rPr>
                <w:rFonts w:ascii="Times New Roman" w:hAnsi="Times New Roman" w:cs="Times New Roman"/>
                <w:noProof/>
              </w:rPr>
            </w:pPr>
            <w:r>
              <w:rPr>
                <w:rFonts w:ascii="Times New Roman" w:hAnsi="Times New Roman"/>
                <w:noProof/>
              </w:rPr>
              <w:t>Agentūra negalėjo sudaryti jokių naujų darbo tvarkos susitarimų su trečiosiomis šalimis pagal EBCG reglamentą, nes Europos duomenų apsaugos priežiūros pareigūnas laikėsi nuomonės, kad Komisijos pavyzdiniame darbo tvarkos susitarime įtvirtintos nuostatos dėl asmens duomenų apsaugos yra nepakankamos.</w:t>
            </w:r>
          </w:p>
        </w:tc>
        <w:tc>
          <w:tcPr>
            <w:tcW w:w="8488" w:type="dxa"/>
          </w:tcPr>
          <w:p w14:paraId="3F1725C3" w14:textId="44D083C9" w:rsidR="004C7EC8" w:rsidRPr="00972A78" w:rsidRDefault="00972A78" w:rsidP="00972A78">
            <w:pPr>
              <w:spacing w:before="120" w:after="120"/>
              <w:rPr>
                <w:rFonts w:ascii="Times New Roman" w:hAnsi="Times New Roman" w:cs="Times New Roman"/>
                <w:noProof/>
              </w:rPr>
            </w:pPr>
            <w:r>
              <w:rPr>
                <w:rFonts w:ascii="Times New Roman" w:hAnsi="Times New Roman"/>
                <w:noProof/>
              </w:rPr>
              <w:t>24.1. Atnaujinti pavyzdinį darbo tvarkos susitarimą įtraukiant nuostatas, kuriomis būtų užtikrinama asmens duomenų apsauga pagal taikytiną ES teisinę sistemą.</w:t>
            </w:r>
          </w:p>
        </w:tc>
        <w:tc>
          <w:tcPr>
            <w:tcW w:w="2186" w:type="dxa"/>
          </w:tcPr>
          <w:p w14:paraId="76106DB9" w14:textId="5E438EC7" w:rsidR="004C7EC8" w:rsidRDefault="004C7EC8" w:rsidP="008F0249">
            <w:pPr>
              <w:spacing w:before="120" w:after="120"/>
              <w:jc w:val="both"/>
              <w:rPr>
                <w:rFonts w:ascii="Times New Roman" w:hAnsi="Times New Roman" w:cs="Times New Roman"/>
                <w:noProof/>
              </w:rPr>
            </w:pPr>
            <w:r>
              <w:rPr>
                <w:rFonts w:ascii="Times New Roman" w:hAnsi="Times New Roman"/>
                <w:noProof/>
              </w:rPr>
              <w:t>Europos Komisija</w:t>
            </w:r>
          </w:p>
        </w:tc>
      </w:tr>
      <w:tr w:rsidR="004C7EC8" w:rsidRPr="004D2334" w14:paraId="2D32350B" w14:textId="77777777" w:rsidTr="00034E1A">
        <w:tc>
          <w:tcPr>
            <w:tcW w:w="3397" w:type="dxa"/>
            <w:vMerge/>
          </w:tcPr>
          <w:p w14:paraId="051BB517" w14:textId="77777777" w:rsidR="004C7EC8" w:rsidRDefault="004C7EC8" w:rsidP="00280055">
            <w:pPr>
              <w:spacing w:before="120" w:after="120"/>
              <w:rPr>
                <w:rFonts w:ascii="Times New Roman" w:hAnsi="Times New Roman" w:cs="Times New Roman"/>
                <w:noProof/>
                <w:lang w:val="en-IE"/>
              </w:rPr>
            </w:pPr>
          </w:p>
        </w:tc>
        <w:tc>
          <w:tcPr>
            <w:tcW w:w="8488" w:type="dxa"/>
          </w:tcPr>
          <w:p w14:paraId="12FEDA8C" w14:textId="0E5C84EC" w:rsidR="004C7EC8" w:rsidRPr="00972A78" w:rsidRDefault="00972A78" w:rsidP="00972A78">
            <w:pPr>
              <w:spacing w:before="120" w:after="120"/>
              <w:rPr>
                <w:rFonts w:ascii="Times New Roman" w:hAnsi="Times New Roman" w:cs="Times New Roman"/>
                <w:noProof/>
              </w:rPr>
            </w:pPr>
            <w:r>
              <w:rPr>
                <w:rFonts w:ascii="Times New Roman" w:hAnsi="Times New Roman"/>
                <w:noProof/>
              </w:rPr>
              <w:t>24.2. Intensyvinti pastangas sudaryti darbo tvarkos susitarimus su trečiosiomis šalimis, įtraukiant atitinkamas nuostatas dėl asmens duomenų apsaugos.</w:t>
            </w:r>
          </w:p>
        </w:tc>
        <w:tc>
          <w:tcPr>
            <w:tcW w:w="2186" w:type="dxa"/>
          </w:tcPr>
          <w:p w14:paraId="4A309583" w14:textId="77777777" w:rsidR="004C7EC8" w:rsidRDefault="004C7EC8" w:rsidP="008F0249">
            <w:pPr>
              <w:spacing w:before="120" w:after="120"/>
              <w:jc w:val="both"/>
              <w:rPr>
                <w:rFonts w:ascii="Times New Roman" w:hAnsi="Times New Roman" w:cs="Times New Roman"/>
                <w:noProof/>
              </w:rPr>
            </w:pPr>
            <w:r>
              <w:rPr>
                <w:rFonts w:ascii="Times New Roman" w:hAnsi="Times New Roman"/>
                <w:noProof/>
              </w:rPr>
              <w:t>FRONTEX</w:t>
            </w:r>
          </w:p>
          <w:p w14:paraId="5612E042" w14:textId="3B148E08" w:rsidR="004C7EC8" w:rsidRDefault="004C7EC8" w:rsidP="008F0249">
            <w:pPr>
              <w:spacing w:before="120" w:after="120"/>
              <w:jc w:val="both"/>
              <w:rPr>
                <w:rFonts w:ascii="Times New Roman" w:hAnsi="Times New Roman" w:cs="Times New Roman"/>
                <w:noProof/>
              </w:rPr>
            </w:pPr>
            <w:r>
              <w:rPr>
                <w:rFonts w:ascii="Times New Roman" w:hAnsi="Times New Roman"/>
                <w:noProof/>
              </w:rPr>
              <w:t>Valdančioji taryba</w:t>
            </w:r>
          </w:p>
        </w:tc>
      </w:tr>
    </w:tbl>
    <w:p w14:paraId="2852D89B" w14:textId="77777777" w:rsidR="00F2505A" w:rsidRDefault="00F2505A" w:rsidP="004D2334">
      <w:pPr>
        <w:spacing w:before="120" w:after="120" w:line="240" w:lineRule="auto"/>
        <w:jc w:val="both"/>
        <w:rPr>
          <w:rFonts w:ascii="Times New Roman" w:hAnsi="Times New Roman" w:cs="Times New Roman"/>
          <w:noProof/>
          <w:lang w:val="en-IE"/>
        </w:rPr>
      </w:pPr>
    </w:p>
    <w:p w14:paraId="0A4F3D12" w14:textId="366ABB02" w:rsidR="005C71D3" w:rsidRPr="00F2505A" w:rsidRDefault="0092410B" w:rsidP="005C71D3">
      <w:pPr>
        <w:spacing w:before="120" w:after="120" w:line="240" w:lineRule="auto"/>
        <w:jc w:val="both"/>
        <w:rPr>
          <w:rFonts w:ascii="Times New Roman" w:hAnsi="Times New Roman" w:cs="Times New Roman"/>
          <w:b/>
          <w:bCs/>
          <w:i/>
          <w:iCs/>
          <w:noProof/>
          <w:sz w:val="24"/>
          <w:szCs w:val="24"/>
        </w:rPr>
      </w:pPr>
      <w:r>
        <w:rPr>
          <w:rFonts w:ascii="Times New Roman" w:hAnsi="Times New Roman"/>
          <w:b/>
          <w:i/>
          <w:noProof/>
          <w:sz w:val="24"/>
        </w:rPr>
        <w:t>Pagrindinės teisės</w:t>
      </w:r>
    </w:p>
    <w:tbl>
      <w:tblPr>
        <w:tblStyle w:val="TableGrid"/>
        <w:tblW w:w="14071" w:type="dxa"/>
        <w:tblLook w:val="04A0" w:firstRow="1" w:lastRow="0" w:firstColumn="1" w:lastColumn="0" w:noHBand="0" w:noVBand="1"/>
      </w:tblPr>
      <w:tblGrid>
        <w:gridCol w:w="3397"/>
        <w:gridCol w:w="8548"/>
        <w:gridCol w:w="2126"/>
      </w:tblGrid>
      <w:tr w:rsidR="005C71D3" w:rsidRPr="004D2334" w14:paraId="46ED69E7" w14:textId="77777777" w:rsidTr="00034E1A">
        <w:tc>
          <w:tcPr>
            <w:tcW w:w="3397" w:type="dxa"/>
          </w:tcPr>
          <w:p w14:paraId="1CE68A4C" w14:textId="061BE66D" w:rsidR="005C71D3" w:rsidRPr="004D2334" w:rsidRDefault="00B25467" w:rsidP="008F0249">
            <w:pPr>
              <w:spacing w:before="120" w:after="120"/>
              <w:jc w:val="center"/>
              <w:rPr>
                <w:rFonts w:ascii="Times New Roman" w:hAnsi="Times New Roman" w:cs="Times New Roman"/>
                <w:b/>
                <w:bCs/>
                <w:noProof/>
              </w:rPr>
            </w:pPr>
            <w:r>
              <w:rPr>
                <w:rFonts w:ascii="Times New Roman" w:hAnsi="Times New Roman"/>
                <w:b/>
                <w:noProof/>
              </w:rPr>
              <w:t>Problema</w:t>
            </w:r>
          </w:p>
        </w:tc>
        <w:tc>
          <w:tcPr>
            <w:tcW w:w="8548" w:type="dxa"/>
          </w:tcPr>
          <w:p w14:paraId="53544646" w14:textId="77777777" w:rsidR="005C71D3" w:rsidRPr="004D2334" w:rsidRDefault="005C71D3" w:rsidP="008F0249">
            <w:pPr>
              <w:spacing w:before="120" w:after="120"/>
              <w:jc w:val="center"/>
              <w:rPr>
                <w:rFonts w:ascii="Times New Roman" w:hAnsi="Times New Roman" w:cs="Times New Roman"/>
                <w:b/>
                <w:bCs/>
                <w:noProof/>
              </w:rPr>
            </w:pPr>
            <w:r>
              <w:rPr>
                <w:rFonts w:ascii="Times New Roman" w:hAnsi="Times New Roman"/>
                <w:b/>
                <w:noProof/>
              </w:rPr>
              <w:t>Veiksmai</w:t>
            </w:r>
          </w:p>
        </w:tc>
        <w:tc>
          <w:tcPr>
            <w:tcW w:w="2126" w:type="dxa"/>
          </w:tcPr>
          <w:p w14:paraId="6318BBE7" w14:textId="77777777" w:rsidR="005C71D3" w:rsidRPr="004D2334" w:rsidRDefault="005C71D3" w:rsidP="008F0249">
            <w:pPr>
              <w:spacing w:before="120" w:after="120"/>
              <w:jc w:val="center"/>
              <w:rPr>
                <w:rFonts w:ascii="Times New Roman" w:hAnsi="Times New Roman" w:cs="Times New Roman"/>
                <w:b/>
                <w:bCs/>
                <w:noProof/>
              </w:rPr>
            </w:pPr>
            <w:r>
              <w:rPr>
                <w:rFonts w:ascii="Times New Roman" w:hAnsi="Times New Roman"/>
                <w:b/>
                <w:noProof/>
              </w:rPr>
              <w:t>Atsakingas subjektas</w:t>
            </w:r>
          </w:p>
        </w:tc>
      </w:tr>
      <w:tr w:rsidR="00723F3E" w:rsidRPr="004D2334" w14:paraId="0C209695" w14:textId="77777777" w:rsidTr="00034E1A">
        <w:tc>
          <w:tcPr>
            <w:tcW w:w="3397" w:type="dxa"/>
            <w:vMerge w:val="restart"/>
          </w:tcPr>
          <w:p w14:paraId="1D04ACB8" w14:textId="0212E9E7" w:rsidR="00723F3E" w:rsidRPr="00567CF4" w:rsidRDefault="00723F3E" w:rsidP="00567CF4">
            <w:pPr>
              <w:pStyle w:val="ListParagraph"/>
              <w:numPr>
                <w:ilvl w:val="0"/>
                <w:numId w:val="2"/>
              </w:numPr>
              <w:spacing w:before="120" w:after="120"/>
              <w:rPr>
                <w:rFonts w:ascii="Times New Roman" w:hAnsi="Times New Roman" w:cs="Times New Roman"/>
                <w:noProof/>
              </w:rPr>
            </w:pPr>
            <w:r>
              <w:rPr>
                <w:rFonts w:ascii="Times New Roman" w:hAnsi="Times New Roman"/>
                <w:noProof/>
              </w:rPr>
              <w:t>Agentūros pagrindinių teisių strategija dar nėra iki galo įgyvendinta.</w:t>
            </w:r>
          </w:p>
        </w:tc>
        <w:tc>
          <w:tcPr>
            <w:tcW w:w="8548" w:type="dxa"/>
          </w:tcPr>
          <w:p w14:paraId="5762D49A" w14:textId="50E092CD" w:rsidR="00723F3E" w:rsidRPr="004D2334" w:rsidRDefault="00567CF4" w:rsidP="008F0249">
            <w:pPr>
              <w:spacing w:before="120" w:after="120"/>
              <w:rPr>
                <w:rFonts w:ascii="Times New Roman" w:hAnsi="Times New Roman" w:cs="Times New Roman"/>
                <w:noProof/>
              </w:rPr>
            </w:pPr>
            <w:r>
              <w:rPr>
                <w:rFonts w:ascii="Times New Roman" w:hAnsi="Times New Roman"/>
                <w:noProof/>
              </w:rPr>
              <w:t>25.1. Įgyvendinti visus Pagrindinių teisių strategijos veiksmų plano komponentus atitinkamai visoje Agentūros veikloje ir veikloje pagal EBCG.</w:t>
            </w:r>
          </w:p>
        </w:tc>
        <w:tc>
          <w:tcPr>
            <w:tcW w:w="2126" w:type="dxa"/>
          </w:tcPr>
          <w:p w14:paraId="278C5900" w14:textId="77777777" w:rsidR="00723F3E" w:rsidRDefault="00723F3E" w:rsidP="008F0249">
            <w:pPr>
              <w:spacing w:before="120" w:after="120"/>
              <w:jc w:val="both"/>
              <w:rPr>
                <w:rFonts w:ascii="Times New Roman" w:hAnsi="Times New Roman" w:cs="Times New Roman"/>
                <w:noProof/>
              </w:rPr>
            </w:pPr>
            <w:r>
              <w:rPr>
                <w:rFonts w:ascii="Times New Roman" w:hAnsi="Times New Roman"/>
                <w:noProof/>
              </w:rPr>
              <w:t xml:space="preserve">FRONTEX </w:t>
            </w:r>
          </w:p>
          <w:p w14:paraId="0582F5E9" w14:textId="28BE757F" w:rsidR="00501A9E" w:rsidRPr="004D2334" w:rsidRDefault="00501A9E" w:rsidP="008F0249">
            <w:pPr>
              <w:spacing w:before="120" w:after="120"/>
              <w:jc w:val="both"/>
              <w:rPr>
                <w:rFonts w:ascii="Times New Roman" w:hAnsi="Times New Roman" w:cs="Times New Roman"/>
                <w:noProof/>
              </w:rPr>
            </w:pPr>
            <w:r>
              <w:rPr>
                <w:rFonts w:ascii="Times New Roman" w:hAnsi="Times New Roman"/>
                <w:noProof/>
              </w:rPr>
              <w:t>Valstybės narės / Šengeno asocijuotosios šalys</w:t>
            </w:r>
          </w:p>
        </w:tc>
      </w:tr>
      <w:tr w:rsidR="00723F3E" w:rsidRPr="004D2334" w14:paraId="33120B75" w14:textId="77777777" w:rsidTr="00034E1A">
        <w:tc>
          <w:tcPr>
            <w:tcW w:w="3397" w:type="dxa"/>
            <w:vMerge/>
          </w:tcPr>
          <w:p w14:paraId="5D5E12B6" w14:textId="77777777" w:rsidR="00723F3E" w:rsidRPr="00B23B2A" w:rsidRDefault="00723F3E" w:rsidP="008F0249">
            <w:pPr>
              <w:spacing w:before="120" w:after="120"/>
              <w:rPr>
                <w:rFonts w:ascii="Times New Roman" w:hAnsi="Times New Roman" w:cs="Times New Roman"/>
                <w:noProof/>
              </w:rPr>
            </w:pPr>
          </w:p>
        </w:tc>
        <w:tc>
          <w:tcPr>
            <w:tcW w:w="8548" w:type="dxa"/>
          </w:tcPr>
          <w:p w14:paraId="7D00A9CE" w14:textId="0D75E82F" w:rsidR="00723F3E" w:rsidRDefault="00567CF4" w:rsidP="008F0249">
            <w:pPr>
              <w:spacing w:before="120" w:after="120"/>
              <w:rPr>
                <w:rFonts w:ascii="Times New Roman" w:hAnsi="Times New Roman" w:cs="Times New Roman"/>
                <w:noProof/>
              </w:rPr>
            </w:pPr>
            <w:r>
              <w:rPr>
                <w:rFonts w:ascii="Times New Roman" w:hAnsi="Times New Roman"/>
                <w:noProof/>
              </w:rPr>
              <w:t>25.2. Valdančiajai tarybai reguliariai teikti įgyvendinimo pažangos ir jos vertinimo ataskaitas.</w:t>
            </w:r>
          </w:p>
        </w:tc>
        <w:tc>
          <w:tcPr>
            <w:tcW w:w="2126" w:type="dxa"/>
          </w:tcPr>
          <w:p w14:paraId="1D7F2DF0" w14:textId="4E8A490B" w:rsidR="00723F3E" w:rsidRDefault="00723F3E" w:rsidP="008F0249">
            <w:pPr>
              <w:spacing w:before="120" w:after="120"/>
              <w:jc w:val="both"/>
              <w:rPr>
                <w:rFonts w:ascii="Times New Roman" w:hAnsi="Times New Roman" w:cs="Times New Roman"/>
                <w:noProof/>
              </w:rPr>
            </w:pPr>
            <w:r>
              <w:rPr>
                <w:rFonts w:ascii="Times New Roman" w:hAnsi="Times New Roman"/>
                <w:noProof/>
              </w:rPr>
              <w:t>FRONTEX</w:t>
            </w:r>
          </w:p>
        </w:tc>
      </w:tr>
      <w:tr w:rsidR="00723F3E" w:rsidRPr="004D2334" w14:paraId="4E39AA1E" w14:textId="77777777" w:rsidTr="000D68F5">
        <w:trPr>
          <w:trHeight w:val="841"/>
        </w:trPr>
        <w:tc>
          <w:tcPr>
            <w:tcW w:w="3397" w:type="dxa"/>
            <w:vMerge w:val="restart"/>
          </w:tcPr>
          <w:p w14:paraId="54F23D5E" w14:textId="6408F8EF" w:rsidR="00723F3E" w:rsidRPr="00567CF4" w:rsidRDefault="00723F3E" w:rsidP="00567CF4">
            <w:pPr>
              <w:pStyle w:val="ListParagraph"/>
              <w:numPr>
                <w:ilvl w:val="0"/>
                <w:numId w:val="2"/>
              </w:numPr>
              <w:spacing w:before="120" w:after="120"/>
              <w:rPr>
                <w:rFonts w:ascii="Times New Roman" w:hAnsi="Times New Roman" w:cs="Times New Roman"/>
                <w:noProof/>
              </w:rPr>
            </w:pPr>
            <w:r>
              <w:rPr>
                <w:rFonts w:ascii="Times New Roman" w:hAnsi="Times New Roman"/>
                <w:noProof/>
              </w:rPr>
              <w:t>Nors pagrindinių teisių pareigūnas gali tirti incidentus, įvykusius vykdant operacijas, kuriose dalyvauja Agentūra, valstybių narių darbuotojų padarytus pagrindinių teisių pažeidimus taisyti ir galiausiai už juos bausti gali tik nacionalinės institucijos. Kalbant apie tolesnių veiksmų, kurių imamasi gavus pagrindinių teisių pareigūno ataskaitas, ir bendradarbiavimo su pagrindinių teisių pareigūnu veiksmingumą, valstybių narių patirtis yra nevienoda.</w:t>
            </w:r>
          </w:p>
        </w:tc>
        <w:tc>
          <w:tcPr>
            <w:tcW w:w="8548" w:type="dxa"/>
          </w:tcPr>
          <w:p w14:paraId="6C2930AA" w14:textId="4D43EBD4" w:rsidR="00723F3E" w:rsidRPr="004D2334" w:rsidRDefault="00567CF4" w:rsidP="00911F69">
            <w:pPr>
              <w:spacing w:before="120" w:after="120"/>
              <w:rPr>
                <w:rFonts w:ascii="Times New Roman" w:hAnsi="Times New Roman" w:cs="Times New Roman"/>
                <w:noProof/>
              </w:rPr>
            </w:pPr>
            <w:r>
              <w:rPr>
                <w:rFonts w:ascii="Times New Roman" w:hAnsi="Times New Roman"/>
                <w:noProof/>
              </w:rPr>
              <w:t>26.1. Peržiūrėti ir prireikus padidinti valstybių narių nacionalinių institucijų darbuotojų galimai padaromų pagrindinių teisių pažeidimų tyrimų veiksmingumą, nepriklausomumą ir savalaikiškumą, be kita ko, parengiant aiškias ir skaidrias procedūras.</w:t>
            </w:r>
          </w:p>
        </w:tc>
        <w:tc>
          <w:tcPr>
            <w:tcW w:w="2126" w:type="dxa"/>
          </w:tcPr>
          <w:p w14:paraId="033CCAB8" w14:textId="12BF6D9B" w:rsidR="00723F3E" w:rsidRPr="004D2334" w:rsidRDefault="00723F3E" w:rsidP="008F0249">
            <w:pPr>
              <w:spacing w:before="120" w:after="120"/>
              <w:jc w:val="both"/>
              <w:rPr>
                <w:rFonts w:ascii="Times New Roman" w:hAnsi="Times New Roman" w:cs="Times New Roman"/>
                <w:noProof/>
              </w:rPr>
            </w:pPr>
            <w:r>
              <w:rPr>
                <w:rFonts w:ascii="Times New Roman" w:hAnsi="Times New Roman"/>
                <w:noProof/>
              </w:rPr>
              <w:t>Valstybės narės / Šengeno asocijuotosios šalys</w:t>
            </w:r>
          </w:p>
        </w:tc>
      </w:tr>
      <w:tr w:rsidR="008508BB" w:rsidRPr="004D2334" w14:paraId="708C0DC1" w14:textId="77777777" w:rsidTr="00034E1A">
        <w:trPr>
          <w:trHeight w:val="1141"/>
        </w:trPr>
        <w:tc>
          <w:tcPr>
            <w:tcW w:w="3397" w:type="dxa"/>
            <w:vMerge/>
          </w:tcPr>
          <w:p w14:paraId="41A4086D" w14:textId="77777777" w:rsidR="008508BB" w:rsidRPr="00B23B2A" w:rsidRDefault="008508BB" w:rsidP="00376980">
            <w:pPr>
              <w:spacing w:before="120" w:after="120"/>
              <w:rPr>
                <w:rFonts w:ascii="Times New Roman" w:hAnsi="Times New Roman" w:cs="Times New Roman"/>
                <w:noProof/>
              </w:rPr>
            </w:pPr>
          </w:p>
        </w:tc>
        <w:tc>
          <w:tcPr>
            <w:tcW w:w="8548" w:type="dxa"/>
          </w:tcPr>
          <w:p w14:paraId="4CE40707" w14:textId="14BE0B16" w:rsidR="008508BB" w:rsidRDefault="0005394F" w:rsidP="00911F69">
            <w:pPr>
              <w:spacing w:before="120" w:after="120"/>
              <w:rPr>
                <w:rFonts w:ascii="Times New Roman" w:hAnsi="Times New Roman" w:cs="Times New Roman"/>
                <w:noProof/>
              </w:rPr>
            </w:pPr>
            <w:r>
              <w:rPr>
                <w:rFonts w:ascii="Times New Roman" w:hAnsi="Times New Roman"/>
                <w:noProof/>
              </w:rPr>
              <w:t>26.2. Užtikrinti, kad visuose veiklos planuose būtų nustatytos aiškios Agentūros ir priimančiosios valstybės narės institucijų bendradarbiavimo su pagrindinių teisių pareigūnu jam vykdant tyrimus procedūros ir terminai.</w:t>
            </w:r>
          </w:p>
        </w:tc>
        <w:tc>
          <w:tcPr>
            <w:tcW w:w="2126" w:type="dxa"/>
          </w:tcPr>
          <w:p w14:paraId="3ED5283A" w14:textId="77777777" w:rsidR="008508BB" w:rsidRDefault="008508BB" w:rsidP="008F0249">
            <w:pPr>
              <w:spacing w:before="120" w:after="120"/>
              <w:jc w:val="both"/>
              <w:rPr>
                <w:rFonts w:ascii="Times New Roman" w:hAnsi="Times New Roman" w:cs="Times New Roman"/>
                <w:noProof/>
              </w:rPr>
            </w:pPr>
            <w:r>
              <w:rPr>
                <w:rFonts w:ascii="Times New Roman" w:hAnsi="Times New Roman"/>
                <w:noProof/>
              </w:rPr>
              <w:t>FRONTEX</w:t>
            </w:r>
          </w:p>
          <w:p w14:paraId="62EE71AE" w14:textId="1275014E" w:rsidR="00B65A51" w:rsidRDefault="00B65A51" w:rsidP="008F0249">
            <w:pPr>
              <w:spacing w:before="120" w:after="120"/>
              <w:jc w:val="both"/>
              <w:rPr>
                <w:rFonts w:ascii="Times New Roman" w:hAnsi="Times New Roman" w:cs="Times New Roman"/>
                <w:noProof/>
              </w:rPr>
            </w:pPr>
            <w:r>
              <w:rPr>
                <w:rFonts w:ascii="Times New Roman" w:hAnsi="Times New Roman"/>
                <w:noProof/>
              </w:rPr>
              <w:t>Valstybės narės / Šengeno asocijuotosios šalys</w:t>
            </w:r>
          </w:p>
        </w:tc>
      </w:tr>
      <w:tr w:rsidR="00A275F1" w:rsidRPr="004D2334" w14:paraId="6D4C95F0" w14:textId="77777777" w:rsidTr="00034E1A">
        <w:tc>
          <w:tcPr>
            <w:tcW w:w="3397" w:type="dxa"/>
            <w:vMerge w:val="restart"/>
          </w:tcPr>
          <w:p w14:paraId="2BDBF55E" w14:textId="077DD600" w:rsidR="00A275F1" w:rsidRPr="0005394F" w:rsidRDefault="00A275F1" w:rsidP="0005394F">
            <w:pPr>
              <w:pStyle w:val="ListParagraph"/>
              <w:numPr>
                <w:ilvl w:val="0"/>
                <w:numId w:val="2"/>
              </w:numPr>
              <w:spacing w:before="120" w:after="120"/>
              <w:rPr>
                <w:rFonts w:ascii="Times New Roman" w:hAnsi="Times New Roman" w:cs="Times New Roman"/>
                <w:noProof/>
              </w:rPr>
            </w:pPr>
            <w:r>
              <w:rPr>
                <w:rFonts w:ascii="Times New Roman" w:hAnsi="Times New Roman"/>
                <w:noProof/>
              </w:rPr>
              <w:t>Pagrindinių teisių stebėtojams tenka itin svarbus vaidmuo vertinant operacinės veiklos atitiktį pagrindinėms teisėms. Tačiau kai kuriose valstybėse narėse jiems neleidžiama patekti į tam tikras operacijų vykdymo teritorijas, o tai riboja jų galimybes atlikti savo užduotis, įtvirtintas EBCG reglamente.</w:t>
            </w:r>
          </w:p>
        </w:tc>
        <w:tc>
          <w:tcPr>
            <w:tcW w:w="8548" w:type="dxa"/>
          </w:tcPr>
          <w:p w14:paraId="3060CF1F" w14:textId="6AA8F658" w:rsidR="00A275F1" w:rsidRPr="00122A55" w:rsidRDefault="00754F07" w:rsidP="00122A55">
            <w:pPr>
              <w:spacing w:before="120" w:after="120"/>
              <w:jc w:val="both"/>
              <w:rPr>
                <w:rFonts w:ascii="Times New Roman" w:hAnsi="Times New Roman" w:cs="Times New Roman"/>
                <w:noProof/>
              </w:rPr>
            </w:pPr>
            <w:r>
              <w:rPr>
                <w:rFonts w:ascii="Times New Roman" w:hAnsi="Times New Roman"/>
                <w:noProof/>
              </w:rPr>
              <w:t>27.1. Užtikrinti, kad pagal visus veiklos planus būtų garantuojama pagrindinių teisių stebėtojų galimybė patekti į operacijų vykdymo teritorijas, įskaitant patruliavimo zonas ir apklausų pokalbius, kaip reikalaujama pagal EBCG reglamentą.</w:t>
            </w:r>
          </w:p>
        </w:tc>
        <w:tc>
          <w:tcPr>
            <w:tcW w:w="2126" w:type="dxa"/>
          </w:tcPr>
          <w:p w14:paraId="0CF6A60A" w14:textId="393A263C" w:rsidR="00A275F1" w:rsidRDefault="00A275F1" w:rsidP="008F0249">
            <w:pPr>
              <w:spacing w:before="120" w:after="120"/>
              <w:jc w:val="both"/>
              <w:rPr>
                <w:rFonts w:ascii="Times New Roman" w:hAnsi="Times New Roman" w:cs="Times New Roman"/>
                <w:noProof/>
              </w:rPr>
            </w:pPr>
            <w:r>
              <w:rPr>
                <w:rFonts w:ascii="Times New Roman" w:hAnsi="Times New Roman"/>
                <w:noProof/>
              </w:rPr>
              <w:t>FRONTEX</w:t>
            </w:r>
          </w:p>
        </w:tc>
      </w:tr>
      <w:tr w:rsidR="00A275F1" w:rsidRPr="004D2334" w14:paraId="7D727A52" w14:textId="77777777" w:rsidTr="00034E1A">
        <w:tc>
          <w:tcPr>
            <w:tcW w:w="3397" w:type="dxa"/>
            <w:vMerge/>
          </w:tcPr>
          <w:p w14:paraId="6F04BB8F" w14:textId="77777777" w:rsidR="00A275F1" w:rsidRPr="00A275F1" w:rsidRDefault="00A275F1" w:rsidP="00376980">
            <w:pPr>
              <w:spacing w:before="120" w:after="120"/>
              <w:rPr>
                <w:rFonts w:ascii="Times New Roman" w:hAnsi="Times New Roman" w:cs="Times New Roman"/>
                <w:noProof/>
                <w:lang w:val="en-IE"/>
              </w:rPr>
            </w:pPr>
          </w:p>
        </w:tc>
        <w:tc>
          <w:tcPr>
            <w:tcW w:w="8548" w:type="dxa"/>
          </w:tcPr>
          <w:p w14:paraId="239C5F54" w14:textId="134076C3" w:rsidR="00A275F1" w:rsidRDefault="0005394F" w:rsidP="008F0249">
            <w:pPr>
              <w:spacing w:before="120" w:after="120"/>
              <w:jc w:val="both"/>
              <w:rPr>
                <w:rFonts w:ascii="Times New Roman" w:hAnsi="Times New Roman" w:cs="Times New Roman"/>
                <w:noProof/>
              </w:rPr>
            </w:pPr>
            <w:r>
              <w:rPr>
                <w:rFonts w:ascii="Times New Roman" w:hAnsi="Times New Roman"/>
                <w:noProof/>
              </w:rPr>
              <w:t>27.2. Suteikti pagrindinių teisių stebėtojams galimybes patekti į visas operacijų vykdymo teritorijas, kaip reikalaujama EBCG reglamente.</w:t>
            </w:r>
          </w:p>
        </w:tc>
        <w:tc>
          <w:tcPr>
            <w:tcW w:w="2126" w:type="dxa"/>
          </w:tcPr>
          <w:p w14:paraId="4101CF17" w14:textId="777FE74A" w:rsidR="00A275F1" w:rsidRDefault="00A275F1" w:rsidP="008F0249">
            <w:pPr>
              <w:spacing w:before="120" w:after="120"/>
              <w:jc w:val="both"/>
              <w:rPr>
                <w:rFonts w:ascii="Times New Roman" w:hAnsi="Times New Roman" w:cs="Times New Roman"/>
                <w:noProof/>
              </w:rPr>
            </w:pPr>
            <w:r>
              <w:rPr>
                <w:rFonts w:ascii="Times New Roman" w:hAnsi="Times New Roman"/>
                <w:noProof/>
              </w:rPr>
              <w:t>Valstybės narės / Šengeno asocijuotosios šalys</w:t>
            </w:r>
          </w:p>
        </w:tc>
      </w:tr>
      <w:tr w:rsidR="004631F4" w:rsidRPr="004D2334" w14:paraId="7BDDFCB1" w14:textId="77777777" w:rsidTr="00034E1A">
        <w:tc>
          <w:tcPr>
            <w:tcW w:w="3397" w:type="dxa"/>
          </w:tcPr>
          <w:p w14:paraId="0040E290" w14:textId="33EFA535" w:rsidR="004631F4" w:rsidRPr="0005394F" w:rsidRDefault="004631F4" w:rsidP="0005394F">
            <w:pPr>
              <w:pStyle w:val="ListParagraph"/>
              <w:numPr>
                <w:ilvl w:val="0"/>
                <w:numId w:val="2"/>
              </w:numPr>
              <w:spacing w:before="120" w:after="120"/>
              <w:rPr>
                <w:rFonts w:ascii="Times New Roman" w:hAnsi="Times New Roman" w:cs="Times New Roman"/>
                <w:noProof/>
              </w:rPr>
            </w:pPr>
            <w:r>
              <w:rPr>
                <w:rFonts w:ascii="Times New Roman" w:hAnsi="Times New Roman"/>
                <w:noProof/>
              </w:rPr>
              <w:t>Skundų nagrinėjimo mechanizmui ir pranešimų apie pavojingus incidentus mechanizmui tobulinti būtų naudingas paprastesnis pranešimų teikimas, pranešimų teikėjų apsauga ir didesnis informuotumas apie atitinkamą mechanizmą.</w:t>
            </w:r>
          </w:p>
        </w:tc>
        <w:tc>
          <w:tcPr>
            <w:tcW w:w="8548" w:type="dxa"/>
          </w:tcPr>
          <w:p w14:paraId="544068C1" w14:textId="6394B167" w:rsidR="004631F4" w:rsidRPr="000C1FE4" w:rsidRDefault="000C1FE4" w:rsidP="000C1FE4">
            <w:pPr>
              <w:spacing w:before="120" w:after="120"/>
              <w:jc w:val="both"/>
              <w:rPr>
                <w:rFonts w:ascii="Times New Roman" w:hAnsi="Times New Roman" w:cs="Times New Roman"/>
                <w:noProof/>
              </w:rPr>
            </w:pPr>
            <w:r>
              <w:rPr>
                <w:rFonts w:ascii="Times New Roman" w:hAnsi="Times New Roman"/>
                <w:noProof/>
              </w:rPr>
              <w:t>28.1. Peržiūrėti skundų nagrinėjimo mechanizmą ir pranešimų apie pavojingus incidentus mechanizmą, nustatyti ir įdiegti patobulinimus, kuriais būtų palengvinta prieiga galimiems skundų pareiškėjams, įskaitant vaikus ir pažeidžiamus asmenis, ir būtų pašalintos likusios kliūtys teikti pranešimus.</w:t>
            </w:r>
          </w:p>
        </w:tc>
        <w:tc>
          <w:tcPr>
            <w:tcW w:w="2126" w:type="dxa"/>
          </w:tcPr>
          <w:p w14:paraId="45FFA807" w14:textId="694F51C0" w:rsidR="004631F4" w:rsidDel="00671717" w:rsidRDefault="004631F4" w:rsidP="008F0249">
            <w:pPr>
              <w:spacing w:before="120" w:after="120"/>
              <w:jc w:val="both"/>
              <w:rPr>
                <w:rFonts w:ascii="Times New Roman" w:hAnsi="Times New Roman" w:cs="Times New Roman"/>
                <w:noProof/>
              </w:rPr>
            </w:pPr>
            <w:r>
              <w:rPr>
                <w:rFonts w:ascii="Times New Roman" w:hAnsi="Times New Roman"/>
                <w:noProof/>
              </w:rPr>
              <w:t>FRONTEX</w:t>
            </w:r>
          </w:p>
        </w:tc>
      </w:tr>
      <w:tr w:rsidR="003F40EE" w:rsidRPr="00D73802" w14:paraId="31D1C0BA" w14:textId="77777777" w:rsidTr="00034E1A">
        <w:tc>
          <w:tcPr>
            <w:tcW w:w="3397" w:type="dxa"/>
            <w:vMerge w:val="restart"/>
          </w:tcPr>
          <w:p w14:paraId="7CDE7444" w14:textId="0BA1B1E8" w:rsidR="003F40EE" w:rsidRPr="008862BA" w:rsidRDefault="003F40EE" w:rsidP="008862BA">
            <w:pPr>
              <w:pStyle w:val="ListParagraph"/>
              <w:numPr>
                <w:ilvl w:val="0"/>
                <w:numId w:val="2"/>
              </w:numPr>
              <w:spacing w:before="120" w:after="120"/>
              <w:rPr>
                <w:rFonts w:ascii="Times New Roman" w:hAnsi="Times New Roman" w:cs="Times New Roman"/>
                <w:noProof/>
              </w:rPr>
            </w:pPr>
            <w:r>
              <w:rPr>
                <w:rFonts w:ascii="Times New Roman" w:hAnsi="Times New Roman"/>
                <w:noProof/>
              </w:rPr>
              <w:t>46 straipsnyje nustatytame mechanizme nėra konkrečiai nurodyti procedūriniai veiksmai, kurių Agentūra turi imtis, kad pašalintų pavojingus ar pasikartojančius pagrindinių teisių pažeidimus priimančiojoje valstybėje narėje.</w:t>
            </w:r>
          </w:p>
        </w:tc>
        <w:tc>
          <w:tcPr>
            <w:tcW w:w="8548" w:type="dxa"/>
          </w:tcPr>
          <w:p w14:paraId="7D1F53B4" w14:textId="0E640F7B" w:rsidR="003F40EE" w:rsidRPr="008508BB" w:rsidRDefault="00DC33B1" w:rsidP="00911F69">
            <w:pPr>
              <w:spacing w:before="120" w:after="120"/>
              <w:rPr>
                <w:rFonts w:ascii="Times New Roman" w:hAnsi="Times New Roman" w:cs="Times New Roman"/>
                <w:noProof/>
              </w:rPr>
            </w:pPr>
            <w:r>
              <w:rPr>
                <w:rFonts w:ascii="Times New Roman" w:hAnsi="Times New Roman"/>
                <w:noProof/>
              </w:rPr>
              <w:t>29.1. Laikantis EBCG reglamento, užtikrinti, kad visuose veiklos planuose būtų reikalaujama reguliariai vertinti riziką pagrindinėms teisėms, susijusią su kiekviena FRONTEX operacine veikla, ir šios veiklos atitiktį pagrindinėms teisėms.</w:t>
            </w:r>
          </w:p>
        </w:tc>
        <w:tc>
          <w:tcPr>
            <w:tcW w:w="2126" w:type="dxa"/>
          </w:tcPr>
          <w:p w14:paraId="35DB1C19" w14:textId="2503D3F4" w:rsidR="003F40EE" w:rsidRPr="00D73802" w:rsidRDefault="003F40EE" w:rsidP="008F0249">
            <w:pPr>
              <w:spacing w:before="120" w:after="120"/>
              <w:jc w:val="both"/>
              <w:rPr>
                <w:rFonts w:ascii="Times New Roman" w:hAnsi="Times New Roman" w:cs="Times New Roman"/>
                <w:noProof/>
              </w:rPr>
            </w:pPr>
            <w:r>
              <w:rPr>
                <w:rFonts w:ascii="Times New Roman" w:hAnsi="Times New Roman"/>
                <w:noProof/>
              </w:rPr>
              <w:t xml:space="preserve">FRONTEX </w:t>
            </w:r>
          </w:p>
        </w:tc>
      </w:tr>
      <w:tr w:rsidR="003F40EE" w:rsidRPr="00D73802" w14:paraId="5F43A6B5" w14:textId="77777777" w:rsidTr="00034E1A">
        <w:tc>
          <w:tcPr>
            <w:tcW w:w="3397" w:type="dxa"/>
            <w:vMerge/>
          </w:tcPr>
          <w:p w14:paraId="1AE2D260" w14:textId="77777777" w:rsidR="003F40EE" w:rsidRDefault="003F40EE" w:rsidP="00376980">
            <w:pPr>
              <w:spacing w:before="120" w:after="120"/>
              <w:rPr>
                <w:rFonts w:ascii="Times New Roman" w:hAnsi="Times New Roman" w:cs="Times New Roman"/>
                <w:noProof/>
                <w:lang w:val="en-IE"/>
              </w:rPr>
            </w:pPr>
          </w:p>
        </w:tc>
        <w:tc>
          <w:tcPr>
            <w:tcW w:w="8548" w:type="dxa"/>
          </w:tcPr>
          <w:p w14:paraId="0AAD5E2E" w14:textId="243E2ECD" w:rsidR="003F40EE" w:rsidRDefault="00DC33B1" w:rsidP="00911F69">
            <w:pPr>
              <w:spacing w:before="120" w:after="120"/>
              <w:rPr>
                <w:rFonts w:ascii="Times New Roman" w:hAnsi="Times New Roman" w:cs="Times New Roman"/>
                <w:noProof/>
              </w:rPr>
            </w:pPr>
            <w:r>
              <w:rPr>
                <w:rFonts w:ascii="Times New Roman" w:hAnsi="Times New Roman"/>
                <w:noProof/>
              </w:rPr>
              <w:t>29.2. Parengti ir įgyvendinti rizikos mažinimo priemones, kai, remiantis pagrindinių teisių pareigūno atliktu vertinimu, jos laikomos būtinomis, kad būtų sprendžiamos visos aktualios pagrindinių teisių problemos ir būtų užkirstas kelias pagrindinių teisių pažeidimams visoje Agentūros veikloje.</w:t>
            </w:r>
          </w:p>
        </w:tc>
        <w:tc>
          <w:tcPr>
            <w:tcW w:w="2126" w:type="dxa"/>
          </w:tcPr>
          <w:p w14:paraId="4024A92A" w14:textId="77777777" w:rsidR="003F40EE" w:rsidRDefault="003F40EE" w:rsidP="008F0249">
            <w:pPr>
              <w:spacing w:before="120" w:after="120"/>
              <w:jc w:val="both"/>
              <w:rPr>
                <w:rFonts w:ascii="Times New Roman" w:hAnsi="Times New Roman" w:cs="Times New Roman"/>
                <w:noProof/>
              </w:rPr>
            </w:pPr>
            <w:r>
              <w:rPr>
                <w:rFonts w:ascii="Times New Roman" w:hAnsi="Times New Roman"/>
                <w:noProof/>
              </w:rPr>
              <w:t>FRONTEX</w:t>
            </w:r>
          </w:p>
          <w:p w14:paraId="3802D21E" w14:textId="6320E18C" w:rsidR="003F40EE" w:rsidRDefault="003F40EE" w:rsidP="008F0249">
            <w:pPr>
              <w:spacing w:before="120" w:after="120"/>
              <w:jc w:val="both"/>
              <w:rPr>
                <w:rFonts w:ascii="Times New Roman" w:hAnsi="Times New Roman" w:cs="Times New Roman"/>
                <w:noProof/>
              </w:rPr>
            </w:pPr>
            <w:r>
              <w:rPr>
                <w:rFonts w:ascii="Times New Roman" w:hAnsi="Times New Roman"/>
                <w:noProof/>
              </w:rPr>
              <w:t>Valstybės narės / Šengeno asocijuotosios šalys</w:t>
            </w:r>
          </w:p>
        </w:tc>
      </w:tr>
    </w:tbl>
    <w:p w14:paraId="1FB55374" w14:textId="1FCC3743" w:rsidR="005C71D3" w:rsidRPr="00B23B2A" w:rsidRDefault="005C71D3" w:rsidP="004D2334">
      <w:pPr>
        <w:spacing w:before="120" w:after="120" w:line="240" w:lineRule="auto"/>
        <w:jc w:val="both"/>
        <w:rPr>
          <w:rFonts w:ascii="Times New Roman" w:hAnsi="Times New Roman" w:cs="Times New Roman"/>
          <w:noProof/>
        </w:rPr>
      </w:pPr>
    </w:p>
    <w:p w14:paraId="7870BC1C" w14:textId="48F0B8F7" w:rsidR="000A44EA" w:rsidRPr="00F2505A" w:rsidRDefault="00C52CAB" w:rsidP="004D2334">
      <w:pPr>
        <w:spacing w:before="120" w:after="120" w:line="240" w:lineRule="auto"/>
        <w:jc w:val="both"/>
        <w:rPr>
          <w:rFonts w:ascii="Times New Roman" w:hAnsi="Times New Roman" w:cs="Times New Roman"/>
          <w:b/>
          <w:bCs/>
          <w:i/>
          <w:iCs/>
          <w:noProof/>
          <w:sz w:val="24"/>
          <w:szCs w:val="24"/>
        </w:rPr>
      </w:pPr>
      <w:r>
        <w:rPr>
          <w:rFonts w:ascii="Times New Roman" w:hAnsi="Times New Roman"/>
          <w:b/>
          <w:i/>
          <w:noProof/>
          <w:sz w:val="24"/>
        </w:rPr>
        <w:t xml:space="preserve">Asmens duomenų apsauga </w:t>
      </w:r>
    </w:p>
    <w:tbl>
      <w:tblPr>
        <w:tblStyle w:val="TableGrid"/>
        <w:tblW w:w="14071" w:type="dxa"/>
        <w:tblLook w:val="04A0" w:firstRow="1" w:lastRow="0" w:firstColumn="1" w:lastColumn="0" w:noHBand="0" w:noVBand="1"/>
      </w:tblPr>
      <w:tblGrid>
        <w:gridCol w:w="3397"/>
        <w:gridCol w:w="8578"/>
        <w:gridCol w:w="2096"/>
      </w:tblGrid>
      <w:tr w:rsidR="000A44EA" w:rsidRPr="004D2334" w14:paraId="4A697A0F" w14:textId="77777777" w:rsidTr="00034E1A">
        <w:trPr>
          <w:trHeight w:val="300"/>
        </w:trPr>
        <w:tc>
          <w:tcPr>
            <w:tcW w:w="3397" w:type="dxa"/>
          </w:tcPr>
          <w:p w14:paraId="722AA858" w14:textId="30574CA2" w:rsidR="000A44EA" w:rsidRPr="004D2334" w:rsidRDefault="00671717" w:rsidP="008F0249">
            <w:pPr>
              <w:spacing w:before="120" w:after="120"/>
              <w:jc w:val="center"/>
              <w:rPr>
                <w:rFonts w:ascii="Times New Roman" w:hAnsi="Times New Roman" w:cs="Times New Roman"/>
                <w:b/>
                <w:bCs/>
                <w:noProof/>
              </w:rPr>
            </w:pPr>
            <w:r>
              <w:rPr>
                <w:rFonts w:ascii="Times New Roman" w:hAnsi="Times New Roman"/>
                <w:b/>
                <w:noProof/>
              </w:rPr>
              <w:t>Problema</w:t>
            </w:r>
          </w:p>
        </w:tc>
        <w:tc>
          <w:tcPr>
            <w:tcW w:w="8578" w:type="dxa"/>
          </w:tcPr>
          <w:p w14:paraId="69892057" w14:textId="77777777" w:rsidR="000A44EA" w:rsidRPr="004D2334" w:rsidRDefault="000A44EA" w:rsidP="008F0249">
            <w:pPr>
              <w:spacing w:before="120" w:after="120"/>
              <w:jc w:val="center"/>
              <w:rPr>
                <w:rFonts w:ascii="Times New Roman" w:hAnsi="Times New Roman" w:cs="Times New Roman"/>
                <w:b/>
                <w:bCs/>
                <w:noProof/>
              </w:rPr>
            </w:pPr>
            <w:r>
              <w:rPr>
                <w:rFonts w:ascii="Times New Roman" w:hAnsi="Times New Roman"/>
                <w:b/>
                <w:noProof/>
              </w:rPr>
              <w:t>Veiksmai</w:t>
            </w:r>
          </w:p>
        </w:tc>
        <w:tc>
          <w:tcPr>
            <w:tcW w:w="2096" w:type="dxa"/>
          </w:tcPr>
          <w:p w14:paraId="4CAAAADB" w14:textId="77777777" w:rsidR="000A44EA" w:rsidRPr="004D2334" w:rsidRDefault="000A44EA" w:rsidP="008F0249">
            <w:pPr>
              <w:spacing w:before="120" w:after="120"/>
              <w:jc w:val="center"/>
              <w:rPr>
                <w:rFonts w:ascii="Times New Roman" w:hAnsi="Times New Roman" w:cs="Times New Roman"/>
                <w:b/>
                <w:bCs/>
                <w:noProof/>
              </w:rPr>
            </w:pPr>
            <w:r>
              <w:rPr>
                <w:rFonts w:ascii="Times New Roman" w:hAnsi="Times New Roman"/>
                <w:b/>
                <w:noProof/>
              </w:rPr>
              <w:t>Atsakingas subjektas</w:t>
            </w:r>
          </w:p>
        </w:tc>
      </w:tr>
      <w:tr w:rsidR="00F82579" w:rsidRPr="004D2334" w14:paraId="1B58D656" w14:textId="77777777" w:rsidTr="00034E1A">
        <w:trPr>
          <w:trHeight w:val="300"/>
        </w:trPr>
        <w:tc>
          <w:tcPr>
            <w:tcW w:w="3397" w:type="dxa"/>
            <w:vMerge w:val="restart"/>
          </w:tcPr>
          <w:p w14:paraId="4B7C7DDF" w14:textId="2FB28893" w:rsidR="00F82579" w:rsidRPr="008862BA" w:rsidRDefault="00F82579" w:rsidP="008862BA">
            <w:pPr>
              <w:pStyle w:val="ListParagraph"/>
              <w:numPr>
                <w:ilvl w:val="0"/>
                <w:numId w:val="2"/>
              </w:numPr>
              <w:spacing w:before="120" w:after="120"/>
              <w:rPr>
                <w:rFonts w:ascii="Times New Roman" w:hAnsi="Times New Roman" w:cs="Times New Roman"/>
                <w:noProof/>
              </w:rPr>
            </w:pPr>
            <w:r>
              <w:rPr>
                <w:rFonts w:ascii="Times New Roman" w:hAnsi="Times New Roman"/>
                <w:noProof/>
              </w:rPr>
              <w:t>Po ilgo vėlavimo Agentūra bus nustačiusi įgyvendinimo taisykles, kuriomis išdėstomi asmens duomenų apsaugos aspektai, susiję su visa jos veikla, ir siekiama į juos atsižvelgti. Tačiau siekiant užtikrinti, kad Agentūros veikla atitiktų ES teisinę sistemą, itin svarbu, kad Valdančiosios tarybos sprendimai būtų tiksliai įgyvendinami.</w:t>
            </w:r>
          </w:p>
        </w:tc>
        <w:tc>
          <w:tcPr>
            <w:tcW w:w="8578" w:type="dxa"/>
          </w:tcPr>
          <w:p w14:paraId="01F5A77C" w14:textId="6F2E2D4A" w:rsidR="00F82579" w:rsidRPr="004D2334" w:rsidRDefault="008862BA" w:rsidP="008F0249">
            <w:pPr>
              <w:spacing w:before="120" w:after="120"/>
              <w:rPr>
                <w:rFonts w:ascii="Times New Roman" w:hAnsi="Times New Roman" w:cs="Times New Roman"/>
                <w:noProof/>
              </w:rPr>
            </w:pPr>
            <w:r>
              <w:rPr>
                <w:rFonts w:ascii="Times New Roman" w:hAnsi="Times New Roman"/>
                <w:noProof/>
              </w:rPr>
              <w:t>30.1. Užtikrinti greitą Valdančiosios tarybos sprendimų dėl asmens duomenų tvarkymo įgyvendinimą visoje Agentūros veikloje ir reguliariai teikti Valdančiajai tarybai padarytos pažangos ataskaitas. Užtikrinti nuolatinį glaudų FRONTEX duomenų apsaugos pareigūno ir Europos duomenų apsaugos priežiūros pareigūno (EDAPP) bendradarbiavimą.</w:t>
            </w:r>
          </w:p>
        </w:tc>
        <w:tc>
          <w:tcPr>
            <w:tcW w:w="2096" w:type="dxa"/>
          </w:tcPr>
          <w:p w14:paraId="482700DC" w14:textId="7FA2B73F" w:rsidR="00F82579" w:rsidRPr="004D2334" w:rsidRDefault="00F82579" w:rsidP="008F0249">
            <w:pPr>
              <w:spacing w:before="120" w:after="120"/>
              <w:jc w:val="both"/>
              <w:rPr>
                <w:rFonts w:ascii="Times New Roman" w:hAnsi="Times New Roman" w:cs="Times New Roman"/>
                <w:noProof/>
              </w:rPr>
            </w:pPr>
            <w:r>
              <w:rPr>
                <w:rFonts w:ascii="Times New Roman" w:hAnsi="Times New Roman"/>
                <w:noProof/>
              </w:rPr>
              <w:t>FRONTEX</w:t>
            </w:r>
          </w:p>
        </w:tc>
      </w:tr>
      <w:tr w:rsidR="00F82579" w:rsidRPr="004D2334" w14:paraId="1AF483A8" w14:textId="77777777" w:rsidTr="00034E1A">
        <w:trPr>
          <w:trHeight w:val="300"/>
        </w:trPr>
        <w:tc>
          <w:tcPr>
            <w:tcW w:w="3397" w:type="dxa"/>
            <w:vMerge/>
          </w:tcPr>
          <w:p w14:paraId="3A2366A0" w14:textId="77777777" w:rsidR="00F82579" w:rsidRPr="004D2334" w:rsidRDefault="00F82579" w:rsidP="008F0249">
            <w:pPr>
              <w:spacing w:before="120" w:after="120"/>
              <w:jc w:val="both"/>
              <w:rPr>
                <w:rFonts w:ascii="Times New Roman" w:hAnsi="Times New Roman" w:cs="Times New Roman"/>
                <w:noProof/>
                <w:lang w:val="en-IE"/>
              </w:rPr>
            </w:pPr>
          </w:p>
        </w:tc>
        <w:tc>
          <w:tcPr>
            <w:tcW w:w="8578" w:type="dxa"/>
          </w:tcPr>
          <w:p w14:paraId="7B24E99A" w14:textId="35F8402F" w:rsidR="00F82579" w:rsidRPr="004D2334" w:rsidRDefault="008862BA" w:rsidP="005E36CE">
            <w:pPr>
              <w:spacing w:before="120" w:after="120"/>
              <w:rPr>
                <w:rFonts w:ascii="Times New Roman" w:hAnsi="Times New Roman" w:cs="Times New Roman"/>
                <w:noProof/>
              </w:rPr>
            </w:pPr>
            <w:r>
              <w:rPr>
                <w:rFonts w:ascii="Times New Roman" w:hAnsi="Times New Roman"/>
                <w:noProof/>
              </w:rPr>
              <w:t>30.2. Stebėti Valdančiosios tarybos sprendimų dėl asmens duomenų tvarkymo įgyvendinimo padėtį.</w:t>
            </w:r>
          </w:p>
        </w:tc>
        <w:tc>
          <w:tcPr>
            <w:tcW w:w="2096" w:type="dxa"/>
          </w:tcPr>
          <w:p w14:paraId="5222C536" w14:textId="7C5D526F" w:rsidR="00F82579" w:rsidRPr="004D2334" w:rsidRDefault="00F82579" w:rsidP="008F0249">
            <w:pPr>
              <w:spacing w:before="120" w:after="120"/>
              <w:jc w:val="both"/>
              <w:rPr>
                <w:rFonts w:ascii="Times New Roman" w:hAnsi="Times New Roman" w:cs="Times New Roman"/>
                <w:noProof/>
              </w:rPr>
            </w:pPr>
            <w:r>
              <w:rPr>
                <w:rFonts w:ascii="Times New Roman" w:hAnsi="Times New Roman"/>
                <w:noProof/>
              </w:rPr>
              <w:t>Valdančioji taryba</w:t>
            </w:r>
          </w:p>
        </w:tc>
      </w:tr>
      <w:tr w:rsidR="000A44EA" w:rsidRPr="004D2334" w14:paraId="6D9D591E" w14:textId="77777777" w:rsidTr="00034E1A">
        <w:trPr>
          <w:trHeight w:val="300"/>
        </w:trPr>
        <w:tc>
          <w:tcPr>
            <w:tcW w:w="3397" w:type="dxa"/>
          </w:tcPr>
          <w:p w14:paraId="316B921C" w14:textId="7E2A70B8" w:rsidR="000A44EA" w:rsidRPr="008862BA" w:rsidRDefault="00767BCF" w:rsidP="008862BA">
            <w:pPr>
              <w:pStyle w:val="ListParagraph"/>
              <w:numPr>
                <w:ilvl w:val="0"/>
                <w:numId w:val="2"/>
              </w:numPr>
              <w:spacing w:before="120" w:after="120"/>
              <w:jc w:val="both"/>
              <w:rPr>
                <w:rFonts w:ascii="Times New Roman" w:hAnsi="Times New Roman" w:cs="Times New Roman"/>
                <w:noProof/>
              </w:rPr>
            </w:pPr>
            <w:r>
              <w:rPr>
                <w:rFonts w:ascii="Times New Roman" w:hAnsi="Times New Roman"/>
                <w:noProof/>
              </w:rPr>
              <w:t>Duomenų apsaugos pareigūno biure jau ilgą laiką trūksta darbuotojų, nors vykdant visą Agentūros veiklą, įskaitant veiklą vietoje, turi būti užtikrinta asmens duomenų apsauga.</w:t>
            </w:r>
          </w:p>
        </w:tc>
        <w:tc>
          <w:tcPr>
            <w:tcW w:w="8578" w:type="dxa"/>
          </w:tcPr>
          <w:p w14:paraId="06D0F9FE" w14:textId="5A5B4BC0" w:rsidR="000A44EA" w:rsidRPr="004D2334" w:rsidRDefault="008862BA" w:rsidP="008F0249">
            <w:pPr>
              <w:spacing w:before="120" w:after="120"/>
              <w:jc w:val="both"/>
              <w:rPr>
                <w:rFonts w:ascii="Times New Roman" w:hAnsi="Times New Roman" w:cs="Times New Roman"/>
                <w:noProof/>
              </w:rPr>
            </w:pPr>
            <w:r>
              <w:rPr>
                <w:rFonts w:ascii="Times New Roman" w:hAnsi="Times New Roman"/>
                <w:noProof/>
              </w:rPr>
              <w:t>31.1. Duomenų apsaugos pareigūno biurui skirti pakankamai žmogiškųjų išteklių, kad jis galėtų veiksmingai atlikti savo užduotis, kylančias iš EBCG reglamento.</w:t>
            </w:r>
          </w:p>
        </w:tc>
        <w:tc>
          <w:tcPr>
            <w:tcW w:w="2096" w:type="dxa"/>
          </w:tcPr>
          <w:p w14:paraId="1A133322" w14:textId="387B895E" w:rsidR="000A44EA" w:rsidRPr="004D2334" w:rsidRDefault="00F82579" w:rsidP="008F0249">
            <w:pPr>
              <w:spacing w:before="120" w:after="120"/>
              <w:jc w:val="both"/>
              <w:rPr>
                <w:rFonts w:ascii="Times New Roman" w:hAnsi="Times New Roman" w:cs="Times New Roman"/>
                <w:noProof/>
              </w:rPr>
            </w:pPr>
            <w:r>
              <w:rPr>
                <w:rFonts w:ascii="Times New Roman" w:hAnsi="Times New Roman"/>
                <w:noProof/>
              </w:rPr>
              <w:t>FRONTEX</w:t>
            </w:r>
          </w:p>
        </w:tc>
      </w:tr>
    </w:tbl>
    <w:p w14:paraId="67454771" w14:textId="77777777" w:rsidR="00401F4A" w:rsidRDefault="00401F4A" w:rsidP="004D2334">
      <w:pPr>
        <w:spacing w:before="120" w:after="120" w:line="240" w:lineRule="auto"/>
        <w:jc w:val="both"/>
        <w:rPr>
          <w:rFonts w:ascii="Times New Roman" w:hAnsi="Times New Roman" w:cs="Times New Roman"/>
          <w:noProof/>
          <w:lang w:val="en-IE"/>
        </w:rPr>
      </w:pPr>
    </w:p>
    <w:p w14:paraId="262A5EB8" w14:textId="614B78E9" w:rsidR="0020092C" w:rsidRPr="00533011" w:rsidRDefault="0020092C" w:rsidP="004D2334">
      <w:pPr>
        <w:spacing w:before="120" w:after="120" w:line="240" w:lineRule="auto"/>
        <w:jc w:val="both"/>
        <w:rPr>
          <w:rFonts w:ascii="Times New Roman" w:hAnsi="Times New Roman" w:cs="Times New Roman"/>
          <w:b/>
          <w:bCs/>
          <w:i/>
          <w:iCs/>
          <w:noProof/>
          <w:sz w:val="24"/>
          <w:szCs w:val="24"/>
        </w:rPr>
      </w:pPr>
      <w:r>
        <w:rPr>
          <w:rFonts w:ascii="Times New Roman" w:hAnsi="Times New Roman"/>
          <w:b/>
          <w:i/>
          <w:noProof/>
          <w:sz w:val="24"/>
        </w:rPr>
        <w:t>Nuolatinis korpusas</w:t>
      </w:r>
    </w:p>
    <w:tbl>
      <w:tblPr>
        <w:tblStyle w:val="TableGrid"/>
        <w:tblW w:w="14071" w:type="dxa"/>
        <w:tblLook w:val="04A0" w:firstRow="1" w:lastRow="0" w:firstColumn="1" w:lastColumn="0" w:noHBand="0" w:noVBand="1"/>
      </w:tblPr>
      <w:tblGrid>
        <w:gridCol w:w="3397"/>
        <w:gridCol w:w="8505"/>
        <w:gridCol w:w="2169"/>
      </w:tblGrid>
      <w:tr w:rsidR="000A44EA" w:rsidRPr="004D2334" w14:paraId="1BB11AAA" w14:textId="77777777" w:rsidTr="00034E1A">
        <w:tc>
          <w:tcPr>
            <w:tcW w:w="3397" w:type="dxa"/>
          </w:tcPr>
          <w:p w14:paraId="2CC18A84" w14:textId="126B5CB4" w:rsidR="000A44EA" w:rsidRPr="004D2334" w:rsidRDefault="00671717" w:rsidP="008F0249">
            <w:pPr>
              <w:spacing w:before="120" w:after="120"/>
              <w:jc w:val="center"/>
              <w:rPr>
                <w:rFonts w:ascii="Times New Roman" w:hAnsi="Times New Roman" w:cs="Times New Roman"/>
                <w:b/>
                <w:bCs/>
                <w:noProof/>
              </w:rPr>
            </w:pPr>
            <w:r>
              <w:rPr>
                <w:rFonts w:ascii="Times New Roman" w:hAnsi="Times New Roman"/>
                <w:b/>
                <w:noProof/>
              </w:rPr>
              <w:t>Problema</w:t>
            </w:r>
          </w:p>
        </w:tc>
        <w:tc>
          <w:tcPr>
            <w:tcW w:w="8505" w:type="dxa"/>
          </w:tcPr>
          <w:p w14:paraId="17EBB88E" w14:textId="77777777" w:rsidR="000A44EA" w:rsidRPr="004D2334" w:rsidRDefault="000A44EA" w:rsidP="008F0249">
            <w:pPr>
              <w:spacing w:before="120" w:after="120"/>
              <w:jc w:val="center"/>
              <w:rPr>
                <w:rFonts w:ascii="Times New Roman" w:hAnsi="Times New Roman" w:cs="Times New Roman"/>
                <w:b/>
                <w:bCs/>
                <w:noProof/>
              </w:rPr>
            </w:pPr>
            <w:r>
              <w:rPr>
                <w:rFonts w:ascii="Times New Roman" w:hAnsi="Times New Roman"/>
                <w:b/>
                <w:noProof/>
              </w:rPr>
              <w:t>Veiksmai</w:t>
            </w:r>
          </w:p>
        </w:tc>
        <w:tc>
          <w:tcPr>
            <w:tcW w:w="2169" w:type="dxa"/>
          </w:tcPr>
          <w:p w14:paraId="4913E7D1" w14:textId="77777777" w:rsidR="000A44EA" w:rsidRPr="004D2334" w:rsidRDefault="000A44EA" w:rsidP="008F0249">
            <w:pPr>
              <w:spacing w:before="120" w:after="120"/>
              <w:jc w:val="center"/>
              <w:rPr>
                <w:rFonts w:ascii="Times New Roman" w:hAnsi="Times New Roman" w:cs="Times New Roman"/>
                <w:b/>
                <w:bCs/>
                <w:noProof/>
              </w:rPr>
            </w:pPr>
            <w:r>
              <w:rPr>
                <w:rFonts w:ascii="Times New Roman" w:hAnsi="Times New Roman"/>
                <w:b/>
                <w:noProof/>
              </w:rPr>
              <w:t>Atsakingas subjektas</w:t>
            </w:r>
          </w:p>
        </w:tc>
      </w:tr>
      <w:tr w:rsidR="00401F4A" w:rsidRPr="004D2334" w14:paraId="26ABC804" w14:textId="77777777" w:rsidTr="00034E1A">
        <w:tc>
          <w:tcPr>
            <w:tcW w:w="3397" w:type="dxa"/>
            <w:vMerge w:val="restart"/>
          </w:tcPr>
          <w:p w14:paraId="061CDC5A" w14:textId="598C716F" w:rsidR="00401F4A" w:rsidRPr="008862BA" w:rsidRDefault="00962890" w:rsidP="008862BA">
            <w:pPr>
              <w:pStyle w:val="ListParagraph"/>
              <w:numPr>
                <w:ilvl w:val="0"/>
                <w:numId w:val="2"/>
              </w:numPr>
              <w:spacing w:before="120" w:after="120"/>
              <w:rPr>
                <w:rFonts w:ascii="Times New Roman" w:hAnsi="Times New Roman" w:cs="Times New Roman"/>
                <w:b/>
                <w:bCs/>
                <w:noProof/>
              </w:rPr>
            </w:pPr>
            <w:r>
              <w:rPr>
                <w:rFonts w:ascii="Times New Roman" w:hAnsi="Times New Roman"/>
                <w:noProof/>
              </w:rPr>
              <w:t>Priimančiosios valstybės narės ne visada mano, kad nuolatinio korpuso 1 kategorijos darbuotojų mokymas atitinka jų operacinius poreikius, kai jie būna išsiųsti.</w:t>
            </w:r>
          </w:p>
        </w:tc>
        <w:tc>
          <w:tcPr>
            <w:tcW w:w="8505" w:type="dxa"/>
          </w:tcPr>
          <w:p w14:paraId="1C3E1907" w14:textId="5B2E57B4" w:rsidR="00401F4A" w:rsidRDefault="008862BA" w:rsidP="00401F4A">
            <w:pPr>
              <w:spacing w:before="120" w:after="120"/>
              <w:rPr>
                <w:rFonts w:ascii="Times New Roman" w:hAnsi="Times New Roman" w:cs="Times New Roman"/>
                <w:b/>
                <w:bCs/>
                <w:noProof/>
              </w:rPr>
            </w:pPr>
            <w:r>
              <w:rPr>
                <w:rFonts w:ascii="Times New Roman" w:hAnsi="Times New Roman"/>
                <w:noProof/>
              </w:rPr>
              <w:t>32.1. Peržiūrėti nuolatinio korpuso 1 kategorijos darbuotojų įdarbinimo sąlygas ir užtikrinti, kad prieš pasibaigiant bandomajam laikotarpiui būtų atliktas tarpinis darbuotojų pažangos vertinimas.</w:t>
            </w:r>
          </w:p>
        </w:tc>
        <w:tc>
          <w:tcPr>
            <w:tcW w:w="2169" w:type="dxa"/>
          </w:tcPr>
          <w:p w14:paraId="1552DB17" w14:textId="67D29B75" w:rsidR="00401F4A" w:rsidRPr="00401F4A" w:rsidRDefault="00401F4A" w:rsidP="00401F4A">
            <w:pPr>
              <w:spacing w:before="120" w:after="120"/>
              <w:jc w:val="both"/>
              <w:rPr>
                <w:rFonts w:ascii="Times New Roman" w:hAnsi="Times New Roman" w:cs="Times New Roman"/>
                <w:noProof/>
              </w:rPr>
            </w:pPr>
            <w:r>
              <w:rPr>
                <w:rFonts w:ascii="Times New Roman" w:hAnsi="Times New Roman"/>
                <w:noProof/>
              </w:rPr>
              <w:t>FRONTEX</w:t>
            </w:r>
          </w:p>
        </w:tc>
      </w:tr>
      <w:tr w:rsidR="00401F4A" w:rsidRPr="004D2334" w14:paraId="3E3AFB31" w14:textId="77777777" w:rsidTr="00034E1A">
        <w:tc>
          <w:tcPr>
            <w:tcW w:w="3397" w:type="dxa"/>
            <w:vMerge/>
          </w:tcPr>
          <w:p w14:paraId="173DB153" w14:textId="77777777" w:rsidR="00401F4A" w:rsidRDefault="00401F4A" w:rsidP="00401F4A">
            <w:pPr>
              <w:spacing w:before="120" w:after="120"/>
              <w:jc w:val="center"/>
              <w:rPr>
                <w:rFonts w:ascii="Times New Roman" w:hAnsi="Times New Roman" w:cs="Times New Roman"/>
                <w:noProof/>
                <w:lang w:val="en-IE"/>
              </w:rPr>
            </w:pPr>
          </w:p>
        </w:tc>
        <w:tc>
          <w:tcPr>
            <w:tcW w:w="8505" w:type="dxa"/>
          </w:tcPr>
          <w:p w14:paraId="34C87161" w14:textId="4130239F" w:rsidR="00401F4A" w:rsidRDefault="008862BA" w:rsidP="00401F4A">
            <w:pPr>
              <w:spacing w:before="120" w:after="120"/>
              <w:rPr>
                <w:rFonts w:ascii="Times New Roman" w:hAnsi="Times New Roman" w:cs="Times New Roman"/>
                <w:noProof/>
              </w:rPr>
            </w:pPr>
            <w:r>
              <w:rPr>
                <w:rFonts w:ascii="Times New Roman" w:hAnsi="Times New Roman"/>
                <w:noProof/>
              </w:rPr>
              <w:t>32.2. Nustatyti 1 kategorijos darbuotojų mokymo trūkumus ir prireikus atnaujinti mokymo programas.</w:t>
            </w:r>
          </w:p>
        </w:tc>
        <w:tc>
          <w:tcPr>
            <w:tcW w:w="2169" w:type="dxa"/>
          </w:tcPr>
          <w:p w14:paraId="4A3A538D" w14:textId="77777777" w:rsidR="00401F4A" w:rsidRPr="00401F4A" w:rsidRDefault="00401F4A" w:rsidP="00401F4A">
            <w:pPr>
              <w:spacing w:before="120" w:after="120"/>
              <w:jc w:val="both"/>
              <w:rPr>
                <w:rFonts w:ascii="Times New Roman" w:hAnsi="Times New Roman" w:cs="Times New Roman"/>
                <w:noProof/>
              </w:rPr>
            </w:pPr>
            <w:r>
              <w:rPr>
                <w:rFonts w:ascii="Times New Roman" w:hAnsi="Times New Roman"/>
                <w:noProof/>
              </w:rPr>
              <w:t>FRONTEX</w:t>
            </w:r>
          </w:p>
          <w:p w14:paraId="08B260DF" w14:textId="3AA42E47" w:rsidR="00401F4A" w:rsidRPr="0055043C" w:rsidRDefault="00401F4A" w:rsidP="00401F4A">
            <w:pPr>
              <w:spacing w:before="120" w:after="120"/>
              <w:jc w:val="both"/>
              <w:rPr>
                <w:rFonts w:ascii="Times New Roman" w:hAnsi="Times New Roman" w:cs="Times New Roman"/>
                <w:noProof/>
              </w:rPr>
            </w:pPr>
            <w:r>
              <w:rPr>
                <w:rFonts w:ascii="Times New Roman" w:hAnsi="Times New Roman"/>
                <w:noProof/>
              </w:rPr>
              <w:t>Valstybės narės / Šengeno asocijuotosios šalys</w:t>
            </w:r>
          </w:p>
        </w:tc>
      </w:tr>
      <w:tr w:rsidR="00401F4A" w:rsidRPr="004D2334" w14:paraId="6F3F5FC5" w14:textId="77777777" w:rsidTr="00034E1A">
        <w:tc>
          <w:tcPr>
            <w:tcW w:w="3397" w:type="dxa"/>
            <w:vMerge w:val="restart"/>
          </w:tcPr>
          <w:p w14:paraId="7458A826" w14:textId="068B8497" w:rsidR="00401F4A" w:rsidRPr="008862BA" w:rsidRDefault="00401F4A" w:rsidP="008862BA">
            <w:pPr>
              <w:pStyle w:val="ListParagraph"/>
              <w:numPr>
                <w:ilvl w:val="0"/>
                <w:numId w:val="2"/>
              </w:numPr>
              <w:spacing w:before="120" w:after="120"/>
              <w:rPr>
                <w:rFonts w:ascii="Times New Roman" w:hAnsi="Times New Roman" w:cs="Times New Roman"/>
                <w:noProof/>
              </w:rPr>
            </w:pPr>
            <w:r>
              <w:rPr>
                <w:rFonts w:ascii="Times New Roman" w:hAnsi="Times New Roman"/>
                <w:noProof/>
              </w:rPr>
              <w:t>Tam tikrų nuolatinio korpuso kategorijų profilių pasiūla nevisiškai atitinka faktinius siuntimo poreikius. Nors laikui bėgant padėtis pagerėjo, labai paklausūs yra konkretūs profiliai, apie kurių trūkumą praneša FRONTEX (pvz., kinologai, aukšto lygio dokumentų ekspertai).</w:t>
            </w:r>
          </w:p>
        </w:tc>
        <w:tc>
          <w:tcPr>
            <w:tcW w:w="8505" w:type="dxa"/>
          </w:tcPr>
          <w:p w14:paraId="19454511" w14:textId="7BE88B68" w:rsidR="00401F4A" w:rsidRPr="00401F4A" w:rsidRDefault="008862BA" w:rsidP="00401F4A">
            <w:pPr>
              <w:spacing w:before="120" w:after="120"/>
              <w:rPr>
                <w:rFonts w:ascii="Times New Roman" w:hAnsi="Times New Roman" w:cs="Times New Roman"/>
                <w:noProof/>
              </w:rPr>
            </w:pPr>
            <w:r>
              <w:rPr>
                <w:rFonts w:ascii="Times New Roman" w:hAnsi="Times New Roman"/>
                <w:noProof/>
              </w:rPr>
              <w:t>33.1. Suintensyvinti specializuotų profilių darbuotojų mokymą, kad nuolatinis korpusas galėtų patenkinti operacinius poreikius prie išorės sienų ir teikiant grąžinimo pagalbą.</w:t>
            </w:r>
          </w:p>
          <w:p w14:paraId="117757FF" w14:textId="77777777" w:rsidR="00401F4A" w:rsidRPr="00B23B2A" w:rsidRDefault="00401F4A" w:rsidP="00401F4A">
            <w:pPr>
              <w:spacing w:before="120" w:after="120"/>
              <w:rPr>
                <w:rFonts w:ascii="Times New Roman" w:hAnsi="Times New Roman" w:cs="Times New Roman"/>
                <w:noProof/>
              </w:rPr>
            </w:pPr>
          </w:p>
          <w:p w14:paraId="0837A315" w14:textId="5CF91135" w:rsidR="00401F4A" w:rsidRPr="00B23B2A" w:rsidRDefault="00401F4A" w:rsidP="00401F4A">
            <w:pPr>
              <w:spacing w:before="120" w:after="120"/>
              <w:rPr>
                <w:rFonts w:ascii="Times New Roman" w:hAnsi="Times New Roman" w:cs="Times New Roman"/>
                <w:noProof/>
              </w:rPr>
            </w:pPr>
          </w:p>
        </w:tc>
        <w:tc>
          <w:tcPr>
            <w:tcW w:w="2169" w:type="dxa"/>
          </w:tcPr>
          <w:p w14:paraId="199F3FCF" w14:textId="77777777" w:rsidR="00401F4A" w:rsidRPr="00401F4A" w:rsidRDefault="00401F4A" w:rsidP="00401F4A">
            <w:pPr>
              <w:spacing w:before="120" w:after="120"/>
              <w:jc w:val="both"/>
              <w:rPr>
                <w:rFonts w:ascii="Times New Roman" w:hAnsi="Times New Roman" w:cs="Times New Roman"/>
                <w:noProof/>
              </w:rPr>
            </w:pPr>
            <w:r>
              <w:rPr>
                <w:rFonts w:ascii="Times New Roman" w:hAnsi="Times New Roman"/>
                <w:noProof/>
              </w:rPr>
              <w:t>FRONTEX</w:t>
            </w:r>
          </w:p>
          <w:p w14:paraId="5978180C" w14:textId="0D5F9622" w:rsidR="00401F4A" w:rsidRPr="004D2334" w:rsidRDefault="00401F4A" w:rsidP="00401F4A">
            <w:pPr>
              <w:spacing w:before="120" w:after="120"/>
              <w:jc w:val="both"/>
              <w:rPr>
                <w:rFonts w:ascii="Times New Roman" w:hAnsi="Times New Roman" w:cs="Times New Roman"/>
                <w:noProof/>
              </w:rPr>
            </w:pPr>
            <w:r>
              <w:rPr>
                <w:rFonts w:ascii="Times New Roman" w:hAnsi="Times New Roman"/>
                <w:noProof/>
              </w:rPr>
              <w:t>Valstybės narės / Šengeno asocijuotosios šalys</w:t>
            </w:r>
          </w:p>
        </w:tc>
      </w:tr>
      <w:tr w:rsidR="00401F4A" w:rsidRPr="004D2334" w14:paraId="1E5317BC" w14:textId="77777777" w:rsidTr="00034E1A">
        <w:tc>
          <w:tcPr>
            <w:tcW w:w="3397" w:type="dxa"/>
            <w:vMerge/>
          </w:tcPr>
          <w:p w14:paraId="17B3E085" w14:textId="77777777" w:rsidR="00401F4A" w:rsidRPr="00B23B2A" w:rsidRDefault="00401F4A" w:rsidP="00401F4A">
            <w:pPr>
              <w:spacing w:before="120" w:after="120"/>
              <w:rPr>
                <w:rFonts w:ascii="Times New Roman" w:hAnsi="Times New Roman" w:cs="Times New Roman"/>
                <w:noProof/>
              </w:rPr>
            </w:pPr>
          </w:p>
        </w:tc>
        <w:tc>
          <w:tcPr>
            <w:tcW w:w="8505" w:type="dxa"/>
          </w:tcPr>
          <w:p w14:paraId="6AB907A2" w14:textId="1EE4384D" w:rsidR="00401F4A" w:rsidRPr="00401F4A" w:rsidRDefault="008862BA" w:rsidP="00401F4A">
            <w:pPr>
              <w:spacing w:before="120" w:after="120"/>
              <w:rPr>
                <w:rFonts w:ascii="Times New Roman" w:hAnsi="Times New Roman" w:cs="Times New Roman"/>
                <w:noProof/>
              </w:rPr>
            </w:pPr>
            <w:r>
              <w:rPr>
                <w:rFonts w:ascii="Times New Roman" w:hAnsi="Times New Roman"/>
                <w:noProof/>
              </w:rPr>
              <w:t>33.2. Intensyvinti mokymą siekiant užtikrinti, kad 1 kategorijos darbuotojai turėtų kelis profilius ir atitinkamai padidėtų siuntimo lankstumas.</w:t>
            </w:r>
          </w:p>
        </w:tc>
        <w:tc>
          <w:tcPr>
            <w:tcW w:w="2169" w:type="dxa"/>
          </w:tcPr>
          <w:p w14:paraId="5766D054" w14:textId="5E7FA156" w:rsidR="00401F4A" w:rsidRPr="004D2334" w:rsidRDefault="00401F4A" w:rsidP="00401F4A">
            <w:pPr>
              <w:spacing w:before="120" w:after="120"/>
              <w:jc w:val="both"/>
              <w:rPr>
                <w:rFonts w:ascii="Times New Roman" w:hAnsi="Times New Roman" w:cs="Times New Roman"/>
                <w:noProof/>
              </w:rPr>
            </w:pPr>
            <w:r>
              <w:rPr>
                <w:rFonts w:ascii="Times New Roman" w:hAnsi="Times New Roman"/>
                <w:noProof/>
              </w:rPr>
              <w:t>FRONTEX</w:t>
            </w:r>
          </w:p>
        </w:tc>
      </w:tr>
      <w:tr w:rsidR="00401F4A" w:rsidRPr="004D2334" w14:paraId="0C34E751" w14:textId="77777777" w:rsidTr="00034E1A">
        <w:tc>
          <w:tcPr>
            <w:tcW w:w="3397" w:type="dxa"/>
            <w:vMerge w:val="restart"/>
          </w:tcPr>
          <w:p w14:paraId="3FD3D559" w14:textId="23391E0D" w:rsidR="00401F4A" w:rsidRPr="008862BA" w:rsidRDefault="00401F4A" w:rsidP="008862BA">
            <w:pPr>
              <w:pStyle w:val="ListParagraph"/>
              <w:numPr>
                <w:ilvl w:val="0"/>
                <w:numId w:val="2"/>
              </w:numPr>
              <w:spacing w:before="120" w:after="120"/>
              <w:rPr>
                <w:rFonts w:ascii="Times New Roman" w:hAnsi="Times New Roman" w:cs="Times New Roman"/>
                <w:noProof/>
              </w:rPr>
            </w:pPr>
            <w:r>
              <w:rPr>
                <w:rFonts w:ascii="Times New Roman" w:hAnsi="Times New Roman"/>
                <w:noProof/>
              </w:rPr>
              <w:t>Nuolatinio korpuso 2 ir 3 kategorijų pareigūnų, kuriuos pagal EBCG reglamentą tam tikros valstybės narės turi deleguoti arba paskirti į Agentūrą, skaičius nuolat neatitinka reikalavimų. Tos valstybės narės, kurios neįvykdo teisinės kvotos, trukdo Agentūrai veiksmingai reaguoti į operacinius poreikius prie ES išorės sienų.</w:t>
            </w:r>
          </w:p>
        </w:tc>
        <w:tc>
          <w:tcPr>
            <w:tcW w:w="8505" w:type="dxa"/>
          </w:tcPr>
          <w:p w14:paraId="3CAC960B" w14:textId="1A2DB265" w:rsidR="00401F4A" w:rsidRPr="004D2334" w:rsidRDefault="008862BA" w:rsidP="00401F4A">
            <w:pPr>
              <w:spacing w:before="120" w:after="120"/>
              <w:rPr>
                <w:rFonts w:ascii="Times New Roman" w:hAnsi="Times New Roman" w:cs="Times New Roman"/>
                <w:noProof/>
              </w:rPr>
            </w:pPr>
            <w:r>
              <w:rPr>
                <w:rFonts w:ascii="Times New Roman" w:hAnsi="Times New Roman"/>
                <w:noProof/>
              </w:rPr>
              <w:t>34.1. Pagerinti ilgalaikį planavimą ir užtikrinti, kad valstybės narės įsipareigotų prisidėti prie nuolatinio korpuso, taip sudarant sąlygas greitai siųsti darbuotojus atsižvelgiant į faktinius operacinius poreikius.</w:t>
            </w:r>
          </w:p>
        </w:tc>
        <w:tc>
          <w:tcPr>
            <w:tcW w:w="2169" w:type="dxa"/>
          </w:tcPr>
          <w:p w14:paraId="4404EE40" w14:textId="01F4EC7A" w:rsidR="00401F4A" w:rsidRPr="004D2334" w:rsidRDefault="00401F4A" w:rsidP="00401F4A">
            <w:pPr>
              <w:spacing w:before="120" w:after="120"/>
              <w:jc w:val="both"/>
              <w:rPr>
                <w:rFonts w:ascii="Times New Roman" w:hAnsi="Times New Roman" w:cs="Times New Roman"/>
                <w:noProof/>
              </w:rPr>
            </w:pPr>
            <w:r>
              <w:rPr>
                <w:rFonts w:ascii="Times New Roman" w:hAnsi="Times New Roman"/>
                <w:noProof/>
              </w:rPr>
              <w:t>FRONTEX</w:t>
            </w:r>
          </w:p>
        </w:tc>
      </w:tr>
      <w:tr w:rsidR="00401F4A" w:rsidRPr="004D2334" w14:paraId="3326F12C" w14:textId="77777777" w:rsidTr="00034E1A">
        <w:tc>
          <w:tcPr>
            <w:tcW w:w="3397" w:type="dxa"/>
            <w:vMerge/>
          </w:tcPr>
          <w:p w14:paraId="22BF5F0B" w14:textId="77777777" w:rsidR="00401F4A" w:rsidRPr="004D2334" w:rsidRDefault="00401F4A" w:rsidP="00401F4A">
            <w:pPr>
              <w:spacing w:before="120" w:after="120"/>
              <w:jc w:val="both"/>
              <w:rPr>
                <w:rFonts w:ascii="Times New Roman" w:hAnsi="Times New Roman" w:cs="Times New Roman"/>
                <w:noProof/>
                <w:lang w:val="en-IE"/>
              </w:rPr>
            </w:pPr>
          </w:p>
        </w:tc>
        <w:tc>
          <w:tcPr>
            <w:tcW w:w="8505" w:type="dxa"/>
          </w:tcPr>
          <w:p w14:paraId="22ADF234" w14:textId="177015AE" w:rsidR="00401F4A" w:rsidRPr="004D2334" w:rsidRDefault="008862BA" w:rsidP="00401F4A">
            <w:pPr>
              <w:spacing w:before="120" w:after="120"/>
              <w:jc w:val="both"/>
              <w:rPr>
                <w:rFonts w:ascii="Times New Roman" w:hAnsi="Times New Roman" w:cs="Times New Roman"/>
                <w:noProof/>
              </w:rPr>
            </w:pPr>
            <w:r>
              <w:rPr>
                <w:rFonts w:ascii="Times New Roman" w:hAnsi="Times New Roman"/>
                <w:noProof/>
              </w:rPr>
              <w:t>34.2. Prisidėti prie nuolatinio korpuso 2 ir 3 kategorijų darbuotojais, laikantis EBCG reglamente nustatytų įpareigojimų.</w:t>
            </w:r>
          </w:p>
        </w:tc>
        <w:tc>
          <w:tcPr>
            <w:tcW w:w="2169" w:type="dxa"/>
          </w:tcPr>
          <w:p w14:paraId="06317A21" w14:textId="707B4557" w:rsidR="00401F4A" w:rsidRPr="004D2334" w:rsidRDefault="00401F4A" w:rsidP="00401F4A">
            <w:pPr>
              <w:spacing w:before="120" w:after="120"/>
              <w:jc w:val="both"/>
              <w:rPr>
                <w:rFonts w:ascii="Times New Roman" w:hAnsi="Times New Roman" w:cs="Times New Roman"/>
                <w:noProof/>
              </w:rPr>
            </w:pPr>
            <w:r>
              <w:rPr>
                <w:rFonts w:ascii="Times New Roman" w:hAnsi="Times New Roman"/>
                <w:noProof/>
              </w:rPr>
              <w:t>Valstybės narės / Šengeno asocijuotosios šalys</w:t>
            </w:r>
          </w:p>
        </w:tc>
      </w:tr>
      <w:tr w:rsidR="00401F4A" w:rsidRPr="004D2334" w14:paraId="34ABFA07" w14:textId="77777777" w:rsidTr="00034E1A">
        <w:tc>
          <w:tcPr>
            <w:tcW w:w="3397" w:type="dxa"/>
          </w:tcPr>
          <w:p w14:paraId="4242523E" w14:textId="3502E299" w:rsidR="00401F4A" w:rsidRPr="008862BA" w:rsidRDefault="00401F4A" w:rsidP="008862BA">
            <w:pPr>
              <w:pStyle w:val="ListParagraph"/>
              <w:numPr>
                <w:ilvl w:val="0"/>
                <w:numId w:val="2"/>
              </w:numPr>
              <w:spacing w:before="120" w:after="120"/>
              <w:rPr>
                <w:rFonts w:ascii="Times New Roman" w:hAnsi="Times New Roman" w:cs="Times New Roman"/>
                <w:noProof/>
              </w:rPr>
            </w:pPr>
            <w:r>
              <w:rPr>
                <w:rFonts w:ascii="Times New Roman" w:hAnsi="Times New Roman"/>
                <w:noProof/>
              </w:rPr>
              <w:t>Nuolatinio korpuso 1 kategorijos darbuotojams taikomi ES tarnybos nuostatai, įskaitant jų nuostatas dėl darbo laiko, pamaininio darbo, viršvalandžių, budėjimo ir kt. Atitinkamais apribojimais darbuotojams užkertamas kelias tapti visapusiškai naudingais sienų apsaugos būrių nariais ir mažinama operacinė jų siuntimo į valstybes nares vertė.</w:t>
            </w:r>
          </w:p>
        </w:tc>
        <w:tc>
          <w:tcPr>
            <w:tcW w:w="8505" w:type="dxa"/>
          </w:tcPr>
          <w:p w14:paraId="0559E141" w14:textId="6142A992" w:rsidR="00401F4A" w:rsidRPr="004D2334" w:rsidRDefault="008862BA" w:rsidP="00911F69">
            <w:pPr>
              <w:spacing w:before="120" w:after="120"/>
              <w:rPr>
                <w:rFonts w:ascii="Times New Roman" w:hAnsi="Times New Roman" w:cs="Times New Roman"/>
                <w:noProof/>
              </w:rPr>
            </w:pPr>
            <w:r>
              <w:rPr>
                <w:rFonts w:ascii="Times New Roman" w:hAnsi="Times New Roman"/>
                <w:noProof/>
              </w:rPr>
              <w:t>35.1. Nurodyti klausimus, kuriuos reikia spręsti siekiant padidinti nuolatinio korpuso 1 kategorijos darbuotojų siuntimo veiksmingumą, ir, laikantis Europos Sąjungos pareigūnų tarnybos nuostatų ir kitų tarnautojų įdarbinimo sąlygų, išnagrinėti galimybę priimti būtinus Valdančiosios tarybos sprendimus ir Komisijos deleguotuosius aktus, atsižvelgiant į operacinius poreikius prie išorės sienų.</w:t>
            </w:r>
          </w:p>
        </w:tc>
        <w:tc>
          <w:tcPr>
            <w:tcW w:w="2169" w:type="dxa"/>
          </w:tcPr>
          <w:p w14:paraId="2F6F454F" w14:textId="77777777" w:rsidR="00401F4A" w:rsidRDefault="00401F4A" w:rsidP="00401F4A">
            <w:pPr>
              <w:spacing w:before="120" w:after="120"/>
              <w:jc w:val="both"/>
              <w:rPr>
                <w:rFonts w:ascii="Times New Roman" w:hAnsi="Times New Roman" w:cs="Times New Roman"/>
                <w:noProof/>
              </w:rPr>
            </w:pPr>
            <w:r>
              <w:rPr>
                <w:rFonts w:ascii="Times New Roman" w:hAnsi="Times New Roman"/>
                <w:noProof/>
              </w:rPr>
              <w:t xml:space="preserve">FRONTEX </w:t>
            </w:r>
          </w:p>
          <w:p w14:paraId="1FE54E3B" w14:textId="77777777" w:rsidR="00401F4A" w:rsidRDefault="00401F4A" w:rsidP="00401F4A">
            <w:pPr>
              <w:spacing w:before="120" w:after="120"/>
              <w:jc w:val="both"/>
              <w:rPr>
                <w:rFonts w:ascii="Times New Roman" w:hAnsi="Times New Roman" w:cs="Times New Roman"/>
                <w:noProof/>
              </w:rPr>
            </w:pPr>
            <w:r>
              <w:rPr>
                <w:rFonts w:ascii="Times New Roman" w:hAnsi="Times New Roman"/>
                <w:noProof/>
              </w:rPr>
              <w:t>Valdančioji taryba</w:t>
            </w:r>
          </w:p>
          <w:p w14:paraId="64232E16" w14:textId="55701F81" w:rsidR="00401F4A" w:rsidRPr="004D2334" w:rsidRDefault="00401F4A" w:rsidP="00401F4A">
            <w:pPr>
              <w:spacing w:before="120" w:after="120"/>
              <w:jc w:val="both"/>
              <w:rPr>
                <w:rFonts w:ascii="Times New Roman" w:hAnsi="Times New Roman" w:cs="Times New Roman"/>
                <w:noProof/>
              </w:rPr>
            </w:pPr>
            <w:r>
              <w:rPr>
                <w:rFonts w:ascii="Times New Roman" w:hAnsi="Times New Roman"/>
                <w:noProof/>
              </w:rPr>
              <w:t>Europos Komisija</w:t>
            </w:r>
          </w:p>
        </w:tc>
      </w:tr>
    </w:tbl>
    <w:p w14:paraId="3E454823" w14:textId="77777777" w:rsidR="00034E1A" w:rsidRPr="00B23B2A" w:rsidRDefault="00034E1A" w:rsidP="009A5E59">
      <w:pPr>
        <w:spacing w:before="120" w:after="120" w:line="240" w:lineRule="auto"/>
        <w:jc w:val="both"/>
        <w:rPr>
          <w:rFonts w:ascii="Times New Roman" w:hAnsi="Times New Roman" w:cs="Times New Roman"/>
          <w:noProof/>
          <w:lang w:val="fr-BE"/>
        </w:rPr>
      </w:pPr>
    </w:p>
    <w:sectPr w:rsidR="00034E1A" w:rsidRPr="00B23B2A" w:rsidSect="00487235">
      <w:headerReference w:type="even" r:id="rId18"/>
      <w:headerReference w:type="default" r:id="rId19"/>
      <w:footerReference w:type="even" r:id="rId20"/>
      <w:footerReference w:type="default" r:id="rId21"/>
      <w:headerReference w:type="first" r:id="rId22"/>
      <w:footerReference w:type="first" r:id="rId23"/>
      <w:pgSz w:w="16838" w:h="11906" w:orient="landscape"/>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2291A" w14:textId="77777777" w:rsidR="00B3277D" w:rsidRDefault="00B3277D" w:rsidP="00CB49E4">
      <w:pPr>
        <w:spacing w:after="0" w:line="240" w:lineRule="auto"/>
      </w:pPr>
      <w:r>
        <w:separator/>
      </w:r>
    </w:p>
  </w:endnote>
  <w:endnote w:type="continuationSeparator" w:id="0">
    <w:p w14:paraId="55F6649E" w14:textId="77777777" w:rsidR="00B3277D" w:rsidRDefault="00B3277D" w:rsidP="00CB49E4">
      <w:pPr>
        <w:spacing w:after="0" w:line="240" w:lineRule="auto"/>
      </w:pPr>
      <w:r>
        <w:continuationSeparator/>
      </w:r>
    </w:p>
  </w:endnote>
  <w:endnote w:type="continuationNotice" w:id="1">
    <w:p w14:paraId="68DB003B" w14:textId="77777777" w:rsidR="00B3277D" w:rsidRDefault="00B327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F9087" w14:textId="7F8A4050" w:rsidR="00DA3C4C" w:rsidRPr="00DA3C4C" w:rsidRDefault="00DA3C4C" w:rsidP="00DA3C4C">
    <w:pPr>
      <w:pStyle w:val="FooterCoverPage"/>
      <w:rPr>
        <w:rFonts w:ascii="Arial" w:hAnsi="Arial" w:cs="Arial"/>
        <w:b/>
        <w:sz w:val="48"/>
      </w:rPr>
    </w:pPr>
    <w:r w:rsidRPr="00DA3C4C">
      <w:rPr>
        <w:rFonts w:ascii="Arial" w:hAnsi="Arial" w:cs="Arial"/>
        <w:b/>
        <w:sz w:val="48"/>
      </w:rPr>
      <w:t>LT</w:t>
    </w:r>
    <w:r w:rsidRPr="00DA3C4C">
      <w:rPr>
        <w:rFonts w:ascii="Arial" w:hAnsi="Arial" w:cs="Arial"/>
        <w:b/>
        <w:sz w:val="48"/>
      </w:rPr>
      <w:tab/>
    </w:r>
    <w:r w:rsidRPr="00DA3C4C">
      <w:rPr>
        <w:rFonts w:ascii="Arial" w:hAnsi="Arial" w:cs="Arial"/>
        <w:b/>
        <w:sz w:val="48"/>
      </w:rPr>
      <w:tab/>
    </w:r>
    <w:r w:rsidRPr="00DA3C4C">
      <w:tab/>
    </w:r>
    <w:r w:rsidRPr="00DA3C4C">
      <w:rPr>
        <w:rFonts w:ascii="Arial" w:hAnsi="Arial" w:cs="Arial"/>
        <w:b/>
        <w:sz w:val="48"/>
      </w:rPr>
      <w:t>LT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375C1" w14:textId="051FBC86" w:rsidR="00DA3C4C" w:rsidRPr="00DA3C4C" w:rsidRDefault="00DA3C4C" w:rsidP="00DA3C4C">
    <w:pPr>
      <w:pStyle w:val="FooterCoverPage"/>
      <w:rPr>
        <w:rFonts w:ascii="Arial" w:hAnsi="Arial" w:cs="Arial"/>
        <w:b/>
        <w:sz w:val="48"/>
      </w:rPr>
    </w:pPr>
    <w:r w:rsidRPr="00DA3C4C">
      <w:rPr>
        <w:rFonts w:ascii="Arial" w:hAnsi="Arial" w:cs="Arial"/>
        <w:b/>
        <w:sz w:val="48"/>
      </w:rPr>
      <w:t>LT</w:t>
    </w:r>
    <w:r w:rsidRPr="00DA3C4C">
      <w:rPr>
        <w:rFonts w:ascii="Arial" w:hAnsi="Arial" w:cs="Arial"/>
        <w:b/>
        <w:sz w:val="48"/>
      </w:rPr>
      <w:tab/>
    </w:r>
    <w:r w:rsidRPr="00DA3C4C">
      <w:rPr>
        <w:rFonts w:ascii="Arial" w:hAnsi="Arial" w:cs="Arial"/>
        <w:b/>
        <w:sz w:val="48"/>
      </w:rPr>
      <w:tab/>
    </w:r>
    <w:r w:rsidRPr="00DA3C4C">
      <w:tab/>
    </w:r>
    <w:r w:rsidRPr="00DA3C4C">
      <w:rPr>
        <w:rFonts w:ascii="Arial" w:hAnsi="Arial" w:cs="Arial"/>
        <w:b/>
        <w:sz w:val="48"/>
      </w:rPr>
      <w:t>LT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CFE3C" w14:textId="77777777" w:rsidR="00DA3C4C" w:rsidRPr="00DA3C4C" w:rsidRDefault="00DA3C4C" w:rsidP="00DA3C4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CFB8F" w14:textId="77777777" w:rsidR="00487235" w:rsidRDefault="004872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CE69B" w14:textId="47DF4DA2" w:rsidR="00487235" w:rsidRDefault="00487235" w:rsidP="6CD351BC">
    <w:pPr>
      <w:pStyle w:val="Footer"/>
      <w:jc w:val="center"/>
      <w:rPr>
        <w:noProof/>
      </w:rPr>
    </w:pPr>
    <w:r>
      <w:fldChar w:fldCharType="begin"/>
    </w:r>
    <w:r>
      <w:instrText>PAGE</w:instrText>
    </w:r>
    <w:r>
      <w:fldChar w:fldCharType="separate"/>
    </w:r>
    <w:r w:rsidR="00DA3C4C">
      <w:rPr>
        <w:noProof/>
      </w:rPr>
      <w:t>1</w:t>
    </w:r>
    <w:r>
      <w:fldChar w:fldCharType="end"/>
    </w:r>
  </w:p>
  <w:p w14:paraId="3D779257" w14:textId="77777777" w:rsidR="00487235" w:rsidRDefault="004872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05048" w14:textId="77777777" w:rsidR="00487235" w:rsidRDefault="00487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7783C" w14:textId="77777777" w:rsidR="00B3277D" w:rsidRDefault="00B3277D" w:rsidP="00CB49E4">
      <w:pPr>
        <w:spacing w:after="0" w:line="240" w:lineRule="auto"/>
      </w:pPr>
      <w:r>
        <w:separator/>
      </w:r>
    </w:p>
  </w:footnote>
  <w:footnote w:type="continuationSeparator" w:id="0">
    <w:p w14:paraId="39BE441F" w14:textId="77777777" w:rsidR="00B3277D" w:rsidRDefault="00B3277D" w:rsidP="00CB49E4">
      <w:pPr>
        <w:spacing w:after="0" w:line="240" w:lineRule="auto"/>
      </w:pPr>
      <w:r>
        <w:continuationSeparator/>
      </w:r>
    </w:p>
  </w:footnote>
  <w:footnote w:type="continuationNotice" w:id="1">
    <w:p w14:paraId="14A39532" w14:textId="77777777" w:rsidR="00B3277D" w:rsidRDefault="00B327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EF9E0" w14:textId="77777777" w:rsidR="00DA3C4C" w:rsidRPr="00DA3C4C" w:rsidRDefault="00DA3C4C" w:rsidP="00DA3C4C">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18553" w14:textId="77777777" w:rsidR="00DA3C4C" w:rsidRPr="00DA3C4C" w:rsidRDefault="00DA3C4C" w:rsidP="00DA3C4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E37D4" w14:textId="77777777" w:rsidR="00DA3C4C" w:rsidRPr="00DA3C4C" w:rsidRDefault="00DA3C4C" w:rsidP="00DA3C4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90772" w14:textId="77777777" w:rsidR="00487235" w:rsidRDefault="004872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B4843" w14:textId="77777777" w:rsidR="00487235" w:rsidRDefault="004872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F2660" w14:textId="77777777" w:rsidR="00487235" w:rsidRDefault="00487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2E0A"/>
    <w:multiLevelType w:val="multilevel"/>
    <w:tmpl w:val="FABCB9B8"/>
    <w:lvl w:ilvl="0">
      <w:start w:val="25"/>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2F71DF4"/>
    <w:multiLevelType w:val="multilevel"/>
    <w:tmpl w:val="B9348BF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87D0192"/>
    <w:multiLevelType w:val="multilevel"/>
    <w:tmpl w:val="F28C87D0"/>
    <w:lvl w:ilvl="0">
      <w:start w:val="13"/>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B98163D"/>
    <w:multiLevelType w:val="multilevel"/>
    <w:tmpl w:val="924289AE"/>
    <w:lvl w:ilvl="0">
      <w:start w:val="20"/>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B817B4D"/>
    <w:multiLevelType w:val="multilevel"/>
    <w:tmpl w:val="217C1A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5F1E70"/>
    <w:multiLevelType w:val="multilevel"/>
    <w:tmpl w:val="ADEEF19A"/>
    <w:lvl w:ilvl="0">
      <w:start w:val="16"/>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FFB48F9"/>
    <w:multiLevelType w:val="multilevel"/>
    <w:tmpl w:val="6D0E3D32"/>
    <w:lvl w:ilvl="0">
      <w:start w:val="29"/>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8AE0978"/>
    <w:multiLevelType w:val="multilevel"/>
    <w:tmpl w:val="E1785598"/>
    <w:lvl w:ilvl="0">
      <w:start w:val="17"/>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3648AC"/>
    <w:multiLevelType w:val="multilevel"/>
    <w:tmpl w:val="713C62F4"/>
    <w:lvl w:ilvl="0">
      <w:start w:val="1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8D4DF6"/>
    <w:multiLevelType w:val="multilevel"/>
    <w:tmpl w:val="40FC6CFA"/>
    <w:lvl w:ilvl="0">
      <w:start w:val="28"/>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D7134D1"/>
    <w:multiLevelType w:val="hybridMultilevel"/>
    <w:tmpl w:val="A29836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2B073C4"/>
    <w:multiLevelType w:val="multilevel"/>
    <w:tmpl w:val="10C23E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BC06CEB"/>
    <w:multiLevelType w:val="multilevel"/>
    <w:tmpl w:val="638C638C"/>
    <w:lvl w:ilvl="0">
      <w:start w:val="28"/>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E31653E"/>
    <w:multiLevelType w:val="multilevel"/>
    <w:tmpl w:val="5FD262A2"/>
    <w:lvl w:ilvl="0">
      <w:start w:val="1"/>
      <w:numFmt w:val="decimal"/>
      <w:lvlText w:val="%1."/>
      <w:lvlJc w:val="left"/>
      <w:pPr>
        <w:ind w:left="360" w:hanging="360"/>
      </w:pPr>
      <w:rPr>
        <w:rFonts w:hint="default"/>
        <w:b w:val="0"/>
        <w:bCs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0"/>
  </w:num>
  <w:num w:numId="2">
    <w:abstractNumId w:val="13"/>
  </w:num>
  <w:num w:numId="3">
    <w:abstractNumId w:val="1"/>
  </w:num>
  <w:num w:numId="4">
    <w:abstractNumId w:val="4"/>
  </w:num>
  <w:num w:numId="5">
    <w:abstractNumId w:val="2"/>
  </w:num>
  <w:num w:numId="6">
    <w:abstractNumId w:val="8"/>
  </w:num>
  <w:num w:numId="7">
    <w:abstractNumId w:val="7"/>
  </w:num>
  <w:num w:numId="8">
    <w:abstractNumId w:val="3"/>
  </w:num>
  <w:num w:numId="9">
    <w:abstractNumId w:val="0"/>
  </w:num>
  <w:num w:numId="10">
    <w:abstractNumId w:val="12"/>
  </w:num>
  <w:num w:numId="11">
    <w:abstractNumId w:val="6"/>
  </w:num>
  <w:num w:numId="12">
    <w:abstractNumId w:val="5"/>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prie"/>
    <w:docVar w:name="LW_ANNEX_NBR_FIRST" w:val="1"/>
    <w:docVar w:name="LW_ANNEX_NBR_LAST" w:val="1"/>
    <w:docVar w:name="LW_ANNEX_UNIQUE" w:val="1"/>
    <w:docVar w:name="LW_CORRIGENDUM" w:val="&lt;UNUSED&gt;"/>
    <w:docVar w:name="LW_COVERPAGE_EXISTS" w:val="True"/>
    <w:docVar w:name="LW_COVERPAGE_GUID" w:val="0285536F-7D9A-4A16-8164-A0793DD8FAB7"/>
    <w:docVar w:name="LW_COVERPAGE_TYPE" w:val="1"/>
    <w:docVar w:name="LW_CROSSREFERENCE" w:val="{SWD(2024) 75 final}"/>
    <w:docVar w:name="LW_DocType" w:val="NORMAL"/>
    <w:docVar w:name="LW_EMISSION" w:val="2024 02 02"/>
    <w:docVar w:name="LW_EMISSION_ISODATE" w:val="2024-02-02"/>
    <w:docVar w:name="LW_EMISSION_LOCATION" w:val="BRX"/>
    <w:docVar w:name="LW_EMISSION_PREFIX" w:val="Briuselis, "/>
    <w:docVar w:name="LW_EMISSION_SUFFIX" w:val=" "/>
    <w:docVar w:name="LW_ID_DOCTYPE_NONLW" w:val="CP-039"/>
    <w:docVar w:name="LW_LANGUE" w:val="LT"/>
    <w:docVar w:name="LW_LEVEL_OF_SENSITIVITY" w:val="Standard treatment"/>
    <w:docVar w:name="LW_NOM.INST" w:val="EUROPOS KOMISIJA"/>
    <w:docVar w:name="LW_NOM.INST_JOINTDOC" w:val="&lt;EMPTY&gt;"/>
    <w:docVar w:name="LW_OBJETACTEPRINCIPAL.CP" w:val="d\u279?l Reglamento (ES) 2019/1896 d\u279?l Europos sien\u371? ir pakran\u269?i\u371? apsaugos paj\u279?g\u371? vertinimo ir nuolatinio korpuso per\u382?i\u363?ros_x000d__x000b_"/>
    <w:docVar w:name="LW_PART_NBR" w:val="1"/>
    <w:docVar w:name="LW_PART_NBR_TOTAL" w:val="1"/>
    <w:docVar w:name="LW_REF.INST.NEW" w:val="COM"/>
    <w:docVar w:name="LW_REF.INST.NEW_ADOPTED" w:val="final"/>
    <w:docVar w:name="LW_REF.INST.NEW_TEXT" w:val="(2024) 75"/>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RIEDAS_x000b_"/>
    <w:docVar w:name="LW_TYPEACTEPRINCIPAL.CP" w:val="KOMISIJOS ATASKAITOS EUROPOS PARLAMENTUI IR TARYBAI"/>
    <w:docVar w:name="LwApiVersions" w:val="LW4CoDe 1.24.4.0; LW 9.0, Build 20240125"/>
  </w:docVars>
  <w:rsids>
    <w:rsidRoot w:val="00CB49E4"/>
    <w:rsid w:val="0000109E"/>
    <w:rsid w:val="00002531"/>
    <w:rsid w:val="000027FD"/>
    <w:rsid w:val="00004D18"/>
    <w:rsid w:val="00005285"/>
    <w:rsid w:val="000055D8"/>
    <w:rsid w:val="00006A7E"/>
    <w:rsid w:val="00006C48"/>
    <w:rsid w:val="000104B7"/>
    <w:rsid w:val="00010A0D"/>
    <w:rsid w:val="00013078"/>
    <w:rsid w:val="00013D72"/>
    <w:rsid w:val="00015406"/>
    <w:rsid w:val="00021578"/>
    <w:rsid w:val="0002367B"/>
    <w:rsid w:val="0002545D"/>
    <w:rsid w:val="00030183"/>
    <w:rsid w:val="00034E1A"/>
    <w:rsid w:val="000350B4"/>
    <w:rsid w:val="000404DB"/>
    <w:rsid w:val="00041602"/>
    <w:rsid w:val="00041EB7"/>
    <w:rsid w:val="0004228C"/>
    <w:rsid w:val="0004323D"/>
    <w:rsid w:val="00045CE2"/>
    <w:rsid w:val="00046285"/>
    <w:rsid w:val="00046D8B"/>
    <w:rsid w:val="0005394F"/>
    <w:rsid w:val="000539C6"/>
    <w:rsid w:val="00054916"/>
    <w:rsid w:val="000549F1"/>
    <w:rsid w:val="00054B7F"/>
    <w:rsid w:val="000575AE"/>
    <w:rsid w:val="00060C6D"/>
    <w:rsid w:val="0006531C"/>
    <w:rsid w:val="00075DAC"/>
    <w:rsid w:val="00076079"/>
    <w:rsid w:val="00076310"/>
    <w:rsid w:val="000763FA"/>
    <w:rsid w:val="00077392"/>
    <w:rsid w:val="000800E5"/>
    <w:rsid w:val="000803D8"/>
    <w:rsid w:val="00080F97"/>
    <w:rsid w:val="00082FE2"/>
    <w:rsid w:val="00083F80"/>
    <w:rsid w:val="000902BA"/>
    <w:rsid w:val="00091EFA"/>
    <w:rsid w:val="00093492"/>
    <w:rsid w:val="00094779"/>
    <w:rsid w:val="000951D5"/>
    <w:rsid w:val="000952D5"/>
    <w:rsid w:val="0009610F"/>
    <w:rsid w:val="000A0515"/>
    <w:rsid w:val="000A2A3E"/>
    <w:rsid w:val="000A357B"/>
    <w:rsid w:val="000A3759"/>
    <w:rsid w:val="000A44EA"/>
    <w:rsid w:val="000B0A1A"/>
    <w:rsid w:val="000B166C"/>
    <w:rsid w:val="000B253C"/>
    <w:rsid w:val="000B3027"/>
    <w:rsid w:val="000B303A"/>
    <w:rsid w:val="000B4EBA"/>
    <w:rsid w:val="000B6842"/>
    <w:rsid w:val="000C021C"/>
    <w:rsid w:val="000C1FE4"/>
    <w:rsid w:val="000D0582"/>
    <w:rsid w:val="000D0E2B"/>
    <w:rsid w:val="000D11EB"/>
    <w:rsid w:val="000D14AB"/>
    <w:rsid w:val="000D30DD"/>
    <w:rsid w:val="000D3FBE"/>
    <w:rsid w:val="000D5FFC"/>
    <w:rsid w:val="000D658E"/>
    <w:rsid w:val="000D672B"/>
    <w:rsid w:val="000D68F5"/>
    <w:rsid w:val="000D690F"/>
    <w:rsid w:val="000D6D15"/>
    <w:rsid w:val="000D734E"/>
    <w:rsid w:val="000E10CF"/>
    <w:rsid w:val="000E2938"/>
    <w:rsid w:val="000E521A"/>
    <w:rsid w:val="000E6B3C"/>
    <w:rsid w:val="000F08F5"/>
    <w:rsid w:val="000F281F"/>
    <w:rsid w:val="000F30B8"/>
    <w:rsid w:val="000F3C3A"/>
    <w:rsid w:val="000F5C1B"/>
    <w:rsid w:val="000F5CD3"/>
    <w:rsid w:val="000F6E1A"/>
    <w:rsid w:val="000F7C3D"/>
    <w:rsid w:val="00103D55"/>
    <w:rsid w:val="00103F40"/>
    <w:rsid w:val="00104B0E"/>
    <w:rsid w:val="00106010"/>
    <w:rsid w:val="00106B28"/>
    <w:rsid w:val="0011066E"/>
    <w:rsid w:val="0011101D"/>
    <w:rsid w:val="00111B2E"/>
    <w:rsid w:val="00112FB6"/>
    <w:rsid w:val="00117582"/>
    <w:rsid w:val="00117660"/>
    <w:rsid w:val="0011799A"/>
    <w:rsid w:val="00122A55"/>
    <w:rsid w:val="00130076"/>
    <w:rsid w:val="001328E1"/>
    <w:rsid w:val="00135143"/>
    <w:rsid w:val="001361AF"/>
    <w:rsid w:val="00136F46"/>
    <w:rsid w:val="00137492"/>
    <w:rsid w:val="001403AF"/>
    <w:rsid w:val="00140B3F"/>
    <w:rsid w:val="00144399"/>
    <w:rsid w:val="00144774"/>
    <w:rsid w:val="0014599F"/>
    <w:rsid w:val="001462DE"/>
    <w:rsid w:val="00146E07"/>
    <w:rsid w:val="00146E0D"/>
    <w:rsid w:val="001520F2"/>
    <w:rsid w:val="00152636"/>
    <w:rsid w:val="00172986"/>
    <w:rsid w:val="0017638B"/>
    <w:rsid w:val="0018043F"/>
    <w:rsid w:val="0018089D"/>
    <w:rsid w:val="00181B41"/>
    <w:rsid w:val="0018546D"/>
    <w:rsid w:val="0018684E"/>
    <w:rsid w:val="00193A88"/>
    <w:rsid w:val="00194DA9"/>
    <w:rsid w:val="00194EA8"/>
    <w:rsid w:val="0019646F"/>
    <w:rsid w:val="001965F1"/>
    <w:rsid w:val="0019667F"/>
    <w:rsid w:val="001A08FD"/>
    <w:rsid w:val="001A3925"/>
    <w:rsid w:val="001B07DA"/>
    <w:rsid w:val="001B3578"/>
    <w:rsid w:val="001B492B"/>
    <w:rsid w:val="001B5739"/>
    <w:rsid w:val="001B7021"/>
    <w:rsid w:val="001C6B97"/>
    <w:rsid w:val="001D05D9"/>
    <w:rsid w:val="001D137D"/>
    <w:rsid w:val="001D13D9"/>
    <w:rsid w:val="001D1FC4"/>
    <w:rsid w:val="001D3265"/>
    <w:rsid w:val="001D38F3"/>
    <w:rsid w:val="001D7D1B"/>
    <w:rsid w:val="001E3746"/>
    <w:rsid w:val="001E5A15"/>
    <w:rsid w:val="001E60B0"/>
    <w:rsid w:val="001E71A4"/>
    <w:rsid w:val="001F051B"/>
    <w:rsid w:val="001F11AC"/>
    <w:rsid w:val="001F4B41"/>
    <w:rsid w:val="001F4E31"/>
    <w:rsid w:val="001F4E44"/>
    <w:rsid w:val="001F4FA7"/>
    <w:rsid w:val="001F6B8C"/>
    <w:rsid w:val="0020092C"/>
    <w:rsid w:val="00200A25"/>
    <w:rsid w:val="00202DEB"/>
    <w:rsid w:val="00203D43"/>
    <w:rsid w:val="0020465E"/>
    <w:rsid w:val="0020557D"/>
    <w:rsid w:val="00207432"/>
    <w:rsid w:val="002077F1"/>
    <w:rsid w:val="00210258"/>
    <w:rsid w:val="0021106A"/>
    <w:rsid w:val="00211786"/>
    <w:rsid w:val="00212FD0"/>
    <w:rsid w:val="00215910"/>
    <w:rsid w:val="00215A2E"/>
    <w:rsid w:val="00215AD4"/>
    <w:rsid w:val="0021790D"/>
    <w:rsid w:val="0022324D"/>
    <w:rsid w:val="002244D4"/>
    <w:rsid w:val="0023063A"/>
    <w:rsid w:val="00230CCE"/>
    <w:rsid w:val="00231544"/>
    <w:rsid w:val="00231B91"/>
    <w:rsid w:val="00232053"/>
    <w:rsid w:val="00232CF4"/>
    <w:rsid w:val="00234159"/>
    <w:rsid w:val="002346B4"/>
    <w:rsid w:val="00235CC0"/>
    <w:rsid w:val="00240189"/>
    <w:rsid w:val="00241313"/>
    <w:rsid w:val="00241511"/>
    <w:rsid w:val="002420D1"/>
    <w:rsid w:val="002451F5"/>
    <w:rsid w:val="00245D4B"/>
    <w:rsid w:val="00254958"/>
    <w:rsid w:val="00254B76"/>
    <w:rsid w:val="00256B7E"/>
    <w:rsid w:val="00262039"/>
    <w:rsid w:val="002634EC"/>
    <w:rsid w:val="00263810"/>
    <w:rsid w:val="00263DDD"/>
    <w:rsid w:val="00265168"/>
    <w:rsid w:val="00267CB0"/>
    <w:rsid w:val="00270F73"/>
    <w:rsid w:val="00271033"/>
    <w:rsid w:val="002718D1"/>
    <w:rsid w:val="00271E73"/>
    <w:rsid w:val="00273B6C"/>
    <w:rsid w:val="002756E8"/>
    <w:rsid w:val="002756FA"/>
    <w:rsid w:val="00275A7A"/>
    <w:rsid w:val="002775AA"/>
    <w:rsid w:val="00280055"/>
    <w:rsid w:val="002861EC"/>
    <w:rsid w:val="00286595"/>
    <w:rsid w:val="00286D9A"/>
    <w:rsid w:val="00287008"/>
    <w:rsid w:val="002911F5"/>
    <w:rsid w:val="0029156F"/>
    <w:rsid w:val="0029254B"/>
    <w:rsid w:val="002929C2"/>
    <w:rsid w:val="0029384C"/>
    <w:rsid w:val="0029448E"/>
    <w:rsid w:val="0029591E"/>
    <w:rsid w:val="00296DCA"/>
    <w:rsid w:val="002A0AB9"/>
    <w:rsid w:val="002A0B01"/>
    <w:rsid w:val="002A1D87"/>
    <w:rsid w:val="002A48E5"/>
    <w:rsid w:val="002A53A7"/>
    <w:rsid w:val="002A776F"/>
    <w:rsid w:val="002B0D1D"/>
    <w:rsid w:val="002B2508"/>
    <w:rsid w:val="002B4A3E"/>
    <w:rsid w:val="002C156F"/>
    <w:rsid w:val="002C20AB"/>
    <w:rsid w:val="002C3279"/>
    <w:rsid w:val="002C5097"/>
    <w:rsid w:val="002C5550"/>
    <w:rsid w:val="002C5C4D"/>
    <w:rsid w:val="002C618B"/>
    <w:rsid w:val="002C6654"/>
    <w:rsid w:val="002C6947"/>
    <w:rsid w:val="002D1B09"/>
    <w:rsid w:val="002D30C1"/>
    <w:rsid w:val="002D4482"/>
    <w:rsid w:val="002D5184"/>
    <w:rsid w:val="002D5AFA"/>
    <w:rsid w:val="002E1458"/>
    <w:rsid w:val="002E258A"/>
    <w:rsid w:val="002E64D3"/>
    <w:rsid w:val="002F0EE6"/>
    <w:rsid w:val="002F1DDD"/>
    <w:rsid w:val="002F3837"/>
    <w:rsid w:val="002F3884"/>
    <w:rsid w:val="002F4719"/>
    <w:rsid w:val="003003D2"/>
    <w:rsid w:val="00303C7C"/>
    <w:rsid w:val="00304102"/>
    <w:rsid w:val="003041BB"/>
    <w:rsid w:val="00305D89"/>
    <w:rsid w:val="00312022"/>
    <w:rsid w:val="00313054"/>
    <w:rsid w:val="0031350F"/>
    <w:rsid w:val="0031521A"/>
    <w:rsid w:val="003177BF"/>
    <w:rsid w:val="00317EF4"/>
    <w:rsid w:val="0032126E"/>
    <w:rsid w:val="0032480F"/>
    <w:rsid w:val="0032530B"/>
    <w:rsid w:val="0032596B"/>
    <w:rsid w:val="00327A93"/>
    <w:rsid w:val="00331AA4"/>
    <w:rsid w:val="0033263F"/>
    <w:rsid w:val="0033295E"/>
    <w:rsid w:val="00332ED0"/>
    <w:rsid w:val="00333DD1"/>
    <w:rsid w:val="003365D2"/>
    <w:rsid w:val="00336A06"/>
    <w:rsid w:val="00337174"/>
    <w:rsid w:val="00340B11"/>
    <w:rsid w:val="00343791"/>
    <w:rsid w:val="00347052"/>
    <w:rsid w:val="003528EB"/>
    <w:rsid w:val="00354266"/>
    <w:rsid w:val="00355825"/>
    <w:rsid w:val="00360AD3"/>
    <w:rsid w:val="00361A08"/>
    <w:rsid w:val="00361F57"/>
    <w:rsid w:val="003622B8"/>
    <w:rsid w:val="00363C96"/>
    <w:rsid w:val="00364414"/>
    <w:rsid w:val="00365300"/>
    <w:rsid w:val="003670C7"/>
    <w:rsid w:val="003720B1"/>
    <w:rsid w:val="00372631"/>
    <w:rsid w:val="00373CC1"/>
    <w:rsid w:val="0037577A"/>
    <w:rsid w:val="00376195"/>
    <w:rsid w:val="00376980"/>
    <w:rsid w:val="00380177"/>
    <w:rsid w:val="00380AB1"/>
    <w:rsid w:val="00382760"/>
    <w:rsid w:val="00383235"/>
    <w:rsid w:val="00383EDD"/>
    <w:rsid w:val="00391DBE"/>
    <w:rsid w:val="003921CB"/>
    <w:rsid w:val="00392317"/>
    <w:rsid w:val="00393F14"/>
    <w:rsid w:val="003963FF"/>
    <w:rsid w:val="00396EEE"/>
    <w:rsid w:val="003A0A29"/>
    <w:rsid w:val="003A5B7C"/>
    <w:rsid w:val="003A6BBF"/>
    <w:rsid w:val="003B1A5F"/>
    <w:rsid w:val="003B1B05"/>
    <w:rsid w:val="003B2E46"/>
    <w:rsid w:val="003B3CA9"/>
    <w:rsid w:val="003C366D"/>
    <w:rsid w:val="003C4D56"/>
    <w:rsid w:val="003C557B"/>
    <w:rsid w:val="003C5D39"/>
    <w:rsid w:val="003D0F77"/>
    <w:rsid w:val="003D7290"/>
    <w:rsid w:val="003E073A"/>
    <w:rsid w:val="003E0832"/>
    <w:rsid w:val="003E188B"/>
    <w:rsid w:val="003E3B0F"/>
    <w:rsid w:val="003E42D2"/>
    <w:rsid w:val="003E4865"/>
    <w:rsid w:val="003F37E4"/>
    <w:rsid w:val="003F40EE"/>
    <w:rsid w:val="003F5A73"/>
    <w:rsid w:val="003F6385"/>
    <w:rsid w:val="003F6708"/>
    <w:rsid w:val="003F6AE8"/>
    <w:rsid w:val="00401CA3"/>
    <w:rsid w:val="00401F4A"/>
    <w:rsid w:val="00403A65"/>
    <w:rsid w:val="00403D15"/>
    <w:rsid w:val="00406265"/>
    <w:rsid w:val="00407143"/>
    <w:rsid w:val="0040734E"/>
    <w:rsid w:val="00407E37"/>
    <w:rsid w:val="0041047B"/>
    <w:rsid w:val="0041331A"/>
    <w:rsid w:val="0041446E"/>
    <w:rsid w:val="00416243"/>
    <w:rsid w:val="00423605"/>
    <w:rsid w:val="00425949"/>
    <w:rsid w:val="00427757"/>
    <w:rsid w:val="004277BD"/>
    <w:rsid w:val="00433128"/>
    <w:rsid w:val="00433697"/>
    <w:rsid w:val="004406D9"/>
    <w:rsid w:val="00440752"/>
    <w:rsid w:val="00441284"/>
    <w:rsid w:val="0044251A"/>
    <w:rsid w:val="00443454"/>
    <w:rsid w:val="0044561B"/>
    <w:rsid w:val="00446A7B"/>
    <w:rsid w:val="00447896"/>
    <w:rsid w:val="00451772"/>
    <w:rsid w:val="0045296C"/>
    <w:rsid w:val="00452B4B"/>
    <w:rsid w:val="00452F98"/>
    <w:rsid w:val="00455321"/>
    <w:rsid w:val="004568B6"/>
    <w:rsid w:val="00461670"/>
    <w:rsid w:val="00462FAA"/>
    <w:rsid w:val="004631F4"/>
    <w:rsid w:val="004637C3"/>
    <w:rsid w:val="0046463C"/>
    <w:rsid w:val="00466ED5"/>
    <w:rsid w:val="00471F42"/>
    <w:rsid w:val="00473B98"/>
    <w:rsid w:val="00474B62"/>
    <w:rsid w:val="00475D4D"/>
    <w:rsid w:val="00480DE0"/>
    <w:rsid w:val="00480E48"/>
    <w:rsid w:val="00481ABA"/>
    <w:rsid w:val="00487235"/>
    <w:rsid w:val="00490248"/>
    <w:rsid w:val="00490643"/>
    <w:rsid w:val="004922F8"/>
    <w:rsid w:val="0049334B"/>
    <w:rsid w:val="00494BFF"/>
    <w:rsid w:val="004958A5"/>
    <w:rsid w:val="0049620D"/>
    <w:rsid w:val="0049771E"/>
    <w:rsid w:val="004A01B2"/>
    <w:rsid w:val="004A0758"/>
    <w:rsid w:val="004A0D16"/>
    <w:rsid w:val="004A2896"/>
    <w:rsid w:val="004A3F0A"/>
    <w:rsid w:val="004A4547"/>
    <w:rsid w:val="004A4F0C"/>
    <w:rsid w:val="004A588B"/>
    <w:rsid w:val="004A5A43"/>
    <w:rsid w:val="004A6A9A"/>
    <w:rsid w:val="004A7678"/>
    <w:rsid w:val="004A7CD5"/>
    <w:rsid w:val="004B133B"/>
    <w:rsid w:val="004B1B81"/>
    <w:rsid w:val="004B2780"/>
    <w:rsid w:val="004B4C45"/>
    <w:rsid w:val="004B5585"/>
    <w:rsid w:val="004B75F7"/>
    <w:rsid w:val="004B768F"/>
    <w:rsid w:val="004B7741"/>
    <w:rsid w:val="004C17B2"/>
    <w:rsid w:val="004C2D66"/>
    <w:rsid w:val="004C448B"/>
    <w:rsid w:val="004C5CD1"/>
    <w:rsid w:val="004C6322"/>
    <w:rsid w:val="004C6DC4"/>
    <w:rsid w:val="004C7C38"/>
    <w:rsid w:val="004C7EC8"/>
    <w:rsid w:val="004D2334"/>
    <w:rsid w:val="004D29F8"/>
    <w:rsid w:val="004D2A4F"/>
    <w:rsid w:val="004D5DC9"/>
    <w:rsid w:val="004D6969"/>
    <w:rsid w:val="004E0F33"/>
    <w:rsid w:val="004E203B"/>
    <w:rsid w:val="004E4251"/>
    <w:rsid w:val="004E5EA5"/>
    <w:rsid w:val="004E6098"/>
    <w:rsid w:val="004E6609"/>
    <w:rsid w:val="004F03BE"/>
    <w:rsid w:val="004F08FB"/>
    <w:rsid w:val="004F0B21"/>
    <w:rsid w:val="004F1584"/>
    <w:rsid w:val="004F2766"/>
    <w:rsid w:val="004F2C23"/>
    <w:rsid w:val="004F6752"/>
    <w:rsid w:val="00501154"/>
    <w:rsid w:val="005014D5"/>
    <w:rsid w:val="005018B4"/>
    <w:rsid w:val="00501A9E"/>
    <w:rsid w:val="0050232A"/>
    <w:rsid w:val="00502368"/>
    <w:rsid w:val="005026A5"/>
    <w:rsid w:val="00503813"/>
    <w:rsid w:val="00504A83"/>
    <w:rsid w:val="005055BE"/>
    <w:rsid w:val="00506682"/>
    <w:rsid w:val="005074E1"/>
    <w:rsid w:val="0051042D"/>
    <w:rsid w:val="00510682"/>
    <w:rsid w:val="00510980"/>
    <w:rsid w:val="0051173A"/>
    <w:rsid w:val="005146F9"/>
    <w:rsid w:val="00514945"/>
    <w:rsid w:val="0052589E"/>
    <w:rsid w:val="00526A8C"/>
    <w:rsid w:val="0052749B"/>
    <w:rsid w:val="0053090E"/>
    <w:rsid w:val="00531AC7"/>
    <w:rsid w:val="00533011"/>
    <w:rsid w:val="0053460B"/>
    <w:rsid w:val="00534F99"/>
    <w:rsid w:val="0053592F"/>
    <w:rsid w:val="0053796B"/>
    <w:rsid w:val="005426BB"/>
    <w:rsid w:val="00544A99"/>
    <w:rsid w:val="00544CAA"/>
    <w:rsid w:val="00545E83"/>
    <w:rsid w:val="00546673"/>
    <w:rsid w:val="00546D43"/>
    <w:rsid w:val="005471DB"/>
    <w:rsid w:val="00547AC6"/>
    <w:rsid w:val="0055043C"/>
    <w:rsid w:val="00553C79"/>
    <w:rsid w:val="0055407B"/>
    <w:rsid w:val="00554E02"/>
    <w:rsid w:val="00557E1F"/>
    <w:rsid w:val="0056211A"/>
    <w:rsid w:val="00564F20"/>
    <w:rsid w:val="00567753"/>
    <w:rsid w:val="00567B38"/>
    <w:rsid w:val="00567CF4"/>
    <w:rsid w:val="00570200"/>
    <w:rsid w:val="00571F59"/>
    <w:rsid w:val="0057416A"/>
    <w:rsid w:val="00575413"/>
    <w:rsid w:val="00576FF4"/>
    <w:rsid w:val="00577FD2"/>
    <w:rsid w:val="00580D11"/>
    <w:rsid w:val="00581AD1"/>
    <w:rsid w:val="00583852"/>
    <w:rsid w:val="00585347"/>
    <w:rsid w:val="0058593A"/>
    <w:rsid w:val="005861A8"/>
    <w:rsid w:val="00590BF3"/>
    <w:rsid w:val="00590DA4"/>
    <w:rsid w:val="005937C5"/>
    <w:rsid w:val="00594EF2"/>
    <w:rsid w:val="005951C9"/>
    <w:rsid w:val="0059553B"/>
    <w:rsid w:val="0059697B"/>
    <w:rsid w:val="00597C2A"/>
    <w:rsid w:val="005A2A48"/>
    <w:rsid w:val="005A3361"/>
    <w:rsid w:val="005A35F8"/>
    <w:rsid w:val="005A58B1"/>
    <w:rsid w:val="005A798C"/>
    <w:rsid w:val="005B228F"/>
    <w:rsid w:val="005B36FC"/>
    <w:rsid w:val="005B43DA"/>
    <w:rsid w:val="005B5630"/>
    <w:rsid w:val="005B5EA4"/>
    <w:rsid w:val="005B653B"/>
    <w:rsid w:val="005B7C4C"/>
    <w:rsid w:val="005C15DB"/>
    <w:rsid w:val="005C22D1"/>
    <w:rsid w:val="005C2AC6"/>
    <w:rsid w:val="005C3D5D"/>
    <w:rsid w:val="005C5472"/>
    <w:rsid w:val="005C5477"/>
    <w:rsid w:val="005C5AF3"/>
    <w:rsid w:val="005C71D3"/>
    <w:rsid w:val="005C7782"/>
    <w:rsid w:val="005D1CBD"/>
    <w:rsid w:val="005D1F5A"/>
    <w:rsid w:val="005D5ACC"/>
    <w:rsid w:val="005D623A"/>
    <w:rsid w:val="005E0380"/>
    <w:rsid w:val="005E1C0E"/>
    <w:rsid w:val="005E36CE"/>
    <w:rsid w:val="005E4205"/>
    <w:rsid w:val="005E5ADD"/>
    <w:rsid w:val="005E62AB"/>
    <w:rsid w:val="005E7B2C"/>
    <w:rsid w:val="005E7D8E"/>
    <w:rsid w:val="005F1118"/>
    <w:rsid w:val="005F1D72"/>
    <w:rsid w:val="005F39B9"/>
    <w:rsid w:val="005F48DF"/>
    <w:rsid w:val="005F49D9"/>
    <w:rsid w:val="005F4FCC"/>
    <w:rsid w:val="005F5D08"/>
    <w:rsid w:val="005F5E44"/>
    <w:rsid w:val="00600E7C"/>
    <w:rsid w:val="00601850"/>
    <w:rsid w:val="00602C95"/>
    <w:rsid w:val="0060402E"/>
    <w:rsid w:val="00607E9B"/>
    <w:rsid w:val="0061090B"/>
    <w:rsid w:val="0061156B"/>
    <w:rsid w:val="0061433A"/>
    <w:rsid w:val="00616D62"/>
    <w:rsid w:val="00617590"/>
    <w:rsid w:val="00617E03"/>
    <w:rsid w:val="0062261E"/>
    <w:rsid w:val="00623CE7"/>
    <w:rsid w:val="00625943"/>
    <w:rsid w:val="00626CFC"/>
    <w:rsid w:val="00630E2F"/>
    <w:rsid w:val="00630E4F"/>
    <w:rsid w:val="00631FEC"/>
    <w:rsid w:val="00633B3C"/>
    <w:rsid w:val="00634786"/>
    <w:rsid w:val="00634914"/>
    <w:rsid w:val="00635ACD"/>
    <w:rsid w:val="00636F8A"/>
    <w:rsid w:val="0064143B"/>
    <w:rsid w:val="006421C2"/>
    <w:rsid w:val="006449D1"/>
    <w:rsid w:val="00647FDF"/>
    <w:rsid w:val="00650D98"/>
    <w:rsid w:val="00650E90"/>
    <w:rsid w:val="00652BCA"/>
    <w:rsid w:val="00653027"/>
    <w:rsid w:val="0065456D"/>
    <w:rsid w:val="00654AAC"/>
    <w:rsid w:val="00657FE6"/>
    <w:rsid w:val="006627F6"/>
    <w:rsid w:val="00664F0C"/>
    <w:rsid w:val="00665553"/>
    <w:rsid w:val="00665665"/>
    <w:rsid w:val="00665F27"/>
    <w:rsid w:val="0066669E"/>
    <w:rsid w:val="006677F9"/>
    <w:rsid w:val="00671717"/>
    <w:rsid w:val="00672D3A"/>
    <w:rsid w:val="006733E2"/>
    <w:rsid w:val="00673D41"/>
    <w:rsid w:val="0067507C"/>
    <w:rsid w:val="0067554C"/>
    <w:rsid w:val="00676141"/>
    <w:rsid w:val="00682A3D"/>
    <w:rsid w:val="00685751"/>
    <w:rsid w:val="0068621F"/>
    <w:rsid w:val="00691D48"/>
    <w:rsid w:val="006A0FCE"/>
    <w:rsid w:val="006A1E05"/>
    <w:rsid w:val="006A1F36"/>
    <w:rsid w:val="006A3F71"/>
    <w:rsid w:val="006A4026"/>
    <w:rsid w:val="006A51D0"/>
    <w:rsid w:val="006A5703"/>
    <w:rsid w:val="006A6299"/>
    <w:rsid w:val="006B047B"/>
    <w:rsid w:val="006B61CF"/>
    <w:rsid w:val="006B6BB5"/>
    <w:rsid w:val="006B7620"/>
    <w:rsid w:val="006C2C23"/>
    <w:rsid w:val="006C6088"/>
    <w:rsid w:val="006C731C"/>
    <w:rsid w:val="006D0A19"/>
    <w:rsid w:val="006D56A0"/>
    <w:rsid w:val="006D59C8"/>
    <w:rsid w:val="006E0BF9"/>
    <w:rsid w:val="006E0DBD"/>
    <w:rsid w:val="006E12CD"/>
    <w:rsid w:val="006E1A11"/>
    <w:rsid w:val="006E586F"/>
    <w:rsid w:val="006F061A"/>
    <w:rsid w:val="006F1A77"/>
    <w:rsid w:val="006F3893"/>
    <w:rsid w:val="006F3E63"/>
    <w:rsid w:val="006F4647"/>
    <w:rsid w:val="006F4C50"/>
    <w:rsid w:val="006F6AFB"/>
    <w:rsid w:val="006F7E3F"/>
    <w:rsid w:val="00704AF7"/>
    <w:rsid w:val="00704EFD"/>
    <w:rsid w:val="00705E07"/>
    <w:rsid w:val="00711011"/>
    <w:rsid w:val="00715E97"/>
    <w:rsid w:val="007223B4"/>
    <w:rsid w:val="007225A6"/>
    <w:rsid w:val="00723F3E"/>
    <w:rsid w:val="007255CC"/>
    <w:rsid w:val="00732480"/>
    <w:rsid w:val="00733785"/>
    <w:rsid w:val="007403E5"/>
    <w:rsid w:val="007404AB"/>
    <w:rsid w:val="0074174E"/>
    <w:rsid w:val="00750D08"/>
    <w:rsid w:val="00752193"/>
    <w:rsid w:val="00754F07"/>
    <w:rsid w:val="00756896"/>
    <w:rsid w:val="00756EA4"/>
    <w:rsid w:val="007600F8"/>
    <w:rsid w:val="0076047A"/>
    <w:rsid w:val="00760E58"/>
    <w:rsid w:val="0076168B"/>
    <w:rsid w:val="007621B7"/>
    <w:rsid w:val="0076236E"/>
    <w:rsid w:val="00766DC6"/>
    <w:rsid w:val="00767BCF"/>
    <w:rsid w:val="0077100F"/>
    <w:rsid w:val="00771462"/>
    <w:rsid w:val="00773943"/>
    <w:rsid w:val="00775F98"/>
    <w:rsid w:val="00776419"/>
    <w:rsid w:val="0078015B"/>
    <w:rsid w:val="0078299D"/>
    <w:rsid w:val="007873E7"/>
    <w:rsid w:val="00787FB2"/>
    <w:rsid w:val="007912B4"/>
    <w:rsid w:val="00792A6F"/>
    <w:rsid w:val="007936FB"/>
    <w:rsid w:val="0079372D"/>
    <w:rsid w:val="007944D2"/>
    <w:rsid w:val="007948BF"/>
    <w:rsid w:val="007961A0"/>
    <w:rsid w:val="007A1491"/>
    <w:rsid w:val="007A1C06"/>
    <w:rsid w:val="007A2274"/>
    <w:rsid w:val="007A3CB1"/>
    <w:rsid w:val="007A54AB"/>
    <w:rsid w:val="007A5DAD"/>
    <w:rsid w:val="007B50BF"/>
    <w:rsid w:val="007B57EE"/>
    <w:rsid w:val="007B5961"/>
    <w:rsid w:val="007B62A5"/>
    <w:rsid w:val="007B66F9"/>
    <w:rsid w:val="007C5754"/>
    <w:rsid w:val="007C5CFF"/>
    <w:rsid w:val="007C6C87"/>
    <w:rsid w:val="007D2A7C"/>
    <w:rsid w:val="007D45F9"/>
    <w:rsid w:val="007D4A96"/>
    <w:rsid w:val="007E14F1"/>
    <w:rsid w:val="007E208C"/>
    <w:rsid w:val="007E34A7"/>
    <w:rsid w:val="007E45F9"/>
    <w:rsid w:val="007E5653"/>
    <w:rsid w:val="007E6196"/>
    <w:rsid w:val="007F12DE"/>
    <w:rsid w:val="007F2FC1"/>
    <w:rsid w:val="00803073"/>
    <w:rsid w:val="00803823"/>
    <w:rsid w:val="00805360"/>
    <w:rsid w:val="00810F27"/>
    <w:rsid w:val="00810F65"/>
    <w:rsid w:val="00813839"/>
    <w:rsid w:val="00815B3C"/>
    <w:rsid w:val="0081651F"/>
    <w:rsid w:val="00816F9C"/>
    <w:rsid w:val="00820738"/>
    <w:rsid w:val="008241D6"/>
    <w:rsid w:val="008253CF"/>
    <w:rsid w:val="00830A00"/>
    <w:rsid w:val="008310A7"/>
    <w:rsid w:val="00832294"/>
    <w:rsid w:val="00834B7C"/>
    <w:rsid w:val="00836733"/>
    <w:rsid w:val="00836CDE"/>
    <w:rsid w:val="00837256"/>
    <w:rsid w:val="00837E42"/>
    <w:rsid w:val="00841330"/>
    <w:rsid w:val="008425FD"/>
    <w:rsid w:val="0084267B"/>
    <w:rsid w:val="0084307F"/>
    <w:rsid w:val="008431B3"/>
    <w:rsid w:val="00843645"/>
    <w:rsid w:val="0084483A"/>
    <w:rsid w:val="0084507F"/>
    <w:rsid w:val="00846322"/>
    <w:rsid w:val="008508BB"/>
    <w:rsid w:val="00853265"/>
    <w:rsid w:val="008533AF"/>
    <w:rsid w:val="0085791F"/>
    <w:rsid w:val="00861DBE"/>
    <w:rsid w:val="00863CC4"/>
    <w:rsid w:val="0086496C"/>
    <w:rsid w:val="00865367"/>
    <w:rsid w:val="00870071"/>
    <w:rsid w:val="008704C8"/>
    <w:rsid w:val="00871BEB"/>
    <w:rsid w:val="00873408"/>
    <w:rsid w:val="008735B2"/>
    <w:rsid w:val="0087567A"/>
    <w:rsid w:val="00877F76"/>
    <w:rsid w:val="00880DA6"/>
    <w:rsid w:val="00882AA2"/>
    <w:rsid w:val="0088527E"/>
    <w:rsid w:val="008862BA"/>
    <w:rsid w:val="00886E76"/>
    <w:rsid w:val="00891BFE"/>
    <w:rsid w:val="00891D45"/>
    <w:rsid w:val="008945F1"/>
    <w:rsid w:val="008A042F"/>
    <w:rsid w:val="008A2938"/>
    <w:rsid w:val="008A492B"/>
    <w:rsid w:val="008A4D4B"/>
    <w:rsid w:val="008A5538"/>
    <w:rsid w:val="008A5BAD"/>
    <w:rsid w:val="008B27E2"/>
    <w:rsid w:val="008B347D"/>
    <w:rsid w:val="008B4A66"/>
    <w:rsid w:val="008B619A"/>
    <w:rsid w:val="008B7849"/>
    <w:rsid w:val="008C431F"/>
    <w:rsid w:val="008C7664"/>
    <w:rsid w:val="008C7B09"/>
    <w:rsid w:val="008D179C"/>
    <w:rsid w:val="008D1875"/>
    <w:rsid w:val="008D6823"/>
    <w:rsid w:val="008D6FC8"/>
    <w:rsid w:val="008D71F1"/>
    <w:rsid w:val="008D78A5"/>
    <w:rsid w:val="008E1953"/>
    <w:rsid w:val="008E4D8F"/>
    <w:rsid w:val="008E75BB"/>
    <w:rsid w:val="008F0249"/>
    <w:rsid w:val="008F167F"/>
    <w:rsid w:val="008F1C0D"/>
    <w:rsid w:val="008F2E5A"/>
    <w:rsid w:val="008F3A10"/>
    <w:rsid w:val="008F3E20"/>
    <w:rsid w:val="008F43AD"/>
    <w:rsid w:val="008F454A"/>
    <w:rsid w:val="008F69EB"/>
    <w:rsid w:val="008F6AD1"/>
    <w:rsid w:val="008F6B9F"/>
    <w:rsid w:val="00900029"/>
    <w:rsid w:val="00900FFE"/>
    <w:rsid w:val="00901242"/>
    <w:rsid w:val="0090161C"/>
    <w:rsid w:val="00903EAB"/>
    <w:rsid w:val="0090490A"/>
    <w:rsid w:val="00904E4F"/>
    <w:rsid w:val="00905B82"/>
    <w:rsid w:val="00905E4F"/>
    <w:rsid w:val="00906DAF"/>
    <w:rsid w:val="009100C9"/>
    <w:rsid w:val="00911F69"/>
    <w:rsid w:val="00913FBE"/>
    <w:rsid w:val="0091619E"/>
    <w:rsid w:val="0092331B"/>
    <w:rsid w:val="0092410B"/>
    <w:rsid w:val="00926217"/>
    <w:rsid w:val="00926C15"/>
    <w:rsid w:val="0093204A"/>
    <w:rsid w:val="00934D7A"/>
    <w:rsid w:val="00944AD4"/>
    <w:rsid w:val="00944DC1"/>
    <w:rsid w:val="0094574D"/>
    <w:rsid w:val="00950662"/>
    <w:rsid w:val="00955BCE"/>
    <w:rsid w:val="00955DA2"/>
    <w:rsid w:val="00956BE1"/>
    <w:rsid w:val="0095702A"/>
    <w:rsid w:val="009573BF"/>
    <w:rsid w:val="00961C3C"/>
    <w:rsid w:val="00961D0F"/>
    <w:rsid w:val="00962890"/>
    <w:rsid w:val="00964538"/>
    <w:rsid w:val="009649A0"/>
    <w:rsid w:val="00972A78"/>
    <w:rsid w:val="009730AD"/>
    <w:rsid w:val="009763C3"/>
    <w:rsid w:val="009772E5"/>
    <w:rsid w:val="0098063E"/>
    <w:rsid w:val="00980A72"/>
    <w:rsid w:val="009828EA"/>
    <w:rsid w:val="009834AC"/>
    <w:rsid w:val="009834BE"/>
    <w:rsid w:val="00986089"/>
    <w:rsid w:val="009873A4"/>
    <w:rsid w:val="00987625"/>
    <w:rsid w:val="009926B8"/>
    <w:rsid w:val="00992E08"/>
    <w:rsid w:val="00994EDD"/>
    <w:rsid w:val="00995A2C"/>
    <w:rsid w:val="00996D6A"/>
    <w:rsid w:val="009971E1"/>
    <w:rsid w:val="009A1C4E"/>
    <w:rsid w:val="009A4408"/>
    <w:rsid w:val="009A50C8"/>
    <w:rsid w:val="009A51A7"/>
    <w:rsid w:val="009A5E59"/>
    <w:rsid w:val="009A6114"/>
    <w:rsid w:val="009A77B4"/>
    <w:rsid w:val="009B03F3"/>
    <w:rsid w:val="009B28F0"/>
    <w:rsid w:val="009B531F"/>
    <w:rsid w:val="009B5E81"/>
    <w:rsid w:val="009C076D"/>
    <w:rsid w:val="009C27AA"/>
    <w:rsid w:val="009C4628"/>
    <w:rsid w:val="009C5A6D"/>
    <w:rsid w:val="009C5AA2"/>
    <w:rsid w:val="009C6D0A"/>
    <w:rsid w:val="009D18CD"/>
    <w:rsid w:val="009D1C0B"/>
    <w:rsid w:val="009D1CCC"/>
    <w:rsid w:val="009D270E"/>
    <w:rsid w:val="009E3B22"/>
    <w:rsid w:val="009E6740"/>
    <w:rsid w:val="009E6FF6"/>
    <w:rsid w:val="009F0B2C"/>
    <w:rsid w:val="009F0BC2"/>
    <w:rsid w:val="009F0E54"/>
    <w:rsid w:val="009F22CB"/>
    <w:rsid w:val="009F4169"/>
    <w:rsid w:val="00A0121A"/>
    <w:rsid w:val="00A049E4"/>
    <w:rsid w:val="00A06270"/>
    <w:rsid w:val="00A06393"/>
    <w:rsid w:val="00A113EB"/>
    <w:rsid w:val="00A11523"/>
    <w:rsid w:val="00A118A9"/>
    <w:rsid w:val="00A11944"/>
    <w:rsid w:val="00A1291C"/>
    <w:rsid w:val="00A17963"/>
    <w:rsid w:val="00A21B70"/>
    <w:rsid w:val="00A24544"/>
    <w:rsid w:val="00A24E1D"/>
    <w:rsid w:val="00A25021"/>
    <w:rsid w:val="00A275F1"/>
    <w:rsid w:val="00A30EEB"/>
    <w:rsid w:val="00A3189E"/>
    <w:rsid w:val="00A31CE1"/>
    <w:rsid w:val="00A325B5"/>
    <w:rsid w:val="00A32CC3"/>
    <w:rsid w:val="00A33B1E"/>
    <w:rsid w:val="00A33B7B"/>
    <w:rsid w:val="00A345B5"/>
    <w:rsid w:val="00A34DE8"/>
    <w:rsid w:val="00A40937"/>
    <w:rsid w:val="00A42714"/>
    <w:rsid w:val="00A44686"/>
    <w:rsid w:val="00A448F3"/>
    <w:rsid w:val="00A501F8"/>
    <w:rsid w:val="00A50458"/>
    <w:rsid w:val="00A5186A"/>
    <w:rsid w:val="00A527DD"/>
    <w:rsid w:val="00A534BF"/>
    <w:rsid w:val="00A54128"/>
    <w:rsid w:val="00A549FA"/>
    <w:rsid w:val="00A5583B"/>
    <w:rsid w:val="00A61BD4"/>
    <w:rsid w:val="00A6292B"/>
    <w:rsid w:val="00A633DC"/>
    <w:rsid w:val="00A65511"/>
    <w:rsid w:val="00A66A1E"/>
    <w:rsid w:val="00A67AFA"/>
    <w:rsid w:val="00A71F72"/>
    <w:rsid w:val="00A72EBB"/>
    <w:rsid w:val="00A74B14"/>
    <w:rsid w:val="00A82D8C"/>
    <w:rsid w:val="00A846A8"/>
    <w:rsid w:val="00A85E6B"/>
    <w:rsid w:val="00A8656D"/>
    <w:rsid w:val="00A93FE0"/>
    <w:rsid w:val="00A94DC6"/>
    <w:rsid w:val="00A96FE8"/>
    <w:rsid w:val="00A97166"/>
    <w:rsid w:val="00AA167E"/>
    <w:rsid w:val="00AA53CD"/>
    <w:rsid w:val="00AA543B"/>
    <w:rsid w:val="00AA54D3"/>
    <w:rsid w:val="00AB0EB1"/>
    <w:rsid w:val="00AB6736"/>
    <w:rsid w:val="00AB76AA"/>
    <w:rsid w:val="00AB78F1"/>
    <w:rsid w:val="00AC2934"/>
    <w:rsid w:val="00AC424B"/>
    <w:rsid w:val="00AC71E9"/>
    <w:rsid w:val="00AD15AE"/>
    <w:rsid w:val="00AD2610"/>
    <w:rsid w:val="00AD2822"/>
    <w:rsid w:val="00AD47C0"/>
    <w:rsid w:val="00AD4EC5"/>
    <w:rsid w:val="00AD5074"/>
    <w:rsid w:val="00AD7B75"/>
    <w:rsid w:val="00AE094B"/>
    <w:rsid w:val="00AE6CE7"/>
    <w:rsid w:val="00AF09E2"/>
    <w:rsid w:val="00AF371F"/>
    <w:rsid w:val="00AF47BE"/>
    <w:rsid w:val="00AF481A"/>
    <w:rsid w:val="00AF6F17"/>
    <w:rsid w:val="00AF7368"/>
    <w:rsid w:val="00AF7EEF"/>
    <w:rsid w:val="00AF7F61"/>
    <w:rsid w:val="00B00AF2"/>
    <w:rsid w:val="00B01057"/>
    <w:rsid w:val="00B029DE"/>
    <w:rsid w:val="00B03960"/>
    <w:rsid w:val="00B073ED"/>
    <w:rsid w:val="00B11F33"/>
    <w:rsid w:val="00B154DF"/>
    <w:rsid w:val="00B1628F"/>
    <w:rsid w:val="00B17AEF"/>
    <w:rsid w:val="00B20428"/>
    <w:rsid w:val="00B20BE8"/>
    <w:rsid w:val="00B2102E"/>
    <w:rsid w:val="00B21163"/>
    <w:rsid w:val="00B2293F"/>
    <w:rsid w:val="00B23695"/>
    <w:rsid w:val="00B23B2A"/>
    <w:rsid w:val="00B24F1B"/>
    <w:rsid w:val="00B25467"/>
    <w:rsid w:val="00B30A19"/>
    <w:rsid w:val="00B30B96"/>
    <w:rsid w:val="00B30EEC"/>
    <w:rsid w:val="00B3277D"/>
    <w:rsid w:val="00B32955"/>
    <w:rsid w:val="00B3302D"/>
    <w:rsid w:val="00B33DEF"/>
    <w:rsid w:val="00B3410F"/>
    <w:rsid w:val="00B34AD8"/>
    <w:rsid w:val="00B40995"/>
    <w:rsid w:val="00B40A99"/>
    <w:rsid w:val="00B44CFD"/>
    <w:rsid w:val="00B46F86"/>
    <w:rsid w:val="00B4719D"/>
    <w:rsid w:val="00B47322"/>
    <w:rsid w:val="00B50675"/>
    <w:rsid w:val="00B51981"/>
    <w:rsid w:val="00B52555"/>
    <w:rsid w:val="00B53254"/>
    <w:rsid w:val="00B537F6"/>
    <w:rsid w:val="00B55253"/>
    <w:rsid w:val="00B55E30"/>
    <w:rsid w:val="00B56402"/>
    <w:rsid w:val="00B5701B"/>
    <w:rsid w:val="00B57C0A"/>
    <w:rsid w:val="00B61854"/>
    <w:rsid w:val="00B64536"/>
    <w:rsid w:val="00B6479E"/>
    <w:rsid w:val="00B65A51"/>
    <w:rsid w:val="00B66113"/>
    <w:rsid w:val="00B71769"/>
    <w:rsid w:val="00B72731"/>
    <w:rsid w:val="00B74190"/>
    <w:rsid w:val="00B7449C"/>
    <w:rsid w:val="00B74646"/>
    <w:rsid w:val="00B82F15"/>
    <w:rsid w:val="00B8368E"/>
    <w:rsid w:val="00B83F57"/>
    <w:rsid w:val="00B85CE3"/>
    <w:rsid w:val="00B8616B"/>
    <w:rsid w:val="00B87D2D"/>
    <w:rsid w:val="00B93112"/>
    <w:rsid w:val="00B95C80"/>
    <w:rsid w:val="00B96B5C"/>
    <w:rsid w:val="00B9777C"/>
    <w:rsid w:val="00BA0B8B"/>
    <w:rsid w:val="00BA32B9"/>
    <w:rsid w:val="00BA7F33"/>
    <w:rsid w:val="00BB1D17"/>
    <w:rsid w:val="00BB3204"/>
    <w:rsid w:val="00BB3BAB"/>
    <w:rsid w:val="00BB44BA"/>
    <w:rsid w:val="00BB4D16"/>
    <w:rsid w:val="00BB6B2D"/>
    <w:rsid w:val="00BC233F"/>
    <w:rsid w:val="00BC2772"/>
    <w:rsid w:val="00BC5424"/>
    <w:rsid w:val="00BC5677"/>
    <w:rsid w:val="00BC76C3"/>
    <w:rsid w:val="00BD0E25"/>
    <w:rsid w:val="00BD4DB4"/>
    <w:rsid w:val="00BD5586"/>
    <w:rsid w:val="00BD5605"/>
    <w:rsid w:val="00BE03FC"/>
    <w:rsid w:val="00BE0E1E"/>
    <w:rsid w:val="00BE4353"/>
    <w:rsid w:val="00BE4D8C"/>
    <w:rsid w:val="00BE7E5A"/>
    <w:rsid w:val="00BF1199"/>
    <w:rsid w:val="00BF3375"/>
    <w:rsid w:val="00BF5709"/>
    <w:rsid w:val="00BF5E84"/>
    <w:rsid w:val="00BF6E4F"/>
    <w:rsid w:val="00BF7A8E"/>
    <w:rsid w:val="00BF7C7D"/>
    <w:rsid w:val="00C00B22"/>
    <w:rsid w:val="00C05A4C"/>
    <w:rsid w:val="00C06F7A"/>
    <w:rsid w:val="00C11994"/>
    <w:rsid w:val="00C126CB"/>
    <w:rsid w:val="00C14626"/>
    <w:rsid w:val="00C15C52"/>
    <w:rsid w:val="00C16AB2"/>
    <w:rsid w:val="00C230BD"/>
    <w:rsid w:val="00C2356A"/>
    <w:rsid w:val="00C2518B"/>
    <w:rsid w:val="00C260DF"/>
    <w:rsid w:val="00C26B56"/>
    <w:rsid w:val="00C30C02"/>
    <w:rsid w:val="00C341DC"/>
    <w:rsid w:val="00C3430E"/>
    <w:rsid w:val="00C34BD9"/>
    <w:rsid w:val="00C3509A"/>
    <w:rsid w:val="00C36370"/>
    <w:rsid w:val="00C36D3E"/>
    <w:rsid w:val="00C37DDD"/>
    <w:rsid w:val="00C4015F"/>
    <w:rsid w:val="00C415E8"/>
    <w:rsid w:val="00C421ED"/>
    <w:rsid w:val="00C4529F"/>
    <w:rsid w:val="00C468A3"/>
    <w:rsid w:val="00C506EB"/>
    <w:rsid w:val="00C50AA1"/>
    <w:rsid w:val="00C52A43"/>
    <w:rsid w:val="00C52CAB"/>
    <w:rsid w:val="00C536C0"/>
    <w:rsid w:val="00C55793"/>
    <w:rsid w:val="00C61259"/>
    <w:rsid w:val="00C62B0A"/>
    <w:rsid w:val="00C62EB1"/>
    <w:rsid w:val="00C64282"/>
    <w:rsid w:val="00C65166"/>
    <w:rsid w:val="00C6726C"/>
    <w:rsid w:val="00C70510"/>
    <w:rsid w:val="00C709AE"/>
    <w:rsid w:val="00C70D3F"/>
    <w:rsid w:val="00C7187F"/>
    <w:rsid w:val="00C75753"/>
    <w:rsid w:val="00C81E12"/>
    <w:rsid w:val="00C85617"/>
    <w:rsid w:val="00C867E3"/>
    <w:rsid w:val="00C86F74"/>
    <w:rsid w:val="00C878F4"/>
    <w:rsid w:val="00C9043E"/>
    <w:rsid w:val="00C90E37"/>
    <w:rsid w:val="00C92A7F"/>
    <w:rsid w:val="00C934E8"/>
    <w:rsid w:val="00C97565"/>
    <w:rsid w:val="00CA0C8B"/>
    <w:rsid w:val="00CA1AC8"/>
    <w:rsid w:val="00CA2C36"/>
    <w:rsid w:val="00CA310B"/>
    <w:rsid w:val="00CA63DA"/>
    <w:rsid w:val="00CB2A5C"/>
    <w:rsid w:val="00CB3A32"/>
    <w:rsid w:val="00CB3DA1"/>
    <w:rsid w:val="00CB49E4"/>
    <w:rsid w:val="00CB5994"/>
    <w:rsid w:val="00CC185E"/>
    <w:rsid w:val="00CC59CD"/>
    <w:rsid w:val="00CC5D3D"/>
    <w:rsid w:val="00CC63B1"/>
    <w:rsid w:val="00CC702C"/>
    <w:rsid w:val="00CD2119"/>
    <w:rsid w:val="00CD3D48"/>
    <w:rsid w:val="00CD3E5A"/>
    <w:rsid w:val="00CD4CA5"/>
    <w:rsid w:val="00CD61EC"/>
    <w:rsid w:val="00CD634D"/>
    <w:rsid w:val="00CD7028"/>
    <w:rsid w:val="00CD78CA"/>
    <w:rsid w:val="00CE1AC4"/>
    <w:rsid w:val="00CE61A0"/>
    <w:rsid w:val="00CE6D58"/>
    <w:rsid w:val="00CE7279"/>
    <w:rsid w:val="00CF0B47"/>
    <w:rsid w:val="00CF42BE"/>
    <w:rsid w:val="00CF4D31"/>
    <w:rsid w:val="00CF6E6C"/>
    <w:rsid w:val="00D019DE"/>
    <w:rsid w:val="00D051D8"/>
    <w:rsid w:val="00D05741"/>
    <w:rsid w:val="00D06409"/>
    <w:rsid w:val="00D07A1B"/>
    <w:rsid w:val="00D11400"/>
    <w:rsid w:val="00D11FDF"/>
    <w:rsid w:val="00D15C15"/>
    <w:rsid w:val="00D20038"/>
    <w:rsid w:val="00D20717"/>
    <w:rsid w:val="00D20BD8"/>
    <w:rsid w:val="00D21874"/>
    <w:rsid w:val="00D22E94"/>
    <w:rsid w:val="00D23570"/>
    <w:rsid w:val="00D25CC7"/>
    <w:rsid w:val="00D266B3"/>
    <w:rsid w:val="00D27801"/>
    <w:rsid w:val="00D31393"/>
    <w:rsid w:val="00D362D4"/>
    <w:rsid w:val="00D372D9"/>
    <w:rsid w:val="00D41F6A"/>
    <w:rsid w:val="00D426C8"/>
    <w:rsid w:val="00D42C57"/>
    <w:rsid w:val="00D44700"/>
    <w:rsid w:val="00D526E7"/>
    <w:rsid w:val="00D53213"/>
    <w:rsid w:val="00D55A85"/>
    <w:rsid w:val="00D5683A"/>
    <w:rsid w:val="00D603D8"/>
    <w:rsid w:val="00D60AE7"/>
    <w:rsid w:val="00D60DB7"/>
    <w:rsid w:val="00D61152"/>
    <w:rsid w:val="00D62577"/>
    <w:rsid w:val="00D6293D"/>
    <w:rsid w:val="00D6730E"/>
    <w:rsid w:val="00D72DF1"/>
    <w:rsid w:val="00D73094"/>
    <w:rsid w:val="00D73802"/>
    <w:rsid w:val="00D74095"/>
    <w:rsid w:val="00D746AC"/>
    <w:rsid w:val="00D7485E"/>
    <w:rsid w:val="00D75369"/>
    <w:rsid w:val="00D75427"/>
    <w:rsid w:val="00D763FF"/>
    <w:rsid w:val="00D76427"/>
    <w:rsid w:val="00D76A3B"/>
    <w:rsid w:val="00D77091"/>
    <w:rsid w:val="00D82556"/>
    <w:rsid w:val="00D82D87"/>
    <w:rsid w:val="00D82D92"/>
    <w:rsid w:val="00D83633"/>
    <w:rsid w:val="00D84154"/>
    <w:rsid w:val="00D864F2"/>
    <w:rsid w:val="00D875C3"/>
    <w:rsid w:val="00D92BE2"/>
    <w:rsid w:val="00D95105"/>
    <w:rsid w:val="00D951A0"/>
    <w:rsid w:val="00D96226"/>
    <w:rsid w:val="00D97359"/>
    <w:rsid w:val="00DA23E7"/>
    <w:rsid w:val="00DA3BE8"/>
    <w:rsid w:val="00DA3C4C"/>
    <w:rsid w:val="00DA4612"/>
    <w:rsid w:val="00DA546B"/>
    <w:rsid w:val="00DA5A79"/>
    <w:rsid w:val="00DA6096"/>
    <w:rsid w:val="00DA6286"/>
    <w:rsid w:val="00DB0EBC"/>
    <w:rsid w:val="00DB1245"/>
    <w:rsid w:val="00DB1C92"/>
    <w:rsid w:val="00DB605E"/>
    <w:rsid w:val="00DB661C"/>
    <w:rsid w:val="00DB67BE"/>
    <w:rsid w:val="00DB7217"/>
    <w:rsid w:val="00DB76E3"/>
    <w:rsid w:val="00DC0F89"/>
    <w:rsid w:val="00DC33B1"/>
    <w:rsid w:val="00DC79AC"/>
    <w:rsid w:val="00DD33B1"/>
    <w:rsid w:val="00DD6866"/>
    <w:rsid w:val="00DD7508"/>
    <w:rsid w:val="00DE0A85"/>
    <w:rsid w:val="00DE2128"/>
    <w:rsid w:val="00DE271D"/>
    <w:rsid w:val="00DE2A60"/>
    <w:rsid w:val="00DE372F"/>
    <w:rsid w:val="00DE42D9"/>
    <w:rsid w:val="00DE4565"/>
    <w:rsid w:val="00DE5059"/>
    <w:rsid w:val="00DE6561"/>
    <w:rsid w:val="00DF0901"/>
    <w:rsid w:val="00DF1EE8"/>
    <w:rsid w:val="00DF3DA7"/>
    <w:rsid w:val="00DF50AE"/>
    <w:rsid w:val="00DF568E"/>
    <w:rsid w:val="00E02EC5"/>
    <w:rsid w:val="00E03605"/>
    <w:rsid w:val="00E0670F"/>
    <w:rsid w:val="00E108A0"/>
    <w:rsid w:val="00E108B5"/>
    <w:rsid w:val="00E141A0"/>
    <w:rsid w:val="00E161F3"/>
    <w:rsid w:val="00E17D7E"/>
    <w:rsid w:val="00E20597"/>
    <w:rsid w:val="00E208F9"/>
    <w:rsid w:val="00E21ECB"/>
    <w:rsid w:val="00E22289"/>
    <w:rsid w:val="00E24A81"/>
    <w:rsid w:val="00E2554D"/>
    <w:rsid w:val="00E26377"/>
    <w:rsid w:val="00E270EC"/>
    <w:rsid w:val="00E30EB8"/>
    <w:rsid w:val="00E321C8"/>
    <w:rsid w:val="00E33EB5"/>
    <w:rsid w:val="00E34D00"/>
    <w:rsid w:val="00E40A1B"/>
    <w:rsid w:val="00E40CC5"/>
    <w:rsid w:val="00E40D94"/>
    <w:rsid w:val="00E411F0"/>
    <w:rsid w:val="00E42125"/>
    <w:rsid w:val="00E43AFF"/>
    <w:rsid w:val="00E43E46"/>
    <w:rsid w:val="00E4565A"/>
    <w:rsid w:val="00E456A1"/>
    <w:rsid w:val="00E45DDB"/>
    <w:rsid w:val="00E46230"/>
    <w:rsid w:val="00E467A4"/>
    <w:rsid w:val="00E4794A"/>
    <w:rsid w:val="00E506A3"/>
    <w:rsid w:val="00E50829"/>
    <w:rsid w:val="00E533C0"/>
    <w:rsid w:val="00E57189"/>
    <w:rsid w:val="00E615C1"/>
    <w:rsid w:val="00E616BF"/>
    <w:rsid w:val="00E640F2"/>
    <w:rsid w:val="00E645BC"/>
    <w:rsid w:val="00E653D2"/>
    <w:rsid w:val="00E75509"/>
    <w:rsid w:val="00E7783C"/>
    <w:rsid w:val="00E77AB5"/>
    <w:rsid w:val="00E77E48"/>
    <w:rsid w:val="00E801D8"/>
    <w:rsid w:val="00E81363"/>
    <w:rsid w:val="00E8251A"/>
    <w:rsid w:val="00E849C2"/>
    <w:rsid w:val="00E85875"/>
    <w:rsid w:val="00E86C4B"/>
    <w:rsid w:val="00E871DD"/>
    <w:rsid w:val="00E876D0"/>
    <w:rsid w:val="00E9131B"/>
    <w:rsid w:val="00E94EB4"/>
    <w:rsid w:val="00E95ABA"/>
    <w:rsid w:val="00E95FD1"/>
    <w:rsid w:val="00E96E76"/>
    <w:rsid w:val="00EA1ED6"/>
    <w:rsid w:val="00EA24BD"/>
    <w:rsid w:val="00EA2B85"/>
    <w:rsid w:val="00EA2F82"/>
    <w:rsid w:val="00EA4B0B"/>
    <w:rsid w:val="00EA6696"/>
    <w:rsid w:val="00EB13FC"/>
    <w:rsid w:val="00EB173F"/>
    <w:rsid w:val="00EB4198"/>
    <w:rsid w:val="00EB4E67"/>
    <w:rsid w:val="00EB59FC"/>
    <w:rsid w:val="00EB781C"/>
    <w:rsid w:val="00EB7BF9"/>
    <w:rsid w:val="00EC2465"/>
    <w:rsid w:val="00EC2D6F"/>
    <w:rsid w:val="00EC38D7"/>
    <w:rsid w:val="00EC6559"/>
    <w:rsid w:val="00EC7123"/>
    <w:rsid w:val="00ED37AE"/>
    <w:rsid w:val="00ED52F7"/>
    <w:rsid w:val="00ED6CE3"/>
    <w:rsid w:val="00ED7B7A"/>
    <w:rsid w:val="00EE3113"/>
    <w:rsid w:val="00EE7595"/>
    <w:rsid w:val="00EE75FF"/>
    <w:rsid w:val="00EF13CA"/>
    <w:rsid w:val="00EF14BE"/>
    <w:rsid w:val="00EF32AD"/>
    <w:rsid w:val="00EF3F5F"/>
    <w:rsid w:val="00EF6601"/>
    <w:rsid w:val="00EF6A48"/>
    <w:rsid w:val="00EF7331"/>
    <w:rsid w:val="00EF7CF4"/>
    <w:rsid w:val="00F022E8"/>
    <w:rsid w:val="00F04EB8"/>
    <w:rsid w:val="00F07BCB"/>
    <w:rsid w:val="00F11C34"/>
    <w:rsid w:val="00F128D0"/>
    <w:rsid w:val="00F1311D"/>
    <w:rsid w:val="00F1423B"/>
    <w:rsid w:val="00F17101"/>
    <w:rsid w:val="00F209E4"/>
    <w:rsid w:val="00F2103C"/>
    <w:rsid w:val="00F222E2"/>
    <w:rsid w:val="00F24946"/>
    <w:rsid w:val="00F2505A"/>
    <w:rsid w:val="00F27FBB"/>
    <w:rsid w:val="00F31D11"/>
    <w:rsid w:val="00F32AC1"/>
    <w:rsid w:val="00F333FA"/>
    <w:rsid w:val="00F34837"/>
    <w:rsid w:val="00F3563E"/>
    <w:rsid w:val="00F3714B"/>
    <w:rsid w:val="00F407B9"/>
    <w:rsid w:val="00F41A78"/>
    <w:rsid w:val="00F45F2E"/>
    <w:rsid w:val="00F51459"/>
    <w:rsid w:val="00F51E36"/>
    <w:rsid w:val="00F53B3E"/>
    <w:rsid w:val="00F54136"/>
    <w:rsid w:val="00F5656F"/>
    <w:rsid w:val="00F5662C"/>
    <w:rsid w:val="00F5696E"/>
    <w:rsid w:val="00F56A22"/>
    <w:rsid w:val="00F56D92"/>
    <w:rsid w:val="00F6037B"/>
    <w:rsid w:val="00F61D1A"/>
    <w:rsid w:val="00F652AB"/>
    <w:rsid w:val="00F6578D"/>
    <w:rsid w:val="00F66808"/>
    <w:rsid w:val="00F66AD7"/>
    <w:rsid w:val="00F71268"/>
    <w:rsid w:val="00F7221D"/>
    <w:rsid w:val="00F74B22"/>
    <w:rsid w:val="00F74CC5"/>
    <w:rsid w:val="00F752A4"/>
    <w:rsid w:val="00F75F51"/>
    <w:rsid w:val="00F77196"/>
    <w:rsid w:val="00F80602"/>
    <w:rsid w:val="00F82579"/>
    <w:rsid w:val="00F82AF1"/>
    <w:rsid w:val="00F86768"/>
    <w:rsid w:val="00F87CFE"/>
    <w:rsid w:val="00F87FDE"/>
    <w:rsid w:val="00F90F6E"/>
    <w:rsid w:val="00F91037"/>
    <w:rsid w:val="00F96DB7"/>
    <w:rsid w:val="00F972E1"/>
    <w:rsid w:val="00F9731F"/>
    <w:rsid w:val="00FA0FAB"/>
    <w:rsid w:val="00FA3671"/>
    <w:rsid w:val="00FA61B8"/>
    <w:rsid w:val="00FB0045"/>
    <w:rsid w:val="00FB2574"/>
    <w:rsid w:val="00FB2F4A"/>
    <w:rsid w:val="00FB33EE"/>
    <w:rsid w:val="00FB49FA"/>
    <w:rsid w:val="00FB4E51"/>
    <w:rsid w:val="00FB732D"/>
    <w:rsid w:val="00FB7629"/>
    <w:rsid w:val="00FB76D3"/>
    <w:rsid w:val="00FC1752"/>
    <w:rsid w:val="00FC1F69"/>
    <w:rsid w:val="00FC7105"/>
    <w:rsid w:val="00FD0B13"/>
    <w:rsid w:val="00FD373C"/>
    <w:rsid w:val="00FD4375"/>
    <w:rsid w:val="00FD5D47"/>
    <w:rsid w:val="00FD7119"/>
    <w:rsid w:val="00FE018C"/>
    <w:rsid w:val="00FE37E3"/>
    <w:rsid w:val="00FE6ADF"/>
    <w:rsid w:val="00FF3F3E"/>
    <w:rsid w:val="00FF5919"/>
    <w:rsid w:val="00FF598F"/>
    <w:rsid w:val="00FF5FDA"/>
    <w:rsid w:val="00FF62B6"/>
    <w:rsid w:val="00FF77CC"/>
    <w:rsid w:val="02BD7B3E"/>
    <w:rsid w:val="03326124"/>
    <w:rsid w:val="0347364B"/>
    <w:rsid w:val="0380D890"/>
    <w:rsid w:val="039300B2"/>
    <w:rsid w:val="04997E97"/>
    <w:rsid w:val="060BB3AC"/>
    <w:rsid w:val="06194C40"/>
    <w:rsid w:val="07434235"/>
    <w:rsid w:val="07620D6D"/>
    <w:rsid w:val="076D3E91"/>
    <w:rsid w:val="0819E0BC"/>
    <w:rsid w:val="0993EEAD"/>
    <w:rsid w:val="09D8D95A"/>
    <w:rsid w:val="0A0EA322"/>
    <w:rsid w:val="0B3BAF89"/>
    <w:rsid w:val="0CC34B99"/>
    <w:rsid w:val="0CC83E4C"/>
    <w:rsid w:val="0D76D77F"/>
    <w:rsid w:val="0D80FA56"/>
    <w:rsid w:val="0DBDE8A2"/>
    <w:rsid w:val="0F2813FD"/>
    <w:rsid w:val="101C489A"/>
    <w:rsid w:val="102CDC90"/>
    <w:rsid w:val="105677DC"/>
    <w:rsid w:val="12C29607"/>
    <w:rsid w:val="131A298E"/>
    <w:rsid w:val="139F5BAC"/>
    <w:rsid w:val="144FA6BF"/>
    <w:rsid w:val="14EAB38C"/>
    <w:rsid w:val="15F27A6D"/>
    <w:rsid w:val="15F8C300"/>
    <w:rsid w:val="17AF6005"/>
    <w:rsid w:val="1889974C"/>
    <w:rsid w:val="199CC7F0"/>
    <w:rsid w:val="1AC7832F"/>
    <w:rsid w:val="1C230A2A"/>
    <w:rsid w:val="1C95242C"/>
    <w:rsid w:val="1D5DBBED"/>
    <w:rsid w:val="1D831585"/>
    <w:rsid w:val="1D8A05F1"/>
    <w:rsid w:val="1D8BFF2A"/>
    <w:rsid w:val="1F03B88D"/>
    <w:rsid w:val="206D73F4"/>
    <w:rsid w:val="216ED488"/>
    <w:rsid w:val="21FECA31"/>
    <w:rsid w:val="22597C00"/>
    <w:rsid w:val="225F3D7C"/>
    <w:rsid w:val="23059427"/>
    <w:rsid w:val="237FEA51"/>
    <w:rsid w:val="23ABCC83"/>
    <w:rsid w:val="23E2F133"/>
    <w:rsid w:val="23FEE2F2"/>
    <w:rsid w:val="240C2FA8"/>
    <w:rsid w:val="2468A3F9"/>
    <w:rsid w:val="25C5F42A"/>
    <w:rsid w:val="269F3581"/>
    <w:rsid w:val="27405DA1"/>
    <w:rsid w:val="2A00E154"/>
    <w:rsid w:val="2B0CD566"/>
    <w:rsid w:val="2BBFFA69"/>
    <w:rsid w:val="2C361ADA"/>
    <w:rsid w:val="2C6A1A76"/>
    <w:rsid w:val="2C883473"/>
    <w:rsid w:val="2D783C6C"/>
    <w:rsid w:val="2DBA8108"/>
    <w:rsid w:val="2E0276EC"/>
    <w:rsid w:val="2E94A43F"/>
    <w:rsid w:val="31BC2117"/>
    <w:rsid w:val="34621130"/>
    <w:rsid w:val="3510B897"/>
    <w:rsid w:val="354AB4B5"/>
    <w:rsid w:val="35E1781F"/>
    <w:rsid w:val="366C3F95"/>
    <w:rsid w:val="3699714E"/>
    <w:rsid w:val="37162F51"/>
    <w:rsid w:val="37866F1B"/>
    <w:rsid w:val="37CAD2C1"/>
    <w:rsid w:val="3ABF875C"/>
    <w:rsid w:val="3D12E487"/>
    <w:rsid w:val="3E9345FB"/>
    <w:rsid w:val="3EE79CC6"/>
    <w:rsid w:val="3F144A34"/>
    <w:rsid w:val="40605DAD"/>
    <w:rsid w:val="41F32143"/>
    <w:rsid w:val="420D8FD8"/>
    <w:rsid w:val="429E90E7"/>
    <w:rsid w:val="43152D78"/>
    <w:rsid w:val="432D89E8"/>
    <w:rsid w:val="445005E9"/>
    <w:rsid w:val="452AE65C"/>
    <w:rsid w:val="45FE3410"/>
    <w:rsid w:val="46A1B159"/>
    <w:rsid w:val="4718426F"/>
    <w:rsid w:val="475F7A48"/>
    <w:rsid w:val="48597922"/>
    <w:rsid w:val="49180A31"/>
    <w:rsid w:val="4A2212CE"/>
    <w:rsid w:val="4BCC6F92"/>
    <w:rsid w:val="4C9E9A4B"/>
    <w:rsid w:val="4D032BDA"/>
    <w:rsid w:val="4D2E4C06"/>
    <w:rsid w:val="4DD0DB96"/>
    <w:rsid w:val="4E739E27"/>
    <w:rsid w:val="4EFA494E"/>
    <w:rsid w:val="4F041054"/>
    <w:rsid w:val="4F6D3556"/>
    <w:rsid w:val="4F9CB68B"/>
    <w:rsid w:val="5094AE51"/>
    <w:rsid w:val="509FE0B5"/>
    <w:rsid w:val="53326DE1"/>
    <w:rsid w:val="548E5549"/>
    <w:rsid w:val="551C2BB9"/>
    <w:rsid w:val="5567DD39"/>
    <w:rsid w:val="559C8FC8"/>
    <w:rsid w:val="55C18561"/>
    <w:rsid w:val="57124FDD"/>
    <w:rsid w:val="578AA6BC"/>
    <w:rsid w:val="58C9CAC1"/>
    <w:rsid w:val="58F82A04"/>
    <w:rsid w:val="5949072C"/>
    <w:rsid w:val="5951DD31"/>
    <w:rsid w:val="596CE2B4"/>
    <w:rsid w:val="5A17D859"/>
    <w:rsid w:val="5B476752"/>
    <w:rsid w:val="5BAD9A1A"/>
    <w:rsid w:val="5C1D4AFE"/>
    <w:rsid w:val="5C8700E2"/>
    <w:rsid w:val="5CB712ED"/>
    <w:rsid w:val="5D9A7B8E"/>
    <w:rsid w:val="5F0E1F44"/>
    <w:rsid w:val="6038FB05"/>
    <w:rsid w:val="607EA87F"/>
    <w:rsid w:val="6275A2D4"/>
    <w:rsid w:val="63E24AA4"/>
    <w:rsid w:val="6545374A"/>
    <w:rsid w:val="66A81626"/>
    <w:rsid w:val="66CD07EC"/>
    <w:rsid w:val="670D58AF"/>
    <w:rsid w:val="67487C7F"/>
    <w:rsid w:val="6919CF60"/>
    <w:rsid w:val="6A5979AE"/>
    <w:rsid w:val="6B0B099F"/>
    <w:rsid w:val="6B161BBD"/>
    <w:rsid w:val="6B37815B"/>
    <w:rsid w:val="6CD351BC"/>
    <w:rsid w:val="6F770BC4"/>
    <w:rsid w:val="71A480F3"/>
    <w:rsid w:val="72AE3D47"/>
    <w:rsid w:val="7333F438"/>
    <w:rsid w:val="733D3C22"/>
    <w:rsid w:val="742CC1FE"/>
    <w:rsid w:val="74A6A2FA"/>
    <w:rsid w:val="75A31CC1"/>
    <w:rsid w:val="75DB3AEE"/>
    <w:rsid w:val="7641B4C2"/>
    <w:rsid w:val="76433DA4"/>
    <w:rsid w:val="783BA7F9"/>
    <w:rsid w:val="7A62B7C4"/>
    <w:rsid w:val="7B1A4832"/>
    <w:rsid w:val="7B5592AB"/>
    <w:rsid w:val="7B708E4F"/>
    <w:rsid w:val="7BD55B93"/>
    <w:rsid w:val="7C4A400B"/>
    <w:rsid w:val="7CA9D99E"/>
    <w:rsid w:val="7CE704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26949E3"/>
  <w15:chartTrackingRefBased/>
  <w15:docId w15:val="{CCAF7760-4909-4186-B5B8-93C3DE76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2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3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310"/>
  </w:style>
  <w:style w:type="paragraph" w:styleId="Footer">
    <w:name w:val="footer"/>
    <w:basedOn w:val="Normal"/>
    <w:link w:val="FooterChar"/>
    <w:uiPriority w:val="99"/>
    <w:unhideWhenUsed/>
    <w:rsid w:val="000763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310"/>
  </w:style>
  <w:style w:type="paragraph" w:styleId="FootnoteText">
    <w:name w:val="footnote text"/>
    <w:basedOn w:val="Normal"/>
    <w:link w:val="FootnoteTextChar"/>
    <w:uiPriority w:val="99"/>
    <w:semiHidden/>
    <w:unhideWhenUsed/>
    <w:rsid w:val="002718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18D1"/>
    <w:rPr>
      <w:sz w:val="20"/>
      <w:szCs w:val="20"/>
    </w:rPr>
  </w:style>
  <w:style w:type="character" w:styleId="FootnoteReference">
    <w:name w:val="footnote reference"/>
    <w:basedOn w:val="DefaultParagraphFont"/>
    <w:uiPriority w:val="99"/>
    <w:semiHidden/>
    <w:unhideWhenUsed/>
    <w:rsid w:val="002718D1"/>
    <w:rPr>
      <w:vertAlign w:val="superscript"/>
    </w:rPr>
  </w:style>
  <w:style w:type="character" w:customStyle="1" w:styleId="normaltextrun">
    <w:name w:val="normaltextrun"/>
    <w:basedOn w:val="DefaultParagraphFont"/>
    <w:rsid w:val="00BF7A8E"/>
  </w:style>
  <w:style w:type="paragraph" w:styleId="Revision">
    <w:name w:val="Revision"/>
    <w:hidden/>
    <w:uiPriority w:val="99"/>
    <w:semiHidden/>
    <w:rsid w:val="009D18CD"/>
    <w:pPr>
      <w:spacing w:after="0" w:line="240" w:lineRule="auto"/>
    </w:pPr>
  </w:style>
  <w:style w:type="character" w:styleId="CommentReference">
    <w:name w:val="annotation reference"/>
    <w:basedOn w:val="DefaultParagraphFont"/>
    <w:uiPriority w:val="99"/>
    <w:semiHidden/>
    <w:unhideWhenUsed/>
    <w:rsid w:val="00212FD0"/>
    <w:rPr>
      <w:sz w:val="16"/>
      <w:szCs w:val="16"/>
    </w:rPr>
  </w:style>
  <w:style w:type="paragraph" w:styleId="CommentText">
    <w:name w:val="annotation text"/>
    <w:basedOn w:val="Normal"/>
    <w:link w:val="CommentTextChar"/>
    <w:uiPriority w:val="99"/>
    <w:unhideWhenUsed/>
    <w:rsid w:val="00212FD0"/>
    <w:pPr>
      <w:spacing w:line="240" w:lineRule="auto"/>
    </w:pPr>
    <w:rPr>
      <w:sz w:val="20"/>
      <w:szCs w:val="20"/>
    </w:rPr>
  </w:style>
  <w:style w:type="character" w:customStyle="1" w:styleId="CommentTextChar">
    <w:name w:val="Comment Text Char"/>
    <w:basedOn w:val="DefaultParagraphFont"/>
    <w:link w:val="CommentText"/>
    <w:uiPriority w:val="99"/>
    <w:rsid w:val="00212FD0"/>
    <w:rPr>
      <w:sz w:val="20"/>
      <w:szCs w:val="20"/>
    </w:rPr>
  </w:style>
  <w:style w:type="paragraph" w:styleId="CommentSubject">
    <w:name w:val="annotation subject"/>
    <w:basedOn w:val="CommentText"/>
    <w:next w:val="CommentText"/>
    <w:link w:val="CommentSubjectChar"/>
    <w:uiPriority w:val="99"/>
    <w:semiHidden/>
    <w:unhideWhenUsed/>
    <w:rsid w:val="00212FD0"/>
    <w:rPr>
      <w:b/>
      <w:bCs/>
    </w:rPr>
  </w:style>
  <w:style w:type="character" w:customStyle="1" w:styleId="CommentSubjectChar">
    <w:name w:val="Comment Subject Char"/>
    <w:basedOn w:val="CommentTextChar"/>
    <w:link w:val="CommentSubject"/>
    <w:uiPriority w:val="99"/>
    <w:semiHidden/>
    <w:rsid w:val="00212FD0"/>
    <w:rPr>
      <w:b/>
      <w:bCs/>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FF3F3E"/>
    <w:pPr>
      <w:ind w:left="720"/>
      <w:contextualSpacing/>
    </w:pPr>
  </w:style>
  <w:style w:type="character" w:customStyle="1" w:styleId="Marker">
    <w:name w:val="Marker"/>
    <w:basedOn w:val="DefaultParagraphFont"/>
    <w:rsid w:val="00487235"/>
    <w:rPr>
      <w:color w:val="0000FF"/>
      <w:shd w:val="clear" w:color="auto" w:fill="auto"/>
    </w:rPr>
  </w:style>
  <w:style w:type="paragraph" w:customStyle="1" w:styleId="Pagedecouverture">
    <w:name w:val="Page de couverture"/>
    <w:basedOn w:val="Normal"/>
    <w:next w:val="Normal"/>
    <w:rsid w:val="00487235"/>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487235"/>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487235"/>
    <w:rPr>
      <w:rFonts w:ascii="Times New Roman" w:hAnsi="Times New Roman" w:cs="Times New Roman"/>
      <w:sz w:val="24"/>
    </w:rPr>
  </w:style>
  <w:style w:type="paragraph" w:customStyle="1" w:styleId="FooterSensitivity">
    <w:name w:val="Footer Sensitivity"/>
    <w:basedOn w:val="Normal"/>
    <w:link w:val="FooterSensitivityChar"/>
    <w:rsid w:val="0048723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487235"/>
    <w:rPr>
      <w:rFonts w:ascii="Times New Roman" w:hAnsi="Times New Roman" w:cs="Times New Roman"/>
      <w:b/>
      <w:sz w:val="32"/>
    </w:rPr>
  </w:style>
  <w:style w:type="paragraph" w:customStyle="1" w:styleId="HeaderCoverPage">
    <w:name w:val="Header Cover Page"/>
    <w:basedOn w:val="Normal"/>
    <w:link w:val="HeaderCoverPageChar"/>
    <w:rsid w:val="00487235"/>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487235"/>
    <w:rPr>
      <w:rFonts w:ascii="Times New Roman" w:hAnsi="Times New Roman" w:cs="Times New Roman"/>
      <w:sz w:val="24"/>
    </w:rPr>
  </w:style>
  <w:style w:type="paragraph" w:customStyle="1" w:styleId="HeaderSensitivity">
    <w:name w:val="Header Sensitivity"/>
    <w:basedOn w:val="Normal"/>
    <w:link w:val="HeaderSensitivityChar"/>
    <w:rsid w:val="00487235"/>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487235"/>
    <w:rPr>
      <w:rFonts w:ascii="Times New Roman" w:hAnsi="Times New Roman" w:cs="Times New Roman"/>
      <w:b/>
      <w:sz w:val="32"/>
    </w:rPr>
  </w:style>
  <w:style w:type="paragraph" w:customStyle="1" w:styleId="HeaderSensitivityRight">
    <w:name w:val="Header Sensitivity Right"/>
    <w:basedOn w:val="Normal"/>
    <w:link w:val="HeaderSensitivityRightChar"/>
    <w:rsid w:val="00487235"/>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487235"/>
    <w:rPr>
      <w:rFonts w:ascii="Times New Roman" w:hAnsi="Times New Roman" w:cs="Times New Roman"/>
      <w:sz w:val="28"/>
    </w:rPr>
  </w:style>
  <w:style w:type="character" w:customStyle="1" w:styleId="Mention">
    <w:name w:val="Mention"/>
    <w:basedOn w:val="DefaultParagraphFont"/>
    <w:uiPriority w:val="99"/>
    <w:unhideWhenUsed/>
    <w:rsid w:val="000D68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80FB2F397B3D448BFDC6DF71B5B186" ma:contentTypeVersion="7" ma:contentTypeDescription="Create a new document." ma:contentTypeScope="" ma:versionID="be2564345f7b539ec9df60fa437e9ee7">
  <xsd:schema xmlns:xsd="http://www.w3.org/2001/XMLSchema" xmlns:xs="http://www.w3.org/2001/XMLSchema" xmlns:p="http://schemas.microsoft.com/office/2006/metadata/properties" xmlns:ns3="ffb6d218-e4ef-4c97-8942-1bf8159ddab9" xmlns:ns4="ba75fd84-9932-4f20-bd9a-caf75fd0bd51" targetNamespace="http://schemas.microsoft.com/office/2006/metadata/properties" ma:root="true" ma:fieldsID="65886a01ab300741442563f821508d61" ns3:_="" ns4:_="">
    <xsd:import namespace="ffb6d218-e4ef-4c97-8942-1bf8159ddab9"/>
    <xsd:import namespace="ba75fd84-9932-4f20-bd9a-caf75fd0bd51"/>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6d218-e4ef-4c97-8942-1bf8159dd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5fd84-9932-4f20-bd9a-caf75fd0bd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fb6d218-e4ef-4c97-8942-1bf8159dda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41D82-82AF-44CF-93E0-6188D4867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6d218-e4ef-4c97-8942-1bf8159ddab9"/>
    <ds:schemaRef ds:uri="ba75fd84-9932-4f20-bd9a-caf75fd0b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57038E-DFAC-4B7E-8FB4-CD08127DEB42}">
  <ds:schemaRefs>
    <ds:schemaRef ds:uri="http://schemas.microsoft.com/sharepoint/v3/contenttype/forms"/>
  </ds:schemaRefs>
</ds:datastoreItem>
</file>

<file path=customXml/itemProps3.xml><?xml version="1.0" encoding="utf-8"?>
<ds:datastoreItem xmlns:ds="http://schemas.openxmlformats.org/officeDocument/2006/customXml" ds:itemID="{EE58323D-1F9B-4803-AF4C-CFA86A79AD51}">
  <ds:schemaRefs>
    <ds:schemaRef ds:uri="http://schemas.microsoft.com/office/2006/metadata/properties"/>
    <ds:schemaRef ds:uri="http://schemas.microsoft.com/office/infopath/2007/PartnerControls"/>
    <ds:schemaRef ds:uri="ffb6d218-e4ef-4c97-8942-1bf8159ddab9"/>
  </ds:schemaRefs>
</ds:datastoreItem>
</file>

<file path=customXml/itemProps4.xml><?xml version="1.0" encoding="utf-8"?>
<ds:datastoreItem xmlns:ds="http://schemas.openxmlformats.org/officeDocument/2006/customXml" ds:itemID="{93490CEA-E17C-43DF-885F-F863BAE7A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3557</Words>
  <Characters>20279</Characters>
  <Application>Microsoft Office Word</Application>
  <DocSecurity>0</DocSecurity>
  <Lines>168</Lines>
  <Paragraphs>47</Paragraphs>
  <ScaleCrop>false</ScaleCrop>
  <Company>European Commission</Company>
  <LinksUpToDate>false</LinksUpToDate>
  <CharactersWithSpaces>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Judit (HOME)</dc:creator>
  <cp:keywords/>
  <dc:description/>
  <cp:lastModifiedBy>EC CoDe</cp:lastModifiedBy>
  <cp:revision>9</cp:revision>
  <cp:lastPrinted>2023-09-20T13:11:00Z</cp:lastPrinted>
  <dcterms:created xsi:type="dcterms:W3CDTF">2024-01-31T12:13:00Z</dcterms:created>
  <dcterms:modified xsi:type="dcterms:W3CDTF">2024-02-12T09:57:00Z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2023-09-05T10:53:51Z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4a5bf38b-5cf3-42a1-8a37-a6183bdb801c</vt:lpwstr>
  </property>
  <property fmtid="{D5CDD505-2E9C-101B-9397-08002B2CF9AE}" pid="8" name="MSIP_Label_6bd9ddd1-4d20-43f6-abfa-fc3c07406f94_ContentBits">
    <vt:lpwstr>0</vt:lpwstr>
  </property>
  <property fmtid="{D5CDD505-2E9C-101B-9397-08002B2CF9AE}" pid="9" name="ContentTypeId">
    <vt:lpwstr>0x0101003580FB2F397B3D448BFDC6DF71B5B186</vt:lpwstr>
  </property>
  <property fmtid="{D5CDD505-2E9C-101B-9397-08002B2CF9AE}" pid="10" name="Level of sensitivity">
    <vt:lpwstr>Standard treatment</vt:lpwstr>
  </property>
  <property fmtid="{D5CDD505-2E9C-101B-9397-08002B2CF9AE}" pid="11" name="First annex">
    <vt:lpwstr>1</vt:lpwstr>
  </property>
  <property fmtid="{D5CDD505-2E9C-101B-9397-08002B2CF9AE}" pid="12" name="Last annex">
    <vt:lpwstr>1</vt:lpwstr>
  </property>
  <property fmtid="{D5CDD505-2E9C-101B-9397-08002B2CF9AE}" pid="13" name="Unique annex">
    <vt:lpwstr>1</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y fmtid="{D5CDD505-2E9C-101B-9397-08002B2CF9AE}" pid="17" name="CPTemplateID">
    <vt:lpwstr>CP-039</vt:lpwstr>
  </property>
  <property fmtid="{D5CDD505-2E9C-101B-9397-08002B2CF9AE}" pid="18" name="Last edited using">
    <vt:lpwstr>LW 9.0, Build 20230317</vt:lpwstr>
  </property>
  <property fmtid="{D5CDD505-2E9C-101B-9397-08002B2CF9AE}" pid="19" name="Created using">
    <vt:lpwstr>LW 9.0, Build 20230317</vt:lpwstr>
  </property>
</Properties>
</file>