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41E9" w14:textId="094E337C" w:rsidR="0010798B" w:rsidRDefault="0013747B" w:rsidP="0013747B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48990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635BDDC-1B5C-4222-AA7B-B4C39DB5E0E2" style="width:455.25pt;height:324pt">
            <v:imagedata r:id="rId8" o:title=""/>
          </v:shape>
        </w:pict>
      </w:r>
    </w:p>
    <w:bookmarkEnd w:id="0"/>
    <w:p w14:paraId="1F925978" w14:textId="77777777" w:rsidR="0010798B" w:rsidRDefault="0010798B" w:rsidP="0010798B">
      <w:pPr>
        <w:rPr>
          <w:noProof/>
        </w:rPr>
        <w:sectPr w:rsidR="0010798B" w:rsidSect="00137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C7F118E" w14:textId="2E861811" w:rsidR="008808D6" w:rsidRPr="00B77304" w:rsidRDefault="004D21DD" w:rsidP="008808D6">
      <w:pPr>
        <w:pStyle w:val="Heading1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  <w:smallCaps/>
          <w:noProof/>
          <w:color w:val="auto"/>
          <w:sz w:val="24"/>
          <w:szCs w:val="24"/>
        </w:rPr>
      </w:pPr>
      <w:bookmarkStart w:id="1" w:name="_Hlk148515871"/>
      <w:bookmarkStart w:id="2" w:name="_GoBack"/>
      <w:bookmarkEnd w:id="2"/>
      <w:r>
        <w:rPr>
          <w:rFonts w:ascii="Times New Roman" w:hAnsi="Times New Roman"/>
          <w:b/>
          <w:smallCaps/>
          <w:noProof/>
          <w:color w:val="auto"/>
          <w:sz w:val="24"/>
        </w:rPr>
        <w:lastRenderedPageBreak/>
        <w:t>Introdução</w:t>
      </w:r>
    </w:p>
    <w:bookmarkEnd w:id="1"/>
    <w:p w14:paraId="41D160EF" w14:textId="3DDA8DEC" w:rsidR="008808D6" w:rsidRDefault="00CF47D6" w:rsidP="008808D6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(CE) n.º 853/2004 que estabelece regras específicas de higiene aplicáveis aos géneros alimentícios de origem animal foi adotado em 2004. Entrou em vigor em 20 de maio de 2004 e é aplicável desde 1 de janeiro de 2006.</w:t>
      </w:r>
    </w:p>
    <w:p w14:paraId="342335E4" w14:textId="4303B7BF" w:rsidR="00CF47D6" w:rsidRDefault="0061488F" w:rsidP="008808D6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substituiu todo o acervo legislativo harmonizado em matéria de saúde pública (16 diretivas) e prevê regras mais simples e flexíveis, assegurando simultaneamente uma abordagem baseada no risco e a responsabilidade dos operadores das empresas do setor alimentar pela segurança dos seus produtos.</w:t>
      </w:r>
    </w:p>
    <w:p w14:paraId="46A52A12" w14:textId="51B5239B" w:rsidR="00953E89" w:rsidRDefault="008808D6" w:rsidP="00953E89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habilita a Comissão a adotar certos atos delegados e exige-lhe que apresente relatórios aos colegisladores sobre o exercício dos poderes delegados.</w:t>
      </w:r>
    </w:p>
    <w:p w14:paraId="3B16CE7D" w14:textId="6550C7C5" w:rsidR="006D6403" w:rsidRDefault="006D6403" w:rsidP="006D6403">
      <w:pPr>
        <w:pStyle w:val="Heading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mallCaps/>
          <w:noProof/>
          <w:color w:val="auto"/>
          <w:sz w:val="24"/>
          <w:szCs w:val="24"/>
        </w:rPr>
      </w:pPr>
      <w:bookmarkStart w:id="3" w:name="_Hlk148518441"/>
      <w:r>
        <w:rPr>
          <w:rFonts w:ascii="Times New Roman" w:hAnsi="Times New Roman"/>
          <w:b/>
          <w:smallCaps/>
          <w:noProof/>
          <w:color w:val="auto"/>
          <w:sz w:val="24"/>
        </w:rPr>
        <w:t xml:space="preserve">Base </w:t>
      </w:r>
      <w:bookmarkEnd w:id="3"/>
      <w:r>
        <w:rPr>
          <w:rFonts w:ascii="Times New Roman" w:hAnsi="Times New Roman"/>
          <w:b/>
          <w:smallCaps/>
          <w:noProof/>
          <w:color w:val="auto"/>
          <w:sz w:val="24"/>
        </w:rPr>
        <w:t>jurídica</w:t>
      </w:r>
    </w:p>
    <w:p w14:paraId="670CC6CD" w14:textId="00ACE4A5" w:rsidR="006D6403" w:rsidRDefault="006D6403" w:rsidP="006D640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presente relatório é apresentado nos termos do artigo 11.º-A, n.º 2, do Regulamento (CE) n.º 853/2004. De acordo com essa disposição, o poder de adotar atos delegados para os efeitos previstos no regulamento é conferido à Comissão por um período de cinco anos, a partir de 26 de julho de 2019, sendo-lhe exigida a apresentação de um relatório sobre essa delegação de poderes, pelo menos, nove meses antes do final do prazo de cinco anos.</w:t>
      </w:r>
    </w:p>
    <w:p w14:paraId="467A67A7" w14:textId="34AAD905" w:rsidR="004075EB" w:rsidRDefault="001F16F1" w:rsidP="006D640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Conforme estabelecido no artigo 11.º-A, n.º 2, a Comissão fica habilitada a adotar atos delegados para os efeitos referidos nos artigos 3.º, n.º 2, 8.º, n.º 3, alínea a), e 10.º, n.</w:t>
      </w:r>
      <w:r>
        <w:rPr>
          <w:rFonts w:ascii="Times New Roman" w:hAnsi="Times New Roman"/>
          <w:noProof/>
          <w:sz w:val="24"/>
          <w:vertAlign w:val="superscript"/>
        </w:rPr>
        <w:t>os</w:t>
      </w:r>
      <w:r>
        <w:rPr>
          <w:rFonts w:ascii="Times New Roman" w:hAnsi="Times New Roman"/>
          <w:noProof/>
          <w:sz w:val="24"/>
        </w:rPr>
        <w:t> 1 e 2, do Regulamento (CE) n.º 853/2004.</w:t>
      </w:r>
    </w:p>
    <w:p w14:paraId="5DA06263" w14:textId="16E9038C" w:rsidR="004075EB" w:rsidRPr="004075EB" w:rsidRDefault="004075EB" w:rsidP="006D640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artigo 11.º-A, n.º 2, do regulamento estabelece igualmente que a delegação de poderes é tacitamente prorrogada por períodos de igual duração, salvo se o Parlamento Europeu ou o Conselho a tal se opuserem pelo menos três meses antes do final de cada prazo, e o artigo 11.º-A, n.º 3, dispõe que a delegação de poderes referida nos artigos 3.º, n.º 2, 8.º, n.º 3, alínea a), e 10.º, n.</w:t>
      </w:r>
      <w:r>
        <w:rPr>
          <w:rFonts w:ascii="Times New Roman" w:hAnsi="Times New Roman"/>
          <w:noProof/>
          <w:sz w:val="24"/>
          <w:vertAlign w:val="superscript"/>
        </w:rPr>
        <w:t>os</w:t>
      </w:r>
      <w:r>
        <w:rPr>
          <w:rFonts w:ascii="Times New Roman" w:hAnsi="Times New Roman"/>
          <w:noProof/>
          <w:sz w:val="24"/>
        </w:rPr>
        <w:t> 1 e 2, do Regulamento (CE) n.º 853/2004 pode ser revogada em qualquer momento pelo Parlamento Europeu ou pelo Conselho.</w:t>
      </w:r>
    </w:p>
    <w:p w14:paraId="3E7A0AA2" w14:textId="77777777" w:rsidR="009B1734" w:rsidRPr="009B1734" w:rsidRDefault="009B1734" w:rsidP="006D6403">
      <w:pPr>
        <w:pStyle w:val="Heading1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color w:val="auto"/>
          <w:sz w:val="24"/>
        </w:rPr>
        <w:t>Exercício da delegação</w:t>
      </w:r>
    </w:p>
    <w:p w14:paraId="302BD653" w14:textId="172A588E" w:rsidR="006D6403" w:rsidRDefault="009B1734" w:rsidP="009B173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Durante o período de referência, a Comissão exerceu os seus poderes delegados adotando os seguintes atos delegados, como habilitada pelo artigo 10.º, n.º 1:</w:t>
      </w:r>
    </w:p>
    <w:p w14:paraId="03A416FC" w14:textId="0B3E303E" w:rsidR="004349D0" w:rsidRDefault="004349D0" w:rsidP="004349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Regulamento Delegado (UE) 2020/2192 da Comissão, de 7 de dezembro de 2020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, que altera</w:t>
      </w:r>
      <w:r>
        <w:rPr>
          <w:rFonts w:ascii="Times New Roman" w:hAnsi="Times New Roman"/>
          <w:noProof/>
          <w:sz w:val="24"/>
        </w:rPr>
        <w:t xml:space="preserve"> o anexo II do Regulamento (CE) n.º 853/2004 do Parlamento Europeu e do Conselho no que diz respeito à marca de identificação a utilizar para determinados produtos de origem animal no Reino Unido, no que diz respeito à Irlanda do Norte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  <w:lang w:val="en-IE"/>
        </w:rPr>
        <w:footnoteReference w:id="1"/>
      </w:r>
      <w:r>
        <w:rPr>
          <w:rFonts w:ascii="Times New Roman" w:hAnsi="Times New Roman"/>
          <w:noProof/>
          <w:sz w:val="24"/>
        </w:rPr>
        <w:t>;</w:t>
      </w:r>
    </w:p>
    <w:p w14:paraId="5DA5EAE4" w14:textId="0F818319" w:rsidR="004349D0" w:rsidRDefault="004349D0" w:rsidP="004349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Regulamento Delegado (UE) 2021/1374 da Comissão, de 12 de abril de 2021, que altera o anexo III do Regulamento (CE) n.º 853/2004 do Parlamento Europeu e do Conselho no que se refere a requisitos específicos de higiene aplicáveis aos géneros alimentícios de origem animal</w:t>
      </w:r>
      <w:r w:rsidRPr="00CC4DFE">
        <w:rPr>
          <w:rStyle w:val="FootnoteReference"/>
          <w:rFonts w:ascii="Times New Roman" w:hAnsi="Times New Roman" w:cs="Times New Roman"/>
          <w:noProof/>
          <w:sz w:val="24"/>
          <w:szCs w:val="24"/>
          <w:lang w:val="en-IE"/>
        </w:rPr>
        <w:footnoteReference w:id="2"/>
      </w:r>
      <w:r>
        <w:rPr>
          <w:rFonts w:ascii="Times New Roman" w:hAnsi="Times New Roman"/>
          <w:noProof/>
          <w:sz w:val="24"/>
        </w:rPr>
        <w:t>, relativamente, entre outros, ao queijo, ao abate de emergência, aos matadouros móveis e à congelação de carne;</w:t>
      </w:r>
    </w:p>
    <w:p w14:paraId="7048391E" w14:textId="1EC38627" w:rsidR="004349D0" w:rsidRDefault="004349D0" w:rsidP="004349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Regulamento Delegado (UE) 2022/2258 da Comissão, de 9 de setembro de 2022, que altera e retifica o anexo III do Regulamento (CE) n.º 853/2004 do Parlamento Europeu e do Conselho no que diz respeito a requisitos específicos de higiene aplicáveis aos géneros alimentícios de origem animal relativamente aos produtos da pesca, aos ovos e a determinados produtos altamente refinados, e que altera o Regulamento Delegado (UE) 2019/624 da Comissão no que diz respeito a determinados moluscos bivalves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  <w:lang w:val="en-IE"/>
        </w:rPr>
        <w:footnoteReference w:id="3"/>
      </w:r>
      <w:r>
        <w:rPr>
          <w:rFonts w:ascii="Times New Roman" w:hAnsi="Times New Roman"/>
          <w:noProof/>
          <w:sz w:val="24"/>
        </w:rPr>
        <w:t>;</w:t>
      </w:r>
    </w:p>
    <w:p w14:paraId="12C7A741" w14:textId="4572B568" w:rsidR="004349D0" w:rsidRPr="00CC4DFE" w:rsidRDefault="005F54CD" w:rsidP="004349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Regulamento Delegado (UE) 2023/166 da Comissão, de 26 de outubro de 2022, que retifica a versão em língua francesa do anexo III do Regulamento (CE) n.º 853/2004 do Parlamento Europeu e do Conselho que estabelece regras específicas de higiene aplicáveis aos géneros alimentícios de origem animal</w:t>
      </w:r>
      <w:r w:rsidRPr="00CC4DFE">
        <w:rPr>
          <w:rStyle w:val="FootnoteReference"/>
          <w:rFonts w:ascii="Times New Roman" w:hAnsi="Times New Roman" w:cs="Times New Roman"/>
          <w:noProof/>
          <w:sz w:val="24"/>
          <w:szCs w:val="24"/>
          <w:lang w:val="en-IE"/>
        </w:rPr>
        <w:footnoteReference w:id="4"/>
      </w:r>
      <w:r>
        <w:rPr>
          <w:rFonts w:ascii="Times New Roman" w:hAnsi="Times New Roman"/>
          <w:noProof/>
          <w:sz w:val="24"/>
        </w:rPr>
        <w:t>, relativamente à obrigação de esvaziar, escaldar ou limpar os estômagos.</w:t>
      </w:r>
    </w:p>
    <w:p w14:paraId="1454C474" w14:textId="5F9CC671" w:rsidR="008808D6" w:rsidRDefault="005F54CD" w:rsidP="00953E89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habilitação prevista no artigo 3.º, n.º 2, não foi utilizada durante o período de referência, uma vez que não foi apresentado à Comissão nenhum pedido para autorizar outra substância além da água potável para remover qualquer eventual contaminação da superfície dos produtos de origem animal com um parecer favorável da EFSA.</w:t>
      </w:r>
    </w:p>
    <w:p w14:paraId="5020D50A" w14:textId="2D9478EC" w:rsidR="004D250F" w:rsidRDefault="004D250F" w:rsidP="00953E89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Hlk155966056"/>
      <w:r>
        <w:rPr>
          <w:rFonts w:ascii="Times New Roman" w:hAnsi="Times New Roman"/>
          <w:noProof/>
          <w:sz w:val="24"/>
        </w:rPr>
        <w:t>A habilitação prevista no artigo 8.º, n.º 3, alínea a), não foi utilizada durante o período de referência, uma vez que não foi necessário adaptar os requisitos em matéria de garantias especiais</w:t>
      </w:r>
      <w:bookmarkEnd w:id="4"/>
      <w:r>
        <w:rPr>
          <w:rFonts w:ascii="Times New Roman" w:hAnsi="Times New Roman"/>
          <w:noProof/>
          <w:sz w:val="24"/>
        </w:rPr>
        <w:t xml:space="preserve">. </w:t>
      </w:r>
    </w:p>
    <w:p w14:paraId="33EFAE9B" w14:textId="4769B23A" w:rsidR="00BD081B" w:rsidRDefault="00BD081B" w:rsidP="00953E89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habilitação prevista no artigo 10.º, n.º 2, não foi utilizada durante o período de referência, uma vez que não foi necessário conceder derrogações aos anexos II e III.</w:t>
      </w:r>
    </w:p>
    <w:p w14:paraId="1F50B53F" w14:textId="768F012A" w:rsidR="007967EE" w:rsidRDefault="007967EE" w:rsidP="00AD4D5F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Comissão está atualmente a preparar um regulamento delegado que altera os anexos II e III do Regulamento (CE) n.º 853/2004 no que diz respeito aos requisitos específicos aplicáveis a determinados produtos da pesca, carnes, produtos lácteos e ovos.</w:t>
      </w:r>
    </w:p>
    <w:p w14:paraId="43F14DC4" w14:textId="6D03B166" w:rsidR="007967EE" w:rsidRPr="009B1734" w:rsidRDefault="007967EE" w:rsidP="007967EE">
      <w:pPr>
        <w:pStyle w:val="Heading1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color w:val="auto"/>
          <w:sz w:val="24"/>
        </w:rPr>
        <w:t>Conclusão</w:t>
      </w:r>
    </w:p>
    <w:p w14:paraId="5EB33C8B" w14:textId="200FF590" w:rsidR="00AD4D5F" w:rsidRPr="00E4545D" w:rsidRDefault="00AD4D5F" w:rsidP="00CC4D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Comissão considera necessário prorrogar os poderes que lhe foram conferidos pelo Regulamento (CE) n.º 853/2004, em conformidade com o artigo 11.º-A, n.º 2, do mesmo regulamento, uma vez que poderá ter de atuar nos domínios abrangidos no futuro. A prorrogação da delegação de poderes será particularmente importante para assegurar a necessária flexibilidade deste quadro jurídico, complementando-o e adaptando-o regularmente, tendo em conta, em especial, a experiência adquirida pelos operadores das empresas do setor alimentar ou autoridades competentes, a experiência adquirida pela Comissão, a evolução tecnológica, os pareceres científicos e as alterações dos padrões de consumo. Através do presente relatório, a Comissão cumpre a obrigação de apresentação de relatórios prevista no artigo 11.º-A, n.º 2, do Regulamento (CE) n.º 853/2004 e convida o Parlamento Europeu e o Conselho a tomarem nota do presente relatório.</w:t>
      </w:r>
    </w:p>
    <w:sectPr w:rsidR="00AD4D5F" w:rsidRPr="00E4545D" w:rsidSect="001079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E9F2" w14:textId="77777777" w:rsidR="009F258A" w:rsidRDefault="009F258A" w:rsidP="0010798B">
      <w:pPr>
        <w:spacing w:after="0" w:line="240" w:lineRule="auto"/>
      </w:pPr>
      <w:r>
        <w:separator/>
      </w:r>
    </w:p>
  </w:endnote>
  <w:endnote w:type="continuationSeparator" w:id="0">
    <w:p w14:paraId="2737E1B1" w14:textId="77777777" w:rsidR="009F258A" w:rsidRDefault="009F258A" w:rsidP="0010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2A37" w14:textId="6E47FCC8" w:rsidR="0013747B" w:rsidRPr="0013747B" w:rsidRDefault="0013747B" w:rsidP="0013747B">
    <w:pPr>
      <w:pStyle w:val="FooterCoverPage"/>
      <w:rPr>
        <w:rFonts w:ascii="Arial" w:hAnsi="Arial" w:cs="Arial"/>
        <w:b/>
        <w:sz w:val="48"/>
      </w:rPr>
    </w:pPr>
    <w:r w:rsidRPr="0013747B">
      <w:rPr>
        <w:rFonts w:ascii="Arial" w:hAnsi="Arial" w:cs="Arial"/>
        <w:b/>
        <w:sz w:val="48"/>
      </w:rPr>
      <w:t>PT</w:t>
    </w:r>
    <w:r w:rsidRPr="0013747B">
      <w:rPr>
        <w:rFonts w:ascii="Arial" w:hAnsi="Arial" w:cs="Arial"/>
        <w:b/>
        <w:sz w:val="48"/>
      </w:rPr>
      <w:tab/>
    </w:r>
    <w:r w:rsidRPr="0013747B">
      <w:rPr>
        <w:rFonts w:ascii="Arial" w:hAnsi="Arial" w:cs="Arial"/>
        <w:b/>
        <w:sz w:val="48"/>
      </w:rPr>
      <w:tab/>
    </w:r>
    <w:r w:rsidRPr="0013747B">
      <w:tab/>
    </w:r>
    <w:r w:rsidRPr="0013747B">
      <w:rPr>
        <w:rFonts w:ascii="Arial" w:hAnsi="Arial" w:cs="Arial"/>
        <w:b/>
        <w:sz w:val="48"/>
      </w:rPr>
      <w:t>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8604" w14:textId="53ADA0F3" w:rsidR="0013747B" w:rsidRPr="0013747B" w:rsidRDefault="0013747B" w:rsidP="0013747B">
    <w:pPr>
      <w:pStyle w:val="FooterCoverPage"/>
      <w:rPr>
        <w:rFonts w:ascii="Arial" w:hAnsi="Arial" w:cs="Arial"/>
        <w:b/>
        <w:sz w:val="48"/>
      </w:rPr>
    </w:pPr>
    <w:r w:rsidRPr="0013747B">
      <w:rPr>
        <w:rFonts w:ascii="Arial" w:hAnsi="Arial" w:cs="Arial"/>
        <w:b/>
        <w:sz w:val="48"/>
      </w:rPr>
      <w:t>PT</w:t>
    </w:r>
    <w:r w:rsidRPr="0013747B">
      <w:rPr>
        <w:rFonts w:ascii="Arial" w:hAnsi="Arial" w:cs="Arial"/>
        <w:b/>
        <w:sz w:val="48"/>
      </w:rPr>
      <w:tab/>
    </w:r>
    <w:r w:rsidRPr="0013747B">
      <w:rPr>
        <w:rFonts w:ascii="Arial" w:hAnsi="Arial" w:cs="Arial"/>
        <w:b/>
        <w:sz w:val="48"/>
      </w:rPr>
      <w:tab/>
    </w:r>
    <w:r w:rsidRPr="0013747B">
      <w:tab/>
    </w:r>
    <w:r w:rsidRPr="0013747B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66AD" w14:textId="77777777" w:rsidR="0013747B" w:rsidRPr="0013747B" w:rsidRDefault="0013747B" w:rsidP="0013747B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3D9A" w14:textId="77777777" w:rsidR="0010798B" w:rsidRDefault="0010798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37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3D5B3" w14:textId="392B5ADB" w:rsidR="00D63518" w:rsidRDefault="00D63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47B">
          <w:rPr>
            <w:noProof/>
          </w:rPr>
          <w:t>1</w:t>
        </w:r>
        <w:r>
          <w:fldChar w:fldCharType="end"/>
        </w:r>
      </w:p>
    </w:sdtContent>
  </w:sdt>
  <w:p w14:paraId="218D0BAA" w14:textId="77777777" w:rsidR="0010798B" w:rsidRDefault="0010798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1E0C" w14:textId="77777777" w:rsidR="0010798B" w:rsidRDefault="0010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3F84" w14:textId="77777777" w:rsidR="009F258A" w:rsidRDefault="009F258A" w:rsidP="0010798B">
      <w:pPr>
        <w:spacing w:after="0" w:line="240" w:lineRule="auto"/>
      </w:pPr>
      <w:r>
        <w:separator/>
      </w:r>
    </w:p>
  </w:footnote>
  <w:footnote w:type="continuationSeparator" w:id="0">
    <w:p w14:paraId="04B03275" w14:textId="77777777" w:rsidR="009F258A" w:rsidRDefault="009F258A" w:rsidP="0010798B">
      <w:pPr>
        <w:spacing w:after="0" w:line="240" w:lineRule="auto"/>
      </w:pPr>
      <w:r>
        <w:continuationSeparator/>
      </w:r>
    </w:p>
  </w:footnote>
  <w:footnote w:id="1">
    <w:p w14:paraId="1096A7AE" w14:textId="0FEA3F4B" w:rsidR="004349D0" w:rsidRPr="00CC4DFE" w:rsidRDefault="004349D0">
      <w:pPr>
        <w:pStyle w:val="FootnoteText"/>
      </w:pPr>
      <w:r>
        <w:rPr>
          <w:rStyle w:val="FootnoteReference"/>
        </w:rPr>
        <w:footnoteRef/>
      </w:r>
      <w:r>
        <w:t xml:space="preserve"> JO L 434 de 23.12.2020, p. 10.</w:t>
      </w:r>
    </w:p>
  </w:footnote>
  <w:footnote w:id="2">
    <w:p w14:paraId="06B0A670" w14:textId="15CB66E9" w:rsidR="004349D0" w:rsidRPr="00CC4DFE" w:rsidRDefault="004349D0" w:rsidP="004349D0">
      <w:pPr>
        <w:pStyle w:val="FootnoteText"/>
      </w:pPr>
      <w:r>
        <w:rPr>
          <w:rStyle w:val="FootnoteReference"/>
        </w:rPr>
        <w:footnoteRef/>
      </w:r>
      <w:r>
        <w:t xml:space="preserve"> JO L 297 de 20.8.2021, p. 1.</w:t>
      </w:r>
    </w:p>
  </w:footnote>
  <w:footnote w:id="3">
    <w:p w14:paraId="4DE4AD5B" w14:textId="3AA2025E" w:rsidR="004349D0" w:rsidRPr="00CC4DFE" w:rsidRDefault="004349D0">
      <w:pPr>
        <w:pStyle w:val="FootnoteText"/>
      </w:pPr>
      <w:r>
        <w:rPr>
          <w:rStyle w:val="FootnoteReference"/>
        </w:rPr>
        <w:footnoteRef/>
      </w:r>
      <w:r>
        <w:t xml:space="preserve"> JO L 299 de 18.11.2022, p. 5.</w:t>
      </w:r>
    </w:p>
  </w:footnote>
  <w:footnote w:id="4">
    <w:p w14:paraId="2479E103" w14:textId="661BCC2B" w:rsidR="005F54CD" w:rsidRPr="005F54CD" w:rsidRDefault="005F54CD">
      <w:pPr>
        <w:pStyle w:val="FootnoteText"/>
      </w:pPr>
      <w:r>
        <w:rPr>
          <w:rStyle w:val="FootnoteReference"/>
        </w:rPr>
        <w:footnoteRef/>
      </w:r>
      <w:r>
        <w:t xml:space="preserve"> JO L 24 de 26.1.2023, p.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8636" w14:textId="77777777" w:rsidR="0013747B" w:rsidRPr="0013747B" w:rsidRDefault="0013747B" w:rsidP="0013747B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573A" w14:textId="77777777" w:rsidR="0013747B" w:rsidRPr="0013747B" w:rsidRDefault="0013747B" w:rsidP="0013747B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6F77" w14:textId="77777777" w:rsidR="0013747B" w:rsidRPr="0013747B" w:rsidRDefault="0013747B" w:rsidP="0013747B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0D37" w14:textId="77777777" w:rsidR="0010798B" w:rsidRDefault="001079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C420" w14:textId="77777777" w:rsidR="0010798B" w:rsidRDefault="001079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881B" w14:textId="77777777" w:rsidR="0010798B" w:rsidRDefault="0010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6B4F"/>
    <w:multiLevelType w:val="hybridMultilevel"/>
    <w:tmpl w:val="E304C31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12AE4"/>
    <w:multiLevelType w:val="hybridMultilevel"/>
    <w:tmpl w:val="5F9E8D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7B8C"/>
    <w:multiLevelType w:val="hybridMultilevel"/>
    <w:tmpl w:val="EB5262C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B7BFC"/>
    <w:multiLevelType w:val="hybridMultilevel"/>
    <w:tmpl w:val="8DF6BFA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2058F"/>
    <w:multiLevelType w:val="hybridMultilevel"/>
    <w:tmpl w:val="FB86E1B0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E01280"/>
    <w:multiLevelType w:val="multilevel"/>
    <w:tmpl w:val="AF0041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pt-PT" w:vendorID="64" w:dllVersion="0" w:nlCheck="1" w:checkStyle="0"/>
  <w:revisionView w:markup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635BDDC-1B5C-4222-AA7B-B4C39DB5E0E2"/>
    <w:docVar w:name="LW_COVERPAGE_TYPE" w:val="1"/>
    <w:docVar w:name="LW_CROSSREFERENCE" w:val="&lt;UNUSED&gt;"/>
    <w:docVar w:name="LW_DocType" w:val="NORMAL"/>
    <w:docVar w:name="LW_EMISSION" w:val="14.2.2024"/>
    <w:docVar w:name="LW_EMISSION_ISODATE" w:val="2024-02-14"/>
    <w:docVar w:name="LW_EMISSION_LOCATION" w:val="BRX"/>
    <w:docVar w:name="LW_EMISSION_PREFIX" w:val="Bruxelas, "/>
    <w:docVar w:name="LW_EMISSION_SUFFIX" w:val=" "/>
    <w:docVar w:name="LW_ID_DOCTYPE_NONLW" w:val="CP-006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4) 66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relativo ao poder de adotar atos delegados conferido à Comissão pelo Regulamento (CE) n.º 853/2004 do Parlamento Europeu e do Conselho que estabelece regras específicas de higiene aplicáveis aos géneros alimentícios de origem animal"/>
    <w:docVar w:name="LW_TYPE.DOC.CP" w:val="RELATÓRIO DA COMISSÃO AO PARLAMENTO EUROPEU E AO CONSELHO"/>
    <w:docVar w:name="LwApiVersions" w:val="LW4CoDe 1.24.4.0; LW 9.0, Build 20240125"/>
  </w:docVars>
  <w:rsids>
    <w:rsidRoot w:val="0010798B"/>
    <w:rsid w:val="00016E69"/>
    <w:rsid w:val="00027B45"/>
    <w:rsid w:val="00027C41"/>
    <w:rsid w:val="0003051B"/>
    <w:rsid w:val="000373C4"/>
    <w:rsid w:val="0008043B"/>
    <w:rsid w:val="000B62AD"/>
    <w:rsid w:val="0010798B"/>
    <w:rsid w:val="00113636"/>
    <w:rsid w:val="0011626C"/>
    <w:rsid w:val="0013747B"/>
    <w:rsid w:val="00137FC1"/>
    <w:rsid w:val="001406B5"/>
    <w:rsid w:val="00144C0E"/>
    <w:rsid w:val="00152BF4"/>
    <w:rsid w:val="00172AD4"/>
    <w:rsid w:val="001A3613"/>
    <w:rsid w:val="001D614F"/>
    <w:rsid w:val="001F16F1"/>
    <w:rsid w:val="001F39CC"/>
    <w:rsid w:val="00205933"/>
    <w:rsid w:val="00227A5B"/>
    <w:rsid w:val="00263302"/>
    <w:rsid w:val="00274564"/>
    <w:rsid w:val="00284030"/>
    <w:rsid w:val="0029029B"/>
    <w:rsid w:val="002A7A48"/>
    <w:rsid w:val="00313EAA"/>
    <w:rsid w:val="0034266D"/>
    <w:rsid w:val="00345409"/>
    <w:rsid w:val="0034604D"/>
    <w:rsid w:val="00366E6F"/>
    <w:rsid w:val="00392ABF"/>
    <w:rsid w:val="003E0762"/>
    <w:rsid w:val="003E5DC0"/>
    <w:rsid w:val="00401A9F"/>
    <w:rsid w:val="004075EB"/>
    <w:rsid w:val="004349D0"/>
    <w:rsid w:val="00435626"/>
    <w:rsid w:val="00490162"/>
    <w:rsid w:val="004D21DD"/>
    <w:rsid w:val="004D250F"/>
    <w:rsid w:val="004F6443"/>
    <w:rsid w:val="005013DD"/>
    <w:rsid w:val="00526665"/>
    <w:rsid w:val="005464B0"/>
    <w:rsid w:val="005E71F0"/>
    <w:rsid w:val="005F54CD"/>
    <w:rsid w:val="0061488F"/>
    <w:rsid w:val="00661150"/>
    <w:rsid w:val="00682C01"/>
    <w:rsid w:val="0068417E"/>
    <w:rsid w:val="006D6403"/>
    <w:rsid w:val="006D679F"/>
    <w:rsid w:val="006F05EE"/>
    <w:rsid w:val="006F7298"/>
    <w:rsid w:val="00773B81"/>
    <w:rsid w:val="007776C8"/>
    <w:rsid w:val="0079072B"/>
    <w:rsid w:val="007967EE"/>
    <w:rsid w:val="007A5F92"/>
    <w:rsid w:val="007D73E3"/>
    <w:rsid w:val="008119F7"/>
    <w:rsid w:val="00833FD9"/>
    <w:rsid w:val="008808D6"/>
    <w:rsid w:val="00882F24"/>
    <w:rsid w:val="009401E9"/>
    <w:rsid w:val="00953E89"/>
    <w:rsid w:val="009974A8"/>
    <w:rsid w:val="009B1734"/>
    <w:rsid w:val="009D036A"/>
    <w:rsid w:val="009E39E6"/>
    <w:rsid w:val="009F258A"/>
    <w:rsid w:val="00A01C0B"/>
    <w:rsid w:val="00A32A92"/>
    <w:rsid w:val="00A86573"/>
    <w:rsid w:val="00A92FEF"/>
    <w:rsid w:val="00AB3761"/>
    <w:rsid w:val="00AC7DA2"/>
    <w:rsid w:val="00AD4D5F"/>
    <w:rsid w:val="00AE4014"/>
    <w:rsid w:val="00B56D8E"/>
    <w:rsid w:val="00B675A9"/>
    <w:rsid w:val="00B95421"/>
    <w:rsid w:val="00BA679E"/>
    <w:rsid w:val="00BC1B9E"/>
    <w:rsid w:val="00BD081B"/>
    <w:rsid w:val="00BF2027"/>
    <w:rsid w:val="00C17DBB"/>
    <w:rsid w:val="00C3452C"/>
    <w:rsid w:val="00C530E8"/>
    <w:rsid w:val="00C67045"/>
    <w:rsid w:val="00C8745A"/>
    <w:rsid w:val="00C956D3"/>
    <w:rsid w:val="00C978ED"/>
    <w:rsid w:val="00CB4E76"/>
    <w:rsid w:val="00CC179B"/>
    <w:rsid w:val="00CC4DFE"/>
    <w:rsid w:val="00CC61C7"/>
    <w:rsid w:val="00CF47D6"/>
    <w:rsid w:val="00D0028B"/>
    <w:rsid w:val="00D10307"/>
    <w:rsid w:val="00D2288D"/>
    <w:rsid w:val="00D26F9D"/>
    <w:rsid w:val="00D56700"/>
    <w:rsid w:val="00D60983"/>
    <w:rsid w:val="00D63518"/>
    <w:rsid w:val="00D7368A"/>
    <w:rsid w:val="00D9722E"/>
    <w:rsid w:val="00DF2BCB"/>
    <w:rsid w:val="00DF73E1"/>
    <w:rsid w:val="00E1363C"/>
    <w:rsid w:val="00E17829"/>
    <w:rsid w:val="00E17AAE"/>
    <w:rsid w:val="00E4545D"/>
    <w:rsid w:val="00E826FE"/>
    <w:rsid w:val="00E91926"/>
    <w:rsid w:val="00E97249"/>
    <w:rsid w:val="00EA23D0"/>
    <w:rsid w:val="00EA3C00"/>
    <w:rsid w:val="00EC7B6F"/>
    <w:rsid w:val="00EE49B3"/>
    <w:rsid w:val="00F24F1B"/>
    <w:rsid w:val="00F56E0F"/>
    <w:rsid w:val="00F75987"/>
    <w:rsid w:val="00F7638B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E4D5D8"/>
  <w15:chartTrackingRefBased/>
  <w15:docId w15:val="{D2DB1449-1CD4-4C7F-8F0D-17335246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5F"/>
  </w:style>
  <w:style w:type="paragraph" w:styleId="Heading1">
    <w:name w:val="heading 1"/>
    <w:basedOn w:val="Normal"/>
    <w:next w:val="Normal"/>
    <w:link w:val="Heading1Char"/>
    <w:uiPriority w:val="9"/>
    <w:qFormat/>
    <w:rsid w:val="00107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10798B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10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8B"/>
  </w:style>
  <w:style w:type="paragraph" w:styleId="Footer">
    <w:name w:val="footer"/>
    <w:basedOn w:val="Normal"/>
    <w:link w:val="FooterChar"/>
    <w:uiPriority w:val="99"/>
    <w:unhideWhenUsed/>
    <w:rsid w:val="0010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8B"/>
  </w:style>
  <w:style w:type="paragraph" w:customStyle="1" w:styleId="Pagedecouverture">
    <w:name w:val="Page de couverture"/>
    <w:basedOn w:val="Normal"/>
    <w:next w:val="Normal"/>
    <w:rsid w:val="0010798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10798B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10798B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1079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10798B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10798B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10798B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1079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10798B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10798B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10798B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7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808D6"/>
    <w:pPr>
      <w:keepLines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8D6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808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08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8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21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27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192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0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679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B9E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BD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6E1A-A696-49D4-B238-631E6EBA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6</cp:revision>
  <dcterms:created xsi:type="dcterms:W3CDTF">2024-01-12T17:21:00Z</dcterms:created>
  <dcterms:modified xsi:type="dcterms:W3CDTF">2024-02-07T07:57:00Z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9.0, Build 20230317</vt:lpwstr>
  </property>
  <property fmtid="{D5CDD505-2E9C-101B-9397-08002B2CF9AE}" pid="8" name="Created using">
    <vt:lpwstr>LW 8.1, Build 20220902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2022-12-13T12:57:56Z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06a90c2f-c2b7-4713-afe0-b39fa81aecae</vt:lpwstr>
  </property>
  <property fmtid="{D5CDD505-2E9C-101B-9397-08002B2CF9AE}" pid="15" name="MSIP_Label_6bd9ddd1-4d20-43f6-abfa-fc3c07406f94_ContentBits">
    <vt:lpwstr>0</vt:lpwstr>
  </property>
</Properties>
</file>