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D917D" w14:textId="19B87A01" w:rsidR="00C05C83" w:rsidRDefault="00ED04BF" w:rsidP="00ED04BF">
      <w:pPr>
        <w:pStyle w:val="Pagedecouverture"/>
        <w:rPr>
          <w:noProof/>
        </w:rPr>
      </w:pPr>
      <w:bookmarkStart w:id="0" w:name="LW_BM_COVERPAGE"/>
      <w:r>
        <w:rPr>
          <w:noProof/>
        </w:rPr>
        <w:pict w14:anchorId="68940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052452E-9B08-4E7C-A7B5-011D3FD96148" style="width:455.25pt;height:465.75pt">
            <v:imagedata r:id="rId8" o:title=""/>
          </v:shape>
        </w:pict>
      </w:r>
    </w:p>
    <w:bookmarkEnd w:id="0"/>
    <w:p w14:paraId="28776279" w14:textId="77777777" w:rsidR="00C05C83" w:rsidRDefault="00C05C83" w:rsidP="00C05C83">
      <w:pPr>
        <w:rPr>
          <w:noProof/>
        </w:rPr>
        <w:sectPr w:rsidR="00C05C83" w:rsidSect="00ED04B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29CF5EDC" w14:textId="46A40EB0" w:rsidR="00056C57" w:rsidRPr="00FC6D7F" w:rsidRDefault="00C05C83" w:rsidP="00056C57">
      <w:pPr>
        <w:spacing w:before="120" w:after="120" w:line="240" w:lineRule="auto"/>
        <w:jc w:val="center"/>
        <w:rPr>
          <w:rFonts w:ascii="Times New Roman" w:hAnsi="Times New Roman" w:cs="Times New Roman"/>
          <w:b/>
          <w:noProof/>
          <w:sz w:val="24"/>
          <w:u w:val="single"/>
          <w:lang w:val="pl-PL"/>
        </w:rPr>
      </w:pPr>
      <w:bookmarkStart w:id="1" w:name="_GoBack"/>
      <w:bookmarkEnd w:id="1"/>
      <w:r w:rsidRPr="00FC6D7F">
        <w:rPr>
          <w:rFonts w:ascii="Times New Roman" w:hAnsi="Times New Roman"/>
          <w:b/>
          <w:noProof/>
          <w:sz w:val="24"/>
          <w:u w:val="single"/>
          <w:lang w:val="pl-PL"/>
        </w:rPr>
        <w:lastRenderedPageBreak/>
        <w:t xml:space="preserve">ZAŁĄCZNIK I </w:t>
      </w:r>
    </w:p>
    <w:p w14:paraId="514EBC16" w14:textId="71F7BD7B" w:rsidR="00056C57" w:rsidRPr="005A7124" w:rsidRDefault="00056C57" w:rsidP="00056C57">
      <w:pPr>
        <w:spacing w:after="240" w:line="276" w:lineRule="auto"/>
        <w:jc w:val="both"/>
        <w:rPr>
          <w:rFonts w:ascii="Times New Roman" w:hAnsi="Times New Roman"/>
          <w:noProof/>
          <w:sz w:val="24"/>
        </w:rPr>
      </w:pPr>
      <w:r w:rsidRPr="00FC6D7F">
        <w:rPr>
          <w:rFonts w:ascii="Times New Roman" w:hAnsi="Times New Roman"/>
          <w:noProof/>
          <w:sz w:val="24"/>
          <w:lang w:val="pl-PL"/>
        </w:rPr>
        <w:t>Niniejszy załącznik zawiera ogólne informacje na temat podejmowania przez Komisję określonych działań priorytetowych wyznaczonych na lata 2020–2022</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kom</w:t>
      </w:r>
      <w:r w:rsidRPr="00FC6D7F">
        <w:rPr>
          <w:rFonts w:ascii="Times New Roman" w:hAnsi="Times New Roman"/>
          <w:noProof/>
          <w:sz w:val="24"/>
          <w:lang w:val="pl-PL"/>
        </w:rPr>
        <w:t>unikacie „Sprawozdanie na temat obywatelstwa UE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0</w:t>
      </w:r>
      <w:r w:rsidRPr="00D55672">
        <w:rPr>
          <w:rFonts w:ascii="Times New Roman" w:hAnsi="Times New Roman"/>
          <w:noProof/>
          <w:sz w:val="24"/>
          <w:lang w:val="pl-PL"/>
        </w:rPr>
        <w:t>20</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w:t>
      </w:r>
      <w:r>
        <w:rPr>
          <w:rStyle w:val="FootnoteReference"/>
          <w:rFonts w:ascii="Times New Roman" w:hAnsi="Times New Roman"/>
          <w:noProof/>
          <w:sz w:val="24"/>
        </w:rPr>
        <w:footnoteReference w:id="1"/>
      </w:r>
      <w:r>
        <w:rPr>
          <w:rFonts w:ascii="Times New Roman" w:hAnsi="Times New Roman"/>
          <w:noProof/>
          <w:sz w:val="24"/>
        </w:rPr>
        <w:t>.</w:t>
      </w:r>
    </w:p>
    <w:tbl>
      <w:tblPr>
        <w:tblStyle w:val="TableGrid"/>
        <w:tblW w:w="0" w:type="auto"/>
        <w:tblLook w:val="04A0" w:firstRow="1" w:lastRow="0" w:firstColumn="1" w:lastColumn="0" w:noHBand="0" w:noVBand="1"/>
      </w:tblPr>
      <w:tblGrid>
        <w:gridCol w:w="3256"/>
        <w:gridCol w:w="6094"/>
      </w:tblGrid>
      <w:tr w:rsidR="00056C57" w14:paraId="5D2CD50C" w14:textId="77777777" w:rsidTr="00056C57">
        <w:tc>
          <w:tcPr>
            <w:tcW w:w="3256" w:type="dxa"/>
            <w:shd w:val="clear" w:color="auto" w:fill="00B0F0"/>
          </w:tcPr>
          <w:p w14:paraId="6564B7C9" w14:textId="582C90FC" w:rsidR="00056C57" w:rsidRPr="00056C57" w:rsidRDefault="00056C57" w:rsidP="00056C57">
            <w:pPr>
              <w:spacing w:line="276" w:lineRule="auto"/>
              <w:jc w:val="center"/>
              <w:rPr>
                <w:rFonts w:ascii="Times New Roman" w:hAnsi="Times New Roman" w:cs="Times New Roman"/>
                <w:b/>
                <w:noProof/>
                <w:sz w:val="24"/>
              </w:rPr>
            </w:pPr>
            <w:r>
              <w:rPr>
                <w:rFonts w:ascii="Times New Roman" w:hAnsi="Times New Roman"/>
                <w:b/>
                <w:noProof/>
                <w:sz w:val="24"/>
              </w:rPr>
              <w:t>Priorytet na lata 2020–2022</w:t>
            </w:r>
          </w:p>
        </w:tc>
        <w:tc>
          <w:tcPr>
            <w:tcW w:w="6094" w:type="dxa"/>
            <w:shd w:val="clear" w:color="auto" w:fill="00B0F0"/>
          </w:tcPr>
          <w:p w14:paraId="63EB83D1" w14:textId="0821EB6F" w:rsidR="00056C57" w:rsidRPr="00056C57" w:rsidRDefault="00056C57" w:rsidP="00056C57">
            <w:pPr>
              <w:spacing w:line="276" w:lineRule="auto"/>
              <w:jc w:val="center"/>
              <w:rPr>
                <w:rFonts w:ascii="Times New Roman" w:hAnsi="Times New Roman" w:cs="Times New Roman"/>
                <w:b/>
                <w:noProof/>
                <w:sz w:val="24"/>
              </w:rPr>
            </w:pPr>
            <w:r>
              <w:rPr>
                <w:rFonts w:ascii="Times New Roman" w:hAnsi="Times New Roman"/>
                <w:b/>
                <w:noProof/>
                <w:sz w:val="24"/>
              </w:rPr>
              <w:t>Działania</w:t>
            </w:r>
          </w:p>
        </w:tc>
      </w:tr>
      <w:tr w:rsidR="00056C57" w:rsidRPr="00D55672" w14:paraId="7C7E9AE6" w14:textId="77777777" w:rsidTr="00056C57">
        <w:tc>
          <w:tcPr>
            <w:tcW w:w="9350" w:type="dxa"/>
            <w:gridSpan w:val="2"/>
            <w:shd w:val="clear" w:color="auto" w:fill="FFC000"/>
          </w:tcPr>
          <w:p w14:paraId="491D1A16" w14:textId="43299D02" w:rsidR="00056C57" w:rsidRPr="00FC6D7F" w:rsidRDefault="00056C57" w:rsidP="00056C57">
            <w:pPr>
              <w:jc w:val="center"/>
              <w:rPr>
                <w:noProof/>
                <w:lang w:val="pl-PL"/>
              </w:rPr>
            </w:pPr>
            <w:r w:rsidRPr="00FC6D7F">
              <w:rPr>
                <w:rFonts w:ascii="Times New Roman" w:hAnsi="Times New Roman"/>
                <w:b/>
                <w:noProof/>
                <w:sz w:val="24"/>
                <w:lang w:val="pl-PL"/>
              </w:rPr>
              <w:t>Zwiększenie uczestnictwa demokratycznego, wzmocnienie pozycji obywateli</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pro</w:t>
            </w:r>
            <w:r w:rsidRPr="00FC6D7F">
              <w:rPr>
                <w:rFonts w:ascii="Times New Roman" w:hAnsi="Times New Roman"/>
                <w:b/>
                <w:noProof/>
                <w:sz w:val="24"/>
                <w:lang w:val="pl-PL"/>
              </w:rPr>
              <w:t>mowanie włączenia społecznego obywateli w UE</w:t>
            </w:r>
          </w:p>
        </w:tc>
      </w:tr>
      <w:tr w:rsidR="00056C57" w:rsidRPr="00D55672" w14:paraId="530F52F2" w14:textId="77777777" w:rsidTr="0019638A">
        <w:tc>
          <w:tcPr>
            <w:tcW w:w="9350" w:type="dxa"/>
            <w:gridSpan w:val="2"/>
          </w:tcPr>
          <w:p w14:paraId="2583F9B5" w14:textId="79DB1CE7" w:rsidR="00056C57" w:rsidRPr="00FC6D7F" w:rsidRDefault="00056C57" w:rsidP="00056C57">
            <w:pPr>
              <w:jc w:val="center"/>
              <w:rPr>
                <w:noProof/>
                <w:lang w:val="pl-PL"/>
              </w:rPr>
            </w:pPr>
            <w:r w:rsidRPr="00FC6D7F">
              <w:rPr>
                <w:rFonts w:ascii="Times New Roman" w:hAnsi="Times New Roman"/>
                <w:i/>
                <w:noProof/>
                <w:sz w:val="24"/>
                <w:lang w:val="pl-PL"/>
              </w:rPr>
              <w:t>Skuteczne korzystanie</w:t>
            </w:r>
            <w:r w:rsidR="00D55672" w:rsidRPr="00FC6D7F">
              <w:rPr>
                <w:rFonts w:ascii="Times New Roman" w:hAnsi="Times New Roman"/>
                <w:i/>
                <w:noProof/>
                <w:sz w:val="24"/>
                <w:lang w:val="pl-PL"/>
              </w:rPr>
              <w:t xml:space="preserve"> z</w:t>
            </w:r>
            <w:r w:rsidR="00D55672">
              <w:rPr>
                <w:rFonts w:ascii="Times New Roman" w:hAnsi="Times New Roman"/>
                <w:i/>
                <w:noProof/>
                <w:sz w:val="24"/>
                <w:lang w:val="pl-PL"/>
              </w:rPr>
              <w:t> </w:t>
            </w:r>
            <w:r w:rsidR="00D55672" w:rsidRPr="00FC6D7F">
              <w:rPr>
                <w:rFonts w:ascii="Times New Roman" w:hAnsi="Times New Roman"/>
                <w:i/>
                <w:noProof/>
                <w:sz w:val="24"/>
                <w:lang w:val="pl-PL"/>
              </w:rPr>
              <w:t>pra</w:t>
            </w:r>
            <w:r w:rsidRPr="00FC6D7F">
              <w:rPr>
                <w:rFonts w:ascii="Times New Roman" w:hAnsi="Times New Roman"/>
                <w:i/>
                <w:noProof/>
                <w:sz w:val="24"/>
                <w:lang w:val="pl-PL"/>
              </w:rPr>
              <w:t>w wyborczych</w:t>
            </w:r>
          </w:p>
        </w:tc>
      </w:tr>
      <w:tr w:rsidR="00056C57" w14:paraId="0A2989C0" w14:textId="77777777" w:rsidTr="00056C57">
        <w:tc>
          <w:tcPr>
            <w:tcW w:w="3256" w:type="dxa"/>
          </w:tcPr>
          <w:p w14:paraId="0DEDDE9D" w14:textId="3AF02FD8" w:rsidR="00056C57" w:rsidRPr="00FC6D7F" w:rsidRDefault="00056C57" w:rsidP="00056C57">
            <w:pPr>
              <w:spacing w:line="276" w:lineRule="auto"/>
              <w:jc w:val="both"/>
              <w:rPr>
                <w:noProof/>
                <w:lang w:val="pl-PL"/>
              </w:rPr>
            </w:pPr>
            <w:r w:rsidRPr="00FC6D7F">
              <w:rPr>
                <w:rFonts w:ascii="Times New Roman" w:hAnsi="Times New Roman"/>
                <w:b/>
                <w:noProof/>
                <w:sz w:val="24"/>
                <w:lang w:val="pl-PL"/>
              </w:rPr>
              <w:t>1.</w:t>
            </w:r>
            <w:r w:rsidRPr="00FC6D7F">
              <w:rPr>
                <w:rFonts w:ascii="Times New Roman" w:hAnsi="Times New Roman"/>
                <w:noProof/>
                <w:sz w:val="24"/>
                <w:lang w:val="pl-PL"/>
              </w:rPr>
              <w:t xml:space="preserve"> W 20</w:t>
            </w:r>
            <w:r w:rsidRPr="00D55672">
              <w:rPr>
                <w:rFonts w:ascii="Times New Roman" w:hAnsi="Times New Roman"/>
                <w:noProof/>
                <w:sz w:val="24"/>
                <w:lang w:val="pl-PL"/>
              </w:rPr>
              <w:t>21</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Komisja dokona aktualizacji dyrektyw</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prawa do głosowania przemieszczających się obywateli UE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wyb</w:t>
            </w:r>
            <w:r w:rsidRPr="00FC6D7F">
              <w:rPr>
                <w:rFonts w:ascii="Times New Roman" w:hAnsi="Times New Roman"/>
                <w:noProof/>
                <w:sz w:val="24"/>
                <w:lang w:val="pl-PL"/>
              </w:rPr>
              <w:t>orach lokalnych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eur</w:t>
            </w:r>
            <w:r w:rsidRPr="00FC6D7F">
              <w:rPr>
                <w:rFonts w:ascii="Times New Roman" w:hAnsi="Times New Roman"/>
                <w:noProof/>
                <w:sz w:val="24"/>
                <w:lang w:val="pl-PL"/>
              </w:rPr>
              <w:t>opejskich, aby ułatwić przekazywanie informacji obywatelom</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usp</w:t>
            </w:r>
            <w:r w:rsidRPr="00FC6D7F">
              <w:rPr>
                <w:rFonts w:ascii="Times New Roman" w:hAnsi="Times New Roman"/>
                <w:noProof/>
                <w:sz w:val="24"/>
                <w:lang w:val="pl-PL"/>
              </w:rPr>
              <w:t>rawnić wymianę istotnych informacji między państwami członkowskimi,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również</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zapobiegania przypadkom podwójnego głosowania.</w:t>
            </w:r>
          </w:p>
        </w:tc>
        <w:tc>
          <w:tcPr>
            <w:tcW w:w="6094" w:type="dxa"/>
          </w:tcPr>
          <w:p w14:paraId="7981F88F" w14:textId="3EC6858D" w:rsidR="00056C57" w:rsidRDefault="00056C57" w:rsidP="00056C57">
            <w:pPr>
              <w:numPr>
                <w:ilvl w:val="0"/>
                <w:numId w:val="1"/>
              </w:numPr>
              <w:spacing w:line="276" w:lineRule="auto"/>
              <w:ind w:left="484" w:hanging="424"/>
              <w:contextualSpacing/>
              <w:jc w:val="both"/>
              <w:rPr>
                <w:noProof/>
              </w:rPr>
            </w:pPr>
            <w:r w:rsidRPr="00FC6D7F">
              <w:rPr>
                <w:rFonts w:ascii="Times New Roman" w:hAnsi="Times New Roman"/>
                <w:noProof/>
                <w:sz w:val="24"/>
                <w:lang w:val="pl-PL"/>
              </w:rPr>
              <w:t>25 listopada 20</w:t>
            </w:r>
            <w:r w:rsidRPr="00D55672">
              <w:rPr>
                <w:rFonts w:ascii="Times New Roman" w:hAnsi="Times New Roman"/>
                <w:noProof/>
                <w:sz w:val="24"/>
                <w:lang w:val="pl-PL"/>
              </w:rPr>
              <w:t>21</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Komisja przyjęła pakiet środków mających na celu wzmocnienie demokracji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och</w:t>
            </w:r>
            <w:r w:rsidRPr="00FC6D7F">
              <w:rPr>
                <w:rFonts w:ascii="Times New Roman" w:hAnsi="Times New Roman"/>
                <w:noProof/>
                <w:sz w:val="24"/>
                <w:lang w:val="pl-PL"/>
              </w:rPr>
              <w:t xml:space="preserve">ronę uczciwości wyborów. Pakiet obejmuje dwa wnioski ustawodawcze mające na celu </w:t>
            </w:r>
            <w:r w:rsidRPr="00FC6D7F">
              <w:rPr>
                <w:rFonts w:ascii="Times New Roman" w:hAnsi="Times New Roman"/>
                <w:b/>
                <w:noProof/>
                <w:sz w:val="24"/>
                <w:lang w:val="pl-PL"/>
              </w:rPr>
              <w:t>przekształcenie dyrektyw</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spr</w:t>
            </w:r>
            <w:r w:rsidRPr="00FC6D7F">
              <w:rPr>
                <w:rFonts w:ascii="Times New Roman" w:hAnsi="Times New Roman"/>
                <w:b/>
                <w:noProof/>
                <w:sz w:val="24"/>
                <w:lang w:val="pl-PL"/>
              </w:rPr>
              <w:t>awie prawa do głosowania</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kan</w:t>
            </w:r>
            <w:r w:rsidRPr="00FC6D7F">
              <w:rPr>
                <w:rFonts w:ascii="Times New Roman" w:hAnsi="Times New Roman"/>
                <w:b/>
                <w:noProof/>
                <w:sz w:val="24"/>
                <w:lang w:val="pl-PL"/>
              </w:rPr>
              <w:t>dydowania</w:t>
            </w:r>
            <w:r w:rsidR="00D55672" w:rsidRPr="00FC6D7F">
              <w:rPr>
                <w:rFonts w:ascii="Times New Roman" w:hAnsi="Times New Roman"/>
                <w:b/>
                <w:noProof/>
                <w:sz w:val="24"/>
                <w:lang w:val="pl-PL"/>
              </w:rPr>
              <w:t xml:space="preserve"> </w:t>
            </w:r>
            <w:r w:rsidR="00D55672" w:rsidRPr="00FC6D7F">
              <w:rPr>
                <w:rFonts w:ascii="Times New Roman" w:hAnsi="Times New Roman"/>
                <w:noProof/>
                <w:sz w:val="24"/>
                <w:lang w:val="pl-PL"/>
              </w:rPr>
              <w:t>w</w:t>
            </w:r>
            <w:r w:rsidR="00D55672">
              <w:rPr>
                <w:rFonts w:ascii="Times New Roman" w:hAnsi="Times New Roman"/>
                <w:b/>
                <w:noProof/>
                <w:sz w:val="24"/>
                <w:lang w:val="pl-PL"/>
              </w:rPr>
              <w:t> </w:t>
            </w:r>
            <w:r w:rsidR="00D55672" w:rsidRPr="00FC6D7F">
              <w:rPr>
                <w:rFonts w:ascii="Times New Roman" w:hAnsi="Times New Roman"/>
                <w:noProof/>
                <w:sz w:val="24"/>
                <w:lang w:val="pl-PL"/>
              </w:rPr>
              <w:t>wyb</w:t>
            </w:r>
            <w:r w:rsidRPr="00FC6D7F">
              <w:rPr>
                <w:rFonts w:ascii="Times New Roman" w:hAnsi="Times New Roman"/>
                <w:noProof/>
                <w:sz w:val="24"/>
                <w:lang w:val="pl-PL"/>
              </w:rPr>
              <w:t>orach do Parlamentu Europejskiego oraz</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wyb</w:t>
            </w:r>
            <w:r w:rsidRPr="00FC6D7F">
              <w:rPr>
                <w:rFonts w:ascii="Times New Roman" w:hAnsi="Times New Roman"/>
                <w:noProof/>
                <w:sz w:val="24"/>
                <w:lang w:val="pl-PL"/>
              </w:rPr>
              <w:t>orach lokalnych przez obywateli UE mieszkających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inn</w:t>
            </w:r>
            <w:r w:rsidRPr="00FC6D7F">
              <w:rPr>
                <w:rFonts w:ascii="Times New Roman" w:hAnsi="Times New Roman"/>
                <w:noProof/>
                <w:sz w:val="24"/>
                <w:lang w:val="pl-PL"/>
              </w:rPr>
              <w:t xml:space="preserve">ym państwie członkowskim niż ich państwo pochodzenia. </w:t>
            </w:r>
            <w:r>
              <w:rPr>
                <w:rFonts w:ascii="Times New Roman" w:hAnsi="Times New Roman"/>
                <w:i/>
                <w:noProof/>
                <w:sz w:val="24"/>
              </w:rPr>
              <w:t>(aby uzyskać więcej informacji, zob. sprawozdanie s. 27–28)</w:t>
            </w:r>
          </w:p>
        </w:tc>
      </w:tr>
      <w:tr w:rsidR="00056C57" w14:paraId="6C85C622" w14:textId="77777777" w:rsidTr="00056C57">
        <w:tc>
          <w:tcPr>
            <w:tcW w:w="3256" w:type="dxa"/>
          </w:tcPr>
          <w:p w14:paraId="769651B4" w14:textId="51D924C6" w:rsidR="00056C57" w:rsidRPr="00FC6D7F" w:rsidRDefault="00056C57" w:rsidP="009F0F9B">
            <w:pPr>
              <w:spacing w:line="276" w:lineRule="auto"/>
              <w:jc w:val="both"/>
              <w:rPr>
                <w:rFonts w:ascii="Times New Roman" w:eastAsia="Calibri" w:hAnsi="Times New Roman" w:cs="Times New Roman"/>
                <w:noProof/>
                <w:sz w:val="24"/>
                <w:lang w:val="pl-PL"/>
              </w:rPr>
            </w:pPr>
            <w:r w:rsidRPr="00FC6D7F">
              <w:rPr>
                <w:rFonts w:ascii="Times New Roman" w:hAnsi="Times New Roman"/>
                <w:b/>
                <w:noProof/>
                <w:sz w:val="24"/>
                <w:lang w:val="pl-PL"/>
              </w:rPr>
              <w:t>2.</w:t>
            </w:r>
            <w:r w:rsidRPr="00FC6D7F">
              <w:rPr>
                <w:rFonts w:ascii="Times New Roman" w:hAnsi="Times New Roman"/>
                <w:noProof/>
                <w:sz w:val="24"/>
                <w:lang w:val="pl-PL"/>
              </w:rPr>
              <w:t xml:space="preserve"> Komisja rozważy możliwość utworzenia specjalnych wspólnych zasobów na rzecz wspierania obywateli Unii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kor</w:t>
            </w:r>
            <w:r w:rsidRPr="00FC6D7F">
              <w:rPr>
                <w:rFonts w:ascii="Times New Roman" w:hAnsi="Times New Roman"/>
                <w:noProof/>
                <w:sz w:val="24"/>
                <w:lang w:val="pl-PL"/>
              </w:rPr>
              <w:t>zystaniu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ysługujących im praw wyborczych. Komisja będzie kontynuować współpracę</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stwami członkowskimi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europejskiej sieci współpracy ds. wyborów</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ułatwienia obywatelom Unii korzystania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ysługujących im praw wyborczych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ększenia ich możliwości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zakresie,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poprzez wspieranie wymiany najlepszych praktyk</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wza</w:t>
            </w:r>
            <w:r w:rsidRPr="00FC6D7F">
              <w:rPr>
                <w:rFonts w:ascii="Times New Roman" w:hAnsi="Times New Roman"/>
                <w:noProof/>
                <w:sz w:val="24"/>
                <w:lang w:val="pl-PL"/>
              </w:rPr>
              <w:t>jemną pomoc na rzecz zapewnienia wolnych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ucz</w:t>
            </w:r>
            <w:r w:rsidRPr="00FC6D7F">
              <w:rPr>
                <w:rFonts w:ascii="Times New Roman" w:hAnsi="Times New Roman"/>
                <w:noProof/>
                <w:sz w:val="24"/>
                <w:lang w:val="pl-PL"/>
              </w:rPr>
              <w:t>ciwych wyborów.</w:t>
            </w:r>
          </w:p>
        </w:tc>
        <w:tc>
          <w:tcPr>
            <w:tcW w:w="6094" w:type="dxa"/>
          </w:tcPr>
          <w:p w14:paraId="7D3C235D" w14:textId="172728E1" w:rsidR="00056C57" w:rsidRPr="00FC6D7F" w:rsidRDefault="00056C57" w:rsidP="00056C57">
            <w:pPr>
              <w:numPr>
                <w:ilvl w:val="0"/>
                <w:numId w:val="1"/>
              </w:numPr>
              <w:spacing w:line="276" w:lineRule="auto"/>
              <w:ind w:left="485" w:hanging="425"/>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W komunikacie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ochrony uczciwości wyborów</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wsp</w:t>
            </w:r>
            <w:r w:rsidRPr="00FC6D7F">
              <w:rPr>
                <w:rFonts w:ascii="Times New Roman" w:hAnsi="Times New Roman"/>
                <w:noProof/>
                <w:sz w:val="24"/>
                <w:lang w:val="pl-PL"/>
              </w:rPr>
              <w:t>ierania uczestniczenia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dem</w:t>
            </w:r>
            <w:r w:rsidRPr="00FC6D7F">
              <w:rPr>
                <w:rFonts w:ascii="Times New Roman" w:hAnsi="Times New Roman"/>
                <w:noProof/>
                <w:sz w:val="24"/>
                <w:lang w:val="pl-PL"/>
              </w:rPr>
              <w:t xml:space="preserve">okracji Komisja zapowiedziała ustanowienie </w:t>
            </w:r>
            <w:r w:rsidRPr="00FC6D7F">
              <w:rPr>
                <w:rFonts w:ascii="Times New Roman" w:hAnsi="Times New Roman"/>
                <w:b/>
                <w:noProof/>
                <w:sz w:val="24"/>
                <w:lang w:val="pl-PL"/>
              </w:rPr>
              <w:t>punktu kontaktowego ds. praw wyborczych</w:t>
            </w:r>
            <w:r w:rsidRPr="00FC6D7F">
              <w:rPr>
                <w:rFonts w:ascii="Times New Roman" w:hAnsi="Times New Roman"/>
                <w:noProof/>
                <w:sz w:val="24"/>
                <w:lang w:val="pl-PL"/>
              </w:rPr>
              <w:t>. Funkcję tę będzie pełnić centrum kontaktowe Europe Direct, które będzie służyło jako infolinia ds. wyborów</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wyb</w:t>
            </w:r>
            <w:r w:rsidRPr="00FC6D7F">
              <w:rPr>
                <w:rFonts w:ascii="Times New Roman" w:hAnsi="Times New Roman"/>
                <w:noProof/>
                <w:sz w:val="24"/>
                <w:lang w:val="pl-PL"/>
              </w:rPr>
              <w:t>orach do Parlamentu Europejskiego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0</w:t>
            </w:r>
            <w:r w:rsidRPr="00D55672">
              <w:rPr>
                <w:rFonts w:ascii="Times New Roman" w:hAnsi="Times New Roman"/>
                <w:noProof/>
                <w:sz w:val="24"/>
                <w:lang w:val="pl-PL"/>
              </w:rPr>
              <w:t>24</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w:t>
            </w:r>
            <w:r w:rsidRPr="00FC6D7F">
              <w:rPr>
                <w:rFonts w:ascii="Times New Roman" w:hAnsi="Times New Roman"/>
                <w:i/>
                <w:noProof/>
                <w:sz w:val="24"/>
                <w:lang w:val="pl-PL"/>
              </w:rPr>
              <w:t>(aby uzyskać więcej informacji, zob. sprawozdanie s. 28)</w:t>
            </w:r>
          </w:p>
          <w:p w14:paraId="535FC33F" w14:textId="022311C7" w:rsidR="009033D8" w:rsidRPr="009033D8" w:rsidRDefault="00056C57" w:rsidP="009033D8">
            <w:pPr>
              <w:numPr>
                <w:ilvl w:val="0"/>
                <w:numId w:val="1"/>
              </w:numPr>
              <w:spacing w:line="276" w:lineRule="auto"/>
              <w:ind w:left="485" w:hanging="425"/>
              <w:contextualSpacing/>
              <w:jc w:val="both"/>
              <w:rPr>
                <w:rFonts w:ascii="Times New Roman" w:eastAsia="Calibri" w:hAnsi="Times New Roman" w:cs="Times New Roman"/>
                <w:noProof/>
                <w:sz w:val="24"/>
              </w:rPr>
            </w:pPr>
            <w:r w:rsidRPr="00FC6D7F">
              <w:rPr>
                <w:rFonts w:ascii="Times New Roman" w:hAnsi="Times New Roman"/>
                <w:b/>
                <w:noProof/>
                <w:sz w:val="24"/>
                <w:lang w:val="pl-PL"/>
              </w:rPr>
              <w:t>Europejska sieć współpracy ds. wyborów</w:t>
            </w:r>
            <w:r w:rsidRPr="00FC6D7F">
              <w:rPr>
                <w:rFonts w:ascii="Times New Roman" w:hAnsi="Times New Roman"/>
                <w:noProof/>
                <w:sz w:val="24"/>
                <w:lang w:val="pl-PL"/>
              </w:rPr>
              <w:t xml:space="preserve"> kontynuowała</w:t>
            </w:r>
            <w:r w:rsidRPr="00FC6D7F">
              <w:rPr>
                <w:rFonts w:ascii="Times New Roman" w:hAnsi="Times New Roman"/>
                <w:b/>
                <w:noProof/>
                <w:sz w:val="24"/>
                <w:lang w:val="pl-PL"/>
              </w:rPr>
              <w:t xml:space="preserve"> </w:t>
            </w:r>
            <w:r w:rsidRPr="00FC6D7F">
              <w:rPr>
                <w:rFonts w:ascii="Times New Roman" w:hAnsi="Times New Roman"/>
                <w:noProof/>
                <w:sz w:val="24"/>
                <w:lang w:val="pl-PL"/>
              </w:rPr>
              <w:t>prace nad ułatwieniem korzystania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wa do głosowania oraz zapewnieniem wolnych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ucz</w:t>
            </w:r>
            <w:r w:rsidRPr="00FC6D7F">
              <w:rPr>
                <w:rFonts w:ascii="Times New Roman" w:hAnsi="Times New Roman"/>
                <w:noProof/>
                <w:sz w:val="24"/>
                <w:lang w:val="pl-PL"/>
              </w:rPr>
              <w:t>ciwych wyborów. Europejska sieć współpracy ds. wyborów zorganizowała specjalne sesje dotyczące m.in. głosowania elektronicznego; szerokiego</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włą</w:t>
            </w:r>
            <w:r w:rsidRPr="00FC6D7F">
              <w:rPr>
                <w:rFonts w:ascii="Times New Roman" w:hAnsi="Times New Roman"/>
                <w:noProof/>
                <w:sz w:val="24"/>
                <w:lang w:val="pl-PL"/>
              </w:rPr>
              <w:t>czającego uczestnictwa przemieszczających się obywateli UE; dostępności wyborów dla osób</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pełnosprawnościami</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działań następczych publikowane są „</w:t>
            </w:r>
            <w:r w:rsidRPr="00FC6D7F">
              <w:rPr>
                <w:rFonts w:ascii="Times New Roman" w:hAnsi="Times New Roman"/>
                <w:b/>
                <w:noProof/>
                <w:sz w:val="24"/>
                <w:lang w:val="pl-PL"/>
              </w:rPr>
              <w:t>Kompendium praktyk</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zak</w:t>
            </w:r>
            <w:r w:rsidRPr="00FC6D7F">
              <w:rPr>
                <w:rFonts w:ascii="Times New Roman" w:hAnsi="Times New Roman"/>
                <w:b/>
                <w:noProof/>
                <w:sz w:val="24"/>
                <w:lang w:val="pl-PL"/>
              </w:rPr>
              <w:t>resie e-głosowania</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inn</w:t>
            </w:r>
            <w:r w:rsidRPr="00FC6D7F">
              <w:rPr>
                <w:rFonts w:ascii="Times New Roman" w:hAnsi="Times New Roman"/>
                <w:b/>
                <w:noProof/>
                <w:sz w:val="24"/>
                <w:lang w:val="pl-PL"/>
              </w:rPr>
              <w:t>ych praktyk</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zak</w:t>
            </w:r>
            <w:r w:rsidRPr="00FC6D7F">
              <w:rPr>
                <w:rFonts w:ascii="Times New Roman" w:hAnsi="Times New Roman"/>
                <w:b/>
                <w:noProof/>
                <w:sz w:val="24"/>
                <w:lang w:val="pl-PL"/>
              </w:rPr>
              <w:t>resie ICT”</w:t>
            </w:r>
            <w:r w:rsidRPr="00FC6D7F">
              <w:rPr>
                <w:rFonts w:ascii="Times New Roman" w:hAnsi="Times New Roman"/>
                <w:noProof/>
                <w:sz w:val="24"/>
                <w:lang w:val="pl-PL"/>
              </w:rPr>
              <w:t xml:space="preserve"> oraz „</w:t>
            </w:r>
            <w:r w:rsidRPr="00FC6D7F">
              <w:rPr>
                <w:rFonts w:ascii="Times New Roman" w:hAnsi="Times New Roman"/>
                <w:b/>
                <w:noProof/>
                <w:sz w:val="24"/>
                <w:lang w:val="pl-PL"/>
              </w:rPr>
              <w:t>Przewodnik dobrych praktyk wyborczych</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pań</w:t>
            </w:r>
            <w:r w:rsidRPr="00FC6D7F">
              <w:rPr>
                <w:rFonts w:ascii="Times New Roman" w:hAnsi="Times New Roman"/>
                <w:b/>
                <w:noProof/>
                <w:sz w:val="24"/>
                <w:lang w:val="pl-PL"/>
              </w:rPr>
              <w:t>stwach członkowskich</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zak</w:t>
            </w:r>
            <w:r w:rsidRPr="00FC6D7F">
              <w:rPr>
                <w:rFonts w:ascii="Times New Roman" w:hAnsi="Times New Roman"/>
                <w:b/>
                <w:noProof/>
                <w:sz w:val="24"/>
                <w:lang w:val="pl-PL"/>
              </w:rPr>
              <w:t>resie udziału obywateli</w:t>
            </w:r>
            <w:r w:rsidR="00D55672" w:rsidRPr="00FC6D7F">
              <w:rPr>
                <w:rFonts w:ascii="Times New Roman" w:hAnsi="Times New Roman"/>
                <w:b/>
                <w:noProof/>
                <w:sz w:val="24"/>
                <w:lang w:val="pl-PL"/>
              </w:rPr>
              <w:t xml:space="preserve"> z</w:t>
            </w:r>
            <w:r w:rsidR="00D55672">
              <w:rPr>
                <w:rFonts w:ascii="Times New Roman" w:hAnsi="Times New Roman"/>
                <w:b/>
                <w:noProof/>
                <w:sz w:val="24"/>
                <w:lang w:val="pl-PL"/>
              </w:rPr>
              <w:t> </w:t>
            </w:r>
            <w:r w:rsidR="00D55672" w:rsidRPr="00FC6D7F">
              <w:rPr>
                <w:rFonts w:ascii="Times New Roman" w:hAnsi="Times New Roman"/>
                <w:b/>
                <w:noProof/>
                <w:sz w:val="24"/>
                <w:lang w:val="pl-PL"/>
              </w:rPr>
              <w:t>nie</w:t>
            </w:r>
            <w:r w:rsidRPr="00FC6D7F">
              <w:rPr>
                <w:rFonts w:ascii="Times New Roman" w:hAnsi="Times New Roman"/>
                <w:b/>
                <w:noProof/>
                <w:sz w:val="24"/>
                <w:lang w:val="pl-PL"/>
              </w:rPr>
              <w:t>pełnosprawnościami</w:t>
            </w:r>
            <w:r w:rsidR="00D55672" w:rsidRPr="00FC6D7F">
              <w:rPr>
                <w:rFonts w:ascii="Times New Roman" w:hAnsi="Times New Roman"/>
                <w:noProof/>
                <w:sz w:val="24"/>
                <w:lang w:val="pl-PL"/>
              </w:rPr>
              <w:t xml:space="preserve"> </w:t>
            </w:r>
            <w:r w:rsidR="00D55672" w:rsidRPr="00FC6D7F">
              <w:rPr>
                <w:rFonts w:ascii="Times New Roman" w:hAnsi="Times New Roman"/>
                <w:b/>
                <w:noProof/>
                <w:sz w:val="24"/>
                <w:lang w:val="pl-PL"/>
              </w:rPr>
              <w:t>w</w:t>
            </w:r>
            <w:r w:rsidR="00D55672">
              <w:rPr>
                <w:rFonts w:ascii="Times New Roman" w:hAnsi="Times New Roman"/>
                <w:noProof/>
                <w:sz w:val="24"/>
                <w:lang w:val="pl-PL"/>
              </w:rPr>
              <w:t> </w:t>
            </w:r>
            <w:r w:rsidR="00D55672" w:rsidRPr="00FC6D7F">
              <w:rPr>
                <w:rFonts w:ascii="Times New Roman" w:hAnsi="Times New Roman"/>
                <w:b/>
                <w:noProof/>
                <w:sz w:val="24"/>
                <w:lang w:val="pl-PL"/>
              </w:rPr>
              <w:t>pro</w:t>
            </w:r>
            <w:r w:rsidRPr="00FC6D7F">
              <w:rPr>
                <w:rFonts w:ascii="Times New Roman" w:hAnsi="Times New Roman"/>
                <w:b/>
                <w:noProof/>
                <w:sz w:val="24"/>
                <w:lang w:val="pl-PL"/>
              </w:rPr>
              <w:t>cesie wyborczym” przed kolejnymi wyborami do Parlamentu Europejskiego</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2</w:t>
            </w:r>
            <w:r w:rsidRPr="00FC6D7F">
              <w:rPr>
                <w:rFonts w:ascii="Times New Roman" w:hAnsi="Times New Roman"/>
                <w:b/>
                <w:noProof/>
                <w:sz w:val="24"/>
                <w:lang w:val="pl-PL"/>
              </w:rPr>
              <w:t>0</w:t>
            </w:r>
            <w:r w:rsidRPr="00D55672">
              <w:rPr>
                <w:rFonts w:ascii="Times New Roman" w:hAnsi="Times New Roman"/>
                <w:b/>
                <w:noProof/>
                <w:sz w:val="24"/>
                <w:lang w:val="pl-PL"/>
              </w:rPr>
              <w:t>24</w:t>
            </w:r>
            <w:r w:rsidR="00D55672" w:rsidRPr="00D55672">
              <w:rPr>
                <w:rFonts w:ascii="Times New Roman" w:hAnsi="Times New Roman"/>
                <w:b/>
                <w:noProof/>
                <w:sz w:val="24"/>
                <w:lang w:val="pl-PL"/>
              </w:rPr>
              <w:t> </w:t>
            </w:r>
            <w:r w:rsidRPr="00D55672">
              <w:rPr>
                <w:rFonts w:ascii="Times New Roman" w:hAnsi="Times New Roman"/>
                <w:b/>
                <w:noProof/>
                <w:sz w:val="24"/>
                <w:lang w:val="pl-PL"/>
              </w:rPr>
              <w:t>r.</w:t>
            </w:r>
            <w:r w:rsidRPr="00FC6D7F">
              <w:rPr>
                <w:rFonts w:ascii="Times New Roman" w:hAnsi="Times New Roman"/>
                <w:noProof/>
                <w:sz w:val="24"/>
                <w:lang w:val="pl-PL"/>
              </w:rPr>
              <w:t xml:space="preserve"> jako część pakietu dotyczącego obywatelstwa. </w:t>
            </w:r>
            <w:r>
              <w:rPr>
                <w:rFonts w:ascii="Times New Roman" w:hAnsi="Times New Roman"/>
                <w:i/>
                <w:noProof/>
                <w:sz w:val="24"/>
              </w:rPr>
              <w:t>(aby uzyskać więcej informacji, zob. sprawozdanie s. 6</w:t>
            </w:r>
            <w:r w:rsidR="00D55672">
              <w:rPr>
                <w:rFonts w:ascii="Times New Roman" w:hAnsi="Times New Roman"/>
                <w:i/>
                <w:noProof/>
                <w:sz w:val="24"/>
              </w:rPr>
              <w:t xml:space="preserve"> i 3</w:t>
            </w:r>
            <w:r>
              <w:rPr>
                <w:rFonts w:ascii="Times New Roman" w:hAnsi="Times New Roman"/>
                <w:i/>
                <w:noProof/>
                <w:sz w:val="24"/>
              </w:rPr>
              <w:t>2)</w:t>
            </w:r>
          </w:p>
          <w:p w14:paraId="7FC9671D" w14:textId="55759A32" w:rsidR="00056C57" w:rsidRPr="009033D8" w:rsidRDefault="00056C57" w:rsidP="009033D8">
            <w:pPr>
              <w:numPr>
                <w:ilvl w:val="0"/>
                <w:numId w:val="1"/>
              </w:numPr>
              <w:spacing w:line="276" w:lineRule="auto"/>
              <w:ind w:left="485" w:hanging="425"/>
              <w:contextualSpacing/>
              <w:jc w:val="both"/>
              <w:rPr>
                <w:rFonts w:ascii="Times New Roman" w:eastAsia="Calibri" w:hAnsi="Times New Roman" w:cs="Times New Roman"/>
                <w:noProof/>
                <w:sz w:val="24"/>
              </w:rPr>
            </w:pPr>
            <w:r w:rsidRPr="00FC6D7F">
              <w:rPr>
                <w:rFonts w:ascii="Times New Roman" w:hAnsi="Times New Roman"/>
                <w:noProof/>
                <w:sz w:val="24"/>
                <w:lang w:val="pl-PL"/>
              </w:rPr>
              <w:t>W październiku 20</w:t>
            </w:r>
            <w:r w:rsidRPr="00D55672">
              <w:rPr>
                <w:rFonts w:ascii="Times New Roman" w:hAnsi="Times New Roman"/>
                <w:noProof/>
                <w:sz w:val="24"/>
                <w:lang w:val="pl-PL"/>
              </w:rPr>
              <w:t>23</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Komisja zorganizowała </w:t>
            </w:r>
            <w:r w:rsidRPr="00FC6D7F">
              <w:rPr>
                <w:rFonts w:ascii="Times New Roman" w:hAnsi="Times New Roman"/>
                <w:b/>
                <w:noProof/>
                <w:sz w:val="24"/>
                <w:lang w:val="pl-PL"/>
              </w:rPr>
              <w:t>wydarzenie na wysokim szczeblu dotyczące wyborów</w:t>
            </w:r>
            <w:r w:rsidRPr="00FC6D7F">
              <w:rPr>
                <w:rFonts w:ascii="Times New Roman" w:hAnsi="Times New Roman"/>
                <w:noProof/>
                <w:sz w:val="24"/>
                <w:lang w:val="pl-PL"/>
              </w:rPr>
              <w:t>,</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rym udział wezmą przedstawiciele różnych organów, aby omówić wyzwania związane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pro</w:t>
            </w:r>
            <w:r w:rsidRPr="00FC6D7F">
              <w:rPr>
                <w:rFonts w:ascii="Times New Roman" w:hAnsi="Times New Roman"/>
                <w:noProof/>
                <w:sz w:val="24"/>
                <w:lang w:val="pl-PL"/>
              </w:rPr>
              <w:t>cesami wyborczymi,</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tak</w:t>
            </w:r>
            <w:r w:rsidRPr="00FC6D7F">
              <w:rPr>
                <w:rFonts w:ascii="Times New Roman" w:hAnsi="Times New Roman"/>
                <w:noProof/>
                <w:sz w:val="24"/>
                <w:lang w:val="pl-PL"/>
              </w:rPr>
              <w:t>że umożliwieniem obywatelom uczestnictwa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pro</w:t>
            </w:r>
            <w:r w:rsidRPr="00FC6D7F">
              <w:rPr>
                <w:rFonts w:ascii="Times New Roman" w:hAnsi="Times New Roman"/>
                <w:noProof/>
                <w:sz w:val="24"/>
                <w:lang w:val="pl-PL"/>
              </w:rPr>
              <w:t>cesie demokratycznym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cha</w:t>
            </w:r>
            <w:r w:rsidRPr="00FC6D7F">
              <w:rPr>
                <w:rFonts w:ascii="Times New Roman" w:hAnsi="Times New Roman"/>
                <w:noProof/>
                <w:sz w:val="24"/>
                <w:lang w:val="pl-PL"/>
              </w:rPr>
              <w:t>rakterze wyborców</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kan</w:t>
            </w:r>
            <w:r w:rsidRPr="00FC6D7F">
              <w:rPr>
                <w:rFonts w:ascii="Times New Roman" w:hAnsi="Times New Roman"/>
                <w:noProof/>
                <w:sz w:val="24"/>
                <w:lang w:val="pl-PL"/>
              </w:rPr>
              <w:t xml:space="preserve">dydatów. </w:t>
            </w:r>
            <w:r>
              <w:rPr>
                <w:rFonts w:ascii="Times New Roman" w:hAnsi="Times New Roman"/>
                <w:i/>
                <w:noProof/>
                <w:sz w:val="24"/>
              </w:rPr>
              <w:t>(aby uzyskać więcej informacji, zob. sprawozdanie s. 33)</w:t>
            </w:r>
          </w:p>
        </w:tc>
      </w:tr>
      <w:tr w:rsidR="00056C57" w:rsidRPr="00D55672" w14:paraId="7E50068A" w14:textId="77777777" w:rsidTr="00056C57">
        <w:tc>
          <w:tcPr>
            <w:tcW w:w="3256" w:type="dxa"/>
          </w:tcPr>
          <w:p w14:paraId="630EF744" w14:textId="1DFA4129" w:rsidR="00056C57" w:rsidRPr="00FC6D7F" w:rsidRDefault="00056C57" w:rsidP="009033D8">
            <w:pPr>
              <w:spacing w:line="276" w:lineRule="auto"/>
              <w:jc w:val="both"/>
              <w:rPr>
                <w:rFonts w:ascii="Times New Roman" w:eastAsia="Calibri" w:hAnsi="Times New Roman" w:cs="Times New Roman"/>
                <w:i/>
                <w:noProof/>
                <w:sz w:val="24"/>
                <w:lang w:val="pl-PL"/>
              </w:rPr>
            </w:pPr>
            <w:bookmarkStart w:id="2" w:name="_Hlk151028175"/>
            <w:r w:rsidRPr="00FC6D7F">
              <w:rPr>
                <w:rFonts w:ascii="Times New Roman" w:hAnsi="Times New Roman"/>
                <w:b/>
                <w:noProof/>
                <w:sz w:val="24"/>
                <w:lang w:val="pl-PL"/>
              </w:rPr>
              <w:t>3.</w:t>
            </w:r>
            <w:r w:rsidRPr="00FC6D7F">
              <w:rPr>
                <w:rFonts w:ascii="Times New Roman" w:hAnsi="Times New Roman"/>
                <w:noProof/>
                <w:sz w:val="24"/>
                <w:lang w:val="pl-PL"/>
              </w:rPr>
              <w:t xml:space="preserve"> Komisja będzie finansować projekty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niezależnej obserwacji wyborów,</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dotyczące monitorowania przez obywateli.</w:t>
            </w:r>
          </w:p>
        </w:tc>
        <w:tc>
          <w:tcPr>
            <w:tcW w:w="6094" w:type="dxa"/>
          </w:tcPr>
          <w:p w14:paraId="3DCE99B9" w14:textId="2EF90209" w:rsidR="00056C57" w:rsidRPr="00FC6D7F" w:rsidRDefault="00056C57" w:rsidP="00056C57">
            <w:pPr>
              <w:numPr>
                <w:ilvl w:val="0"/>
                <w:numId w:val="1"/>
              </w:numPr>
              <w:spacing w:line="276" w:lineRule="auto"/>
              <w:ind w:left="485" w:hanging="425"/>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 xml:space="preserve">Program </w:t>
            </w:r>
            <w:r w:rsidRPr="00FC6D7F">
              <w:rPr>
                <w:rFonts w:ascii="Times New Roman" w:hAnsi="Times New Roman"/>
                <w:b/>
                <w:noProof/>
                <w:sz w:val="24"/>
                <w:lang w:val="pl-PL"/>
              </w:rPr>
              <w:t>„Obywatele, równość, prawa</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war</w:t>
            </w:r>
            <w:r w:rsidRPr="00FC6D7F">
              <w:rPr>
                <w:rFonts w:ascii="Times New Roman" w:hAnsi="Times New Roman"/>
                <w:b/>
                <w:noProof/>
                <w:sz w:val="24"/>
                <w:lang w:val="pl-PL"/>
              </w:rPr>
              <w:t>tości” (CERV)</w:t>
            </w:r>
            <w:r w:rsidRPr="00FC6D7F">
              <w:rPr>
                <w:rFonts w:ascii="Times New Roman" w:hAnsi="Times New Roman"/>
                <w:noProof/>
                <w:sz w:val="24"/>
                <w:lang w:val="pl-PL"/>
              </w:rPr>
              <w:t xml:space="preserve"> został uruchomiony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0</w:t>
            </w:r>
            <w:r w:rsidRPr="00D55672">
              <w:rPr>
                <w:rFonts w:ascii="Times New Roman" w:hAnsi="Times New Roman"/>
                <w:noProof/>
                <w:sz w:val="24"/>
                <w:lang w:val="pl-PL"/>
              </w:rPr>
              <w:t>21</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będ</w:t>
            </w:r>
            <w:r w:rsidRPr="00FC6D7F">
              <w:rPr>
                <w:rFonts w:ascii="Times New Roman" w:hAnsi="Times New Roman"/>
                <w:noProof/>
                <w:sz w:val="24"/>
                <w:lang w:val="pl-PL"/>
              </w:rPr>
              <w:t xml:space="preserve">zie realizowany przez siedem lat </w:t>
            </w:r>
            <w:r w:rsidRPr="00D55672">
              <w:rPr>
                <w:rFonts w:ascii="Times New Roman" w:hAnsi="Times New Roman"/>
                <w:noProof/>
                <w:sz w:val="24"/>
                <w:lang w:val="pl-PL"/>
              </w:rPr>
              <w:t>do</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w:t>
            </w:r>
            <w:r w:rsidRPr="00D55672">
              <w:rPr>
                <w:rFonts w:ascii="Times New Roman" w:hAnsi="Times New Roman"/>
                <w:noProof/>
                <w:sz w:val="24"/>
                <w:lang w:val="pl-PL"/>
              </w:rPr>
              <w:t>27</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Program CERV ma na celu wspieranie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roz</w:t>
            </w:r>
            <w:r w:rsidRPr="00FC6D7F">
              <w:rPr>
                <w:rFonts w:ascii="Times New Roman" w:hAnsi="Times New Roman"/>
                <w:noProof/>
                <w:sz w:val="24"/>
                <w:lang w:val="pl-PL"/>
              </w:rPr>
              <w:t>wijanie otwartych, demokratycznych,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int</w:t>
            </w:r>
            <w:r w:rsidRPr="00FC6D7F">
              <w:rPr>
                <w:rFonts w:ascii="Times New Roman" w:hAnsi="Times New Roman"/>
                <w:noProof/>
                <w:sz w:val="24"/>
                <w:lang w:val="pl-PL"/>
              </w:rPr>
              <w:t>egracyjnych społeczeństw, które oparte są na prawach, równości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 xml:space="preserve">stwie prawnym. </w:t>
            </w:r>
          </w:p>
          <w:p w14:paraId="39EC23A0" w14:textId="622F4038" w:rsidR="00056C57" w:rsidRPr="00FC6D7F" w:rsidRDefault="00056C57" w:rsidP="00056C57">
            <w:pPr>
              <w:numPr>
                <w:ilvl w:val="0"/>
                <w:numId w:val="1"/>
              </w:numPr>
              <w:spacing w:line="276" w:lineRule="auto"/>
              <w:ind w:left="485" w:hanging="425"/>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 xml:space="preserve">W ramach komponentu </w:t>
            </w:r>
            <w:r w:rsidRPr="00FC6D7F">
              <w:rPr>
                <w:rFonts w:ascii="Times New Roman" w:hAnsi="Times New Roman"/>
                <w:i/>
                <w:noProof/>
                <w:sz w:val="24"/>
                <w:lang w:val="pl-PL"/>
              </w:rPr>
              <w:t>„Zaangażowanie</w:t>
            </w:r>
            <w:r w:rsidR="00D55672" w:rsidRPr="00FC6D7F">
              <w:rPr>
                <w:rFonts w:ascii="Times New Roman" w:hAnsi="Times New Roman"/>
                <w:i/>
                <w:noProof/>
                <w:sz w:val="24"/>
                <w:lang w:val="pl-PL"/>
              </w:rPr>
              <w:t xml:space="preserve"> i</w:t>
            </w:r>
            <w:r w:rsidR="00D55672">
              <w:rPr>
                <w:rFonts w:ascii="Times New Roman" w:hAnsi="Times New Roman"/>
                <w:i/>
                <w:noProof/>
                <w:sz w:val="24"/>
                <w:lang w:val="pl-PL"/>
              </w:rPr>
              <w:t> </w:t>
            </w:r>
            <w:r w:rsidR="00D55672" w:rsidRPr="00FC6D7F">
              <w:rPr>
                <w:rFonts w:ascii="Times New Roman" w:hAnsi="Times New Roman"/>
                <w:i/>
                <w:noProof/>
                <w:sz w:val="24"/>
                <w:lang w:val="pl-PL"/>
              </w:rPr>
              <w:t>udz</w:t>
            </w:r>
            <w:r w:rsidRPr="00FC6D7F">
              <w:rPr>
                <w:rFonts w:ascii="Times New Roman" w:hAnsi="Times New Roman"/>
                <w:i/>
                <w:noProof/>
                <w:sz w:val="24"/>
                <w:lang w:val="pl-PL"/>
              </w:rPr>
              <w:t>iał obywateli”</w:t>
            </w:r>
            <w:r w:rsidRPr="00FC6D7F">
              <w:rPr>
                <w:rFonts w:ascii="Times New Roman" w:hAnsi="Times New Roman"/>
                <w:noProof/>
                <w:sz w:val="24"/>
                <w:lang w:val="pl-PL"/>
              </w:rPr>
              <w:t xml:space="preserve"> program prac CERV na lata 2023–2024 zapewnia finansowanie, między innymi, niezależnych działań</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obserwacji wyborów,</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monitorowania przez obywateli. </w:t>
            </w:r>
          </w:p>
          <w:p w14:paraId="5030E1B7" w14:textId="7CBC387E" w:rsidR="00056C57" w:rsidRPr="00FC6D7F" w:rsidRDefault="00056C57" w:rsidP="00E66436">
            <w:pPr>
              <w:numPr>
                <w:ilvl w:val="0"/>
                <w:numId w:val="1"/>
              </w:numPr>
              <w:spacing w:line="276" w:lineRule="auto"/>
              <w:ind w:left="485" w:hanging="425"/>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 xml:space="preserve">W ramach komponentu </w:t>
            </w:r>
            <w:r w:rsidRPr="00FC6D7F">
              <w:rPr>
                <w:rFonts w:ascii="Times New Roman" w:hAnsi="Times New Roman"/>
                <w:i/>
                <w:noProof/>
                <w:sz w:val="24"/>
                <w:lang w:val="pl-PL"/>
              </w:rPr>
              <w:t>„Wartości unijne”</w:t>
            </w:r>
            <w:r w:rsidRPr="00FC6D7F">
              <w:rPr>
                <w:rFonts w:ascii="Times New Roman" w:hAnsi="Times New Roman"/>
                <w:noProof/>
                <w:sz w:val="24"/>
                <w:lang w:val="pl-PL"/>
              </w:rPr>
              <w:t xml:space="preserve"> Komisja może również wspierać niezależną obserwację wyborów, finansując budowanie zdolności organizacji społeczeństwa obywatelskiego działających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tej</w:t>
            </w:r>
            <w:r w:rsidRPr="00FC6D7F">
              <w:rPr>
                <w:rFonts w:ascii="Times New Roman" w:hAnsi="Times New Roman"/>
                <w:noProof/>
                <w:sz w:val="24"/>
                <w:lang w:val="pl-PL"/>
              </w:rPr>
              <w:t xml:space="preserve"> dziedzinie. </w:t>
            </w:r>
          </w:p>
        </w:tc>
      </w:tr>
      <w:tr w:rsidR="009033D8" w:rsidRPr="00D55672" w14:paraId="72BFB4CA" w14:textId="77777777" w:rsidTr="004A4141">
        <w:tc>
          <w:tcPr>
            <w:tcW w:w="9350" w:type="dxa"/>
            <w:gridSpan w:val="2"/>
          </w:tcPr>
          <w:p w14:paraId="2F1C7BA2" w14:textId="0528EE69" w:rsidR="009033D8" w:rsidRPr="00FC6D7F" w:rsidRDefault="009033D8" w:rsidP="009033D8">
            <w:pPr>
              <w:jc w:val="center"/>
              <w:rPr>
                <w:rFonts w:ascii="Times New Roman" w:eastAsia="Calibri" w:hAnsi="Times New Roman" w:cs="Times New Roman"/>
                <w:i/>
                <w:noProof/>
                <w:sz w:val="24"/>
                <w:lang w:val="pl-PL"/>
              </w:rPr>
            </w:pPr>
            <w:r w:rsidRPr="00FC6D7F">
              <w:rPr>
                <w:rFonts w:ascii="Times New Roman" w:hAnsi="Times New Roman"/>
                <w:i/>
                <w:noProof/>
                <w:sz w:val="24"/>
                <w:lang w:val="pl-PL"/>
              </w:rPr>
              <w:t>Zwiększanie udziału obywateli</w:t>
            </w:r>
            <w:r w:rsidR="00D55672" w:rsidRPr="00FC6D7F">
              <w:rPr>
                <w:rFonts w:ascii="Times New Roman" w:hAnsi="Times New Roman"/>
                <w:i/>
                <w:noProof/>
                <w:sz w:val="24"/>
                <w:lang w:val="pl-PL"/>
              </w:rPr>
              <w:t xml:space="preserve"> w</w:t>
            </w:r>
            <w:r w:rsidR="00D55672">
              <w:rPr>
                <w:rFonts w:ascii="Times New Roman" w:hAnsi="Times New Roman"/>
                <w:i/>
                <w:noProof/>
                <w:sz w:val="24"/>
                <w:lang w:val="pl-PL"/>
              </w:rPr>
              <w:t> </w:t>
            </w:r>
            <w:r w:rsidR="00D55672" w:rsidRPr="00FC6D7F">
              <w:rPr>
                <w:rFonts w:ascii="Times New Roman" w:hAnsi="Times New Roman"/>
                <w:i/>
                <w:noProof/>
                <w:sz w:val="24"/>
                <w:lang w:val="pl-PL"/>
              </w:rPr>
              <w:t>pro</w:t>
            </w:r>
            <w:r w:rsidRPr="00FC6D7F">
              <w:rPr>
                <w:rFonts w:ascii="Times New Roman" w:hAnsi="Times New Roman"/>
                <w:i/>
                <w:noProof/>
                <w:sz w:val="24"/>
                <w:lang w:val="pl-PL"/>
              </w:rPr>
              <w:t>cesie demokratycznym</w:t>
            </w:r>
          </w:p>
        </w:tc>
      </w:tr>
      <w:tr w:rsidR="009033D8" w14:paraId="490FF922" w14:textId="77777777" w:rsidTr="00056C57">
        <w:tc>
          <w:tcPr>
            <w:tcW w:w="3256" w:type="dxa"/>
          </w:tcPr>
          <w:p w14:paraId="3F879967" w14:textId="5083BF76" w:rsidR="009033D8" w:rsidRPr="00FC6D7F" w:rsidRDefault="009033D8" w:rsidP="009033D8">
            <w:pPr>
              <w:spacing w:line="276" w:lineRule="auto"/>
              <w:jc w:val="both"/>
              <w:rPr>
                <w:noProof/>
                <w:lang w:val="pl-PL"/>
              </w:rPr>
            </w:pPr>
            <w:r w:rsidRPr="00FC6D7F">
              <w:rPr>
                <w:rFonts w:ascii="Times New Roman" w:hAnsi="Times New Roman"/>
                <w:b/>
                <w:noProof/>
                <w:sz w:val="24"/>
                <w:lang w:val="pl-PL"/>
              </w:rPr>
              <w:t>4.</w:t>
            </w:r>
            <w:r w:rsidRPr="00FC6D7F">
              <w:rPr>
                <w:rFonts w:ascii="Times New Roman" w:hAnsi="Times New Roman"/>
                <w:noProof/>
                <w:sz w:val="24"/>
                <w:lang w:val="pl-PL"/>
              </w:rPr>
              <w:t xml:space="preserve"> Komisja będzie wspierać aktywne uczestnictwo obywateli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pro</w:t>
            </w:r>
            <w:r w:rsidRPr="00FC6D7F">
              <w:rPr>
                <w:rFonts w:ascii="Times New Roman" w:hAnsi="Times New Roman"/>
                <w:noProof/>
                <w:sz w:val="24"/>
                <w:lang w:val="pl-PL"/>
              </w:rPr>
              <w:t>cesie demokratycznym</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yjmie innowacyjne podejście do angażowania ich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pro</w:t>
            </w:r>
            <w:r w:rsidRPr="00FC6D7F">
              <w:rPr>
                <w:rFonts w:ascii="Times New Roman" w:hAnsi="Times New Roman"/>
                <w:noProof/>
                <w:sz w:val="24"/>
                <w:lang w:val="pl-PL"/>
              </w:rPr>
              <w:t>ces legislacyjny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zapewnienia, aby unijne przepisy były dostosowane do potrzeb</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zgo</w:t>
            </w:r>
            <w:r w:rsidRPr="00FC6D7F">
              <w:rPr>
                <w:rFonts w:ascii="Times New Roman" w:hAnsi="Times New Roman"/>
                <w:noProof/>
                <w:sz w:val="24"/>
                <w:lang w:val="pl-PL"/>
              </w:rPr>
              <w:t>dne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war</w:t>
            </w:r>
            <w:r w:rsidRPr="00FC6D7F">
              <w:rPr>
                <w:rFonts w:ascii="Times New Roman" w:hAnsi="Times New Roman"/>
                <w:noProof/>
                <w:sz w:val="24"/>
                <w:lang w:val="pl-PL"/>
              </w:rPr>
              <w:t>tościami Unii. Będzie dawała przykład poprzez finansowanie projektów wspierających zaangażowanie obywateli europejskich za pośrednictwem programu „Obywatele, równość, prawa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war</w:t>
            </w:r>
            <w:r w:rsidRPr="00FC6D7F">
              <w:rPr>
                <w:rFonts w:ascii="Times New Roman" w:hAnsi="Times New Roman"/>
                <w:noProof/>
                <w:sz w:val="24"/>
                <w:lang w:val="pl-PL"/>
              </w:rPr>
              <w:t>tości”, uczestnictwo obywateli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dzi</w:t>
            </w:r>
            <w:r w:rsidRPr="00FC6D7F">
              <w:rPr>
                <w:rFonts w:ascii="Times New Roman" w:hAnsi="Times New Roman"/>
                <w:noProof/>
                <w:sz w:val="24"/>
                <w:lang w:val="pl-PL"/>
              </w:rPr>
              <w:t>ałaniach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deb</w:t>
            </w:r>
            <w:r w:rsidRPr="00FC6D7F">
              <w:rPr>
                <w:rFonts w:ascii="Times New Roman" w:hAnsi="Times New Roman"/>
                <w:noProof/>
                <w:sz w:val="24"/>
                <w:lang w:val="pl-PL"/>
              </w:rPr>
              <w:t>atach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programu „Horyzont Europa” oraz transformacje, jakie przyniesie Europejski Zielony Ład.</w:t>
            </w:r>
          </w:p>
        </w:tc>
        <w:tc>
          <w:tcPr>
            <w:tcW w:w="6094" w:type="dxa"/>
          </w:tcPr>
          <w:p w14:paraId="4DC2EAC1" w14:textId="74FCAA46" w:rsidR="009033D8" w:rsidRPr="00FC6D7F" w:rsidRDefault="009033D8" w:rsidP="009033D8">
            <w:pPr>
              <w:numPr>
                <w:ilvl w:val="0"/>
                <w:numId w:val="1"/>
              </w:numPr>
              <w:spacing w:line="276" w:lineRule="auto"/>
              <w:ind w:left="485" w:hanging="425"/>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Komisja była jedną</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ins</w:t>
            </w:r>
            <w:r w:rsidRPr="00FC6D7F">
              <w:rPr>
                <w:rFonts w:ascii="Times New Roman" w:hAnsi="Times New Roman"/>
                <w:noProof/>
                <w:sz w:val="24"/>
                <w:lang w:val="pl-PL"/>
              </w:rPr>
              <w:t>tytucji Unii, która wspierała organizację Konferencji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przyszłości Europy</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jes</w:t>
            </w:r>
            <w:r w:rsidRPr="00FC6D7F">
              <w:rPr>
                <w:rFonts w:ascii="Times New Roman" w:hAnsi="Times New Roman"/>
                <w:noProof/>
                <w:sz w:val="24"/>
                <w:lang w:val="pl-PL"/>
              </w:rPr>
              <w:t>t zaangażowana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dzi</w:t>
            </w:r>
            <w:r w:rsidRPr="00FC6D7F">
              <w:rPr>
                <w:rFonts w:ascii="Times New Roman" w:hAnsi="Times New Roman"/>
                <w:noProof/>
                <w:sz w:val="24"/>
                <w:lang w:val="pl-PL"/>
              </w:rPr>
              <w:t>ałania następcze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kon</w:t>
            </w:r>
            <w:r w:rsidRPr="00FC6D7F">
              <w:rPr>
                <w:rFonts w:ascii="Times New Roman" w:hAnsi="Times New Roman"/>
                <w:noProof/>
                <w:sz w:val="24"/>
                <w:lang w:val="pl-PL"/>
              </w:rPr>
              <w:t>ferencją</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kom</w:t>
            </w:r>
            <w:r w:rsidRPr="00FC6D7F">
              <w:rPr>
                <w:rFonts w:ascii="Times New Roman" w:hAnsi="Times New Roman"/>
                <w:noProof/>
                <w:sz w:val="24"/>
                <w:lang w:val="pl-PL"/>
              </w:rPr>
              <w:t>unikacie opublikowanym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cze</w:t>
            </w:r>
            <w:r w:rsidRPr="00FC6D7F">
              <w:rPr>
                <w:rFonts w:ascii="Times New Roman" w:hAnsi="Times New Roman"/>
                <w:noProof/>
                <w:sz w:val="24"/>
                <w:lang w:val="pl-PL"/>
              </w:rPr>
              <w:t>rwcu 20</w:t>
            </w:r>
            <w:r w:rsidRPr="00D55672">
              <w:rPr>
                <w:rFonts w:ascii="Times New Roman" w:hAnsi="Times New Roman"/>
                <w:noProof/>
                <w:sz w:val="24"/>
                <w:lang w:val="pl-PL"/>
              </w:rPr>
              <w:t>22</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Komisja zobowiązała się do uwzględnienia procesów partycypacyjnych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del</w:t>
            </w:r>
            <w:r w:rsidRPr="00FC6D7F">
              <w:rPr>
                <w:rFonts w:ascii="Times New Roman" w:hAnsi="Times New Roman"/>
                <w:noProof/>
                <w:sz w:val="24"/>
                <w:lang w:val="pl-PL"/>
              </w:rPr>
              <w:t>iberatywnych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klu</w:t>
            </w:r>
            <w:r w:rsidRPr="00FC6D7F">
              <w:rPr>
                <w:rFonts w:ascii="Times New Roman" w:hAnsi="Times New Roman"/>
                <w:noProof/>
                <w:sz w:val="24"/>
                <w:lang w:val="pl-PL"/>
              </w:rPr>
              <w:t>czowych momentach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obs</w:t>
            </w:r>
            <w:r w:rsidRPr="00FC6D7F">
              <w:rPr>
                <w:rFonts w:ascii="Times New Roman" w:hAnsi="Times New Roman"/>
                <w:noProof/>
                <w:sz w:val="24"/>
                <w:lang w:val="pl-PL"/>
              </w:rPr>
              <w:t xml:space="preserve">zarach kształtowania polityki, przy czym </w:t>
            </w:r>
            <w:r w:rsidRPr="00FC6D7F">
              <w:rPr>
                <w:rFonts w:ascii="Times New Roman" w:hAnsi="Times New Roman"/>
                <w:b/>
                <w:noProof/>
                <w:sz w:val="24"/>
                <w:lang w:val="pl-PL"/>
              </w:rPr>
              <w:t>europejskie panele obywatelskie</w:t>
            </w:r>
            <w:r w:rsidRPr="00FC6D7F">
              <w:rPr>
                <w:rFonts w:ascii="Times New Roman" w:hAnsi="Times New Roman"/>
                <w:noProof/>
                <w:sz w:val="24"/>
                <w:lang w:val="pl-PL"/>
              </w:rPr>
              <w:t xml:space="preserve"> staną się „stałym elementem naszego życia demokratycznego”</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lat</w:t>
            </w:r>
            <w:r w:rsidRPr="00FC6D7F">
              <w:rPr>
                <w:rFonts w:ascii="Times New Roman" w:hAnsi="Times New Roman"/>
                <w:noProof/>
                <w:sz w:val="24"/>
                <w:lang w:val="pl-PL"/>
              </w:rPr>
              <w:t>ach 2022</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 xml:space="preserve">023 zorganizowano trzy panele obywatelskie. </w:t>
            </w:r>
            <w:r w:rsidRPr="00FC6D7F">
              <w:rPr>
                <w:rFonts w:ascii="Times New Roman" w:hAnsi="Times New Roman"/>
                <w:i/>
                <w:noProof/>
                <w:sz w:val="24"/>
                <w:lang w:val="pl-PL"/>
              </w:rPr>
              <w:t>(aby uzyskać więcej informacji, zob. sprawozdanie s. 34)</w:t>
            </w:r>
            <w:r w:rsidRPr="00FC6D7F">
              <w:rPr>
                <w:rFonts w:ascii="Times New Roman" w:hAnsi="Times New Roman"/>
                <w:noProof/>
                <w:sz w:val="24"/>
                <w:lang w:val="pl-PL"/>
              </w:rPr>
              <w:t xml:space="preserve"> </w:t>
            </w:r>
          </w:p>
          <w:p w14:paraId="49B4DAE9" w14:textId="6F6244BB" w:rsidR="009033D8" w:rsidRPr="00056C57" w:rsidRDefault="009033D8" w:rsidP="009033D8">
            <w:pPr>
              <w:numPr>
                <w:ilvl w:val="0"/>
                <w:numId w:val="1"/>
              </w:numPr>
              <w:spacing w:line="276" w:lineRule="auto"/>
              <w:ind w:left="485" w:hanging="425"/>
              <w:contextualSpacing/>
              <w:jc w:val="both"/>
              <w:rPr>
                <w:rFonts w:ascii="Times New Roman" w:eastAsia="Calibri" w:hAnsi="Times New Roman" w:cs="Times New Roman"/>
                <w:noProof/>
                <w:sz w:val="24"/>
              </w:rPr>
            </w:pPr>
            <w:r w:rsidRPr="00FC6D7F">
              <w:rPr>
                <w:rFonts w:ascii="Times New Roman" w:hAnsi="Times New Roman"/>
                <w:noProof/>
                <w:sz w:val="24"/>
                <w:lang w:val="pl-PL"/>
              </w:rPr>
              <w:t>W ramach działań następczych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kon</w:t>
            </w:r>
            <w:r w:rsidRPr="00FC6D7F">
              <w:rPr>
                <w:rFonts w:ascii="Times New Roman" w:hAnsi="Times New Roman"/>
                <w:noProof/>
                <w:sz w:val="24"/>
                <w:lang w:val="pl-PL"/>
              </w:rPr>
              <w:t>ferencją Komisja pracuje również nad zmodernizowanym portalem „</w:t>
            </w:r>
            <w:r w:rsidRPr="00FC6D7F">
              <w:rPr>
                <w:rFonts w:ascii="Times New Roman" w:hAnsi="Times New Roman"/>
                <w:b/>
                <w:noProof/>
                <w:sz w:val="24"/>
                <w:lang w:val="pl-PL"/>
              </w:rPr>
              <w:t>Wyraź swoją opinię</w:t>
            </w:r>
            <w:r w:rsidRPr="00FC6D7F">
              <w:rPr>
                <w:rFonts w:ascii="Times New Roman" w:hAnsi="Times New Roman"/>
                <w:noProof/>
                <w:sz w:val="24"/>
                <w:lang w:val="pl-PL"/>
              </w:rPr>
              <w:t xml:space="preserve">”, który ma służyć jako internetowy punkt ogniskujący uczestnictwo obywatelskie. </w:t>
            </w:r>
            <w:r>
              <w:rPr>
                <w:rFonts w:ascii="Times New Roman" w:hAnsi="Times New Roman"/>
                <w:i/>
                <w:noProof/>
                <w:sz w:val="24"/>
              </w:rPr>
              <w:t>(aby uzyskać więcej informacji, zob. sprawozdanie s. 34)</w:t>
            </w:r>
            <w:r>
              <w:rPr>
                <w:rFonts w:ascii="Times New Roman" w:hAnsi="Times New Roman"/>
                <w:noProof/>
                <w:sz w:val="24"/>
              </w:rPr>
              <w:t xml:space="preserve"> </w:t>
            </w:r>
          </w:p>
          <w:p w14:paraId="3A3EEC98" w14:textId="630182A5" w:rsidR="009033D8" w:rsidRPr="00056C57" w:rsidRDefault="009033D8" w:rsidP="009033D8">
            <w:pPr>
              <w:numPr>
                <w:ilvl w:val="0"/>
                <w:numId w:val="1"/>
              </w:numPr>
              <w:spacing w:line="276" w:lineRule="auto"/>
              <w:ind w:left="485" w:hanging="425"/>
              <w:contextualSpacing/>
              <w:jc w:val="both"/>
              <w:rPr>
                <w:rFonts w:ascii="Times New Roman" w:eastAsia="Calibri" w:hAnsi="Times New Roman" w:cs="Times New Roman"/>
                <w:noProof/>
                <w:sz w:val="24"/>
              </w:rPr>
            </w:pPr>
            <w:r w:rsidRPr="00FC6D7F">
              <w:rPr>
                <w:rFonts w:ascii="Times New Roman" w:hAnsi="Times New Roman"/>
                <w:noProof/>
                <w:sz w:val="24"/>
                <w:lang w:val="pl-PL"/>
              </w:rPr>
              <w:t xml:space="preserve">Komisja zarządza </w:t>
            </w:r>
            <w:r w:rsidRPr="00FC6D7F">
              <w:rPr>
                <w:rFonts w:ascii="Times New Roman" w:hAnsi="Times New Roman"/>
                <w:b/>
                <w:noProof/>
                <w:sz w:val="24"/>
                <w:lang w:val="pl-PL"/>
              </w:rPr>
              <w:t>europejską inicjatywą obywatelską,</w:t>
            </w:r>
            <w:r w:rsidRPr="00FC6D7F">
              <w:rPr>
                <w:rFonts w:ascii="Times New Roman" w:hAnsi="Times New Roman"/>
                <w:noProof/>
                <w:sz w:val="24"/>
                <w:lang w:val="pl-PL"/>
              </w:rPr>
              <w:t xml:space="preserve"> instrumentem demokracji uczestniczącej, który umożliwia co najmniej 1 milionowi obywateli Unii zwrócenie się do Komisji</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edstawienie wniosku dotyczącego aktu prawnego wdrażającego zapisy traktatów UE. Od 20</w:t>
            </w:r>
            <w:r w:rsidRPr="00D55672">
              <w:rPr>
                <w:rFonts w:ascii="Times New Roman" w:hAnsi="Times New Roman"/>
                <w:noProof/>
                <w:sz w:val="24"/>
                <w:lang w:val="pl-PL"/>
              </w:rPr>
              <w:t>20</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zmienione rozporządzenie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europejskiej inicjatywy obywatelskiej ułatwia obywatelom prowadzenie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wsp</w:t>
            </w:r>
            <w:r w:rsidRPr="00FC6D7F">
              <w:rPr>
                <w:rFonts w:ascii="Times New Roman" w:hAnsi="Times New Roman"/>
                <w:noProof/>
                <w:sz w:val="24"/>
                <w:lang w:val="pl-PL"/>
              </w:rPr>
              <w:t xml:space="preserve">ieranie inicjatyw obywatelskich. </w:t>
            </w:r>
            <w:r>
              <w:rPr>
                <w:rFonts w:ascii="Times New Roman" w:hAnsi="Times New Roman"/>
                <w:i/>
                <w:noProof/>
                <w:sz w:val="24"/>
              </w:rPr>
              <w:t>(aby uzyskać więcej informacji, zob. sprawozdanie s. 38)</w:t>
            </w:r>
          </w:p>
          <w:p w14:paraId="34A044D0" w14:textId="359057DC" w:rsidR="00B51549" w:rsidRPr="00FC6D7F" w:rsidRDefault="009033D8" w:rsidP="009033D8">
            <w:pPr>
              <w:numPr>
                <w:ilvl w:val="0"/>
                <w:numId w:val="1"/>
              </w:numPr>
              <w:spacing w:line="276" w:lineRule="auto"/>
              <w:ind w:left="485" w:hanging="425"/>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 xml:space="preserve">Oba programy prac </w:t>
            </w:r>
            <w:r w:rsidRPr="00FC6D7F">
              <w:rPr>
                <w:rFonts w:ascii="Times New Roman" w:hAnsi="Times New Roman"/>
                <w:b/>
                <w:noProof/>
                <w:sz w:val="24"/>
                <w:lang w:val="pl-PL"/>
              </w:rPr>
              <w:t>CERV</w:t>
            </w:r>
            <w:r w:rsidRPr="00FC6D7F">
              <w:rPr>
                <w:rFonts w:ascii="Times New Roman" w:hAnsi="Times New Roman"/>
                <w:noProof/>
                <w:sz w:val="24"/>
                <w:lang w:val="pl-PL"/>
              </w:rPr>
              <w:t xml:space="preserve"> na lata 2021–2022</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 xml:space="preserve">023–2024 obejmowały zaproszenia do składania wniosków, które </w:t>
            </w:r>
            <w:r w:rsidRPr="00FC6D7F">
              <w:rPr>
                <w:rFonts w:ascii="Times New Roman" w:hAnsi="Times New Roman"/>
                <w:b/>
                <w:noProof/>
                <w:sz w:val="24"/>
                <w:lang w:val="pl-PL"/>
              </w:rPr>
              <w:t>wspierają zaangażowanie</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udz</w:t>
            </w:r>
            <w:r w:rsidRPr="00FC6D7F">
              <w:rPr>
                <w:rFonts w:ascii="Times New Roman" w:hAnsi="Times New Roman"/>
                <w:b/>
                <w:noProof/>
                <w:sz w:val="24"/>
                <w:lang w:val="pl-PL"/>
              </w:rPr>
              <w:t>iał obywateli Unii</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pro</w:t>
            </w:r>
            <w:r w:rsidRPr="00FC6D7F">
              <w:rPr>
                <w:rFonts w:ascii="Times New Roman" w:hAnsi="Times New Roman"/>
                <w:noProof/>
                <w:sz w:val="24"/>
                <w:lang w:val="pl-PL"/>
              </w:rPr>
              <w:t>gramie prac na lata 2023–2024 wskazano na przykład skoncentrowanie się na debacie na temat przyszłości Europy, na zaangażowaniu społecznym obywateli oraz na innowacyjne podejścia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nar</w:t>
            </w:r>
            <w:r w:rsidRPr="00FC6D7F">
              <w:rPr>
                <w:rFonts w:ascii="Times New Roman" w:hAnsi="Times New Roman"/>
                <w:noProof/>
                <w:sz w:val="24"/>
                <w:lang w:val="pl-PL"/>
              </w:rPr>
              <w:t>zędzia, które mają pomóc obywatelom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wyr</w:t>
            </w:r>
            <w:r w:rsidRPr="00FC6D7F">
              <w:rPr>
                <w:rFonts w:ascii="Times New Roman" w:hAnsi="Times New Roman"/>
                <w:noProof/>
                <w:sz w:val="24"/>
                <w:lang w:val="pl-PL"/>
              </w:rPr>
              <w:t>ażaniu opinii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pub</w:t>
            </w:r>
            <w:r w:rsidRPr="00FC6D7F">
              <w:rPr>
                <w:rFonts w:ascii="Times New Roman" w:hAnsi="Times New Roman"/>
                <w:noProof/>
                <w:sz w:val="24"/>
                <w:lang w:val="pl-PL"/>
              </w:rPr>
              <w:t>licznej wymianie poglądów na temat wszystkich obszarów działań UE</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pro</w:t>
            </w:r>
            <w:r w:rsidRPr="00FC6D7F">
              <w:rPr>
                <w:rFonts w:ascii="Times New Roman" w:hAnsi="Times New Roman"/>
                <w:noProof/>
                <w:sz w:val="24"/>
                <w:lang w:val="pl-PL"/>
              </w:rPr>
              <w:t>gramie zachęca się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szc</w:t>
            </w:r>
            <w:r w:rsidRPr="00FC6D7F">
              <w:rPr>
                <w:rFonts w:ascii="Times New Roman" w:hAnsi="Times New Roman"/>
                <w:noProof/>
                <w:sz w:val="24"/>
                <w:lang w:val="pl-PL"/>
              </w:rPr>
              <w:t>zególności do realizacji projektów, które służą gromadzeniu opinii obywateli, ale również zapewniają praktyczne powiązanie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pro</w:t>
            </w:r>
            <w:r w:rsidRPr="00FC6D7F">
              <w:rPr>
                <w:rFonts w:ascii="Times New Roman" w:hAnsi="Times New Roman"/>
                <w:noProof/>
                <w:sz w:val="24"/>
                <w:lang w:val="pl-PL"/>
              </w:rPr>
              <w:t>cesem kształtowania polityki, pokazując</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ten</w:t>
            </w:r>
            <w:r w:rsidRPr="00FC6D7F">
              <w:rPr>
                <w:rFonts w:ascii="Times New Roman" w:hAnsi="Times New Roman"/>
                <w:noProof/>
                <w:sz w:val="24"/>
                <w:lang w:val="pl-PL"/>
              </w:rPr>
              <w:t xml:space="preserve"> sposób obywatelom, jak angażować się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ktyce. Łączny budżet tych zaproszeń do składania wniosków</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lat</w:t>
            </w:r>
            <w:r w:rsidRPr="00FC6D7F">
              <w:rPr>
                <w:rFonts w:ascii="Times New Roman" w:hAnsi="Times New Roman"/>
                <w:noProof/>
                <w:sz w:val="24"/>
                <w:lang w:val="pl-PL"/>
              </w:rPr>
              <w:t>ach 2021–2023 wynosi ponad 42 mln EUR. W 20</w:t>
            </w:r>
            <w:r w:rsidRPr="00D55672">
              <w:rPr>
                <w:rFonts w:ascii="Times New Roman" w:hAnsi="Times New Roman"/>
                <w:noProof/>
                <w:sz w:val="24"/>
                <w:lang w:val="pl-PL"/>
              </w:rPr>
              <w:t>24</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ogłoszone zostanie nowe zaproszenie do składania wniosków ze szczególnym uwzględnieniem zaangażowania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ucz</w:t>
            </w:r>
            <w:r w:rsidRPr="00FC6D7F">
              <w:rPr>
                <w:rFonts w:ascii="Times New Roman" w:hAnsi="Times New Roman"/>
                <w:noProof/>
                <w:sz w:val="24"/>
                <w:lang w:val="pl-PL"/>
              </w:rPr>
              <w:t>estnictwa dzieci.</w:t>
            </w:r>
          </w:p>
          <w:p w14:paraId="6EE18604" w14:textId="33E920BC" w:rsidR="00A2622B" w:rsidRDefault="009033D8" w:rsidP="009033D8">
            <w:pPr>
              <w:numPr>
                <w:ilvl w:val="0"/>
                <w:numId w:val="1"/>
              </w:numPr>
              <w:spacing w:line="276" w:lineRule="auto"/>
              <w:ind w:left="485" w:hanging="425"/>
              <w:contextualSpacing/>
              <w:jc w:val="both"/>
              <w:rPr>
                <w:rFonts w:ascii="Times New Roman" w:eastAsia="Calibri" w:hAnsi="Times New Roman" w:cs="Times New Roman"/>
                <w:noProof/>
                <w:sz w:val="24"/>
              </w:rPr>
            </w:pPr>
            <w:r w:rsidRPr="00FC6D7F">
              <w:rPr>
                <w:rFonts w:ascii="Times New Roman" w:hAnsi="Times New Roman"/>
                <w:noProof/>
                <w:sz w:val="24"/>
                <w:lang w:val="pl-PL"/>
              </w:rPr>
              <w:t>Oprócz projektów na rzecz badań naukowych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inn</w:t>
            </w:r>
            <w:r w:rsidRPr="00FC6D7F">
              <w:rPr>
                <w:rFonts w:ascii="Times New Roman" w:hAnsi="Times New Roman"/>
                <w:noProof/>
                <w:sz w:val="24"/>
                <w:lang w:val="pl-PL"/>
              </w:rPr>
              <w:t>owacji realizowanych obecnie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kon</w:t>
            </w:r>
            <w:r w:rsidRPr="00FC6D7F">
              <w:rPr>
                <w:rFonts w:ascii="Times New Roman" w:hAnsi="Times New Roman"/>
                <w:noProof/>
                <w:sz w:val="24"/>
                <w:lang w:val="pl-PL"/>
              </w:rPr>
              <w:t>tekście programu „Horyzont 2020”</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demokracji uczestniczącej</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del</w:t>
            </w:r>
            <w:r w:rsidRPr="00FC6D7F">
              <w:rPr>
                <w:rFonts w:ascii="Times New Roman" w:hAnsi="Times New Roman"/>
                <w:noProof/>
                <w:sz w:val="24"/>
                <w:lang w:val="pl-PL"/>
              </w:rPr>
              <w:t>iberatywnej,</w:t>
            </w:r>
            <w:r w:rsidR="00D55672" w:rsidRPr="00FC6D7F">
              <w:rPr>
                <w:rFonts w:ascii="Times New Roman" w:hAnsi="Times New Roman"/>
                <w:noProof/>
                <w:sz w:val="24"/>
                <w:lang w:val="pl-PL"/>
              </w:rPr>
              <w:t xml:space="preserve"> </w:t>
            </w:r>
            <w:r w:rsidR="00D55672" w:rsidRPr="00FC6D7F">
              <w:rPr>
                <w:rFonts w:ascii="Times New Roman" w:hAnsi="Times New Roman"/>
                <w:b/>
                <w:noProof/>
                <w:sz w:val="24"/>
                <w:lang w:val="pl-PL"/>
              </w:rPr>
              <w:t>w</w:t>
            </w:r>
            <w:r w:rsidR="00D55672">
              <w:rPr>
                <w:rFonts w:ascii="Times New Roman" w:hAnsi="Times New Roman"/>
                <w:noProof/>
                <w:sz w:val="24"/>
                <w:lang w:val="pl-PL"/>
              </w:rPr>
              <w:t> </w:t>
            </w:r>
            <w:r w:rsidR="00D55672" w:rsidRPr="00FC6D7F">
              <w:rPr>
                <w:rFonts w:ascii="Times New Roman" w:hAnsi="Times New Roman"/>
                <w:b/>
                <w:noProof/>
                <w:sz w:val="24"/>
                <w:lang w:val="pl-PL"/>
              </w:rPr>
              <w:t>ram</w:t>
            </w:r>
            <w:r w:rsidRPr="00FC6D7F">
              <w:rPr>
                <w:rFonts w:ascii="Times New Roman" w:hAnsi="Times New Roman"/>
                <w:b/>
                <w:noProof/>
                <w:sz w:val="24"/>
                <w:lang w:val="pl-PL"/>
              </w:rPr>
              <w:t>ach programu „Horyzont Europa” uruchomiono już nowe projekty dotyczące przyszłości uczestnictwa obywatelskiego</w:t>
            </w:r>
            <w:r w:rsidRPr="00FC6D7F">
              <w:rPr>
                <w:rFonts w:ascii="Times New Roman" w:hAnsi="Times New Roman"/>
                <w:i/>
                <w:noProof/>
                <w:sz w:val="24"/>
                <w:lang w:val="pl-PL"/>
              </w:rPr>
              <w:t xml:space="preserve">. </w:t>
            </w:r>
            <w:r w:rsidRPr="00FC6D7F">
              <w:rPr>
                <w:rFonts w:ascii="Times New Roman" w:hAnsi="Times New Roman"/>
                <w:noProof/>
                <w:sz w:val="24"/>
                <w:lang w:val="pl-PL"/>
              </w:rPr>
              <w:t>Innym aspektem istotnych badań naukowych, na które ukierunkowane jest finansowanie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pro</w:t>
            </w:r>
            <w:r w:rsidRPr="00FC6D7F">
              <w:rPr>
                <w:rFonts w:ascii="Times New Roman" w:hAnsi="Times New Roman"/>
                <w:noProof/>
                <w:sz w:val="24"/>
                <w:lang w:val="pl-PL"/>
              </w:rPr>
              <w:t>gramu „Horyzont Europa”, jest zwalczanie dezinformacji oraz zagranicznych manipulacji informacjami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ing</w:t>
            </w:r>
            <w:r w:rsidRPr="00FC6D7F">
              <w:rPr>
                <w:rFonts w:ascii="Times New Roman" w:hAnsi="Times New Roman"/>
                <w:noProof/>
                <w:sz w:val="24"/>
                <w:lang w:val="pl-PL"/>
              </w:rPr>
              <w:t>erencji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inf</w:t>
            </w:r>
            <w:r w:rsidRPr="00FC6D7F">
              <w:rPr>
                <w:rFonts w:ascii="Times New Roman" w:hAnsi="Times New Roman"/>
                <w:noProof/>
                <w:sz w:val="24"/>
                <w:lang w:val="pl-PL"/>
              </w:rPr>
              <w:t xml:space="preserve">ormacje. </w:t>
            </w:r>
            <w:r>
              <w:rPr>
                <w:rFonts w:ascii="Times New Roman" w:hAnsi="Times New Roman"/>
                <w:i/>
                <w:noProof/>
                <w:sz w:val="24"/>
              </w:rPr>
              <w:t>(aby uzyskać więcej informacji, zob. sprawozdanie s. 35)</w:t>
            </w:r>
          </w:p>
          <w:p w14:paraId="6ED39141" w14:textId="6A30D829" w:rsidR="009033D8" w:rsidRPr="00FC6D7F" w:rsidRDefault="009033D8" w:rsidP="009033D8">
            <w:pPr>
              <w:numPr>
                <w:ilvl w:val="0"/>
                <w:numId w:val="1"/>
              </w:numPr>
              <w:spacing w:line="276" w:lineRule="auto"/>
              <w:ind w:left="485" w:hanging="425"/>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 xml:space="preserve">Zaangażowanie obywateli jest również ważnym elementem takich inicjatyw jak </w:t>
            </w:r>
            <w:r w:rsidRPr="00FC6D7F">
              <w:rPr>
                <w:rFonts w:ascii="Times New Roman" w:hAnsi="Times New Roman"/>
                <w:b/>
                <w:noProof/>
                <w:sz w:val="24"/>
                <w:lang w:val="pl-PL"/>
              </w:rPr>
              <w:t>misje UE</w:t>
            </w:r>
            <w:r w:rsidRPr="00FC6D7F">
              <w:rPr>
                <w:rFonts w:ascii="Times New Roman" w:hAnsi="Times New Roman"/>
                <w:noProof/>
                <w:sz w:val="24"/>
                <w:lang w:val="pl-PL"/>
              </w:rPr>
              <w:t>.</w:t>
            </w:r>
          </w:p>
          <w:p w14:paraId="509D4618" w14:textId="3A3F9675" w:rsidR="003266C4" w:rsidRPr="00FC6D7F" w:rsidRDefault="009033D8" w:rsidP="003266C4">
            <w:pPr>
              <w:numPr>
                <w:ilvl w:val="0"/>
                <w:numId w:val="1"/>
              </w:numPr>
              <w:spacing w:line="276" w:lineRule="auto"/>
              <w:ind w:left="485" w:hanging="425"/>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 xml:space="preserve">Jako część Europejskiego Zielonego Ładu </w:t>
            </w:r>
            <w:r w:rsidRPr="00FC6D7F">
              <w:rPr>
                <w:rFonts w:ascii="Times New Roman" w:hAnsi="Times New Roman"/>
                <w:b/>
                <w:noProof/>
                <w:sz w:val="24"/>
                <w:lang w:val="pl-PL"/>
              </w:rPr>
              <w:t>Europejski Pakt na rzecz Klimatu</w:t>
            </w:r>
            <w:r w:rsidRPr="00FC6D7F">
              <w:rPr>
                <w:rFonts w:ascii="Times New Roman" w:hAnsi="Times New Roman"/>
                <w:noProof/>
                <w:sz w:val="24"/>
                <w:lang w:val="pl-PL"/>
              </w:rPr>
              <w:t xml:space="preserve"> zapewnia przestrzeń do nieustannej dyskusji oraz umożliwia obywatelom</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org</w:t>
            </w:r>
            <w:r w:rsidRPr="00FC6D7F">
              <w:rPr>
                <w:rFonts w:ascii="Times New Roman" w:hAnsi="Times New Roman"/>
                <w:noProof/>
                <w:sz w:val="24"/>
                <w:lang w:val="pl-PL"/>
              </w:rPr>
              <w:t>anizacjom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cał</w:t>
            </w:r>
            <w:r w:rsidRPr="00FC6D7F">
              <w:rPr>
                <w:rFonts w:ascii="Times New Roman" w:hAnsi="Times New Roman"/>
                <w:noProof/>
                <w:sz w:val="24"/>
                <w:lang w:val="pl-PL"/>
              </w:rPr>
              <w:t>ej Europie uczenie się od siebie nawzajem</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ins</w:t>
            </w:r>
            <w:r w:rsidRPr="00FC6D7F">
              <w:rPr>
                <w:rFonts w:ascii="Times New Roman" w:hAnsi="Times New Roman"/>
                <w:noProof/>
                <w:sz w:val="24"/>
                <w:lang w:val="pl-PL"/>
              </w:rPr>
              <w:t>pirowanie się wzajemnie oraz przyspieszenie działań</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lat</w:t>
            </w:r>
            <w:r w:rsidRPr="00FC6D7F">
              <w:rPr>
                <w:rFonts w:ascii="Times New Roman" w:hAnsi="Times New Roman"/>
                <w:noProof/>
                <w:sz w:val="24"/>
                <w:lang w:val="pl-PL"/>
              </w:rPr>
              <w:t>ach 2021–2022</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paktu zaproszono obywateli do wymiany opinii na temat klimatu</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zag</w:t>
            </w:r>
            <w:r w:rsidRPr="00FC6D7F">
              <w:rPr>
                <w:rFonts w:ascii="Times New Roman" w:hAnsi="Times New Roman"/>
                <w:noProof/>
                <w:sz w:val="24"/>
                <w:lang w:val="pl-PL"/>
              </w:rPr>
              <w:t xml:space="preserve">adnień dotyczących środowiska za pośrednictwem partycypacyjnych „parlamentów partnerskich”. 461 parlamentów partnerskich – małych grup </w:t>
            </w:r>
            <w:r w:rsidRPr="00D55672">
              <w:rPr>
                <w:rFonts w:ascii="Times New Roman" w:hAnsi="Times New Roman"/>
                <w:noProof/>
                <w:sz w:val="24"/>
                <w:lang w:val="pl-PL"/>
              </w:rPr>
              <w:t>po</w:t>
            </w:r>
            <w:r w:rsidR="00D55672" w:rsidRPr="00D55672">
              <w:rPr>
                <w:rFonts w:ascii="Times New Roman" w:hAnsi="Times New Roman"/>
                <w:noProof/>
                <w:sz w:val="24"/>
                <w:lang w:val="pl-PL"/>
              </w:rPr>
              <w:t> </w:t>
            </w:r>
            <w:r w:rsidRPr="00D55672">
              <w:rPr>
                <w:rFonts w:ascii="Times New Roman" w:hAnsi="Times New Roman"/>
                <w:noProof/>
                <w:sz w:val="24"/>
                <w:lang w:val="pl-PL"/>
              </w:rPr>
              <w:t>5</w:t>
            </w:r>
            <w:r w:rsidRPr="00FC6D7F">
              <w:rPr>
                <w:rFonts w:ascii="Times New Roman" w:hAnsi="Times New Roman"/>
                <w:noProof/>
                <w:sz w:val="24"/>
                <w:lang w:val="pl-PL"/>
              </w:rPr>
              <w:t>–10 osób –</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6 państwach członkowskich UE przeprowadziło burzę mózgów na temat pomysłów</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roz</w:t>
            </w:r>
            <w:r w:rsidRPr="00FC6D7F">
              <w:rPr>
                <w:rFonts w:ascii="Times New Roman" w:hAnsi="Times New Roman"/>
                <w:noProof/>
                <w:sz w:val="24"/>
                <w:lang w:val="pl-PL"/>
              </w:rPr>
              <w:t>wiązań, które następnie zostały udostępnione decydentom UE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uwz</w:t>
            </w:r>
            <w:r w:rsidRPr="00FC6D7F">
              <w:rPr>
                <w:rFonts w:ascii="Times New Roman" w:hAnsi="Times New Roman"/>
                <w:noProof/>
                <w:sz w:val="24"/>
                <w:lang w:val="pl-PL"/>
              </w:rPr>
              <w:t>ględnione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Kon</w:t>
            </w:r>
            <w:r w:rsidRPr="00FC6D7F">
              <w:rPr>
                <w:rFonts w:ascii="Times New Roman" w:hAnsi="Times New Roman"/>
                <w:noProof/>
                <w:sz w:val="24"/>
                <w:lang w:val="pl-PL"/>
              </w:rPr>
              <w:t>ferencji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przyszłości Europy. 29 kwietnia 20</w:t>
            </w:r>
            <w:r w:rsidRPr="00D55672">
              <w:rPr>
                <w:rFonts w:ascii="Times New Roman" w:hAnsi="Times New Roman"/>
                <w:noProof/>
                <w:sz w:val="24"/>
                <w:lang w:val="pl-PL"/>
              </w:rPr>
              <w:t>22</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obywatele przedstawili Komisji swoje zalecenia dotyczące transformacji klimatycznej. Pakt umożliwił również obywatelom bezpośredni kontakt</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oso</w:t>
            </w:r>
            <w:r w:rsidRPr="00FC6D7F">
              <w:rPr>
                <w:rFonts w:ascii="Times New Roman" w:hAnsi="Times New Roman"/>
                <w:noProof/>
                <w:sz w:val="24"/>
                <w:lang w:val="pl-PL"/>
              </w:rPr>
              <w:t>bami sprawującymi władzę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podzielenia się swoimi przemyśleniami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opi</w:t>
            </w:r>
            <w:r w:rsidRPr="00FC6D7F">
              <w:rPr>
                <w:rFonts w:ascii="Times New Roman" w:hAnsi="Times New Roman"/>
                <w:noProof/>
                <w:sz w:val="24"/>
                <w:lang w:val="pl-PL"/>
              </w:rPr>
              <w:t>niami oraz formułowania zastrzeżeń</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zło</w:t>
            </w:r>
            <w:r w:rsidRPr="00FC6D7F">
              <w:rPr>
                <w:rFonts w:ascii="Times New Roman" w:hAnsi="Times New Roman"/>
                <w:noProof/>
                <w:sz w:val="24"/>
                <w:lang w:val="pl-PL"/>
              </w:rPr>
              <w:t>żonych kwestiach – na przykład</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dialogu między osobami młodymi</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dec</w:t>
            </w:r>
            <w:r w:rsidRPr="00FC6D7F">
              <w:rPr>
                <w:rFonts w:ascii="Times New Roman" w:hAnsi="Times New Roman"/>
                <w:noProof/>
                <w:sz w:val="24"/>
                <w:lang w:val="pl-PL"/>
              </w:rPr>
              <w:t>ydentami, dzięki zorganizowaniu dwóch unijnych dialogów młodzieżowych</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Kom</w:t>
            </w:r>
            <w:r w:rsidRPr="00FC6D7F">
              <w:rPr>
                <w:rFonts w:ascii="Times New Roman" w:hAnsi="Times New Roman"/>
                <w:noProof/>
                <w:sz w:val="24"/>
                <w:lang w:val="pl-PL"/>
              </w:rPr>
              <w:t>isją na temat zrównoważonej konsumpcji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zró</w:t>
            </w:r>
            <w:r w:rsidRPr="00FC6D7F">
              <w:rPr>
                <w:rFonts w:ascii="Times New Roman" w:hAnsi="Times New Roman"/>
                <w:noProof/>
                <w:sz w:val="24"/>
                <w:lang w:val="pl-PL"/>
              </w:rPr>
              <w:t>wnoważonej mobilności.</w:t>
            </w:r>
          </w:p>
          <w:p w14:paraId="5014CD2C" w14:textId="331E5E87" w:rsidR="00795C6F" w:rsidRPr="00795C6F" w:rsidRDefault="009033D8" w:rsidP="00795C6F">
            <w:pPr>
              <w:numPr>
                <w:ilvl w:val="0"/>
                <w:numId w:val="1"/>
              </w:numPr>
              <w:spacing w:line="276" w:lineRule="auto"/>
              <w:ind w:left="485" w:hanging="425"/>
              <w:contextualSpacing/>
              <w:jc w:val="both"/>
              <w:rPr>
                <w:rFonts w:ascii="Times New Roman" w:eastAsia="Calibri" w:hAnsi="Times New Roman" w:cs="Times New Roman"/>
                <w:noProof/>
                <w:sz w:val="24"/>
              </w:rPr>
            </w:pPr>
            <w:r w:rsidRPr="00FC6D7F">
              <w:rPr>
                <w:rFonts w:ascii="Times New Roman" w:hAnsi="Times New Roman"/>
                <w:b/>
                <w:noProof/>
                <w:sz w:val="24"/>
                <w:lang w:val="pl-PL"/>
              </w:rPr>
              <w:t>Unijny dialog młodzieżowy, wspierany przez program Erasmus+</w:t>
            </w:r>
            <w:r w:rsidRPr="00FC6D7F">
              <w:rPr>
                <w:rFonts w:ascii="Times New Roman" w:hAnsi="Times New Roman"/>
                <w:noProof/>
                <w:sz w:val="24"/>
                <w:lang w:val="pl-PL"/>
              </w:rPr>
              <w:t>, odegrał zasadniczą rolę we wspieraniu uczestnictwa osób młodych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pro</w:t>
            </w:r>
            <w:r w:rsidRPr="00FC6D7F">
              <w:rPr>
                <w:rFonts w:ascii="Times New Roman" w:hAnsi="Times New Roman"/>
                <w:noProof/>
                <w:sz w:val="24"/>
                <w:lang w:val="pl-PL"/>
              </w:rPr>
              <w:t>cesach decyzyjnych oraz</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opr</w:t>
            </w:r>
            <w:r w:rsidRPr="00FC6D7F">
              <w:rPr>
                <w:rFonts w:ascii="Times New Roman" w:hAnsi="Times New Roman"/>
                <w:noProof/>
                <w:sz w:val="24"/>
                <w:lang w:val="pl-PL"/>
              </w:rPr>
              <w:t>acowywaniu polityki publicznej</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dro</w:t>
            </w:r>
            <w:r w:rsidRPr="00FC6D7F">
              <w:rPr>
                <w:rFonts w:ascii="Times New Roman" w:hAnsi="Times New Roman"/>
                <w:noProof/>
                <w:sz w:val="24"/>
                <w:lang w:val="pl-PL"/>
              </w:rPr>
              <w:t>dze konsultacji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wym</w:t>
            </w:r>
            <w:r w:rsidRPr="00FC6D7F">
              <w:rPr>
                <w:rFonts w:ascii="Times New Roman" w:hAnsi="Times New Roman"/>
                <w:noProof/>
                <w:sz w:val="24"/>
                <w:lang w:val="pl-PL"/>
              </w:rPr>
              <w:t xml:space="preserve">iany opinii. Jest to sztandarowy instrument strategii UE na rzecz młodzieży, który stał się także głównym elementem Europejskiego Roku Młodzieży 2022. </w:t>
            </w:r>
            <w:r w:rsidRPr="00FC6D7F">
              <w:rPr>
                <w:rFonts w:ascii="Times New Roman" w:hAnsi="Times New Roman"/>
                <w:b/>
                <w:noProof/>
                <w:sz w:val="24"/>
                <w:lang w:val="pl-PL"/>
              </w:rPr>
              <w:t>Erasmus+</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Eur</w:t>
            </w:r>
            <w:r w:rsidRPr="00FC6D7F">
              <w:rPr>
                <w:rFonts w:ascii="Times New Roman" w:hAnsi="Times New Roman"/>
                <w:b/>
                <w:noProof/>
                <w:sz w:val="24"/>
                <w:lang w:val="pl-PL"/>
              </w:rPr>
              <w:t>opejski Korpus Solidarności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dal</w:t>
            </w:r>
            <w:r w:rsidRPr="00FC6D7F">
              <w:rPr>
                <w:rFonts w:ascii="Times New Roman" w:hAnsi="Times New Roman"/>
                <w:noProof/>
                <w:sz w:val="24"/>
                <w:lang w:val="pl-PL"/>
              </w:rPr>
              <w:t>szym ciągu przyczyniają się do umacniania tożsamości europejskiej</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bud</w:t>
            </w:r>
            <w:r w:rsidRPr="00FC6D7F">
              <w:rPr>
                <w:rFonts w:ascii="Times New Roman" w:hAnsi="Times New Roman"/>
                <w:noProof/>
                <w:sz w:val="24"/>
                <w:lang w:val="pl-PL"/>
              </w:rPr>
              <w:t>owania postawy aktywnego obywatelstwa wśród osób młodych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stosownych działań</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cha</w:t>
            </w:r>
            <w:r w:rsidRPr="00FC6D7F">
              <w:rPr>
                <w:rFonts w:ascii="Times New Roman" w:hAnsi="Times New Roman"/>
                <w:noProof/>
                <w:sz w:val="24"/>
                <w:lang w:val="pl-PL"/>
              </w:rPr>
              <w:t>rakterze wolontariackim, edukacyjnym</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zaw</w:t>
            </w:r>
            <w:r w:rsidRPr="00FC6D7F">
              <w:rPr>
                <w:rFonts w:ascii="Times New Roman" w:hAnsi="Times New Roman"/>
                <w:noProof/>
                <w:sz w:val="24"/>
                <w:lang w:val="pl-PL"/>
              </w:rPr>
              <w:t xml:space="preserve">odowym. </w:t>
            </w:r>
            <w:r>
              <w:rPr>
                <w:rFonts w:ascii="Times New Roman" w:hAnsi="Times New Roman"/>
                <w:i/>
                <w:noProof/>
                <w:sz w:val="24"/>
              </w:rPr>
              <w:t>(aby uzyskać więcej informacji, zob. sprawozdanie s. 34)</w:t>
            </w:r>
          </w:p>
        </w:tc>
      </w:tr>
      <w:tr w:rsidR="00795C6F" w:rsidRPr="00D55672" w14:paraId="5322118F" w14:textId="77777777" w:rsidTr="00056C57">
        <w:tc>
          <w:tcPr>
            <w:tcW w:w="3256" w:type="dxa"/>
          </w:tcPr>
          <w:p w14:paraId="36B98B7E" w14:textId="1E32AB1F" w:rsidR="00795C6F" w:rsidRPr="00FC6D7F" w:rsidRDefault="00795C6F" w:rsidP="009033D8">
            <w:pPr>
              <w:spacing w:line="276" w:lineRule="auto"/>
              <w:jc w:val="both"/>
              <w:rPr>
                <w:rFonts w:ascii="Times New Roman" w:eastAsia="Calibri" w:hAnsi="Times New Roman" w:cs="Times New Roman"/>
                <w:noProof/>
                <w:sz w:val="24"/>
                <w:lang w:val="pl-PL"/>
              </w:rPr>
            </w:pPr>
            <w:r w:rsidRPr="00FC6D7F">
              <w:rPr>
                <w:rFonts w:ascii="Times New Roman" w:hAnsi="Times New Roman"/>
                <w:b/>
                <w:noProof/>
                <w:sz w:val="24"/>
                <w:lang w:val="pl-PL"/>
              </w:rPr>
              <w:t>5.</w:t>
            </w:r>
            <w:r w:rsidRPr="00FC6D7F">
              <w:rPr>
                <w:rFonts w:ascii="Times New Roman" w:hAnsi="Times New Roman"/>
                <w:noProof/>
                <w:sz w:val="24"/>
                <w:lang w:val="pl-PL"/>
              </w:rPr>
              <w:t xml:space="preserve"> Komisja będzie finansować konkretne działania lokalne, których celem jest wspieranie integracji obywateli Unii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spo</w:t>
            </w:r>
            <w:r w:rsidRPr="00FC6D7F">
              <w:rPr>
                <w:rFonts w:ascii="Times New Roman" w:hAnsi="Times New Roman"/>
                <w:noProof/>
                <w:sz w:val="24"/>
                <w:lang w:val="pl-PL"/>
              </w:rPr>
              <w:t>łeczeństwie UE, za pośrednictwem programu „Obywatele, równość, prawa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war</w:t>
            </w:r>
            <w:r w:rsidRPr="00FC6D7F">
              <w:rPr>
                <w:rFonts w:ascii="Times New Roman" w:hAnsi="Times New Roman"/>
                <w:noProof/>
                <w:sz w:val="24"/>
                <w:lang w:val="pl-PL"/>
              </w:rPr>
              <w:t>tości”.</w:t>
            </w:r>
          </w:p>
        </w:tc>
        <w:tc>
          <w:tcPr>
            <w:tcW w:w="6094" w:type="dxa"/>
          </w:tcPr>
          <w:p w14:paraId="5C632838" w14:textId="4D5663A0" w:rsidR="00795C6F" w:rsidRPr="00FC6D7F" w:rsidRDefault="00795C6F" w:rsidP="00795C6F">
            <w:pPr>
              <w:numPr>
                <w:ilvl w:val="0"/>
                <w:numId w:val="1"/>
              </w:numPr>
              <w:spacing w:line="276" w:lineRule="auto"/>
              <w:ind w:left="485" w:hanging="425"/>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 xml:space="preserve">W ramach komponentu programu CERV </w:t>
            </w:r>
            <w:r w:rsidRPr="00FC6D7F">
              <w:rPr>
                <w:rFonts w:ascii="Times New Roman" w:hAnsi="Times New Roman"/>
                <w:i/>
                <w:noProof/>
                <w:sz w:val="24"/>
                <w:lang w:val="pl-PL"/>
              </w:rPr>
              <w:t>„Zaangażowanie</w:t>
            </w:r>
            <w:r w:rsidR="00D55672" w:rsidRPr="00FC6D7F">
              <w:rPr>
                <w:rFonts w:ascii="Times New Roman" w:hAnsi="Times New Roman"/>
                <w:i/>
                <w:noProof/>
                <w:sz w:val="24"/>
                <w:lang w:val="pl-PL"/>
              </w:rPr>
              <w:t xml:space="preserve"> i</w:t>
            </w:r>
            <w:r w:rsidR="00D55672">
              <w:rPr>
                <w:rFonts w:ascii="Times New Roman" w:hAnsi="Times New Roman"/>
                <w:i/>
                <w:noProof/>
                <w:sz w:val="24"/>
                <w:lang w:val="pl-PL"/>
              </w:rPr>
              <w:t> </w:t>
            </w:r>
            <w:r w:rsidR="00D55672" w:rsidRPr="00FC6D7F">
              <w:rPr>
                <w:rFonts w:ascii="Times New Roman" w:hAnsi="Times New Roman"/>
                <w:i/>
                <w:noProof/>
                <w:sz w:val="24"/>
                <w:lang w:val="pl-PL"/>
              </w:rPr>
              <w:t>udz</w:t>
            </w:r>
            <w:r w:rsidRPr="00FC6D7F">
              <w:rPr>
                <w:rFonts w:ascii="Times New Roman" w:hAnsi="Times New Roman"/>
                <w:i/>
                <w:noProof/>
                <w:sz w:val="24"/>
                <w:lang w:val="pl-PL"/>
              </w:rPr>
              <w:t>iał obywateli”</w:t>
            </w:r>
            <w:r w:rsidRPr="00FC6D7F">
              <w:rPr>
                <w:rFonts w:ascii="Times New Roman" w:hAnsi="Times New Roman"/>
                <w:noProof/>
                <w:sz w:val="24"/>
                <w:lang w:val="pl-PL"/>
              </w:rPr>
              <w:t xml:space="preserve"> </w:t>
            </w:r>
            <w:r w:rsidRPr="00FC6D7F">
              <w:rPr>
                <w:rFonts w:ascii="Times New Roman" w:hAnsi="Times New Roman"/>
                <w:b/>
                <w:noProof/>
                <w:sz w:val="24"/>
                <w:lang w:val="pl-PL"/>
              </w:rPr>
              <w:t>„Sieć miast”</w:t>
            </w:r>
            <w:r w:rsidRPr="00FC6D7F">
              <w:rPr>
                <w:rFonts w:ascii="Times New Roman" w:hAnsi="Times New Roman"/>
                <w:noProof/>
                <w:sz w:val="24"/>
                <w:lang w:val="pl-PL"/>
              </w:rPr>
              <w:t xml:space="preserve"> obejmuje finansowanie działań mających na celu zwiększanie świadomości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pos</w:t>
            </w:r>
            <w:r w:rsidRPr="00FC6D7F">
              <w:rPr>
                <w:rFonts w:ascii="Times New Roman" w:hAnsi="Times New Roman"/>
                <w:noProof/>
                <w:sz w:val="24"/>
                <w:lang w:val="pl-PL"/>
              </w:rPr>
              <w:t>zerzanie wiedzy na temat praw wynikających</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oby</w:t>
            </w:r>
            <w:r w:rsidRPr="00FC6D7F">
              <w:rPr>
                <w:rFonts w:ascii="Times New Roman" w:hAnsi="Times New Roman"/>
                <w:noProof/>
                <w:sz w:val="24"/>
                <w:lang w:val="pl-PL"/>
              </w:rPr>
              <w:t>watelstwa Unii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ązanych</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nim</w:t>
            </w:r>
            <w:r w:rsidRPr="00FC6D7F">
              <w:rPr>
                <w:rFonts w:ascii="Times New Roman" w:hAnsi="Times New Roman"/>
                <w:noProof/>
                <w:sz w:val="24"/>
                <w:lang w:val="pl-PL"/>
              </w:rPr>
              <w:t>i wspólnych europejskich wartości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wsp</w:t>
            </w:r>
            <w:r w:rsidRPr="00FC6D7F">
              <w:rPr>
                <w:rFonts w:ascii="Times New Roman" w:hAnsi="Times New Roman"/>
                <w:noProof/>
                <w:sz w:val="24"/>
                <w:lang w:val="pl-PL"/>
              </w:rPr>
              <w:t>ólnych norm demokratycznych, zapewnianie udzielania informacji przemieszczającym się obywatelom UE,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osobom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pewnej sytuacji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oby</w:t>
            </w:r>
            <w:r w:rsidRPr="00FC6D7F">
              <w:rPr>
                <w:rFonts w:ascii="Times New Roman" w:hAnsi="Times New Roman"/>
                <w:noProof/>
                <w:sz w:val="24"/>
                <w:lang w:val="pl-PL"/>
              </w:rPr>
              <w:t>watelom Unii pochodzącym ze środowisk migracyjnych, oraz członkom ich rodzin,</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tak</w:t>
            </w:r>
            <w:r w:rsidRPr="00FC6D7F">
              <w:rPr>
                <w:rFonts w:ascii="Times New Roman" w:hAnsi="Times New Roman"/>
                <w:noProof/>
                <w:sz w:val="24"/>
                <w:lang w:val="pl-PL"/>
              </w:rPr>
              <w:t>że zachęcanie do włączenia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dem</w:t>
            </w:r>
            <w:r w:rsidRPr="00FC6D7F">
              <w:rPr>
                <w:rFonts w:ascii="Times New Roman" w:hAnsi="Times New Roman"/>
                <w:noProof/>
                <w:sz w:val="24"/>
                <w:lang w:val="pl-PL"/>
              </w:rPr>
              <w:t>okratycznego uczestnictwa przemieszczających się obywateli UE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gru</w:t>
            </w:r>
            <w:r w:rsidRPr="00FC6D7F">
              <w:rPr>
                <w:rFonts w:ascii="Times New Roman" w:hAnsi="Times New Roman"/>
                <w:noProof/>
                <w:sz w:val="24"/>
                <w:lang w:val="pl-PL"/>
              </w:rPr>
              <w:t xml:space="preserve">p niedostatecznie reprezentowanych. </w:t>
            </w:r>
          </w:p>
          <w:p w14:paraId="630ACF66" w14:textId="2EA0C065" w:rsidR="00795C6F" w:rsidRPr="00FC6D7F" w:rsidRDefault="00795C6F" w:rsidP="00795C6F">
            <w:pPr>
              <w:numPr>
                <w:ilvl w:val="0"/>
                <w:numId w:val="1"/>
              </w:numPr>
              <w:spacing w:line="276" w:lineRule="auto"/>
              <w:ind w:left="485" w:hanging="425"/>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 xml:space="preserve">W latach 2021–2023 ogłoszono różne zaproszenia do składania wniosków dotyczących </w:t>
            </w:r>
            <w:r w:rsidRPr="00FC6D7F">
              <w:rPr>
                <w:rFonts w:ascii="Times New Roman" w:hAnsi="Times New Roman"/>
                <w:b/>
                <w:noProof/>
                <w:sz w:val="24"/>
                <w:lang w:val="pl-PL"/>
              </w:rPr>
              <w:t>partnerstwa miast</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sie</w:t>
            </w:r>
            <w:r w:rsidRPr="00FC6D7F">
              <w:rPr>
                <w:rFonts w:ascii="Times New Roman" w:hAnsi="Times New Roman"/>
                <w:b/>
                <w:noProof/>
                <w:sz w:val="24"/>
                <w:lang w:val="pl-PL"/>
              </w:rPr>
              <w:t>ci miast</w:t>
            </w:r>
            <w:r w:rsidRPr="00FC6D7F">
              <w:rPr>
                <w:rFonts w:ascii="Times New Roman" w:hAnsi="Times New Roman"/>
                <w:noProof/>
                <w:sz w:val="24"/>
                <w:lang w:val="pl-PL"/>
              </w:rPr>
              <w:t>. Łączny budżet tych zaproszeń do składania wniosków</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lat</w:t>
            </w:r>
            <w:r w:rsidRPr="00FC6D7F">
              <w:rPr>
                <w:rFonts w:ascii="Times New Roman" w:hAnsi="Times New Roman"/>
                <w:noProof/>
                <w:sz w:val="24"/>
                <w:lang w:val="pl-PL"/>
              </w:rPr>
              <w:t>ach 2021–2023 wyniósł 26 mln EUR.</w:t>
            </w:r>
          </w:p>
          <w:p w14:paraId="072936A5" w14:textId="3F047315" w:rsidR="00795C6F" w:rsidRPr="00FC6D7F" w:rsidRDefault="00795C6F" w:rsidP="00795C6F">
            <w:pPr>
              <w:numPr>
                <w:ilvl w:val="0"/>
                <w:numId w:val="1"/>
              </w:numPr>
              <w:spacing w:line="276" w:lineRule="auto"/>
              <w:ind w:left="485" w:hanging="425"/>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Zakres działań realizowanych przez partnerów ramowych programu CERV działających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obs</w:t>
            </w:r>
            <w:r w:rsidRPr="00FC6D7F">
              <w:rPr>
                <w:rFonts w:ascii="Times New Roman" w:hAnsi="Times New Roman"/>
                <w:noProof/>
                <w:sz w:val="24"/>
                <w:lang w:val="pl-PL"/>
              </w:rPr>
              <w:t>zarze zaangażowania obywateli obejmuje działania wspierające włączenie przemieszczających się obywateli UE.</w:t>
            </w:r>
          </w:p>
        </w:tc>
      </w:tr>
      <w:bookmarkEnd w:id="2"/>
      <w:tr w:rsidR="00A638CE" w:rsidRPr="00D55672" w14:paraId="72BE8963" w14:textId="77777777" w:rsidTr="00056C57">
        <w:tc>
          <w:tcPr>
            <w:tcW w:w="3256" w:type="dxa"/>
          </w:tcPr>
          <w:p w14:paraId="0A65BD52" w14:textId="28E6FDAB" w:rsidR="00A638CE" w:rsidRPr="00FC6D7F" w:rsidRDefault="00A638CE" w:rsidP="00A638CE">
            <w:pPr>
              <w:spacing w:line="276" w:lineRule="auto"/>
              <w:jc w:val="both"/>
              <w:rPr>
                <w:rFonts w:ascii="Times New Roman" w:eastAsia="Calibri" w:hAnsi="Times New Roman" w:cs="Times New Roman"/>
                <w:noProof/>
                <w:sz w:val="24"/>
                <w:lang w:val="pl-PL"/>
              </w:rPr>
            </w:pPr>
            <w:r w:rsidRPr="00FC6D7F">
              <w:rPr>
                <w:rFonts w:ascii="Times New Roman" w:hAnsi="Times New Roman"/>
                <w:b/>
                <w:noProof/>
                <w:sz w:val="24"/>
                <w:lang w:val="pl-PL"/>
              </w:rPr>
              <w:t>6.</w:t>
            </w:r>
            <w:r w:rsidRPr="00FC6D7F">
              <w:rPr>
                <w:rFonts w:ascii="Times New Roman" w:hAnsi="Times New Roman"/>
                <w:noProof/>
                <w:sz w:val="24"/>
                <w:lang w:val="pl-PL"/>
              </w:rPr>
              <w:t xml:space="preserve"> Komisja będzie dążyć do zwiększenia na poziomie całej UE świadomości znaczenia, jakie uczestnictwo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kul</w:t>
            </w:r>
            <w:r w:rsidRPr="00FC6D7F">
              <w:rPr>
                <w:rFonts w:ascii="Times New Roman" w:hAnsi="Times New Roman"/>
                <w:noProof/>
                <w:sz w:val="24"/>
                <w:lang w:val="pl-PL"/>
              </w:rPr>
              <w:t>turze ma dla społeczeństwa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dem</w:t>
            </w:r>
            <w:r w:rsidRPr="00FC6D7F">
              <w:rPr>
                <w:rFonts w:ascii="Times New Roman" w:hAnsi="Times New Roman"/>
                <w:noProof/>
                <w:sz w:val="24"/>
                <w:lang w:val="pl-PL"/>
              </w:rPr>
              <w:t>okracji, poprzez ukierunkowane działania,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finansowanie.</w:t>
            </w:r>
          </w:p>
        </w:tc>
        <w:tc>
          <w:tcPr>
            <w:tcW w:w="6094" w:type="dxa"/>
          </w:tcPr>
          <w:p w14:paraId="1A92FD05" w14:textId="2AC8C252" w:rsidR="00A638CE" w:rsidRPr="00FC6D7F" w:rsidRDefault="00A638CE" w:rsidP="00A638CE">
            <w:pPr>
              <w:numPr>
                <w:ilvl w:val="0"/>
                <w:numId w:val="2"/>
              </w:numPr>
              <w:spacing w:line="276" w:lineRule="auto"/>
              <w:ind w:left="357" w:hanging="357"/>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W czerwcu 20</w:t>
            </w:r>
            <w:r w:rsidRPr="00D55672">
              <w:rPr>
                <w:rFonts w:ascii="Times New Roman" w:hAnsi="Times New Roman"/>
                <w:noProof/>
                <w:sz w:val="24"/>
                <w:lang w:val="pl-PL"/>
              </w:rPr>
              <w:t>23</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Komisja opublikowała sprawozdanie pt. „</w:t>
            </w:r>
            <w:r w:rsidRPr="00FC6D7F">
              <w:rPr>
                <w:rFonts w:ascii="Times New Roman" w:hAnsi="Times New Roman"/>
                <w:b/>
                <w:noProof/>
                <w:sz w:val="24"/>
                <w:lang w:val="pl-PL"/>
              </w:rPr>
              <w:t>Culture and Democracy – the evidence: how citizens’ participation in cultural activities enhances civic engagement, democracy and social cohesion” [„Kultura</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dem</w:t>
            </w:r>
            <w:r w:rsidRPr="00FC6D7F">
              <w:rPr>
                <w:rFonts w:ascii="Times New Roman" w:hAnsi="Times New Roman"/>
                <w:b/>
                <w:noProof/>
                <w:sz w:val="24"/>
                <w:lang w:val="pl-PL"/>
              </w:rPr>
              <w:t>okracja: dowody –</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jak</w:t>
            </w:r>
            <w:r w:rsidRPr="00FC6D7F">
              <w:rPr>
                <w:rFonts w:ascii="Times New Roman" w:hAnsi="Times New Roman"/>
                <w:b/>
                <w:noProof/>
                <w:sz w:val="24"/>
                <w:lang w:val="pl-PL"/>
              </w:rPr>
              <w:t>i sposób uczestnictwo obywateli</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dzi</w:t>
            </w:r>
            <w:r w:rsidRPr="00FC6D7F">
              <w:rPr>
                <w:rFonts w:ascii="Times New Roman" w:hAnsi="Times New Roman"/>
                <w:b/>
                <w:noProof/>
                <w:sz w:val="24"/>
                <w:lang w:val="pl-PL"/>
              </w:rPr>
              <w:t>ałaniach kulturalnych wzmacnia zaangażowanie obywatelskie, demokrację</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spó</w:t>
            </w:r>
            <w:r w:rsidRPr="00FC6D7F">
              <w:rPr>
                <w:rFonts w:ascii="Times New Roman" w:hAnsi="Times New Roman"/>
                <w:b/>
                <w:noProof/>
                <w:sz w:val="24"/>
                <w:lang w:val="pl-PL"/>
              </w:rPr>
              <w:t>jność społeczną”]</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awozdaniu wykazano, na podstawie międzynarodowych dowodów, że udział obywateli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dzi</w:t>
            </w:r>
            <w:r w:rsidRPr="00FC6D7F">
              <w:rPr>
                <w:rFonts w:ascii="Times New Roman" w:hAnsi="Times New Roman"/>
                <w:noProof/>
                <w:sz w:val="24"/>
                <w:lang w:val="pl-PL"/>
              </w:rPr>
              <w:t>ałalności kulturalnej jest wyraźnie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poz</w:t>
            </w:r>
            <w:r w:rsidRPr="00FC6D7F">
              <w:rPr>
                <w:rFonts w:ascii="Times New Roman" w:hAnsi="Times New Roman"/>
                <w:noProof/>
                <w:sz w:val="24"/>
                <w:lang w:val="pl-PL"/>
              </w:rPr>
              <w:t>ytywnie powiązany</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zaa</w:t>
            </w:r>
            <w:r w:rsidRPr="00FC6D7F">
              <w:rPr>
                <w:rFonts w:ascii="Times New Roman" w:hAnsi="Times New Roman"/>
                <w:noProof/>
                <w:sz w:val="24"/>
                <w:lang w:val="pl-PL"/>
              </w:rPr>
              <w:t>ngażowaniem obywatelskim, postawami demokratycznymi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spó</w:t>
            </w:r>
            <w:r w:rsidRPr="00FC6D7F">
              <w:rPr>
                <w:rFonts w:ascii="Times New Roman" w:hAnsi="Times New Roman"/>
                <w:noProof/>
                <w:sz w:val="24"/>
                <w:lang w:val="pl-PL"/>
              </w:rPr>
              <w:t>jnością społeczną. Ze sprawozdania wynika, że obywatele, którzy regularnie uczestniczą we włączających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zna</w:t>
            </w:r>
            <w:r w:rsidRPr="00FC6D7F">
              <w:rPr>
                <w:rFonts w:ascii="Times New Roman" w:hAnsi="Times New Roman"/>
                <w:noProof/>
                <w:sz w:val="24"/>
                <w:lang w:val="pl-PL"/>
              </w:rPr>
              <w:t>czących działaniach kulturalnych, są bardziej skłonni do głosowania, wolontariatu</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ucz</w:t>
            </w:r>
            <w:r w:rsidRPr="00FC6D7F">
              <w:rPr>
                <w:rFonts w:ascii="Times New Roman" w:hAnsi="Times New Roman"/>
                <w:noProof/>
                <w:sz w:val="24"/>
                <w:lang w:val="pl-PL"/>
              </w:rPr>
              <w:t>estnictwa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dzi</w:t>
            </w:r>
            <w:r w:rsidRPr="00FC6D7F">
              <w:rPr>
                <w:rFonts w:ascii="Times New Roman" w:hAnsi="Times New Roman"/>
                <w:noProof/>
                <w:sz w:val="24"/>
                <w:lang w:val="pl-PL"/>
              </w:rPr>
              <w:t>ałaniach, projektach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org</w:t>
            </w:r>
            <w:r w:rsidRPr="00FC6D7F">
              <w:rPr>
                <w:rFonts w:ascii="Times New Roman" w:hAnsi="Times New Roman"/>
                <w:noProof/>
                <w:sz w:val="24"/>
                <w:lang w:val="pl-PL"/>
              </w:rPr>
              <w:t>anizacjach społecznych</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awozdaniu przedstawiono wiele sposobów,</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jak</w:t>
            </w:r>
            <w:r w:rsidRPr="00FC6D7F">
              <w:rPr>
                <w:rFonts w:ascii="Times New Roman" w:hAnsi="Times New Roman"/>
                <w:noProof/>
                <w:sz w:val="24"/>
                <w:lang w:val="pl-PL"/>
              </w:rPr>
              <w:t>ie uczestnictwo obywateli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dzi</w:t>
            </w:r>
            <w:r w:rsidRPr="00FC6D7F">
              <w:rPr>
                <w:rFonts w:ascii="Times New Roman" w:hAnsi="Times New Roman"/>
                <w:noProof/>
                <w:sz w:val="24"/>
                <w:lang w:val="pl-PL"/>
              </w:rPr>
              <w:t>ałaniach kulturalnych oraz</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śro</w:t>
            </w:r>
            <w:r w:rsidRPr="00FC6D7F">
              <w:rPr>
                <w:rFonts w:ascii="Times New Roman" w:hAnsi="Times New Roman"/>
                <w:noProof/>
                <w:sz w:val="24"/>
                <w:lang w:val="pl-PL"/>
              </w:rPr>
              <w:t>dowiskach społecznych, które je wspierają, pomaga jednostkom</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spo</w:t>
            </w:r>
            <w:r w:rsidRPr="00FC6D7F">
              <w:rPr>
                <w:rFonts w:ascii="Times New Roman" w:hAnsi="Times New Roman"/>
                <w:noProof/>
                <w:sz w:val="24"/>
                <w:lang w:val="pl-PL"/>
              </w:rPr>
              <w:t>łecznościom angażować się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życ</w:t>
            </w:r>
            <w:r w:rsidRPr="00FC6D7F">
              <w:rPr>
                <w:rFonts w:ascii="Times New Roman" w:hAnsi="Times New Roman"/>
                <w:noProof/>
                <w:sz w:val="24"/>
                <w:lang w:val="pl-PL"/>
              </w:rPr>
              <w:t>ie obywatelskie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dem</w:t>
            </w:r>
            <w:r w:rsidRPr="00FC6D7F">
              <w:rPr>
                <w:rFonts w:ascii="Times New Roman" w:hAnsi="Times New Roman"/>
                <w:noProof/>
                <w:sz w:val="24"/>
                <w:lang w:val="pl-PL"/>
              </w:rPr>
              <w:t>okratyczne. Dokonano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nim</w:t>
            </w:r>
            <w:r w:rsidRPr="00FC6D7F">
              <w:rPr>
                <w:rFonts w:ascii="Times New Roman" w:hAnsi="Times New Roman"/>
                <w:noProof/>
                <w:sz w:val="24"/>
                <w:lang w:val="pl-PL"/>
              </w:rPr>
              <w:t xml:space="preserve"> przeglądu międzynarodowych dowodów</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temacie oraz przedstawiono kluczowe wnioski polityczne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ykłady skutecznych działań, jakie podjęto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kil</w:t>
            </w:r>
            <w:r w:rsidRPr="00FC6D7F">
              <w:rPr>
                <w:rFonts w:ascii="Times New Roman" w:hAnsi="Times New Roman"/>
                <w:noProof/>
                <w:sz w:val="24"/>
                <w:lang w:val="pl-PL"/>
              </w:rPr>
              <w:t>ku państwach członkowskich UE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poz</w:t>
            </w:r>
            <w:r w:rsidRPr="00FC6D7F">
              <w:rPr>
                <w:rFonts w:ascii="Times New Roman" w:hAnsi="Times New Roman"/>
                <w:noProof/>
                <w:sz w:val="24"/>
                <w:lang w:val="pl-PL"/>
              </w:rPr>
              <w:t>a nimi. Dowody nie pozostawiają wątpliwości, że inwestowanie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ucz</w:t>
            </w:r>
            <w:r w:rsidRPr="00FC6D7F">
              <w:rPr>
                <w:rFonts w:ascii="Times New Roman" w:hAnsi="Times New Roman"/>
                <w:noProof/>
                <w:sz w:val="24"/>
                <w:lang w:val="pl-PL"/>
              </w:rPr>
              <w:t>estnictwo obywateli we włączających działaniach kulturalnych ma zasadnicze znaczenie dla wszelkich starań na rzecz propagowania zaangażowania obywatelskiego, żywotności demokratycznej</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spó</w:t>
            </w:r>
            <w:r w:rsidRPr="00FC6D7F">
              <w:rPr>
                <w:rFonts w:ascii="Times New Roman" w:hAnsi="Times New Roman"/>
                <w:noProof/>
                <w:sz w:val="24"/>
                <w:lang w:val="pl-PL"/>
              </w:rPr>
              <w:t>jności społecznej w UE.</w:t>
            </w:r>
          </w:p>
          <w:p w14:paraId="1C0BFF97" w14:textId="41BB047A" w:rsidR="00A638CE" w:rsidRPr="00FC6D7F" w:rsidRDefault="00A638CE" w:rsidP="00A638CE">
            <w:pPr>
              <w:numPr>
                <w:ilvl w:val="0"/>
                <w:numId w:val="2"/>
              </w:numPr>
              <w:spacing w:line="276" w:lineRule="auto"/>
              <w:ind w:left="357" w:hanging="357"/>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Plan prac Rady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dzi</w:t>
            </w:r>
            <w:r w:rsidRPr="00FC6D7F">
              <w:rPr>
                <w:rFonts w:ascii="Times New Roman" w:hAnsi="Times New Roman"/>
                <w:noProof/>
                <w:sz w:val="24"/>
                <w:lang w:val="pl-PL"/>
              </w:rPr>
              <w:t>edzinie kultury na lata 2023–2026 (przyjęty pod koniec listopada 20</w:t>
            </w:r>
            <w:r w:rsidRPr="00D55672">
              <w:rPr>
                <w:rFonts w:ascii="Times New Roman" w:hAnsi="Times New Roman"/>
                <w:noProof/>
                <w:sz w:val="24"/>
                <w:lang w:val="pl-PL"/>
              </w:rPr>
              <w:t>22</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tematu priorytetowego „Kultura na rzecz ludzi: zwiększanie uczestnictwa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kul</w:t>
            </w:r>
            <w:r w:rsidRPr="00FC6D7F">
              <w:rPr>
                <w:rFonts w:ascii="Times New Roman" w:hAnsi="Times New Roman"/>
                <w:noProof/>
                <w:sz w:val="24"/>
                <w:lang w:val="pl-PL"/>
              </w:rPr>
              <w:t>turze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rol</w:t>
            </w:r>
            <w:r w:rsidRPr="00FC6D7F">
              <w:rPr>
                <w:rFonts w:ascii="Times New Roman" w:hAnsi="Times New Roman"/>
                <w:noProof/>
                <w:sz w:val="24"/>
                <w:lang w:val="pl-PL"/>
              </w:rPr>
              <w:t>i kultury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spo</w:t>
            </w:r>
            <w:r w:rsidRPr="00FC6D7F">
              <w:rPr>
                <w:rFonts w:ascii="Times New Roman" w:hAnsi="Times New Roman"/>
                <w:noProof/>
                <w:sz w:val="24"/>
                <w:lang w:val="pl-PL"/>
              </w:rPr>
              <w:t xml:space="preserve">łeczeństwie” obejmuje </w:t>
            </w:r>
            <w:r w:rsidRPr="00FC6D7F">
              <w:rPr>
                <w:rFonts w:ascii="Times New Roman" w:hAnsi="Times New Roman"/>
                <w:b/>
                <w:noProof/>
                <w:sz w:val="24"/>
                <w:lang w:val="pl-PL"/>
              </w:rPr>
              <w:t>działanie „Kultura</w:t>
            </w:r>
            <w:r w:rsidR="00D55672" w:rsidRPr="00FC6D7F">
              <w:rPr>
                <w:rFonts w:ascii="Times New Roman" w:hAnsi="Times New Roman"/>
                <w:b/>
                <w:noProof/>
                <w:sz w:val="24"/>
                <w:lang w:val="pl-PL"/>
              </w:rPr>
              <w:t xml:space="preserve"> a</w:t>
            </w:r>
            <w:r w:rsidR="00D55672">
              <w:rPr>
                <w:rFonts w:ascii="Times New Roman" w:hAnsi="Times New Roman"/>
                <w:b/>
                <w:noProof/>
                <w:sz w:val="24"/>
                <w:lang w:val="pl-PL"/>
              </w:rPr>
              <w:t> </w:t>
            </w:r>
            <w:r w:rsidR="00D55672" w:rsidRPr="00FC6D7F">
              <w:rPr>
                <w:rFonts w:ascii="Times New Roman" w:hAnsi="Times New Roman"/>
                <w:b/>
                <w:noProof/>
                <w:sz w:val="24"/>
                <w:lang w:val="pl-PL"/>
              </w:rPr>
              <w:t>pro</w:t>
            </w:r>
            <w:r w:rsidRPr="00FC6D7F">
              <w:rPr>
                <w:rFonts w:ascii="Times New Roman" w:hAnsi="Times New Roman"/>
                <w:b/>
                <w:noProof/>
                <w:sz w:val="24"/>
                <w:lang w:val="pl-PL"/>
              </w:rPr>
              <w:t>mowanie demokracji: ku obywatelstwu kulturalnemu</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Eur</w:t>
            </w:r>
            <w:r w:rsidRPr="00FC6D7F">
              <w:rPr>
                <w:rFonts w:ascii="Times New Roman" w:hAnsi="Times New Roman"/>
                <w:b/>
                <w:noProof/>
                <w:sz w:val="24"/>
                <w:lang w:val="pl-PL"/>
              </w:rPr>
              <w:t>opi</w:t>
            </w:r>
            <w:r w:rsidR="00D55672" w:rsidRPr="00FC6D7F">
              <w:rPr>
                <w:rFonts w:ascii="Times New Roman" w:hAnsi="Times New Roman"/>
                <w:b/>
                <w:noProof/>
                <w:sz w:val="24"/>
                <w:lang w:val="pl-PL"/>
              </w:rPr>
              <w:t>e</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kontekście oczekuje się wzajemnego uczenia się</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ewe</w:t>
            </w:r>
            <w:r w:rsidRPr="00FC6D7F">
              <w:rPr>
                <w:rFonts w:ascii="Times New Roman" w:hAnsi="Times New Roman"/>
                <w:noProof/>
                <w:sz w:val="24"/>
                <w:lang w:val="pl-PL"/>
              </w:rPr>
              <w:t>ntualnej konferencji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udz</w:t>
            </w:r>
            <w:r w:rsidRPr="00FC6D7F">
              <w:rPr>
                <w:rFonts w:ascii="Times New Roman" w:hAnsi="Times New Roman"/>
                <w:noProof/>
                <w:sz w:val="24"/>
                <w:lang w:val="pl-PL"/>
              </w:rPr>
              <w:t>iałem decydentów</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sto</w:t>
            </w:r>
            <w:r w:rsidRPr="00FC6D7F">
              <w:rPr>
                <w:rFonts w:ascii="Times New Roman" w:hAnsi="Times New Roman"/>
                <w:noProof/>
                <w:sz w:val="24"/>
                <w:lang w:val="pl-PL"/>
              </w:rPr>
              <w:t>sownych zainteresowanych stron</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sek</w:t>
            </w:r>
            <w:r w:rsidRPr="00FC6D7F">
              <w:rPr>
                <w:rFonts w:ascii="Times New Roman" w:hAnsi="Times New Roman"/>
                <w:noProof/>
                <w:sz w:val="24"/>
                <w:lang w:val="pl-PL"/>
              </w:rPr>
              <w:t>tora kultury</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sek</w:t>
            </w:r>
            <w:r w:rsidRPr="00FC6D7F">
              <w:rPr>
                <w:rFonts w:ascii="Times New Roman" w:hAnsi="Times New Roman"/>
                <w:noProof/>
                <w:sz w:val="24"/>
                <w:lang w:val="pl-PL"/>
              </w:rPr>
              <w:t>tora edukacji.</w:t>
            </w:r>
          </w:p>
          <w:p w14:paraId="7ECE603E" w14:textId="77777777" w:rsidR="00EA5A5F" w:rsidRPr="00FC6D7F" w:rsidRDefault="00EA5A5F" w:rsidP="00EA5A5F">
            <w:pPr>
              <w:spacing w:line="276" w:lineRule="auto"/>
              <w:contextualSpacing/>
              <w:jc w:val="both"/>
              <w:rPr>
                <w:rFonts w:ascii="Times New Roman" w:eastAsia="Calibri" w:hAnsi="Times New Roman" w:cs="Times New Roman"/>
                <w:noProof/>
                <w:sz w:val="24"/>
                <w:lang w:val="pl-PL"/>
              </w:rPr>
            </w:pPr>
          </w:p>
          <w:p w14:paraId="0CE487EC" w14:textId="77777777" w:rsidR="00EA5A5F" w:rsidRPr="00FC6D7F" w:rsidRDefault="00EA5A5F" w:rsidP="00EA5A5F">
            <w:pPr>
              <w:spacing w:line="276" w:lineRule="auto"/>
              <w:contextualSpacing/>
              <w:jc w:val="both"/>
              <w:rPr>
                <w:rFonts w:ascii="Times New Roman" w:eastAsia="Calibri" w:hAnsi="Times New Roman" w:cs="Times New Roman"/>
                <w:noProof/>
                <w:sz w:val="24"/>
                <w:lang w:val="pl-PL"/>
              </w:rPr>
            </w:pPr>
          </w:p>
          <w:p w14:paraId="7C1CAA4F" w14:textId="0C61541D" w:rsidR="00EA5A5F" w:rsidRPr="00FC6D7F" w:rsidRDefault="00EA5A5F" w:rsidP="00EA5A5F">
            <w:pPr>
              <w:spacing w:line="276" w:lineRule="auto"/>
              <w:contextualSpacing/>
              <w:jc w:val="both"/>
              <w:rPr>
                <w:rFonts w:ascii="Times New Roman" w:eastAsia="Calibri" w:hAnsi="Times New Roman" w:cs="Times New Roman"/>
                <w:noProof/>
                <w:sz w:val="24"/>
                <w:lang w:val="pl-PL"/>
              </w:rPr>
            </w:pPr>
          </w:p>
        </w:tc>
      </w:tr>
      <w:tr w:rsidR="00A638CE" w:rsidRPr="00D55672" w14:paraId="1CB75D6F" w14:textId="77777777" w:rsidTr="00A638CE">
        <w:tc>
          <w:tcPr>
            <w:tcW w:w="9350" w:type="dxa"/>
            <w:gridSpan w:val="2"/>
            <w:shd w:val="clear" w:color="auto" w:fill="FFC000"/>
          </w:tcPr>
          <w:p w14:paraId="480C58CC" w14:textId="18617EFA" w:rsidR="00A638CE" w:rsidRPr="00FC6D7F" w:rsidRDefault="00A638CE" w:rsidP="00A638CE">
            <w:pPr>
              <w:jc w:val="center"/>
              <w:rPr>
                <w:rFonts w:ascii="Times New Roman" w:eastAsia="Calibri" w:hAnsi="Times New Roman" w:cs="Times New Roman"/>
                <w:b/>
                <w:noProof/>
                <w:sz w:val="24"/>
                <w:lang w:val="pl-PL"/>
              </w:rPr>
            </w:pPr>
            <w:r w:rsidRPr="00FC6D7F">
              <w:rPr>
                <w:rFonts w:ascii="Times New Roman" w:hAnsi="Times New Roman"/>
                <w:b/>
                <w:noProof/>
                <w:sz w:val="24"/>
                <w:lang w:val="pl-PL"/>
              </w:rPr>
              <w:t>Ułatwianie korzystania</w:t>
            </w:r>
            <w:r w:rsidR="00D55672" w:rsidRPr="00FC6D7F">
              <w:rPr>
                <w:rFonts w:ascii="Times New Roman" w:hAnsi="Times New Roman"/>
                <w:b/>
                <w:noProof/>
                <w:sz w:val="24"/>
                <w:lang w:val="pl-PL"/>
              </w:rPr>
              <w:t xml:space="preserve"> z</w:t>
            </w:r>
            <w:r w:rsidR="00D55672">
              <w:rPr>
                <w:rFonts w:ascii="Times New Roman" w:hAnsi="Times New Roman"/>
                <w:b/>
                <w:noProof/>
                <w:sz w:val="24"/>
                <w:lang w:val="pl-PL"/>
              </w:rPr>
              <w:t> </w:t>
            </w:r>
            <w:r w:rsidR="00D55672" w:rsidRPr="00FC6D7F">
              <w:rPr>
                <w:rFonts w:ascii="Times New Roman" w:hAnsi="Times New Roman"/>
                <w:b/>
                <w:noProof/>
                <w:sz w:val="24"/>
                <w:lang w:val="pl-PL"/>
              </w:rPr>
              <w:t>pra</w:t>
            </w:r>
            <w:r w:rsidRPr="00FC6D7F">
              <w:rPr>
                <w:rFonts w:ascii="Times New Roman" w:hAnsi="Times New Roman"/>
                <w:b/>
                <w:noProof/>
                <w:sz w:val="24"/>
                <w:lang w:val="pl-PL"/>
              </w:rPr>
              <w:t>wa do swobodnego przemieszczania się</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upr</w:t>
            </w:r>
            <w:r w:rsidRPr="00FC6D7F">
              <w:rPr>
                <w:rFonts w:ascii="Times New Roman" w:hAnsi="Times New Roman"/>
                <w:b/>
                <w:noProof/>
                <w:sz w:val="24"/>
                <w:lang w:val="pl-PL"/>
              </w:rPr>
              <w:t>aszczanie codziennego życia</w:t>
            </w:r>
          </w:p>
        </w:tc>
      </w:tr>
      <w:tr w:rsidR="00A638CE" w:rsidRPr="00D55672" w14:paraId="27F3341C" w14:textId="77777777" w:rsidTr="00380C4B">
        <w:tc>
          <w:tcPr>
            <w:tcW w:w="9350" w:type="dxa"/>
            <w:gridSpan w:val="2"/>
          </w:tcPr>
          <w:p w14:paraId="5A7A7BFB" w14:textId="5FF1A5E6" w:rsidR="00A638CE" w:rsidRPr="00FC6D7F" w:rsidRDefault="00A638CE" w:rsidP="00A638CE">
            <w:pPr>
              <w:jc w:val="center"/>
              <w:rPr>
                <w:rFonts w:ascii="Times New Roman" w:eastAsia="Calibri" w:hAnsi="Times New Roman" w:cs="Times New Roman"/>
                <w:noProof/>
                <w:sz w:val="24"/>
                <w:lang w:val="pl-PL"/>
              </w:rPr>
            </w:pPr>
            <w:r w:rsidRPr="00FC6D7F">
              <w:rPr>
                <w:rFonts w:ascii="Times New Roman" w:hAnsi="Times New Roman"/>
                <w:i/>
                <w:noProof/>
                <w:sz w:val="24"/>
                <w:lang w:val="pl-PL"/>
              </w:rPr>
              <w:t>Większa pewność prawa przy korzystaniu</w:t>
            </w:r>
            <w:r w:rsidR="00D55672" w:rsidRPr="00FC6D7F">
              <w:rPr>
                <w:rFonts w:ascii="Times New Roman" w:hAnsi="Times New Roman"/>
                <w:i/>
                <w:noProof/>
                <w:sz w:val="24"/>
                <w:lang w:val="pl-PL"/>
              </w:rPr>
              <w:t xml:space="preserve"> z</w:t>
            </w:r>
            <w:r w:rsidR="00D55672">
              <w:rPr>
                <w:rFonts w:ascii="Times New Roman" w:hAnsi="Times New Roman"/>
                <w:i/>
                <w:noProof/>
                <w:sz w:val="24"/>
                <w:lang w:val="pl-PL"/>
              </w:rPr>
              <w:t> </w:t>
            </w:r>
            <w:r w:rsidR="00D55672" w:rsidRPr="00FC6D7F">
              <w:rPr>
                <w:rFonts w:ascii="Times New Roman" w:hAnsi="Times New Roman"/>
                <w:i/>
                <w:noProof/>
                <w:sz w:val="24"/>
                <w:lang w:val="pl-PL"/>
              </w:rPr>
              <w:t>pra</w:t>
            </w:r>
            <w:r w:rsidRPr="00FC6D7F">
              <w:rPr>
                <w:rFonts w:ascii="Times New Roman" w:hAnsi="Times New Roman"/>
                <w:i/>
                <w:noProof/>
                <w:sz w:val="24"/>
                <w:lang w:val="pl-PL"/>
              </w:rPr>
              <w:t>wa do swobodnego przemieszczania się</w:t>
            </w:r>
          </w:p>
        </w:tc>
      </w:tr>
      <w:tr w:rsidR="00A638CE" w14:paraId="728FB2F8" w14:textId="77777777" w:rsidTr="00056C57">
        <w:tc>
          <w:tcPr>
            <w:tcW w:w="3256" w:type="dxa"/>
          </w:tcPr>
          <w:p w14:paraId="1E9E8FD7" w14:textId="79F3E0E4" w:rsidR="00A638CE" w:rsidRPr="00FC6D7F" w:rsidRDefault="00A638CE" w:rsidP="00A638CE">
            <w:pPr>
              <w:spacing w:line="276" w:lineRule="auto"/>
              <w:jc w:val="both"/>
              <w:rPr>
                <w:rFonts w:ascii="Times New Roman" w:eastAsia="Calibri" w:hAnsi="Times New Roman" w:cs="Times New Roman"/>
                <w:noProof/>
                <w:sz w:val="24"/>
                <w:lang w:val="pl-PL"/>
              </w:rPr>
            </w:pPr>
            <w:r w:rsidRPr="00FC6D7F">
              <w:rPr>
                <w:rFonts w:ascii="Times New Roman" w:hAnsi="Times New Roman"/>
                <w:b/>
                <w:noProof/>
                <w:sz w:val="24"/>
                <w:lang w:val="pl-PL"/>
              </w:rPr>
              <w:t>7.</w:t>
            </w:r>
            <w:r w:rsidRPr="00FC6D7F">
              <w:rPr>
                <w:rFonts w:ascii="Times New Roman" w:hAnsi="Times New Roman"/>
                <w:noProof/>
                <w:sz w:val="24"/>
                <w:lang w:val="pl-PL"/>
              </w:rPr>
              <w:t xml:space="preserve"> W 20</w:t>
            </w:r>
            <w:r w:rsidRPr="00D55672">
              <w:rPr>
                <w:rFonts w:ascii="Times New Roman" w:hAnsi="Times New Roman"/>
                <w:noProof/>
                <w:sz w:val="24"/>
                <w:lang w:val="pl-PL"/>
              </w:rPr>
              <w:t>22</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Komisja podejmie działania na rzecz zwiększenia pewności prawa dla obywateli Unii korzystających</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ysługującego im prawa do swobodnego przemieszczania się oraz dla administracji krajowych, dokonując aktualizacji unijnych wytycznych dotyczących swobodnego przemieszczania się</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0</w:t>
            </w:r>
            <w:r w:rsidRPr="00D55672">
              <w:rPr>
                <w:rFonts w:ascii="Times New Roman" w:hAnsi="Times New Roman"/>
                <w:noProof/>
                <w:sz w:val="24"/>
                <w:lang w:val="pl-PL"/>
              </w:rPr>
              <w:t>09</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Zaktualizowane wytyczne uwzględnią różnorodność rodzin (rodziny tęczowe), stosowanie szczególnych środków, np. ze względów zdrowia publicznego,</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tak</w:t>
            </w:r>
            <w:r w:rsidRPr="00FC6D7F">
              <w:rPr>
                <w:rFonts w:ascii="Times New Roman" w:hAnsi="Times New Roman"/>
                <w:noProof/>
                <w:sz w:val="24"/>
                <w:lang w:val="pl-PL"/>
              </w:rPr>
              <w:t>że odpowiednie wyroki Trybunału Sprawiedliwości.</w:t>
            </w:r>
          </w:p>
        </w:tc>
        <w:tc>
          <w:tcPr>
            <w:tcW w:w="6094" w:type="dxa"/>
          </w:tcPr>
          <w:p w14:paraId="4400ECF8" w14:textId="2D42ADDD" w:rsidR="00A638CE" w:rsidRPr="00056C57" w:rsidRDefault="00A638CE" w:rsidP="00A638CE">
            <w:pPr>
              <w:numPr>
                <w:ilvl w:val="0"/>
                <w:numId w:val="1"/>
              </w:numPr>
              <w:spacing w:line="276" w:lineRule="auto"/>
              <w:ind w:left="419" w:hanging="357"/>
              <w:contextualSpacing/>
              <w:jc w:val="both"/>
              <w:rPr>
                <w:rFonts w:ascii="Times New Roman" w:eastAsia="Calibri" w:hAnsi="Times New Roman" w:cs="Times New Roman"/>
                <w:noProof/>
                <w:sz w:val="24"/>
              </w:rPr>
            </w:pPr>
            <w:r w:rsidRPr="00FC6D7F">
              <w:rPr>
                <w:rFonts w:ascii="Times New Roman" w:hAnsi="Times New Roman"/>
                <w:noProof/>
                <w:sz w:val="24"/>
                <w:lang w:val="pl-PL"/>
              </w:rPr>
              <w:t>Dążąc do zwiększenia pewności prawa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uła</w:t>
            </w:r>
            <w:r w:rsidRPr="00FC6D7F">
              <w:rPr>
                <w:rFonts w:ascii="Times New Roman" w:hAnsi="Times New Roman"/>
                <w:noProof/>
                <w:sz w:val="24"/>
                <w:lang w:val="pl-PL"/>
              </w:rPr>
              <w:t>twienia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ktyce stosowania obowiązującego dorobku prawnego UE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swobodnego przemieszczania się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cał</w:t>
            </w:r>
            <w:r w:rsidRPr="00FC6D7F">
              <w:rPr>
                <w:rFonts w:ascii="Times New Roman" w:hAnsi="Times New Roman"/>
                <w:noProof/>
                <w:sz w:val="24"/>
                <w:lang w:val="pl-PL"/>
              </w:rPr>
              <w:t xml:space="preserve">ej UE, Komisja przyjmuje </w:t>
            </w:r>
            <w:r w:rsidRPr="00FC6D7F">
              <w:rPr>
                <w:rFonts w:ascii="Times New Roman" w:hAnsi="Times New Roman"/>
                <w:b/>
                <w:noProof/>
                <w:sz w:val="24"/>
                <w:lang w:val="pl-PL"/>
              </w:rPr>
              <w:t>przegląd komunikatu</w:t>
            </w:r>
            <w:r w:rsidR="00D55672" w:rsidRPr="00FC6D7F">
              <w:rPr>
                <w:rFonts w:ascii="Times New Roman" w:hAnsi="Times New Roman"/>
                <w:b/>
                <w:noProof/>
                <w:sz w:val="24"/>
                <w:lang w:val="pl-PL"/>
              </w:rPr>
              <w:t xml:space="preserve"> z</w:t>
            </w:r>
            <w:r w:rsidR="00D55672">
              <w:rPr>
                <w:rFonts w:ascii="Times New Roman" w:hAnsi="Times New Roman"/>
                <w:b/>
                <w:noProof/>
                <w:sz w:val="24"/>
                <w:lang w:val="pl-PL"/>
              </w:rPr>
              <w:t> </w:t>
            </w:r>
            <w:r w:rsidR="00D55672" w:rsidRPr="00FC6D7F">
              <w:rPr>
                <w:rFonts w:ascii="Times New Roman" w:hAnsi="Times New Roman"/>
                <w:b/>
                <w:noProof/>
                <w:sz w:val="24"/>
                <w:lang w:val="pl-PL"/>
              </w:rPr>
              <w:t>2</w:t>
            </w:r>
            <w:r w:rsidRPr="00FC6D7F">
              <w:rPr>
                <w:rFonts w:ascii="Times New Roman" w:hAnsi="Times New Roman"/>
                <w:b/>
                <w:noProof/>
                <w:sz w:val="24"/>
                <w:lang w:val="pl-PL"/>
              </w:rPr>
              <w:t>0</w:t>
            </w:r>
            <w:r w:rsidRPr="00D55672">
              <w:rPr>
                <w:rFonts w:ascii="Times New Roman" w:hAnsi="Times New Roman"/>
                <w:b/>
                <w:noProof/>
                <w:sz w:val="24"/>
                <w:lang w:val="pl-PL"/>
              </w:rPr>
              <w:t>09</w:t>
            </w:r>
            <w:r w:rsidR="00D55672" w:rsidRPr="00D55672">
              <w:rPr>
                <w:rFonts w:ascii="Times New Roman" w:hAnsi="Times New Roman"/>
                <w:b/>
                <w:noProof/>
                <w:sz w:val="24"/>
                <w:lang w:val="pl-PL"/>
              </w:rPr>
              <w:t> </w:t>
            </w:r>
            <w:r w:rsidRPr="00D55672">
              <w:rPr>
                <w:rFonts w:ascii="Times New Roman" w:hAnsi="Times New Roman"/>
                <w:b/>
                <w:noProof/>
                <w:sz w:val="24"/>
                <w:lang w:val="pl-PL"/>
              </w:rPr>
              <w:t>r.</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spr</w:t>
            </w:r>
            <w:r w:rsidRPr="00FC6D7F">
              <w:rPr>
                <w:rFonts w:ascii="Times New Roman" w:hAnsi="Times New Roman"/>
                <w:b/>
                <w:noProof/>
                <w:sz w:val="24"/>
                <w:lang w:val="pl-PL"/>
              </w:rPr>
              <w:t>awie wytycznych</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cel</w:t>
            </w:r>
            <w:r w:rsidRPr="00FC6D7F">
              <w:rPr>
                <w:rFonts w:ascii="Times New Roman" w:hAnsi="Times New Roman"/>
                <w:b/>
                <w:noProof/>
                <w:sz w:val="24"/>
                <w:lang w:val="pl-PL"/>
              </w:rPr>
              <w:t>u skuteczniejszej transpozycji</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sto</w:t>
            </w:r>
            <w:r w:rsidRPr="00FC6D7F">
              <w:rPr>
                <w:rFonts w:ascii="Times New Roman" w:hAnsi="Times New Roman"/>
                <w:b/>
                <w:noProof/>
                <w:sz w:val="24"/>
                <w:lang w:val="pl-PL"/>
              </w:rPr>
              <w:t>sowania dyrektywy 2004/38/WE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„pakietu dotyczącego obywatelstwa”. Zaktualizowane wytyczne zawierają interpretacje prawne, praktyczne wskazówki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ykłady kluczowych kwestii. Mają one na celu zagwarantowanie bardziej skutecznego</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jed</w:t>
            </w:r>
            <w:r w:rsidRPr="00FC6D7F">
              <w:rPr>
                <w:rFonts w:ascii="Times New Roman" w:hAnsi="Times New Roman"/>
                <w:noProof/>
                <w:sz w:val="24"/>
                <w:lang w:val="pl-PL"/>
              </w:rPr>
              <w:t>nolitego stosowania przepisów dotyczących swobodnego przemieszczania się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cał</w:t>
            </w:r>
            <w:r w:rsidRPr="00FC6D7F">
              <w:rPr>
                <w:rFonts w:ascii="Times New Roman" w:hAnsi="Times New Roman"/>
                <w:noProof/>
                <w:sz w:val="24"/>
                <w:lang w:val="pl-PL"/>
              </w:rPr>
              <w:t>ej UE. Uwzględniono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nic</w:t>
            </w:r>
            <w:r w:rsidRPr="00FC6D7F">
              <w:rPr>
                <w:rFonts w:ascii="Times New Roman" w:hAnsi="Times New Roman"/>
                <w:noProof/>
                <w:sz w:val="24"/>
                <w:lang w:val="pl-PL"/>
              </w:rPr>
              <w:t xml:space="preserve">h odpowiednie orzecznictwo Trybunału Sprawiedliwości wydane </w:t>
            </w:r>
            <w:r w:rsidRPr="00D55672">
              <w:rPr>
                <w:rFonts w:ascii="Times New Roman" w:hAnsi="Times New Roman"/>
                <w:noProof/>
                <w:sz w:val="24"/>
                <w:lang w:val="pl-PL"/>
              </w:rPr>
              <w:t>od</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w:t>
            </w:r>
            <w:r w:rsidRPr="00D55672">
              <w:rPr>
                <w:rFonts w:ascii="Times New Roman" w:hAnsi="Times New Roman"/>
                <w:noProof/>
                <w:sz w:val="24"/>
                <w:lang w:val="pl-PL"/>
              </w:rPr>
              <w:t>09</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oraz wyjaśniono konkretne kwestie,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jak</w:t>
            </w:r>
            <w:r w:rsidRPr="00FC6D7F">
              <w:rPr>
                <w:rFonts w:ascii="Times New Roman" w:hAnsi="Times New Roman"/>
                <w:noProof/>
                <w:sz w:val="24"/>
                <w:lang w:val="pl-PL"/>
              </w:rPr>
              <w:t>imi borykają się obywatele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org</w:t>
            </w:r>
            <w:r w:rsidRPr="00FC6D7F">
              <w:rPr>
                <w:rFonts w:ascii="Times New Roman" w:hAnsi="Times New Roman"/>
                <w:noProof/>
                <w:sz w:val="24"/>
                <w:lang w:val="pl-PL"/>
              </w:rPr>
              <w:t>any administracji krajowej. Wzięto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nic</w:t>
            </w:r>
            <w:r w:rsidRPr="00FC6D7F">
              <w:rPr>
                <w:rFonts w:ascii="Times New Roman" w:hAnsi="Times New Roman"/>
                <w:noProof/>
                <w:sz w:val="24"/>
                <w:lang w:val="pl-PL"/>
              </w:rPr>
              <w:t xml:space="preserve">h pod uwagę różnorodność rodzin (w tym tęczowych rodzin). </w:t>
            </w:r>
            <w:r>
              <w:rPr>
                <w:rFonts w:ascii="Times New Roman" w:hAnsi="Times New Roman"/>
                <w:i/>
                <w:noProof/>
                <w:sz w:val="24"/>
              </w:rPr>
              <w:t>(aby uzyskać więcej informacji, zob. sprawozdanie s. 5</w:t>
            </w:r>
            <w:r w:rsidR="00D55672">
              <w:rPr>
                <w:rFonts w:ascii="Times New Roman" w:hAnsi="Times New Roman"/>
                <w:i/>
                <w:noProof/>
                <w:sz w:val="24"/>
              </w:rPr>
              <w:t xml:space="preserve"> i 2</w:t>
            </w:r>
            <w:r>
              <w:rPr>
                <w:rFonts w:ascii="Times New Roman" w:hAnsi="Times New Roman"/>
                <w:i/>
                <w:noProof/>
                <w:sz w:val="24"/>
              </w:rPr>
              <w:t>0–21)</w:t>
            </w:r>
          </w:p>
        </w:tc>
      </w:tr>
      <w:tr w:rsidR="00A638CE" w:rsidRPr="00D55672" w14:paraId="370742A8" w14:textId="77777777" w:rsidTr="00056C57">
        <w:tc>
          <w:tcPr>
            <w:tcW w:w="3256" w:type="dxa"/>
          </w:tcPr>
          <w:p w14:paraId="30871F1E" w14:textId="228716CD" w:rsidR="00A638CE" w:rsidRPr="00FC6D7F" w:rsidRDefault="00A638CE" w:rsidP="00A638CE">
            <w:pPr>
              <w:spacing w:line="276" w:lineRule="auto"/>
              <w:jc w:val="both"/>
              <w:rPr>
                <w:rFonts w:ascii="Times New Roman" w:eastAsia="Calibri" w:hAnsi="Times New Roman" w:cs="Times New Roman"/>
                <w:noProof/>
                <w:sz w:val="24"/>
                <w:lang w:val="pl-PL"/>
              </w:rPr>
            </w:pPr>
            <w:r w:rsidRPr="00FC6D7F">
              <w:rPr>
                <w:rFonts w:ascii="Times New Roman" w:hAnsi="Times New Roman"/>
                <w:b/>
                <w:noProof/>
                <w:sz w:val="24"/>
                <w:lang w:val="pl-PL"/>
              </w:rPr>
              <w:t>8.</w:t>
            </w:r>
            <w:r w:rsidRPr="00FC6D7F">
              <w:rPr>
                <w:rFonts w:ascii="Times New Roman" w:hAnsi="Times New Roman"/>
                <w:noProof/>
                <w:sz w:val="24"/>
                <w:lang w:val="pl-PL"/>
              </w:rPr>
              <w:t xml:space="preserve"> Zgodnie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umo</w:t>
            </w:r>
            <w:r w:rsidRPr="00FC6D7F">
              <w:rPr>
                <w:rFonts w:ascii="Times New Roman" w:hAnsi="Times New Roman"/>
                <w:noProof/>
                <w:sz w:val="24"/>
                <w:lang w:val="pl-PL"/>
              </w:rPr>
              <w:t>wą</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wys</w:t>
            </w:r>
            <w:r w:rsidRPr="00FC6D7F">
              <w:rPr>
                <w:rFonts w:ascii="Times New Roman" w:hAnsi="Times New Roman"/>
                <w:noProof/>
                <w:sz w:val="24"/>
                <w:lang w:val="pl-PL"/>
              </w:rPr>
              <w:t>tąpieniu Komisja będzie nadal wspierać ochronę praw obywateli Unii, którzy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wyn</w:t>
            </w:r>
            <w:r w:rsidRPr="00FC6D7F">
              <w:rPr>
                <w:rFonts w:ascii="Times New Roman" w:hAnsi="Times New Roman"/>
                <w:noProof/>
                <w:sz w:val="24"/>
                <w:lang w:val="pl-PL"/>
              </w:rPr>
              <w:t>iku skorzystania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wa do swobodnego przemieszczania się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okr</w:t>
            </w:r>
            <w:r w:rsidRPr="00FC6D7F">
              <w:rPr>
                <w:rFonts w:ascii="Times New Roman" w:hAnsi="Times New Roman"/>
                <w:noProof/>
                <w:sz w:val="24"/>
                <w:lang w:val="pl-PL"/>
              </w:rPr>
              <w:t>esie,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 xml:space="preserve">rym Zjednoczone Królestwo było nadal członkiem UE, </w:t>
            </w:r>
          </w:p>
          <w:p w14:paraId="0C5C6010" w14:textId="1F2F1310" w:rsidR="00A638CE" w:rsidRPr="00FC6D7F" w:rsidRDefault="00A638CE" w:rsidP="00A638CE">
            <w:pPr>
              <w:spacing w:line="276" w:lineRule="auto"/>
              <w:jc w:val="both"/>
              <w:rPr>
                <w:rFonts w:ascii="Times New Roman" w:eastAsia="Calibri" w:hAnsi="Times New Roman" w:cs="Times New Roman"/>
                <w:noProof/>
                <w:sz w:val="24"/>
                <w:lang w:val="pl-PL"/>
              </w:rPr>
            </w:pPr>
            <w:r w:rsidRPr="00FC6D7F">
              <w:rPr>
                <w:rFonts w:ascii="Times New Roman" w:hAnsi="Times New Roman"/>
                <w:noProof/>
                <w:sz w:val="24"/>
                <w:lang w:val="pl-PL"/>
              </w:rPr>
              <w:t>mieszkali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Zje</w:t>
            </w:r>
            <w:r w:rsidRPr="00FC6D7F">
              <w:rPr>
                <w:rFonts w:ascii="Times New Roman" w:hAnsi="Times New Roman"/>
                <w:noProof/>
                <w:sz w:val="24"/>
                <w:lang w:val="pl-PL"/>
              </w:rPr>
              <w:t>dnoczonym Królestwie przed zakończeniem okresu przejściowego.</w:t>
            </w:r>
          </w:p>
        </w:tc>
        <w:tc>
          <w:tcPr>
            <w:tcW w:w="6094" w:type="dxa"/>
          </w:tcPr>
          <w:p w14:paraId="370372AC" w14:textId="119DD8E7" w:rsidR="00A638CE" w:rsidRPr="00056C57" w:rsidRDefault="00A638CE" w:rsidP="00A638CE">
            <w:pPr>
              <w:numPr>
                <w:ilvl w:val="0"/>
                <w:numId w:val="1"/>
              </w:numPr>
              <w:spacing w:line="276" w:lineRule="auto"/>
              <w:ind w:left="357" w:hanging="357"/>
              <w:contextualSpacing/>
              <w:jc w:val="both"/>
              <w:rPr>
                <w:rFonts w:ascii="Times New Roman" w:eastAsia="Calibri" w:hAnsi="Times New Roman" w:cs="Times New Roman"/>
                <w:i/>
                <w:noProof/>
                <w:sz w:val="24"/>
              </w:rPr>
            </w:pPr>
            <w:r w:rsidRPr="00FC6D7F">
              <w:rPr>
                <w:rFonts w:ascii="Times New Roman" w:hAnsi="Times New Roman"/>
                <w:noProof/>
                <w:sz w:val="24"/>
                <w:lang w:val="pl-PL"/>
              </w:rPr>
              <w:t xml:space="preserve">Komisja kontynuowała prace nad </w:t>
            </w:r>
            <w:r w:rsidRPr="00FC6D7F">
              <w:rPr>
                <w:rFonts w:ascii="Times New Roman" w:hAnsi="Times New Roman"/>
                <w:b/>
                <w:noProof/>
                <w:sz w:val="24"/>
                <w:lang w:val="pl-PL"/>
              </w:rPr>
              <w:t>częścią umowy brexitowej dotyczącą praw obywateli</w:t>
            </w:r>
            <w:r w:rsidRPr="00FC6D7F">
              <w:rPr>
                <w:rFonts w:ascii="Times New Roman" w:hAnsi="Times New Roman"/>
                <w:noProof/>
                <w:sz w:val="24"/>
                <w:lang w:val="pl-PL"/>
              </w:rPr>
              <w:t>. Prace te obejmują zapewnienie poszanowania praw beneficjentów umowy</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wys</w:t>
            </w:r>
            <w:r w:rsidRPr="00FC6D7F">
              <w:rPr>
                <w:rFonts w:ascii="Times New Roman" w:hAnsi="Times New Roman"/>
                <w:noProof/>
                <w:sz w:val="24"/>
                <w:lang w:val="pl-PL"/>
              </w:rPr>
              <w:t>tąpieniu</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czł</w:t>
            </w:r>
            <w:r w:rsidRPr="00FC6D7F">
              <w:rPr>
                <w:rFonts w:ascii="Times New Roman" w:hAnsi="Times New Roman"/>
                <w:noProof/>
                <w:sz w:val="24"/>
                <w:lang w:val="pl-PL"/>
              </w:rPr>
              <w:t>onków ich rodzin</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inn</w:t>
            </w:r>
            <w:r w:rsidRPr="00FC6D7F">
              <w:rPr>
                <w:rFonts w:ascii="Times New Roman" w:hAnsi="Times New Roman"/>
                <w:noProof/>
                <w:sz w:val="24"/>
                <w:lang w:val="pl-PL"/>
              </w:rPr>
              <w:t>ych obszarach polityki,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szc</w:t>
            </w:r>
            <w:r w:rsidRPr="00FC6D7F">
              <w:rPr>
                <w:rFonts w:ascii="Times New Roman" w:hAnsi="Times New Roman"/>
                <w:noProof/>
                <w:sz w:val="24"/>
                <w:lang w:val="pl-PL"/>
              </w:rPr>
              <w:t>zególności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odn</w:t>
            </w:r>
            <w:r w:rsidRPr="00FC6D7F">
              <w:rPr>
                <w:rFonts w:ascii="Times New Roman" w:hAnsi="Times New Roman"/>
                <w:noProof/>
                <w:sz w:val="24"/>
                <w:lang w:val="pl-PL"/>
              </w:rPr>
              <w:t>iesieniu do podróży do strefy Schengen</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w:t>
            </w:r>
            <w:r w:rsidR="00D55672">
              <w:rPr>
                <w:rFonts w:ascii="Times New Roman" w:hAnsi="Times New Roman"/>
                <w:noProof/>
                <w:sz w:val="24"/>
                <w:lang w:val="pl-PL"/>
              </w:rPr>
              <w:t> </w:t>
            </w:r>
            <w:r w:rsidR="00D55672" w:rsidRPr="00FC6D7F">
              <w:rPr>
                <w:rFonts w:ascii="Times New Roman" w:hAnsi="Times New Roman"/>
                <w:noProof/>
                <w:sz w:val="24"/>
                <w:lang w:val="pl-PL"/>
              </w:rPr>
              <w:t>jej</w:t>
            </w:r>
            <w:r w:rsidRPr="00FC6D7F">
              <w:rPr>
                <w:rFonts w:ascii="Times New Roman" w:hAnsi="Times New Roman"/>
                <w:noProof/>
                <w:sz w:val="24"/>
                <w:lang w:val="pl-PL"/>
              </w:rPr>
              <w:t xml:space="preserve"> obrębie. </w:t>
            </w:r>
            <w:r>
              <w:rPr>
                <w:rFonts w:ascii="Times New Roman" w:hAnsi="Times New Roman"/>
                <w:i/>
                <w:noProof/>
                <w:sz w:val="24"/>
              </w:rPr>
              <w:t>(aby uzyskać więcej informacji, zob. sprawozdanie s. 21)</w:t>
            </w:r>
          </w:p>
          <w:p w14:paraId="4EDE08DF" w14:textId="7BE58F99" w:rsidR="00A638CE" w:rsidRPr="00FC6D7F" w:rsidRDefault="00A638CE" w:rsidP="00A638CE">
            <w:pPr>
              <w:numPr>
                <w:ilvl w:val="0"/>
                <w:numId w:val="1"/>
              </w:numPr>
              <w:spacing w:line="276" w:lineRule="auto"/>
              <w:ind w:left="357" w:hanging="357"/>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 xml:space="preserve">Komisja regularnie wyraża </w:t>
            </w:r>
            <w:r w:rsidRPr="00FC6D7F">
              <w:rPr>
                <w:rFonts w:ascii="Times New Roman" w:hAnsi="Times New Roman"/>
                <w:b/>
                <w:noProof/>
                <w:sz w:val="24"/>
                <w:lang w:val="pl-PL"/>
              </w:rPr>
              <w:t>obawy związane</w:t>
            </w:r>
            <w:r w:rsidR="00D55672" w:rsidRPr="00FC6D7F">
              <w:rPr>
                <w:rFonts w:ascii="Times New Roman" w:hAnsi="Times New Roman"/>
                <w:b/>
                <w:noProof/>
                <w:sz w:val="24"/>
                <w:lang w:val="pl-PL"/>
              </w:rPr>
              <w:t xml:space="preserve"> z</w:t>
            </w:r>
            <w:r w:rsidR="00D55672">
              <w:rPr>
                <w:rFonts w:ascii="Times New Roman" w:hAnsi="Times New Roman"/>
                <w:b/>
                <w:noProof/>
                <w:sz w:val="24"/>
                <w:lang w:val="pl-PL"/>
              </w:rPr>
              <w:t> </w:t>
            </w:r>
            <w:r w:rsidR="00D55672" w:rsidRPr="00FC6D7F">
              <w:rPr>
                <w:rFonts w:ascii="Times New Roman" w:hAnsi="Times New Roman"/>
                <w:b/>
                <w:noProof/>
                <w:sz w:val="24"/>
                <w:lang w:val="pl-PL"/>
              </w:rPr>
              <w:t>wyk</w:t>
            </w:r>
            <w:r w:rsidRPr="00FC6D7F">
              <w:rPr>
                <w:rFonts w:ascii="Times New Roman" w:hAnsi="Times New Roman"/>
                <w:b/>
                <w:noProof/>
                <w:sz w:val="24"/>
                <w:lang w:val="pl-PL"/>
              </w:rPr>
              <w:t>onaniem przez Zjednoczone Królestwo części umowy</w:t>
            </w:r>
            <w:r w:rsidR="00D55672" w:rsidRPr="00FC6D7F">
              <w:rPr>
                <w:rFonts w:ascii="Times New Roman" w:hAnsi="Times New Roman"/>
                <w:b/>
                <w:noProof/>
                <w:sz w:val="24"/>
                <w:lang w:val="pl-PL"/>
              </w:rPr>
              <w:t xml:space="preserve"> o</w:t>
            </w:r>
            <w:r w:rsidR="00D55672">
              <w:rPr>
                <w:rFonts w:ascii="Times New Roman" w:hAnsi="Times New Roman"/>
                <w:b/>
                <w:noProof/>
                <w:sz w:val="24"/>
                <w:lang w:val="pl-PL"/>
              </w:rPr>
              <w:t> </w:t>
            </w:r>
            <w:r w:rsidR="00D55672" w:rsidRPr="00FC6D7F">
              <w:rPr>
                <w:rFonts w:ascii="Times New Roman" w:hAnsi="Times New Roman"/>
                <w:b/>
                <w:noProof/>
                <w:sz w:val="24"/>
                <w:lang w:val="pl-PL"/>
              </w:rPr>
              <w:t>wys</w:t>
            </w:r>
            <w:r w:rsidRPr="00FC6D7F">
              <w:rPr>
                <w:rFonts w:ascii="Times New Roman" w:hAnsi="Times New Roman"/>
                <w:b/>
                <w:noProof/>
                <w:sz w:val="24"/>
                <w:lang w:val="pl-PL"/>
              </w:rPr>
              <w:t>tąpieniu dotyczącej praw obywateli</w:t>
            </w:r>
            <w:r w:rsidRPr="00FC6D7F">
              <w:rPr>
                <w:rFonts w:ascii="Times New Roman" w:hAnsi="Times New Roman"/>
                <w:noProof/>
                <w:sz w:val="24"/>
                <w:lang w:val="pl-PL"/>
              </w:rPr>
              <w:t xml:space="preserve">. Ponadto Komisja jest zaniepokojona integralnością statusu cyfrowego Zjednoczonego Królestwa. </w:t>
            </w:r>
            <w:r w:rsidRPr="00FC6D7F">
              <w:rPr>
                <w:rFonts w:ascii="Times New Roman" w:hAnsi="Times New Roman"/>
                <w:i/>
                <w:noProof/>
                <w:sz w:val="24"/>
                <w:lang w:val="pl-PL"/>
              </w:rPr>
              <w:t>(aby uzyskać więcej informacji, zob. sprawozdanie s. 21–22)</w:t>
            </w:r>
          </w:p>
        </w:tc>
      </w:tr>
      <w:tr w:rsidR="00A638CE" w:rsidRPr="00D55672" w14:paraId="655F9160" w14:textId="77777777" w:rsidTr="008E3380">
        <w:tc>
          <w:tcPr>
            <w:tcW w:w="9350" w:type="dxa"/>
            <w:gridSpan w:val="2"/>
          </w:tcPr>
          <w:p w14:paraId="67FCB95A" w14:textId="00C4F72F" w:rsidR="00A638CE" w:rsidRPr="00FC6D7F" w:rsidRDefault="00A638CE" w:rsidP="00A638CE">
            <w:pPr>
              <w:jc w:val="center"/>
              <w:rPr>
                <w:rFonts w:ascii="Times New Roman" w:eastAsia="Calibri" w:hAnsi="Times New Roman" w:cs="Times New Roman"/>
                <w:noProof/>
                <w:sz w:val="24"/>
                <w:lang w:val="pl-PL"/>
              </w:rPr>
            </w:pPr>
            <w:r w:rsidRPr="00FC6D7F">
              <w:rPr>
                <w:rFonts w:ascii="Times New Roman" w:hAnsi="Times New Roman"/>
                <w:i/>
                <w:noProof/>
                <w:sz w:val="24"/>
                <w:lang w:val="pl-PL"/>
              </w:rPr>
              <w:t>Ułatwianie pracy transgranicznej</w:t>
            </w:r>
            <w:r w:rsidR="00D55672" w:rsidRPr="00FC6D7F">
              <w:rPr>
                <w:rFonts w:ascii="Times New Roman" w:hAnsi="Times New Roman"/>
                <w:i/>
                <w:noProof/>
                <w:sz w:val="24"/>
                <w:lang w:val="pl-PL"/>
              </w:rPr>
              <w:t xml:space="preserve"> i</w:t>
            </w:r>
            <w:r w:rsidR="00D55672">
              <w:rPr>
                <w:rFonts w:ascii="Times New Roman" w:hAnsi="Times New Roman"/>
                <w:i/>
                <w:noProof/>
                <w:sz w:val="24"/>
                <w:lang w:val="pl-PL"/>
              </w:rPr>
              <w:t> </w:t>
            </w:r>
            <w:r w:rsidR="00D55672" w:rsidRPr="00FC6D7F">
              <w:rPr>
                <w:rFonts w:ascii="Times New Roman" w:hAnsi="Times New Roman"/>
                <w:i/>
                <w:noProof/>
                <w:sz w:val="24"/>
                <w:lang w:val="pl-PL"/>
              </w:rPr>
              <w:t>pod</w:t>
            </w:r>
            <w:r w:rsidRPr="00FC6D7F">
              <w:rPr>
                <w:rFonts w:ascii="Times New Roman" w:hAnsi="Times New Roman"/>
                <w:i/>
                <w:noProof/>
                <w:sz w:val="24"/>
                <w:lang w:val="pl-PL"/>
              </w:rPr>
              <w:t>róży transgranicznych</w:t>
            </w:r>
          </w:p>
        </w:tc>
      </w:tr>
      <w:tr w:rsidR="00A638CE" w14:paraId="108F218B" w14:textId="77777777" w:rsidTr="00056C57">
        <w:tc>
          <w:tcPr>
            <w:tcW w:w="3256" w:type="dxa"/>
          </w:tcPr>
          <w:p w14:paraId="65396D17" w14:textId="5EB26291" w:rsidR="00A638CE" w:rsidRPr="00FC6D7F" w:rsidRDefault="00A638CE" w:rsidP="00A638CE">
            <w:pPr>
              <w:spacing w:line="276" w:lineRule="auto"/>
              <w:jc w:val="both"/>
              <w:rPr>
                <w:rFonts w:ascii="Times New Roman" w:eastAsia="Calibri" w:hAnsi="Times New Roman" w:cs="Times New Roman"/>
                <w:b/>
                <w:noProof/>
                <w:sz w:val="24"/>
                <w:lang w:val="pl-PL"/>
              </w:rPr>
            </w:pPr>
            <w:r w:rsidRPr="00FC6D7F">
              <w:rPr>
                <w:rFonts w:ascii="Times New Roman" w:hAnsi="Times New Roman"/>
                <w:b/>
                <w:noProof/>
                <w:sz w:val="24"/>
                <w:lang w:val="pl-PL"/>
              </w:rPr>
              <w:t>9.</w:t>
            </w:r>
            <w:r w:rsidRPr="00FC6D7F">
              <w:rPr>
                <w:rFonts w:ascii="Times New Roman" w:hAnsi="Times New Roman"/>
                <w:noProof/>
                <w:sz w:val="24"/>
                <w:lang w:val="pl-PL"/>
              </w:rPr>
              <w:t xml:space="preserve"> Komisja będzie współpracować</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stwami członkowskimi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promowania włączenia transgranicznych rozwiązań</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administracji elektronicznej i e-biznesu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nowo wydawanych dowodów tożsamości.</w:t>
            </w:r>
          </w:p>
        </w:tc>
        <w:tc>
          <w:tcPr>
            <w:tcW w:w="6094" w:type="dxa"/>
          </w:tcPr>
          <w:p w14:paraId="671AF753" w14:textId="60DF8165" w:rsidR="00A638CE" w:rsidRPr="00056C57" w:rsidRDefault="00A638CE" w:rsidP="00A638CE">
            <w:pPr>
              <w:numPr>
                <w:ilvl w:val="0"/>
                <w:numId w:val="1"/>
              </w:numPr>
              <w:spacing w:line="276" w:lineRule="auto"/>
              <w:ind w:left="357" w:hanging="357"/>
              <w:contextualSpacing/>
              <w:jc w:val="both"/>
              <w:rPr>
                <w:rFonts w:ascii="Times New Roman" w:eastAsia="Calibri" w:hAnsi="Times New Roman" w:cs="Times New Roman"/>
                <w:noProof/>
                <w:sz w:val="24"/>
              </w:rPr>
            </w:pPr>
            <w:r w:rsidRPr="00FC6D7F">
              <w:rPr>
                <w:rFonts w:ascii="Times New Roman" w:hAnsi="Times New Roman"/>
                <w:noProof/>
                <w:sz w:val="24"/>
                <w:lang w:val="pl-PL"/>
              </w:rPr>
              <w:t>8 listopada 20</w:t>
            </w:r>
            <w:r w:rsidRPr="00D55672">
              <w:rPr>
                <w:rFonts w:ascii="Times New Roman" w:hAnsi="Times New Roman"/>
                <w:noProof/>
                <w:sz w:val="24"/>
                <w:lang w:val="pl-PL"/>
              </w:rPr>
              <w:t>23</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Parlament Europejski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Rad</w:t>
            </w:r>
            <w:r w:rsidRPr="00FC6D7F">
              <w:rPr>
                <w:rFonts w:ascii="Times New Roman" w:hAnsi="Times New Roman"/>
                <w:noProof/>
                <w:sz w:val="24"/>
                <w:lang w:val="pl-PL"/>
              </w:rPr>
              <w:t>a osiągnęły porozumienie polityczne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kwe</w:t>
            </w:r>
            <w:r w:rsidRPr="00FC6D7F">
              <w:rPr>
                <w:rFonts w:ascii="Times New Roman" w:hAnsi="Times New Roman"/>
                <w:noProof/>
                <w:sz w:val="24"/>
                <w:lang w:val="pl-PL"/>
              </w:rPr>
              <w:t xml:space="preserve">stii rozporządzenia ustanawiającego ramy </w:t>
            </w:r>
            <w:r w:rsidRPr="00FC6D7F">
              <w:rPr>
                <w:rFonts w:ascii="Times New Roman" w:hAnsi="Times New Roman"/>
                <w:b/>
                <w:noProof/>
                <w:sz w:val="24"/>
                <w:lang w:val="pl-PL"/>
              </w:rPr>
              <w:t xml:space="preserve">europejskiej tożsamości cyfrowej. </w:t>
            </w:r>
            <w:r w:rsidRPr="00FC6D7F">
              <w:rPr>
                <w:rFonts w:ascii="Times New Roman" w:hAnsi="Times New Roman"/>
                <w:noProof/>
                <w:sz w:val="24"/>
                <w:lang w:val="pl-PL"/>
              </w:rPr>
              <w:t>Europejskie portfele tożsamości cyfrowej</w:t>
            </w:r>
            <w:r w:rsidRPr="00FC6D7F">
              <w:rPr>
                <w:rFonts w:ascii="Times New Roman" w:hAnsi="Times New Roman"/>
                <w:b/>
                <w:noProof/>
                <w:sz w:val="24"/>
                <w:lang w:val="pl-PL"/>
              </w:rPr>
              <w:t xml:space="preserve"> </w:t>
            </w:r>
            <w:r w:rsidRPr="00FC6D7F">
              <w:rPr>
                <w:rFonts w:ascii="Times New Roman" w:hAnsi="Times New Roman"/>
                <w:noProof/>
                <w:sz w:val="24"/>
                <w:lang w:val="pl-PL"/>
              </w:rPr>
              <w:t>będą dostępne dla wszystkich obywateli Unii, rezydentów</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edsiębiorstw, umożliwiając im bezproblemowe potwierdzenie swojej tożsamości za granicą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int</w:t>
            </w:r>
            <w:r w:rsidRPr="00FC6D7F">
              <w:rPr>
                <w:rFonts w:ascii="Times New Roman" w:hAnsi="Times New Roman"/>
                <w:noProof/>
                <w:sz w:val="24"/>
                <w:lang w:val="pl-PL"/>
              </w:rPr>
              <w:t>ernecie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poz</w:t>
            </w:r>
            <w:r w:rsidRPr="00FC6D7F">
              <w:rPr>
                <w:rFonts w:ascii="Times New Roman" w:hAnsi="Times New Roman"/>
                <w:noProof/>
                <w:sz w:val="24"/>
                <w:lang w:val="pl-PL"/>
              </w:rPr>
              <w:t>a nim na potrzeby usług publicznych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pry</w:t>
            </w:r>
            <w:r w:rsidRPr="00FC6D7F">
              <w:rPr>
                <w:rFonts w:ascii="Times New Roman" w:hAnsi="Times New Roman"/>
                <w:noProof/>
                <w:sz w:val="24"/>
                <w:lang w:val="pl-PL"/>
              </w:rPr>
              <w:t xml:space="preserve">watnych. </w:t>
            </w:r>
            <w:r>
              <w:rPr>
                <w:rFonts w:ascii="Times New Roman" w:hAnsi="Times New Roman"/>
                <w:i/>
                <w:noProof/>
                <w:sz w:val="24"/>
              </w:rPr>
              <w:t>(aby uzyskać więcej informacji, zob. sprawozdanie s. 23)</w:t>
            </w:r>
          </w:p>
        </w:tc>
      </w:tr>
      <w:tr w:rsidR="00A638CE" w:rsidRPr="00D55672" w14:paraId="5C43AF81" w14:textId="77777777" w:rsidTr="00056C57">
        <w:tc>
          <w:tcPr>
            <w:tcW w:w="3256" w:type="dxa"/>
          </w:tcPr>
          <w:p w14:paraId="52CC21D0" w14:textId="0BB5802C" w:rsidR="00A638CE" w:rsidRPr="00FC6D7F" w:rsidRDefault="002F7569" w:rsidP="00A638CE">
            <w:pPr>
              <w:spacing w:line="276" w:lineRule="auto"/>
              <w:jc w:val="both"/>
              <w:rPr>
                <w:rFonts w:ascii="Times New Roman" w:eastAsia="Calibri" w:hAnsi="Times New Roman" w:cs="Times New Roman"/>
                <w:b/>
                <w:noProof/>
                <w:sz w:val="24"/>
                <w:lang w:val="pl-PL"/>
              </w:rPr>
            </w:pPr>
            <w:r w:rsidRPr="00FC6D7F">
              <w:rPr>
                <w:rFonts w:ascii="Times New Roman" w:hAnsi="Times New Roman"/>
                <w:b/>
                <w:noProof/>
                <w:sz w:val="24"/>
                <w:lang w:val="pl-PL"/>
              </w:rPr>
              <w:t>10.</w:t>
            </w:r>
            <w:r w:rsidRPr="00FC6D7F">
              <w:rPr>
                <w:rFonts w:ascii="Times New Roman" w:hAnsi="Times New Roman"/>
                <w:noProof/>
                <w:sz w:val="24"/>
                <w:lang w:val="pl-PL"/>
              </w:rPr>
              <w:t xml:space="preserve"> Komisja uruchomi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0</w:t>
            </w:r>
            <w:r w:rsidRPr="00D55672">
              <w:rPr>
                <w:rFonts w:ascii="Times New Roman" w:hAnsi="Times New Roman"/>
                <w:noProof/>
                <w:sz w:val="24"/>
                <w:lang w:val="pl-PL"/>
              </w:rPr>
              <w:t>21</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inicjatywę dotyczącą praw podatników unijnych, mającą na celu uproszczenie obowiązków podatkowych obywateli Unii.</w:t>
            </w:r>
          </w:p>
        </w:tc>
        <w:tc>
          <w:tcPr>
            <w:tcW w:w="6094" w:type="dxa"/>
          </w:tcPr>
          <w:p w14:paraId="7C3A1BA6" w14:textId="28AA791F" w:rsidR="00A638CE" w:rsidRPr="00FC6D7F" w:rsidRDefault="002F7569" w:rsidP="00A638CE">
            <w:pPr>
              <w:numPr>
                <w:ilvl w:val="0"/>
                <w:numId w:val="1"/>
              </w:numPr>
              <w:spacing w:line="276" w:lineRule="auto"/>
              <w:ind w:left="357" w:hanging="357"/>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Komisja prowadzi rozmowy</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 xml:space="preserve">stwami członkowskimi na temat szeregu kwestii, które dotyczą </w:t>
            </w:r>
            <w:r w:rsidRPr="00FC6D7F">
              <w:rPr>
                <w:rFonts w:ascii="Times New Roman" w:hAnsi="Times New Roman"/>
                <w:b/>
                <w:noProof/>
                <w:sz w:val="24"/>
                <w:lang w:val="pl-PL"/>
              </w:rPr>
              <w:t>praw podatników</w:t>
            </w:r>
            <w:r w:rsidRPr="00FC6D7F">
              <w:rPr>
                <w:rFonts w:ascii="Times New Roman" w:hAnsi="Times New Roman"/>
                <w:noProof/>
                <w:sz w:val="24"/>
                <w:lang w:val="pl-PL"/>
              </w:rPr>
              <w:t>,</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obowiązków podatników. Zakres rozmów został rozszerzony, aby uwzględnić rozwój sytuacji wywołany pandemią</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ększone wykorzystanie rozwiązań informatycznych.</w:t>
            </w:r>
          </w:p>
        </w:tc>
      </w:tr>
      <w:tr w:rsidR="00A638CE" w:rsidRPr="00D55672" w14:paraId="4FE5BFB9" w14:textId="77777777" w:rsidTr="00056C57">
        <w:tc>
          <w:tcPr>
            <w:tcW w:w="3256" w:type="dxa"/>
          </w:tcPr>
          <w:p w14:paraId="3309A308" w14:textId="5C588B51" w:rsidR="00A638CE" w:rsidRPr="00FC6D7F" w:rsidRDefault="002F7569" w:rsidP="00A638CE">
            <w:pPr>
              <w:spacing w:line="276" w:lineRule="auto"/>
              <w:jc w:val="both"/>
              <w:rPr>
                <w:rFonts w:ascii="Times New Roman" w:eastAsia="Calibri" w:hAnsi="Times New Roman" w:cs="Times New Roman"/>
                <w:b/>
                <w:noProof/>
                <w:sz w:val="24"/>
                <w:lang w:val="pl-PL"/>
              </w:rPr>
            </w:pPr>
            <w:r w:rsidRPr="00FC6D7F">
              <w:rPr>
                <w:rFonts w:ascii="Times New Roman" w:hAnsi="Times New Roman"/>
                <w:b/>
                <w:noProof/>
                <w:sz w:val="24"/>
                <w:lang w:val="pl-PL"/>
              </w:rPr>
              <w:t>11.</w:t>
            </w:r>
            <w:r w:rsidRPr="00FC6D7F">
              <w:rPr>
                <w:rFonts w:ascii="Times New Roman" w:hAnsi="Times New Roman"/>
                <w:noProof/>
                <w:sz w:val="24"/>
                <w:lang w:val="pl-PL"/>
              </w:rPr>
              <w:t xml:space="preserve"> Komisja uruchomi inicjatywę mającą na celu dalsze wspieranie rozwoju narzędzi planowania podróży multimodalnych,</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tak</w:t>
            </w:r>
            <w:r w:rsidRPr="00FC6D7F">
              <w:rPr>
                <w:rFonts w:ascii="Times New Roman" w:hAnsi="Times New Roman"/>
                <w:noProof/>
                <w:sz w:val="24"/>
                <w:lang w:val="pl-PL"/>
              </w:rPr>
              <w:t>że usług cyfrowych ułatwiających rezerwowanie różnych ofert</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mobilności oraz dokonywania za nie płatności.</w:t>
            </w:r>
          </w:p>
        </w:tc>
        <w:tc>
          <w:tcPr>
            <w:tcW w:w="6094" w:type="dxa"/>
          </w:tcPr>
          <w:p w14:paraId="37EFC259" w14:textId="4B28F19E" w:rsidR="005A380E" w:rsidRPr="00FC6D7F" w:rsidRDefault="005A380E" w:rsidP="005A380E">
            <w:pPr>
              <w:numPr>
                <w:ilvl w:val="0"/>
                <w:numId w:val="1"/>
              </w:numPr>
              <w:spacing w:line="276" w:lineRule="auto"/>
              <w:ind w:left="357" w:hanging="357"/>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 xml:space="preserve">Zmiana </w:t>
            </w:r>
            <w:r w:rsidRPr="00FC6D7F">
              <w:rPr>
                <w:rFonts w:ascii="Times New Roman" w:hAnsi="Times New Roman"/>
                <w:b/>
                <w:noProof/>
                <w:sz w:val="24"/>
                <w:lang w:val="pl-PL"/>
              </w:rPr>
              <w:t>rozporządzenia delegowanego</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spr</w:t>
            </w:r>
            <w:r w:rsidRPr="00FC6D7F">
              <w:rPr>
                <w:rFonts w:ascii="Times New Roman" w:hAnsi="Times New Roman"/>
                <w:b/>
                <w:noProof/>
                <w:sz w:val="24"/>
                <w:lang w:val="pl-PL"/>
              </w:rPr>
              <w:t>awie usług</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zak</w:t>
            </w:r>
            <w:r w:rsidRPr="00FC6D7F">
              <w:rPr>
                <w:rFonts w:ascii="Times New Roman" w:hAnsi="Times New Roman"/>
                <w:b/>
                <w:noProof/>
                <w:sz w:val="24"/>
                <w:lang w:val="pl-PL"/>
              </w:rPr>
              <w:t>resie informacji</w:t>
            </w:r>
            <w:r w:rsidR="00D55672" w:rsidRPr="00FC6D7F">
              <w:rPr>
                <w:rFonts w:ascii="Times New Roman" w:hAnsi="Times New Roman"/>
                <w:b/>
                <w:noProof/>
                <w:sz w:val="24"/>
                <w:lang w:val="pl-PL"/>
              </w:rPr>
              <w:t xml:space="preserve"> o</w:t>
            </w:r>
            <w:r w:rsidR="00D55672">
              <w:rPr>
                <w:rFonts w:ascii="Times New Roman" w:hAnsi="Times New Roman"/>
                <w:b/>
                <w:noProof/>
                <w:sz w:val="24"/>
                <w:lang w:val="pl-PL"/>
              </w:rPr>
              <w:t> </w:t>
            </w:r>
            <w:r w:rsidR="00D55672" w:rsidRPr="00FC6D7F">
              <w:rPr>
                <w:rFonts w:ascii="Times New Roman" w:hAnsi="Times New Roman"/>
                <w:b/>
                <w:noProof/>
                <w:sz w:val="24"/>
                <w:lang w:val="pl-PL"/>
              </w:rPr>
              <w:t>pod</w:t>
            </w:r>
            <w:r w:rsidRPr="00FC6D7F">
              <w:rPr>
                <w:rFonts w:ascii="Times New Roman" w:hAnsi="Times New Roman"/>
                <w:b/>
                <w:noProof/>
                <w:sz w:val="24"/>
                <w:lang w:val="pl-PL"/>
              </w:rPr>
              <w:t>różach multimodalnych</w:t>
            </w:r>
            <w:r w:rsidRPr="00FC6D7F">
              <w:rPr>
                <w:rFonts w:ascii="Times New Roman" w:hAnsi="Times New Roman"/>
                <w:noProof/>
                <w:sz w:val="24"/>
                <w:lang w:val="pl-PL"/>
              </w:rPr>
              <w:t xml:space="preserve"> została przyjęta 29 listopada 20</w:t>
            </w:r>
            <w:r w:rsidRPr="00D55672">
              <w:rPr>
                <w:rFonts w:ascii="Times New Roman" w:hAnsi="Times New Roman"/>
                <w:noProof/>
                <w:sz w:val="24"/>
                <w:lang w:val="pl-PL"/>
              </w:rPr>
              <w:t>23</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Dzięki zmianie polegającej na rozszerzeniu obowiązku udostępniania danych dynamicznych (w czasie rzeczywistym) za pośrednictwem krajowych punktów dostępu usługi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informacji</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pod</w:t>
            </w:r>
            <w:r w:rsidRPr="00FC6D7F">
              <w:rPr>
                <w:rFonts w:ascii="Times New Roman" w:hAnsi="Times New Roman"/>
                <w:noProof/>
                <w:sz w:val="24"/>
                <w:lang w:val="pl-PL"/>
              </w:rPr>
              <w:t>różach multimodalnych będą mogły lepiej zapewnić pasażerowi dokładne informacje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cza</w:t>
            </w:r>
            <w:r w:rsidRPr="00FC6D7F">
              <w:rPr>
                <w:rFonts w:ascii="Times New Roman" w:hAnsi="Times New Roman"/>
                <w:noProof/>
                <w:sz w:val="24"/>
                <w:lang w:val="pl-PL"/>
              </w:rPr>
              <w:t>sie rzeczywistym na potrzeby planowania podróży</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pod</w:t>
            </w:r>
            <w:r w:rsidRPr="00FC6D7F">
              <w:rPr>
                <w:rFonts w:ascii="Times New Roman" w:hAnsi="Times New Roman"/>
                <w:noProof/>
                <w:sz w:val="24"/>
                <w:lang w:val="pl-PL"/>
              </w:rPr>
              <w:t>różowania</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wyn</w:t>
            </w:r>
            <w:r w:rsidRPr="00FC6D7F">
              <w:rPr>
                <w:rFonts w:ascii="Times New Roman" w:hAnsi="Times New Roman"/>
                <w:noProof/>
                <w:sz w:val="24"/>
                <w:lang w:val="pl-PL"/>
              </w:rPr>
              <w:t>iku zmiany dostawcy usług mogliby na przykład oferować pasażerom informacje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cza</w:t>
            </w:r>
            <w:r w:rsidRPr="00FC6D7F">
              <w:rPr>
                <w:rFonts w:ascii="Times New Roman" w:hAnsi="Times New Roman"/>
                <w:noProof/>
                <w:sz w:val="24"/>
                <w:lang w:val="pl-PL"/>
              </w:rPr>
              <w:t>sie rzeczywistym</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opó</w:t>
            </w:r>
            <w:r w:rsidRPr="00FC6D7F">
              <w:rPr>
                <w:rFonts w:ascii="Times New Roman" w:hAnsi="Times New Roman"/>
                <w:noProof/>
                <w:sz w:val="24"/>
                <w:lang w:val="pl-PL"/>
              </w:rPr>
              <w:t>źnieniach lub odwołaniu ich samolotu, promu lub usługi transportu na żądanie na większą skalę dzięki zharmonizowanym wymogom.</w:t>
            </w:r>
          </w:p>
          <w:p w14:paraId="13C03609" w14:textId="4059696B" w:rsidR="00A638CE" w:rsidRPr="00FC6D7F" w:rsidRDefault="005A380E" w:rsidP="00A2622B">
            <w:pPr>
              <w:numPr>
                <w:ilvl w:val="0"/>
                <w:numId w:val="1"/>
              </w:numPr>
              <w:spacing w:line="276" w:lineRule="auto"/>
              <w:ind w:left="357" w:hanging="357"/>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Jednocześnie Komisja nadal pracuje nad czynnikami umożliwiającymi dalsze wspieranie dystrybucji biletów między różnymi rodzajami transportu, ułatwiając rozwój multimodalnych usług</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mobilności cyfrowej (między przedsiębiorcami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mię</w:t>
            </w:r>
            <w:r w:rsidRPr="00FC6D7F">
              <w:rPr>
                <w:rFonts w:ascii="Times New Roman" w:hAnsi="Times New Roman"/>
                <w:noProof/>
                <w:sz w:val="24"/>
                <w:lang w:val="pl-PL"/>
              </w:rPr>
              <w:t>dzy przedsiębiorcami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kon</w:t>
            </w:r>
            <w:r w:rsidRPr="00FC6D7F">
              <w:rPr>
                <w:rFonts w:ascii="Times New Roman" w:hAnsi="Times New Roman"/>
                <w:noProof/>
                <w:sz w:val="24"/>
                <w:lang w:val="pl-PL"/>
              </w:rPr>
              <w:t>sumentami),</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samym ułatwiając multimodalność</w:t>
            </w:r>
            <w:r w:rsidRPr="00FC6D7F">
              <w:rPr>
                <w:rFonts w:ascii="Times New Roman" w:hAnsi="Times New Roman"/>
                <w:i/>
                <w:noProof/>
                <w:sz w:val="24"/>
                <w:lang w:val="pl-PL"/>
              </w:rPr>
              <w:t>.</w:t>
            </w:r>
          </w:p>
        </w:tc>
      </w:tr>
      <w:tr w:rsidR="002F7569" w:rsidRPr="00D55672" w14:paraId="3B0A79A2" w14:textId="77777777" w:rsidTr="002F7569">
        <w:tc>
          <w:tcPr>
            <w:tcW w:w="9350" w:type="dxa"/>
            <w:gridSpan w:val="2"/>
            <w:shd w:val="clear" w:color="auto" w:fill="FFC000"/>
          </w:tcPr>
          <w:p w14:paraId="21D31CF4" w14:textId="55A5F565" w:rsidR="002F7569" w:rsidRPr="00FC6D7F" w:rsidRDefault="002F7569" w:rsidP="002F7569">
            <w:pPr>
              <w:jc w:val="center"/>
              <w:rPr>
                <w:rFonts w:ascii="Times New Roman" w:eastAsia="Calibri" w:hAnsi="Times New Roman" w:cs="Times New Roman"/>
                <w:noProof/>
                <w:sz w:val="24"/>
                <w:lang w:val="pl-PL"/>
              </w:rPr>
            </w:pPr>
            <w:r w:rsidRPr="00FC6D7F">
              <w:rPr>
                <w:rFonts w:ascii="Times New Roman" w:hAnsi="Times New Roman"/>
                <w:b/>
                <w:noProof/>
                <w:sz w:val="24"/>
                <w:lang w:val="pl-PL"/>
              </w:rPr>
              <w:t>Promowanie</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och</w:t>
            </w:r>
            <w:r w:rsidRPr="00FC6D7F">
              <w:rPr>
                <w:rFonts w:ascii="Times New Roman" w:hAnsi="Times New Roman"/>
                <w:b/>
                <w:noProof/>
                <w:sz w:val="24"/>
                <w:lang w:val="pl-PL"/>
              </w:rPr>
              <w:t>rona obywatelstwa Unii</w:t>
            </w:r>
          </w:p>
        </w:tc>
      </w:tr>
      <w:tr w:rsidR="002F7569" w14:paraId="45F0E08C" w14:textId="77777777" w:rsidTr="00044C69">
        <w:tc>
          <w:tcPr>
            <w:tcW w:w="9350" w:type="dxa"/>
            <w:gridSpan w:val="2"/>
          </w:tcPr>
          <w:p w14:paraId="0833CA9F" w14:textId="41020377" w:rsidR="002F7569" w:rsidRPr="00056C57" w:rsidRDefault="002F7569" w:rsidP="002F7569">
            <w:pPr>
              <w:jc w:val="center"/>
              <w:rPr>
                <w:rFonts w:ascii="Times New Roman" w:eastAsia="Calibri" w:hAnsi="Times New Roman" w:cs="Times New Roman"/>
                <w:noProof/>
                <w:sz w:val="24"/>
              </w:rPr>
            </w:pPr>
            <w:r>
              <w:rPr>
                <w:rFonts w:ascii="Times New Roman" w:hAnsi="Times New Roman"/>
                <w:i/>
                <w:noProof/>
                <w:sz w:val="24"/>
              </w:rPr>
              <w:t>Ochrona obywatelstwa Unii</w:t>
            </w:r>
          </w:p>
        </w:tc>
      </w:tr>
      <w:tr w:rsidR="002F7569" w14:paraId="3ECC5D55" w14:textId="77777777" w:rsidTr="00056C57">
        <w:tc>
          <w:tcPr>
            <w:tcW w:w="3256" w:type="dxa"/>
          </w:tcPr>
          <w:p w14:paraId="04CC1A46" w14:textId="4362D762" w:rsidR="002F7569" w:rsidRPr="00FC6D7F" w:rsidRDefault="002F7569" w:rsidP="00A638CE">
            <w:pPr>
              <w:spacing w:line="276" w:lineRule="auto"/>
              <w:jc w:val="both"/>
              <w:rPr>
                <w:rFonts w:ascii="Times New Roman" w:eastAsia="Calibri" w:hAnsi="Times New Roman" w:cs="Times New Roman"/>
                <w:b/>
                <w:noProof/>
                <w:sz w:val="24"/>
                <w:lang w:val="pl-PL"/>
              </w:rPr>
            </w:pPr>
            <w:r w:rsidRPr="00FC6D7F">
              <w:rPr>
                <w:rFonts w:ascii="Times New Roman" w:hAnsi="Times New Roman"/>
                <w:b/>
                <w:noProof/>
                <w:sz w:val="24"/>
                <w:lang w:val="pl-PL"/>
              </w:rPr>
              <w:t>12.</w:t>
            </w:r>
            <w:r w:rsidRPr="00FC6D7F">
              <w:rPr>
                <w:rFonts w:ascii="Times New Roman" w:hAnsi="Times New Roman"/>
                <w:noProof/>
                <w:sz w:val="24"/>
                <w:lang w:val="pl-PL"/>
              </w:rPr>
              <w:t xml:space="preserve"> Komisja będzie nadal monitorować ryzyko, jakie stwarzają programy obywatelstwa Unii dla inwestorów, również</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kon</w:t>
            </w:r>
            <w:r w:rsidRPr="00FC6D7F">
              <w:rPr>
                <w:rFonts w:ascii="Times New Roman" w:hAnsi="Times New Roman"/>
                <w:noProof/>
                <w:sz w:val="24"/>
                <w:lang w:val="pl-PL"/>
              </w:rPr>
              <w:t>tekście trwających postępowań</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uchybień zobowiązaniom państw członkowskich, oraz</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raz</w:t>
            </w:r>
            <w:r w:rsidRPr="00FC6D7F">
              <w:rPr>
                <w:rFonts w:ascii="Times New Roman" w:hAnsi="Times New Roman"/>
                <w:noProof/>
                <w:sz w:val="24"/>
                <w:lang w:val="pl-PL"/>
              </w:rPr>
              <w:t>ie potrzeby interweniować.</w:t>
            </w:r>
          </w:p>
        </w:tc>
        <w:tc>
          <w:tcPr>
            <w:tcW w:w="6094" w:type="dxa"/>
          </w:tcPr>
          <w:p w14:paraId="41CE130D" w14:textId="7B277806" w:rsidR="002F7569" w:rsidRPr="00FC6D7F" w:rsidRDefault="002F7569" w:rsidP="002F7569">
            <w:pPr>
              <w:numPr>
                <w:ilvl w:val="0"/>
                <w:numId w:val="1"/>
              </w:numPr>
              <w:spacing w:line="276" w:lineRule="auto"/>
              <w:ind w:left="357" w:hanging="357"/>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W opinii Komisji przyznawanie obywatelstwa Unii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zam</w:t>
            </w:r>
            <w:r w:rsidRPr="00FC6D7F">
              <w:rPr>
                <w:rFonts w:ascii="Times New Roman" w:hAnsi="Times New Roman"/>
                <w:noProof/>
                <w:sz w:val="24"/>
                <w:lang w:val="pl-PL"/>
              </w:rPr>
              <w:t>ian za wcześniej ustalone płatności lub inwestycje przy braku jakiegokolwiek autentycznego związku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dan</w:t>
            </w:r>
            <w:r w:rsidRPr="00FC6D7F">
              <w:rPr>
                <w:rFonts w:ascii="Times New Roman" w:hAnsi="Times New Roman"/>
                <w:noProof/>
                <w:sz w:val="24"/>
                <w:lang w:val="pl-PL"/>
              </w:rPr>
              <w:t>ym państwem członkowskim jest niezgodne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zas</w:t>
            </w:r>
            <w:r w:rsidRPr="00FC6D7F">
              <w:rPr>
                <w:rFonts w:ascii="Times New Roman" w:hAnsi="Times New Roman"/>
                <w:noProof/>
                <w:sz w:val="24"/>
                <w:lang w:val="pl-PL"/>
              </w:rPr>
              <w:t>adą lojalnej współpracy</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w:t>
            </w:r>
            <w:r w:rsidR="00D55672">
              <w:rPr>
                <w:rFonts w:ascii="Times New Roman" w:hAnsi="Times New Roman"/>
                <w:noProof/>
                <w:sz w:val="24"/>
                <w:lang w:val="pl-PL"/>
              </w:rPr>
              <w:t> </w:t>
            </w:r>
            <w:r w:rsidR="00D55672" w:rsidRPr="00FC6D7F">
              <w:rPr>
                <w:rFonts w:ascii="Times New Roman" w:hAnsi="Times New Roman"/>
                <w:noProof/>
                <w:sz w:val="24"/>
                <w:lang w:val="pl-PL"/>
              </w:rPr>
              <w:t>kon</w:t>
            </w:r>
            <w:r w:rsidRPr="00FC6D7F">
              <w:rPr>
                <w:rFonts w:ascii="Times New Roman" w:hAnsi="Times New Roman"/>
                <w:noProof/>
                <w:sz w:val="24"/>
                <w:lang w:val="pl-PL"/>
              </w:rPr>
              <w:t xml:space="preserve">cepcją obywatelstwa Unii. </w:t>
            </w:r>
          </w:p>
          <w:p w14:paraId="2751243B" w14:textId="36C6608A" w:rsidR="002F7569" w:rsidRPr="008C579C" w:rsidRDefault="002F7569" w:rsidP="00334BDD">
            <w:pPr>
              <w:numPr>
                <w:ilvl w:val="0"/>
                <w:numId w:val="1"/>
              </w:numPr>
              <w:spacing w:line="276" w:lineRule="auto"/>
              <w:ind w:left="357" w:hanging="357"/>
              <w:contextualSpacing/>
              <w:jc w:val="both"/>
              <w:rPr>
                <w:rFonts w:ascii="Times New Roman" w:eastAsia="Calibri" w:hAnsi="Times New Roman" w:cs="Times New Roman"/>
                <w:noProof/>
                <w:sz w:val="24"/>
              </w:rPr>
            </w:pPr>
            <w:r w:rsidRPr="00FC6D7F">
              <w:rPr>
                <w:rFonts w:ascii="Times New Roman" w:hAnsi="Times New Roman"/>
                <w:noProof/>
                <w:sz w:val="24"/>
                <w:lang w:val="pl-PL"/>
              </w:rPr>
              <w:t>W 20</w:t>
            </w:r>
            <w:r w:rsidRPr="00D55672">
              <w:rPr>
                <w:rFonts w:ascii="Times New Roman" w:hAnsi="Times New Roman"/>
                <w:noProof/>
                <w:sz w:val="24"/>
                <w:lang w:val="pl-PL"/>
              </w:rPr>
              <w:t>20</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Komisja wszczęła </w:t>
            </w:r>
            <w:r w:rsidRPr="00FC6D7F">
              <w:rPr>
                <w:rFonts w:ascii="Times New Roman" w:hAnsi="Times New Roman"/>
                <w:b/>
                <w:noProof/>
                <w:sz w:val="24"/>
                <w:lang w:val="pl-PL"/>
              </w:rPr>
              <w:t>postępowania</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spr</w:t>
            </w:r>
            <w:r w:rsidRPr="00FC6D7F">
              <w:rPr>
                <w:rFonts w:ascii="Times New Roman" w:hAnsi="Times New Roman"/>
                <w:b/>
                <w:noProof/>
                <w:sz w:val="24"/>
                <w:lang w:val="pl-PL"/>
              </w:rPr>
              <w:t>awie uchybienia zobowiązaniom państwa członkowskiego</w:t>
            </w:r>
            <w:r w:rsidRPr="00FC6D7F">
              <w:rPr>
                <w:rFonts w:ascii="Times New Roman" w:hAnsi="Times New Roman"/>
                <w:noProof/>
                <w:sz w:val="24"/>
                <w:lang w:val="pl-PL"/>
              </w:rPr>
              <w:t xml:space="preserve"> przeciwko dwóm państwom członkowskim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odn</w:t>
            </w:r>
            <w:r w:rsidRPr="00FC6D7F">
              <w:rPr>
                <w:rFonts w:ascii="Times New Roman" w:hAnsi="Times New Roman"/>
                <w:noProof/>
                <w:sz w:val="24"/>
                <w:lang w:val="pl-PL"/>
              </w:rPr>
              <w:t>iesieniu do ich programów obywatelstwa dla inwestorów. Od tego czasu jedno</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tyc</w:t>
            </w:r>
            <w:r w:rsidRPr="00FC6D7F">
              <w:rPr>
                <w:rFonts w:ascii="Times New Roman" w:hAnsi="Times New Roman"/>
                <w:noProof/>
                <w:sz w:val="24"/>
                <w:lang w:val="pl-PL"/>
              </w:rPr>
              <w:t>h państw członkowskich zawiesiło swój program. Ponieważ drugie państwo członkowskie nie odniosło się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zad</w:t>
            </w:r>
            <w:r w:rsidRPr="00FC6D7F">
              <w:rPr>
                <w:rFonts w:ascii="Times New Roman" w:hAnsi="Times New Roman"/>
                <w:noProof/>
                <w:sz w:val="24"/>
                <w:lang w:val="pl-PL"/>
              </w:rPr>
              <w:t xml:space="preserve">owalający sposób do zastrzeżeń przedstawionych przez Komisję, Komisja zdecydowała się wszcząć przeciwko temu państwu członkowskiemu postępowanie przed Trybunałem Sprawiedliwości Unii Europejskiej. </w:t>
            </w:r>
            <w:r>
              <w:rPr>
                <w:rFonts w:ascii="Times New Roman" w:hAnsi="Times New Roman"/>
                <w:i/>
                <w:noProof/>
                <w:sz w:val="24"/>
              </w:rPr>
              <w:t>(aby uzyskać więcej informacji, zob. sprawozdanie s. 9)</w:t>
            </w:r>
          </w:p>
          <w:p w14:paraId="25B5287E" w14:textId="77777777" w:rsidR="00C6230F" w:rsidRDefault="00C6230F" w:rsidP="00C6230F">
            <w:pPr>
              <w:spacing w:line="276" w:lineRule="auto"/>
              <w:contextualSpacing/>
              <w:jc w:val="both"/>
              <w:rPr>
                <w:rFonts w:ascii="Times New Roman" w:eastAsia="Calibri" w:hAnsi="Times New Roman" w:cs="Times New Roman"/>
                <w:noProof/>
                <w:sz w:val="24"/>
              </w:rPr>
            </w:pPr>
          </w:p>
          <w:p w14:paraId="2518ADB2" w14:textId="41F3168E" w:rsidR="00C6230F" w:rsidRPr="00334BDD" w:rsidRDefault="00C6230F" w:rsidP="008C579C">
            <w:pPr>
              <w:spacing w:line="276" w:lineRule="auto"/>
              <w:contextualSpacing/>
              <w:jc w:val="both"/>
              <w:rPr>
                <w:rFonts w:ascii="Times New Roman" w:eastAsia="Calibri" w:hAnsi="Times New Roman" w:cs="Times New Roman"/>
                <w:noProof/>
                <w:sz w:val="24"/>
              </w:rPr>
            </w:pPr>
          </w:p>
        </w:tc>
      </w:tr>
      <w:tr w:rsidR="00DB2BC8" w:rsidRPr="00D55672" w14:paraId="01E1C284" w14:textId="77777777" w:rsidTr="00627770">
        <w:tc>
          <w:tcPr>
            <w:tcW w:w="9350" w:type="dxa"/>
            <w:gridSpan w:val="2"/>
          </w:tcPr>
          <w:p w14:paraId="54E8CBDD" w14:textId="7CCB331A" w:rsidR="00DB2BC8" w:rsidRPr="00FC6D7F" w:rsidRDefault="00DB2BC8" w:rsidP="00DB2BC8">
            <w:pPr>
              <w:jc w:val="center"/>
              <w:rPr>
                <w:rFonts w:ascii="Times New Roman" w:eastAsia="Calibri" w:hAnsi="Times New Roman" w:cs="Times New Roman"/>
                <w:noProof/>
                <w:sz w:val="24"/>
                <w:lang w:val="pl-PL"/>
              </w:rPr>
            </w:pPr>
            <w:r w:rsidRPr="00FC6D7F">
              <w:rPr>
                <w:rFonts w:ascii="Times New Roman" w:hAnsi="Times New Roman"/>
                <w:i/>
                <w:noProof/>
                <w:sz w:val="24"/>
                <w:lang w:val="pl-PL"/>
              </w:rPr>
              <w:t>Promowanie obywatelstwa</w:t>
            </w:r>
            <w:r w:rsidR="00D55672" w:rsidRPr="00FC6D7F">
              <w:rPr>
                <w:rFonts w:ascii="Times New Roman" w:hAnsi="Times New Roman"/>
                <w:i/>
                <w:noProof/>
                <w:sz w:val="24"/>
                <w:lang w:val="pl-PL"/>
              </w:rPr>
              <w:t xml:space="preserve"> i</w:t>
            </w:r>
            <w:r w:rsidR="00D55672">
              <w:rPr>
                <w:rFonts w:ascii="Times New Roman" w:hAnsi="Times New Roman"/>
                <w:i/>
                <w:noProof/>
                <w:sz w:val="24"/>
                <w:lang w:val="pl-PL"/>
              </w:rPr>
              <w:t> </w:t>
            </w:r>
            <w:r w:rsidR="00D55672" w:rsidRPr="00FC6D7F">
              <w:rPr>
                <w:rFonts w:ascii="Times New Roman" w:hAnsi="Times New Roman"/>
                <w:i/>
                <w:noProof/>
                <w:sz w:val="24"/>
                <w:lang w:val="pl-PL"/>
              </w:rPr>
              <w:t>war</w:t>
            </w:r>
            <w:r w:rsidRPr="00FC6D7F">
              <w:rPr>
                <w:rFonts w:ascii="Times New Roman" w:hAnsi="Times New Roman"/>
                <w:i/>
                <w:noProof/>
                <w:sz w:val="24"/>
                <w:lang w:val="pl-PL"/>
              </w:rPr>
              <w:t>tości Unii</w:t>
            </w:r>
          </w:p>
        </w:tc>
      </w:tr>
      <w:tr w:rsidR="00931C3D" w14:paraId="0DCB8726" w14:textId="77777777" w:rsidTr="00056C57">
        <w:tc>
          <w:tcPr>
            <w:tcW w:w="3256" w:type="dxa"/>
          </w:tcPr>
          <w:p w14:paraId="1E75CB3E" w14:textId="342435DE" w:rsidR="00931C3D" w:rsidRPr="00FC6D7F" w:rsidRDefault="00931C3D" w:rsidP="00931C3D">
            <w:pPr>
              <w:spacing w:line="276" w:lineRule="auto"/>
              <w:jc w:val="both"/>
              <w:rPr>
                <w:rFonts w:ascii="Times New Roman" w:eastAsia="Calibri" w:hAnsi="Times New Roman" w:cs="Times New Roman"/>
                <w:b/>
                <w:noProof/>
                <w:sz w:val="24"/>
                <w:lang w:val="pl-PL"/>
              </w:rPr>
            </w:pPr>
            <w:r w:rsidRPr="00FC6D7F">
              <w:rPr>
                <w:rFonts w:ascii="Times New Roman" w:hAnsi="Times New Roman"/>
                <w:b/>
                <w:noProof/>
                <w:sz w:val="24"/>
                <w:lang w:val="pl-PL"/>
              </w:rPr>
              <w:t>13.</w:t>
            </w:r>
            <w:r w:rsidRPr="00FC6D7F">
              <w:rPr>
                <w:rFonts w:ascii="Times New Roman" w:hAnsi="Times New Roman"/>
                <w:noProof/>
                <w:sz w:val="24"/>
                <w:lang w:val="pl-PL"/>
              </w:rPr>
              <w:t xml:space="preserve"> Komisja zaproponuje nowe środki na rzecz równości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eciwdziałania dyskryminacji, zapowiedziane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dok</w:t>
            </w:r>
            <w:r w:rsidRPr="00FC6D7F">
              <w:rPr>
                <w:rFonts w:ascii="Times New Roman" w:hAnsi="Times New Roman"/>
                <w:noProof/>
                <w:sz w:val="24"/>
                <w:lang w:val="pl-PL"/>
              </w:rPr>
              <w:t>umentach strategicznych.</w:t>
            </w:r>
          </w:p>
        </w:tc>
        <w:tc>
          <w:tcPr>
            <w:tcW w:w="6094" w:type="dxa"/>
          </w:tcPr>
          <w:p w14:paraId="313D8E24" w14:textId="017C2DA2" w:rsidR="00F266F8" w:rsidRPr="0072798E" w:rsidRDefault="00F266F8" w:rsidP="00F266F8">
            <w:pPr>
              <w:numPr>
                <w:ilvl w:val="0"/>
                <w:numId w:val="9"/>
              </w:numPr>
              <w:spacing w:line="276" w:lineRule="auto"/>
              <w:contextualSpacing/>
              <w:jc w:val="both"/>
              <w:rPr>
                <w:rFonts w:ascii="Times New Roman" w:eastAsia="Calibri" w:hAnsi="Times New Roman" w:cs="Times New Roman"/>
                <w:noProof/>
                <w:sz w:val="24"/>
              </w:rPr>
            </w:pPr>
            <w:r w:rsidRPr="00FC6D7F">
              <w:rPr>
                <w:rFonts w:ascii="Times New Roman" w:hAnsi="Times New Roman"/>
                <w:noProof/>
                <w:sz w:val="24"/>
                <w:lang w:val="pl-PL"/>
              </w:rPr>
              <w:t xml:space="preserve">Komisja zrealizowała kilka kluczowych celów swojej </w:t>
            </w:r>
            <w:r w:rsidRPr="00FC6D7F">
              <w:rPr>
                <w:rFonts w:ascii="Times New Roman" w:hAnsi="Times New Roman"/>
                <w:b/>
                <w:noProof/>
                <w:sz w:val="24"/>
                <w:lang w:val="pl-PL"/>
              </w:rPr>
              <w:t>strategii na rzecz równouprawnienia płci</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mar</w:t>
            </w:r>
            <w:r w:rsidRPr="00FC6D7F">
              <w:rPr>
                <w:rFonts w:ascii="Times New Roman" w:hAnsi="Times New Roman"/>
                <w:noProof/>
                <w:sz w:val="24"/>
                <w:lang w:val="pl-PL"/>
              </w:rPr>
              <w:t>cu 20</w:t>
            </w:r>
            <w:r w:rsidRPr="00D55672">
              <w:rPr>
                <w:rFonts w:ascii="Times New Roman" w:hAnsi="Times New Roman"/>
                <w:noProof/>
                <w:sz w:val="24"/>
                <w:lang w:val="pl-PL"/>
              </w:rPr>
              <w:t>22</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Komisja przyjęła wniosek dotyczący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zwalczania przemocy wobec kobiet</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emocy domowej</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lat</w:t>
            </w:r>
            <w:r w:rsidRPr="00FC6D7F">
              <w:rPr>
                <w:rFonts w:ascii="Times New Roman" w:hAnsi="Times New Roman"/>
                <w:noProof/>
                <w:sz w:val="24"/>
                <w:lang w:val="pl-PL"/>
              </w:rPr>
              <w:t>ach 2022</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023 Komisja ułatwiła również osiągnięcie porozumienia między Parlamentem Europejskim</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Rad</w:t>
            </w:r>
            <w:r w:rsidRPr="00FC6D7F">
              <w:rPr>
                <w:rFonts w:ascii="Times New Roman" w:hAnsi="Times New Roman"/>
                <w:noProof/>
                <w:sz w:val="24"/>
                <w:lang w:val="pl-PL"/>
              </w:rPr>
              <w:t>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kwe</w:t>
            </w:r>
            <w:r w:rsidRPr="00FC6D7F">
              <w:rPr>
                <w:rFonts w:ascii="Times New Roman" w:hAnsi="Times New Roman"/>
                <w:noProof/>
                <w:sz w:val="24"/>
                <w:lang w:val="pl-PL"/>
              </w:rPr>
              <w:t>stii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równowagi płci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org</w:t>
            </w:r>
            <w:r w:rsidRPr="00FC6D7F">
              <w:rPr>
                <w:rFonts w:ascii="Times New Roman" w:hAnsi="Times New Roman"/>
                <w:noProof/>
                <w:sz w:val="24"/>
                <w:lang w:val="pl-PL"/>
              </w:rPr>
              <w:t>anach spółek oraz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przejrzystości wynagrodzeń,</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tak</w:t>
            </w:r>
            <w:r w:rsidRPr="00FC6D7F">
              <w:rPr>
                <w:rFonts w:ascii="Times New Roman" w:hAnsi="Times New Roman"/>
                <w:noProof/>
                <w:sz w:val="24"/>
                <w:lang w:val="pl-PL"/>
              </w:rPr>
              <w:t>że sfinalizowanie przystąpienia UE do Konwencji Rady Europy</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zap</w:t>
            </w:r>
            <w:r w:rsidRPr="00FC6D7F">
              <w:rPr>
                <w:rFonts w:ascii="Times New Roman" w:hAnsi="Times New Roman"/>
                <w:noProof/>
                <w:sz w:val="24"/>
                <w:lang w:val="pl-PL"/>
              </w:rPr>
              <w:t>obieganiu</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zwa</w:t>
            </w:r>
            <w:r w:rsidRPr="00FC6D7F">
              <w:rPr>
                <w:rFonts w:ascii="Times New Roman" w:hAnsi="Times New Roman"/>
                <w:noProof/>
                <w:sz w:val="24"/>
                <w:lang w:val="pl-PL"/>
              </w:rPr>
              <w:t>lczaniu przemocy wobec kobiet</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 xml:space="preserve">emocy domowej. </w:t>
            </w:r>
            <w:r>
              <w:rPr>
                <w:rFonts w:ascii="Times New Roman" w:hAnsi="Times New Roman"/>
                <w:i/>
                <w:noProof/>
                <w:sz w:val="24"/>
              </w:rPr>
              <w:t>(aby uzyskać więcej informacji, zob. sprawozdanie s. 12–13)</w:t>
            </w:r>
          </w:p>
          <w:p w14:paraId="74E0EA68" w14:textId="4ADD7819" w:rsidR="00F266F8" w:rsidRPr="00056C57" w:rsidRDefault="00F266F8" w:rsidP="00F266F8">
            <w:pPr>
              <w:numPr>
                <w:ilvl w:val="0"/>
                <w:numId w:val="9"/>
              </w:numPr>
              <w:spacing w:line="276" w:lineRule="auto"/>
              <w:contextualSpacing/>
              <w:jc w:val="both"/>
              <w:rPr>
                <w:rFonts w:ascii="Times New Roman" w:eastAsia="Calibri" w:hAnsi="Times New Roman" w:cs="Times New Roman"/>
                <w:noProof/>
                <w:sz w:val="24"/>
              </w:rPr>
            </w:pPr>
            <w:r w:rsidRPr="00FC6D7F">
              <w:rPr>
                <w:rFonts w:ascii="Times New Roman" w:hAnsi="Times New Roman"/>
                <w:noProof/>
                <w:sz w:val="24"/>
                <w:lang w:val="pl-PL"/>
              </w:rPr>
              <w:t xml:space="preserve">Komisja kontynuowała wdrażanie ambitnego </w:t>
            </w:r>
            <w:r w:rsidRPr="00FC6D7F">
              <w:rPr>
                <w:rFonts w:ascii="Times New Roman" w:hAnsi="Times New Roman"/>
                <w:b/>
                <w:noProof/>
                <w:sz w:val="24"/>
                <w:lang w:val="pl-PL"/>
              </w:rPr>
              <w:t>unijnego planu działania przeciwko rasizmowi</w:t>
            </w:r>
            <w:r w:rsidRPr="00FC6D7F">
              <w:rPr>
                <w:rFonts w:ascii="Times New Roman" w:hAnsi="Times New Roman"/>
                <w:noProof/>
                <w:sz w:val="24"/>
                <w:lang w:val="pl-PL"/>
              </w:rPr>
              <w:t xml:space="preserve"> na lata 2020–2025. Obejmowało to m.in. powołanie pierwszego koordynatora ds. przeciwdziałania rasizmowi oraz prace nad wspieraniem państw członkowskich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opr</w:t>
            </w:r>
            <w:r w:rsidRPr="00FC6D7F">
              <w:rPr>
                <w:rFonts w:ascii="Times New Roman" w:hAnsi="Times New Roman"/>
                <w:noProof/>
                <w:sz w:val="24"/>
                <w:lang w:val="pl-PL"/>
              </w:rPr>
              <w:t>acowywaniu krajowych planów działania przeciwko rasizmowi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dys</w:t>
            </w:r>
            <w:r w:rsidRPr="00FC6D7F">
              <w:rPr>
                <w:rFonts w:ascii="Times New Roman" w:hAnsi="Times New Roman"/>
                <w:noProof/>
                <w:sz w:val="24"/>
                <w:lang w:val="pl-PL"/>
              </w:rPr>
              <w:t xml:space="preserve">kryminacji rasowej. </w:t>
            </w:r>
            <w:r>
              <w:rPr>
                <w:rFonts w:ascii="Times New Roman" w:hAnsi="Times New Roman"/>
                <w:i/>
                <w:noProof/>
                <w:sz w:val="24"/>
              </w:rPr>
              <w:t>(aby uzyskać więcej informacji, zob. sprawozdanie s. 13–14)</w:t>
            </w:r>
          </w:p>
          <w:p w14:paraId="099BD29B" w14:textId="47D9B52F" w:rsidR="00F266F8" w:rsidRPr="0072798E" w:rsidRDefault="00F266F8" w:rsidP="00F266F8">
            <w:pPr>
              <w:numPr>
                <w:ilvl w:val="0"/>
                <w:numId w:val="9"/>
              </w:numPr>
              <w:spacing w:line="276" w:lineRule="auto"/>
              <w:contextualSpacing/>
              <w:jc w:val="both"/>
              <w:rPr>
                <w:rFonts w:ascii="Times New Roman" w:eastAsia="Calibri" w:hAnsi="Times New Roman" w:cs="Times New Roman"/>
                <w:noProof/>
                <w:sz w:val="24"/>
              </w:rPr>
            </w:pPr>
            <w:r w:rsidRPr="00FC6D7F">
              <w:rPr>
                <w:rFonts w:ascii="Times New Roman" w:hAnsi="Times New Roman"/>
                <w:noProof/>
                <w:sz w:val="24"/>
                <w:shd w:val="clear" w:color="auto" w:fill="FFFFFF"/>
                <w:lang w:val="pl-PL"/>
              </w:rPr>
              <w:t xml:space="preserve">W ramach swoich starań na rzecz zwalczania </w:t>
            </w:r>
            <w:r w:rsidRPr="00FC6D7F">
              <w:rPr>
                <w:rFonts w:ascii="Times New Roman" w:hAnsi="Times New Roman"/>
                <w:b/>
                <w:noProof/>
                <w:sz w:val="24"/>
                <w:shd w:val="clear" w:color="auto" w:fill="FFFFFF"/>
                <w:lang w:val="pl-PL"/>
              </w:rPr>
              <w:t>nawoływania do nienawiści</w:t>
            </w:r>
            <w:r w:rsidR="00D55672" w:rsidRPr="00FC6D7F">
              <w:rPr>
                <w:rFonts w:ascii="Times New Roman" w:hAnsi="Times New Roman"/>
                <w:b/>
                <w:noProof/>
                <w:sz w:val="24"/>
                <w:shd w:val="clear" w:color="auto" w:fill="FFFFFF"/>
                <w:lang w:val="pl-PL"/>
              </w:rPr>
              <w:t xml:space="preserve"> i</w:t>
            </w:r>
            <w:r w:rsidR="00D55672">
              <w:rPr>
                <w:rFonts w:ascii="Times New Roman" w:hAnsi="Times New Roman"/>
                <w:b/>
                <w:noProof/>
                <w:sz w:val="24"/>
                <w:shd w:val="clear" w:color="auto" w:fill="FFFFFF"/>
                <w:lang w:val="pl-PL"/>
              </w:rPr>
              <w:t> </w:t>
            </w:r>
            <w:r w:rsidR="00D55672" w:rsidRPr="00FC6D7F">
              <w:rPr>
                <w:rFonts w:ascii="Times New Roman" w:hAnsi="Times New Roman"/>
                <w:b/>
                <w:noProof/>
                <w:sz w:val="24"/>
                <w:shd w:val="clear" w:color="auto" w:fill="FFFFFF"/>
                <w:lang w:val="pl-PL"/>
              </w:rPr>
              <w:t>prz</w:t>
            </w:r>
            <w:r w:rsidRPr="00FC6D7F">
              <w:rPr>
                <w:rFonts w:ascii="Times New Roman" w:hAnsi="Times New Roman"/>
                <w:b/>
                <w:noProof/>
                <w:sz w:val="24"/>
                <w:shd w:val="clear" w:color="auto" w:fill="FFFFFF"/>
                <w:lang w:val="pl-PL"/>
              </w:rPr>
              <w:t>estępstw</w:t>
            </w:r>
            <w:r w:rsidR="00D55672" w:rsidRPr="00FC6D7F">
              <w:rPr>
                <w:rFonts w:ascii="Times New Roman" w:hAnsi="Times New Roman"/>
                <w:b/>
                <w:noProof/>
                <w:sz w:val="24"/>
                <w:shd w:val="clear" w:color="auto" w:fill="FFFFFF"/>
                <w:lang w:val="pl-PL"/>
              </w:rPr>
              <w:t xml:space="preserve"> z</w:t>
            </w:r>
            <w:r w:rsidR="00D55672">
              <w:rPr>
                <w:rFonts w:ascii="Times New Roman" w:hAnsi="Times New Roman"/>
                <w:b/>
                <w:noProof/>
                <w:sz w:val="24"/>
                <w:shd w:val="clear" w:color="auto" w:fill="FFFFFF"/>
                <w:lang w:val="pl-PL"/>
              </w:rPr>
              <w:t> </w:t>
            </w:r>
            <w:r w:rsidR="00D55672" w:rsidRPr="00FC6D7F">
              <w:rPr>
                <w:rFonts w:ascii="Times New Roman" w:hAnsi="Times New Roman"/>
                <w:b/>
                <w:noProof/>
                <w:sz w:val="24"/>
                <w:shd w:val="clear" w:color="auto" w:fill="FFFFFF"/>
                <w:lang w:val="pl-PL"/>
              </w:rPr>
              <w:t>nie</w:t>
            </w:r>
            <w:r w:rsidRPr="00FC6D7F">
              <w:rPr>
                <w:rFonts w:ascii="Times New Roman" w:hAnsi="Times New Roman"/>
                <w:b/>
                <w:noProof/>
                <w:sz w:val="24"/>
                <w:shd w:val="clear" w:color="auto" w:fill="FFFFFF"/>
                <w:lang w:val="pl-PL"/>
              </w:rPr>
              <w:t>nawiści</w:t>
            </w:r>
            <w:r w:rsidRPr="00FC6D7F">
              <w:rPr>
                <w:rFonts w:ascii="Times New Roman" w:hAnsi="Times New Roman"/>
                <w:noProof/>
                <w:sz w:val="24"/>
                <w:shd w:val="clear" w:color="auto" w:fill="FFFFFF"/>
                <w:lang w:val="pl-PL"/>
              </w:rPr>
              <w:t xml:space="preserve"> Komisja </w:t>
            </w:r>
            <w:r w:rsidRPr="00FC6D7F">
              <w:rPr>
                <w:rFonts w:ascii="Times New Roman" w:hAnsi="Times New Roman"/>
                <w:noProof/>
                <w:sz w:val="24"/>
                <w:lang w:val="pl-PL"/>
              </w:rPr>
              <w:t>zapewnia skuteczną transpozycję decyzji ramowej</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zwalczania rasizmu</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kse</w:t>
            </w:r>
            <w:r w:rsidRPr="00FC6D7F">
              <w:rPr>
                <w:rFonts w:ascii="Times New Roman" w:hAnsi="Times New Roman"/>
                <w:noProof/>
                <w:sz w:val="24"/>
                <w:lang w:val="pl-PL"/>
              </w:rPr>
              <w:t>nofobii.</w:t>
            </w:r>
            <w:r w:rsidRPr="00FC6D7F">
              <w:rPr>
                <w:rFonts w:ascii="Times New Roman" w:hAnsi="Times New Roman"/>
                <w:noProof/>
                <w:sz w:val="24"/>
                <w:shd w:val="clear" w:color="auto" w:fill="FFFFFF"/>
                <w:lang w:val="pl-PL"/>
              </w:rPr>
              <w:t xml:space="preserve"> Komisja przyjęła komunikat</w:t>
            </w:r>
            <w:r w:rsidR="00D55672" w:rsidRPr="00FC6D7F">
              <w:rPr>
                <w:rFonts w:ascii="Times New Roman" w:hAnsi="Times New Roman"/>
                <w:noProof/>
                <w:sz w:val="24"/>
                <w:shd w:val="clear" w:color="auto" w:fill="FFFFFF"/>
                <w:lang w:val="pl-PL"/>
              </w:rPr>
              <w:t xml:space="preserve"> w</w:t>
            </w:r>
            <w:r w:rsidR="00D55672">
              <w:rPr>
                <w:rFonts w:ascii="Times New Roman" w:hAnsi="Times New Roman"/>
                <w:noProof/>
                <w:sz w:val="24"/>
                <w:shd w:val="clear" w:color="auto" w:fill="FFFFFF"/>
                <w:lang w:val="pl-PL"/>
              </w:rPr>
              <w:t> </w:t>
            </w:r>
            <w:r w:rsidR="00D55672" w:rsidRPr="00FC6D7F">
              <w:rPr>
                <w:rFonts w:ascii="Times New Roman" w:hAnsi="Times New Roman"/>
                <w:noProof/>
                <w:sz w:val="24"/>
                <w:shd w:val="clear" w:color="auto" w:fill="FFFFFF"/>
                <w:lang w:val="pl-PL"/>
              </w:rPr>
              <w:t>spr</w:t>
            </w:r>
            <w:r w:rsidRPr="00FC6D7F">
              <w:rPr>
                <w:rFonts w:ascii="Times New Roman" w:hAnsi="Times New Roman"/>
                <w:noProof/>
                <w:sz w:val="24"/>
                <w:shd w:val="clear" w:color="auto" w:fill="FFFFFF"/>
                <w:lang w:val="pl-PL"/>
              </w:rPr>
              <w:t>awie rozszerzenia wykazu „przestępstw UE” określonego</w:t>
            </w:r>
            <w:r w:rsidR="00D55672" w:rsidRPr="00FC6D7F">
              <w:rPr>
                <w:rFonts w:ascii="Times New Roman" w:hAnsi="Times New Roman"/>
                <w:noProof/>
                <w:sz w:val="24"/>
                <w:shd w:val="clear" w:color="auto" w:fill="FFFFFF"/>
                <w:lang w:val="pl-PL"/>
              </w:rPr>
              <w:t xml:space="preserve"> w</w:t>
            </w:r>
            <w:r w:rsidR="00D55672">
              <w:rPr>
                <w:rFonts w:ascii="Times New Roman" w:hAnsi="Times New Roman"/>
                <w:noProof/>
                <w:sz w:val="24"/>
                <w:shd w:val="clear" w:color="auto" w:fill="FFFFFF"/>
                <w:lang w:val="pl-PL"/>
              </w:rPr>
              <w:t> </w:t>
            </w:r>
            <w:r w:rsidR="00D55672" w:rsidRPr="00FC6D7F">
              <w:rPr>
                <w:rFonts w:ascii="Times New Roman" w:hAnsi="Times New Roman"/>
                <w:noProof/>
                <w:sz w:val="24"/>
                <w:shd w:val="clear" w:color="auto" w:fill="FFFFFF"/>
                <w:lang w:val="pl-PL"/>
              </w:rPr>
              <w:t>Tra</w:t>
            </w:r>
            <w:r w:rsidRPr="00FC6D7F">
              <w:rPr>
                <w:rFonts w:ascii="Times New Roman" w:hAnsi="Times New Roman"/>
                <w:noProof/>
                <w:sz w:val="24"/>
                <w:shd w:val="clear" w:color="auto" w:fill="FFFFFF"/>
                <w:lang w:val="pl-PL"/>
              </w:rPr>
              <w:t>ktacie</w:t>
            </w:r>
            <w:r w:rsidR="00D55672" w:rsidRPr="00FC6D7F">
              <w:rPr>
                <w:rFonts w:ascii="Times New Roman" w:hAnsi="Times New Roman"/>
                <w:noProof/>
                <w:sz w:val="24"/>
                <w:shd w:val="clear" w:color="auto" w:fill="FFFFFF"/>
                <w:lang w:val="pl-PL"/>
              </w:rPr>
              <w:t xml:space="preserve"> o</w:t>
            </w:r>
            <w:r w:rsidR="00D55672">
              <w:rPr>
                <w:rFonts w:ascii="Times New Roman" w:hAnsi="Times New Roman"/>
                <w:noProof/>
                <w:sz w:val="24"/>
                <w:shd w:val="clear" w:color="auto" w:fill="FFFFFF"/>
                <w:lang w:val="pl-PL"/>
              </w:rPr>
              <w:t> </w:t>
            </w:r>
            <w:r w:rsidR="00D55672" w:rsidRPr="00FC6D7F">
              <w:rPr>
                <w:rFonts w:ascii="Times New Roman" w:hAnsi="Times New Roman"/>
                <w:noProof/>
                <w:sz w:val="24"/>
                <w:shd w:val="clear" w:color="auto" w:fill="FFFFFF"/>
                <w:lang w:val="pl-PL"/>
              </w:rPr>
              <w:t>fun</w:t>
            </w:r>
            <w:r w:rsidRPr="00FC6D7F">
              <w:rPr>
                <w:rFonts w:ascii="Times New Roman" w:hAnsi="Times New Roman"/>
                <w:noProof/>
                <w:sz w:val="24"/>
                <w:shd w:val="clear" w:color="auto" w:fill="FFFFFF"/>
                <w:lang w:val="pl-PL"/>
              </w:rPr>
              <w:t>kcjonowaniu Unii Europejskiej</w:t>
            </w:r>
            <w:r w:rsidR="00D55672" w:rsidRPr="00FC6D7F">
              <w:rPr>
                <w:rFonts w:ascii="Times New Roman" w:hAnsi="Times New Roman"/>
                <w:noProof/>
                <w:sz w:val="24"/>
                <w:shd w:val="clear" w:color="auto" w:fill="FFFFFF"/>
                <w:lang w:val="pl-PL"/>
              </w:rPr>
              <w:t xml:space="preserve"> o</w:t>
            </w:r>
            <w:r w:rsidR="00D55672">
              <w:rPr>
                <w:rFonts w:ascii="Times New Roman" w:hAnsi="Times New Roman"/>
                <w:noProof/>
                <w:sz w:val="24"/>
                <w:shd w:val="clear" w:color="auto" w:fill="FFFFFF"/>
                <w:lang w:val="pl-PL"/>
              </w:rPr>
              <w:t> </w:t>
            </w:r>
            <w:r w:rsidR="00D55672" w:rsidRPr="00FC6D7F">
              <w:rPr>
                <w:rFonts w:ascii="Times New Roman" w:hAnsi="Times New Roman"/>
                <w:noProof/>
                <w:sz w:val="24"/>
                <w:shd w:val="clear" w:color="auto" w:fill="FFFFFF"/>
                <w:lang w:val="pl-PL"/>
              </w:rPr>
              <w:t>naw</w:t>
            </w:r>
            <w:r w:rsidRPr="00FC6D7F">
              <w:rPr>
                <w:rFonts w:ascii="Times New Roman" w:hAnsi="Times New Roman"/>
                <w:noProof/>
                <w:sz w:val="24"/>
                <w:shd w:val="clear" w:color="auto" w:fill="FFFFFF"/>
                <w:lang w:val="pl-PL"/>
              </w:rPr>
              <w:t>oływanie do nienawiści</w:t>
            </w:r>
            <w:r w:rsidR="00D55672" w:rsidRPr="00FC6D7F">
              <w:rPr>
                <w:rFonts w:ascii="Times New Roman" w:hAnsi="Times New Roman"/>
                <w:noProof/>
                <w:sz w:val="24"/>
                <w:shd w:val="clear" w:color="auto" w:fill="FFFFFF"/>
                <w:lang w:val="pl-PL"/>
              </w:rPr>
              <w:t xml:space="preserve"> i</w:t>
            </w:r>
            <w:r w:rsidR="00D55672">
              <w:rPr>
                <w:rFonts w:ascii="Times New Roman" w:hAnsi="Times New Roman"/>
                <w:noProof/>
                <w:sz w:val="24"/>
                <w:shd w:val="clear" w:color="auto" w:fill="FFFFFF"/>
                <w:lang w:val="pl-PL"/>
              </w:rPr>
              <w:t> </w:t>
            </w:r>
            <w:r w:rsidR="00D55672" w:rsidRPr="00FC6D7F">
              <w:rPr>
                <w:rFonts w:ascii="Times New Roman" w:hAnsi="Times New Roman"/>
                <w:noProof/>
                <w:sz w:val="24"/>
                <w:shd w:val="clear" w:color="auto" w:fill="FFFFFF"/>
                <w:lang w:val="pl-PL"/>
              </w:rPr>
              <w:t>prz</w:t>
            </w:r>
            <w:r w:rsidRPr="00FC6D7F">
              <w:rPr>
                <w:rFonts w:ascii="Times New Roman" w:hAnsi="Times New Roman"/>
                <w:noProof/>
                <w:sz w:val="24"/>
                <w:shd w:val="clear" w:color="auto" w:fill="FFFFFF"/>
                <w:lang w:val="pl-PL"/>
              </w:rPr>
              <w:t>estępstwa</w:t>
            </w:r>
            <w:r w:rsidR="00D55672" w:rsidRPr="00FC6D7F">
              <w:rPr>
                <w:rFonts w:ascii="Times New Roman" w:hAnsi="Times New Roman"/>
                <w:noProof/>
                <w:sz w:val="24"/>
                <w:shd w:val="clear" w:color="auto" w:fill="FFFFFF"/>
                <w:lang w:val="pl-PL"/>
              </w:rPr>
              <w:t xml:space="preserve"> z</w:t>
            </w:r>
            <w:r w:rsidR="00D55672">
              <w:rPr>
                <w:rFonts w:ascii="Times New Roman" w:hAnsi="Times New Roman"/>
                <w:noProof/>
                <w:sz w:val="24"/>
                <w:shd w:val="clear" w:color="auto" w:fill="FFFFFF"/>
                <w:lang w:val="pl-PL"/>
              </w:rPr>
              <w:t> </w:t>
            </w:r>
            <w:r w:rsidR="00D55672" w:rsidRPr="00FC6D7F">
              <w:rPr>
                <w:rFonts w:ascii="Times New Roman" w:hAnsi="Times New Roman"/>
                <w:noProof/>
                <w:sz w:val="24"/>
                <w:shd w:val="clear" w:color="auto" w:fill="FFFFFF"/>
                <w:lang w:val="pl-PL"/>
              </w:rPr>
              <w:t>nie</w:t>
            </w:r>
            <w:r w:rsidRPr="00FC6D7F">
              <w:rPr>
                <w:rFonts w:ascii="Times New Roman" w:hAnsi="Times New Roman"/>
                <w:noProof/>
                <w:sz w:val="24"/>
                <w:shd w:val="clear" w:color="auto" w:fill="FFFFFF"/>
                <w:lang w:val="pl-PL"/>
              </w:rPr>
              <w:t>nawiści. Komisja negocjuje również zmianę kodeksu postępowania</w:t>
            </w:r>
            <w:r w:rsidR="00D55672" w:rsidRPr="00FC6D7F">
              <w:rPr>
                <w:rFonts w:ascii="Times New Roman" w:hAnsi="Times New Roman"/>
                <w:noProof/>
                <w:sz w:val="24"/>
                <w:shd w:val="clear" w:color="auto" w:fill="FFFFFF"/>
                <w:lang w:val="pl-PL"/>
              </w:rPr>
              <w:t xml:space="preserve"> z</w:t>
            </w:r>
            <w:r w:rsidR="00D55672">
              <w:rPr>
                <w:rFonts w:ascii="Times New Roman" w:hAnsi="Times New Roman"/>
                <w:noProof/>
                <w:sz w:val="24"/>
                <w:shd w:val="clear" w:color="auto" w:fill="FFFFFF"/>
                <w:lang w:val="pl-PL"/>
              </w:rPr>
              <w:t> </w:t>
            </w:r>
            <w:r w:rsidR="00D55672" w:rsidRPr="00FC6D7F">
              <w:rPr>
                <w:rFonts w:ascii="Times New Roman" w:hAnsi="Times New Roman"/>
                <w:noProof/>
                <w:sz w:val="24"/>
                <w:shd w:val="clear" w:color="auto" w:fill="FFFFFF"/>
                <w:lang w:val="pl-PL"/>
              </w:rPr>
              <w:t>2</w:t>
            </w:r>
            <w:r w:rsidRPr="00FC6D7F">
              <w:rPr>
                <w:rFonts w:ascii="Times New Roman" w:hAnsi="Times New Roman"/>
                <w:noProof/>
                <w:sz w:val="24"/>
                <w:shd w:val="clear" w:color="auto" w:fill="FFFFFF"/>
                <w:lang w:val="pl-PL"/>
              </w:rPr>
              <w:t>0</w:t>
            </w:r>
            <w:r w:rsidRPr="00D55672">
              <w:rPr>
                <w:rFonts w:ascii="Times New Roman" w:hAnsi="Times New Roman"/>
                <w:noProof/>
                <w:sz w:val="24"/>
                <w:shd w:val="clear" w:color="auto" w:fill="FFFFFF"/>
                <w:lang w:val="pl-PL"/>
              </w:rPr>
              <w:t>16</w:t>
            </w:r>
            <w:r w:rsidR="00D55672" w:rsidRPr="00D55672">
              <w:rPr>
                <w:rFonts w:ascii="Times New Roman" w:hAnsi="Times New Roman"/>
                <w:noProof/>
                <w:sz w:val="24"/>
                <w:shd w:val="clear" w:color="auto" w:fill="FFFFFF"/>
                <w:lang w:val="pl-PL"/>
              </w:rPr>
              <w:t> </w:t>
            </w:r>
            <w:r w:rsidRPr="00D55672">
              <w:rPr>
                <w:rFonts w:ascii="Times New Roman" w:hAnsi="Times New Roman"/>
                <w:noProof/>
                <w:sz w:val="24"/>
                <w:shd w:val="clear" w:color="auto" w:fill="FFFFFF"/>
                <w:lang w:val="pl-PL"/>
              </w:rPr>
              <w:t>r.</w:t>
            </w:r>
            <w:r w:rsidR="00D55672" w:rsidRPr="00FC6D7F">
              <w:rPr>
                <w:rFonts w:ascii="Times New Roman" w:hAnsi="Times New Roman"/>
                <w:noProof/>
                <w:sz w:val="24"/>
                <w:shd w:val="clear" w:color="auto" w:fill="FFFFFF"/>
                <w:lang w:val="pl-PL"/>
              </w:rPr>
              <w:t xml:space="preserve"> w</w:t>
            </w:r>
            <w:r w:rsidR="00D55672">
              <w:rPr>
                <w:rFonts w:ascii="Times New Roman" w:hAnsi="Times New Roman"/>
                <w:noProof/>
                <w:sz w:val="24"/>
                <w:shd w:val="clear" w:color="auto" w:fill="FFFFFF"/>
                <w:lang w:val="pl-PL"/>
              </w:rPr>
              <w:t> </w:t>
            </w:r>
            <w:r w:rsidR="00D55672" w:rsidRPr="00FC6D7F">
              <w:rPr>
                <w:rFonts w:ascii="Times New Roman" w:hAnsi="Times New Roman"/>
                <w:noProof/>
                <w:sz w:val="24"/>
                <w:shd w:val="clear" w:color="auto" w:fill="FFFFFF"/>
                <w:lang w:val="pl-PL"/>
              </w:rPr>
              <w:t>zak</w:t>
            </w:r>
            <w:r w:rsidRPr="00FC6D7F">
              <w:rPr>
                <w:rFonts w:ascii="Times New Roman" w:hAnsi="Times New Roman"/>
                <w:noProof/>
                <w:sz w:val="24"/>
                <w:shd w:val="clear" w:color="auto" w:fill="FFFFFF"/>
                <w:lang w:val="pl-PL"/>
              </w:rPr>
              <w:t>resie zwalczania nielegalnego nawoływania do nienawiści</w:t>
            </w:r>
            <w:r w:rsidR="00D55672" w:rsidRPr="00FC6D7F">
              <w:rPr>
                <w:rFonts w:ascii="Times New Roman" w:hAnsi="Times New Roman"/>
                <w:noProof/>
                <w:sz w:val="24"/>
                <w:shd w:val="clear" w:color="auto" w:fill="FFFFFF"/>
                <w:lang w:val="pl-PL"/>
              </w:rPr>
              <w:t xml:space="preserve"> w</w:t>
            </w:r>
            <w:r w:rsidR="00D55672">
              <w:rPr>
                <w:rFonts w:ascii="Times New Roman" w:hAnsi="Times New Roman"/>
                <w:noProof/>
                <w:sz w:val="24"/>
                <w:shd w:val="clear" w:color="auto" w:fill="FFFFFF"/>
                <w:lang w:val="pl-PL"/>
              </w:rPr>
              <w:t> </w:t>
            </w:r>
            <w:r w:rsidR="00D55672" w:rsidRPr="00FC6D7F">
              <w:rPr>
                <w:rFonts w:ascii="Times New Roman" w:hAnsi="Times New Roman"/>
                <w:noProof/>
                <w:sz w:val="24"/>
                <w:shd w:val="clear" w:color="auto" w:fill="FFFFFF"/>
                <w:lang w:val="pl-PL"/>
              </w:rPr>
              <w:t>int</w:t>
            </w:r>
            <w:r w:rsidRPr="00FC6D7F">
              <w:rPr>
                <w:rFonts w:ascii="Times New Roman" w:hAnsi="Times New Roman"/>
                <w:noProof/>
                <w:sz w:val="24"/>
                <w:shd w:val="clear" w:color="auto" w:fill="FFFFFF"/>
                <w:lang w:val="pl-PL"/>
              </w:rPr>
              <w:t xml:space="preserve">ernecie. </w:t>
            </w:r>
            <w:r>
              <w:rPr>
                <w:rFonts w:ascii="Times New Roman" w:hAnsi="Times New Roman"/>
                <w:i/>
                <w:noProof/>
                <w:sz w:val="24"/>
                <w:shd w:val="clear" w:color="auto" w:fill="FFFFFF"/>
              </w:rPr>
              <w:t>(aby uzyskać więcej informacji, zob. sprawozdanie s. 14)</w:t>
            </w:r>
          </w:p>
          <w:p w14:paraId="289189E4" w14:textId="729EEB7A" w:rsidR="00F266F8" w:rsidRPr="00056C57" w:rsidRDefault="00F266F8" w:rsidP="00F266F8">
            <w:pPr>
              <w:numPr>
                <w:ilvl w:val="0"/>
                <w:numId w:val="9"/>
              </w:numPr>
              <w:spacing w:line="276" w:lineRule="auto"/>
              <w:contextualSpacing/>
              <w:jc w:val="both"/>
              <w:rPr>
                <w:rFonts w:ascii="Times New Roman" w:eastAsia="Calibri" w:hAnsi="Times New Roman" w:cs="Times New Roman"/>
                <w:noProof/>
                <w:sz w:val="24"/>
              </w:rPr>
            </w:pPr>
            <w:r w:rsidRPr="00FC6D7F">
              <w:rPr>
                <w:rFonts w:ascii="Times New Roman" w:hAnsi="Times New Roman"/>
                <w:noProof/>
                <w:sz w:val="24"/>
                <w:lang w:val="pl-PL"/>
              </w:rPr>
              <w:t xml:space="preserve">Komisja kontynuowała również wdrażanie unijnych </w:t>
            </w:r>
            <w:r w:rsidRPr="00FC6D7F">
              <w:rPr>
                <w:rFonts w:ascii="Times New Roman" w:hAnsi="Times New Roman"/>
                <w:b/>
                <w:noProof/>
                <w:sz w:val="24"/>
                <w:lang w:val="pl-PL"/>
              </w:rPr>
              <w:t>ram strategicznych</w:t>
            </w:r>
            <w:r w:rsidRPr="00FC6D7F">
              <w:rPr>
                <w:rFonts w:ascii="Times New Roman" w:hAnsi="Times New Roman"/>
                <w:noProof/>
                <w:sz w:val="24"/>
                <w:lang w:val="pl-PL"/>
              </w:rPr>
              <w:t xml:space="preserve"> na rzecz równouprawnienia, włączenia społecznego</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udz</w:t>
            </w:r>
            <w:r w:rsidRPr="00FC6D7F">
              <w:rPr>
                <w:rFonts w:ascii="Times New Roman" w:hAnsi="Times New Roman"/>
                <w:noProof/>
                <w:sz w:val="24"/>
                <w:lang w:val="pl-PL"/>
              </w:rPr>
              <w:t xml:space="preserve">iału </w:t>
            </w:r>
            <w:r w:rsidRPr="00FC6D7F">
              <w:rPr>
                <w:rFonts w:ascii="Times New Roman" w:hAnsi="Times New Roman"/>
                <w:b/>
                <w:bCs/>
                <w:noProof/>
                <w:sz w:val="24"/>
                <w:lang w:val="pl-PL"/>
              </w:rPr>
              <w:t>Romów</w:t>
            </w:r>
            <w:r w:rsidRPr="00FC6D7F">
              <w:rPr>
                <w:rFonts w:ascii="Times New Roman" w:hAnsi="Times New Roman"/>
                <w:noProof/>
                <w:sz w:val="24"/>
                <w:lang w:val="pl-PL"/>
              </w:rPr>
              <w:t xml:space="preserve"> na lata 2020–2030, które są jednym</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pie</w:t>
            </w:r>
            <w:r w:rsidRPr="00FC6D7F">
              <w:rPr>
                <w:rFonts w:ascii="Times New Roman" w:hAnsi="Times New Roman"/>
                <w:noProof/>
                <w:sz w:val="24"/>
                <w:lang w:val="pl-PL"/>
              </w:rPr>
              <w:t>rwszych wyników unijnego planu działania przeciwko rasizmowi. Obejmowało to m.in. publikację komunikatu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 xml:space="preserve">awie oceny krajowych strategicznych ram państw członkowskich dotyczących Romów. </w:t>
            </w:r>
            <w:r>
              <w:rPr>
                <w:rFonts w:ascii="Times New Roman" w:hAnsi="Times New Roman"/>
                <w:i/>
                <w:noProof/>
                <w:sz w:val="24"/>
              </w:rPr>
              <w:t>(aby uzyskać więcej informacji, zob. sprawozdanie s. 14)</w:t>
            </w:r>
          </w:p>
          <w:p w14:paraId="76523030" w14:textId="06CA75BB" w:rsidR="00F266F8" w:rsidRPr="00B4682D" w:rsidRDefault="00F266F8" w:rsidP="00F266F8">
            <w:pPr>
              <w:numPr>
                <w:ilvl w:val="0"/>
                <w:numId w:val="9"/>
              </w:numPr>
              <w:spacing w:line="276" w:lineRule="auto"/>
              <w:contextualSpacing/>
              <w:jc w:val="both"/>
              <w:rPr>
                <w:rFonts w:ascii="Times New Roman" w:eastAsia="Calibri" w:hAnsi="Times New Roman" w:cs="Times New Roman"/>
                <w:noProof/>
                <w:sz w:val="24"/>
              </w:rPr>
            </w:pPr>
            <w:r w:rsidRPr="00FC6D7F">
              <w:rPr>
                <w:rFonts w:ascii="Times New Roman" w:hAnsi="Times New Roman"/>
                <w:noProof/>
                <w:sz w:val="24"/>
                <w:lang w:val="pl-PL"/>
              </w:rPr>
              <w:t>Poczyniono postępy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rea</w:t>
            </w:r>
            <w:r w:rsidRPr="00FC6D7F">
              <w:rPr>
                <w:rFonts w:ascii="Times New Roman" w:hAnsi="Times New Roman"/>
                <w:noProof/>
                <w:sz w:val="24"/>
                <w:lang w:val="pl-PL"/>
              </w:rPr>
              <w:t>lizacji pierwszej</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his</w:t>
            </w:r>
            <w:r w:rsidRPr="00FC6D7F">
              <w:rPr>
                <w:rFonts w:ascii="Times New Roman" w:hAnsi="Times New Roman"/>
                <w:noProof/>
                <w:sz w:val="24"/>
                <w:lang w:val="pl-PL"/>
              </w:rPr>
              <w:t>torii Strategii UE</w:t>
            </w:r>
            <w:r w:rsidR="00D55672" w:rsidRPr="00FC6D7F">
              <w:rPr>
                <w:rFonts w:ascii="Times New Roman" w:hAnsi="Times New Roman"/>
                <w:noProof/>
                <w:sz w:val="24"/>
                <w:lang w:val="pl-PL"/>
              </w:rPr>
              <w:t xml:space="preserve"> </w:t>
            </w:r>
            <w:r w:rsidR="00D55672" w:rsidRPr="00FC6D7F">
              <w:rPr>
                <w:rFonts w:ascii="Times New Roman" w:hAnsi="Times New Roman"/>
                <w:b/>
                <w:noProof/>
                <w:sz w:val="24"/>
                <w:lang w:val="pl-PL"/>
              </w:rPr>
              <w:t>w</w:t>
            </w:r>
            <w:r w:rsidR="00D55672">
              <w:rPr>
                <w:rFonts w:ascii="Times New Roman" w:hAnsi="Times New Roman"/>
                <w:noProof/>
                <w:sz w:val="24"/>
                <w:lang w:val="pl-PL"/>
              </w:rPr>
              <w:t> </w:t>
            </w:r>
            <w:r w:rsidR="00D55672" w:rsidRPr="00FC6D7F">
              <w:rPr>
                <w:rFonts w:ascii="Times New Roman" w:hAnsi="Times New Roman"/>
                <w:b/>
                <w:noProof/>
                <w:sz w:val="24"/>
                <w:lang w:val="pl-PL"/>
              </w:rPr>
              <w:t>spr</w:t>
            </w:r>
            <w:r w:rsidRPr="00FC6D7F">
              <w:rPr>
                <w:rFonts w:ascii="Times New Roman" w:hAnsi="Times New Roman"/>
                <w:b/>
                <w:noProof/>
                <w:sz w:val="24"/>
                <w:lang w:val="pl-PL"/>
              </w:rPr>
              <w:t>awie zwalczania antysemityzmu</w:t>
            </w:r>
            <w:r w:rsidR="00D55672" w:rsidRPr="00FC6D7F">
              <w:rPr>
                <w:rFonts w:ascii="Times New Roman" w:hAnsi="Times New Roman"/>
                <w:b/>
                <w:noProof/>
                <w:sz w:val="24"/>
                <w:lang w:val="pl-PL"/>
              </w:rPr>
              <w:t xml:space="preserve"> </w:t>
            </w:r>
            <w:r w:rsidR="00D55672" w:rsidRPr="00FC6D7F">
              <w:rPr>
                <w:rFonts w:ascii="Times New Roman" w:hAnsi="Times New Roman"/>
                <w:noProof/>
                <w:sz w:val="24"/>
                <w:lang w:val="pl-PL"/>
              </w:rPr>
              <w:t>i</w:t>
            </w:r>
            <w:r w:rsidR="00D55672">
              <w:rPr>
                <w:rFonts w:ascii="Times New Roman" w:hAnsi="Times New Roman"/>
                <w:b/>
                <w:noProof/>
                <w:sz w:val="24"/>
                <w:lang w:val="pl-PL"/>
              </w:rPr>
              <w:t> </w:t>
            </w:r>
            <w:r w:rsidR="00D55672" w:rsidRPr="00FC6D7F">
              <w:rPr>
                <w:rFonts w:ascii="Times New Roman" w:hAnsi="Times New Roman"/>
                <w:noProof/>
                <w:sz w:val="24"/>
                <w:lang w:val="pl-PL"/>
              </w:rPr>
              <w:t>wsp</w:t>
            </w:r>
            <w:r w:rsidRPr="00FC6D7F">
              <w:rPr>
                <w:rFonts w:ascii="Times New Roman" w:hAnsi="Times New Roman"/>
                <w:noProof/>
                <w:sz w:val="24"/>
                <w:lang w:val="pl-PL"/>
              </w:rPr>
              <w:t>ierania życia żydowskiego na lata 2021–2030,</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poprzez przyjęcie konkluzji Rady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walki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ras</w:t>
            </w:r>
            <w:r w:rsidRPr="00FC6D7F">
              <w:rPr>
                <w:rFonts w:ascii="Times New Roman" w:hAnsi="Times New Roman"/>
                <w:noProof/>
                <w:sz w:val="24"/>
                <w:lang w:val="pl-PL"/>
              </w:rPr>
              <w:t>izmem</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ant</w:t>
            </w:r>
            <w:r w:rsidRPr="00FC6D7F">
              <w:rPr>
                <w:rFonts w:ascii="Times New Roman" w:hAnsi="Times New Roman"/>
                <w:noProof/>
                <w:sz w:val="24"/>
                <w:lang w:val="pl-PL"/>
              </w:rPr>
              <w:t>ysemityzmem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mar</w:t>
            </w:r>
            <w:r w:rsidRPr="00FC6D7F">
              <w:rPr>
                <w:rFonts w:ascii="Times New Roman" w:hAnsi="Times New Roman"/>
                <w:noProof/>
                <w:sz w:val="24"/>
                <w:lang w:val="pl-PL"/>
              </w:rPr>
              <w:t>cu 20</w:t>
            </w:r>
            <w:r w:rsidRPr="00D55672">
              <w:rPr>
                <w:rFonts w:ascii="Times New Roman" w:hAnsi="Times New Roman"/>
                <w:noProof/>
                <w:sz w:val="24"/>
                <w:lang w:val="pl-PL"/>
              </w:rPr>
              <w:t>22</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rych zwrócono się do państw członkowskich, by do końca 20</w:t>
            </w:r>
            <w:r w:rsidRPr="00D55672">
              <w:rPr>
                <w:rFonts w:ascii="Times New Roman" w:hAnsi="Times New Roman"/>
                <w:noProof/>
                <w:sz w:val="24"/>
                <w:lang w:val="pl-PL"/>
              </w:rPr>
              <w:t>22</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opracowały krajowe strategie zwalczania antysemityzmu.</w:t>
            </w:r>
            <w:r w:rsidRPr="00FC6D7F">
              <w:rPr>
                <w:rFonts w:ascii="Times New Roman" w:hAnsi="Times New Roman"/>
                <w:i/>
                <w:noProof/>
                <w:sz w:val="24"/>
                <w:lang w:val="pl-PL"/>
              </w:rPr>
              <w:t xml:space="preserve"> </w:t>
            </w:r>
            <w:r>
              <w:rPr>
                <w:rFonts w:ascii="Times New Roman" w:hAnsi="Times New Roman"/>
                <w:i/>
                <w:noProof/>
                <w:sz w:val="24"/>
              </w:rPr>
              <w:t>(aby uzyskać więcej informacji, zob. sprawozdanie s. 15)</w:t>
            </w:r>
          </w:p>
          <w:p w14:paraId="71206EDD" w14:textId="2FCC7E48" w:rsidR="00F266F8" w:rsidRPr="00B4682D" w:rsidRDefault="00F266F8" w:rsidP="00F266F8">
            <w:pPr>
              <w:numPr>
                <w:ilvl w:val="0"/>
                <w:numId w:val="9"/>
              </w:numPr>
              <w:spacing w:line="276" w:lineRule="auto"/>
              <w:contextualSpacing/>
              <w:jc w:val="both"/>
              <w:rPr>
                <w:rFonts w:ascii="Times New Roman" w:eastAsia="Calibri" w:hAnsi="Times New Roman" w:cs="Times New Roman"/>
                <w:i/>
                <w:noProof/>
                <w:sz w:val="24"/>
              </w:rPr>
            </w:pPr>
            <w:r w:rsidRPr="00FC6D7F">
              <w:rPr>
                <w:rFonts w:ascii="Times New Roman" w:hAnsi="Times New Roman"/>
                <w:noProof/>
                <w:sz w:val="24"/>
                <w:lang w:val="pl-PL"/>
              </w:rPr>
              <w:t>W 20</w:t>
            </w:r>
            <w:r w:rsidRPr="00D55672">
              <w:rPr>
                <w:rFonts w:ascii="Times New Roman" w:hAnsi="Times New Roman"/>
                <w:noProof/>
                <w:sz w:val="24"/>
                <w:lang w:val="pl-PL"/>
              </w:rPr>
              <w:t>23</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Komisja powołała również nowego koordynatora ds. </w:t>
            </w:r>
            <w:r w:rsidRPr="00FC6D7F">
              <w:rPr>
                <w:rFonts w:ascii="Times New Roman" w:hAnsi="Times New Roman"/>
                <w:b/>
                <w:noProof/>
                <w:sz w:val="24"/>
                <w:lang w:val="pl-PL"/>
              </w:rPr>
              <w:t>zwalczania</w:t>
            </w:r>
            <w:r w:rsidRPr="00FC6D7F">
              <w:rPr>
                <w:rFonts w:ascii="Times New Roman" w:hAnsi="Times New Roman"/>
                <w:noProof/>
                <w:sz w:val="24"/>
                <w:lang w:val="pl-PL"/>
              </w:rPr>
              <w:t xml:space="preserve"> </w:t>
            </w:r>
            <w:r w:rsidRPr="00FC6D7F">
              <w:rPr>
                <w:rFonts w:ascii="Times New Roman" w:hAnsi="Times New Roman"/>
                <w:b/>
                <w:noProof/>
                <w:sz w:val="24"/>
                <w:lang w:val="pl-PL"/>
              </w:rPr>
              <w:t xml:space="preserve">nienawiści antymuzułmańskiej. </w:t>
            </w:r>
            <w:r>
              <w:rPr>
                <w:rFonts w:ascii="Times New Roman" w:hAnsi="Times New Roman"/>
                <w:i/>
                <w:noProof/>
                <w:sz w:val="24"/>
              </w:rPr>
              <w:t>(aby uzyskać więcej informacji, zob. sprawozdanie s. 15)</w:t>
            </w:r>
          </w:p>
          <w:p w14:paraId="0BDB1456" w14:textId="7F544A9E" w:rsidR="00F266F8" w:rsidRPr="00FC6D7F" w:rsidRDefault="00F266F8" w:rsidP="00F266F8">
            <w:pPr>
              <w:numPr>
                <w:ilvl w:val="0"/>
                <w:numId w:val="9"/>
              </w:numPr>
              <w:spacing w:line="276" w:lineRule="auto"/>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Komisja kontynuowała również postępy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rea</w:t>
            </w:r>
            <w:r w:rsidRPr="00FC6D7F">
              <w:rPr>
                <w:rFonts w:ascii="Times New Roman" w:hAnsi="Times New Roman"/>
                <w:noProof/>
                <w:sz w:val="24"/>
                <w:lang w:val="pl-PL"/>
              </w:rPr>
              <w:t xml:space="preserve">lizacji strategii na rzecz </w:t>
            </w:r>
            <w:r w:rsidRPr="00FC6D7F">
              <w:rPr>
                <w:rFonts w:ascii="Times New Roman" w:hAnsi="Times New Roman"/>
                <w:b/>
                <w:noProof/>
                <w:sz w:val="24"/>
                <w:lang w:val="pl-PL"/>
              </w:rPr>
              <w:t>praw osób</w:t>
            </w:r>
            <w:r w:rsidR="00D55672" w:rsidRPr="00FC6D7F">
              <w:rPr>
                <w:rFonts w:ascii="Times New Roman" w:hAnsi="Times New Roman"/>
                <w:b/>
                <w:noProof/>
                <w:sz w:val="24"/>
                <w:lang w:val="pl-PL"/>
              </w:rPr>
              <w:t xml:space="preserve"> z</w:t>
            </w:r>
            <w:r w:rsidR="00D55672">
              <w:rPr>
                <w:rFonts w:ascii="Times New Roman" w:hAnsi="Times New Roman"/>
                <w:b/>
                <w:noProof/>
                <w:sz w:val="24"/>
                <w:lang w:val="pl-PL"/>
              </w:rPr>
              <w:t> </w:t>
            </w:r>
            <w:r w:rsidR="00D55672" w:rsidRPr="00FC6D7F">
              <w:rPr>
                <w:rFonts w:ascii="Times New Roman" w:hAnsi="Times New Roman"/>
                <w:b/>
                <w:noProof/>
                <w:sz w:val="24"/>
                <w:lang w:val="pl-PL"/>
              </w:rPr>
              <w:t>nie</w:t>
            </w:r>
            <w:r w:rsidRPr="00FC6D7F">
              <w:rPr>
                <w:rFonts w:ascii="Times New Roman" w:hAnsi="Times New Roman"/>
                <w:b/>
                <w:noProof/>
                <w:sz w:val="24"/>
                <w:lang w:val="pl-PL"/>
              </w:rPr>
              <w:t xml:space="preserve">pełnosprawnościami. </w:t>
            </w:r>
            <w:r w:rsidRPr="00FC6D7F">
              <w:rPr>
                <w:rFonts w:ascii="Times New Roman" w:hAnsi="Times New Roman"/>
                <w:noProof/>
                <w:sz w:val="24"/>
                <w:lang w:val="pl-PL"/>
              </w:rPr>
              <w:t>Prace obejmowały uruchomienie platformy ds. niepełnosprawności, pakiet dotyczący zatrudnienia osób</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pełnosprawnościami oraz przyjęcie wniosku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dyrektywy ustanawiającej europejską kartę osoby</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pełnosprawnością</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eur</w:t>
            </w:r>
            <w:r w:rsidRPr="00FC6D7F">
              <w:rPr>
                <w:rFonts w:ascii="Times New Roman" w:hAnsi="Times New Roman"/>
                <w:noProof/>
                <w:sz w:val="24"/>
                <w:lang w:val="pl-PL"/>
              </w:rPr>
              <w:t>opejską kartę parkingową dla osób</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pełnosprawnościami. Wersja przekształcona rozporządzenia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praw pasażerów</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ruc</w:t>
            </w:r>
            <w:r w:rsidRPr="00FC6D7F">
              <w:rPr>
                <w:rFonts w:ascii="Times New Roman" w:hAnsi="Times New Roman"/>
                <w:noProof/>
                <w:sz w:val="24"/>
                <w:lang w:val="pl-PL"/>
              </w:rPr>
              <w:t>hu kolejowym oraz inicjatywa „Lepsza ochrona pasażerów</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ich</w:t>
            </w:r>
            <w:r w:rsidRPr="00FC6D7F">
              <w:rPr>
                <w:rFonts w:ascii="Times New Roman" w:hAnsi="Times New Roman"/>
                <w:noProof/>
                <w:sz w:val="24"/>
                <w:lang w:val="pl-PL"/>
              </w:rPr>
              <w:t xml:space="preserve"> praw” również obejmują ulepszone prawa osób</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pełnosprawnościami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osó</w:t>
            </w:r>
            <w:r w:rsidRPr="00FC6D7F">
              <w:rPr>
                <w:rFonts w:ascii="Times New Roman" w:hAnsi="Times New Roman"/>
                <w:noProof/>
                <w:sz w:val="24"/>
                <w:lang w:val="pl-PL"/>
              </w:rPr>
              <w:t>b</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ogr</w:t>
            </w:r>
            <w:r w:rsidRPr="00FC6D7F">
              <w:rPr>
                <w:rFonts w:ascii="Times New Roman" w:hAnsi="Times New Roman"/>
                <w:noProof/>
                <w:sz w:val="24"/>
                <w:lang w:val="pl-PL"/>
              </w:rPr>
              <w:t>aniczonej możliwości poruszania się. Ponadto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pakietu dotyczącego obywatelstwa Komisja przedstawia także „Przewodnik dobrych praktyk wyborczych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stwach członkowskich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udziału obywateli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pełnosprawnościami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pro</w:t>
            </w:r>
            <w:r w:rsidRPr="00FC6D7F">
              <w:rPr>
                <w:rFonts w:ascii="Times New Roman" w:hAnsi="Times New Roman"/>
                <w:noProof/>
                <w:sz w:val="24"/>
                <w:lang w:val="pl-PL"/>
              </w:rPr>
              <w:t>cesie wyborczym”.</w:t>
            </w:r>
            <w:r w:rsidRPr="00FC6D7F">
              <w:rPr>
                <w:rFonts w:ascii="Times New Roman" w:hAnsi="Times New Roman"/>
                <w:i/>
                <w:noProof/>
                <w:sz w:val="24"/>
                <w:lang w:val="pl-PL"/>
              </w:rPr>
              <w:t>(aby uzyskać więcej informacji, zob. sprawozdanie s. 15–16)</w:t>
            </w:r>
          </w:p>
          <w:p w14:paraId="7E193F4B" w14:textId="4360DC57" w:rsidR="00F266F8" w:rsidRPr="00FC6D7F" w:rsidRDefault="00F266F8" w:rsidP="00F266F8">
            <w:pPr>
              <w:numPr>
                <w:ilvl w:val="0"/>
                <w:numId w:val="9"/>
              </w:numPr>
              <w:spacing w:line="276" w:lineRule="auto"/>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 xml:space="preserve">Komisja kontynuowała wdrażanie strategii UE na rzecz </w:t>
            </w:r>
            <w:r w:rsidRPr="00FC6D7F">
              <w:rPr>
                <w:rFonts w:ascii="Times New Roman" w:hAnsi="Times New Roman"/>
                <w:b/>
                <w:noProof/>
                <w:sz w:val="24"/>
                <w:lang w:val="pl-PL"/>
              </w:rPr>
              <w:t>praw dziecka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ust</w:t>
            </w:r>
            <w:r w:rsidRPr="00FC6D7F">
              <w:rPr>
                <w:rFonts w:ascii="Times New Roman" w:hAnsi="Times New Roman"/>
                <w:noProof/>
                <w:sz w:val="24"/>
                <w:lang w:val="pl-PL"/>
              </w:rPr>
              <w:t>anowiła unijną platformę uczestnictwa dzieci.</w:t>
            </w:r>
            <w:r w:rsidRPr="00FC6D7F">
              <w:rPr>
                <w:rFonts w:ascii="Times New Roman" w:hAnsi="Times New Roman"/>
                <w:i/>
                <w:noProof/>
                <w:sz w:val="24"/>
                <w:lang w:val="pl-PL"/>
              </w:rPr>
              <w:t>(aby uzyskać więcej informacji, zob. sprawozdanie s. 16–17)</w:t>
            </w:r>
          </w:p>
          <w:p w14:paraId="2FAADDED" w14:textId="53341BF7" w:rsidR="00F266F8" w:rsidRPr="00FC6D7F" w:rsidRDefault="00F266F8" w:rsidP="00F266F8">
            <w:pPr>
              <w:numPr>
                <w:ilvl w:val="0"/>
                <w:numId w:val="9"/>
              </w:numPr>
              <w:spacing w:line="276" w:lineRule="auto"/>
              <w:contextualSpacing/>
              <w:jc w:val="both"/>
              <w:rPr>
                <w:rFonts w:ascii="Times New Roman" w:eastAsia="Calibri" w:hAnsi="Times New Roman" w:cs="Times New Roman"/>
                <w:i/>
                <w:noProof/>
                <w:sz w:val="24"/>
                <w:lang w:val="pl-PL"/>
              </w:rPr>
            </w:pPr>
            <w:r w:rsidRPr="00FC6D7F">
              <w:rPr>
                <w:rFonts w:ascii="Times New Roman" w:hAnsi="Times New Roman"/>
                <w:noProof/>
                <w:sz w:val="24"/>
                <w:lang w:val="pl-PL"/>
              </w:rPr>
              <w:t>Komisja poczyniła również dalsze postępy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rea</w:t>
            </w:r>
            <w:r w:rsidRPr="00FC6D7F">
              <w:rPr>
                <w:rFonts w:ascii="Times New Roman" w:hAnsi="Times New Roman"/>
                <w:noProof/>
                <w:sz w:val="24"/>
                <w:lang w:val="pl-PL"/>
              </w:rPr>
              <w:t>lizacji pierwszej</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his</w:t>
            </w:r>
            <w:r w:rsidRPr="00FC6D7F">
              <w:rPr>
                <w:rFonts w:ascii="Times New Roman" w:hAnsi="Times New Roman"/>
                <w:noProof/>
                <w:sz w:val="24"/>
                <w:lang w:val="pl-PL"/>
              </w:rPr>
              <w:t xml:space="preserve">torii </w:t>
            </w:r>
            <w:r w:rsidRPr="00FC6D7F">
              <w:rPr>
                <w:rFonts w:ascii="Times New Roman" w:hAnsi="Times New Roman"/>
                <w:b/>
                <w:noProof/>
                <w:sz w:val="24"/>
                <w:lang w:val="pl-PL"/>
              </w:rPr>
              <w:t>strategii na rzecz równości osób LGBTIQ</w:t>
            </w:r>
            <w:r w:rsidRPr="00FC6D7F">
              <w:rPr>
                <w:rFonts w:ascii="Times New Roman" w:hAnsi="Times New Roman"/>
                <w:noProof/>
                <w:sz w:val="24"/>
                <w:lang w:val="pl-PL"/>
              </w:rPr>
              <w:t xml:space="preserve"> na lata 2020–2025. Prace obejmowały przyjęcie wytycznych dotyczących wsparcia państwa członkowskie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pod</w:t>
            </w:r>
            <w:r w:rsidRPr="00FC6D7F">
              <w:rPr>
                <w:rFonts w:ascii="Times New Roman" w:hAnsi="Times New Roman"/>
                <w:noProof/>
                <w:sz w:val="24"/>
                <w:lang w:val="pl-PL"/>
              </w:rPr>
              <w:t>ejmowaniu konkretnych działań na rzecz zwiększenia ochrony praw osób LGBTIQ</w:t>
            </w:r>
            <w:r w:rsidRPr="00FC6D7F">
              <w:rPr>
                <w:rFonts w:ascii="Times New Roman" w:hAnsi="Times New Roman"/>
                <w:i/>
                <w:noProof/>
                <w:sz w:val="24"/>
                <w:lang w:val="pl-PL"/>
              </w:rPr>
              <w:t>.(aby uzyskać więcej informacji, zob. sprawozdanie s. 17)</w:t>
            </w:r>
          </w:p>
          <w:p w14:paraId="27F3112A" w14:textId="77FA8885" w:rsidR="000F75A8" w:rsidRPr="000F75A8" w:rsidRDefault="000F75A8" w:rsidP="00F266F8">
            <w:pPr>
              <w:numPr>
                <w:ilvl w:val="0"/>
                <w:numId w:val="9"/>
              </w:numPr>
              <w:spacing w:line="276" w:lineRule="auto"/>
              <w:contextualSpacing/>
              <w:jc w:val="both"/>
              <w:rPr>
                <w:rFonts w:ascii="Times New Roman" w:eastAsia="Calibri" w:hAnsi="Times New Roman" w:cs="Times New Roman"/>
                <w:noProof/>
                <w:sz w:val="24"/>
              </w:rPr>
            </w:pPr>
            <w:r w:rsidRPr="00FC6D7F">
              <w:rPr>
                <w:rFonts w:ascii="Times New Roman" w:hAnsi="Times New Roman"/>
                <w:noProof/>
                <w:sz w:val="24"/>
                <w:lang w:val="pl-PL"/>
              </w:rPr>
              <w:t>W grudniu 20</w:t>
            </w:r>
            <w:r w:rsidRPr="00D55672">
              <w:rPr>
                <w:rFonts w:ascii="Times New Roman" w:hAnsi="Times New Roman"/>
                <w:noProof/>
                <w:sz w:val="24"/>
                <w:lang w:val="pl-PL"/>
              </w:rPr>
              <w:t>20</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Komisja przyjęła strategię na rzecz </w:t>
            </w:r>
            <w:r w:rsidRPr="00FC6D7F">
              <w:rPr>
                <w:rFonts w:ascii="Times New Roman" w:hAnsi="Times New Roman"/>
                <w:b/>
                <w:noProof/>
                <w:sz w:val="24"/>
                <w:lang w:val="pl-PL"/>
              </w:rPr>
              <w:t>wzmocnienia stosowania Karty praw podstawowych</w:t>
            </w:r>
            <w:r w:rsidRPr="00FC6D7F">
              <w:rPr>
                <w:rFonts w:ascii="Times New Roman" w:hAnsi="Times New Roman"/>
                <w:noProof/>
                <w:sz w:val="24"/>
                <w:lang w:val="pl-PL"/>
              </w:rPr>
              <w:t xml:space="preserve"> w UE. </w:t>
            </w:r>
            <w:r>
              <w:rPr>
                <w:rFonts w:ascii="Times New Roman" w:hAnsi="Times New Roman"/>
                <w:i/>
                <w:noProof/>
                <w:sz w:val="24"/>
              </w:rPr>
              <w:t>(aby uzyskać więcej informacji, zob. sprawozdanie s. 17–18)</w:t>
            </w:r>
          </w:p>
          <w:p w14:paraId="3F2541A2" w14:textId="7EB155F3" w:rsidR="00931C3D" w:rsidRPr="00056C57" w:rsidRDefault="00931C3D" w:rsidP="00F266F8">
            <w:pPr>
              <w:numPr>
                <w:ilvl w:val="0"/>
                <w:numId w:val="9"/>
              </w:numPr>
              <w:spacing w:line="276" w:lineRule="auto"/>
              <w:contextualSpacing/>
              <w:jc w:val="both"/>
              <w:rPr>
                <w:rFonts w:ascii="Times New Roman" w:eastAsia="Calibri" w:hAnsi="Times New Roman" w:cs="Times New Roman"/>
                <w:noProof/>
                <w:sz w:val="24"/>
              </w:rPr>
            </w:pPr>
            <w:r w:rsidRPr="00FC6D7F">
              <w:rPr>
                <w:rFonts w:ascii="Times New Roman" w:hAnsi="Times New Roman"/>
                <w:noProof/>
                <w:sz w:val="24"/>
                <w:lang w:val="pl-PL"/>
              </w:rPr>
              <w:t>W grudniu 20</w:t>
            </w:r>
            <w:r w:rsidRPr="00D55672">
              <w:rPr>
                <w:rFonts w:ascii="Times New Roman" w:hAnsi="Times New Roman"/>
                <w:noProof/>
                <w:sz w:val="24"/>
                <w:lang w:val="pl-PL"/>
              </w:rPr>
              <w:t>22</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Komisja przedstawiła wnioski ustawodawcze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 xml:space="preserve">u </w:t>
            </w:r>
            <w:r w:rsidRPr="00FC6D7F">
              <w:rPr>
                <w:rFonts w:ascii="Times New Roman" w:hAnsi="Times New Roman"/>
                <w:b/>
                <w:noProof/>
                <w:sz w:val="24"/>
                <w:lang w:val="pl-PL"/>
              </w:rPr>
              <w:t>wzmocnienie roli organów ds. równości</w:t>
            </w:r>
            <w:r w:rsidRPr="00FC6D7F">
              <w:rPr>
                <w:rFonts w:ascii="Times New Roman" w:hAnsi="Times New Roman"/>
                <w:noProof/>
                <w:sz w:val="24"/>
                <w:lang w:val="pl-PL"/>
              </w:rPr>
              <w:t xml:space="preserve">. </w:t>
            </w:r>
            <w:r>
              <w:rPr>
                <w:rFonts w:ascii="Times New Roman" w:hAnsi="Times New Roman"/>
                <w:i/>
                <w:noProof/>
                <w:sz w:val="24"/>
              </w:rPr>
              <w:t>(aby uzyskać więcej informacji, zob. sprawozdanie s. 18)</w:t>
            </w:r>
          </w:p>
          <w:p w14:paraId="2802C851" w14:textId="3C70522E" w:rsidR="00931C3D" w:rsidRPr="00056C57" w:rsidRDefault="00C6230F" w:rsidP="00F266F8">
            <w:pPr>
              <w:numPr>
                <w:ilvl w:val="0"/>
                <w:numId w:val="9"/>
              </w:numPr>
              <w:spacing w:line="276" w:lineRule="auto"/>
              <w:contextualSpacing/>
              <w:jc w:val="both"/>
              <w:rPr>
                <w:rFonts w:ascii="Times New Roman" w:eastAsia="Calibri" w:hAnsi="Times New Roman" w:cs="Times New Roman"/>
                <w:noProof/>
                <w:sz w:val="24"/>
              </w:rPr>
            </w:pPr>
            <w:r w:rsidRPr="00FC6D7F">
              <w:rPr>
                <w:rFonts w:ascii="Times New Roman" w:hAnsi="Times New Roman"/>
                <w:noProof/>
                <w:sz w:val="24"/>
                <w:lang w:val="pl-PL"/>
              </w:rPr>
              <w:t>Komisja obchodziła Europejski Miesiąc Różnorodności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pie</w:t>
            </w:r>
            <w:r w:rsidRPr="00FC6D7F">
              <w:rPr>
                <w:rFonts w:ascii="Times New Roman" w:hAnsi="Times New Roman"/>
                <w:noProof/>
                <w:sz w:val="24"/>
                <w:lang w:val="pl-PL"/>
              </w:rPr>
              <w:t>rwsze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his</w:t>
            </w:r>
            <w:r w:rsidRPr="00FC6D7F">
              <w:rPr>
                <w:rFonts w:ascii="Times New Roman" w:hAnsi="Times New Roman"/>
                <w:noProof/>
                <w:sz w:val="24"/>
                <w:lang w:val="pl-PL"/>
              </w:rPr>
              <w:t>torii wyznaczenie europejskich stolic włączenia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róż</w:t>
            </w:r>
            <w:r w:rsidRPr="00FC6D7F">
              <w:rPr>
                <w:rFonts w:ascii="Times New Roman" w:hAnsi="Times New Roman"/>
                <w:noProof/>
                <w:sz w:val="24"/>
                <w:lang w:val="pl-PL"/>
              </w:rPr>
              <w:t xml:space="preserve">norodności. </w:t>
            </w:r>
            <w:r>
              <w:rPr>
                <w:rFonts w:ascii="Times New Roman" w:hAnsi="Times New Roman"/>
                <w:i/>
                <w:noProof/>
                <w:sz w:val="24"/>
              </w:rPr>
              <w:t>(aby uzyskać więcej informacji, zob. sprawozdanie s. 18)</w:t>
            </w:r>
          </w:p>
        </w:tc>
      </w:tr>
      <w:tr w:rsidR="00931C3D" w14:paraId="17EA9463" w14:textId="77777777" w:rsidTr="00056C57">
        <w:tc>
          <w:tcPr>
            <w:tcW w:w="3256" w:type="dxa"/>
          </w:tcPr>
          <w:p w14:paraId="6D7AA46A" w14:textId="788D04D8" w:rsidR="00931C3D" w:rsidRPr="00FC6D7F" w:rsidRDefault="00931C3D" w:rsidP="00931C3D">
            <w:pPr>
              <w:spacing w:line="276" w:lineRule="auto"/>
              <w:jc w:val="both"/>
              <w:rPr>
                <w:rFonts w:ascii="Times New Roman" w:eastAsia="Calibri" w:hAnsi="Times New Roman" w:cs="Times New Roman"/>
                <w:b/>
                <w:noProof/>
                <w:sz w:val="24"/>
                <w:lang w:val="pl-PL"/>
              </w:rPr>
            </w:pPr>
            <w:r w:rsidRPr="00FC6D7F">
              <w:rPr>
                <w:rFonts w:ascii="Times New Roman" w:hAnsi="Times New Roman"/>
                <w:b/>
                <w:noProof/>
                <w:sz w:val="24"/>
                <w:lang w:val="pl-PL"/>
              </w:rPr>
              <w:t>14.</w:t>
            </w:r>
            <w:r w:rsidRPr="00FC6D7F">
              <w:rPr>
                <w:rFonts w:ascii="Times New Roman" w:hAnsi="Times New Roman"/>
                <w:noProof/>
                <w:sz w:val="24"/>
                <w:lang w:val="pl-PL"/>
              </w:rPr>
              <w:t xml:space="preserve"> Komisja będzie wspierać poczucie tożsamości europejskiej wśród młodych Europejczyków za pomocą programu Erasmus+, programu Europejskiego Korpusu Solidarności oraz działań „Jean Monnet”.</w:t>
            </w:r>
          </w:p>
        </w:tc>
        <w:tc>
          <w:tcPr>
            <w:tcW w:w="6094" w:type="dxa"/>
          </w:tcPr>
          <w:p w14:paraId="15026508" w14:textId="379F2E1F" w:rsidR="00931C3D" w:rsidRPr="00056C57" w:rsidRDefault="00B662BD" w:rsidP="00931C3D">
            <w:pPr>
              <w:numPr>
                <w:ilvl w:val="0"/>
                <w:numId w:val="1"/>
              </w:numPr>
              <w:spacing w:line="276" w:lineRule="auto"/>
              <w:ind w:left="357" w:hanging="357"/>
              <w:contextualSpacing/>
              <w:jc w:val="both"/>
              <w:rPr>
                <w:rFonts w:ascii="Times New Roman" w:eastAsia="Calibri" w:hAnsi="Times New Roman" w:cs="Times New Roman"/>
                <w:noProof/>
                <w:sz w:val="24"/>
              </w:rPr>
            </w:pPr>
            <w:r w:rsidRPr="00FC6D7F">
              <w:rPr>
                <w:rFonts w:ascii="Times New Roman" w:hAnsi="Times New Roman"/>
                <w:noProof/>
                <w:sz w:val="24"/>
                <w:lang w:val="pl-PL"/>
              </w:rPr>
              <w:t>Aby propagować edukację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 xml:space="preserve">resie obywatelstwa UE począwszy od wczesnego etapu, </w:t>
            </w:r>
            <w:r w:rsidRPr="00FC6D7F">
              <w:rPr>
                <w:rFonts w:ascii="Times New Roman" w:hAnsi="Times New Roman"/>
                <w:b/>
                <w:noProof/>
                <w:sz w:val="24"/>
                <w:lang w:val="pl-PL"/>
              </w:rPr>
              <w:t>akcje „Jean Monnet”</w:t>
            </w:r>
            <w:r w:rsidRPr="00FC6D7F">
              <w:rPr>
                <w:rFonts w:ascii="Times New Roman" w:hAnsi="Times New Roman"/>
                <w:noProof/>
                <w:sz w:val="24"/>
                <w:lang w:val="pl-PL"/>
              </w:rPr>
              <w:t xml:space="preserve"> zostały rozszerzone na „inne poziomy kształcenia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szk</w:t>
            </w:r>
            <w:r w:rsidRPr="00FC6D7F">
              <w:rPr>
                <w:rFonts w:ascii="Times New Roman" w:hAnsi="Times New Roman"/>
                <w:noProof/>
                <w:sz w:val="24"/>
                <w:lang w:val="pl-PL"/>
              </w:rPr>
              <w:t>olenia”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now</w:t>
            </w:r>
            <w:r w:rsidRPr="00FC6D7F">
              <w:rPr>
                <w:rFonts w:ascii="Times New Roman" w:hAnsi="Times New Roman"/>
                <w:noProof/>
                <w:sz w:val="24"/>
                <w:lang w:val="pl-PL"/>
              </w:rPr>
              <w:t>ym okresie finansowania Erasmus+. Komisja Europejska uruchomiła również zestaw narzędzi dla szkół średnich „Demokracja UE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akc</w:t>
            </w:r>
            <w:r w:rsidRPr="00FC6D7F">
              <w:rPr>
                <w:rFonts w:ascii="Times New Roman" w:hAnsi="Times New Roman"/>
                <w:noProof/>
                <w:sz w:val="24"/>
                <w:lang w:val="pl-PL"/>
              </w:rPr>
              <w:t xml:space="preserve">ji – Też masz głos – Europejska inicjatywa obywatelska”. Jak wskazano powyżej, </w:t>
            </w:r>
            <w:r w:rsidRPr="00FC6D7F">
              <w:rPr>
                <w:rFonts w:ascii="Times New Roman" w:hAnsi="Times New Roman"/>
                <w:b/>
                <w:noProof/>
                <w:sz w:val="24"/>
                <w:lang w:val="pl-PL"/>
              </w:rPr>
              <w:t>Erasmus+</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Eur</w:t>
            </w:r>
            <w:r w:rsidRPr="00FC6D7F">
              <w:rPr>
                <w:rFonts w:ascii="Times New Roman" w:hAnsi="Times New Roman"/>
                <w:b/>
                <w:noProof/>
                <w:sz w:val="24"/>
                <w:lang w:val="pl-PL"/>
              </w:rPr>
              <w:t>opejski Korpus Solidarności</w:t>
            </w:r>
            <w:r w:rsidR="00D55672" w:rsidRPr="00FC6D7F">
              <w:rPr>
                <w:rFonts w:ascii="Times New Roman" w:hAnsi="Times New Roman"/>
                <w:b/>
                <w:noProof/>
                <w:sz w:val="24"/>
                <w:lang w:val="pl-PL"/>
              </w:rPr>
              <w:t xml:space="preserve"> </w:t>
            </w:r>
            <w:r w:rsidR="00D55672" w:rsidRPr="00FC6D7F">
              <w:rPr>
                <w:rFonts w:ascii="Times New Roman" w:hAnsi="Times New Roman"/>
                <w:noProof/>
                <w:sz w:val="24"/>
                <w:lang w:val="pl-PL"/>
              </w:rPr>
              <w:t>w</w:t>
            </w:r>
            <w:r w:rsidR="00D55672">
              <w:rPr>
                <w:rFonts w:ascii="Times New Roman" w:hAnsi="Times New Roman"/>
                <w:b/>
                <w:noProof/>
                <w:sz w:val="24"/>
                <w:lang w:val="pl-PL"/>
              </w:rPr>
              <w:t> </w:t>
            </w:r>
            <w:r w:rsidR="00D55672" w:rsidRPr="00FC6D7F">
              <w:rPr>
                <w:rFonts w:ascii="Times New Roman" w:hAnsi="Times New Roman"/>
                <w:noProof/>
                <w:sz w:val="24"/>
                <w:lang w:val="pl-PL"/>
              </w:rPr>
              <w:t>dal</w:t>
            </w:r>
            <w:r w:rsidRPr="00FC6D7F">
              <w:rPr>
                <w:rFonts w:ascii="Times New Roman" w:hAnsi="Times New Roman"/>
                <w:noProof/>
                <w:sz w:val="24"/>
                <w:lang w:val="pl-PL"/>
              </w:rPr>
              <w:t>szym ciągu przyczyniają się do umacniania tożsamości europejskiej</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bud</w:t>
            </w:r>
            <w:r w:rsidRPr="00FC6D7F">
              <w:rPr>
                <w:rFonts w:ascii="Times New Roman" w:hAnsi="Times New Roman"/>
                <w:noProof/>
                <w:sz w:val="24"/>
                <w:lang w:val="pl-PL"/>
              </w:rPr>
              <w:t>owania postawy aktywnego obywatelstwa wśród osób młodych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stosownych działań</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cha</w:t>
            </w:r>
            <w:r w:rsidRPr="00FC6D7F">
              <w:rPr>
                <w:rFonts w:ascii="Times New Roman" w:hAnsi="Times New Roman"/>
                <w:noProof/>
                <w:sz w:val="24"/>
                <w:lang w:val="pl-PL"/>
              </w:rPr>
              <w:t>rakterze wolontariackim, edukacyjnym</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zaw</w:t>
            </w:r>
            <w:r w:rsidRPr="00FC6D7F">
              <w:rPr>
                <w:rFonts w:ascii="Times New Roman" w:hAnsi="Times New Roman"/>
                <w:noProof/>
                <w:sz w:val="24"/>
                <w:lang w:val="pl-PL"/>
              </w:rPr>
              <w:t xml:space="preserve">odowym. </w:t>
            </w:r>
            <w:r>
              <w:rPr>
                <w:rFonts w:ascii="Times New Roman" w:hAnsi="Times New Roman"/>
                <w:i/>
                <w:noProof/>
                <w:sz w:val="24"/>
                <w:shd w:val="clear" w:color="auto" w:fill="FFFFFF"/>
              </w:rPr>
              <w:t>(aby uzyskać więcej informacji, zob. sprawozdanie s. 8)</w:t>
            </w:r>
          </w:p>
        </w:tc>
      </w:tr>
      <w:tr w:rsidR="00DB2BC8" w:rsidRPr="00FC6D7F" w14:paraId="59FB6EB3" w14:textId="77777777" w:rsidTr="00056C57">
        <w:tc>
          <w:tcPr>
            <w:tcW w:w="3256" w:type="dxa"/>
          </w:tcPr>
          <w:p w14:paraId="112E47DA" w14:textId="368A04A3" w:rsidR="00DB2BC8" w:rsidRPr="00FC6D7F" w:rsidRDefault="00DB2BC8" w:rsidP="00DB2BC8">
            <w:pPr>
              <w:spacing w:line="276" w:lineRule="auto"/>
              <w:jc w:val="both"/>
              <w:rPr>
                <w:rFonts w:ascii="Times New Roman" w:eastAsia="Calibri" w:hAnsi="Times New Roman" w:cs="Times New Roman"/>
                <w:b/>
                <w:noProof/>
                <w:sz w:val="24"/>
                <w:lang w:val="pl-PL"/>
              </w:rPr>
            </w:pPr>
            <w:r w:rsidRPr="00FC6D7F">
              <w:rPr>
                <w:rFonts w:ascii="Times New Roman" w:hAnsi="Times New Roman"/>
                <w:b/>
                <w:noProof/>
                <w:sz w:val="24"/>
                <w:lang w:val="pl-PL"/>
              </w:rPr>
              <w:t>15.</w:t>
            </w:r>
            <w:r w:rsidRPr="00FC6D7F">
              <w:rPr>
                <w:rFonts w:ascii="Times New Roman" w:hAnsi="Times New Roman"/>
                <w:noProof/>
                <w:sz w:val="24"/>
                <w:lang w:val="pl-PL"/>
              </w:rPr>
              <w:t xml:space="preserve"> Komisja będzie nadal monitorować wpływ środków ograniczających, zwłaszcza wprowadzanych podczas kryzysów, na prawa wynikające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oby</w:t>
            </w:r>
            <w:r w:rsidRPr="00FC6D7F">
              <w:rPr>
                <w:rFonts w:ascii="Times New Roman" w:hAnsi="Times New Roman"/>
                <w:noProof/>
                <w:sz w:val="24"/>
                <w:lang w:val="pl-PL"/>
              </w:rPr>
              <w:t>watelstwa Unii, wolne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ucz</w:t>
            </w:r>
            <w:r w:rsidRPr="00FC6D7F">
              <w:rPr>
                <w:rFonts w:ascii="Times New Roman" w:hAnsi="Times New Roman"/>
                <w:noProof/>
                <w:sz w:val="24"/>
                <w:lang w:val="pl-PL"/>
              </w:rPr>
              <w:t>ciwe wybory oraz sprawiedliwą debatę demokratyczną, do czasu zniesienia tych środków; będzie także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dal</w:t>
            </w:r>
            <w:r w:rsidRPr="00FC6D7F">
              <w:rPr>
                <w:rFonts w:ascii="Times New Roman" w:hAnsi="Times New Roman"/>
                <w:noProof/>
                <w:sz w:val="24"/>
                <w:lang w:val="pl-PL"/>
              </w:rPr>
              <w:t>szym ciągu pomagać państwom członkowskim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wym</w:t>
            </w:r>
            <w:r w:rsidRPr="00FC6D7F">
              <w:rPr>
                <w:rFonts w:ascii="Times New Roman" w:hAnsi="Times New Roman"/>
                <w:noProof/>
                <w:sz w:val="24"/>
                <w:lang w:val="pl-PL"/>
              </w:rPr>
              <w:t>ianie najlepszych praktyk</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tyc</w:t>
            </w:r>
            <w:r w:rsidRPr="00FC6D7F">
              <w:rPr>
                <w:rFonts w:ascii="Times New Roman" w:hAnsi="Times New Roman"/>
                <w:noProof/>
                <w:sz w:val="24"/>
                <w:lang w:val="pl-PL"/>
              </w:rPr>
              <w:t>h kwestiach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europejskiej sieci współpracy ds. wyborów.</w:t>
            </w:r>
          </w:p>
        </w:tc>
        <w:tc>
          <w:tcPr>
            <w:tcW w:w="6094" w:type="dxa"/>
          </w:tcPr>
          <w:p w14:paraId="7FC4D590" w14:textId="7E740B91" w:rsidR="00DB2BC8" w:rsidRPr="00FC6D7F" w:rsidRDefault="00DB2BC8" w:rsidP="00DB2BC8">
            <w:pPr>
              <w:numPr>
                <w:ilvl w:val="0"/>
                <w:numId w:val="5"/>
              </w:numPr>
              <w:spacing w:line="276" w:lineRule="auto"/>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 xml:space="preserve">Komisja stale podkreślała, że </w:t>
            </w:r>
            <w:r w:rsidRPr="00FC6D7F">
              <w:rPr>
                <w:rFonts w:ascii="Times New Roman" w:hAnsi="Times New Roman"/>
                <w:b/>
                <w:noProof/>
                <w:sz w:val="24"/>
                <w:lang w:val="pl-PL"/>
              </w:rPr>
              <w:t>wszystkie środki ograniczające muszą być zgodne</w:t>
            </w:r>
            <w:r w:rsidR="00D55672" w:rsidRPr="00FC6D7F">
              <w:rPr>
                <w:rFonts w:ascii="Times New Roman" w:hAnsi="Times New Roman"/>
                <w:b/>
                <w:noProof/>
                <w:sz w:val="24"/>
                <w:lang w:val="pl-PL"/>
              </w:rPr>
              <w:t xml:space="preserve"> z</w:t>
            </w:r>
            <w:r w:rsidR="00D55672">
              <w:rPr>
                <w:rFonts w:ascii="Times New Roman" w:hAnsi="Times New Roman"/>
                <w:b/>
                <w:noProof/>
                <w:sz w:val="24"/>
                <w:lang w:val="pl-PL"/>
              </w:rPr>
              <w:t> </w:t>
            </w:r>
            <w:r w:rsidR="00D55672" w:rsidRPr="00FC6D7F">
              <w:rPr>
                <w:rFonts w:ascii="Times New Roman" w:hAnsi="Times New Roman"/>
                <w:b/>
                <w:noProof/>
                <w:sz w:val="24"/>
                <w:lang w:val="pl-PL"/>
              </w:rPr>
              <w:t>pra</w:t>
            </w:r>
            <w:r w:rsidRPr="00FC6D7F">
              <w:rPr>
                <w:rFonts w:ascii="Times New Roman" w:hAnsi="Times New Roman"/>
                <w:b/>
                <w:noProof/>
                <w:sz w:val="24"/>
                <w:lang w:val="pl-PL"/>
              </w:rPr>
              <w:t>wem UE</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pra</w:t>
            </w:r>
            <w:r w:rsidRPr="00FC6D7F">
              <w:rPr>
                <w:rFonts w:ascii="Times New Roman" w:hAnsi="Times New Roman"/>
                <w:b/>
                <w:noProof/>
                <w:sz w:val="24"/>
                <w:lang w:val="pl-PL"/>
              </w:rPr>
              <w:t>wami podstawowymi</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szc</w:t>
            </w:r>
            <w:r w:rsidRPr="00FC6D7F">
              <w:rPr>
                <w:rFonts w:ascii="Times New Roman" w:hAnsi="Times New Roman"/>
                <w:noProof/>
                <w:sz w:val="24"/>
                <w:lang w:val="pl-PL"/>
              </w:rPr>
              <w:t>zególności środki nadzwyczajne muszą być ograniczone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cza</w:t>
            </w:r>
            <w:r w:rsidRPr="00FC6D7F">
              <w:rPr>
                <w:rFonts w:ascii="Times New Roman" w:hAnsi="Times New Roman"/>
                <w:noProof/>
                <w:sz w:val="24"/>
                <w:lang w:val="pl-PL"/>
              </w:rPr>
              <w:t>sie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zgo</w:t>
            </w:r>
            <w:r w:rsidRPr="00FC6D7F">
              <w:rPr>
                <w:rFonts w:ascii="Times New Roman" w:hAnsi="Times New Roman"/>
                <w:noProof/>
                <w:sz w:val="24"/>
                <w:lang w:val="pl-PL"/>
              </w:rPr>
              <w:t>dne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zas</w:t>
            </w:r>
            <w:r w:rsidRPr="00FC6D7F">
              <w:rPr>
                <w:rFonts w:ascii="Times New Roman" w:hAnsi="Times New Roman"/>
                <w:noProof/>
                <w:sz w:val="24"/>
                <w:lang w:val="pl-PL"/>
              </w:rPr>
              <w:t>adami legalności, proporcjonalności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dyskryminacji. Równie istotna jest zdolność do utrzymania mechanizmów kontroli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rów</w:t>
            </w:r>
            <w:r w:rsidRPr="00FC6D7F">
              <w:rPr>
                <w:rFonts w:ascii="Times New Roman" w:hAnsi="Times New Roman"/>
                <w:noProof/>
                <w:sz w:val="24"/>
                <w:lang w:val="pl-PL"/>
              </w:rPr>
              <w:t>nowagi, zwłaszcza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dro</w:t>
            </w:r>
            <w:r w:rsidRPr="00FC6D7F">
              <w:rPr>
                <w:rFonts w:ascii="Times New Roman" w:hAnsi="Times New Roman"/>
                <w:noProof/>
                <w:sz w:val="24"/>
                <w:lang w:val="pl-PL"/>
              </w:rPr>
              <w:t>dze nieustannej kontroli sprawowanej przez parlamenty narodowe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sąd</w:t>
            </w:r>
            <w:r w:rsidRPr="00FC6D7F">
              <w:rPr>
                <w:rFonts w:ascii="Times New Roman" w:hAnsi="Times New Roman"/>
                <w:noProof/>
                <w:sz w:val="24"/>
                <w:lang w:val="pl-PL"/>
              </w:rPr>
              <w:t xml:space="preserve">y oraz niezależne organy. </w:t>
            </w:r>
          </w:p>
          <w:p w14:paraId="3D41EE9F" w14:textId="2DEE6018" w:rsidR="00DB2BC8" w:rsidRPr="00FC6D7F" w:rsidRDefault="00DB2BC8" w:rsidP="00DB2BC8">
            <w:pPr>
              <w:numPr>
                <w:ilvl w:val="0"/>
                <w:numId w:val="5"/>
              </w:numPr>
              <w:spacing w:line="276" w:lineRule="auto"/>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Jak odzwierciedlono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kol</w:t>
            </w:r>
            <w:r w:rsidRPr="00FC6D7F">
              <w:rPr>
                <w:rFonts w:ascii="Times New Roman" w:hAnsi="Times New Roman"/>
                <w:noProof/>
                <w:sz w:val="24"/>
                <w:lang w:val="pl-PL"/>
              </w:rPr>
              <w:t>ejnych sprawozdaniach na temat praworządności, Komisja ściśle monitorowała wszystkie systemy dotyczące stanu nadzwyczajnego przyjęte przez państwa członkowskie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pod</w:t>
            </w:r>
            <w:r w:rsidRPr="00FC6D7F">
              <w:rPr>
                <w:rFonts w:ascii="Times New Roman" w:hAnsi="Times New Roman"/>
                <w:noProof/>
                <w:sz w:val="24"/>
                <w:lang w:val="pl-PL"/>
              </w:rPr>
              <w:t>sumowała stopniowe znoszenie takich systemów</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ązanych</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nim</w:t>
            </w:r>
            <w:r w:rsidRPr="00FC6D7F">
              <w:rPr>
                <w:rFonts w:ascii="Times New Roman" w:hAnsi="Times New Roman"/>
                <w:noProof/>
                <w:sz w:val="24"/>
                <w:lang w:val="pl-PL"/>
              </w:rPr>
              <w:t>i ograniczeń</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cał</w:t>
            </w:r>
            <w:r w:rsidRPr="00FC6D7F">
              <w:rPr>
                <w:rFonts w:ascii="Times New Roman" w:hAnsi="Times New Roman"/>
                <w:noProof/>
                <w:sz w:val="24"/>
                <w:lang w:val="pl-PL"/>
              </w:rPr>
              <w:t>ej UE.</w:t>
            </w:r>
          </w:p>
          <w:p w14:paraId="256C269A" w14:textId="31F5864F" w:rsidR="00DB2BC8" w:rsidRPr="00056C57" w:rsidRDefault="00DB2BC8" w:rsidP="00DB2BC8">
            <w:pPr>
              <w:numPr>
                <w:ilvl w:val="0"/>
                <w:numId w:val="5"/>
              </w:numPr>
              <w:spacing w:line="276" w:lineRule="auto"/>
              <w:contextualSpacing/>
              <w:jc w:val="both"/>
              <w:rPr>
                <w:rFonts w:ascii="Times New Roman" w:eastAsia="Calibri" w:hAnsi="Times New Roman" w:cs="Times New Roman"/>
                <w:noProof/>
                <w:sz w:val="24"/>
              </w:rPr>
            </w:pPr>
            <w:r w:rsidRPr="00FC6D7F">
              <w:rPr>
                <w:rFonts w:ascii="Times New Roman" w:hAnsi="Times New Roman"/>
                <w:noProof/>
                <w:sz w:val="24"/>
                <w:lang w:val="pl-PL"/>
              </w:rPr>
              <w:t>Jeśli chodzi</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b/>
                <w:noProof/>
                <w:sz w:val="24"/>
                <w:lang w:val="pl-PL"/>
              </w:rPr>
              <w:t>kor</w:t>
            </w:r>
            <w:r w:rsidRPr="00FC6D7F">
              <w:rPr>
                <w:rFonts w:ascii="Times New Roman" w:hAnsi="Times New Roman"/>
                <w:b/>
                <w:noProof/>
                <w:sz w:val="24"/>
                <w:lang w:val="pl-PL"/>
              </w:rPr>
              <w:t>zystanie</w:t>
            </w:r>
            <w:r w:rsidR="00D55672" w:rsidRPr="00FC6D7F">
              <w:rPr>
                <w:rFonts w:ascii="Times New Roman" w:hAnsi="Times New Roman"/>
                <w:b/>
                <w:noProof/>
                <w:sz w:val="24"/>
                <w:lang w:val="pl-PL"/>
              </w:rPr>
              <w:t xml:space="preserve"> z</w:t>
            </w:r>
            <w:r w:rsidR="00D55672">
              <w:rPr>
                <w:rFonts w:ascii="Times New Roman" w:hAnsi="Times New Roman"/>
                <w:b/>
                <w:noProof/>
                <w:sz w:val="24"/>
                <w:lang w:val="pl-PL"/>
              </w:rPr>
              <w:t> </w:t>
            </w:r>
            <w:r w:rsidR="00D55672" w:rsidRPr="00FC6D7F">
              <w:rPr>
                <w:rFonts w:ascii="Times New Roman" w:hAnsi="Times New Roman"/>
                <w:b/>
                <w:noProof/>
                <w:sz w:val="24"/>
                <w:lang w:val="pl-PL"/>
              </w:rPr>
              <w:t>pra</w:t>
            </w:r>
            <w:r w:rsidRPr="00FC6D7F">
              <w:rPr>
                <w:rFonts w:ascii="Times New Roman" w:hAnsi="Times New Roman"/>
                <w:b/>
                <w:noProof/>
                <w:sz w:val="24"/>
                <w:lang w:val="pl-PL"/>
              </w:rPr>
              <w:t>wa do swobodnego przemieszczania się</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prz</w:t>
            </w:r>
            <w:r w:rsidRPr="00FC6D7F">
              <w:rPr>
                <w:rFonts w:ascii="Times New Roman" w:hAnsi="Times New Roman"/>
                <w:b/>
                <w:noProof/>
                <w:sz w:val="24"/>
                <w:lang w:val="pl-PL"/>
              </w:rPr>
              <w:t xml:space="preserve">ebywania na terytorium UE, </w:t>
            </w:r>
            <w:r w:rsidRPr="00FC6D7F">
              <w:rPr>
                <w:rFonts w:ascii="Times New Roman" w:hAnsi="Times New Roman"/>
                <w:noProof/>
                <w:sz w:val="24"/>
                <w:lang w:val="pl-PL"/>
              </w:rPr>
              <w:t>Komisja podkreśliła, że wszystkie środki ograniczające to prawo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ochrony zdrowia publicznego muszą być zgodne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zas</w:t>
            </w:r>
            <w:r w:rsidRPr="00FC6D7F">
              <w:rPr>
                <w:rFonts w:ascii="Times New Roman" w:hAnsi="Times New Roman"/>
                <w:noProof/>
                <w:sz w:val="24"/>
                <w:lang w:val="pl-PL"/>
              </w:rPr>
              <w:t>adami prawa UE, takimi jak proporcjonalność</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dyskryminacja. Komisja niestrudzenie wspierała współpracę</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koo</w:t>
            </w:r>
            <w:r w:rsidRPr="00FC6D7F">
              <w:rPr>
                <w:rFonts w:ascii="Times New Roman" w:hAnsi="Times New Roman"/>
                <w:noProof/>
                <w:sz w:val="24"/>
                <w:lang w:val="pl-PL"/>
              </w:rPr>
              <w:t>rdynację między państwami członkowskimi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tej</w:t>
            </w:r>
            <w:r w:rsidRPr="00FC6D7F">
              <w:rPr>
                <w:rFonts w:ascii="Times New Roman" w:hAnsi="Times New Roman"/>
                <w:noProof/>
                <w:sz w:val="24"/>
                <w:lang w:val="pl-PL"/>
              </w:rPr>
              <w:t xml:space="preserve"> kwestii</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szc</w:t>
            </w:r>
            <w:r w:rsidRPr="00FC6D7F">
              <w:rPr>
                <w:rFonts w:ascii="Times New Roman" w:hAnsi="Times New Roman"/>
                <w:noProof/>
                <w:sz w:val="24"/>
                <w:lang w:val="pl-PL"/>
              </w:rPr>
              <w:t xml:space="preserve">zególności Komisja ustanowiła </w:t>
            </w:r>
            <w:r w:rsidRPr="00FC6D7F">
              <w:rPr>
                <w:rFonts w:ascii="Times New Roman" w:hAnsi="Times New Roman"/>
                <w:b/>
                <w:noProof/>
                <w:sz w:val="24"/>
                <w:lang w:val="pl-PL"/>
              </w:rPr>
              <w:t>unijne cyfrowe zaświadczenie COVID</w:t>
            </w:r>
            <w:r w:rsidRPr="00FC6D7F">
              <w:rPr>
                <w:rFonts w:ascii="Times New Roman" w:hAnsi="Times New Roman"/>
                <w:noProof/>
                <w:sz w:val="24"/>
                <w:lang w:val="pl-PL"/>
              </w:rPr>
              <w:t xml:space="preserve"> jako rzetelny</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wia</w:t>
            </w:r>
            <w:r w:rsidRPr="00FC6D7F">
              <w:rPr>
                <w:rFonts w:ascii="Times New Roman" w:hAnsi="Times New Roman"/>
                <w:noProof/>
                <w:sz w:val="24"/>
                <w:lang w:val="pl-PL"/>
              </w:rPr>
              <w:t>rygodny sposób potwierdzenia szczepienia, wyniku testu lub powrotu do zdrowia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ązku z COVID-19, co pozwoliło uniknąć rozdrobnionego</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wdopodobnie niekompatybilnego systemu zaświadczeń krajowych. Wraz</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róż</w:t>
            </w:r>
            <w:r w:rsidRPr="00FC6D7F">
              <w:rPr>
                <w:rFonts w:ascii="Times New Roman" w:hAnsi="Times New Roman"/>
                <w:noProof/>
                <w:sz w:val="24"/>
                <w:lang w:val="pl-PL"/>
              </w:rPr>
              <w:t xml:space="preserve">nymi </w:t>
            </w:r>
            <w:r w:rsidRPr="00FC6D7F">
              <w:rPr>
                <w:rFonts w:ascii="Times New Roman" w:hAnsi="Times New Roman"/>
                <w:b/>
                <w:noProof/>
                <w:sz w:val="24"/>
                <w:lang w:val="pl-PL"/>
              </w:rPr>
              <w:t>zaleceniami Rady</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spr</w:t>
            </w:r>
            <w:r w:rsidRPr="00FC6D7F">
              <w:rPr>
                <w:rFonts w:ascii="Times New Roman" w:hAnsi="Times New Roman"/>
                <w:b/>
                <w:noProof/>
                <w:sz w:val="24"/>
                <w:lang w:val="pl-PL"/>
              </w:rPr>
              <w:t>awie skoordynowanego podejścia do ograniczania swobodnego przepływu</w:t>
            </w:r>
            <w:r w:rsidRPr="00FC6D7F">
              <w:rPr>
                <w:rFonts w:ascii="Times New Roman" w:hAnsi="Times New Roman"/>
                <w:noProof/>
                <w:sz w:val="24"/>
                <w:lang w:val="pl-PL"/>
              </w:rPr>
              <w:t xml:space="preserve"> unijne cyfrowe zaświadczenie COVID ułatwiło swobodne przemieszczanie się w UE, gdy ograniczenia związane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pod</w:t>
            </w:r>
            <w:r w:rsidRPr="00FC6D7F">
              <w:rPr>
                <w:rFonts w:ascii="Times New Roman" w:hAnsi="Times New Roman"/>
                <w:noProof/>
                <w:sz w:val="24"/>
                <w:lang w:val="pl-PL"/>
              </w:rPr>
              <w:t>różą nadal uznawano za konieczne,</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jed</w:t>
            </w:r>
            <w:r w:rsidRPr="00FC6D7F">
              <w:rPr>
                <w:rFonts w:ascii="Times New Roman" w:hAnsi="Times New Roman"/>
                <w:noProof/>
                <w:sz w:val="24"/>
                <w:lang w:val="pl-PL"/>
              </w:rPr>
              <w:t xml:space="preserve">nocześnie umożliwiło skoordynowane zniesienie tych ograniczeń, gdy stało się to możliwe. </w:t>
            </w:r>
            <w:r>
              <w:rPr>
                <w:rFonts w:ascii="Times New Roman" w:hAnsi="Times New Roman"/>
                <w:i/>
                <w:noProof/>
                <w:sz w:val="24"/>
                <w:shd w:val="clear" w:color="auto" w:fill="FFFFFF"/>
              </w:rPr>
              <w:t>(aby uzyskać więcej informacji, zob. sprawozdanie s. 23–25)</w:t>
            </w:r>
          </w:p>
          <w:p w14:paraId="37873B51" w14:textId="72C8650C" w:rsidR="00DB2BC8" w:rsidRPr="00FC6D7F" w:rsidRDefault="00DB2BC8" w:rsidP="00DB2BC8">
            <w:pPr>
              <w:numPr>
                <w:ilvl w:val="0"/>
                <w:numId w:val="1"/>
              </w:numPr>
              <w:spacing w:line="276" w:lineRule="auto"/>
              <w:ind w:left="357" w:hanging="357"/>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Jeśli chodzi</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kwe</w:t>
            </w:r>
            <w:r w:rsidRPr="00FC6D7F">
              <w:rPr>
                <w:rFonts w:ascii="Times New Roman" w:hAnsi="Times New Roman"/>
                <w:noProof/>
                <w:sz w:val="24"/>
                <w:lang w:val="pl-PL"/>
              </w:rPr>
              <w:t>stię wolnych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b/>
                <w:noProof/>
                <w:sz w:val="24"/>
                <w:lang w:val="pl-PL"/>
              </w:rPr>
              <w:t>ucz</w:t>
            </w:r>
            <w:r w:rsidRPr="00FC6D7F">
              <w:rPr>
                <w:rFonts w:ascii="Times New Roman" w:hAnsi="Times New Roman"/>
                <w:b/>
                <w:noProof/>
                <w:sz w:val="24"/>
                <w:lang w:val="pl-PL"/>
              </w:rPr>
              <w:t>ciwych wyborów oraz sprawiedliwej debaty demokratycznej,</w:t>
            </w:r>
            <w:r w:rsidRPr="00FC6D7F">
              <w:rPr>
                <w:rFonts w:ascii="Times New Roman" w:hAnsi="Times New Roman"/>
                <w:noProof/>
                <w:sz w:val="24"/>
                <w:lang w:val="pl-PL"/>
              </w:rPr>
              <w:t xml:space="preserve"> państwa członkowskie wymieniały się najlepszymi praktykami podczas różnych specjalnych sesji europejskiej sieci współpracy ds. wyborów. Obejmowało to udział Komisji Weneckiej i ODIHR</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 xml:space="preserve">u przedstawienia wysokich norm wyborczych podczas pandemii. </w:t>
            </w:r>
          </w:p>
        </w:tc>
      </w:tr>
      <w:tr w:rsidR="0023562B" w:rsidRPr="00FC6D7F" w14:paraId="568432BB" w14:textId="77777777" w:rsidTr="0023562B">
        <w:tc>
          <w:tcPr>
            <w:tcW w:w="9350" w:type="dxa"/>
            <w:gridSpan w:val="2"/>
            <w:shd w:val="clear" w:color="auto" w:fill="FFC000"/>
          </w:tcPr>
          <w:p w14:paraId="5F6C3D9A" w14:textId="5E999872" w:rsidR="0023562B" w:rsidRPr="00FC6D7F" w:rsidRDefault="0023562B" w:rsidP="0023562B">
            <w:pPr>
              <w:jc w:val="center"/>
              <w:rPr>
                <w:rFonts w:ascii="Times New Roman" w:eastAsia="Calibri" w:hAnsi="Times New Roman" w:cs="Times New Roman"/>
                <w:b/>
                <w:noProof/>
                <w:sz w:val="24"/>
                <w:lang w:val="pl-PL"/>
              </w:rPr>
            </w:pPr>
            <w:r w:rsidRPr="00FC6D7F">
              <w:rPr>
                <w:rFonts w:ascii="Times New Roman" w:hAnsi="Times New Roman"/>
                <w:b/>
                <w:noProof/>
                <w:sz w:val="24"/>
                <w:lang w:val="pl-PL"/>
              </w:rPr>
              <w:t>Ochrona obywateli UE</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Eur</w:t>
            </w:r>
            <w:r w:rsidRPr="00FC6D7F">
              <w:rPr>
                <w:rFonts w:ascii="Times New Roman" w:hAnsi="Times New Roman"/>
                <w:b/>
                <w:noProof/>
                <w:sz w:val="24"/>
                <w:lang w:val="pl-PL"/>
              </w:rPr>
              <w:t>opie</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poz</w:t>
            </w:r>
            <w:r w:rsidRPr="00FC6D7F">
              <w:rPr>
                <w:rFonts w:ascii="Times New Roman" w:hAnsi="Times New Roman"/>
                <w:b/>
                <w:noProof/>
                <w:sz w:val="24"/>
                <w:lang w:val="pl-PL"/>
              </w:rPr>
              <w:t>a jej granicami,</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tym w</w:t>
            </w:r>
            <w:r w:rsidR="00D55672">
              <w:rPr>
                <w:rFonts w:ascii="Times New Roman" w:hAnsi="Times New Roman"/>
                <w:b/>
                <w:noProof/>
                <w:sz w:val="24"/>
                <w:lang w:val="pl-PL"/>
              </w:rPr>
              <w:t> </w:t>
            </w:r>
            <w:r w:rsidR="00D55672" w:rsidRPr="00FC6D7F">
              <w:rPr>
                <w:rFonts w:ascii="Times New Roman" w:hAnsi="Times New Roman"/>
                <w:b/>
                <w:noProof/>
                <w:sz w:val="24"/>
                <w:lang w:val="pl-PL"/>
              </w:rPr>
              <w:t>cza</w:t>
            </w:r>
            <w:r w:rsidRPr="00FC6D7F">
              <w:rPr>
                <w:rFonts w:ascii="Times New Roman" w:hAnsi="Times New Roman"/>
                <w:b/>
                <w:noProof/>
                <w:sz w:val="24"/>
                <w:lang w:val="pl-PL"/>
              </w:rPr>
              <w:t>sach kryzysu</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w</w:t>
            </w:r>
            <w:r w:rsidR="00D55672">
              <w:rPr>
                <w:rFonts w:ascii="Times New Roman" w:hAnsi="Times New Roman"/>
                <w:b/>
                <w:noProof/>
                <w:sz w:val="24"/>
                <w:lang w:val="pl-PL"/>
              </w:rPr>
              <w:t> </w:t>
            </w:r>
            <w:r w:rsidR="00D55672" w:rsidRPr="00FC6D7F">
              <w:rPr>
                <w:rFonts w:ascii="Times New Roman" w:hAnsi="Times New Roman"/>
                <w:b/>
                <w:noProof/>
                <w:sz w:val="24"/>
                <w:lang w:val="pl-PL"/>
              </w:rPr>
              <w:t>syt</w:t>
            </w:r>
            <w:r w:rsidRPr="00FC6D7F">
              <w:rPr>
                <w:rFonts w:ascii="Times New Roman" w:hAnsi="Times New Roman"/>
                <w:b/>
                <w:noProof/>
                <w:sz w:val="24"/>
                <w:lang w:val="pl-PL"/>
              </w:rPr>
              <w:t>uacjach nadzwyczajnych</w:t>
            </w:r>
          </w:p>
        </w:tc>
      </w:tr>
      <w:tr w:rsidR="0023562B" w:rsidRPr="00FC6D7F" w14:paraId="78FE2530" w14:textId="77777777" w:rsidTr="006755E9">
        <w:tc>
          <w:tcPr>
            <w:tcW w:w="9350" w:type="dxa"/>
            <w:gridSpan w:val="2"/>
          </w:tcPr>
          <w:p w14:paraId="254F946F" w14:textId="26395E46" w:rsidR="0023562B" w:rsidRPr="00FC6D7F" w:rsidRDefault="0023562B" w:rsidP="0023562B">
            <w:pPr>
              <w:jc w:val="center"/>
              <w:rPr>
                <w:rFonts w:ascii="Times New Roman" w:eastAsia="Calibri" w:hAnsi="Times New Roman" w:cs="Times New Roman"/>
                <w:noProof/>
                <w:sz w:val="24"/>
                <w:lang w:val="pl-PL"/>
              </w:rPr>
            </w:pPr>
            <w:r w:rsidRPr="00FC6D7F">
              <w:rPr>
                <w:rFonts w:ascii="Times New Roman" w:hAnsi="Times New Roman"/>
                <w:i/>
                <w:noProof/>
                <w:sz w:val="24"/>
                <w:lang w:val="pl-PL"/>
              </w:rPr>
              <w:t>Europejska solidarność</w:t>
            </w:r>
            <w:r w:rsidR="00D55672" w:rsidRPr="00FC6D7F">
              <w:rPr>
                <w:rFonts w:ascii="Times New Roman" w:hAnsi="Times New Roman"/>
                <w:i/>
                <w:noProof/>
                <w:sz w:val="24"/>
                <w:lang w:val="pl-PL"/>
              </w:rPr>
              <w:t xml:space="preserve"> w</w:t>
            </w:r>
            <w:r w:rsidR="00D55672">
              <w:rPr>
                <w:rFonts w:ascii="Times New Roman" w:hAnsi="Times New Roman"/>
                <w:i/>
                <w:noProof/>
                <w:sz w:val="24"/>
                <w:lang w:val="pl-PL"/>
              </w:rPr>
              <w:t> </w:t>
            </w:r>
            <w:r w:rsidR="00D55672" w:rsidRPr="00FC6D7F">
              <w:rPr>
                <w:rFonts w:ascii="Times New Roman" w:hAnsi="Times New Roman"/>
                <w:i/>
                <w:noProof/>
                <w:sz w:val="24"/>
                <w:lang w:val="pl-PL"/>
              </w:rPr>
              <w:t>pra</w:t>
            </w:r>
            <w:r w:rsidRPr="00FC6D7F">
              <w:rPr>
                <w:rFonts w:ascii="Times New Roman" w:hAnsi="Times New Roman"/>
                <w:i/>
                <w:noProof/>
                <w:sz w:val="24"/>
                <w:lang w:val="pl-PL"/>
              </w:rPr>
              <w:t>ktyce na rzecz obywateli w UE</w:t>
            </w:r>
          </w:p>
        </w:tc>
      </w:tr>
      <w:tr w:rsidR="0023562B" w:rsidRPr="00FC6D7F" w14:paraId="1532BDFA" w14:textId="77777777" w:rsidTr="00056C57">
        <w:tc>
          <w:tcPr>
            <w:tcW w:w="3256" w:type="dxa"/>
          </w:tcPr>
          <w:p w14:paraId="0C98432B" w14:textId="7587377E" w:rsidR="0023562B" w:rsidRPr="00FC6D7F" w:rsidRDefault="0023562B" w:rsidP="0023562B">
            <w:pPr>
              <w:spacing w:line="276" w:lineRule="auto"/>
              <w:jc w:val="both"/>
              <w:rPr>
                <w:rFonts w:ascii="Times New Roman" w:eastAsia="Calibri" w:hAnsi="Times New Roman" w:cs="Times New Roman"/>
                <w:b/>
                <w:noProof/>
                <w:sz w:val="24"/>
                <w:lang w:val="pl-PL"/>
              </w:rPr>
            </w:pPr>
            <w:r w:rsidRPr="00FC6D7F">
              <w:rPr>
                <w:rFonts w:ascii="Times New Roman" w:hAnsi="Times New Roman"/>
                <w:b/>
                <w:noProof/>
                <w:sz w:val="24"/>
                <w:lang w:val="pl-PL"/>
              </w:rPr>
              <w:t>16.</w:t>
            </w:r>
            <w:r w:rsidRPr="00FC6D7F">
              <w:rPr>
                <w:rFonts w:ascii="Times New Roman" w:hAnsi="Times New Roman"/>
                <w:noProof/>
                <w:sz w:val="24"/>
                <w:lang w:val="pl-PL"/>
              </w:rPr>
              <w:t xml:space="preserve"> Komisja wdroży strategię UE na rzecz szczepionek przeciwko COVID-19 we współpracy</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stwami członkowskimi, zapewniając wszystkim obywatelom szybki, sprawiedliwy</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ystępny cenowo dostęp do tych szczepionek. Komisja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dal</w:t>
            </w:r>
            <w:r w:rsidRPr="00FC6D7F">
              <w:rPr>
                <w:rFonts w:ascii="Times New Roman" w:hAnsi="Times New Roman"/>
                <w:noProof/>
                <w:sz w:val="24"/>
                <w:lang w:val="pl-PL"/>
              </w:rPr>
              <w:t>szym ciągu będzie budować silną Europejską Unię Zdrowotną,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której wszystkie państwa UE mogłyby przygotowywać się na ewentualne kryzysy zdrowotne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wsp</w:t>
            </w:r>
            <w:r w:rsidRPr="00FC6D7F">
              <w:rPr>
                <w:rFonts w:ascii="Times New Roman" w:hAnsi="Times New Roman"/>
                <w:noProof/>
                <w:sz w:val="24"/>
                <w:lang w:val="pl-PL"/>
              </w:rPr>
              <w:t>ólnie na nie reagować, bez trudu pozyskiwać niedrogie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inn</w:t>
            </w:r>
            <w:r w:rsidRPr="00FC6D7F">
              <w:rPr>
                <w:rFonts w:ascii="Times New Roman" w:hAnsi="Times New Roman"/>
                <w:noProof/>
                <w:sz w:val="24"/>
                <w:lang w:val="pl-PL"/>
              </w:rPr>
              <w:t>owacyjne produkty medyczne oraz wspólnie doskonalić metody zapobiegania, leczenia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opi</w:t>
            </w:r>
            <w:r w:rsidRPr="00FC6D7F">
              <w:rPr>
                <w:rFonts w:ascii="Times New Roman" w:hAnsi="Times New Roman"/>
                <w:noProof/>
                <w:sz w:val="24"/>
                <w:lang w:val="pl-PL"/>
              </w:rPr>
              <w:t>eki, np.</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ypadku chorób nowotworowych.</w:t>
            </w:r>
          </w:p>
        </w:tc>
        <w:tc>
          <w:tcPr>
            <w:tcW w:w="6094" w:type="dxa"/>
          </w:tcPr>
          <w:p w14:paraId="6F739103" w14:textId="1FACD98D" w:rsidR="0023562B" w:rsidRPr="00FC6D7F" w:rsidRDefault="00C9310C" w:rsidP="0023562B">
            <w:pPr>
              <w:numPr>
                <w:ilvl w:val="0"/>
                <w:numId w:val="7"/>
              </w:numPr>
              <w:spacing w:line="276" w:lineRule="auto"/>
              <w:contextualSpacing/>
              <w:jc w:val="both"/>
              <w:rPr>
                <w:rFonts w:ascii="Times New Roman" w:eastAsia="Calibri" w:hAnsi="Times New Roman" w:cs="Times New Roman"/>
                <w:noProof/>
                <w:sz w:val="24"/>
                <w:lang w:val="pl-PL"/>
              </w:rPr>
            </w:pPr>
            <w:r w:rsidRPr="00FC6D7F">
              <w:rPr>
                <w:rFonts w:ascii="Times New Roman" w:hAnsi="Times New Roman"/>
                <w:b/>
                <w:noProof/>
                <w:sz w:val="24"/>
                <w:lang w:val="pl-PL"/>
              </w:rPr>
              <w:t>Strategia UE dotycząca szczepionek przeciwko COVID-19</w:t>
            </w:r>
            <w:r w:rsidRPr="00FC6D7F">
              <w:rPr>
                <w:rFonts w:ascii="Times New Roman" w:hAnsi="Times New Roman"/>
                <w:noProof/>
                <w:sz w:val="24"/>
                <w:lang w:val="pl-PL"/>
              </w:rPr>
              <w:t xml:space="preserve"> dalej przynosiła efekty. Ogółem od początku pandemii do października 20</w:t>
            </w:r>
            <w:r w:rsidRPr="00D55672">
              <w:rPr>
                <w:rFonts w:ascii="Times New Roman" w:hAnsi="Times New Roman"/>
                <w:noProof/>
                <w:sz w:val="24"/>
                <w:lang w:val="pl-PL"/>
              </w:rPr>
              <w:t>23</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Europejczykom podano ponad 981 mln dawek. </w:t>
            </w:r>
          </w:p>
          <w:p w14:paraId="3F8F1FC5" w14:textId="75DD3822" w:rsidR="0023562B" w:rsidRPr="00FC6D7F" w:rsidRDefault="0023562B" w:rsidP="0023562B">
            <w:pPr>
              <w:numPr>
                <w:ilvl w:val="0"/>
                <w:numId w:val="6"/>
              </w:numPr>
              <w:spacing w:line="276" w:lineRule="auto"/>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UE wniosła swój wkład</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b/>
                <w:noProof/>
                <w:sz w:val="24"/>
                <w:lang w:val="pl-PL"/>
              </w:rPr>
              <w:t>sol</w:t>
            </w:r>
            <w:r w:rsidRPr="00FC6D7F">
              <w:rPr>
                <w:rFonts w:ascii="Times New Roman" w:hAnsi="Times New Roman"/>
                <w:b/>
                <w:noProof/>
                <w:sz w:val="24"/>
                <w:lang w:val="pl-PL"/>
              </w:rPr>
              <w:t>idarność międzynarodową</w:t>
            </w:r>
            <w:r w:rsidRPr="00FC6D7F">
              <w:rPr>
                <w:rFonts w:ascii="Times New Roman" w:hAnsi="Times New Roman"/>
                <w:noProof/>
                <w:sz w:val="24"/>
                <w:lang w:val="pl-PL"/>
              </w:rPr>
              <w:t>, udostępniając szczepionki przeciwko COVID-19. Do końca 20</w:t>
            </w:r>
            <w:r w:rsidRPr="00D55672">
              <w:rPr>
                <w:rFonts w:ascii="Times New Roman" w:hAnsi="Times New Roman"/>
                <w:noProof/>
                <w:sz w:val="24"/>
                <w:lang w:val="pl-PL"/>
              </w:rPr>
              <w:t>23</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Drużyna Europy udostępniła ponad 530 mln dawek szczepionek,</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cze</w:t>
            </w:r>
            <w:r w:rsidRPr="00FC6D7F">
              <w:rPr>
                <w:rFonts w:ascii="Times New Roman" w:hAnsi="Times New Roman"/>
                <w:noProof/>
                <w:sz w:val="24"/>
                <w:lang w:val="pl-PL"/>
              </w:rPr>
              <w:t>go ponad 444 mln za pośrednictwem COVAX</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8</w:t>
            </w:r>
            <w:r w:rsidRPr="00FC6D7F">
              <w:rPr>
                <w:rFonts w:ascii="Times New Roman" w:hAnsi="Times New Roman"/>
                <w:noProof/>
                <w:sz w:val="24"/>
                <w:lang w:val="pl-PL"/>
              </w:rPr>
              <w:t>6 mln dwustronnie.</w:t>
            </w:r>
          </w:p>
          <w:p w14:paraId="70C28FD2" w14:textId="4A284E77" w:rsidR="0023562B" w:rsidRPr="00FC6D7F" w:rsidRDefault="0023562B" w:rsidP="0023562B">
            <w:pPr>
              <w:numPr>
                <w:ilvl w:val="0"/>
                <w:numId w:val="6"/>
              </w:numPr>
              <w:spacing w:line="276" w:lineRule="auto"/>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Wspólnie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 xml:space="preserve">stwami członkowskimi Unia buduje silną </w:t>
            </w:r>
            <w:r w:rsidRPr="00FC6D7F">
              <w:rPr>
                <w:rFonts w:ascii="Times New Roman" w:hAnsi="Times New Roman"/>
                <w:b/>
                <w:noProof/>
                <w:sz w:val="24"/>
                <w:lang w:val="pl-PL"/>
              </w:rPr>
              <w:t>Europejską Unię Zdrowotną</w:t>
            </w:r>
            <w:r w:rsidRPr="00FC6D7F">
              <w:rPr>
                <w:rFonts w:ascii="Times New Roman" w:hAnsi="Times New Roman"/>
                <w:noProof/>
                <w:sz w:val="24"/>
                <w:lang w:val="pl-PL"/>
              </w:rPr>
              <w:t>, aby lepiej chronić zdrowie obywateli Unii, zapobiegać przyszłym pandemiom</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ygotować się na nie,</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tak</w:t>
            </w:r>
            <w:r w:rsidRPr="00FC6D7F">
              <w:rPr>
                <w:rFonts w:ascii="Times New Roman" w:hAnsi="Times New Roman"/>
                <w:noProof/>
                <w:sz w:val="24"/>
                <w:lang w:val="pl-PL"/>
              </w:rPr>
              <w:t>że usprawniać ogólne systemy opieki zdrowotnej</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Eur</w:t>
            </w:r>
            <w:r w:rsidRPr="00FC6D7F">
              <w:rPr>
                <w:rFonts w:ascii="Times New Roman" w:hAnsi="Times New Roman"/>
                <w:noProof/>
                <w:sz w:val="24"/>
                <w:lang w:val="pl-PL"/>
              </w:rPr>
              <w:t xml:space="preserve">opie. Nowe </w:t>
            </w:r>
            <w:r w:rsidRPr="00FC6D7F">
              <w:rPr>
                <w:rFonts w:ascii="Times New Roman" w:hAnsi="Times New Roman"/>
                <w:b/>
                <w:noProof/>
                <w:sz w:val="24"/>
                <w:lang w:val="pl-PL"/>
              </w:rPr>
              <w:t>rozporządzenie</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spr</w:t>
            </w:r>
            <w:r w:rsidRPr="00FC6D7F">
              <w:rPr>
                <w:rFonts w:ascii="Times New Roman" w:hAnsi="Times New Roman"/>
                <w:b/>
                <w:noProof/>
                <w:sz w:val="24"/>
                <w:lang w:val="pl-PL"/>
              </w:rPr>
              <w:t>awie transgranicznych zagrożeń zdrowia,</w:t>
            </w:r>
            <w:r w:rsidRPr="00FC6D7F">
              <w:rPr>
                <w:rFonts w:ascii="Times New Roman" w:hAnsi="Times New Roman"/>
                <w:noProof/>
                <w:sz w:val="24"/>
                <w:lang w:val="pl-PL"/>
              </w:rPr>
              <w:t xml:space="preserve"> przyjęte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022 r., zapewni Unii kompleksowe ramy prawne regulujące skoordynowane działania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gotowości, nadzoru, oceny ryzyka oraz środków wczesnego ostrzegania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rea</w:t>
            </w:r>
            <w:r w:rsidRPr="00FC6D7F">
              <w:rPr>
                <w:rFonts w:ascii="Times New Roman" w:hAnsi="Times New Roman"/>
                <w:noProof/>
                <w:sz w:val="24"/>
                <w:lang w:val="pl-PL"/>
              </w:rPr>
              <w:t>gowania.</w:t>
            </w:r>
          </w:p>
          <w:p w14:paraId="73146186" w14:textId="59CA6928" w:rsidR="0023562B" w:rsidRPr="00FC6D7F" w:rsidRDefault="0023562B" w:rsidP="0023562B">
            <w:pPr>
              <w:numPr>
                <w:ilvl w:val="0"/>
                <w:numId w:val="6"/>
              </w:numPr>
              <w:spacing w:line="276" w:lineRule="auto"/>
              <w:contextualSpacing/>
              <w:jc w:val="both"/>
              <w:rPr>
                <w:rFonts w:ascii="Times New Roman" w:eastAsia="Calibri" w:hAnsi="Times New Roman" w:cs="Times New Roman"/>
                <w:noProof/>
                <w:sz w:val="24"/>
                <w:lang w:val="pl-PL"/>
              </w:rPr>
            </w:pPr>
            <w:r w:rsidRPr="00FC6D7F">
              <w:rPr>
                <w:rFonts w:ascii="Times New Roman" w:hAnsi="Times New Roman"/>
                <w:b/>
                <w:noProof/>
                <w:sz w:val="24"/>
                <w:lang w:val="pl-PL"/>
              </w:rPr>
              <w:t>Europejska przestrzeń danych dotyczących zdrowia</w:t>
            </w:r>
            <w:r w:rsidRPr="00FC6D7F">
              <w:rPr>
                <w:rFonts w:ascii="Times New Roman" w:hAnsi="Times New Roman"/>
                <w:noProof/>
                <w:sz w:val="24"/>
                <w:lang w:val="pl-PL"/>
              </w:rPr>
              <w:t xml:space="preserve"> jest kluczowym filarem silnej Europejskiej Unii Zdrowotnej. Wspiera ona osoby fizyczne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ejmowaniu kontroli nad własnymi danymi dotyczącymi zdrowia, wspiera wykorzystywanie danych dotyczących zdrowia do lepszego świadczenia opieki zdrowotnej, lepszych badań naukowych, innowacji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ksz</w:t>
            </w:r>
            <w:r w:rsidRPr="00FC6D7F">
              <w:rPr>
                <w:rFonts w:ascii="Times New Roman" w:hAnsi="Times New Roman"/>
                <w:noProof/>
                <w:sz w:val="24"/>
                <w:lang w:val="pl-PL"/>
              </w:rPr>
              <w:t>tałtowania polityki oraz umożliwia UE pełne wykorzystanie potencjału, jaki daje bezpieczna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chr</w:t>
            </w:r>
            <w:r w:rsidRPr="00FC6D7F">
              <w:rPr>
                <w:rFonts w:ascii="Times New Roman" w:hAnsi="Times New Roman"/>
                <w:noProof/>
                <w:sz w:val="24"/>
                <w:lang w:val="pl-PL"/>
              </w:rPr>
              <w:t>oniona wymiana, wykorzystywanie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pon</w:t>
            </w:r>
            <w:r w:rsidRPr="00FC6D7F">
              <w:rPr>
                <w:rFonts w:ascii="Times New Roman" w:hAnsi="Times New Roman"/>
                <w:noProof/>
                <w:sz w:val="24"/>
                <w:lang w:val="pl-PL"/>
              </w:rPr>
              <w:t>owne wykorzystywanie danych dotyczących zdrowia.</w:t>
            </w:r>
          </w:p>
          <w:p w14:paraId="6FEE43CB" w14:textId="51ED2FAA" w:rsidR="0023562B" w:rsidRPr="00FC6D7F" w:rsidRDefault="0023562B" w:rsidP="0023562B">
            <w:pPr>
              <w:numPr>
                <w:ilvl w:val="0"/>
                <w:numId w:val="6"/>
              </w:numPr>
              <w:spacing w:line="276" w:lineRule="auto"/>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 xml:space="preserve">W 2022 r. Unia rozszerzyła uprawnienia istniejącej agencji ds. zdrowia. </w:t>
            </w:r>
            <w:r w:rsidRPr="00FC6D7F">
              <w:rPr>
                <w:rFonts w:ascii="Times New Roman" w:hAnsi="Times New Roman"/>
                <w:b/>
                <w:noProof/>
                <w:sz w:val="24"/>
                <w:lang w:val="pl-PL"/>
              </w:rPr>
              <w:t>Europejska Agencja Leków</w:t>
            </w:r>
            <w:r w:rsidRPr="00FC6D7F">
              <w:rPr>
                <w:rFonts w:ascii="Times New Roman" w:hAnsi="Times New Roman"/>
                <w:noProof/>
                <w:sz w:val="24"/>
                <w:lang w:val="pl-PL"/>
              </w:rPr>
              <w:t xml:space="preserve"> może teraz monitorować sektor zdrowia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pod</w:t>
            </w:r>
            <w:r w:rsidRPr="00FC6D7F">
              <w:rPr>
                <w:rFonts w:ascii="Times New Roman" w:hAnsi="Times New Roman"/>
                <w:noProof/>
                <w:sz w:val="24"/>
                <w:lang w:val="pl-PL"/>
              </w:rPr>
              <w:t>ejmować działania, by zapobiegać niedoborom leków,</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tak</w:t>
            </w:r>
            <w:r w:rsidRPr="00FC6D7F">
              <w:rPr>
                <w:rFonts w:ascii="Times New Roman" w:hAnsi="Times New Roman"/>
                <w:noProof/>
                <w:sz w:val="24"/>
                <w:lang w:val="pl-PL"/>
              </w:rPr>
              <w:t>że ułatwiać szybsze zatwierdzanie leków, by położyć kres kryzysowi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dzi</w:t>
            </w:r>
            <w:r w:rsidRPr="00FC6D7F">
              <w:rPr>
                <w:rFonts w:ascii="Times New Roman" w:hAnsi="Times New Roman"/>
                <w:noProof/>
                <w:sz w:val="24"/>
                <w:lang w:val="pl-PL"/>
              </w:rPr>
              <w:t xml:space="preserve">edzinie zdrowia publicznego. Szersze uprawnienia przyznano również </w:t>
            </w:r>
            <w:r w:rsidRPr="00FC6D7F">
              <w:rPr>
                <w:rFonts w:ascii="Times New Roman" w:hAnsi="Times New Roman"/>
                <w:b/>
                <w:noProof/>
                <w:sz w:val="24"/>
                <w:lang w:val="pl-PL"/>
              </w:rPr>
              <w:t>Europejskiemu Centrum ds. Zapobiegania</w:t>
            </w:r>
            <w:r w:rsidR="00D55672" w:rsidRPr="00FC6D7F">
              <w:rPr>
                <w:rFonts w:ascii="Times New Roman" w:hAnsi="Times New Roman"/>
                <w:b/>
                <w:noProof/>
                <w:sz w:val="24"/>
                <w:lang w:val="pl-PL"/>
              </w:rPr>
              <w:t xml:space="preserve"> i</w:t>
            </w:r>
            <w:r w:rsidR="00D55672">
              <w:rPr>
                <w:rFonts w:ascii="Times New Roman" w:hAnsi="Times New Roman"/>
                <w:b/>
                <w:noProof/>
                <w:sz w:val="24"/>
                <w:lang w:val="pl-PL"/>
              </w:rPr>
              <w:t> </w:t>
            </w:r>
            <w:r w:rsidR="00D55672" w:rsidRPr="00FC6D7F">
              <w:rPr>
                <w:rFonts w:ascii="Times New Roman" w:hAnsi="Times New Roman"/>
                <w:b/>
                <w:noProof/>
                <w:sz w:val="24"/>
                <w:lang w:val="pl-PL"/>
              </w:rPr>
              <w:t>Kon</w:t>
            </w:r>
            <w:r w:rsidRPr="00FC6D7F">
              <w:rPr>
                <w:rFonts w:ascii="Times New Roman" w:hAnsi="Times New Roman"/>
                <w:b/>
                <w:noProof/>
                <w:sz w:val="24"/>
                <w:lang w:val="pl-PL"/>
              </w:rPr>
              <w:t>troli Chorób</w:t>
            </w:r>
            <w:r w:rsidRPr="00FC6D7F">
              <w:rPr>
                <w:rFonts w:ascii="Times New Roman" w:hAnsi="Times New Roman"/>
                <w:noProof/>
                <w:sz w:val="24"/>
                <w:lang w:val="pl-PL"/>
              </w:rPr>
              <w:t>, dzięki czemu może ono wspierać Unię</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jej</w:t>
            </w:r>
            <w:r w:rsidRPr="00FC6D7F">
              <w:rPr>
                <w:rFonts w:ascii="Times New Roman" w:hAnsi="Times New Roman"/>
                <w:noProof/>
                <w:sz w:val="24"/>
                <w:lang w:val="pl-PL"/>
              </w:rPr>
              <w:t xml:space="preserve"> państwa członkowskie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zap</w:t>
            </w:r>
            <w:r w:rsidRPr="00FC6D7F">
              <w:rPr>
                <w:rFonts w:ascii="Times New Roman" w:hAnsi="Times New Roman"/>
                <w:noProof/>
                <w:sz w:val="24"/>
                <w:lang w:val="pl-PL"/>
              </w:rPr>
              <w:t>obieganiu zagrożeniom chorobami zakaźnymi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ich</w:t>
            </w:r>
            <w:r w:rsidRPr="00FC6D7F">
              <w:rPr>
                <w:rFonts w:ascii="Times New Roman" w:hAnsi="Times New Roman"/>
                <w:noProof/>
                <w:sz w:val="24"/>
                <w:lang w:val="pl-PL"/>
              </w:rPr>
              <w:t xml:space="preserve"> kontrolowaniu.</w:t>
            </w:r>
          </w:p>
          <w:p w14:paraId="48558DEE" w14:textId="609247AA" w:rsidR="0023562B" w:rsidRPr="00FC6D7F" w:rsidRDefault="0023562B" w:rsidP="0023562B">
            <w:pPr>
              <w:numPr>
                <w:ilvl w:val="0"/>
                <w:numId w:val="6"/>
              </w:numPr>
              <w:spacing w:line="276" w:lineRule="auto"/>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Przyjęty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 xml:space="preserve">021 r. </w:t>
            </w:r>
            <w:r w:rsidRPr="00FC6D7F">
              <w:rPr>
                <w:rFonts w:ascii="Times New Roman" w:hAnsi="Times New Roman"/>
                <w:b/>
                <w:noProof/>
                <w:sz w:val="24"/>
                <w:lang w:val="pl-PL"/>
              </w:rPr>
              <w:t>europejski plan walki</w:t>
            </w:r>
            <w:r w:rsidR="00D55672" w:rsidRPr="00FC6D7F">
              <w:rPr>
                <w:rFonts w:ascii="Times New Roman" w:hAnsi="Times New Roman"/>
                <w:b/>
                <w:noProof/>
                <w:sz w:val="24"/>
                <w:lang w:val="pl-PL"/>
              </w:rPr>
              <w:t xml:space="preserve"> z</w:t>
            </w:r>
            <w:r w:rsidR="00D55672">
              <w:rPr>
                <w:rFonts w:ascii="Times New Roman" w:hAnsi="Times New Roman"/>
                <w:b/>
                <w:noProof/>
                <w:sz w:val="24"/>
                <w:lang w:val="pl-PL"/>
              </w:rPr>
              <w:t> </w:t>
            </w:r>
            <w:r w:rsidR="00D55672" w:rsidRPr="00FC6D7F">
              <w:rPr>
                <w:rFonts w:ascii="Times New Roman" w:hAnsi="Times New Roman"/>
                <w:b/>
                <w:noProof/>
                <w:sz w:val="24"/>
                <w:lang w:val="pl-PL"/>
              </w:rPr>
              <w:t>rak</w:t>
            </w:r>
            <w:r w:rsidRPr="00FC6D7F">
              <w:rPr>
                <w:rFonts w:ascii="Times New Roman" w:hAnsi="Times New Roman"/>
                <w:b/>
                <w:noProof/>
                <w:sz w:val="24"/>
                <w:lang w:val="pl-PL"/>
              </w:rPr>
              <w:t>iem</w:t>
            </w:r>
            <w:r w:rsidRPr="00FC6D7F">
              <w:rPr>
                <w:rFonts w:ascii="Times New Roman" w:hAnsi="Times New Roman"/>
                <w:noProof/>
                <w:sz w:val="24"/>
                <w:lang w:val="pl-PL"/>
              </w:rPr>
              <w:t xml:space="preserve"> jest sygnałem, że Unia odnowiła swoje zobowiązanie do zapobiegania chorobom nowotworowym oraz zapewnienia równego dostępu do diagnostyki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lec</w:t>
            </w:r>
            <w:r w:rsidRPr="00FC6D7F">
              <w:rPr>
                <w:rFonts w:ascii="Times New Roman" w:hAnsi="Times New Roman"/>
                <w:noProof/>
                <w:sz w:val="24"/>
                <w:lang w:val="pl-PL"/>
              </w:rPr>
              <w:t>zenia raka.</w:t>
            </w:r>
          </w:p>
        </w:tc>
      </w:tr>
      <w:tr w:rsidR="0023562B" w:rsidRPr="00FC6D7F" w14:paraId="4C7FC01A" w14:textId="77777777" w:rsidTr="00056C57">
        <w:tc>
          <w:tcPr>
            <w:tcW w:w="3256" w:type="dxa"/>
          </w:tcPr>
          <w:p w14:paraId="1BCFBBA7" w14:textId="3C4DB53D" w:rsidR="0023562B" w:rsidRPr="00FC6D7F" w:rsidRDefault="0023562B" w:rsidP="0023562B">
            <w:pPr>
              <w:spacing w:line="276" w:lineRule="auto"/>
              <w:jc w:val="both"/>
              <w:rPr>
                <w:rFonts w:ascii="Times New Roman" w:eastAsia="Calibri" w:hAnsi="Times New Roman" w:cs="Times New Roman"/>
                <w:b/>
                <w:noProof/>
                <w:sz w:val="24"/>
                <w:lang w:val="pl-PL"/>
              </w:rPr>
            </w:pPr>
            <w:r w:rsidRPr="00FC6D7F">
              <w:rPr>
                <w:rFonts w:ascii="Times New Roman" w:hAnsi="Times New Roman"/>
                <w:b/>
                <w:noProof/>
                <w:sz w:val="24"/>
                <w:lang w:val="pl-PL"/>
              </w:rPr>
              <w:t>17.</w:t>
            </w:r>
            <w:r w:rsidRPr="00FC6D7F">
              <w:rPr>
                <w:rFonts w:ascii="Times New Roman" w:hAnsi="Times New Roman"/>
                <w:noProof/>
                <w:sz w:val="24"/>
                <w:lang w:val="pl-PL"/>
              </w:rPr>
              <w:t xml:space="preserve"> Komisja zwiększy swoje wsparcie dla młodych obywateli Unii, również tych</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gru</w:t>
            </w:r>
            <w:r w:rsidRPr="00FC6D7F">
              <w:rPr>
                <w:rFonts w:ascii="Times New Roman" w:hAnsi="Times New Roman"/>
                <w:noProof/>
                <w:sz w:val="24"/>
                <w:lang w:val="pl-PL"/>
              </w:rPr>
              <w:t>p defaworyzowanych, aby za pośrednictwem wzmocnionej gwarancji dla młodzieży pomóc im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uzy</w:t>
            </w:r>
            <w:r w:rsidRPr="00FC6D7F">
              <w:rPr>
                <w:rFonts w:ascii="Times New Roman" w:hAnsi="Times New Roman"/>
                <w:noProof/>
                <w:sz w:val="24"/>
                <w:lang w:val="pl-PL"/>
              </w:rPr>
              <w:t>skaniu dostępu do kształcenia, szkolenia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wre</w:t>
            </w:r>
            <w:r w:rsidRPr="00FC6D7F">
              <w:rPr>
                <w:rFonts w:ascii="Times New Roman" w:hAnsi="Times New Roman"/>
                <w:noProof/>
                <w:sz w:val="24"/>
                <w:lang w:val="pl-PL"/>
              </w:rPr>
              <w:t>szcie do rynku pracy.</w:t>
            </w:r>
          </w:p>
        </w:tc>
        <w:tc>
          <w:tcPr>
            <w:tcW w:w="6094" w:type="dxa"/>
          </w:tcPr>
          <w:p w14:paraId="25237566" w14:textId="394724DC" w:rsidR="0023562B" w:rsidRPr="00FC6D7F" w:rsidRDefault="0023562B" w:rsidP="0023562B">
            <w:pPr>
              <w:numPr>
                <w:ilvl w:val="0"/>
                <w:numId w:val="8"/>
              </w:numPr>
              <w:spacing w:line="276" w:lineRule="auto"/>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W odpowiedzi na recesję wywołaną pandemią COVID-19 Komisja przedstawiła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0</w:t>
            </w:r>
            <w:r w:rsidRPr="00D55672">
              <w:rPr>
                <w:rFonts w:ascii="Times New Roman" w:hAnsi="Times New Roman"/>
                <w:noProof/>
                <w:sz w:val="24"/>
                <w:lang w:val="pl-PL"/>
              </w:rPr>
              <w:t>20</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pakiet „</w:t>
            </w:r>
            <w:r w:rsidRPr="00FC6D7F">
              <w:rPr>
                <w:rFonts w:ascii="Times New Roman" w:hAnsi="Times New Roman"/>
                <w:b/>
                <w:noProof/>
                <w:sz w:val="24"/>
                <w:lang w:val="pl-PL"/>
              </w:rPr>
              <w:t>Wspieranie zatrudnienia ludzi młodych: pomost do zatrudnienia dla kolejnego pokolenia”</w:t>
            </w:r>
            <w:r w:rsidRPr="00FC6D7F">
              <w:rPr>
                <w:rFonts w:ascii="Times New Roman" w:hAnsi="Times New Roman"/>
                <w:noProof/>
                <w:sz w:val="24"/>
                <w:lang w:val="pl-PL"/>
              </w:rPr>
              <w:t xml:space="preserve">. </w:t>
            </w:r>
          </w:p>
          <w:p w14:paraId="5C5B9907" w14:textId="481E9AAE" w:rsidR="0023562B" w:rsidRPr="00FC6D7F" w:rsidRDefault="0023562B" w:rsidP="0023562B">
            <w:pPr>
              <w:numPr>
                <w:ilvl w:val="0"/>
                <w:numId w:val="6"/>
              </w:numPr>
              <w:spacing w:line="276" w:lineRule="auto"/>
              <w:contextualSpacing/>
              <w:jc w:val="both"/>
              <w:rPr>
                <w:rFonts w:ascii="Times New Roman" w:eastAsia="Calibri" w:hAnsi="Times New Roman" w:cs="Times New Roman"/>
                <w:noProof/>
                <w:sz w:val="24"/>
                <w:lang w:val="pl-PL"/>
              </w:rPr>
            </w:pPr>
            <w:r w:rsidRPr="00FC6D7F">
              <w:rPr>
                <w:rFonts w:ascii="Times New Roman" w:hAnsi="Times New Roman"/>
                <w:b/>
                <w:noProof/>
                <w:sz w:val="24"/>
                <w:lang w:val="pl-PL"/>
              </w:rPr>
              <w:t>Wzmocniona gwarancja dla młodzieży</w:t>
            </w:r>
            <w:r w:rsidRPr="00FC6D7F">
              <w:rPr>
                <w:rFonts w:ascii="Times New Roman" w:hAnsi="Times New Roman"/>
                <w:noProof/>
                <w:sz w:val="24"/>
                <w:lang w:val="pl-PL"/>
              </w:rPr>
              <w:t xml:space="preserve"> była głównym elementem pakietu wsparcia na rzecz zatrudnienia ludzi młodych, który stanowi ramy odniesienia dla polityki UE dotyczące zwalczania bezrobocia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bie</w:t>
            </w:r>
            <w:r w:rsidRPr="00FC6D7F">
              <w:rPr>
                <w:rFonts w:ascii="Times New Roman" w:hAnsi="Times New Roman"/>
                <w:noProof/>
                <w:sz w:val="24"/>
                <w:lang w:val="pl-PL"/>
              </w:rPr>
              <w:t>rności zawodowej młodzieży. Opierał się on na doświadczeniach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wni</w:t>
            </w:r>
            <w:r w:rsidRPr="00FC6D7F">
              <w:rPr>
                <w:rFonts w:ascii="Times New Roman" w:hAnsi="Times New Roman"/>
                <w:noProof/>
                <w:sz w:val="24"/>
                <w:lang w:val="pl-PL"/>
              </w:rPr>
              <w:t>oskach</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sie</w:t>
            </w:r>
            <w:r w:rsidRPr="00FC6D7F">
              <w:rPr>
                <w:rFonts w:ascii="Times New Roman" w:hAnsi="Times New Roman"/>
                <w:noProof/>
                <w:sz w:val="24"/>
                <w:lang w:val="pl-PL"/>
              </w:rPr>
              <w:t>dmioletniego wdrażania gwarancji dla młodzieży</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0</w:t>
            </w:r>
            <w:r w:rsidRPr="00D55672">
              <w:rPr>
                <w:rFonts w:ascii="Times New Roman" w:hAnsi="Times New Roman"/>
                <w:noProof/>
                <w:sz w:val="24"/>
                <w:lang w:val="pl-PL"/>
              </w:rPr>
              <w:t>13</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zaw</w:t>
            </w:r>
            <w:r w:rsidRPr="00FC6D7F">
              <w:rPr>
                <w:rFonts w:ascii="Times New Roman" w:hAnsi="Times New Roman"/>
                <w:noProof/>
                <w:sz w:val="24"/>
                <w:lang w:val="pl-PL"/>
              </w:rPr>
              <w:t>ierał ambitne zasadnicze zobowiązanie. Państwa członkowskie powinny zapewnić, aby wszystkie osoby młode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wie</w:t>
            </w:r>
            <w:r w:rsidRPr="00FC6D7F">
              <w:rPr>
                <w:rFonts w:ascii="Times New Roman" w:hAnsi="Times New Roman"/>
                <w:noProof/>
                <w:sz w:val="24"/>
                <w:lang w:val="pl-PL"/>
              </w:rPr>
              <w:t xml:space="preserve">ku </w:t>
            </w:r>
            <w:r w:rsidRPr="00D55672">
              <w:rPr>
                <w:rFonts w:ascii="Times New Roman" w:hAnsi="Times New Roman"/>
                <w:noProof/>
                <w:sz w:val="24"/>
                <w:lang w:val="pl-PL"/>
              </w:rPr>
              <w:t>do</w:t>
            </w:r>
            <w:r w:rsidR="00D55672" w:rsidRPr="00D55672">
              <w:rPr>
                <w:rFonts w:ascii="Times New Roman" w:hAnsi="Times New Roman"/>
                <w:noProof/>
                <w:sz w:val="24"/>
                <w:lang w:val="pl-PL"/>
              </w:rPr>
              <w:t> </w:t>
            </w:r>
            <w:r w:rsidRPr="00D55672">
              <w:rPr>
                <w:rFonts w:ascii="Times New Roman" w:hAnsi="Times New Roman"/>
                <w:noProof/>
                <w:sz w:val="24"/>
                <w:lang w:val="pl-PL"/>
              </w:rPr>
              <w:t>3</w:t>
            </w:r>
            <w:r w:rsidRPr="00FC6D7F">
              <w:rPr>
                <w:rFonts w:ascii="Times New Roman" w:hAnsi="Times New Roman"/>
                <w:noProof/>
                <w:sz w:val="24"/>
                <w:lang w:val="pl-PL"/>
              </w:rPr>
              <w:t>0 lat</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cią</w:t>
            </w:r>
            <w:r w:rsidRPr="00FC6D7F">
              <w:rPr>
                <w:rFonts w:ascii="Times New Roman" w:hAnsi="Times New Roman"/>
                <w:noProof/>
                <w:sz w:val="24"/>
                <w:lang w:val="pl-PL"/>
              </w:rPr>
              <w:t xml:space="preserve">gu czterech miesięcy od uzyskania statusu osoby bezrobotnej lub zakończenia kształcenia formalnego otrzymali dobrej jakości ofertę zatrudnienia, dalszego kształcenia, przygotowania zawodowego lub stażu. </w:t>
            </w:r>
          </w:p>
          <w:p w14:paraId="2DF8A42C" w14:textId="536ED413" w:rsidR="0023562B" w:rsidRPr="00FC6D7F" w:rsidRDefault="0023562B" w:rsidP="0023562B">
            <w:pPr>
              <w:numPr>
                <w:ilvl w:val="0"/>
                <w:numId w:val="7"/>
              </w:numPr>
              <w:spacing w:line="276" w:lineRule="auto"/>
              <w:contextualSpacing/>
              <w:jc w:val="both"/>
              <w:rPr>
                <w:rFonts w:ascii="Times New Roman" w:eastAsia="Calibri" w:hAnsi="Times New Roman" w:cs="Times New Roman"/>
                <w:noProof/>
                <w:sz w:val="24"/>
                <w:lang w:val="pl-PL"/>
              </w:rPr>
            </w:pPr>
            <w:r w:rsidRPr="00FC6D7F">
              <w:rPr>
                <w:rFonts w:ascii="Times New Roman" w:hAnsi="Times New Roman"/>
                <w:noProof/>
                <w:sz w:val="24"/>
                <w:lang w:val="pl-PL"/>
              </w:rPr>
              <w:t>We wzmocnionym zaleceniu szczególną uwagę zwrócono na docieranie do osób młodych znajdujących się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naj</w:t>
            </w:r>
            <w:r w:rsidRPr="00FC6D7F">
              <w:rPr>
                <w:rFonts w:ascii="Times New Roman" w:hAnsi="Times New Roman"/>
                <w:noProof/>
                <w:sz w:val="24"/>
                <w:lang w:val="pl-PL"/>
              </w:rPr>
              <w:t>trudniejszej sytuacji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wsp</w:t>
            </w:r>
            <w:r w:rsidRPr="00FC6D7F">
              <w:rPr>
                <w:rFonts w:ascii="Times New Roman" w:hAnsi="Times New Roman"/>
                <w:noProof/>
                <w:sz w:val="24"/>
                <w:lang w:val="pl-PL"/>
              </w:rPr>
              <w:t>ieranie ich. Dotyczy to młodzieży NEET (młodzieży niekształcącej się, niepracującej ani nieszkolącej się), ale również osób młodych</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nis</w:t>
            </w:r>
            <w:r w:rsidRPr="00FC6D7F">
              <w:rPr>
                <w:rFonts w:ascii="Times New Roman" w:hAnsi="Times New Roman"/>
                <w:noProof/>
                <w:sz w:val="24"/>
                <w:lang w:val="pl-PL"/>
              </w:rPr>
              <w:t>kich umiejętnościach oraz osób mieszkających na obszarach wiejskich lub na obszarach miejskich znajdujących się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korzystnej sytuacji,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uwz</w:t>
            </w:r>
            <w:r w:rsidRPr="00FC6D7F">
              <w:rPr>
                <w:rFonts w:ascii="Times New Roman" w:hAnsi="Times New Roman"/>
                <w:noProof/>
                <w:sz w:val="24"/>
                <w:lang w:val="pl-PL"/>
              </w:rPr>
              <w:t>ględnieniem płci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róż</w:t>
            </w:r>
            <w:r w:rsidRPr="00FC6D7F">
              <w:rPr>
                <w:rFonts w:ascii="Times New Roman" w:hAnsi="Times New Roman"/>
                <w:noProof/>
                <w:sz w:val="24"/>
                <w:lang w:val="pl-PL"/>
              </w:rPr>
              <w:t>norodności osób młodych, do których skierowane jest ukierunkowane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ind</w:t>
            </w:r>
            <w:r w:rsidRPr="00FC6D7F">
              <w:rPr>
                <w:rFonts w:ascii="Times New Roman" w:hAnsi="Times New Roman"/>
                <w:noProof/>
                <w:sz w:val="24"/>
                <w:lang w:val="pl-PL"/>
              </w:rPr>
              <w:t xml:space="preserve">ywidualne wsparcie uwzględniające ich różnorodność. </w:t>
            </w:r>
          </w:p>
          <w:p w14:paraId="6D1548A3" w14:textId="77777777" w:rsidR="00273E5A" w:rsidRPr="00FC6D7F" w:rsidRDefault="00273E5A" w:rsidP="00273E5A">
            <w:pPr>
              <w:spacing w:line="276" w:lineRule="auto"/>
              <w:contextualSpacing/>
              <w:jc w:val="both"/>
              <w:rPr>
                <w:rFonts w:ascii="Times New Roman" w:eastAsia="Calibri" w:hAnsi="Times New Roman" w:cs="Times New Roman"/>
                <w:noProof/>
                <w:sz w:val="24"/>
                <w:lang w:val="pl-PL"/>
              </w:rPr>
            </w:pPr>
          </w:p>
          <w:p w14:paraId="0B5EBCDA" w14:textId="249E6F01" w:rsidR="00273E5A" w:rsidRPr="00FC6D7F" w:rsidRDefault="00273E5A" w:rsidP="0051621F">
            <w:pPr>
              <w:spacing w:line="276" w:lineRule="auto"/>
              <w:contextualSpacing/>
              <w:jc w:val="both"/>
              <w:rPr>
                <w:rFonts w:ascii="Times New Roman" w:eastAsia="Calibri" w:hAnsi="Times New Roman" w:cs="Times New Roman"/>
                <w:noProof/>
                <w:sz w:val="24"/>
                <w:lang w:val="pl-PL"/>
              </w:rPr>
            </w:pPr>
          </w:p>
        </w:tc>
      </w:tr>
      <w:tr w:rsidR="0023562B" w:rsidRPr="00FC6D7F" w14:paraId="000A058F" w14:textId="77777777" w:rsidTr="004409AE">
        <w:tc>
          <w:tcPr>
            <w:tcW w:w="9350" w:type="dxa"/>
            <w:gridSpan w:val="2"/>
          </w:tcPr>
          <w:p w14:paraId="256A74A8" w14:textId="7AA03671" w:rsidR="0023562B" w:rsidRPr="00FC6D7F" w:rsidRDefault="0023562B" w:rsidP="0023562B">
            <w:pPr>
              <w:jc w:val="center"/>
              <w:rPr>
                <w:rFonts w:ascii="Times New Roman" w:eastAsia="Calibri" w:hAnsi="Times New Roman" w:cs="Times New Roman"/>
                <w:noProof/>
                <w:sz w:val="24"/>
                <w:lang w:val="pl-PL"/>
              </w:rPr>
            </w:pPr>
            <w:r w:rsidRPr="00FC6D7F">
              <w:rPr>
                <w:rFonts w:ascii="Times New Roman" w:hAnsi="Times New Roman"/>
                <w:i/>
                <w:noProof/>
                <w:sz w:val="24"/>
                <w:lang w:val="pl-PL"/>
              </w:rPr>
              <w:t>Solidarność</w:t>
            </w:r>
            <w:r w:rsidR="00D55672" w:rsidRPr="00FC6D7F">
              <w:rPr>
                <w:rFonts w:ascii="Times New Roman" w:hAnsi="Times New Roman"/>
                <w:i/>
                <w:noProof/>
                <w:sz w:val="24"/>
                <w:lang w:val="pl-PL"/>
              </w:rPr>
              <w:t xml:space="preserve"> w</w:t>
            </w:r>
            <w:r w:rsidR="00D55672">
              <w:rPr>
                <w:rFonts w:ascii="Times New Roman" w:hAnsi="Times New Roman"/>
                <w:i/>
                <w:noProof/>
                <w:sz w:val="24"/>
                <w:lang w:val="pl-PL"/>
              </w:rPr>
              <w:t> </w:t>
            </w:r>
            <w:r w:rsidR="00D55672" w:rsidRPr="00FC6D7F">
              <w:rPr>
                <w:rFonts w:ascii="Times New Roman" w:hAnsi="Times New Roman"/>
                <w:i/>
                <w:noProof/>
                <w:sz w:val="24"/>
                <w:lang w:val="pl-PL"/>
              </w:rPr>
              <w:t>dzi</w:t>
            </w:r>
            <w:r w:rsidRPr="00FC6D7F">
              <w:rPr>
                <w:rFonts w:ascii="Times New Roman" w:hAnsi="Times New Roman"/>
                <w:i/>
                <w:noProof/>
                <w:sz w:val="24"/>
                <w:lang w:val="pl-PL"/>
              </w:rPr>
              <w:t>ałaniu na rzecz obywateli poza UE</w:t>
            </w:r>
          </w:p>
        </w:tc>
      </w:tr>
      <w:tr w:rsidR="0023562B" w14:paraId="11284337" w14:textId="77777777" w:rsidTr="00056C57">
        <w:tc>
          <w:tcPr>
            <w:tcW w:w="3256" w:type="dxa"/>
          </w:tcPr>
          <w:p w14:paraId="0C1C4327" w14:textId="31D75FF5" w:rsidR="0023562B" w:rsidRPr="00FC6D7F" w:rsidRDefault="0023562B" w:rsidP="0023562B">
            <w:pPr>
              <w:spacing w:line="276" w:lineRule="auto"/>
              <w:jc w:val="both"/>
              <w:rPr>
                <w:rFonts w:ascii="Times New Roman" w:eastAsia="Calibri" w:hAnsi="Times New Roman" w:cs="Times New Roman"/>
                <w:b/>
                <w:noProof/>
                <w:sz w:val="24"/>
                <w:lang w:val="pl-PL"/>
              </w:rPr>
            </w:pPr>
            <w:r w:rsidRPr="00FC6D7F">
              <w:rPr>
                <w:rFonts w:ascii="Times New Roman" w:hAnsi="Times New Roman"/>
                <w:b/>
                <w:noProof/>
                <w:sz w:val="24"/>
                <w:lang w:val="pl-PL"/>
              </w:rPr>
              <w:t>18.</w:t>
            </w:r>
            <w:r w:rsidRPr="00FC6D7F">
              <w:rPr>
                <w:rFonts w:ascii="Times New Roman" w:hAnsi="Times New Roman"/>
                <w:noProof/>
                <w:sz w:val="24"/>
                <w:lang w:val="pl-PL"/>
              </w:rPr>
              <w:t xml:space="preserve"> W 20</w:t>
            </w:r>
            <w:r w:rsidRPr="00D55672">
              <w:rPr>
                <w:rFonts w:ascii="Times New Roman" w:hAnsi="Times New Roman"/>
                <w:noProof/>
                <w:sz w:val="24"/>
                <w:lang w:val="pl-PL"/>
              </w:rPr>
              <w:t>21</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Komisja dokona przeglądu przepisów UE dotyczących ochrony konsularnej</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poprawy gotowości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zdo</w:t>
            </w:r>
            <w:r w:rsidRPr="00FC6D7F">
              <w:rPr>
                <w:rFonts w:ascii="Times New Roman" w:hAnsi="Times New Roman"/>
                <w:noProof/>
                <w:sz w:val="24"/>
                <w:lang w:val="pl-PL"/>
              </w:rPr>
              <w:t>lności UE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 członkowskich do ochrony</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wsp</w:t>
            </w:r>
            <w:r w:rsidRPr="00FC6D7F">
              <w:rPr>
                <w:rFonts w:ascii="Times New Roman" w:hAnsi="Times New Roman"/>
                <w:noProof/>
                <w:sz w:val="24"/>
                <w:lang w:val="pl-PL"/>
              </w:rPr>
              <w:t>ierania obywateli Unii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cza</w:t>
            </w:r>
            <w:r w:rsidRPr="00FC6D7F">
              <w:rPr>
                <w:rFonts w:ascii="Times New Roman" w:hAnsi="Times New Roman"/>
                <w:noProof/>
                <w:sz w:val="24"/>
                <w:lang w:val="pl-PL"/>
              </w:rPr>
              <w:t>sie kryzysu.</w:t>
            </w:r>
          </w:p>
        </w:tc>
        <w:tc>
          <w:tcPr>
            <w:tcW w:w="6094" w:type="dxa"/>
          </w:tcPr>
          <w:p w14:paraId="38A619A0" w14:textId="49ECB3E4" w:rsidR="0023562B" w:rsidRPr="00056C57" w:rsidRDefault="0023562B" w:rsidP="0023562B">
            <w:pPr>
              <w:numPr>
                <w:ilvl w:val="0"/>
                <w:numId w:val="7"/>
              </w:numPr>
              <w:spacing w:line="276" w:lineRule="auto"/>
              <w:contextualSpacing/>
              <w:jc w:val="both"/>
              <w:rPr>
                <w:rFonts w:ascii="Times New Roman" w:eastAsia="Calibri" w:hAnsi="Times New Roman" w:cs="Times New Roman"/>
                <w:noProof/>
                <w:sz w:val="24"/>
              </w:rPr>
            </w:pPr>
            <w:r w:rsidRPr="00FC6D7F">
              <w:rPr>
                <w:rFonts w:ascii="Times New Roman" w:hAnsi="Times New Roman"/>
                <w:noProof/>
                <w:sz w:val="24"/>
                <w:lang w:val="pl-PL"/>
              </w:rPr>
              <w:t xml:space="preserve">W ramach pakietu dotyczącego obywatelstwa Komisja przyjmuje wniosek dotyczący </w:t>
            </w:r>
            <w:r w:rsidRPr="00FC6D7F">
              <w:rPr>
                <w:rFonts w:ascii="Times New Roman" w:hAnsi="Times New Roman"/>
                <w:b/>
                <w:noProof/>
                <w:sz w:val="24"/>
                <w:lang w:val="pl-PL"/>
              </w:rPr>
              <w:t>zmiany dyrektywy</w:t>
            </w:r>
            <w:r w:rsidR="00D55672" w:rsidRPr="00FC6D7F">
              <w:rPr>
                <w:rFonts w:ascii="Times New Roman" w:hAnsi="Times New Roman"/>
                <w:b/>
                <w:noProof/>
                <w:sz w:val="24"/>
                <w:lang w:val="pl-PL"/>
              </w:rPr>
              <w:t xml:space="preserve"> w</w:t>
            </w:r>
            <w:r w:rsidR="00D55672">
              <w:rPr>
                <w:rFonts w:ascii="Times New Roman" w:hAnsi="Times New Roman"/>
                <w:b/>
                <w:noProof/>
                <w:sz w:val="24"/>
                <w:lang w:val="pl-PL"/>
              </w:rPr>
              <w:t> </w:t>
            </w:r>
            <w:r w:rsidR="00D55672" w:rsidRPr="00FC6D7F">
              <w:rPr>
                <w:rFonts w:ascii="Times New Roman" w:hAnsi="Times New Roman"/>
                <w:b/>
                <w:noProof/>
                <w:sz w:val="24"/>
                <w:lang w:val="pl-PL"/>
              </w:rPr>
              <w:t>spr</w:t>
            </w:r>
            <w:r w:rsidRPr="00FC6D7F">
              <w:rPr>
                <w:rFonts w:ascii="Times New Roman" w:hAnsi="Times New Roman"/>
                <w:b/>
                <w:noProof/>
                <w:sz w:val="24"/>
                <w:lang w:val="pl-PL"/>
              </w:rPr>
              <w:t xml:space="preserve">awie ochrony konsularnej, </w:t>
            </w:r>
            <w:r w:rsidRPr="00FC6D7F">
              <w:rPr>
                <w:rFonts w:ascii="Times New Roman" w:hAnsi="Times New Roman"/>
                <w:noProof/>
                <w:sz w:val="24"/>
                <w:lang w:val="pl-PL"/>
              </w:rPr>
              <w:t>aby wzmocnić prawo obywateli Unii do ochrony konsularnej, zwłaszcza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syt</w:t>
            </w:r>
            <w:r w:rsidRPr="00FC6D7F">
              <w:rPr>
                <w:rFonts w:ascii="Times New Roman" w:hAnsi="Times New Roman"/>
                <w:noProof/>
                <w:sz w:val="24"/>
                <w:lang w:val="pl-PL"/>
              </w:rPr>
              <w:t xml:space="preserve">uacjach kryzysowych. </w:t>
            </w:r>
            <w:r>
              <w:rPr>
                <w:rFonts w:ascii="Times New Roman" w:hAnsi="Times New Roman"/>
                <w:i/>
                <w:noProof/>
                <w:sz w:val="24"/>
                <w:shd w:val="clear" w:color="auto" w:fill="FFFFFF"/>
              </w:rPr>
              <w:t>(aby uzyskać więcej informacji, zob. sprawozdanie s. 5</w:t>
            </w:r>
            <w:r w:rsidR="00D55672">
              <w:rPr>
                <w:rFonts w:ascii="Times New Roman" w:hAnsi="Times New Roman"/>
                <w:i/>
                <w:noProof/>
                <w:sz w:val="24"/>
                <w:shd w:val="clear" w:color="auto" w:fill="FFFFFF"/>
              </w:rPr>
              <w:t xml:space="preserve"> i 3</w:t>
            </w:r>
            <w:r>
              <w:rPr>
                <w:rFonts w:ascii="Times New Roman" w:hAnsi="Times New Roman"/>
                <w:i/>
                <w:noProof/>
                <w:sz w:val="24"/>
                <w:shd w:val="clear" w:color="auto" w:fill="FFFFFF"/>
              </w:rPr>
              <w:t>6)</w:t>
            </w:r>
          </w:p>
          <w:p w14:paraId="3348F693" w14:textId="569C642A" w:rsidR="0023562B" w:rsidRPr="00056C57" w:rsidRDefault="0023562B" w:rsidP="007501C3">
            <w:pPr>
              <w:spacing w:line="276" w:lineRule="auto"/>
              <w:ind w:left="360"/>
              <w:contextualSpacing/>
              <w:jc w:val="both"/>
              <w:rPr>
                <w:rFonts w:ascii="Times New Roman" w:eastAsia="Calibri" w:hAnsi="Times New Roman" w:cs="Times New Roman"/>
                <w:noProof/>
                <w:sz w:val="24"/>
              </w:rPr>
            </w:pPr>
          </w:p>
        </w:tc>
      </w:tr>
    </w:tbl>
    <w:p w14:paraId="121FE911" w14:textId="376568A5" w:rsidR="00C05C83" w:rsidRDefault="00C05C83">
      <w:pPr>
        <w:rPr>
          <w:noProof/>
        </w:rPr>
      </w:pPr>
      <w:r>
        <w:rPr>
          <w:noProof/>
        </w:rPr>
        <w:br w:type="page"/>
      </w:r>
    </w:p>
    <w:p w14:paraId="336EFEBF" w14:textId="12E84D78" w:rsidR="00C05C83" w:rsidRPr="00ED2099" w:rsidRDefault="00C05C83" w:rsidP="00C05C83">
      <w:pPr>
        <w:spacing w:before="120" w:after="120" w:line="240" w:lineRule="auto"/>
        <w:jc w:val="center"/>
        <w:rPr>
          <w:rFonts w:ascii="Times New Roman" w:hAnsi="Times New Roman" w:cs="Times New Roman"/>
          <w:b/>
          <w:noProof/>
          <w:sz w:val="24"/>
          <w:u w:val="single"/>
        </w:rPr>
      </w:pPr>
      <w:r>
        <w:rPr>
          <w:rFonts w:ascii="Times New Roman" w:hAnsi="Times New Roman"/>
          <w:b/>
          <w:noProof/>
          <w:sz w:val="24"/>
          <w:u w:val="single"/>
        </w:rPr>
        <w:t>ZAŁĄCZNIK II</w:t>
      </w:r>
    </w:p>
    <w:p w14:paraId="7F19B45D" w14:textId="77777777" w:rsidR="003667F7" w:rsidRDefault="003667F7" w:rsidP="003667F7">
      <w:pPr>
        <w:pStyle w:val="Heading1"/>
        <w:spacing w:before="0"/>
        <w:ind w:left="432"/>
        <w:rPr>
          <w:noProof/>
        </w:rPr>
      </w:pPr>
      <w:r>
        <w:rPr>
          <w:noProof/>
        </w:rPr>
        <w:t>Wprowadzenie</w:t>
      </w:r>
    </w:p>
    <w:p w14:paraId="18295B1C" w14:textId="3078A220" w:rsidR="003667F7" w:rsidRDefault="003667F7" w:rsidP="003667F7">
      <w:pPr>
        <w:jc w:val="both"/>
        <w:rPr>
          <w:rFonts w:ascii="Times New Roman" w:eastAsiaTheme="minorEastAsia" w:hAnsi="Times New Roman"/>
          <w:noProof/>
          <w:sz w:val="24"/>
        </w:rPr>
      </w:pPr>
      <w:r w:rsidRPr="00FC6D7F">
        <w:rPr>
          <w:rFonts w:ascii="Times New Roman" w:hAnsi="Times New Roman"/>
          <w:noProof/>
          <w:sz w:val="24"/>
          <w:lang w:val="pl-PL"/>
        </w:rPr>
        <w:t>W niniejszym załączniku przedstawiono przegląd stosownych wyroków Trybunału Sprawiedliwości Unii Europejskiej („Trybunał”)</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niedyskryminacji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oby</w:t>
      </w:r>
      <w:r w:rsidRPr="00FC6D7F">
        <w:rPr>
          <w:rFonts w:ascii="Times New Roman" w:hAnsi="Times New Roman"/>
          <w:noProof/>
          <w:sz w:val="24"/>
          <w:lang w:val="pl-PL"/>
        </w:rPr>
        <w:t xml:space="preserve">watelstwa Unii za okres </w:t>
      </w:r>
      <w:r w:rsidRPr="00D55672">
        <w:rPr>
          <w:rFonts w:ascii="Times New Roman" w:hAnsi="Times New Roman"/>
          <w:noProof/>
          <w:sz w:val="24"/>
          <w:lang w:val="pl-PL"/>
        </w:rPr>
        <w:t>od</w:t>
      </w:r>
      <w:r w:rsidR="00D55672" w:rsidRPr="00D55672">
        <w:rPr>
          <w:rFonts w:ascii="Times New Roman" w:hAnsi="Times New Roman"/>
          <w:noProof/>
          <w:sz w:val="24"/>
          <w:lang w:val="pl-PL"/>
        </w:rPr>
        <w:t> </w:t>
      </w:r>
      <w:r w:rsidRPr="00D55672">
        <w:rPr>
          <w:rFonts w:ascii="Times New Roman" w:hAnsi="Times New Roman"/>
          <w:noProof/>
          <w:sz w:val="24"/>
          <w:lang w:val="pl-PL"/>
        </w:rPr>
        <w:t>3</w:t>
      </w:r>
      <w:r w:rsidRPr="00FC6D7F">
        <w:rPr>
          <w:rFonts w:ascii="Times New Roman" w:hAnsi="Times New Roman"/>
          <w:noProof/>
          <w:sz w:val="24"/>
          <w:lang w:val="pl-PL"/>
        </w:rPr>
        <w:t>0 czerwca 20</w:t>
      </w:r>
      <w:r w:rsidRPr="00D55672">
        <w:rPr>
          <w:rFonts w:ascii="Times New Roman" w:hAnsi="Times New Roman"/>
          <w:noProof/>
          <w:sz w:val="24"/>
          <w:lang w:val="pl-PL"/>
        </w:rPr>
        <w:t>20</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w:t>
      </w:r>
      <w:r w:rsidRPr="00D55672">
        <w:rPr>
          <w:rFonts w:ascii="Times New Roman" w:hAnsi="Times New Roman"/>
          <w:noProof/>
          <w:sz w:val="24"/>
          <w:lang w:val="pl-PL"/>
        </w:rPr>
        <w:t>do</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5 sierpnia 20</w:t>
      </w:r>
      <w:r w:rsidRPr="00D55672">
        <w:rPr>
          <w:rFonts w:ascii="Times New Roman" w:hAnsi="Times New Roman"/>
          <w:noProof/>
          <w:sz w:val="24"/>
          <w:lang w:val="pl-PL"/>
        </w:rPr>
        <w:t>23</w:t>
      </w:r>
      <w:r w:rsidR="00D55672" w:rsidRPr="00D55672">
        <w:rPr>
          <w:rFonts w:ascii="Times New Roman" w:hAnsi="Times New Roman"/>
          <w:noProof/>
          <w:sz w:val="24"/>
          <w:lang w:val="pl-PL"/>
        </w:rPr>
        <w:t> </w:t>
      </w:r>
      <w:r w:rsidRPr="00D55672">
        <w:rPr>
          <w:rFonts w:ascii="Times New Roman" w:hAnsi="Times New Roman"/>
          <w:noProof/>
          <w:sz w:val="24"/>
          <w:lang w:val="pl-PL"/>
        </w:rPr>
        <w:t>r.</w:t>
      </w:r>
      <w:r>
        <w:rPr>
          <w:rStyle w:val="FootnoteReference"/>
          <w:rFonts w:ascii="Times New Roman" w:eastAsiaTheme="minorEastAsia" w:hAnsi="Times New Roman"/>
          <w:noProof/>
          <w:sz w:val="24"/>
        </w:rPr>
        <w:footnoteReference w:id="2"/>
      </w:r>
      <w:r w:rsidRPr="00FC6D7F">
        <w:rPr>
          <w:rFonts w:ascii="Times New Roman" w:hAnsi="Times New Roman"/>
          <w:noProof/>
          <w:sz w:val="24"/>
          <w:lang w:val="pl-PL"/>
        </w:rPr>
        <w:t xml:space="preserve"> </w:t>
      </w:r>
      <w:r>
        <w:rPr>
          <w:rFonts w:ascii="Times New Roman" w:hAnsi="Times New Roman"/>
          <w:noProof/>
          <w:sz w:val="24"/>
        </w:rPr>
        <w:t>W szczególności przegląd ten zawiera podsumowanie:</w:t>
      </w:r>
    </w:p>
    <w:p w14:paraId="0598F673" w14:textId="766371E3" w:rsidR="003667F7" w:rsidRPr="00FC6D7F" w:rsidRDefault="003667F7" w:rsidP="003667F7">
      <w:pPr>
        <w:numPr>
          <w:ilvl w:val="0"/>
          <w:numId w:val="14"/>
        </w:numPr>
        <w:jc w:val="both"/>
        <w:rPr>
          <w:rFonts w:ascii="Times New Roman" w:eastAsiaTheme="minorEastAsia" w:hAnsi="Times New Roman"/>
          <w:noProof/>
          <w:sz w:val="24"/>
          <w:lang w:val="pl-PL"/>
        </w:rPr>
      </w:pPr>
      <w:r w:rsidRPr="00FC6D7F">
        <w:rPr>
          <w:rFonts w:ascii="Times New Roman" w:hAnsi="Times New Roman"/>
          <w:noProof/>
          <w:sz w:val="24"/>
          <w:lang w:val="pl-PL"/>
        </w:rPr>
        <w:t>3 spraw związanych</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dyskryminacją ze względu na przynależność państwową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8 TFUE);</w:t>
      </w:r>
    </w:p>
    <w:p w14:paraId="583352DF" w14:textId="7DAC773B" w:rsidR="003667F7" w:rsidRPr="00FC6D7F" w:rsidRDefault="002272C6" w:rsidP="003667F7">
      <w:pPr>
        <w:numPr>
          <w:ilvl w:val="0"/>
          <w:numId w:val="14"/>
        </w:numPr>
        <w:jc w:val="both"/>
        <w:rPr>
          <w:rFonts w:ascii="Times New Roman" w:eastAsiaTheme="minorEastAsia" w:hAnsi="Times New Roman"/>
          <w:noProof/>
          <w:sz w:val="24"/>
          <w:lang w:val="pl-PL"/>
        </w:rPr>
      </w:pPr>
      <w:r w:rsidRPr="00FC6D7F">
        <w:rPr>
          <w:rFonts w:ascii="Times New Roman" w:hAnsi="Times New Roman"/>
          <w:noProof/>
          <w:sz w:val="24"/>
          <w:lang w:val="pl-PL"/>
        </w:rPr>
        <w:t>5 spraw związanych ze zwalczaniem dyskryminacji ze względu na płeć, rasę lub pochodzenie etniczne, religię lub światopogląd, niepełnosprawność, wiek lub orientację seksualną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9 TFUE);</w:t>
      </w:r>
    </w:p>
    <w:p w14:paraId="43FF1E96" w14:textId="69B31E9E" w:rsidR="003667F7" w:rsidRPr="00FC6D7F" w:rsidRDefault="003667F7" w:rsidP="003667F7">
      <w:pPr>
        <w:numPr>
          <w:ilvl w:val="0"/>
          <w:numId w:val="14"/>
        </w:numPr>
        <w:jc w:val="both"/>
        <w:rPr>
          <w:rFonts w:ascii="Times New Roman" w:eastAsiaTheme="minorEastAsia" w:hAnsi="Times New Roman"/>
          <w:noProof/>
          <w:sz w:val="24"/>
          <w:lang w:val="pl-PL"/>
        </w:rPr>
      </w:pPr>
      <w:r w:rsidRPr="00FC6D7F">
        <w:rPr>
          <w:rFonts w:ascii="Times New Roman" w:hAnsi="Times New Roman"/>
          <w:noProof/>
          <w:sz w:val="24"/>
          <w:lang w:val="pl-PL"/>
        </w:rPr>
        <w:t>7 spraw związanych</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oby</w:t>
      </w:r>
      <w:r w:rsidRPr="00FC6D7F">
        <w:rPr>
          <w:rFonts w:ascii="Times New Roman" w:hAnsi="Times New Roman"/>
          <w:noProof/>
          <w:sz w:val="24"/>
          <w:lang w:val="pl-PL"/>
        </w:rPr>
        <w:t>watelstwem Unii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0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 TFUE);</w:t>
      </w:r>
    </w:p>
    <w:p w14:paraId="2D4537B6" w14:textId="664205EE" w:rsidR="003667F7" w:rsidRPr="00FC6D7F" w:rsidRDefault="003667F7" w:rsidP="003667F7">
      <w:pPr>
        <w:numPr>
          <w:ilvl w:val="0"/>
          <w:numId w:val="14"/>
        </w:numPr>
        <w:jc w:val="both"/>
        <w:rPr>
          <w:rFonts w:ascii="Times New Roman" w:eastAsiaTheme="minorEastAsia" w:hAnsi="Times New Roman"/>
          <w:noProof/>
          <w:sz w:val="24"/>
          <w:lang w:val="pl-PL"/>
        </w:rPr>
      </w:pPr>
      <w:r w:rsidRPr="00FC6D7F">
        <w:rPr>
          <w:rFonts w:ascii="Times New Roman" w:hAnsi="Times New Roman"/>
          <w:noProof/>
          <w:sz w:val="24"/>
          <w:lang w:val="pl-PL"/>
        </w:rPr>
        <w:t>18</w:t>
      </w:r>
      <w:r>
        <w:rPr>
          <w:rStyle w:val="FootnoteReference"/>
          <w:rFonts w:ascii="Times New Roman" w:eastAsiaTheme="minorEastAsia" w:hAnsi="Times New Roman"/>
          <w:noProof/>
          <w:sz w:val="24"/>
        </w:rPr>
        <w:footnoteReference w:id="3"/>
      </w:r>
      <w:r w:rsidRPr="00FC6D7F">
        <w:rPr>
          <w:rFonts w:ascii="Times New Roman" w:hAnsi="Times New Roman"/>
          <w:noProof/>
          <w:sz w:val="24"/>
          <w:lang w:val="pl-PL"/>
        </w:rPr>
        <w:t xml:space="preserve"> spraw związanych</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wem do swobodnego przemieszczania się</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ebywania na terytorium państw członkowskich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0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D55672">
        <w:rPr>
          <w:rFonts w:ascii="Times New Roman" w:hAnsi="Times New Roman"/>
          <w:noProof/>
          <w:sz w:val="24"/>
          <w:lang w:val="pl-PL"/>
        </w:rPr>
        <w:t>art</w:t>
      </w:r>
      <w:r w:rsidRPr="00D55672">
        <w:rPr>
          <w:rFonts w:ascii="Times New Roman" w:hAnsi="Times New Roman"/>
          <w:noProof/>
          <w:sz w:val="24"/>
          <w:lang w:val="pl-PL"/>
        </w:rPr>
        <w: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1 TFUE) oraz jego wykonaniem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dro</w:t>
      </w:r>
      <w:r w:rsidRPr="00FC6D7F">
        <w:rPr>
          <w:rFonts w:ascii="Times New Roman" w:hAnsi="Times New Roman"/>
          <w:noProof/>
          <w:sz w:val="24"/>
          <w:lang w:val="pl-PL"/>
        </w:rPr>
        <w:t>dze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w:t>
      </w:r>
      <w:r>
        <w:rPr>
          <w:rStyle w:val="FootnoteReference"/>
          <w:rFonts w:ascii="Times New Roman" w:eastAsiaTheme="minorEastAsia" w:hAnsi="Times New Roman"/>
          <w:noProof/>
          <w:sz w:val="24"/>
        </w:rPr>
        <w:footnoteReference w:id="4"/>
      </w:r>
      <w:r w:rsidRPr="00FC6D7F">
        <w:rPr>
          <w:rFonts w:ascii="Times New Roman" w:hAnsi="Times New Roman"/>
          <w:noProof/>
          <w:sz w:val="24"/>
          <w:lang w:val="pl-PL"/>
        </w:rPr>
        <w:t>;</w:t>
      </w:r>
    </w:p>
    <w:p w14:paraId="53770514" w14:textId="26C32619" w:rsidR="003667F7" w:rsidRPr="00FC6D7F" w:rsidRDefault="003667F7" w:rsidP="003667F7">
      <w:pPr>
        <w:numPr>
          <w:ilvl w:val="0"/>
          <w:numId w:val="14"/>
        </w:numPr>
        <w:jc w:val="both"/>
        <w:rPr>
          <w:rFonts w:ascii="Times New Roman" w:eastAsiaTheme="minorEastAsia" w:hAnsi="Times New Roman"/>
          <w:noProof/>
          <w:sz w:val="24"/>
          <w:lang w:val="pl-PL"/>
        </w:rPr>
      </w:pPr>
      <w:r w:rsidRPr="00FC6D7F">
        <w:rPr>
          <w:rFonts w:ascii="Times New Roman" w:hAnsi="Times New Roman"/>
          <w:noProof/>
          <w:sz w:val="24"/>
          <w:lang w:val="pl-PL"/>
        </w:rPr>
        <w:t>2 spraw związanych</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eur</w:t>
      </w:r>
      <w:r w:rsidRPr="00FC6D7F">
        <w:rPr>
          <w:rFonts w:ascii="Times New Roman" w:hAnsi="Times New Roman"/>
          <w:noProof/>
          <w:sz w:val="24"/>
          <w:lang w:val="pl-PL"/>
        </w:rPr>
        <w:t>opejską inicjatywą obywatelską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4 TFUE,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1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4</w:t>
      </w:r>
      <w:r w:rsidRPr="00FC6D7F">
        <w:rPr>
          <w:rFonts w:ascii="Times New Roman" w:hAnsi="Times New Roman"/>
          <w:noProof/>
          <w:sz w:val="24"/>
          <w:lang w:val="pl-PL"/>
        </w:rPr>
        <w:t xml:space="preserve"> TUE).</w:t>
      </w:r>
    </w:p>
    <w:p w14:paraId="180AA071" w14:textId="3F13B7A5" w:rsidR="003667F7" w:rsidRPr="00FC6D7F" w:rsidRDefault="003667F7" w:rsidP="003667F7">
      <w:pPr>
        <w:pStyle w:val="Heading1"/>
        <w:rPr>
          <w:noProof/>
          <w:lang w:val="pl-PL"/>
        </w:rPr>
      </w:pPr>
      <w:r w:rsidRPr="00FC6D7F">
        <w:rPr>
          <w:noProof/>
          <w:lang w:val="pl-PL"/>
        </w:rPr>
        <w:t>Niedyskryminacja ze względu na przynależność państwową (</w:t>
      </w:r>
      <w:r w:rsidRPr="00D55672">
        <w:rPr>
          <w:noProof/>
          <w:lang w:val="pl-PL"/>
        </w:rPr>
        <w:t>art.</w:t>
      </w:r>
      <w:r w:rsidR="00D55672" w:rsidRPr="00D55672">
        <w:rPr>
          <w:noProof/>
          <w:lang w:val="pl-PL"/>
        </w:rPr>
        <w:t> </w:t>
      </w:r>
      <w:r w:rsidRPr="00D55672">
        <w:rPr>
          <w:noProof/>
          <w:lang w:val="pl-PL"/>
        </w:rPr>
        <w:t>1</w:t>
      </w:r>
      <w:r w:rsidRPr="00FC6D7F">
        <w:rPr>
          <w:noProof/>
          <w:lang w:val="pl-PL"/>
        </w:rPr>
        <w:t>8 TFUE)</w:t>
      </w:r>
    </w:p>
    <w:p w14:paraId="6AB9D029" w14:textId="6263E386"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W okresie objętym niniejszym sprawozdaniem Trybunał wydał trzy kluczowe wyroki dotyczące niedyskryminacji obywateli Unii ze względu na przynależność państwową. Orzeczenia te dotyczyły traktowania przemieszczających się obywateli UE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ypadkach ekstradycji oraz wymogów</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okresu pobytu, jakie państwo członkowskie może ustanowić, aby jego sądy uzyskały właściwość</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awach małżeńskich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awach dotyczących władzy rodzicielskiej,</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tak</w:t>
      </w:r>
      <w:r w:rsidRPr="00FC6D7F">
        <w:rPr>
          <w:rFonts w:ascii="Times New Roman" w:hAnsi="Times New Roman"/>
          <w:noProof/>
          <w:sz w:val="24"/>
          <w:lang w:val="pl-PL"/>
        </w:rPr>
        <w:t>że tego, czy wobec osób niebędących obywatelami danego państwa można stosować wymogi inne niż te mające zastosowanie do jego obywateli.</w:t>
      </w:r>
    </w:p>
    <w:p w14:paraId="7573AF2D" w14:textId="5C901C95" w:rsidR="003667F7" w:rsidRPr="00FC6D7F" w:rsidRDefault="003667F7" w:rsidP="003667F7">
      <w:pPr>
        <w:pStyle w:val="Heading2"/>
        <w:rPr>
          <w:rFonts w:eastAsiaTheme="minorEastAsia"/>
          <w:noProof/>
          <w:sz w:val="24"/>
          <w:lang w:val="pl-PL"/>
        </w:rPr>
      </w:pPr>
      <w:r w:rsidRPr="00FC6D7F">
        <w:rPr>
          <w:noProof/>
          <w:lang w:val="pl-PL"/>
        </w:rPr>
        <w:t>Niedyskryminacja ze względu na przynależność państwową</w:t>
      </w:r>
      <w:r w:rsidR="00D55672" w:rsidRPr="00FC6D7F">
        <w:rPr>
          <w:noProof/>
          <w:lang w:val="pl-PL"/>
        </w:rPr>
        <w:t xml:space="preserve"> i</w:t>
      </w:r>
      <w:r w:rsidR="00D55672">
        <w:rPr>
          <w:noProof/>
          <w:lang w:val="pl-PL"/>
        </w:rPr>
        <w:t> </w:t>
      </w:r>
      <w:r w:rsidR="00D55672" w:rsidRPr="00FC6D7F">
        <w:rPr>
          <w:noProof/>
          <w:lang w:val="pl-PL"/>
        </w:rPr>
        <w:t>eks</w:t>
      </w:r>
      <w:r w:rsidRPr="00FC6D7F">
        <w:rPr>
          <w:noProof/>
          <w:lang w:val="pl-PL"/>
        </w:rPr>
        <w:t>tradycja przemieszczających się obywateli UE</w:t>
      </w:r>
    </w:p>
    <w:p w14:paraId="72143BF8" w14:textId="56AD1C4C" w:rsidR="003667F7" w:rsidRPr="00FC6D7F" w:rsidRDefault="003667F7" w:rsidP="003667F7">
      <w:pPr>
        <w:spacing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Jeśli chodzi</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dyskryminację ze względu na przynależność państwową</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eks</w:t>
      </w:r>
      <w:r w:rsidRPr="00FC6D7F">
        <w:rPr>
          <w:rFonts w:ascii="Times New Roman" w:hAnsi="Times New Roman"/>
          <w:noProof/>
          <w:sz w:val="24"/>
          <w:lang w:val="pl-PL"/>
        </w:rPr>
        <w:t>tradycję do państwa trzeciego obywateli Unii przebywających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 xml:space="preserve">stwie członkowskim innym niż państwo członkowskie ich obywatelstwa, można wymienić sprawę </w:t>
      </w:r>
      <w:r w:rsidRPr="00FC6D7F">
        <w:rPr>
          <w:b/>
          <w:bCs/>
          <w:noProof/>
          <w:lang w:val="pl-PL"/>
        </w:rPr>
        <w:t>Generalstaatsanwaltschaft München/S.M</w:t>
      </w:r>
      <w:r>
        <w:rPr>
          <w:rFonts w:ascii="Times New Roman" w:eastAsiaTheme="minorEastAsia" w:hAnsi="Times New Roman"/>
          <w:noProof/>
          <w:sz w:val="24"/>
          <w:vertAlign w:val="superscript"/>
        </w:rPr>
        <w:footnoteReference w:id="5"/>
      </w:r>
      <w:r w:rsidR="00D55672" w:rsidRPr="00FC6D7F">
        <w:rPr>
          <w:noProof/>
          <w:lang w:val="pl-PL"/>
        </w:rPr>
        <w:t xml:space="preserve"> </w:t>
      </w:r>
      <w:r w:rsidR="00D55672" w:rsidRPr="00FC6D7F">
        <w:rPr>
          <w:rFonts w:ascii="Times New Roman" w:hAnsi="Times New Roman"/>
          <w:noProof/>
          <w:sz w:val="24"/>
          <w:lang w:val="pl-PL"/>
        </w:rPr>
        <w:t>i</w:t>
      </w:r>
      <w:r w:rsidR="00D55672">
        <w:rPr>
          <w:noProof/>
          <w:lang w:val="pl-PL"/>
        </w:rPr>
        <w:t> </w:t>
      </w:r>
      <w:r w:rsidR="00D55672" w:rsidRPr="00FC6D7F">
        <w:rPr>
          <w:b/>
          <w:bCs/>
          <w:noProof/>
          <w:lang w:val="pl-PL"/>
        </w:rPr>
        <w:t>Gen</w:t>
      </w:r>
      <w:r w:rsidRPr="00FC6D7F">
        <w:rPr>
          <w:b/>
          <w:bCs/>
          <w:noProof/>
          <w:lang w:val="pl-PL"/>
        </w:rPr>
        <w:t>eralstaatsanwaltschaft Berlin/BY</w:t>
      </w:r>
      <w:bookmarkStart w:id="3" w:name="_Hlk143792361"/>
      <w:r>
        <w:rPr>
          <w:rFonts w:ascii="Times New Roman" w:eastAsiaTheme="minorEastAsia" w:hAnsi="Times New Roman"/>
          <w:noProof/>
          <w:sz w:val="24"/>
          <w:vertAlign w:val="superscript"/>
        </w:rPr>
        <w:footnoteReference w:id="6"/>
      </w:r>
      <w:bookmarkEnd w:id="3"/>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każ</w:t>
      </w:r>
      <w:r w:rsidRPr="00FC6D7F">
        <w:rPr>
          <w:rFonts w:ascii="Times New Roman" w:hAnsi="Times New Roman"/>
          <w:noProof/>
          <w:sz w:val="24"/>
          <w:lang w:val="pl-PL"/>
        </w:rPr>
        <w:t>dej</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tyc</w:t>
      </w:r>
      <w:r w:rsidRPr="00FC6D7F">
        <w:rPr>
          <w:rFonts w:ascii="Times New Roman" w:hAnsi="Times New Roman"/>
          <w:noProof/>
          <w:sz w:val="24"/>
          <w:lang w:val="pl-PL"/>
        </w:rPr>
        <w:t>h spraw przedmiotowa kwestia dotyczyła wzajemnego oddziaływania między przepisami krajowymi zakazującymi ekstradycji własnych obywateli przyjmującego państwa członkowskiego</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uni</w:t>
      </w:r>
      <w:r w:rsidRPr="00FC6D7F">
        <w:rPr>
          <w:rFonts w:ascii="Times New Roman" w:hAnsi="Times New Roman"/>
          <w:noProof/>
          <w:sz w:val="24"/>
          <w:lang w:val="pl-PL"/>
        </w:rPr>
        <w:t>jną zasadą niedyskryminacji obywateli Unii ze względu na przynależność państwową.</w:t>
      </w:r>
    </w:p>
    <w:p w14:paraId="0D4D8538" w14:textId="0443F988" w:rsidR="003667F7" w:rsidRPr="00FC6D7F" w:rsidRDefault="003667F7" w:rsidP="003667F7">
      <w:pPr>
        <w:spacing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Sprawa </w:t>
      </w:r>
      <w:r w:rsidRPr="00FC6D7F">
        <w:rPr>
          <w:rFonts w:ascii="Times New Roman" w:hAnsi="Times New Roman"/>
          <w:b/>
          <w:bCs/>
          <w:noProof/>
          <w:sz w:val="24"/>
          <w:lang w:val="pl-PL"/>
        </w:rPr>
        <w:t>Generalstaatsanwaltschaft München/S.M</w:t>
      </w:r>
      <w:r w:rsidRPr="00FC6D7F">
        <w:rPr>
          <w:rFonts w:ascii="Times New Roman" w:hAnsi="Times New Roman"/>
          <w:noProof/>
          <w:sz w:val="24"/>
          <w:lang w:val="pl-PL"/>
        </w:rPr>
        <w:t xml:space="preserve"> dotyczy ekstradycji obywatela Unii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wykonania kary pozbawienia wolności. Na wstępie Trybunał wyjaśnił, iż okoliczność, że obywatel Unii posiadał również obywatelstwo państwa trzeciego, które wnioskuje</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jeg</w:t>
      </w:r>
      <w:r w:rsidRPr="00FC6D7F">
        <w:rPr>
          <w:rFonts w:ascii="Times New Roman" w:hAnsi="Times New Roman"/>
          <w:noProof/>
          <w:sz w:val="24"/>
          <w:lang w:val="pl-PL"/>
        </w:rPr>
        <w:t>o ekstradycję, nie może uniemożliwić temu obywatelowi powoływania się na prawa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wol</w:t>
      </w:r>
      <w:r w:rsidRPr="00FC6D7F">
        <w:rPr>
          <w:rFonts w:ascii="Times New Roman" w:hAnsi="Times New Roman"/>
          <w:noProof/>
          <w:sz w:val="24"/>
          <w:lang w:val="pl-PL"/>
        </w:rPr>
        <w:t>ności zagwarantowane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D55672">
        <w:rPr>
          <w:rFonts w:ascii="Times New Roman" w:hAnsi="Times New Roman"/>
          <w:noProof/>
          <w:sz w:val="24"/>
          <w:lang w:val="pl-PL"/>
        </w:rPr>
        <w:t>art</w:t>
      </w:r>
      <w:r w:rsidRPr="00D55672">
        <w:rPr>
          <w:rFonts w:ascii="Times New Roman" w:hAnsi="Times New Roman"/>
          <w:noProof/>
          <w:sz w:val="24"/>
          <w:lang w:val="pl-PL"/>
        </w:rPr>
        <w: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8</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1 TFUE</w:t>
      </w:r>
      <w:r>
        <w:rPr>
          <w:rFonts w:ascii="Times New Roman" w:eastAsiaTheme="minorEastAsia" w:hAnsi="Times New Roman"/>
          <w:noProof/>
          <w:sz w:val="24"/>
          <w:vertAlign w:val="superscript"/>
        </w:rPr>
        <w:footnoteReference w:id="7"/>
      </w:r>
      <w:r w:rsidRPr="00FC6D7F">
        <w:rPr>
          <w:rFonts w:ascii="Times New Roman" w:hAnsi="Times New Roman"/>
          <w:noProof/>
          <w:sz w:val="24"/>
          <w:lang w:val="pl-PL"/>
        </w:rPr>
        <w:t>. Następnie Trybunał odniósł się do swojego wcześniejszego orzecznictwa</w:t>
      </w:r>
      <w:r>
        <w:rPr>
          <w:rFonts w:ascii="Times New Roman" w:eastAsiaTheme="minorEastAsia" w:hAnsi="Times New Roman"/>
          <w:noProof/>
          <w:sz w:val="24"/>
          <w:vertAlign w:val="superscript"/>
        </w:rPr>
        <w:footnoteReference w:id="8"/>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pot</w:t>
      </w:r>
      <w:r w:rsidRPr="00FC6D7F">
        <w:rPr>
          <w:rFonts w:ascii="Times New Roman" w:hAnsi="Times New Roman"/>
          <w:noProof/>
          <w:sz w:val="24"/>
          <w:lang w:val="pl-PL"/>
        </w:rPr>
        <w:t>wierdził, że jeżeli przepisy państwa członkowskiego dotyczące ekstradycji wprowadzają różnicę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tra</w:t>
      </w:r>
      <w:r w:rsidRPr="00FC6D7F">
        <w:rPr>
          <w:rFonts w:ascii="Times New Roman" w:hAnsi="Times New Roman"/>
          <w:noProof/>
          <w:sz w:val="24"/>
          <w:lang w:val="pl-PL"/>
        </w:rPr>
        <w:t>ktowaniu między jego obywatelami</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oby</w:t>
      </w:r>
      <w:r w:rsidRPr="00FC6D7F">
        <w:rPr>
          <w:rFonts w:ascii="Times New Roman" w:hAnsi="Times New Roman"/>
          <w:noProof/>
          <w:sz w:val="24"/>
          <w:lang w:val="pl-PL"/>
        </w:rPr>
        <w:t>watelami innych państw członkowskich mających stałe miejsce zamieszkania na jego terytorium, zakazując jedynie ekstradycji własnych obywateli, to państwo to jest zobowiązane do zbadania, czy istnieje alternatywny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sto</w:t>
      </w:r>
      <w:r w:rsidRPr="00FC6D7F">
        <w:rPr>
          <w:rFonts w:ascii="Times New Roman" w:hAnsi="Times New Roman"/>
          <w:noProof/>
          <w:sz w:val="24"/>
          <w:lang w:val="pl-PL"/>
        </w:rPr>
        <w:t>sunku do ekstradycji środek, mniej zagrażający wykonywaniu prawa do swobodnego przemieszczania się</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pob</w:t>
      </w:r>
      <w:r w:rsidRPr="00FC6D7F">
        <w:rPr>
          <w:rFonts w:ascii="Times New Roman" w:hAnsi="Times New Roman"/>
          <w:noProof/>
          <w:sz w:val="24"/>
          <w:lang w:val="pl-PL"/>
        </w:rPr>
        <w:t>ytu obywatela Unii, który ma stałe miejsce zamieszkania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państwie członkowskim</w:t>
      </w:r>
      <w:r>
        <w:rPr>
          <w:rFonts w:ascii="Times New Roman" w:eastAsiaTheme="minorEastAsia" w:hAnsi="Times New Roman"/>
          <w:noProof/>
          <w:sz w:val="24"/>
          <w:vertAlign w:val="superscript"/>
        </w:rPr>
        <w:footnoteReference w:id="9"/>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edmiotowej sprawie, zgodnie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wem krajowym wezwanego państwa członkowskiego, dana osoba może odbyć karę na jego terytorium, jeżeli państwo trzecie, które złożyło wniosek</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eks</w:t>
      </w:r>
      <w:r w:rsidRPr="00FC6D7F">
        <w:rPr>
          <w:rFonts w:ascii="Times New Roman" w:hAnsi="Times New Roman"/>
          <w:noProof/>
          <w:sz w:val="24"/>
          <w:lang w:val="pl-PL"/>
        </w:rPr>
        <w:t>tradycję, wyraziło na to zgodę.</w:t>
      </w:r>
    </w:p>
    <w:p w14:paraId="71FC6D03" w14:textId="36268CA0" w:rsidR="003667F7" w:rsidRPr="00FC6D7F" w:rsidRDefault="003667F7" w:rsidP="003667F7">
      <w:pPr>
        <w:spacing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W związku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jeżeli zastosowanie takiego środka alternatywnego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sto</w:t>
      </w:r>
      <w:r w:rsidRPr="00FC6D7F">
        <w:rPr>
          <w:rFonts w:ascii="Times New Roman" w:hAnsi="Times New Roman"/>
          <w:noProof/>
          <w:sz w:val="24"/>
          <w:lang w:val="pl-PL"/>
        </w:rPr>
        <w:t>sunku do ekstradycji polega na tym, że obywatele Unii mogą odbyć karę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państwie członkowskim na takich samych warunkach jak jego obywatele, lecz zastosowanie tego środka jest uzależnione od uzyskania zgody wnioskującego państwa trzeciego, wezwane państwo członkowskie powinno aktywnie dążyć do uzyskania zgody tego państwa trzeciego</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wyk</w:t>
      </w:r>
      <w:r w:rsidRPr="00FC6D7F">
        <w:rPr>
          <w:rFonts w:ascii="Times New Roman" w:hAnsi="Times New Roman"/>
          <w:noProof/>
          <w:sz w:val="24"/>
          <w:lang w:val="pl-PL"/>
        </w:rPr>
        <w:t>orzystać wszystkie mechanizmy współpracy</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pom</w:t>
      </w:r>
      <w:r w:rsidRPr="00FC6D7F">
        <w:rPr>
          <w:rFonts w:ascii="Times New Roman" w:hAnsi="Times New Roman"/>
          <w:noProof/>
          <w:sz w:val="24"/>
          <w:lang w:val="pl-PL"/>
        </w:rPr>
        <w:t>ocy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awach karnych, którymi dysponuje</w:t>
      </w:r>
      <w:r>
        <w:rPr>
          <w:rFonts w:ascii="Times New Roman" w:eastAsiaTheme="minorEastAsia" w:hAnsi="Times New Roman"/>
          <w:noProof/>
          <w:sz w:val="24"/>
          <w:vertAlign w:val="superscript"/>
        </w:rPr>
        <w:footnoteReference w:id="10"/>
      </w:r>
      <w:r w:rsidRPr="00FC6D7F">
        <w:rPr>
          <w:rFonts w:ascii="Times New Roman" w:hAnsi="Times New Roman"/>
          <w:noProof/>
          <w:sz w:val="24"/>
          <w:lang w:val="pl-PL"/>
        </w:rPr>
        <w:t>. Jeżeli państwo trzecie wnioskujące</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eks</w:t>
      </w:r>
      <w:r w:rsidRPr="00FC6D7F">
        <w:rPr>
          <w:rFonts w:ascii="Times New Roman" w:hAnsi="Times New Roman"/>
          <w:noProof/>
          <w:sz w:val="24"/>
          <w:lang w:val="pl-PL"/>
        </w:rPr>
        <w:t>tradycję wyrazi zgodę na wykonanie kary pozbawienia wolności na terytorium wezwanego państwa członkowskiego, wspomniane państwo członkowskie ma możliwość zezwolenia obywatelom Unii, którzy mają stałe miejsce zamieszkania na tym terytorium, na odbywanie tam kary,</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samym zapewnienia im takiego samego traktowania, jakie zastrzega dla własnych obywateli. Jeżeli taka zgoda nie zostanie uzyskana, ekstradycja danej osoby stanowiłaby uzasadnione ograniczenie prawa do przemieszczania się</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pob</w:t>
      </w:r>
      <w:r w:rsidRPr="00FC6D7F">
        <w:rPr>
          <w:rFonts w:ascii="Times New Roman" w:hAnsi="Times New Roman"/>
          <w:noProof/>
          <w:sz w:val="24"/>
          <w:lang w:val="pl-PL"/>
        </w:rPr>
        <w:t>ytu,</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ile</w:t>
      </w:r>
      <w:r w:rsidRPr="00FC6D7F">
        <w:rPr>
          <w:rFonts w:ascii="Times New Roman" w:hAnsi="Times New Roman"/>
          <w:noProof/>
          <w:sz w:val="24"/>
          <w:lang w:val="pl-PL"/>
        </w:rPr>
        <w:t xml:space="preserve"> sama ekstradycja nie narusza zobowiązań wynikających</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Kar</w:t>
      </w:r>
      <w:r w:rsidRPr="00FC6D7F">
        <w:rPr>
          <w:rFonts w:ascii="Times New Roman" w:hAnsi="Times New Roman"/>
          <w:noProof/>
          <w:sz w:val="24"/>
          <w:lang w:val="pl-PL"/>
        </w:rPr>
        <w:t>ty praw podstawowych Unii Europejskiej</w:t>
      </w:r>
      <w:r>
        <w:rPr>
          <w:rFonts w:ascii="Times New Roman" w:eastAsiaTheme="minorEastAsia" w:hAnsi="Times New Roman"/>
          <w:noProof/>
          <w:sz w:val="24"/>
          <w:vertAlign w:val="superscript"/>
        </w:rPr>
        <w:footnoteReference w:id="11"/>
      </w:r>
      <w:r w:rsidRPr="00FC6D7F">
        <w:rPr>
          <w:rFonts w:ascii="Times New Roman" w:hAnsi="Times New Roman"/>
          <w:noProof/>
          <w:sz w:val="24"/>
          <w:lang w:val="pl-PL"/>
        </w:rPr>
        <w:t>.</w:t>
      </w:r>
    </w:p>
    <w:p w14:paraId="7BEF0AB7" w14:textId="1A274127" w:rsidR="003667F7" w:rsidRPr="00FC6D7F" w:rsidRDefault="003667F7" w:rsidP="003667F7">
      <w:pPr>
        <w:spacing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W sprawie </w:t>
      </w:r>
      <w:r w:rsidRPr="00FC6D7F">
        <w:rPr>
          <w:rFonts w:ascii="Times New Roman" w:hAnsi="Times New Roman"/>
          <w:b/>
          <w:bCs/>
          <w:noProof/>
          <w:sz w:val="24"/>
          <w:lang w:val="pl-PL"/>
        </w:rPr>
        <w:t>Generalstaatsanwaltschaft Berlin/BY</w:t>
      </w:r>
      <w:r>
        <w:rPr>
          <w:rFonts w:ascii="Times New Roman" w:eastAsiaTheme="minorEastAsia" w:hAnsi="Times New Roman"/>
          <w:noProof/>
          <w:sz w:val="24"/>
          <w:vertAlign w:val="superscript"/>
        </w:rPr>
        <w:footnoteReference w:id="12"/>
      </w:r>
      <w:r w:rsidRPr="00FC6D7F">
        <w:rPr>
          <w:rFonts w:ascii="Times New Roman" w:hAnsi="Times New Roman"/>
          <w:noProof/>
          <w:sz w:val="24"/>
          <w:lang w:val="pl-PL"/>
        </w:rPr>
        <w:t xml:space="preserve"> organy ukraińskie złożyły wniosek</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eks</w:t>
      </w:r>
      <w:r w:rsidRPr="00FC6D7F">
        <w:rPr>
          <w:rFonts w:ascii="Times New Roman" w:hAnsi="Times New Roman"/>
          <w:noProof/>
          <w:sz w:val="24"/>
          <w:lang w:val="pl-PL"/>
        </w:rPr>
        <w:t>tradycję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przeprowadzenia postępowania karnego przeciwko osobie posiadającej podwójne obywatelstwo ukraińskie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rum</w:t>
      </w:r>
      <w:r w:rsidRPr="00FC6D7F">
        <w:rPr>
          <w:rFonts w:ascii="Times New Roman" w:hAnsi="Times New Roman"/>
          <w:noProof/>
          <w:sz w:val="24"/>
          <w:lang w:val="pl-PL"/>
        </w:rPr>
        <w:t>uńskie mieszkającej</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mczech. Obywatel ten przeniósł się</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Ukr</w:t>
      </w:r>
      <w:r w:rsidRPr="00FC6D7F">
        <w:rPr>
          <w:rFonts w:ascii="Times New Roman" w:hAnsi="Times New Roman"/>
          <w:noProof/>
          <w:sz w:val="24"/>
          <w:lang w:val="pl-PL"/>
        </w:rPr>
        <w:t>ainy do Niemiec</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cza</w:t>
      </w:r>
      <w:r w:rsidRPr="00FC6D7F">
        <w:rPr>
          <w:rFonts w:ascii="Times New Roman" w:hAnsi="Times New Roman"/>
          <w:noProof/>
          <w:sz w:val="24"/>
          <w:lang w:val="pl-PL"/>
        </w:rPr>
        <w:t>sie, gdy nie posiadał obywatelstwa Unii</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nas</w:t>
      </w:r>
      <w:r w:rsidRPr="00FC6D7F">
        <w:rPr>
          <w:rFonts w:ascii="Times New Roman" w:hAnsi="Times New Roman"/>
          <w:noProof/>
          <w:sz w:val="24"/>
          <w:lang w:val="pl-PL"/>
        </w:rPr>
        <w:t>tępstwie wyroku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Petruhhin</w:t>
      </w:r>
      <w:r>
        <w:rPr>
          <w:rFonts w:ascii="Times New Roman" w:eastAsiaTheme="minorEastAsia" w:hAnsi="Times New Roman"/>
          <w:noProof/>
          <w:sz w:val="24"/>
          <w:vertAlign w:val="superscript"/>
        </w:rPr>
        <w:footnoteReference w:id="13"/>
      </w:r>
      <w:r w:rsidRPr="00FC6D7F">
        <w:rPr>
          <w:rFonts w:ascii="Times New Roman" w:hAnsi="Times New Roman"/>
          <w:noProof/>
          <w:sz w:val="24"/>
          <w:lang w:val="pl-PL"/>
        </w:rPr>
        <w:t xml:space="preserve"> Trybunał wyjaśnił obowiązki spoczywające na państwach członkowskich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wymiany informacji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wni</w:t>
      </w:r>
      <w:r w:rsidRPr="00FC6D7F">
        <w:rPr>
          <w:rFonts w:ascii="Times New Roman" w:hAnsi="Times New Roman"/>
          <w:noProof/>
          <w:sz w:val="24"/>
          <w:lang w:val="pl-PL"/>
        </w:rPr>
        <w:t>oskiem</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eks</w:t>
      </w:r>
      <w:r w:rsidRPr="00FC6D7F">
        <w:rPr>
          <w:rFonts w:ascii="Times New Roman" w:hAnsi="Times New Roman"/>
          <w:noProof/>
          <w:sz w:val="24"/>
          <w:lang w:val="pl-PL"/>
        </w:rPr>
        <w:t xml:space="preserve">tradycję. Trybunał orzekł również, że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8</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1 TFUE mają zastosowanie do sytuacji obywatela Unii, który uzyskał obywatelstwo państwa członkowskiego,</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samym status obywatela Unii, po przeprowadzce do innego państwa członkowskiego</w:t>
      </w:r>
      <w:r>
        <w:rPr>
          <w:rFonts w:ascii="Times New Roman" w:eastAsiaTheme="minorEastAsia" w:hAnsi="Times New Roman"/>
          <w:noProof/>
          <w:sz w:val="24"/>
          <w:vertAlign w:val="superscript"/>
        </w:rPr>
        <w:footnoteReference w:id="14"/>
      </w:r>
      <w:r w:rsidRPr="00FC6D7F">
        <w:rPr>
          <w:rFonts w:ascii="Times New Roman" w:hAnsi="Times New Roman"/>
          <w:noProof/>
          <w:sz w:val="24"/>
          <w:lang w:val="pl-PL"/>
        </w:rPr>
        <w:t xml:space="preserve">. </w:t>
      </w:r>
    </w:p>
    <w:p w14:paraId="1C7B0DC9" w14:textId="11935597" w:rsidR="003667F7" w:rsidRPr="00FC6D7F" w:rsidRDefault="003667F7" w:rsidP="003667F7">
      <w:pPr>
        <w:spacing w:line="276" w:lineRule="auto"/>
        <w:jc w:val="both"/>
        <w:rPr>
          <w:rFonts w:ascii="Times New Roman" w:eastAsiaTheme="minorEastAsia" w:hAnsi="Times New Roman"/>
          <w:noProof/>
          <w:sz w:val="24"/>
          <w:vertAlign w:val="superscript"/>
          <w:lang w:val="pl-PL"/>
        </w:rPr>
      </w:pPr>
      <w:r w:rsidRPr="00FC6D7F">
        <w:rPr>
          <w:rFonts w:ascii="Times New Roman" w:hAnsi="Times New Roman"/>
          <w:noProof/>
          <w:sz w:val="24"/>
          <w:lang w:val="pl-PL"/>
        </w:rPr>
        <w:t>W szczególności Trybunał potwierdził, że należy przyznać pierwszeństwo poinformowaniu państwa członkowskiego sprawcy</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wni</w:t>
      </w:r>
      <w:r w:rsidRPr="00FC6D7F">
        <w:rPr>
          <w:rFonts w:ascii="Times New Roman" w:hAnsi="Times New Roman"/>
          <w:noProof/>
          <w:sz w:val="24"/>
          <w:lang w:val="pl-PL"/>
        </w:rPr>
        <w:t>osku</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eks</w:t>
      </w:r>
      <w:r w:rsidRPr="00FC6D7F">
        <w:rPr>
          <w:rFonts w:ascii="Times New Roman" w:hAnsi="Times New Roman"/>
          <w:noProof/>
          <w:sz w:val="24"/>
          <w:lang w:val="pl-PL"/>
        </w:rPr>
        <w:t>tradycję, aby umożliwić organom tego państwa członkowskiego wydanie europejskiego nakazu aresztowania do celów postępowania karnego</w:t>
      </w:r>
      <w:r>
        <w:rPr>
          <w:rFonts w:ascii="Times New Roman" w:eastAsiaTheme="minorEastAsia" w:hAnsi="Times New Roman"/>
          <w:noProof/>
          <w:sz w:val="24"/>
          <w:vertAlign w:val="superscript"/>
        </w:rPr>
        <w:footnoteReference w:id="15"/>
      </w:r>
      <w:r w:rsidRPr="00FC6D7F">
        <w:rPr>
          <w:rFonts w:ascii="Times New Roman" w:hAnsi="Times New Roman"/>
          <w:noProof/>
          <w:sz w:val="24"/>
          <w:lang w:val="pl-PL"/>
        </w:rPr>
        <w:t>. Ani państwo członkowskie, do którego kierowany jest wniosek</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eks</w:t>
      </w:r>
      <w:r w:rsidRPr="00FC6D7F">
        <w:rPr>
          <w:rFonts w:ascii="Times New Roman" w:hAnsi="Times New Roman"/>
          <w:noProof/>
          <w:sz w:val="24"/>
          <w:lang w:val="pl-PL"/>
        </w:rPr>
        <w:t>tradycję, ani państwo członkowskie, którego obywatelem jest osoba poszukiwana będąca obywatelem Unii, nie są jednak zobowiązane do zwrócenia się do wzywającego państwa trzeciego</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ekazanie im kopii akt postępowania karnego, aby umożliwić państwu członkowskiemu, którego obywatelem jest osoba poszukiwana, ocenę możliwości przejęcia prowadzenia postępowania karnego przeciwko wspomnianej osobie. Ponadto przyjmujące państwo członkowskie nie jest zobowiązane do odmówienia ekstradycji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ejęcia prowadzenia postępowania karnego, nawet jeżeli jego prawo krajowe przewiduje taką możliwość</w:t>
      </w:r>
      <w:r>
        <w:rPr>
          <w:rFonts w:ascii="Times New Roman" w:eastAsiaTheme="minorEastAsia" w:hAnsi="Times New Roman"/>
          <w:noProof/>
          <w:sz w:val="24"/>
          <w:vertAlign w:val="superscript"/>
        </w:rPr>
        <w:footnoteReference w:id="16"/>
      </w:r>
      <w:r w:rsidRPr="00FC6D7F">
        <w:rPr>
          <w:rFonts w:ascii="Times New Roman" w:hAnsi="Times New Roman"/>
          <w:noProof/>
          <w:sz w:val="24"/>
          <w:lang w:val="pl-PL"/>
        </w:rPr>
        <w:t>.</w:t>
      </w:r>
    </w:p>
    <w:p w14:paraId="37CCA2E0" w14:textId="706CEC59" w:rsidR="003667F7" w:rsidRPr="00FC6D7F" w:rsidRDefault="003667F7" w:rsidP="003667F7">
      <w:pPr>
        <w:rPr>
          <w:rFonts w:ascii="Times New Roman" w:eastAsiaTheme="minorEastAsia" w:hAnsi="Times New Roman"/>
          <w:noProof/>
          <w:sz w:val="24"/>
          <w:lang w:val="pl-PL"/>
        </w:rPr>
      </w:pPr>
      <w:r w:rsidRPr="00FC6D7F">
        <w:rPr>
          <w:rFonts w:ascii="Times New Roman" w:hAnsi="Times New Roman"/>
          <w:noProof/>
          <w:sz w:val="24"/>
          <w:lang w:val="pl-PL"/>
        </w:rPr>
        <w:t xml:space="preserve">Powiązaną sprawę </w:t>
      </w:r>
      <w:r w:rsidRPr="00FC6D7F">
        <w:rPr>
          <w:rFonts w:ascii="Times New Roman" w:hAnsi="Times New Roman"/>
          <w:b/>
          <w:bCs/>
          <w:noProof/>
          <w:sz w:val="24"/>
          <w:lang w:val="pl-PL"/>
        </w:rPr>
        <w:t>WS/Bundesrepublik Deutschland</w:t>
      </w:r>
      <w:r w:rsidRPr="00FC6D7F">
        <w:rPr>
          <w:rFonts w:ascii="Times New Roman" w:hAnsi="Times New Roman"/>
          <w:noProof/>
          <w:sz w:val="24"/>
          <w:lang w:val="pl-PL"/>
        </w:rPr>
        <w:t xml:space="preserve"> omówiono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sek</w:t>
      </w:r>
      <w:r w:rsidRPr="00FC6D7F">
        <w:rPr>
          <w:rFonts w:ascii="Times New Roman" w:hAnsi="Times New Roman"/>
          <w:noProof/>
          <w:sz w:val="24"/>
          <w:lang w:val="pl-PL"/>
        </w:rPr>
        <w:t>cji 5.5.</w:t>
      </w:r>
    </w:p>
    <w:p w14:paraId="40913076" w14:textId="21B23D28" w:rsidR="003667F7" w:rsidRPr="00FC6D7F" w:rsidRDefault="003667F7" w:rsidP="003667F7">
      <w:pPr>
        <w:pStyle w:val="Heading2"/>
        <w:rPr>
          <w:noProof/>
          <w:lang w:val="pl-PL"/>
        </w:rPr>
      </w:pPr>
      <w:r w:rsidRPr="00FC6D7F">
        <w:rPr>
          <w:noProof/>
          <w:lang w:val="pl-PL"/>
        </w:rPr>
        <w:t>Niedyskryminacja ze względu na przynależność państwową</w:t>
      </w:r>
      <w:r w:rsidR="00D55672" w:rsidRPr="00FC6D7F">
        <w:rPr>
          <w:noProof/>
          <w:lang w:val="pl-PL"/>
        </w:rPr>
        <w:t xml:space="preserve"> i</w:t>
      </w:r>
      <w:r w:rsidR="00D55672">
        <w:rPr>
          <w:noProof/>
          <w:lang w:val="pl-PL"/>
        </w:rPr>
        <w:t> </w:t>
      </w:r>
      <w:r w:rsidR="00D55672" w:rsidRPr="00FC6D7F">
        <w:rPr>
          <w:noProof/>
          <w:lang w:val="pl-PL"/>
        </w:rPr>
        <w:t>prz</w:t>
      </w:r>
      <w:r w:rsidRPr="00FC6D7F">
        <w:rPr>
          <w:noProof/>
          <w:lang w:val="pl-PL"/>
        </w:rPr>
        <w:t>episy dotyczące właściwości</w:t>
      </w:r>
    </w:p>
    <w:p w14:paraId="1CFCE47A" w14:textId="53EBF66B"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Jeżeli chodzi</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dyskryminację ze względu na przynależność państwową</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kwe</w:t>
      </w:r>
      <w:r w:rsidRPr="00FC6D7F">
        <w:rPr>
          <w:rFonts w:ascii="Times New Roman" w:hAnsi="Times New Roman"/>
          <w:noProof/>
          <w:sz w:val="24"/>
          <w:lang w:val="pl-PL"/>
        </w:rPr>
        <w:t>stię właściwości sądu, Trybunał wydał wyrok</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 xml:space="preserve">awie </w:t>
      </w:r>
      <w:r w:rsidRPr="00FC6D7F">
        <w:rPr>
          <w:rFonts w:ascii="Times New Roman" w:hAnsi="Times New Roman"/>
          <w:b/>
          <w:bCs/>
          <w:noProof/>
          <w:sz w:val="24"/>
          <w:lang w:val="pl-PL"/>
        </w:rPr>
        <w:t>OE/VY</w:t>
      </w:r>
      <w:r>
        <w:rPr>
          <w:rFonts w:ascii="Times New Roman" w:eastAsiaTheme="minorEastAsia" w:hAnsi="Times New Roman"/>
          <w:noProof/>
          <w:sz w:val="24"/>
          <w:vertAlign w:val="superscript"/>
        </w:rPr>
        <w:footnoteReference w:id="17"/>
      </w:r>
      <w:r w:rsidRPr="00FC6D7F">
        <w:rPr>
          <w:rFonts w:ascii="Times New Roman" w:hAnsi="Times New Roman"/>
          <w:noProof/>
          <w:sz w:val="24"/>
          <w:lang w:val="pl-PL"/>
        </w:rPr>
        <w:t>. Sprawa ta dotyczyła pary, która zawarła związek małżeński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Irl</w:t>
      </w:r>
      <w:r w:rsidRPr="00FC6D7F">
        <w:rPr>
          <w:rFonts w:ascii="Times New Roman" w:hAnsi="Times New Roman"/>
          <w:noProof/>
          <w:sz w:val="24"/>
          <w:lang w:val="pl-PL"/>
        </w:rPr>
        <w:t>andii, gdzie miała miejsce zwykłego pobytu. Po rozstaniu jedno</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mał</w:t>
      </w:r>
      <w:r w:rsidRPr="00FC6D7F">
        <w:rPr>
          <w:rFonts w:ascii="Times New Roman" w:hAnsi="Times New Roman"/>
          <w:noProof/>
          <w:sz w:val="24"/>
          <w:lang w:val="pl-PL"/>
        </w:rPr>
        <w:t>żonków zmieniło miejsce pobytu na Austrię,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rej sądach złożono dokumenty rozwodowe. Przedmiotowa kwestia dotyczyła tego, czy krajowe wymogi dotyczące minimalnego okresu pobytu wymaganego, aby sądy danego państwa członkowskiego (w tym przypadku Austrii) były właściwe, są dyskryminujące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kon</w:t>
      </w:r>
      <w:r w:rsidRPr="00FC6D7F">
        <w:rPr>
          <w:rFonts w:ascii="Times New Roman" w:hAnsi="Times New Roman"/>
          <w:noProof/>
          <w:sz w:val="24"/>
          <w:lang w:val="pl-PL"/>
        </w:rPr>
        <w:t>tekście spraw małżeńskich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odp</w:t>
      </w:r>
      <w:r w:rsidRPr="00FC6D7F">
        <w:rPr>
          <w:rFonts w:ascii="Times New Roman" w:hAnsi="Times New Roman"/>
          <w:noProof/>
          <w:sz w:val="24"/>
          <w:lang w:val="pl-PL"/>
        </w:rPr>
        <w:t>owiedzialności rodzicielskiej. Do Trybunału zwrócono się</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wyj</w:t>
      </w:r>
      <w:r w:rsidRPr="00FC6D7F">
        <w:rPr>
          <w:rFonts w:ascii="Times New Roman" w:hAnsi="Times New Roman"/>
          <w:noProof/>
          <w:sz w:val="24"/>
          <w:lang w:val="pl-PL"/>
        </w:rPr>
        <w:t>aśnienie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świ</w:t>
      </w:r>
      <w:r w:rsidRPr="00FC6D7F">
        <w:rPr>
          <w:rFonts w:ascii="Times New Roman" w:hAnsi="Times New Roman"/>
          <w:noProof/>
          <w:sz w:val="24"/>
          <w:lang w:val="pl-PL"/>
        </w:rPr>
        <w:t xml:space="preserve">etle rozporządzenia </w:t>
      </w:r>
      <w:r w:rsidRPr="00D55672">
        <w:rPr>
          <w:rFonts w:ascii="Times New Roman" w:hAnsi="Times New Roman"/>
          <w:noProof/>
          <w:sz w:val="24"/>
          <w:lang w:val="pl-PL"/>
        </w:rPr>
        <w:t>nr</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201/2003</w:t>
      </w:r>
      <w:r>
        <w:rPr>
          <w:rFonts w:ascii="Times New Roman" w:eastAsiaTheme="minorEastAsia" w:hAnsi="Times New Roman"/>
          <w:noProof/>
          <w:sz w:val="24"/>
          <w:vertAlign w:val="superscript"/>
        </w:rPr>
        <w:footnoteReference w:id="18"/>
      </w:r>
      <w:r w:rsidRPr="00FC6D7F">
        <w:rPr>
          <w:rFonts w:ascii="Times New Roman" w:hAnsi="Times New Roman"/>
          <w:noProof/>
          <w:sz w:val="24"/>
          <w:vertAlign w:val="superscript"/>
          <w:lang w:val="pl-PL"/>
        </w:rPr>
        <w:t xml:space="preserve"> </w:t>
      </w:r>
      <w:r w:rsidRPr="00FC6D7F">
        <w:rPr>
          <w:rFonts w:ascii="Times New Roman" w:hAnsi="Times New Roman"/>
          <w:noProof/>
          <w:sz w:val="24"/>
          <w:lang w:val="pl-PL"/>
        </w:rPr>
        <w:t>(„rozporządzenie Bruksela II bis”) oraz przepisów krajowych dotyczących minimalnego okresu pobytu wynoszącego 6 miesięcy niezbędnego do zastosowania przepisów</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właściwości sądu</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kontekście Trybunał stwierdził, że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8 należy interpretować</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ten</w:t>
      </w:r>
      <w:r w:rsidRPr="00FC6D7F">
        <w:rPr>
          <w:rFonts w:ascii="Times New Roman" w:hAnsi="Times New Roman"/>
          <w:noProof/>
          <w:sz w:val="24"/>
          <w:lang w:val="pl-PL"/>
        </w:rPr>
        <w:t xml:space="preserve"> sposób, że wymóg minimalnego okresu pobytu do celów przyznania właściwości sądom przyjmującego państwa członkowskiego nie powinien być uznawany za przypadek dyskryminacji ze względu na przynależność państwową</w:t>
      </w:r>
      <w:r>
        <w:rPr>
          <w:rFonts w:ascii="Times New Roman" w:eastAsiaTheme="minorEastAsia" w:hAnsi="Times New Roman"/>
          <w:noProof/>
          <w:sz w:val="24"/>
          <w:vertAlign w:val="superscript"/>
        </w:rPr>
        <w:footnoteReference w:id="19"/>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uza</w:t>
      </w:r>
      <w:r w:rsidRPr="00FC6D7F">
        <w:rPr>
          <w:rFonts w:ascii="Times New Roman" w:hAnsi="Times New Roman"/>
          <w:noProof/>
          <w:sz w:val="24"/>
          <w:lang w:val="pl-PL"/>
        </w:rPr>
        <w:t>sadnieniu Trybunał stwierdził, że zróżnicowane przepisy dotyczące właściwości sądów</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ypadku obywateli danego państwa członkowskiego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eciwieństwie do osób niebędących jego obywatelami, które obowiązuje minimalny okres pobytu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państwie, są uzasadnione koniecznością ustalenia rzeczywistego łącznika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stwem członkowskim, którego sądy są właściwe do orzekania</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roz</w:t>
      </w:r>
      <w:r w:rsidRPr="00FC6D7F">
        <w:rPr>
          <w:rFonts w:ascii="Times New Roman" w:hAnsi="Times New Roman"/>
          <w:noProof/>
          <w:sz w:val="24"/>
          <w:lang w:val="pl-PL"/>
        </w:rPr>
        <w:t>wiązaniu danego związku małżeńskiego</w:t>
      </w:r>
      <w:r>
        <w:rPr>
          <w:rFonts w:ascii="Times New Roman" w:eastAsiaTheme="minorEastAsia" w:hAnsi="Times New Roman"/>
          <w:noProof/>
          <w:sz w:val="24"/>
          <w:vertAlign w:val="superscript"/>
        </w:rPr>
        <w:footnoteReference w:id="20"/>
      </w:r>
      <w:r w:rsidRPr="00FC6D7F">
        <w:rPr>
          <w:rFonts w:ascii="Times New Roman" w:hAnsi="Times New Roman"/>
          <w:noProof/>
          <w:sz w:val="24"/>
          <w:lang w:val="pl-PL"/>
        </w:rPr>
        <w:t>. Zdaniem Trybunału osoba będąca obywatelem państwa członkowskiego nie tylko utrzymuje więzi instytucjonalne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wne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państwem członkowskim, ale „co do zasady” również „więzi kulturowe, językowe, społeczne, rodzinne lub majątkowe”</w:t>
      </w:r>
      <w:r>
        <w:rPr>
          <w:rFonts w:ascii="Times New Roman" w:eastAsiaTheme="minorEastAsia" w:hAnsi="Times New Roman"/>
          <w:noProof/>
          <w:sz w:val="24"/>
          <w:vertAlign w:val="superscript"/>
        </w:rPr>
        <w:footnoteReference w:id="21"/>
      </w:r>
      <w:r w:rsidRPr="00FC6D7F">
        <w:rPr>
          <w:rFonts w:ascii="Times New Roman" w:hAnsi="Times New Roman"/>
          <w:noProof/>
          <w:sz w:val="24"/>
          <w:lang w:val="pl-PL"/>
        </w:rPr>
        <w:t>.</w:t>
      </w:r>
    </w:p>
    <w:p w14:paraId="2CD5EC58" w14:textId="24537770" w:rsidR="003667F7" w:rsidRPr="00FC6D7F" w:rsidRDefault="003667F7" w:rsidP="003667F7">
      <w:pPr>
        <w:pStyle w:val="Heading1"/>
        <w:rPr>
          <w:noProof/>
          <w:lang w:val="pl-PL"/>
        </w:rPr>
      </w:pPr>
      <w:bookmarkStart w:id="4" w:name="_Hlk146296974"/>
      <w:r w:rsidRPr="00FC6D7F">
        <w:rPr>
          <w:noProof/>
          <w:lang w:val="pl-PL"/>
        </w:rPr>
        <w:t>Niedyskryminacja ze względu na płeć, rasę lub pochodzenie etniczne, religię lub światopogląd, niepełnosprawność, wiek lub orientację seksualną (</w:t>
      </w:r>
      <w:r w:rsidRPr="00D55672">
        <w:rPr>
          <w:noProof/>
          <w:lang w:val="pl-PL"/>
        </w:rPr>
        <w:t>art.</w:t>
      </w:r>
      <w:r w:rsidR="00D55672" w:rsidRPr="00D55672">
        <w:rPr>
          <w:noProof/>
          <w:lang w:val="pl-PL"/>
        </w:rPr>
        <w:t> </w:t>
      </w:r>
      <w:r w:rsidRPr="00D55672">
        <w:rPr>
          <w:noProof/>
          <w:lang w:val="pl-PL"/>
        </w:rPr>
        <w:t>1</w:t>
      </w:r>
      <w:r w:rsidRPr="00FC6D7F">
        <w:rPr>
          <w:noProof/>
          <w:lang w:val="pl-PL"/>
        </w:rPr>
        <w:t>9 TFUE)</w:t>
      </w:r>
    </w:p>
    <w:p w14:paraId="25D8C583" w14:textId="77777777"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W okresie objętym niniejszym sprawozdaniem Trybunał wydał 4 kluczowe wyroki dotyczące niedyskryminacji obywateli Unii ze względu na ze względu na płeć, rasę lub pochodzenie etniczne, religię lub światopogląd, niepełnosprawność, wiek lub orientację seksualną. </w:t>
      </w:r>
    </w:p>
    <w:bookmarkEnd w:id="4"/>
    <w:p w14:paraId="081DE864" w14:textId="172CC999" w:rsidR="003667F7" w:rsidRPr="00FC6D7F" w:rsidRDefault="003667F7" w:rsidP="003667F7">
      <w:pPr>
        <w:pStyle w:val="Heading2"/>
        <w:rPr>
          <w:noProof/>
          <w:lang w:val="pl-PL"/>
        </w:rPr>
      </w:pPr>
      <w:r w:rsidRPr="00FC6D7F">
        <w:rPr>
          <w:noProof/>
          <w:lang w:val="pl-PL"/>
        </w:rPr>
        <w:t>Niedyskryminacj</w:t>
      </w:r>
      <w:r w:rsidR="00C23F6A">
        <w:rPr>
          <w:noProof/>
          <w:lang w:val="pl-PL"/>
        </w:rPr>
        <w:t>a</w:t>
      </w:r>
      <w:r w:rsidRPr="00FC6D7F">
        <w:rPr>
          <w:noProof/>
          <w:lang w:val="pl-PL"/>
        </w:rPr>
        <w:t xml:space="preserve"> ze względu na religię lub światopogląd</w:t>
      </w:r>
    </w:p>
    <w:p w14:paraId="7E6907D6" w14:textId="25FA083B" w:rsidR="003667F7" w:rsidRPr="00FC6D7F" w:rsidRDefault="003667F7" w:rsidP="003667F7">
      <w:pPr>
        <w:spacing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W odniesieniu do wolności religii Trybunał stwierdził, że wewnętrzny regulamin przedsiębiorstwa, zakazujący noszenia widocznych symboli religijnych, światopoglądowych lub duchowych, nie stanowi przejawu dyskryminacji bezpośredniej, jeśli jest stosowany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spo</w:t>
      </w:r>
      <w:r w:rsidRPr="00FC6D7F">
        <w:rPr>
          <w:rFonts w:ascii="Times New Roman" w:hAnsi="Times New Roman"/>
          <w:noProof/>
          <w:sz w:val="24"/>
          <w:lang w:val="pl-PL"/>
        </w:rPr>
        <w:t>sób ogólny</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bez</w:t>
      </w:r>
      <w:r w:rsidRPr="00FC6D7F">
        <w:rPr>
          <w:rFonts w:ascii="Times New Roman" w:hAnsi="Times New Roman"/>
          <w:noProof/>
          <w:sz w:val="24"/>
          <w:lang w:val="pl-PL"/>
        </w:rPr>
        <w:t xml:space="preserve"> rozróżnienia wobec ogółu pracowników. Zostało to potwierdzone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wyr</w:t>
      </w:r>
      <w:r w:rsidRPr="00FC6D7F">
        <w:rPr>
          <w:rFonts w:ascii="Times New Roman" w:hAnsi="Times New Roman"/>
          <w:noProof/>
          <w:sz w:val="24"/>
          <w:lang w:val="pl-PL"/>
        </w:rPr>
        <w:t>oku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 xml:space="preserve">awie </w:t>
      </w:r>
      <w:r w:rsidRPr="00FC6D7F">
        <w:rPr>
          <w:rFonts w:ascii="Times New Roman" w:hAnsi="Times New Roman"/>
          <w:b/>
          <w:bCs/>
          <w:noProof/>
          <w:sz w:val="24"/>
          <w:lang w:val="pl-PL"/>
        </w:rPr>
        <w:t>L.F./S.C.R.L</w:t>
      </w:r>
      <w:r>
        <w:rPr>
          <w:rFonts w:ascii="Times New Roman" w:eastAsiaTheme="minorEastAsia" w:hAnsi="Times New Roman"/>
          <w:noProof/>
          <w:sz w:val="24"/>
          <w:vertAlign w:val="superscript"/>
        </w:rPr>
        <w:footnoteReference w:id="22"/>
      </w:r>
      <w:r w:rsidRPr="00FC6D7F">
        <w:rPr>
          <w:rFonts w:ascii="Times New Roman" w:hAnsi="Times New Roman"/>
          <w:noProof/>
          <w:sz w:val="24"/>
          <w:lang w:val="pl-PL"/>
        </w:rPr>
        <w:t>,</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rym</w:t>
      </w:r>
      <w:r w:rsidRPr="00FC6D7F">
        <w:rPr>
          <w:rFonts w:ascii="Times New Roman" w:hAnsi="Times New Roman"/>
          <w:i/>
          <w:noProof/>
          <w:sz w:val="24"/>
          <w:lang w:val="pl-PL"/>
        </w:rPr>
        <w:t xml:space="preserve"> </w:t>
      </w:r>
      <w:r w:rsidRPr="00FC6D7F">
        <w:rPr>
          <w:rFonts w:ascii="Times New Roman" w:hAnsi="Times New Roman"/>
          <w:noProof/>
          <w:sz w:val="24"/>
          <w:lang w:val="pl-PL"/>
        </w:rPr>
        <w:t>Trybunał orzekł, że religię</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ekonania należy traktować jako jedną i tę samą przyczynę dyskryminacji, obejmującą zarówno przekonania religijne, jak</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ekonania światopoglądowe czy duchowe. Inne rozwiązanie naruszałoby ogólne warunki ramowe równego traktowania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zatrudnienia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cy przewidziane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wie Unii</w:t>
      </w:r>
      <w:r>
        <w:rPr>
          <w:rFonts w:ascii="Times New Roman" w:eastAsiaTheme="minorEastAsia" w:hAnsi="Times New Roman"/>
          <w:noProof/>
          <w:sz w:val="24"/>
          <w:vertAlign w:val="superscript"/>
        </w:rPr>
        <w:footnoteReference w:id="23"/>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wyr</w:t>
      </w:r>
      <w:r w:rsidRPr="00FC6D7F">
        <w:rPr>
          <w:rFonts w:ascii="Times New Roman" w:hAnsi="Times New Roman"/>
          <w:noProof/>
          <w:sz w:val="24"/>
          <w:lang w:val="pl-PL"/>
        </w:rPr>
        <w:t xml:space="preserve">oku Trybunału wskazano bowiem wyraźnie, że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 dyrektywy ustanawiającej ogólne warunki ramowe równego traktowania</w:t>
      </w:r>
      <w:r>
        <w:rPr>
          <w:rStyle w:val="FootnoteReference"/>
          <w:rFonts w:ascii="Times New Roman" w:eastAsiaTheme="minorEastAsia" w:hAnsi="Times New Roman"/>
          <w:noProof/>
          <w:sz w:val="24"/>
        </w:rPr>
        <w:footnoteReference w:id="24"/>
      </w:r>
      <w:r w:rsidRPr="00FC6D7F">
        <w:rPr>
          <w:rFonts w:ascii="Times New Roman" w:hAnsi="Times New Roman"/>
          <w:noProof/>
          <w:sz w:val="24"/>
          <w:lang w:val="pl-PL"/>
        </w:rPr>
        <w:t xml:space="preserve"> wymienia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teg</w:t>
      </w:r>
      <w:r w:rsidRPr="00FC6D7F">
        <w:rPr>
          <w:rFonts w:ascii="Times New Roman" w:hAnsi="Times New Roman"/>
          <w:noProof/>
          <w:sz w:val="24"/>
          <w:lang w:val="pl-PL"/>
        </w:rPr>
        <w:t>o samego tytułu „religię” i „przekonania”, podobnie jak ma to miejsce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ypadku różnych postanowień prawa pierwotnego Unii,</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kon</w:t>
      </w:r>
      <w:r w:rsidRPr="00FC6D7F">
        <w:rPr>
          <w:rFonts w:ascii="Times New Roman" w:hAnsi="Times New Roman"/>
          <w:noProof/>
          <w:sz w:val="24"/>
          <w:lang w:val="pl-PL"/>
        </w:rPr>
        <w:t xml:space="preserve">kretnie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9 TFUE, zgodnie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rym prawodawca Unii może podjąć środki niezbędne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zwalczania wszelkiej dyskryminacji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szc</w:t>
      </w:r>
      <w:r w:rsidRPr="00FC6D7F">
        <w:rPr>
          <w:rFonts w:ascii="Times New Roman" w:hAnsi="Times New Roman"/>
          <w:noProof/>
          <w:sz w:val="24"/>
          <w:lang w:val="pl-PL"/>
        </w:rPr>
        <w:t>zególności ze względu na „religię lub światopogląd”</w:t>
      </w:r>
      <w:r>
        <w:rPr>
          <w:rFonts w:ascii="Times New Roman" w:eastAsiaTheme="minorEastAsia" w:hAnsi="Times New Roman"/>
          <w:noProof/>
          <w:sz w:val="24"/>
          <w:vertAlign w:val="superscript"/>
        </w:rPr>
        <w:footnoteReference w:id="25"/>
      </w:r>
      <w:r w:rsidRPr="00FC6D7F">
        <w:rPr>
          <w:rFonts w:ascii="Times New Roman" w:hAnsi="Times New Roman"/>
          <w:noProof/>
          <w:sz w:val="24"/>
          <w:lang w:val="pl-PL"/>
        </w:rPr>
        <w:t>.</w:t>
      </w:r>
    </w:p>
    <w:p w14:paraId="1E5E8FD6" w14:textId="19E4270C" w:rsidR="003667F7" w:rsidRPr="00FC6D7F" w:rsidRDefault="003667F7" w:rsidP="003667F7">
      <w:pPr>
        <w:spacing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W podobnym wyroku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 xml:space="preserve">awach połączonych </w:t>
      </w:r>
      <w:r w:rsidRPr="00FC6D7F">
        <w:rPr>
          <w:rFonts w:ascii="Times New Roman" w:hAnsi="Times New Roman"/>
          <w:b/>
          <w:bCs/>
          <w:noProof/>
          <w:sz w:val="24"/>
          <w:lang w:val="pl-PL"/>
        </w:rPr>
        <w:t>WABE eV i MH Müller Handels GmbH/MJ</w:t>
      </w:r>
      <w:r>
        <w:rPr>
          <w:rFonts w:ascii="Times New Roman" w:eastAsiaTheme="minorEastAsia" w:hAnsi="Times New Roman"/>
          <w:noProof/>
          <w:sz w:val="24"/>
          <w:vertAlign w:val="superscript"/>
        </w:rPr>
        <w:footnoteReference w:id="26"/>
      </w:r>
      <w:r w:rsidRPr="00FC6D7F">
        <w:rPr>
          <w:rFonts w:ascii="Times New Roman" w:hAnsi="Times New Roman"/>
          <w:noProof/>
          <w:sz w:val="24"/>
          <w:lang w:val="pl-PL"/>
        </w:rPr>
        <w:t xml:space="preserve"> dwóch pracowników spółek prawa niemieckiego nosiło chustę islamską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swo</w:t>
      </w:r>
      <w:r w:rsidRPr="00FC6D7F">
        <w:rPr>
          <w:rFonts w:ascii="Times New Roman" w:hAnsi="Times New Roman"/>
          <w:noProof/>
          <w:sz w:val="24"/>
          <w:lang w:val="pl-PL"/>
        </w:rPr>
        <w:t>ich miejscach pracy</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obu</w:t>
      </w:r>
      <w:r w:rsidRPr="00FC6D7F">
        <w:rPr>
          <w:rFonts w:ascii="Times New Roman" w:hAnsi="Times New Roman"/>
          <w:noProof/>
          <w:sz w:val="24"/>
          <w:lang w:val="pl-PL"/>
        </w:rPr>
        <w:t xml:space="preserve"> przypadkach pracownicy zostali poinstruowani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ost</w:t>
      </w:r>
      <w:r w:rsidRPr="00FC6D7F">
        <w:rPr>
          <w:rFonts w:ascii="Times New Roman" w:hAnsi="Times New Roman"/>
          <w:noProof/>
          <w:sz w:val="24"/>
          <w:lang w:val="pl-PL"/>
        </w:rPr>
        <w:t>rzeżeni, aby nie prezentowali żadnych istotnych symboli przekonań politycznych, światopoglądowych lub religijnych oraz powiedziano im, aby nie nosili chust. Trybunał stwierdził, że zakaz noszenia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mie</w:t>
      </w:r>
      <w:r w:rsidRPr="00FC6D7F">
        <w:rPr>
          <w:rFonts w:ascii="Times New Roman" w:hAnsi="Times New Roman"/>
          <w:noProof/>
          <w:sz w:val="24"/>
          <w:lang w:val="pl-PL"/>
        </w:rPr>
        <w:t>jscu pracy wszelkich widocznych form wyrażania przekonań politycznych, światopoglądowych lub religijnych może być uzasadniony koniecznością prezentowania przez pracodawcę neutralnego wizerunku wobec klientów lub zapobiegania sporom społecznym. Dodał jednak, że taki obowiązek nie może prowadzić do szczególnej niekorzystnej sytuacji dla osób wyznających daną religię lub mających dane przekonania</w:t>
      </w:r>
      <w:r>
        <w:rPr>
          <w:rFonts w:ascii="Times New Roman" w:eastAsiaTheme="minorEastAsia" w:hAnsi="Times New Roman"/>
          <w:noProof/>
          <w:sz w:val="24"/>
          <w:vertAlign w:val="superscript"/>
        </w:rPr>
        <w:footnoteReference w:id="27"/>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każ</w:t>
      </w:r>
      <w:r w:rsidRPr="00FC6D7F">
        <w:rPr>
          <w:rFonts w:ascii="Times New Roman" w:hAnsi="Times New Roman"/>
          <w:noProof/>
          <w:sz w:val="24"/>
          <w:lang w:val="pl-PL"/>
        </w:rPr>
        <w:t>dym razie uzasadnienie takiego zakazu musi odpowiadać rzeczywistej konieczności po stronie pracodawcy,</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sąd</w:t>
      </w:r>
      <w:r w:rsidRPr="00FC6D7F">
        <w:rPr>
          <w:rFonts w:ascii="Times New Roman" w:hAnsi="Times New Roman"/>
          <w:noProof/>
          <w:sz w:val="24"/>
          <w:lang w:val="pl-PL"/>
        </w:rPr>
        <w:t>y krajowe mogą uwzględnić szczególny kontekst,</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jak</w:t>
      </w:r>
      <w:r w:rsidRPr="00FC6D7F">
        <w:rPr>
          <w:rFonts w:ascii="Times New Roman" w:hAnsi="Times New Roman"/>
          <w:noProof/>
          <w:sz w:val="24"/>
          <w:lang w:val="pl-PL"/>
        </w:rPr>
        <w:t>im znajduje się ich państwo członkowskie, dokonując wyważenia rozpatrywanych praw</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int</w:t>
      </w:r>
      <w:r w:rsidRPr="00FC6D7F">
        <w:rPr>
          <w:rFonts w:ascii="Times New Roman" w:hAnsi="Times New Roman"/>
          <w:noProof/>
          <w:sz w:val="24"/>
          <w:lang w:val="pl-PL"/>
        </w:rPr>
        <w:t>eresów</w:t>
      </w:r>
      <w:r>
        <w:rPr>
          <w:rFonts w:ascii="Times New Roman" w:eastAsiaTheme="minorEastAsia" w:hAnsi="Times New Roman"/>
          <w:noProof/>
          <w:sz w:val="24"/>
          <w:vertAlign w:val="superscript"/>
        </w:rPr>
        <w:footnoteReference w:id="28"/>
      </w:r>
      <w:r w:rsidRPr="00FC6D7F">
        <w:rPr>
          <w:rFonts w:ascii="Times New Roman" w:hAnsi="Times New Roman"/>
          <w:noProof/>
          <w:sz w:val="24"/>
          <w:lang w:val="pl-PL"/>
        </w:rPr>
        <w:t>.</w:t>
      </w:r>
    </w:p>
    <w:p w14:paraId="2CC0B838" w14:textId="5E611BE7" w:rsidR="003667F7" w:rsidRPr="00C20C0D" w:rsidRDefault="003667F7" w:rsidP="003667F7">
      <w:pPr>
        <w:pStyle w:val="Heading2"/>
        <w:rPr>
          <w:noProof/>
          <w:lang w:val="pl-PL"/>
        </w:rPr>
      </w:pPr>
      <w:r w:rsidRPr="00C20C0D">
        <w:rPr>
          <w:noProof/>
          <w:lang w:val="pl-PL"/>
        </w:rPr>
        <w:t>Niedyskryminacj</w:t>
      </w:r>
      <w:r w:rsidR="00C20C0D" w:rsidRPr="00C20C0D">
        <w:rPr>
          <w:noProof/>
          <w:lang w:val="pl-PL"/>
        </w:rPr>
        <w:t>a</w:t>
      </w:r>
      <w:r w:rsidRPr="00C20C0D">
        <w:rPr>
          <w:noProof/>
          <w:lang w:val="pl-PL"/>
        </w:rPr>
        <w:t xml:space="preserve"> ze względu na wiek</w:t>
      </w:r>
    </w:p>
    <w:p w14:paraId="78680E03" w14:textId="0696C46D"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W sprawie </w:t>
      </w:r>
      <w:r w:rsidRPr="00FC6D7F">
        <w:rPr>
          <w:rFonts w:ascii="Times New Roman" w:hAnsi="Times New Roman"/>
          <w:b/>
          <w:bCs/>
          <w:noProof/>
          <w:sz w:val="24"/>
          <w:lang w:val="pl-PL"/>
        </w:rPr>
        <w:t>A/HK Danmark i HK/Privat</w:t>
      </w:r>
      <w:r>
        <w:rPr>
          <w:rFonts w:ascii="Times New Roman" w:eastAsiaTheme="minorEastAsia" w:hAnsi="Times New Roman"/>
          <w:noProof/>
          <w:sz w:val="24"/>
          <w:vertAlign w:val="superscript"/>
        </w:rPr>
        <w:footnoteReference w:id="29"/>
      </w:r>
      <w:r w:rsidRPr="00FC6D7F">
        <w:rPr>
          <w:rFonts w:ascii="Times New Roman" w:hAnsi="Times New Roman"/>
          <w:noProof/>
          <w:sz w:val="24"/>
          <w:lang w:val="pl-PL"/>
        </w:rPr>
        <w:t xml:space="preserve"> stwierdzono, że ustanowiona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sta</w:t>
      </w:r>
      <w:r w:rsidRPr="00FC6D7F">
        <w:rPr>
          <w:rFonts w:ascii="Times New Roman" w:hAnsi="Times New Roman"/>
          <w:noProof/>
          <w:sz w:val="24"/>
          <w:lang w:val="pl-PL"/>
        </w:rPr>
        <w:t>tucie organizacji pracowników granica wieku uprawniająca do ubiegania się</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sta</w:t>
      </w:r>
      <w:r w:rsidRPr="00FC6D7F">
        <w:rPr>
          <w:rFonts w:ascii="Times New Roman" w:hAnsi="Times New Roman"/>
          <w:noProof/>
          <w:sz w:val="24"/>
          <w:lang w:val="pl-PL"/>
        </w:rPr>
        <w:t>nowisko przewodniczącego tej organizacji jest dyskryminująca ze względu na wiek</w:t>
      </w:r>
      <w:r>
        <w:rPr>
          <w:rFonts w:ascii="Times New Roman" w:eastAsiaTheme="minorEastAsia" w:hAnsi="Times New Roman"/>
          <w:noProof/>
          <w:sz w:val="24"/>
          <w:vertAlign w:val="superscript"/>
        </w:rPr>
        <w:footnoteReference w:id="30"/>
      </w:r>
      <w:r w:rsidRPr="00FC6D7F">
        <w:rPr>
          <w:rFonts w:ascii="Times New Roman" w:hAnsi="Times New Roman"/>
          <w:noProof/>
          <w:sz w:val="24"/>
          <w:lang w:val="pl-PL"/>
        </w:rPr>
        <w:t>. Osoba urodzona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1</w:t>
      </w:r>
      <w:r w:rsidRPr="00FC6D7F">
        <w:rPr>
          <w:rFonts w:ascii="Times New Roman" w:hAnsi="Times New Roman"/>
          <w:noProof/>
          <w:sz w:val="24"/>
          <w:lang w:val="pl-PL"/>
        </w:rPr>
        <w:t>9</w:t>
      </w:r>
      <w:r w:rsidRPr="00D55672">
        <w:rPr>
          <w:rFonts w:ascii="Times New Roman" w:hAnsi="Times New Roman"/>
          <w:noProof/>
          <w:sz w:val="24"/>
          <w:lang w:val="pl-PL"/>
        </w:rPr>
        <w:t>48</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została bowiem zatrudniona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1</w:t>
      </w:r>
      <w:r w:rsidRPr="00FC6D7F">
        <w:rPr>
          <w:rFonts w:ascii="Times New Roman" w:hAnsi="Times New Roman"/>
          <w:noProof/>
          <w:sz w:val="24"/>
          <w:lang w:val="pl-PL"/>
        </w:rPr>
        <w:t>9</w:t>
      </w:r>
      <w:r w:rsidRPr="00D55672">
        <w:rPr>
          <w:rFonts w:ascii="Times New Roman" w:hAnsi="Times New Roman"/>
          <w:noProof/>
          <w:sz w:val="24"/>
          <w:lang w:val="pl-PL"/>
        </w:rPr>
        <w:t>78</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jako urzędniczka związku zawodowego przez lokalny oddział duńskiej organizacji pracowników,</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nas</w:t>
      </w:r>
      <w:r w:rsidRPr="00FC6D7F">
        <w:rPr>
          <w:rFonts w:ascii="Times New Roman" w:hAnsi="Times New Roman"/>
          <w:noProof/>
          <w:sz w:val="24"/>
          <w:lang w:val="pl-PL"/>
        </w:rPr>
        <w:t>tępnie została wybrana na przewodniczącą</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wie</w:t>
      </w:r>
      <w:r w:rsidRPr="00FC6D7F">
        <w:rPr>
          <w:rFonts w:ascii="Times New Roman" w:hAnsi="Times New Roman"/>
          <w:noProof/>
          <w:sz w:val="24"/>
          <w:lang w:val="pl-PL"/>
        </w:rPr>
        <w:t>ku 63 lat osoba ta przekroczyła granicę wieku przewidzianą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sta</w:t>
      </w:r>
      <w:r w:rsidRPr="00FC6D7F">
        <w:rPr>
          <w:rFonts w:ascii="Times New Roman" w:hAnsi="Times New Roman"/>
          <w:noProof/>
          <w:sz w:val="24"/>
          <w:lang w:val="pl-PL"/>
        </w:rPr>
        <w:t>tucie organizacji dla ubiegania się</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pon</w:t>
      </w:r>
      <w:r w:rsidRPr="00FC6D7F">
        <w:rPr>
          <w:rFonts w:ascii="Times New Roman" w:hAnsi="Times New Roman"/>
          <w:noProof/>
          <w:sz w:val="24"/>
          <w:lang w:val="pl-PL"/>
        </w:rPr>
        <w:t>owny wybór na stanowisko przewodniczącego</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nas</w:t>
      </w:r>
      <w:r w:rsidRPr="00FC6D7F">
        <w:rPr>
          <w:rFonts w:ascii="Times New Roman" w:hAnsi="Times New Roman"/>
          <w:noProof/>
          <w:sz w:val="24"/>
          <w:lang w:val="pl-PL"/>
        </w:rPr>
        <w:t>tępstwie skargi duńska komisja ds. równego traktowania stwierdziła, że zakazanie tej osobie ubiegania się</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pon</w:t>
      </w:r>
      <w:r w:rsidRPr="00FC6D7F">
        <w:rPr>
          <w:rFonts w:ascii="Times New Roman" w:hAnsi="Times New Roman"/>
          <w:noProof/>
          <w:sz w:val="24"/>
          <w:lang w:val="pl-PL"/>
        </w:rPr>
        <w:t>owny wybór na stanowisko przewodniczącego ze względu na jej wiek jest sprzeczne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duń</w:t>
      </w:r>
      <w:r w:rsidRPr="00FC6D7F">
        <w:rPr>
          <w:rFonts w:ascii="Times New Roman" w:hAnsi="Times New Roman"/>
          <w:noProof/>
          <w:sz w:val="24"/>
          <w:lang w:val="pl-PL"/>
        </w:rPr>
        <w:t>ską ustawą antydyskryminacyjną. Ze względu na niezastosowanie się do powyższej decyzji sąd apelacyjny orzekł, że rozstrzygnięcie sporu zależy od tego, czy wspomniana osoba, jako wyłoniona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wyb</w:t>
      </w:r>
      <w:r w:rsidRPr="00FC6D7F">
        <w:rPr>
          <w:rFonts w:ascii="Times New Roman" w:hAnsi="Times New Roman"/>
          <w:noProof/>
          <w:sz w:val="24"/>
          <w:lang w:val="pl-PL"/>
        </w:rPr>
        <w:t>orach przewodnicząca organizacji pracowników</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czł</w:t>
      </w:r>
      <w:r w:rsidRPr="00FC6D7F">
        <w:rPr>
          <w:rFonts w:ascii="Times New Roman" w:hAnsi="Times New Roman"/>
          <w:noProof/>
          <w:sz w:val="24"/>
          <w:lang w:val="pl-PL"/>
        </w:rPr>
        <w:t>onkini personelu politycznego tej organizacji, jest objęta zakresem stosowania dyrektywy antydyskryminacyjnej</w:t>
      </w:r>
      <w:r>
        <w:rPr>
          <w:rFonts w:ascii="Times New Roman" w:eastAsiaTheme="minorEastAsia" w:hAnsi="Times New Roman"/>
          <w:noProof/>
          <w:sz w:val="24"/>
          <w:vertAlign w:val="superscript"/>
        </w:rPr>
        <w:footnoteReference w:id="31"/>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swo</w:t>
      </w:r>
      <w:r w:rsidRPr="00FC6D7F">
        <w:rPr>
          <w:rFonts w:ascii="Times New Roman" w:hAnsi="Times New Roman"/>
          <w:noProof/>
          <w:sz w:val="24"/>
          <w:lang w:val="pl-PL"/>
        </w:rPr>
        <w:t>im orzeczeniu Trybunał potwierdził opinię rzecznika generalnego, zgodnie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 xml:space="preserve">rą dyrektywa ustanawiająca ogólne warunki ramowe równego traktowania, której podstawą prawną jest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9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 TFUE, ma na celu wyeliminowanie,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uwa</w:t>
      </w:r>
      <w:r w:rsidRPr="00FC6D7F">
        <w:rPr>
          <w:rFonts w:ascii="Times New Roman" w:hAnsi="Times New Roman"/>
          <w:noProof/>
          <w:sz w:val="24"/>
          <w:lang w:val="pl-PL"/>
        </w:rPr>
        <w:t>gi na interes społeczny</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pub</w:t>
      </w:r>
      <w:r w:rsidRPr="00FC6D7F">
        <w:rPr>
          <w:rFonts w:ascii="Times New Roman" w:hAnsi="Times New Roman"/>
          <w:noProof/>
          <w:sz w:val="24"/>
          <w:lang w:val="pl-PL"/>
        </w:rPr>
        <w:t>liczny, wszelkich opartych na względach dyskryminacyjnych przeszkód</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dostępu do środków utrzymania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zdo</w:t>
      </w:r>
      <w:r w:rsidRPr="00FC6D7F">
        <w:rPr>
          <w:rFonts w:ascii="Times New Roman" w:hAnsi="Times New Roman"/>
          <w:noProof/>
          <w:sz w:val="24"/>
          <w:lang w:val="pl-PL"/>
        </w:rPr>
        <w:t>lności działania na rzecz społeczeństwa poprzez pracę, bez względu na to,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jak</w:t>
      </w:r>
      <w:r w:rsidRPr="00FC6D7F">
        <w:rPr>
          <w:rFonts w:ascii="Times New Roman" w:hAnsi="Times New Roman"/>
          <w:noProof/>
          <w:sz w:val="24"/>
          <w:lang w:val="pl-PL"/>
        </w:rPr>
        <w:t>iej formie jest ona świadczona</w:t>
      </w:r>
      <w:r>
        <w:rPr>
          <w:rFonts w:ascii="Times New Roman" w:eastAsiaTheme="minorEastAsia" w:hAnsi="Times New Roman"/>
          <w:noProof/>
          <w:sz w:val="24"/>
          <w:vertAlign w:val="superscript"/>
        </w:rPr>
        <w:footnoteReference w:id="32"/>
      </w:r>
      <w:r w:rsidRPr="00FC6D7F">
        <w:rPr>
          <w:rFonts w:ascii="Times New Roman" w:hAnsi="Times New Roman"/>
          <w:noProof/>
          <w:sz w:val="24"/>
          <w:lang w:val="pl-PL"/>
        </w:rPr>
        <w:t>.</w:t>
      </w:r>
    </w:p>
    <w:p w14:paraId="4AEE88D8" w14:textId="7CB44541" w:rsidR="003667F7" w:rsidRPr="00FC6D7F" w:rsidRDefault="003667F7" w:rsidP="003667F7">
      <w:pPr>
        <w:pStyle w:val="Heading2"/>
        <w:rPr>
          <w:noProof/>
          <w:lang w:val="pl-PL"/>
        </w:rPr>
      </w:pPr>
      <w:r w:rsidRPr="00FC6D7F">
        <w:rPr>
          <w:noProof/>
          <w:lang w:val="pl-PL"/>
        </w:rPr>
        <w:t>Niedyskryminacj</w:t>
      </w:r>
      <w:r w:rsidR="00C23F6A">
        <w:rPr>
          <w:noProof/>
          <w:lang w:val="pl-PL"/>
        </w:rPr>
        <w:t>a</w:t>
      </w:r>
      <w:r w:rsidRPr="00FC6D7F">
        <w:rPr>
          <w:noProof/>
          <w:lang w:val="pl-PL"/>
        </w:rPr>
        <w:t xml:space="preserve"> ze względu na orientację seksualną</w:t>
      </w:r>
    </w:p>
    <w:p w14:paraId="3C0494C5" w14:textId="7F748D4E"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W sprawie </w:t>
      </w:r>
      <w:r w:rsidRPr="00FC6D7F">
        <w:rPr>
          <w:rFonts w:ascii="Times New Roman" w:hAnsi="Times New Roman"/>
          <w:b/>
          <w:bCs/>
          <w:noProof/>
          <w:sz w:val="24"/>
          <w:lang w:val="pl-PL"/>
        </w:rPr>
        <w:t>J.K./TP S.A</w:t>
      </w:r>
      <w:r>
        <w:rPr>
          <w:rFonts w:ascii="Times New Roman" w:eastAsiaTheme="minorEastAsia" w:hAnsi="Times New Roman"/>
          <w:noProof/>
          <w:sz w:val="24"/>
          <w:vertAlign w:val="superscript"/>
        </w:rPr>
        <w:footnoteReference w:id="33"/>
      </w:r>
      <w:r w:rsidRPr="00FC6D7F">
        <w:rPr>
          <w:rFonts w:ascii="Times New Roman" w:hAnsi="Times New Roman"/>
          <w:noProof/>
          <w:sz w:val="24"/>
          <w:lang w:val="pl-PL"/>
        </w:rPr>
        <w:t xml:space="preserve"> Trybunał Sprawiedliwości orzekł, że orientacja seksualna nie może być powodem odmowy zawarcia lub zawarcia umowy</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oso</w:t>
      </w:r>
      <w:r w:rsidRPr="00FC6D7F">
        <w:rPr>
          <w:rFonts w:ascii="Times New Roman" w:hAnsi="Times New Roman"/>
          <w:noProof/>
          <w:sz w:val="24"/>
          <w:lang w:val="pl-PL"/>
        </w:rPr>
        <w:t>bą prowadzącą działalność gospodarczą</w:t>
      </w:r>
      <w:r>
        <w:rPr>
          <w:rFonts w:ascii="Times New Roman" w:eastAsiaTheme="minorEastAsia" w:hAnsi="Times New Roman"/>
          <w:noProof/>
          <w:sz w:val="24"/>
          <w:vertAlign w:val="superscript"/>
        </w:rPr>
        <w:footnoteReference w:id="34"/>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tej</w:t>
      </w:r>
      <w:r w:rsidRPr="00FC6D7F">
        <w:rPr>
          <w:rFonts w:ascii="Times New Roman" w:hAnsi="Times New Roman"/>
          <w:noProof/>
          <w:sz w:val="24"/>
          <w:lang w:val="pl-PL"/>
        </w:rPr>
        <w:t xml:space="preserve"> sprawie przedsiębiorca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jeg</w:t>
      </w:r>
      <w:r w:rsidRPr="00FC6D7F">
        <w:rPr>
          <w:rFonts w:ascii="Times New Roman" w:hAnsi="Times New Roman"/>
          <w:noProof/>
          <w:sz w:val="24"/>
          <w:lang w:val="pl-PL"/>
        </w:rPr>
        <w:t>o partner opublikowali na YouTube klip promujący tolerancję wobec par jednopłciowych. Krótko po opublikowaniu wideo, chociaż J.K. zawarł wcześniej szereg kolejnych krótkoterminowych umów</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kan</w:t>
      </w:r>
      <w:r w:rsidRPr="00FC6D7F">
        <w:rPr>
          <w:rFonts w:ascii="Times New Roman" w:hAnsi="Times New Roman"/>
          <w:noProof/>
          <w:sz w:val="24"/>
          <w:lang w:val="pl-PL"/>
        </w:rPr>
        <w:t>ałem polskiej telewizji publicznej jako osoba prowadząca działalność gospodarczą, nie zawarto</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nim</w:t>
      </w:r>
      <w:r w:rsidRPr="00FC6D7F">
        <w:rPr>
          <w:rFonts w:ascii="Times New Roman" w:hAnsi="Times New Roman"/>
          <w:noProof/>
          <w:sz w:val="24"/>
          <w:lang w:val="pl-PL"/>
        </w:rPr>
        <w:t xml:space="preserve"> nowej umowy</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dzi</w:t>
      </w:r>
      <w:r w:rsidRPr="00FC6D7F">
        <w:rPr>
          <w:rFonts w:ascii="Times New Roman" w:hAnsi="Times New Roman"/>
          <w:noProof/>
          <w:sz w:val="24"/>
          <w:lang w:val="pl-PL"/>
        </w:rPr>
        <w:t>eło</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swo</w:t>
      </w:r>
      <w:r w:rsidRPr="00FC6D7F">
        <w:rPr>
          <w:rFonts w:ascii="Times New Roman" w:hAnsi="Times New Roman"/>
          <w:noProof/>
          <w:sz w:val="24"/>
          <w:lang w:val="pl-PL"/>
        </w:rPr>
        <w:t>im wyroku Trybunał uznał prawo osób prowadzących działalność gospodarczą do niedyskryminacji ze względu na ich orientację seksualną. Trybunał stwierdził bowiem, że pojęcie „warunków dostępu do zatrudnienia[, do działalności na własny rachunek lub do wykonywania pracy]” należy rozumieć szeroko, uwzględniając dostęp do wszelkiej działalności zawodowej, niezależnie od jej charakteru</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cec</w:t>
      </w:r>
      <w:r w:rsidRPr="00FC6D7F">
        <w:rPr>
          <w:rFonts w:ascii="Times New Roman" w:hAnsi="Times New Roman"/>
          <w:noProof/>
          <w:sz w:val="24"/>
          <w:lang w:val="pl-PL"/>
        </w:rPr>
        <w:t>h</w:t>
      </w:r>
      <w:r>
        <w:rPr>
          <w:rFonts w:ascii="Times New Roman" w:eastAsiaTheme="minorEastAsia" w:hAnsi="Times New Roman"/>
          <w:noProof/>
          <w:sz w:val="24"/>
          <w:vertAlign w:val="superscript"/>
        </w:rPr>
        <w:footnoteReference w:id="35"/>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swo</w:t>
      </w:r>
      <w:r w:rsidRPr="00FC6D7F">
        <w:rPr>
          <w:rFonts w:ascii="Times New Roman" w:hAnsi="Times New Roman"/>
          <w:noProof/>
          <w:sz w:val="24"/>
          <w:lang w:val="pl-PL"/>
        </w:rPr>
        <w:t>im orzeczeniu Trybunał potwierdził zatem, że dyrektywa ustanawiająca ogólne warunki ramowe równego traktowania ma na celu wyeliminowanie,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uwa</w:t>
      </w:r>
      <w:r w:rsidRPr="00FC6D7F">
        <w:rPr>
          <w:rFonts w:ascii="Times New Roman" w:hAnsi="Times New Roman"/>
          <w:noProof/>
          <w:sz w:val="24"/>
          <w:lang w:val="pl-PL"/>
        </w:rPr>
        <w:t>gi na interes społeczny</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pub</w:t>
      </w:r>
      <w:r w:rsidRPr="00FC6D7F">
        <w:rPr>
          <w:rFonts w:ascii="Times New Roman" w:hAnsi="Times New Roman"/>
          <w:noProof/>
          <w:sz w:val="24"/>
          <w:lang w:val="pl-PL"/>
        </w:rPr>
        <w:t>liczny, wszelkich dyskryminacyjnych przeszkód</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dostępu do środków utrzymania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zdo</w:t>
      </w:r>
      <w:r w:rsidRPr="00FC6D7F">
        <w:rPr>
          <w:rFonts w:ascii="Times New Roman" w:hAnsi="Times New Roman"/>
          <w:noProof/>
          <w:sz w:val="24"/>
          <w:lang w:val="pl-PL"/>
        </w:rPr>
        <w:t>lności działania na rzecz społeczeństwa poprzez pracę, bez względu na to,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jak</w:t>
      </w:r>
      <w:r w:rsidRPr="00FC6D7F">
        <w:rPr>
          <w:rFonts w:ascii="Times New Roman" w:hAnsi="Times New Roman"/>
          <w:noProof/>
          <w:sz w:val="24"/>
          <w:lang w:val="pl-PL"/>
        </w:rPr>
        <w:t>iej formie jest ona świadczona</w:t>
      </w:r>
      <w:r>
        <w:rPr>
          <w:rFonts w:ascii="Times New Roman" w:eastAsiaTheme="minorEastAsia" w:hAnsi="Times New Roman"/>
          <w:noProof/>
          <w:sz w:val="24"/>
          <w:vertAlign w:val="superscript"/>
        </w:rPr>
        <w:footnoteReference w:id="36"/>
      </w:r>
      <w:r w:rsidRPr="00FC6D7F">
        <w:rPr>
          <w:rFonts w:ascii="Times New Roman" w:hAnsi="Times New Roman"/>
          <w:noProof/>
          <w:sz w:val="24"/>
          <w:lang w:val="pl-PL"/>
        </w:rPr>
        <w:t>.</w:t>
      </w:r>
    </w:p>
    <w:p w14:paraId="0A164740" w14:textId="4B1DDA85" w:rsidR="002272C6" w:rsidRPr="00C20C0D" w:rsidRDefault="002272C6" w:rsidP="002272C6">
      <w:pPr>
        <w:pStyle w:val="Heading2"/>
        <w:rPr>
          <w:rFonts w:eastAsiaTheme="minorEastAsia"/>
          <w:noProof/>
          <w:lang w:val="pl-PL"/>
        </w:rPr>
      </w:pPr>
      <w:r w:rsidRPr="00C20C0D">
        <w:rPr>
          <w:noProof/>
          <w:lang w:val="pl-PL"/>
        </w:rPr>
        <w:t>Niedyskryminacj</w:t>
      </w:r>
      <w:r w:rsidR="00C23F6A">
        <w:rPr>
          <w:noProof/>
          <w:lang w:val="pl-PL"/>
        </w:rPr>
        <w:t>a</w:t>
      </w:r>
      <w:r w:rsidRPr="00C20C0D">
        <w:rPr>
          <w:noProof/>
          <w:lang w:val="pl-PL"/>
        </w:rPr>
        <w:t xml:space="preserve"> ze względu na płeć</w:t>
      </w:r>
    </w:p>
    <w:p w14:paraId="13B8205E" w14:textId="0C1DB6B4" w:rsidR="002272C6" w:rsidRPr="00FC6D7F" w:rsidRDefault="002272C6" w:rsidP="00365390">
      <w:pPr>
        <w:spacing w:line="276" w:lineRule="auto"/>
        <w:jc w:val="both"/>
        <w:rPr>
          <w:rFonts w:ascii="Times New Roman" w:hAnsi="Times New Roman" w:cs="Times New Roman"/>
          <w:noProof/>
          <w:sz w:val="24"/>
          <w:lang w:val="pl-PL"/>
        </w:rPr>
      </w:pPr>
      <w:r w:rsidRPr="00FC6D7F">
        <w:rPr>
          <w:rFonts w:ascii="Times New Roman" w:hAnsi="Times New Roman"/>
          <w:noProof/>
          <w:sz w:val="24"/>
          <w:lang w:val="pl-PL"/>
        </w:rPr>
        <w:t xml:space="preserve">W sprawie </w:t>
      </w:r>
      <w:r w:rsidRPr="00FC6D7F">
        <w:rPr>
          <w:rFonts w:ascii="Times New Roman" w:hAnsi="Times New Roman"/>
          <w:b/>
          <w:bCs/>
          <w:noProof/>
          <w:sz w:val="24"/>
          <w:lang w:val="pl-PL"/>
        </w:rPr>
        <w:t>CJ/Tesorería General de la Seguridad Social (TGSS)</w:t>
      </w:r>
      <w:r>
        <w:rPr>
          <w:rStyle w:val="FootnoteReference"/>
          <w:rFonts w:ascii="Times New Roman" w:hAnsi="Times New Roman" w:cs="Times New Roman"/>
          <w:noProof/>
          <w:sz w:val="24"/>
        </w:rPr>
        <w:footnoteReference w:id="37"/>
      </w:r>
      <w:r w:rsidRPr="00FC6D7F">
        <w:rPr>
          <w:rFonts w:ascii="Times New Roman" w:hAnsi="Times New Roman"/>
          <w:noProof/>
          <w:sz w:val="24"/>
          <w:lang w:val="pl-PL"/>
        </w:rPr>
        <w:t xml:space="preserve"> Trybunał orzekł, że hiszpański przepis ustawodawstwa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dzi</w:t>
      </w:r>
      <w:r w:rsidRPr="00FC6D7F">
        <w:rPr>
          <w:rFonts w:ascii="Times New Roman" w:hAnsi="Times New Roman"/>
          <w:noProof/>
          <w:sz w:val="24"/>
          <w:lang w:val="pl-PL"/>
        </w:rPr>
        <w:t>edzinie zabezpieczenia społecznego, który wyłącza pracowników domowych</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ube</w:t>
      </w:r>
      <w:r w:rsidRPr="00FC6D7F">
        <w:rPr>
          <w:rFonts w:ascii="Times New Roman" w:hAnsi="Times New Roman"/>
          <w:noProof/>
          <w:sz w:val="24"/>
          <w:lang w:val="pl-PL"/>
        </w:rPr>
        <w:t>zpieczenia na wypadek bezrobocia, jest pośrednio dyskryminujący ze względu na płeć, ponieważ większość tych pracowników to kobiety. Zgodnie ze stanowiskiem Komisji Trybunał orzekł, że przepis ten jest sprzeczny</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dyr</w:t>
      </w:r>
      <w:r w:rsidRPr="00FC6D7F">
        <w:rPr>
          <w:rFonts w:ascii="Times New Roman" w:hAnsi="Times New Roman"/>
          <w:noProof/>
          <w:sz w:val="24"/>
          <w:lang w:val="pl-PL"/>
        </w:rPr>
        <w:t>ektywą 79/7</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równości płci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ustawowego zabezpieczenia społecznego</w:t>
      </w:r>
      <w:r>
        <w:rPr>
          <w:rStyle w:val="FootnoteReference"/>
          <w:rFonts w:ascii="Times New Roman" w:hAnsi="Times New Roman" w:cs="Times New Roman"/>
          <w:noProof/>
          <w:sz w:val="24"/>
        </w:rPr>
        <w:footnoteReference w:id="38"/>
      </w:r>
      <w:r w:rsidRPr="00FC6D7F">
        <w:rPr>
          <w:rFonts w:ascii="Times New Roman" w:hAnsi="Times New Roman"/>
          <w:noProof/>
          <w:sz w:val="24"/>
          <w:lang w:val="pl-PL"/>
        </w:rPr>
        <w:t>, ponieważ stawia pracowników płci żeńskiej</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szc</w:t>
      </w:r>
      <w:r w:rsidRPr="00FC6D7F">
        <w:rPr>
          <w:rFonts w:ascii="Times New Roman" w:hAnsi="Times New Roman"/>
          <w:noProof/>
          <w:sz w:val="24"/>
          <w:lang w:val="pl-PL"/>
        </w:rPr>
        <w:t>zególnie niekorzystnym położeniu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por</w:t>
      </w:r>
      <w:r w:rsidRPr="00FC6D7F">
        <w:rPr>
          <w:rFonts w:ascii="Times New Roman" w:hAnsi="Times New Roman"/>
          <w:noProof/>
          <w:sz w:val="24"/>
          <w:lang w:val="pl-PL"/>
        </w:rPr>
        <w:t>ównaniu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cownikami płci męskiej</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 xml:space="preserve"> jest uzasadniony obiektywnymi czynnikami niezwiązanymi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jak</w:t>
      </w:r>
      <w:r w:rsidRPr="00FC6D7F">
        <w:rPr>
          <w:rFonts w:ascii="Times New Roman" w:hAnsi="Times New Roman"/>
          <w:noProof/>
          <w:sz w:val="24"/>
          <w:lang w:val="pl-PL"/>
        </w:rPr>
        <w:t>ąkolwiek dyskryminacją.</w:t>
      </w:r>
    </w:p>
    <w:p w14:paraId="34F2FD43" w14:textId="77777777" w:rsidR="002272C6" w:rsidRPr="00FC6D7F" w:rsidRDefault="002272C6" w:rsidP="003667F7">
      <w:pPr>
        <w:spacing w:after="240" w:line="276" w:lineRule="auto"/>
        <w:jc w:val="both"/>
        <w:rPr>
          <w:rFonts w:ascii="Times New Roman" w:eastAsiaTheme="minorEastAsia" w:hAnsi="Times New Roman"/>
          <w:noProof/>
          <w:sz w:val="24"/>
          <w:lang w:val="pl-PL"/>
        </w:rPr>
      </w:pPr>
    </w:p>
    <w:p w14:paraId="16CC1C4A" w14:textId="54C3F562" w:rsidR="003667F7" w:rsidRPr="00FC6D7F" w:rsidRDefault="003667F7" w:rsidP="003667F7">
      <w:pPr>
        <w:pStyle w:val="Heading1"/>
        <w:spacing w:before="0"/>
        <w:ind w:left="432"/>
        <w:rPr>
          <w:noProof/>
          <w:lang w:val="pl-PL"/>
        </w:rPr>
      </w:pPr>
      <w:r w:rsidRPr="00FC6D7F">
        <w:rPr>
          <w:noProof/>
          <w:lang w:val="pl-PL"/>
        </w:rPr>
        <w:t>Obywatelstwo Unii (</w:t>
      </w:r>
      <w:r w:rsidRPr="00D55672">
        <w:rPr>
          <w:noProof/>
          <w:lang w:val="pl-PL"/>
        </w:rPr>
        <w:t>art.</w:t>
      </w:r>
      <w:r w:rsidR="00D55672" w:rsidRPr="00D55672">
        <w:rPr>
          <w:noProof/>
          <w:lang w:val="pl-PL"/>
        </w:rPr>
        <w:t> </w:t>
      </w:r>
      <w:r w:rsidRPr="00D55672">
        <w:rPr>
          <w:noProof/>
          <w:lang w:val="pl-PL"/>
        </w:rPr>
        <w:t>2</w:t>
      </w:r>
      <w:r w:rsidRPr="00FC6D7F">
        <w:rPr>
          <w:noProof/>
          <w:lang w:val="pl-PL"/>
        </w:rPr>
        <w:t xml:space="preserve">0 </w:t>
      </w:r>
      <w:r w:rsidRPr="00D55672">
        <w:rPr>
          <w:noProof/>
          <w:lang w:val="pl-PL"/>
        </w:rPr>
        <w:t>ust.</w:t>
      </w:r>
      <w:r w:rsidR="00D55672" w:rsidRPr="00D55672">
        <w:rPr>
          <w:noProof/>
          <w:lang w:val="pl-PL"/>
        </w:rPr>
        <w:t> </w:t>
      </w:r>
      <w:r w:rsidRPr="00D55672">
        <w:rPr>
          <w:noProof/>
          <w:lang w:val="pl-PL"/>
        </w:rPr>
        <w:t>1</w:t>
      </w:r>
      <w:r w:rsidRPr="00FC6D7F">
        <w:rPr>
          <w:noProof/>
          <w:lang w:val="pl-PL"/>
        </w:rPr>
        <w:t xml:space="preserve"> TFUE)</w:t>
      </w:r>
    </w:p>
    <w:p w14:paraId="2F660ABE" w14:textId="7D8BB0C3"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W latach 2020–2023 Trybunał wydał 7 kluczowych wyroków</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kwe</w:t>
      </w:r>
      <w:r w:rsidRPr="00FC6D7F">
        <w:rPr>
          <w:rFonts w:ascii="Times New Roman" w:hAnsi="Times New Roman"/>
          <w:noProof/>
          <w:sz w:val="24"/>
          <w:lang w:val="pl-PL"/>
        </w:rPr>
        <w:t xml:space="preserve">stii obywatelstwa Unii. Sprawy rozpoznawane przez Trybunał dotyczyły m.in. utraty obywatelstwa Unii wskutek utraty obywatelstwa państwa członkowskiego. Sprawy dotyczące pochodnych praw pobytu dla niebędących obywatelami Unii członków rodzin obywateli Unii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 TFUE omówiono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sek</w:t>
      </w:r>
      <w:r w:rsidRPr="00FC6D7F">
        <w:rPr>
          <w:rFonts w:ascii="Times New Roman" w:hAnsi="Times New Roman"/>
          <w:noProof/>
          <w:sz w:val="24"/>
          <w:lang w:val="pl-PL"/>
        </w:rPr>
        <w:t>cji 5.4.</w:t>
      </w:r>
    </w:p>
    <w:p w14:paraId="78B6D5EA" w14:textId="3AF557F9"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Wspomniane trzy sprawy </w:t>
      </w:r>
      <w:r w:rsidRPr="00FC6D7F">
        <w:rPr>
          <w:rFonts w:ascii="Times New Roman" w:hAnsi="Times New Roman"/>
          <w:b/>
          <w:bCs/>
          <w:noProof/>
          <w:sz w:val="24"/>
          <w:lang w:val="pl-PL"/>
        </w:rPr>
        <w:t>Silver i in./Rada</w:t>
      </w:r>
      <w:r>
        <w:rPr>
          <w:rFonts w:ascii="Times New Roman" w:eastAsiaTheme="minorEastAsia" w:hAnsi="Times New Roman"/>
          <w:noProof/>
          <w:sz w:val="24"/>
          <w:vertAlign w:val="superscript"/>
        </w:rPr>
        <w:footnoteReference w:id="39"/>
      </w:r>
      <w:r w:rsidRPr="00FC6D7F">
        <w:rPr>
          <w:rFonts w:ascii="Times New Roman" w:hAnsi="Times New Roman"/>
          <w:b/>
          <w:noProof/>
          <w:sz w:val="24"/>
          <w:lang w:val="pl-PL"/>
        </w:rPr>
        <w:t xml:space="preserve">, </w:t>
      </w:r>
      <w:r w:rsidRPr="00FC6D7F">
        <w:rPr>
          <w:rFonts w:ascii="Times New Roman" w:hAnsi="Times New Roman"/>
          <w:b/>
          <w:bCs/>
          <w:noProof/>
          <w:sz w:val="24"/>
          <w:lang w:val="pl-PL"/>
        </w:rPr>
        <w:t>Shindler i in./Rada</w:t>
      </w:r>
      <w:r>
        <w:rPr>
          <w:rFonts w:ascii="Times New Roman" w:eastAsiaTheme="minorEastAsia" w:hAnsi="Times New Roman"/>
          <w:noProof/>
          <w:sz w:val="24"/>
          <w:vertAlign w:val="superscript"/>
        </w:rPr>
        <w:footnoteReference w:id="40"/>
      </w:r>
      <w:r w:rsidRPr="00FC6D7F">
        <w:rPr>
          <w:rFonts w:ascii="Times New Roman" w:hAnsi="Times New Roman"/>
          <w:noProof/>
          <w:sz w:val="24"/>
          <w:lang w:val="pl-PL"/>
        </w:rPr>
        <w:t xml:space="preserve"> oraz </w:t>
      </w:r>
      <w:r w:rsidRPr="00FC6D7F">
        <w:rPr>
          <w:rFonts w:ascii="Times New Roman" w:hAnsi="Times New Roman"/>
          <w:b/>
          <w:bCs/>
          <w:noProof/>
          <w:sz w:val="24"/>
          <w:lang w:val="pl-PL"/>
        </w:rPr>
        <w:t>David Price/Rada</w:t>
      </w:r>
      <w:r>
        <w:rPr>
          <w:rFonts w:ascii="Times New Roman" w:eastAsiaTheme="minorEastAsia" w:hAnsi="Times New Roman"/>
          <w:noProof/>
          <w:sz w:val="24"/>
          <w:vertAlign w:val="superscript"/>
        </w:rPr>
        <w:footnoteReference w:id="41"/>
      </w:r>
      <w:r w:rsidRPr="00FC6D7F">
        <w:rPr>
          <w:rFonts w:ascii="Times New Roman" w:hAnsi="Times New Roman"/>
          <w:noProof/>
          <w:sz w:val="24"/>
          <w:lang w:val="pl-PL"/>
        </w:rPr>
        <w:t xml:space="preserve"> zostały wniesione do Trybunału niezależnie od siebie przez obywateli brytyjskich, którzy podjęli próbę zakwestionowania umowy brexitowej</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dec</w:t>
      </w:r>
      <w:r w:rsidRPr="00FC6D7F">
        <w:rPr>
          <w:rFonts w:ascii="Times New Roman" w:hAnsi="Times New Roman"/>
          <w:noProof/>
          <w:sz w:val="24"/>
          <w:lang w:val="pl-PL"/>
        </w:rPr>
        <w:t>yzji Rady, utrzymując m.in., że wspomniane akty pozbawiły ich praw,</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rych korzystali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re nabyli jako obywatele Unii. Trybunał oddalił te powództwa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pot</w:t>
      </w:r>
      <w:r w:rsidRPr="00FC6D7F">
        <w:rPr>
          <w:rFonts w:ascii="Times New Roman" w:hAnsi="Times New Roman"/>
          <w:noProof/>
          <w:sz w:val="24"/>
          <w:lang w:val="pl-PL"/>
        </w:rPr>
        <w:t>wierdził, że utrata statusu obywatela Unii,</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samym utrata praw wynikających</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teg</w:t>
      </w:r>
      <w:r w:rsidRPr="00FC6D7F">
        <w:rPr>
          <w:rFonts w:ascii="Times New Roman" w:hAnsi="Times New Roman"/>
          <w:noProof/>
          <w:sz w:val="24"/>
          <w:lang w:val="pl-PL"/>
        </w:rPr>
        <w:t>o statusu, stanowi automatyczną konsekwencję suwerennej decyzji</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wys</w:t>
      </w:r>
      <w:r w:rsidRPr="00FC6D7F">
        <w:rPr>
          <w:rFonts w:ascii="Times New Roman" w:hAnsi="Times New Roman"/>
          <w:noProof/>
          <w:sz w:val="24"/>
          <w:lang w:val="pl-PL"/>
        </w:rPr>
        <w:t>tąpieniu z UE podjętej przez samo Zjednoczone Królestwo</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 xml:space="preserve"> była spowodowana zawarciem umowy brexitowej ani przyjęciem decyzji Rady</w:t>
      </w:r>
      <w:r>
        <w:rPr>
          <w:rFonts w:ascii="Times New Roman" w:eastAsiaTheme="minorEastAsia" w:hAnsi="Times New Roman"/>
          <w:noProof/>
          <w:sz w:val="24"/>
          <w:vertAlign w:val="superscript"/>
        </w:rPr>
        <w:footnoteReference w:id="42"/>
      </w:r>
      <w:r w:rsidRPr="00FC6D7F">
        <w:rPr>
          <w:rFonts w:ascii="Times New Roman" w:hAnsi="Times New Roman"/>
          <w:noProof/>
          <w:sz w:val="24"/>
          <w:lang w:val="pl-PL"/>
        </w:rPr>
        <w:t>.</w:t>
      </w:r>
    </w:p>
    <w:p w14:paraId="1939695F" w14:textId="443E853A"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Inną sprawą dotyczącą utraty obywatelstwa Unii jest </w:t>
      </w:r>
      <w:r w:rsidRPr="00FC6D7F">
        <w:rPr>
          <w:rFonts w:ascii="Times New Roman" w:hAnsi="Times New Roman"/>
          <w:b/>
          <w:i/>
          <w:noProof/>
          <w:sz w:val="24"/>
          <w:lang w:val="pl-PL"/>
        </w:rPr>
        <w:t>JY/Wiener Landesregierung</w:t>
      </w:r>
      <w:r>
        <w:rPr>
          <w:rFonts w:ascii="Times New Roman" w:eastAsiaTheme="minorEastAsia" w:hAnsi="Times New Roman"/>
          <w:noProof/>
          <w:sz w:val="24"/>
          <w:vertAlign w:val="superscript"/>
        </w:rPr>
        <w:footnoteReference w:id="43"/>
      </w:r>
      <w:r w:rsidR="00D55672" w:rsidRPr="00FC6D7F">
        <w:rPr>
          <w:rFonts w:ascii="Times New Roman" w:hAnsi="Times New Roman"/>
          <w:b/>
          <w:noProof/>
          <w:sz w:val="24"/>
          <w:lang w:val="pl-PL"/>
        </w:rPr>
        <w:t>.</w:t>
      </w:r>
      <w:r w:rsidR="00D55672" w:rsidRPr="00FC6D7F">
        <w:rPr>
          <w:rFonts w:ascii="Times New Roman" w:hAnsi="Times New Roman"/>
          <w:i/>
          <w:noProof/>
          <w:sz w:val="24"/>
          <w:lang w:val="pl-PL"/>
        </w:rPr>
        <w:t xml:space="preserve"> </w:t>
      </w:r>
      <w:r w:rsidR="00D55672" w:rsidRPr="00FC6D7F">
        <w:rPr>
          <w:rFonts w:ascii="Times New Roman" w:hAnsi="Times New Roman"/>
          <w:noProof/>
          <w:sz w:val="24"/>
          <w:lang w:val="pl-PL"/>
        </w:rPr>
        <w:t>W</w:t>
      </w:r>
      <w:r w:rsidR="00D55672">
        <w:rPr>
          <w:rFonts w:ascii="Times New Roman" w:hAnsi="Times New Roman"/>
          <w:b/>
          <w:noProof/>
          <w:sz w:val="24"/>
          <w:lang w:val="pl-PL"/>
        </w:rPr>
        <w:t> </w:t>
      </w:r>
      <w:r w:rsidR="00D55672" w:rsidRPr="00FC6D7F">
        <w:rPr>
          <w:rFonts w:ascii="Times New Roman" w:hAnsi="Times New Roman"/>
          <w:noProof/>
          <w:sz w:val="24"/>
          <w:lang w:val="pl-PL"/>
        </w:rPr>
        <w:t>tej</w:t>
      </w:r>
      <w:r w:rsidRPr="00FC6D7F">
        <w:rPr>
          <w:rFonts w:ascii="Times New Roman" w:hAnsi="Times New Roman"/>
          <w:noProof/>
          <w:sz w:val="24"/>
          <w:lang w:val="pl-PL"/>
        </w:rPr>
        <w:t xml:space="preserve"> sprawie obywatelka Estonii dobrowolnie</w:t>
      </w:r>
      <w:r w:rsidRPr="00FC6D7F">
        <w:rPr>
          <w:rFonts w:ascii="Times New Roman" w:hAnsi="Times New Roman"/>
          <w:i/>
          <w:noProof/>
          <w:sz w:val="24"/>
          <w:lang w:val="pl-PL"/>
        </w:rPr>
        <w:t xml:space="preserve"> </w:t>
      </w:r>
      <w:r w:rsidRPr="00FC6D7F">
        <w:rPr>
          <w:rFonts w:ascii="Times New Roman" w:hAnsi="Times New Roman"/>
          <w:noProof/>
          <w:sz w:val="24"/>
          <w:lang w:val="pl-PL"/>
        </w:rPr>
        <w:t>zrzekła się obywatelstwa estońskiego po uzyskaniu gwarancji uzyskania obywatelstwa austriackiego</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chw</w:t>
      </w:r>
      <w:r w:rsidRPr="00FC6D7F">
        <w:rPr>
          <w:rFonts w:ascii="Times New Roman" w:hAnsi="Times New Roman"/>
          <w:noProof/>
          <w:sz w:val="24"/>
          <w:lang w:val="pl-PL"/>
        </w:rPr>
        <w:t>ilą zrzeczenia się innego obywatelstwa</w:t>
      </w:r>
      <w:r w:rsidR="00D55672" w:rsidRPr="00FC6D7F">
        <w:rPr>
          <w:rFonts w:ascii="Times New Roman" w:hAnsi="Times New Roman"/>
          <w:noProof/>
          <w:sz w:val="24"/>
          <w:lang w:val="pl-PL"/>
        </w:rPr>
        <w:t>. Z</w:t>
      </w:r>
      <w:r w:rsidR="00D55672">
        <w:rPr>
          <w:rFonts w:ascii="Times New Roman" w:hAnsi="Times New Roman"/>
          <w:noProof/>
          <w:sz w:val="24"/>
          <w:lang w:val="pl-PL"/>
        </w:rPr>
        <w:t> </w:t>
      </w:r>
      <w:r w:rsidR="00D55672" w:rsidRPr="00FC6D7F">
        <w:rPr>
          <w:rFonts w:ascii="Times New Roman" w:hAnsi="Times New Roman"/>
          <w:noProof/>
          <w:sz w:val="24"/>
          <w:lang w:val="pl-PL"/>
        </w:rPr>
        <w:t>uwa</w:t>
      </w:r>
      <w:r w:rsidRPr="00FC6D7F">
        <w:rPr>
          <w:rFonts w:ascii="Times New Roman" w:hAnsi="Times New Roman"/>
          <w:noProof/>
          <w:sz w:val="24"/>
          <w:lang w:val="pl-PL"/>
        </w:rPr>
        <w:t>gi na popełnienie przez nią szeregu wykroczeń</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cha</w:t>
      </w:r>
      <w:r w:rsidRPr="00FC6D7F">
        <w:rPr>
          <w:rFonts w:ascii="Times New Roman" w:hAnsi="Times New Roman"/>
          <w:noProof/>
          <w:sz w:val="24"/>
          <w:lang w:val="pl-PL"/>
        </w:rPr>
        <w:t>rakterze administracyjnym właściwy organ austriacki cofnął jednak później udzieloną tej obywatelce gwarancję dotyczącą przyznania jej obywatelstwa austriackiego</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swo</w:t>
      </w:r>
      <w:r w:rsidRPr="00FC6D7F">
        <w:rPr>
          <w:rFonts w:ascii="Times New Roman" w:hAnsi="Times New Roman"/>
          <w:noProof/>
          <w:sz w:val="24"/>
          <w:lang w:val="pl-PL"/>
        </w:rPr>
        <w:t>im wyroku Trybunał potwierdził, że utrata statusu obywatela Unii –</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uwa</w:t>
      </w:r>
      <w:r w:rsidRPr="00FC6D7F">
        <w:rPr>
          <w:rFonts w:ascii="Times New Roman" w:hAnsi="Times New Roman"/>
          <w:noProof/>
          <w:sz w:val="24"/>
          <w:lang w:val="pl-PL"/>
        </w:rPr>
        <w:t>gi na charakter tego zdarzenia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wią</w:t>
      </w:r>
      <w:r w:rsidRPr="00FC6D7F">
        <w:rPr>
          <w:rFonts w:ascii="Times New Roman" w:hAnsi="Times New Roman"/>
          <w:noProof/>
          <w:sz w:val="24"/>
          <w:lang w:val="pl-PL"/>
        </w:rPr>
        <w:t>żące się</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nim</w:t>
      </w:r>
      <w:r w:rsidRPr="00FC6D7F">
        <w:rPr>
          <w:rFonts w:ascii="Times New Roman" w:hAnsi="Times New Roman"/>
          <w:noProof/>
          <w:sz w:val="24"/>
          <w:lang w:val="pl-PL"/>
        </w:rPr>
        <w:t xml:space="preserve"> konsekwencje – wchodzi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 prawa Unii także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ypadku cofnięcia gwarancji przyznania obywatelstwa innego państwa członkowskiego skutkującego brakiem możliwości odzyskania przez daną osobę statusu obywatela Unii. Chociaż zagwarantowane jest, że państwa członkowskie posiadają wyłączną kompetencję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przyjmowania przepisów regulujących kwestie związane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nab</w:t>
      </w:r>
      <w:r w:rsidRPr="00FC6D7F">
        <w:rPr>
          <w:rFonts w:ascii="Times New Roman" w:hAnsi="Times New Roman"/>
          <w:noProof/>
          <w:sz w:val="24"/>
          <w:lang w:val="pl-PL"/>
        </w:rPr>
        <w:t>ywaniem lub utratą obywatelstwa, organy państwa członkowskiego dokonującego naturalizacji muszą brać pod uwagę ustanowioną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wie Unii zasadę proporcjonalności przy podejmowaniu decyzji</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cof</w:t>
      </w:r>
      <w:r w:rsidRPr="00FC6D7F">
        <w:rPr>
          <w:rFonts w:ascii="Times New Roman" w:hAnsi="Times New Roman"/>
          <w:noProof/>
          <w:sz w:val="24"/>
          <w:lang w:val="pl-PL"/>
        </w:rPr>
        <w:t>nięciu udzielonej wcześniej gwarancji dotyczącej przyznania obywatelstwa przyjmującego państwa członkowskiego</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oma</w:t>
      </w:r>
      <w:r w:rsidRPr="00FC6D7F">
        <w:rPr>
          <w:rFonts w:ascii="Times New Roman" w:hAnsi="Times New Roman"/>
          <w:noProof/>
          <w:sz w:val="24"/>
          <w:lang w:val="pl-PL"/>
        </w:rPr>
        <w:t>wianej sprawie Trybunał</w:t>
      </w:r>
      <w:r>
        <w:rPr>
          <w:rFonts w:ascii="Times New Roman" w:eastAsiaTheme="minorEastAsia" w:hAnsi="Times New Roman"/>
          <w:noProof/>
          <w:sz w:val="24"/>
          <w:vertAlign w:val="superscript"/>
        </w:rPr>
        <w:footnoteReference w:id="44"/>
      </w:r>
      <w:r w:rsidRPr="00FC6D7F">
        <w:rPr>
          <w:rFonts w:ascii="Times New Roman" w:hAnsi="Times New Roman"/>
          <w:noProof/>
          <w:sz w:val="24"/>
          <w:lang w:val="pl-PL"/>
        </w:rPr>
        <w:t xml:space="preserve"> potwierdził, że zasady proporcjonalności nie można uznać za spełnioną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syt</w:t>
      </w:r>
      <w:r w:rsidRPr="00FC6D7F">
        <w:rPr>
          <w:rFonts w:ascii="Times New Roman" w:hAnsi="Times New Roman"/>
          <w:noProof/>
          <w:sz w:val="24"/>
          <w:lang w:val="pl-PL"/>
        </w:rPr>
        <w:t>uacji gdy decyzja</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cof</w:t>
      </w:r>
      <w:r w:rsidRPr="00FC6D7F">
        <w:rPr>
          <w:rFonts w:ascii="Times New Roman" w:hAnsi="Times New Roman"/>
          <w:noProof/>
          <w:sz w:val="24"/>
          <w:lang w:val="pl-PL"/>
        </w:rPr>
        <w:t>nięciu gwarancji została wydana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pow</w:t>
      </w:r>
      <w:r w:rsidRPr="00FC6D7F">
        <w:rPr>
          <w:rFonts w:ascii="Times New Roman" w:hAnsi="Times New Roman"/>
          <w:noProof/>
          <w:sz w:val="24"/>
          <w:lang w:val="pl-PL"/>
        </w:rPr>
        <w:t>odu dopuszczenia się wykroczeń administracyjnych określonych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kod</w:t>
      </w:r>
      <w:r w:rsidRPr="00FC6D7F">
        <w:rPr>
          <w:rFonts w:ascii="Times New Roman" w:hAnsi="Times New Roman"/>
          <w:noProof/>
          <w:sz w:val="24"/>
          <w:lang w:val="pl-PL"/>
        </w:rPr>
        <w:t>eksie ruchu drogowego, które zgodnie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obo</w:t>
      </w:r>
      <w:r w:rsidRPr="00FC6D7F">
        <w:rPr>
          <w:rFonts w:ascii="Times New Roman" w:hAnsi="Times New Roman"/>
          <w:noProof/>
          <w:sz w:val="24"/>
          <w:lang w:val="pl-PL"/>
        </w:rPr>
        <w:t>wiązującymi przepisami prawa krajowego są zagrożone jedynie karą grzywny</w:t>
      </w:r>
      <w:r>
        <w:rPr>
          <w:rFonts w:ascii="Times New Roman" w:eastAsiaTheme="minorEastAsia" w:hAnsi="Times New Roman"/>
          <w:noProof/>
          <w:sz w:val="24"/>
          <w:vertAlign w:val="superscript"/>
        </w:rPr>
        <w:footnoteReference w:id="45"/>
      </w:r>
      <w:r w:rsidRPr="00FC6D7F">
        <w:rPr>
          <w:rFonts w:ascii="Times New Roman" w:hAnsi="Times New Roman"/>
          <w:noProof/>
          <w:sz w:val="24"/>
          <w:lang w:val="pl-PL"/>
        </w:rPr>
        <w:t>.</w:t>
      </w:r>
    </w:p>
    <w:p w14:paraId="4A8C22A0" w14:textId="070B50C9"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W sprawie </w:t>
      </w:r>
      <w:r w:rsidRPr="00FC6D7F">
        <w:rPr>
          <w:rFonts w:ascii="Times New Roman" w:hAnsi="Times New Roman"/>
          <w:b/>
          <w:bCs/>
          <w:noProof/>
          <w:sz w:val="24"/>
          <w:lang w:val="pl-PL"/>
        </w:rPr>
        <w:t>EP/Préfet du Gers</w:t>
      </w:r>
      <w:r w:rsidR="00D55672" w:rsidRPr="00FC6D7F">
        <w:rPr>
          <w:rFonts w:ascii="Times New Roman" w:hAnsi="Times New Roman"/>
          <w:b/>
          <w:bCs/>
          <w:noProof/>
          <w:sz w:val="24"/>
          <w:lang w:val="pl-PL"/>
        </w:rPr>
        <w:t xml:space="preserve"> i</w:t>
      </w:r>
      <w:r w:rsidR="00D55672">
        <w:rPr>
          <w:rFonts w:ascii="Times New Roman" w:hAnsi="Times New Roman"/>
          <w:b/>
          <w:bCs/>
          <w:noProof/>
          <w:sz w:val="24"/>
          <w:lang w:val="pl-PL"/>
        </w:rPr>
        <w:t> </w:t>
      </w:r>
      <w:r w:rsidR="00D55672" w:rsidRPr="00FC6D7F">
        <w:rPr>
          <w:rFonts w:ascii="Times New Roman" w:hAnsi="Times New Roman"/>
          <w:b/>
          <w:bCs/>
          <w:noProof/>
          <w:sz w:val="24"/>
          <w:lang w:val="pl-PL"/>
        </w:rPr>
        <w:t>Ins</w:t>
      </w:r>
      <w:r w:rsidRPr="00FC6D7F">
        <w:rPr>
          <w:rFonts w:ascii="Times New Roman" w:hAnsi="Times New Roman"/>
          <w:b/>
          <w:bCs/>
          <w:noProof/>
          <w:sz w:val="24"/>
          <w:lang w:val="pl-PL"/>
        </w:rPr>
        <w:t>titut national de la statistique et des études économiques (INSEE)</w:t>
      </w:r>
      <w:r>
        <w:rPr>
          <w:rFonts w:ascii="Times New Roman" w:eastAsiaTheme="minorEastAsia" w:hAnsi="Times New Roman"/>
          <w:noProof/>
          <w:sz w:val="24"/>
          <w:vertAlign w:val="superscript"/>
        </w:rPr>
        <w:footnoteReference w:id="46"/>
      </w:r>
      <w:r w:rsidRPr="00FC6D7F">
        <w:rPr>
          <w:rFonts w:ascii="Times New Roman" w:hAnsi="Times New Roman"/>
          <w:noProof/>
          <w:sz w:val="24"/>
          <w:lang w:val="pl-PL"/>
        </w:rPr>
        <w:t xml:space="preserve"> Trybunał rozpatrzył zasadniczo kwestię, czy po wystąpieniu Zjednoczonego Królestwa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Uni</w:t>
      </w:r>
      <w:r w:rsidRPr="00FC6D7F">
        <w:rPr>
          <w:rFonts w:ascii="Times New Roman" w:hAnsi="Times New Roman"/>
          <w:noProof/>
          <w:sz w:val="24"/>
          <w:lang w:val="pl-PL"/>
        </w:rPr>
        <w:t>i obywatele tego państwa, którzy przed zakończeniem okresu przejściowego skorzystali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wa pobytu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stwie członkowskim, mają zagwarantowane prawo głosowania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kan</w:t>
      </w:r>
      <w:r w:rsidRPr="00FC6D7F">
        <w:rPr>
          <w:rFonts w:ascii="Times New Roman" w:hAnsi="Times New Roman"/>
          <w:noProof/>
          <w:sz w:val="24"/>
          <w:lang w:val="pl-PL"/>
        </w:rPr>
        <w:t>dydowania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wyb</w:t>
      </w:r>
      <w:r w:rsidRPr="00FC6D7F">
        <w:rPr>
          <w:rFonts w:ascii="Times New Roman" w:hAnsi="Times New Roman"/>
          <w:noProof/>
          <w:sz w:val="24"/>
          <w:lang w:val="pl-PL"/>
        </w:rPr>
        <w:t>orach lokalnych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stwie członkowskim miejsca zamieszkania, zwłaszcza gdy są pozbawieni prawa do głosowania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wyb</w:t>
      </w:r>
      <w:r w:rsidRPr="00FC6D7F">
        <w:rPr>
          <w:rFonts w:ascii="Times New Roman" w:hAnsi="Times New Roman"/>
          <w:noProof/>
          <w:sz w:val="24"/>
          <w:lang w:val="pl-PL"/>
        </w:rPr>
        <w:t>orach przeprowadzanych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stwie członkowskim obywatelstwa</w:t>
      </w:r>
      <w:r>
        <w:rPr>
          <w:rFonts w:ascii="Times New Roman" w:eastAsiaTheme="minorEastAsia" w:hAnsi="Times New Roman"/>
          <w:noProof/>
          <w:sz w:val="24"/>
          <w:vertAlign w:val="superscript"/>
        </w:rPr>
        <w:footnoteReference w:id="47"/>
      </w:r>
      <w:r w:rsidRPr="00FC6D7F">
        <w:rPr>
          <w:rFonts w:ascii="Times New Roman" w:hAnsi="Times New Roman"/>
          <w:noProof/>
          <w:sz w:val="24"/>
          <w:lang w:val="pl-PL"/>
        </w:rPr>
        <w:t>. Trybunał orzekł, że od chwili wystąpienia Zjednoczonego Królestwa Wielkiej Brytanii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Irl</w:t>
      </w:r>
      <w:r w:rsidRPr="00FC6D7F">
        <w:rPr>
          <w:rFonts w:ascii="Times New Roman" w:hAnsi="Times New Roman"/>
          <w:noProof/>
          <w:sz w:val="24"/>
          <w:lang w:val="pl-PL"/>
        </w:rPr>
        <w:t>andii Północnej</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Uni</w:t>
      </w:r>
      <w:r w:rsidRPr="00FC6D7F">
        <w:rPr>
          <w:rFonts w:ascii="Times New Roman" w:hAnsi="Times New Roman"/>
          <w:noProof/>
          <w:sz w:val="24"/>
          <w:lang w:val="pl-PL"/>
        </w:rPr>
        <w:t>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dni</w:t>
      </w:r>
      <w:r w:rsidRPr="00FC6D7F">
        <w:rPr>
          <w:rFonts w:ascii="Times New Roman" w:hAnsi="Times New Roman"/>
          <w:noProof/>
          <w:sz w:val="24"/>
          <w:lang w:val="pl-PL"/>
        </w:rPr>
        <w:t>u 1 lutego 20</w:t>
      </w:r>
      <w:r w:rsidRPr="00D55672">
        <w:rPr>
          <w:rFonts w:ascii="Times New Roman" w:hAnsi="Times New Roman"/>
          <w:noProof/>
          <w:sz w:val="24"/>
          <w:lang w:val="pl-PL"/>
        </w:rPr>
        <w:t>20</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obywatele tego państwa, którzy korzystali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wa pobytu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stwie członkowskim przed zakończeniem okresu przejściowego, nie mają już statusu obywateli Unii ani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szc</w:t>
      </w:r>
      <w:r w:rsidRPr="00FC6D7F">
        <w:rPr>
          <w:rFonts w:ascii="Times New Roman" w:hAnsi="Times New Roman"/>
          <w:noProof/>
          <w:sz w:val="24"/>
          <w:lang w:val="pl-PL"/>
        </w:rPr>
        <w:t xml:space="preserve">zególności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0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 </w:t>
      </w:r>
      <w:r w:rsidRPr="00D55672">
        <w:rPr>
          <w:rFonts w:ascii="Times New Roman" w:hAnsi="Times New Roman"/>
          <w:noProof/>
          <w:sz w:val="24"/>
          <w:lang w:val="pl-PL"/>
        </w:rPr>
        <w:t>lit.</w:t>
      </w:r>
      <w:r w:rsidR="00D55672" w:rsidRPr="00D55672">
        <w:rPr>
          <w:rFonts w:ascii="Times New Roman" w:hAnsi="Times New Roman"/>
          <w:noProof/>
          <w:sz w:val="24"/>
          <w:lang w:val="pl-PL"/>
        </w:rPr>
        <w:t> </w:t>
      </w:r>
      <w:r w:rsidRPr="00D55672">
        <w:rPr>
          <w:rFonts w:ascii="Times New Roman" w:hAnsi="Times New Roman"/>
          <w:noProof/>
          <w:sz w:val="24"/>
          <w:lang w:val="pl-PL"/>
        </w:rPr>
        <w:t>b)</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D55672">
        <w:rPr>
          <w:rFonts w:ascii="Times New Roman" w:hAnsi="Times New Roman"/>
          <w:noProof/>
          <w:sz w:val="24"/>
          <w:lang w:val="pl-PL"/>
        </w:rPr>
        <w:t>art</w:t>
      </w:r>
      <w:r w:rsidRPr="00D55672">
        <w:rPr>
          <w:rFonts w:ascii="Times New Roman" w:hAnsi="Times New Roman"/>
          <w:noProof/>
          <w:sz w:val="24"/>
          <w:lang w:val="pl-PL"/>
        </w:rPr>
        <w: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2 TFUE nie przysługuje im już prawo głosowania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kan</w:t>
      </w:r>
      <w:r w:rsidRPr="00FC6D7F">
        <w:rPr>
          <w:rFonts w:ascii="Times New Roman" w:hAnsi="Times New Roman"/>
          <w:noProof/>
          <w:sz w:val="24"/>
          <w:lang w:val="pl-PL"/>
        </w:rPr>
        <w:t>dydowania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wyb</w:t>
      </w:r>
      <w:r w:rsidRPr="00FC6D7F">
        <w:rPr>
          <w:rFonts w:ascii="Times New Roman" w:hAnsi="Times New Roman"/>
          <w:noProof/>
          <w:sz w:val="24"/>
          <w:lang w:val="pl-PL"/>
        </w:rPr>
        <w:t>orach lokalnych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stwie członkowskim ich miejsca zamieszkania, także wtedy, gdy zgodnie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wem państwa, którego są obywatelami, są również pozbawieni prawa głosowania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wyb</w:t>
      </w:r>
      <w:r w:rsidRPr="00FC6D7F">
        <w:rPr>
          <w:rFonts w:ascii="Times New Roman" w:hAnsi="Times New Roman"/>
          <w:noProof/>
          <w:sz w:val="24"/>
          <w:lang w:val="pl-PL"/>
        </w:rPr>
        <w:t>orach przeprowadzanych przez to ostatnie państwo.</w:t>
      </w:r>
    </w:p>
    <w:p w14:paraId="7D19280B" w14:textId="4688E24F"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W postanowieniu </w:t>
      </w:r>
      <w:r w:rsidRPr="00FC6D7F">
        <w:rPr>
          <w:rFonts w:ascii="Times New Roman" w:hAnsi="Times New Roman"/>
          <w:b/>
          <w:bCs/>
          <w:noProof/>
          <w:sz w:val="24"/>
          <w:lang w:val="pl-PL"/>
        </w:rPr>
        <w:t>WY/Steiermärkische Landesregierung</w:t>
      </w:r>
      <w:r>
        <w:rPr>
          <w:rFonts w:ascii="Times New Roman" w:eastAsiaTheme="minorEastAsia" w:hAnsi="Times New Roman"/>
          <w:noProof/>
          <w:sz w:val="24"/>
          <w:vertAlign w:val="superscript"/>
        </w:rPr>
        <w:footnoteReference w:id="48"/>
      </w:r>
      <w:r w:rsidRPr="00FC6D7F">
        <w:rPr>
          <w:rFonts w:ascii="Times New Roman" w:hAnsi="Times New Roman"/>
          <w:noProof/>
          <w:sz w:val="24"/>
          <w:lang w:val="pl-PL"/>
        </w:rPr>
        <w:t xml:space="preserve"> TSUE rozpatrzył inną sprawę dotyczącą utraty obywatelstwa. Sprawa dotyczyła WY, który uzyskał obywatelstwo austriackie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1</w:t>
      </w:r>
      <w:r w:rsidRPr="00FC6D7F">
        <w:rPr>
          <w:rFonts w:ascii="Times New Roman" w:hAnsi="Times New Roman"/>
          <w:noProof/>
          <w:sz w:val="24"/>
          <w:lang w:val="pl-PL"/>
        </w:rPr>
        <w:t>9</w:t>
      </w:r>
      <w:r w:rsidRPr="00D55672">
        <w:rPr>
          <w:rFonts w:ascii="Times New Roman" w:hAnsi="Times New Roman"/>
          <w:noProof/>
          <w:sz w:val="24"/>
          <w:lang w:val="pl-PL"/>
        </w:rPr>
        <w:t>92</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po tym, jak zrzekł się obywatelstwa tureckiego. W 20</w:t>
      </w:r>
      <w:r w:rsidRPr="00D55672">
        <w:rPr>
          <w:rFonts w:ascii="Times New Roman" w:hAnsi="Times New Roman"/>
          <w:noProof/>
          <w:sz w:val="24"/>
          <w:lang w:val="pl-PL"/>
        </w:rPr>
        <w:t>18</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sąd austriacki potwierdził, że WY automatycznie utracił obywatelstwo austriackie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1</w:t>
      </w:r>
      <w:r w:rsidRPr="00FC6D7F">
        <w:rPr>
          <w:rFonts w:ascii="Times New Roman" w:hAnsi="Times New Roman"/>
          <w:noProof/>
          <w:sz w:val="24"/>
          <w:lang w:val="pl-PL"/>
        </w:rPr>
        <w:t>9</w:t>
      </w:r>
      <w:r w:rsidRPr="00D55672">
        <w:rPr>
          <w:rFonts w:ascii="Times New Roman" w:hAnsi="Times New Roman"/>
          <w:noProof/>
          <w:sz w:val="24"/>
          <w:lang w:val="pl-PL"/>
        </w:rPr>
        <w:t>94</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po ponownym nabyciu obywatelstwa tureckiego. Oznacza to, że WY przestał być obywatelem austriackim przed przystąpieniem Austrii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dni</w:t>
      </w:r>
      <w:r w:rsidRPr="00FC6D7F">
        <w:rPr>
          <w:rFonts w:ascii="Times New Roman" w:hAnsi="Times New Roman"/>
          <w:noProof/>
          <w:sz w:val="24"/>
          <w:lang w:val="pl-PL"/>
        </w:rPr>
        <w:t>u 1 stycznia 19</w:t>
      </w:r>
      <w:r w:rsidRPr="00D55672">
        <w:rPr>
          <w:rFonts w:ascii="Times New Roman" w:hAnsi="Times New Roman"/>
          <w:noProof/>
          <w:sz w:val="24"/>
          <w:lang w:val="pl-PL"/>
        </w:rPr>
        <w:t>95</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Trybunał potwierdził, że WY nie był już obywatelem austriackim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chw</w:t>
      </w:r>
      <w:r w:rsidRPr="00FC6D7F">
        <w:rPr>
          <w:rFonts w:ascii="Times New Roman" w:hAnsi="Times New Roman"/>
          <w:noProof/>
          <w:sz w:val="24"/>
          <w:lang w:val="pl-PL"/>
        </w:rPr>
        <w:t>ili wejścia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Aus</w:t>
      </w:r>
      <w:r w:rsidRPr="00FC6D7F">
        <w:rPr>
          <w:rFonts w:ascii="Times New Roman" w:hAnsi="Times New Roman"/>
          <w:noProof/>
          <w:sz w:val="24"/>
          <w:lang w:val="pl-PL"/>
        </w:rPr>
        <w:t>trii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życ</w:t>
      </w:r>
      <w:r w:rsidRPr="00FC6D7F">
        <w:rPr>
          <w:rFonts w:ascii="Times New Roman" w:hAnsi="Times New Roman"/>
          <w:noProof/>
          <w:sz w:val="24"/>
          <w:lang w:val="pl-PL"/>
        </w:rPr>
        <w:t>ie przepisów dotyczących obywatelstwa Unii,</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zat</w:t>
      </w:r>
      <w:r w:rsidRPr="00FC6D7F">
        <w:rPr>
          <w:rFonts w:ascii="Times New Roman" w:hAnsi="Times New Roman"/>
          <w:noProof/>
          <w:sz w:val="24"/>
          <w:lang w:val="pl-PL"/>
        </w:rPr>
        <w:t>em nigdy nie uzyskał obywatelstwa Unii</w:t>
      </w:r>
      <w:r>
        <w:rPr>
          <w:rFonts w:ascii="Times New Roman" w:eastAsiaTheme="minorEastAsia" w:hAnsi="Times New Roman"/>
          <w:noProof/>
          <w:sz w:val="24"/>
          <w:vertAlign w:val="superscript"/>
        </w:rPr>
        <w:footnoteReference w:id="49"/>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tyc</w:t>
      </w:r>
      <w:r w:rsidRPr="00FC6D7F">
        <w:rPr>
          <w:rFonts w:ascii="Times New Roman" w:hAnsi="Times New Roman"/>
          <w:noProof/>
          <w:sz w:val="24"/>
          <w:lang w:val="pl-PL"/>
        </w:rPr>
        <w:t>h okolicznościach szczególna sytuacja WY nie wchodzi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 xml:space="preserve">res stosowania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0 TFUE ani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1 TFUE</w:t>
      </w:r>
      <w:r>
        <w:rPr>
          <w:rFonts w:ascii="Times New Roman" w:eastAsiaTheme="minorEastAsia" w:hAnsi="Times New Roman"/>
          <w:noProof/>
          <w:sz w:val="24"/>
          <w:vertAlign w:val="superscript"/>
        </w:rPr>
        <w:footnoteReference w:id="50"/>
      </w:r>
      <w:r w:rsidRPr="00FC6D7F">
        <w:rPr>
          <w:rFonts w:ascii="Times New Roman" w:hAnsi="Times New Roman"/>
          <w:noProof/>
          <w:sz w:val="24"/>
          <w:lang w:val="pl-PL"/>
        </w:rPr>
        <w:t>.</w:t>
      </w:r>
    </w:p>
    <w:p w14:paraId="4922189E" w14:textId="58F8C988" w:rsidR="003667F7" w:rsidRPr="00FC6D7F" w:rsidRDefault="003667F7" w:rsidP="003667F7">
      <w:pPr>
        <w:spacing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Ponadto sprawa </w:t>
      </w:r>
      <w:r w:rsidRPr="00FC6D7F">
        <w:rPr>
          <w:rFonts w:ascii="Times New Roman" w:hAnsi="Times New Roman"/>
          <w:b/>
          <w:bCs/>
          <w:noProof/>
          <w:sz w:val="24"/>
          <w:lang w:val="pl-PL"/>
        </w:rPr>
        <w:t>Minority SafePack/Komisja Europejska</w:t>
      </w:r>
      <w:r>
        <w:rPr>
          <w:rStyle w:val="FootnoteReference"/>
          <w:rFonts w:ascii="Times New Roman" w:eastAsiaTheme="minorEastAsia" w:hAnsi="Times New Roman"/>
          <w:noProof/>
          <w:sz w:val="24"/>
        </w:rPr>
        <w:footnoteReference w:id="51"/>
      </w:r>
      <w:r w:rsidRPr="00FC6D7F">
        <w:rPr>
          <w:rFonts w:ascii="Times New Roman" w:hAnsi="Times New Roman"/>
          <w:noProof/>
          <w:sz w:val="24"/>
          <w:lang w:val="pl-PL"/>
        </w:rPr>
        <w:t xml:space="preserve"> dotyczyła europejskiej inicjatywy obywatelskiej </w:t>
      </w:r>
      <w:r w:rsidRPr="00FC6D7F">
        <w:rPr>
          <w:rFonts w:ascii="Times New Roman" w:hAnsi="Times New Roman"/>
          <w:i/>
          <w:noProof/>
          <w:sz w:val="24"/>
          <w:lang w:val="pl-PL"/>
        </w:rPr>
        <w:t>(zob. dalsze informacje</w:t>
      </w:r>
      <w:r w:rsidR="00D55672" w:rsidRPr="00FC6D7F">
        <w:rPr>
          <w:rFonts w:ascii="Times New Roman" w:hAnsi="Times New Roman"/>
          <w:i/>
          <w:noProof/>
          <w:sz w:val="24"/>
          <w:lang w:val="pl-PL"/>
        </w:rPr>
        <w:t xml:space="preserve"> w</w:t>
      </w:r>
      <w:r w:rsidR="00D55672">
        <w:rPr>
          <w:rFonts w:ascii="Times New Roman" w:hAnsi="Times New Roman"/>
          <w:i/>
          <w:noProof/>
          <w:sz w:val="24"/>
          <w:lang w:val="pl-PL"/>
        </w:rPr>
        <w:t> </w:t>
      </w:r>
      <w:r w:rsidR="00D55672" w:rsidRPr="00FC6D7F">
        <w:rPr>
          <w:rFonts w:ascii="Times New Roman" w:hAnsi="Times New Roman"/>
          <w:i/>
          <w:noProof/>
          <w:sz w:val="24"/>
          <w:lang w:val="pl-PL"/>
        </w:rPr>
        <w:t>sek</w:t>
      </w:r>
      <w:r w:rsidRPr="00FC6D7F">
        <w:rPr>
          <w:rFonts w:ascii="Times New Roman" w:hAnsi="Times New Roman"/>
          <w:i/>
          <w:noProof/>
          <w:sz w:val="24"/>
          <w:lang w:val="pl-PL"/>
        </w:rPr>
        <w:t>cji 6)</w:t>
      </w:r>
      <w:r w:rsidRPr="00FC6D7F">
        <w:rPr>
          <w:rFonts w:ascii="Times New Roman" w:hAnsi="Times New Roman"/>
          <w:noProof/>
          <w:sz w:val="24"/>
          <w:lang w:val="pl-PL"/>
        </w:rPr>
        <w:t xml:space="preserve"> mającej na celu m.in. uzyskanie rozszerzenia praw obywatelskich na bezpaństwowców</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ich</w:t>
      </w:r>
      <w:r w:rsidRPr="00FC6D7F">
        <w:rPr>
          <w:rFonts w:ascii="Times New Roman" w:hAnsi="Times New Roman"/>
          <w:noProof/>
          <w:sz w:val="24"/>
          <w:lang w:val="pl-PL"/>
        </w:rPr>
        <w:t xml:space="preserve"> rodziny, którzy mieszkają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swo</w:t>
      </w:r>
      <w:r w:rsidRPr="00FC6D7F">
        <w:rPr>
          <w:rFonts w:ascii="Times New Roman" w:hAnsi="Times New Roman"/>
          <w:noProof/>
          <w:sz w:val="24"/>
          <w:lang w:val="pl-PL"/>
        </w:rPr>
        <w:t>im państwie pochodzenia przez całe życie. Trybunał uznał, że posiadanie obywatelstwa państwa członkowskiego jest niezbędnym warunkiem, aby dana osoba mogła nabyć</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zac</w:t>
      </w:r>
      <w:r w:rsidRPr="00FC6D7F">
        <w:rPr>
          <w:rFonts w:ascii="Times New Roman" w:hAnsi="Times New Roman"/>
          <w:noProof/>
          <w:sz w:val="24"/>
          <w:lang w:val="pl-PL"/>
        </w:rPr>
        <w:t>hować status obywatela Unii oraz</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peł</w:t>
      </w:r>
      <w:r w:rsidRPr="00FC6D7F">
        <w:rPr>
          <w:rFonts w:ascii="Times New Roman" w:hAnsi="Times New Roman"/>
          <w:noProof/>
          <w:sz w:val="24"/>
          <w:lang w:val="pl-PL"/>
        </w:rPr>
        <w:t>ni korzystać ze związanych</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nim</w:t>
      </w:r>
      <w:r w:rsidRPr="00FC6D7F">
        <w:rPr>
          <w:rFonts w:ascii="Times New Roman" w:hAnsi="Times New Roman"/>
          <w:noProof/>
          <w:sz w:val="24"/>
          <w:lang w:val="pl-PL"/>
        </w:rPr>
        <w:t xml:space="preserve"> praw</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zgodnie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wyr</w:t>
      </w:r>
      <w:r w:rsidRPr="00FC6D7F">
        <w:rPr>
          <w:rFonts w:ascii="Times New Roman" w:hAnsi="Times New Roman"/>
          <w:noProof/>
          <w:sz w:val="24"/>
          <w:lang w:val="pl-PL"/>
        </w:rPr>
        <w:t>okiem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Préfet du Gers</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Ins</w:t>
      </w:r>
      <w:r w:rsidRPr="00FC6D7F">
        <w:rPr>
          <w:rFonts w:ascii="Times New Roman" w:hAnsi="Times New Roman"/>
          <w:noProof/>
          <w:sz w:val="24"/>
          <w:lang w:val="pl-PL"/>
        </w:rPr>
        <w:t>titut national de la statistique et des études économiques (zob. sekcja 4) prawa związane ze statusem obywatela Unii nie mogą zostać rozszerzone na osoby, które nie posiadają obywatelstwa państwa członkowskiego.</w:t>
      </w:r>
    </w:p>
    <w:p w14:paraId="3C175185" w14:textId="5D7C7A8F" w:rsidR="003667F7" w:rsidRPr="00FC6D7F" w:rsidRDefault="003667F7" w:rsidP="003667F7">
      <w:pPr>
        <w:pStyle w:val="Heading1"/>
        <w:rPr>
          <w:noProof/>
          <w:lang w:val="pl-PL"/>
        </w:rPr>
      </w:pPr>
      <w:r w:rsidRPr="00FC6D7F">
        <w:rPr>
          <w:noProof/>
          <w:lang w:val="pl-PL"/>
        </w:rPr>
        <w:t>Prawo do swobodnego przemieszczania się</w:t>
      </w:r>
      <w:r w:rsidR="00D55672" w:rsidRPr="00FC6D7F">
        <w:rPr>
          <w:noProof/>
          <w:lang w:val="pl-PL"/>
        </w:rPr>
        <w:t xml:space="preserve"> i</w:t>
      </w:r>
      <w:r w:rsidR="00D55672">
        <w:rPr>
          <w:noProof/>
          <w:lang w:val="pl-PL"/>
        </w:rPr>
        <w:t> </w:t>
      </w:r>
      <w:r w:rsidR="00D55672" w:rsidRPr="00FC6D7F">
        <w:rPr>
          <w:noProof/>
          <w:lang w:val="pl-PL"/>
        </w:rPr>
        <w:t>prz</w:t>
      </w:r>
      <w:r w:rsidRPr="00FC6D7F">
        <w:rPr>
          <w:noProof/>
          <w:lang w:val="pl-PL"/>
        </w:rPr>
        <w:t>ebywania na terytorium państw członkowskich (</w:t>
      </w:r>
      <w:r w:rsidRPr="00D55672">
        <w:rPr>
          <w:noProof/>
          <w:lang w:val="pl-PL"/>
        </w:rPr>
        <w:t>art.</w:t>
      </w:r>
      <w:r w:rsidR="00D55672" w:rsidRPr="00D55672">
        <w:rPr>
          <w:noProof/>
          <w:lang w:val="pl-PL"/>
        </w:rPr>
        <w:t> </w:t>
      </w:r>
      <w:r w:rsidRPr="00D55672">
        <w:rPr>
          <w:noProof/>
          <w:lang w:val="pl-PL"/>
        </w:rPr>
        <w:t>2</w:t>
      </w:r>
      <w:r w:rsidRPr="00FC6D7F">
        <w:rPr>
          <w:noProof/>
          <w:lang w:val="pl-PL"/>
        </w:rPr>
        <w:t xml:space="preserve">0 </w:t>
      </w:r>
      <w:r w:rsidRPr="00D55672">
        <w:rPr>
          <w:noProof/>
          <w:lang w:val="pl-PL"/>
        </w:rPr>
        <w:t>ust.</w:t>
      </w:r>
      <w:r w:rsidR="00D55672" w:rsidRPr="00D55672">
        <w:rPr>
          <w:noProof/>
          <w:lang w:val="pl-PL"/>
        </w:rPr>
        <w:t> </w:t>
      </w:r>
      <w:r w:rsidRPr="00D55672">
        <w:rPr>
          <w:noProof/>
          <w:lang w:val="pl-PL"/>
        </w:rPr>
        <w:t>2</w:t>
      </w:r>
      <w:r w:rsidRPr="00FC6D7F">
        <w:rPr>
          <w:noProof/>
          <w:lang w:val="pl-PL"/>
        </w:rPr>
        <w:t xml:space="preserve"> oraz </w:t>
      </w:r>
      <w:r w:rsidRPr="00D55672">
        <w:rPr>
          <w:noProof/>
          <w:lang w:val="pl-PL"/>
        </w:rPr>
        <w:t>art.</w:t>
      </w:r>
      <w:r w:rsidR="00D55672" w:rsidRPr="00D55672">
        <w:rPr>
          <w:noProof/>
          <w:lang w:val="pl-PL"/>
        </w:rPr>
        <w:t> </w:t>
      </w:r>
      <w:r w:rsidRPr="00D55672">
        <w:rPr>
          <w:noProof/>
          <w:lang w:val="pl-PL"/>
        </w:rPr>
        <w:t>2</w:t>
      </w:r>
      <w:r w:rsidRPr="00FC6D7F">
        <w:rPr>
          <w:noProof/>
          <w:lang w:val="pl-PL"/>
        </w:rPr>
        <w:t>1 TFUE)</w:t>
      </w:r>
    </w:p>
    <w:p w14:paraId="659F3946" w14:textId="13E2A3C0"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Trybunał wydał wiele wyroków dotyczących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1 TFUE (w tym jego wdrażania poprzez dyrektywę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w:t>
      </w:r>
      <w:r>
        <w:rPr>
          <w:rStyle w:val="FootnoteReference"/>
          <w:rFonts w:ascii="Times New Roman" w:eastAsiaTheme="minorEastAsia" w:hAnsi="Times New Roman"/>
          <w:noProof/>
          <w:sz w:val="24"/>
        </w:rPr>
        <w:footnoteReference w:id="52"/>
      </w:r>
      <w:r w:rsidRPr="00FC6D7F">
        <w:rPr>
          <w:rFonts w:ascii="Times New Roman" w:hAnsi="Times New Roman"/>
          <w:noProof/>
          <w:sz w:val="24"/>
          <w:lang w:val="pl-PL"/>
        </w:rPr>
        <w:t>. Sprawy dotyczyły na przykład (pochodnych) praw pobytu, prawa wjazdu</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pob</w:t>
      </w:r>
      <w:r w:rsidRPr="00FC6D7F">
        <w:rPr>
          <w:rFonts w:ascii="Times New Roman" w:hAnsi="Times New Roman"/>
          <w:noProof/>
          <w:sz w:val="24"/>
          <w:lang w:val="pl-PL"/>
        </w:rPr>
        <w:t xml:space="preserve">ytu „innych członków rodziny” lub dostępu do świadczeń lub pomocy społecznej dla przemieszczających się obywateli UE. </w:t>
      </w:r>
    </w:p>
    <w:p w14:paraId="28652A18" w14:textId="59A3C303"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Trybunał wydał również wiele wyroków</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pochodnych praw pobytu dla obywateli państwa trzeciego będących członkami rodzin obywateli Unii zgodnie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lin</w:t>
      </w:r>
      <w:r w:rsidRPr="00FC6D7F">
        <w:rPr>
          <w:rFonts w:ascii="Times New Roman" w:hAnsi="Times New Roman"/>
          <w:noProof/>
          <w:sz w:val="24"/>
          <w:lang w:val="pl-PL"/>
        </w:rPr>
        <w:t>ią orzecznictwa Trybunału zapoczątkowaną wyrokiem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 xml:space="preserve">awie Ruiz Zambrano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 TFUE.</w:t>
      </w:r>
    </w:p>
    <w:p w14:paraId="4C0C9144" w14:textId="77777777" w:rsidR="003667F7" w:rsidRPr="00FC6D7F" w:rsidRDefault="003667F7" w:rsidP="003667F7">
      <w:pPr>
        <w:pStyle w:val="Heading2"/>
        <w:rPr>
          <w:noProof/>
          <w:lang w:val="pl-PL"/>
        </w:rPr>
      </w:pPr>
      <w:r w:rsidRPr="00FC6D7F">
        <w:rPr>
          <w:noProof/>
          <w:lang w:val="pl-PL"/>
        </w:rPr>
        <w:t>Prawa do swobodnego przemieszczania się i (pochodne) prawa pobytu</w:t>
      </w:r>
    </w:p>
    <w:p w14:paraId="192DC089" w14:textId="5A1EC14B"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Sprawa </w:t>
      </w:r>
      <w:r w:rsidRPr="00FC6D7F">
        <w:rPr>
          <w:rFonts w:ascii="Times New Roman" w:hAnsi="Times New Roman"/>
          <w:b/>
          <w:bCs/>
          <w:noProof/>
          <w:sz w:val="24"/>
          <w:lang w:val="pl-PL"/>
        </w:rPr>
        <w:t>G.M.A.</w:t>
      </w:r>
      <w:r w:rsidRPr="00FC6D7F">
        <w:rPr>
          <w:rFonts w:ascii="Times New Roman" w:hAnsi="Times New Roman"/>
          <w:noProof/>
          <w:sz w:val="24"/>
          <w:lang w:val="pl-PL"/>
        </w:rPr>
        <w:t xml:space="preserve"> </w:t>
      </w:r>
      <w:r w:rsidRPr="00FC6D7F">
        <w:rPr>
          <w:rFonts w:ascii="Times New Roman" w:hAnsi="Times New Roman"/>
          <w:b/>
          <w:bCs/>
          <w:noProof/>
          <w:sz w:val="24"/>
          <w:lang w:val="pl-PL"/>
        </w:rPr>
        <w:t>(Demandeur d'emploi)</w:t>
      </w:r>
      <w:r>
        <w:rPr>
          <w:rFonts w:ascii="Times New Roman" w:eastAsiaTheme="minorEastAsia" w:hAnsi="Times New Roman"/>
          <w:noProof/>
          <w:sz w:val="24"/>
          <w:vertAlign w:val="superscript"/>
        </w:rPr>
        <w:footnoteReference w:id="53"/>
      </w:r>
      <w:r w:rsidRPr="00FC6D7F">
        <w:rPr>
          <w:rFonts w:ascii="Times New Roman" w:hAnsi="Times New Roman"/>
          <w:noProof/>
          <w:sz w:val="24"/>
          <w:lang w:val="pl-PL"/>
        </w:rPr>
        <w:t xml:space="preserve"> dotyczyła prawa pobytu osób poszukujących pracy</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myś</w:t>
      </w:r>
      <w:r w:rsidRPr="00FC6D7F">
        <w:rPr>
          <w:rFonts w:ascii="Times New Roman" w:hAnsi="Times New Roman"/>
          <w:noProof/>
          <w:sz w:val="24"/>
          <w:lang w:val="pl-PL"/>
        </w:rPr>
        <w:t xml:space="preserve">l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4</w:t>
      </w:r>
      <w:r w:rsidRPr="00FC6D7F">
        <w:rPr>
          <w:rFonts w:ascii="Times New Roman" w:hAnsi="Times New Roman"/>
          <w:noProof/>
          <w:sz w:val="24"/>
          <w:lang w:val="pl-PL"/>
        </w:rPr>
        <w:t>5 TFUE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D55672">
        <w:rPr>
          <w:rFonts w:ascii="Times New Roman" w:hAnsi="Times New Roman"/>
          <w:noProof/>
          <w:sz w:val="24"/>
          <w:lang w:val="pl-PL"/>
        </w:rPr>
        <w:t>art</w:t>
      </w:r>
      <w:r w:rsidRPr="00D55672">
        <w:rPr>
          <w:rFonts w:ascii="Times New Roman" w:hAnsi="Times New Roman"/>
          <w:noProof/>
          <w:sz w:val="24"/>
          <w:lang w:val="pl-PL"/>
        </w:rPr>
        <w: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4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4</w:t>
      </w:r>
      <w:r w:rsidRPr="00FC6D7F">
        <w:rPr>
          <w:rFonts w:ascii="Times New Roman" w:hAnsi="Times New Roman"/>
          <w:noProof/>
          <w:sz w:val="24"/>
          <w:lang w:val="pl-PL"/>
        </w:rPr>
        <w:t xml:space="preserve"> </w:t>
      </w:r>
      <w:r w:rsidRPr="00D55672">
        <w:rPr>
          <w:rFonts w:ascii="Times New Roman" w:hAnsi="Times New Roman"/>
          <w:noProof/>
          <w:sz w:val="24"/>
          <w:lang w:val="pl-PL"/>
        </w:rPr>
        <w:t>lit.</w:t>
      </w:r>
      <w:r w:rsidR="00D55672" w:rsidRPr="00D55672">
        <w:rPr>
          <w:rFonts w:ascii="Times New Roman" w:hAnsi="Times New Roman"/>
          <w:noProof/>
          <w:sz w:val="24"/>
          <w:lang w:val="pl-PL"/>
        </w:rPr>
        <w:t> </w:t>
      </w:r>
      <w:r w:rsidRPr="00D55672">
        <w:rPr>
          <w:rFonts w:ascii="Times New Roman" w:hAnsi="Times New Roman"/>
          <w:noProof/>
          <w:sz w:val="24"/>
          <w:lang w:val="pl-PL"/>
        </w:rPr>
        <w:t>b)</w:t>
      </w:r>
      <w:r w:rsidRPr="00FC6D7F">
        <w:rPr>
          <w:rFonts w:ascii="Times New Roman" w:hAnsi="Times New Roman"/>
          <w:noProof/>
          <w:sz w:val="24"/>
          <w:lang w:val="pl-PL"/>
        </w:rPr>
        <w:t xml:space="preserve">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 przyjmujące państwo członkowskie ma obowiązek wyznaczyć obywatelowi Unii „rozsądny termin” na poszukiwanie pracy, który – jeśli obywatel Unii zdecyduje się zarejestrować jako osoba poszukująca pracy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yjmującym państwie członkowskim – rozpoczyna biec od momentu rejestracji</w:t>
      </w:r>
      <w:r>
        <w:rPr>
          <w:rFonts w:ascii="Times New Roman" w:eastAsiaTheme="minorEastAsia" w:hAnsi="Times New Roman"/>
          <w:noProof/>
          <w:sz w:val="24"/>
          <w:vertAlign w:val="superscript"/>
        </w:rPr>
        <w:footnoteReference w:id="54"/>
      </w:r>
      <w:r w:rsidRPr="00FC6D7F">
        <w:rPr>
          <w:rFonts w:ascii="Times New Roman" w:hAnsi="Times New Roman"/>
          <w:noProof/>
          <w:sz w:val="24"/>
          <w:lang w:val="pl-PL"/>
        </w:rPr>
        <w:t>. Ten rozsądny termin powinien „umożliwić mu zapoznanie się</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ofe</w:t>
      </w:r>
      <w:r w:rsidRPr="00FC6D7F">
        <w:rPr>
          <w:rFonts w:ascii="Times New Roman" w:hAnsi="Times New Roman"/>
          <w:noProof/>
          <w:sz w:val="24"/>
          <w:lang w:val="pl-PL"/>
        </w:rPr>
        <w:t>rtami pracy, które mogą mu odpowiadać,</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edsięwzięcie środków niezbędnych do uzyskania zatrudnienia”</w:t>
      </w:r>
      <w:r>
        <w:rPr>
          <w:rFonts w:ascii="Times New Roman" w:eastAsiaTheme="minorEastAsia" w:hAnsi="Times New Roman"/>
          <w:noProof/>
          <w:sz w:val="24"/>
          <w:vertAlign w:val="superscript"/>
        </w:rPr>
        <w:footnoteReference w:id="55"/>
      </w:r>
      <w:r w:rsidRPr="00FC6D7F">
        <w:rPr>
          <w:rFonts w:ascii="Times New Roman" w:hAnsi="Times New Roman"/>
          <w:noProof/>
          <w:sz w:val="24"/>
          <w:lang w:val="pl-PL"/>
        </w:rPr>
        <w:t>. „Podczas tego okresu przyjmujące państwo członkowskie może wymagać od osoby poszukującej pracy, aby dostarczyła dowód na to, że poszukuje zatrudnienia”</w:t>
      </w:r>
      <w:r>
        <w:rPr>
          <w:rFonts w:ascii="Times New Roman" w:eastAsiaTheme="minorEastAsia" w:hAnsi="Times New Roman"/>
          <w:noProof/>
          <w:sz w:val="24"/>
          <w:vertAlign w:val="superscript"/>
        </w:rPr>
        <w:footnoteReference w:id="56"/>
      </w:r>
      <w:r w:rsidRPr="00FC6D7F">
        <w:rPr>
          <w:rFonts w:ascii="Times New Roman" w:hAnsi="Times New Roman"/>
          <w:noProof/>
          <w:sz w:val="24"/>
          <w:lang w:val="pl-PL"/>
        </w:rPr>
        <w:t>. Okres sześciu miesięcy począwszy od daty rejestracji „nie wydaje się co do zasady niewystarczający”</w:t>
      </w:r>
      <w:r>
        <w:rPr>
          <w:rFonts w:ascii="Times New Roman" w:eastAsiaTheme="minorEastAsia" w:hAnsi="Times New Roman"/>
          <w:noProof/>
          <w:sz w:val="24"/>
          <w:vertAlign w:val="superscript"/>
        </w:rPr>
        <w:footnoteReference w:id="57"/>
      </w:r>
      <w:r w:rsidRPr="00FC6D7F">
        <w:rPr>
          <w:rFonts w:ascii="Times New Roman" w:hAnsi="Times New Roman"/>
          <w:noProof/>
          <w:sz w:val="24"/>
          <w:lang w:val="pl-PL"/>
        </w:rPr>
        <w:t>. „Dopiero po upływie tego rozsądnego terminu osoba poszukująca pracy jest zobowiązana dostarczyć dowód nie tylko na to, że kontynuuje poszukiwanie pracy, lecz także że ma rzeczywiste szanse na zatrudnienie”. Jeżeli obywatel Unii wjeżdża do przyjmującego państwa członkowskiego</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zam</w:t>
      </w:r>
      <w:r w:rsidRPr="00FC6D7F">
        <w:rPr>
          <w:rFonts w:ascii="Times New Roman" w:hAnsi="Times New Roman"/>
          <w:noProof/>
          <w:sz w:val="24"/>
          <w:lang w:val="pl-PL"/>
        </w:rPr>
        <w:t xml:space="preserve">iarem poszukiwania tam pracy, jego prawo pobytu przez pierwsze 3 miesiące jest również objęte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6</w:t>
      </w:r>
      <w:r w:rsidRPr="00FC6D7F">
        <w:rPr>
          <w:rFonts w:ascii="Times New Roman" w:hAnsi="Times New Roman"/>
          <w:noProof/>
          <w:sz w:val="24"/>
          <w:lang w:val="pl-PL"/>
        </w:rPr>
        <w:t xml:space="preserve">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tym w</w:t>
      </w:r>
      <w:r w:rsidR="00D55672">
        <w:rPr>
          <w:rFonts w:ascii="Times New Roman" w:hAnsi="Times New Roman"/>
          <w:noProof/>
          <w:sz w:val="24"/>
          <w:lang w:val="pl-PL"/>
        </w:rPr>
        <w:t> </w:t>
      </w:r>
      <w:r w:rsidR="00D55672" w:rsidRPr="00FC6D7F">
        <w:rPr>
          <w:rFonts w:ascii="Times New Roman" w:hAnsi="Times New Roman"/>
          <w:noProof/>
          <w:sz w:val="24"/>
          <w:lang w:val="pl-PL"/>
        </w:rPr>
        <w:t>cią</w:t>
      </w:r>
      <w:r w:rsidRPr="00FC6D7F">
        <w:rPr>
          <w:rFonts w:ascii="Times New Roman" w:hAnsi="Times New Roman"/>
          <w:noProof/>
          <w:sz w:val="24"/>
          <w:lang w:val="pl-PL"/>
        </w:rPr>
        <w:t>gu tego trzymiesięcznego okresu nie można narzucić temu obywatelowi żadnych warunków poza wymogiem posiadania ważnego dokumentu tożsamości</w:t>
      </w:r>
      <w:r>
        <w:rPr>
          <w:rFonts w:ascii="Times New Roman" w:eastAsiaTheme="minorEastAsia" w:hAnsi="Times New Roman"/>
          <w:noProof/>
          <w:sz w:val="24"/>
          <w:vertAlign w:val="superscript"/>
        </w:rPr>
        <w:footnoteReference w:id="58"/>
      </w:r>
      <w:r w:rsidRPr="00FC6D7F">
        <w:rPr>
          <w:rFonts w:ascii="Times New Roman" w:hAnsi="Times New Roman"/>
          <w:noProof/>
          <w:sz w:val="24"/>
          <w:lang w:val="pl-PL"/>
        </w:rPr>
        <w:t xml:space="preserve">. </w:t>
      </w:r>
    </w:p>
    <w:p w14:paraId="0B4011A7" w14:textId="262633A5"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W wyroku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 xml:space="preserve">awie </w:t>
      </w:r>
      <w:r w:rsidRPr="00FC6D7F">
        <w:rPr>
          <w:rFonts w:ascii="Times New Roman" w:hAnsi="Times New Roman"/>
          <w:b/>
          <w:bCs/>
          <w:noProof/>
          <w:sz w:val="24"/>
          <w:lang w:val="pl-PL"/>
        </w:rPr>
        <w:t>Staatssecretaris van Justitie en Veiligheid</w:t>
      </w:r>
      <w:r>
        <w:rPr>
          <w:rFonts w:ascii="Times New Roman" w:eastAsiaTheme="minorEastAsia" w:hAnsi="Times New Roman"/>
          <w:noProof/>
          <w:sz w:val="24"/>
          <w:vertAlign w:val="superscript"/>
        </w:rPr>
        <w:footnoteReference w:id="59"/>
      </w:r>
      <w:r w:rsidRPr="00FC6D7F">
        <w:rPr>
          <w:rFonts w:ascii="Times New Roman" w:hAnsi="Times New Roman"/>
          <w:noProof/>
          <w:sz w:val="24"/>
          <w:lang w:val="pl-PL"/>
        </w:rPr>
        <w:t xml:space="preserve"> Trybunał orzekł, że decyzji</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wyd</w:t>
      </w:r>
      <w:r w:rsidRPr="00FC6D7F">
        <w:rPr>
          <w:rFonts w:ascii="Times New Roman" w:hAnsi="Times New Roman"/>
          <w:noProof/>
          <w:sz w:val="24"/>
          <w:lang w:val="pl-PL"/>
        </w:rPr>
        <w:t xml:space="preserve">aleniu podjętej ze względu na to, że obywatelowi Unii nie przysługuje już prawo pobytu na terytorium państwa członkowskiego na mocy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7</w:t>
      </w:r>
      <w:r w:rsidRPr="00FC6D7F">
        <w:rPr>
          <w:rFonts w:ascii="Times New Roman" w:hAnsi="Times New Roman"/>
          <w:noProof/>
          <w:sz w:val="24"/>
          <w:lang w:val="pl-PL"/>
        </w:rPr>
        <w:t xml:space="preserve">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 nie można uznać za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peł</w:t>
      </w:r>
      <w:r w:rsidRPr="00FC6D7F">
        <w:rPr>
          <w:rFonts w:ascii="Times New Roman" w:hAnsi="Times New Roman"/>
          <w:noProof/>
          <w:sz w:val="24"/>
          <w:lang w:val="pl-PL"/>
        </w:rPr>
        <w:t>ni wykonaną tylko dlatego, że dana osoba fizycznie opuściła przyjmujące państwo członkowskie. Obywatel Unii musi zakończyć swój pobyt</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państwie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spo</w:t>
      </w:r>
      <w:r w:rsidRPr="00FC6D7F">
        <w:rPr>
          <w:rFonts w:ascii="Times New Roman" w:hAnsi="Times New Roman"/>
          <w:noProof/>
          <w:sz w:val="24"/>
          <w:lang w:val="pl-PL"/>
        </w:rPr>
        <w:t>sób rzeczywisty</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sku</w:t>
      </w:r>
      <w:r w:rsidRPr="00FC6D7F">
        <w:rPr>
          <w:rFonts w:ascii="Times New Roman" w:hAnsi="Times New Roman"/>
          <w:noProof/>
          <w:sz w:val="24"/>
          <w:lang w:val="pl-PL"/>
        </w:rPr>
        <w:t xml:space="preserve">teczny na mocy wspomnianego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7</w:t>
      </w:r>
      <w:r>
        <w:rPr>
          <w:rFonts w:ascii="Times New Roman" w:eastAsiaTheme="minorEastAsia" w:hAnsi="Times New Roman"/>
          <w:noProof/>
          <w:sz w:val="24"/>
          <w:vertAlign w:val="superscript"/>
        </w:rPr>
        <w:footnoteReference w:id="60"/>
      </w:r>
      <w:r w:rsidRPr="00FC6D7F">
        <w:rPr>
          <w:rFonts w:ascii="Times New Roman" w:hAnsi="Times New Roman"/>
          <w:noProof/>
          <w:sz w:val="24"/>
          <w:lang w:val="pl-PL"/>
        </w:rPr>
        <w:t>. Wyłącznie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ypadku gdy obywatele Unii zakończyli pobyt</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spo</w:t>
      </w:r>
      <w:r w:rsidRPr="00FC6D7F">
        <w:rPr>
          <w:rFonts w:ascii="Times New Roman" w:hAnsi="Times New Roman"/>
          <w:noProof/>
          <w:sz w:val="24"/>
          <w:lang w:val="pl-PL"/>
        </w:rPr>
        <w:t>sób rzeczywisty</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sku</w:t>
      </w:r>
      <w:r w:rsidRPr="00FC6D7F">
        <w:rPr>
          <w:rFonts w:ascii="Times New Roman" w:hAnsi="Times New Roman"/>
          <w:noProof/>
          <w:sz w:val="24"/>
          <w:lang w:val="pl-PL"/>
        </w:rPr>
        <w:t>teczny, mogą oni ponownie skorzystać</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 xml:space="preserve">wa pobytu na mocy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6</w:t>
      </w:r>
      <w:r w:rsidRPr="00FC6D7F">
        <w:rPr>
          <w:rFonts w:ascii="Times New Roman" w:hAnsi="Times New Roman"/>
          <w:noProof/>
          <w:sz w:val="24"/>
          <w:lang w:val="pl-PL"/>
        </w:rPr>
        <w:t xml:space="preserve">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w:t>
      </w:r>
      <w:r w:rsidR="00D55672" w:rsidRPr="00FC6D7F">
        <w:rPr>
          <w:rFonts w:ascii="Times New Roman" w:hAnsi="Times New Roman"/>
          <w:noProof/>
          <w:sz w:val="24"/>
          <w:vertAlign w:val="superscript"/>
          <w:lang w:val="pl-PL"/>
        </w:rPr>
        <w:t xml:space="preserve"> </w:t>
      </w:r>
      <w:r w:rsidR="00D55672" w:rsidRPr="00FC6D7F">
        <w:rPr>
          <w:rFonts w:ascii="Times New Roman" w:hAnsi="Times New Roman"/>
          <w:noProof/>
          <w:sz w:val="24"/>
          <w:lang w:val="pl-PL"/>
        </w:rPr>
        <w:t>w</w:t>
      </w:r>
      <w:r w:rsidR="00D55672">
        <w:rPr>
          <w:rFonts w:ascii="Times New Roman" w:hAnsi="Times New Roman"/>
          <w:noProof/>
          <w:sz w:val="24"/>
          <w:vertAlign w:val="superscript"/>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samym przyjmującym państwie członkowskim, ponieważ nie można uznać, że ich nowy pobyt stanowi ciągłość</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ich</w:t>
      </w:r>
      <w:r w:rsidRPr="00FC6D7F">
        <w:rPr>
          <w:rFonts w:ascii="Times New Roman" w:hAnsi="Times New Roman"/>
          <w:noProof/>
          <w:sz w:val="24"/>
          <w:lang w:val="pl-PL"/>
        </w:rPr>
        <w:t xml:space="preserve"> poprzednim pobytem na tym terytorium</w:t>
      </w:r>
      <w:r>
        <w:rPr>
          <w:rFonts w:ascii="Times New Roman" w:eastAsiaTheme="minorEastAsia" w:hAnsi="Times New Roman"/>
          <w:noProof/>
          <w:sz w:val="24"/>
          <w:vertAlign w:val="superscript"/>
        </w:rPr>
        <w:footnoteReference w:id="61"/>
      </w:r>
      <w:r w:rsidRPr="00FC6D7F">
        <w:rPr>
          <w:rFonts w:ascii="Times New Roman" w:hAnsi="Times New Roman"/>
          <w:noProof/>
          <w:sz w:val="24"/>
          <w:lang w:val="pl-PL"/>
        </w:rPr>
        <w:t>.</w:t>
      </w:r>
    </w:p>
    <w:p w14:paraId="33F1EAE4" w14:textId="44461EDD"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W przypadku niezastosowania się do takiej decyzji</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wyd</w:t>
      </w:r>
      <w:r w:rsidRPr="00FC6D7F">
        <w:rPr>
          <w:rFonts w:ascii="Times New Roman" w:hAnsi="Times New Roman"/>
          <w:noProof/>
          <w:sz w:val="24"/>
          <w:lang w:val="pl-PL"/>
        </w:rPr>
        <w:t>aleniu państwo członkowskie nie jest zobowiązane do przyjęcia nowej decyzji, ale może powołać się na decyzję początkową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zobowiązania danej osoby do opuszczenia swojego terytorium</w:t>
      </w:r>
      <w:r>
        <w:rPr>
          <w:rFonts w:ascii="Times New Roman" w:eastAsiaTheme="minorEastAsia" w:hAnsi="Times New Roman"/>
          <w:noProof/>
          <w:sz w:val="24"/>
          <w:vertAlign w:val="superscript"/>
        </w:rPr>
        <w:footnoteReference w:id="62"/>
      </w:r>
      <w:r w:rsidRPr="00FC6D7F">
        <w:rPr>
          <w:rFonts w:ascii="Times New Roman" w:hAnsi="Times New Roman"/>
          <w:noProof/>
          <w:sz w:val="24"/>
          <w:lang w:val="pl-PL"/>
        </w:rPr>
        <w:t>. Niemniej jednak zasadnicza zmiana okoliczności, która umożliwiłaby obywatelowi Unii spełnienie warunków prawa pobytu przez okres przekraczający trzy miesiące, przewidzianych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D55672">
        <w:rPr>
          <w:rFonts w:ascii="Times New Roman" w:hAnsi="Times New Roman"/>
          <w:noProof/>
          <w:sz w:val="24"/>
          <w:lang w:val="pl-PL"/>
        </w:rPr>
        <w:t>art</w:t>
      </w:r>
      <w:r w:rsidRPr="00D55672">
        <w:rPr>
          <w:rFonts w:ascii="Times New Roman" w:hAnsi="Times New Roman"/>
          <w:noProof/>
          <w:sz w:val="24"/>
          <w:lang w:val="pl-PL"/>
        </w:rPr>
        <w:t>.</w:t>
      </w:r>
      <w:r w:rsidR="00D55672" w:rsidRPr="00D55672">
        <w:rPr>
          <w:rFonts w:ascii="Times New Roman" w:hAnsi="Times New Roman"/>
          <w:noProof/>
          <w:sz w:val="24"/>
          <w:lang w:val="pl-PL"/>
        </w:rPr>
        <w:t> </w:t>
      </w:r>
      <w:r w:rsidRPr="00D55672">
        <w:rPr>
          <w:rFonts w:ascii="Times New Roman" w:hAnsi="Times New Roman"/>
          <w:noProof/>
          <w:sz w:val="24"/>
          <w:lang w:val="pl-PL"/>
        </w:rPr>
        <w:t>7</w:t>
      </w:r>
      <w:r w:rsidRPr="00FC6D7F">
        <w:rPr>
          <w:rFonts w:ascii="Times New Roman" w:hAnsi="Times New Roman"/>
          <w:noProof/>
          <w:sz w:val="24"/>
          <w:lang w:val="pl-PL"/>
        </w:rPr>
        <w:t xml:space="preserve"> (np. gdy obywatel Unii staje się pracownikiem), pozbawiłaby wydaną wobec niego decyzję</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wyd</w:t>
      </w:r>
      <w:r w:rsidRPr="00FC6D7F">
        <w:rPr>
          <w:rFonts w:ascii="Times New Roman" w:hAnsi="Times New Roman"/>
          <w:noProof/>
          <w:sz w:val="24"/>
          <w:lang w:val="pl-PL"/>
        </w:rPr>
        <w:t>aleniu wszelkich skutków</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wym</w:t>
      </w:r>
      <w:r w:rsidRPr="00FC6D7F">
        <w:rPr>
          <w:rFonts w:ascii="Times New Roman" w:hAnsi="Times New Roman"/>
          <w:noProof/>
          <w:sz w:val="24"/>
          <w:lang w:val="pl-PL"/>
        </w:rPr>
        <w:t>agałaby, bez względu na jej niewykonanie, uznania jego pobytu na terytorium danego państwa członkowskiego za legalny</w:t>
      </w:r>
      <w:r>
        <w:rPr>
          <w:rFonts w:ascii="Times New Roman" w:eastAsiaTheme="minorEastAsia" w:hAnsi="Times New Roman"/>
          <w:noProof/>
          <w:sz w:val="24"/>
          <w:vertAlign w:val="superscript"/>
        </w:rPr>
        <w:footnoteReference w:id="63"/>
      </w:r>
      <w:r w:rsidRPr="00FC6D7F">
        <w:rPr>
          <w:rFonts w:ascii="Times New Roman" w:hAnsi="Times New Roman"/>
          <w:noProof/>
          <w:sz w:val="24"/>
          <w:lang w:val="pl-PL"/>
        </w:rPr>
        <w:t>. Co więcej decyzja</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wyd</w:t>
      </w:r>
      <w:r w:rsidRPr="00FC6D7F">
        <w:rPr>
          <w:rFonts w:ascii="Times New Roman" w:hAnsi="Times New Roman"/>
          <w:noProof/>
          <w:sz w:val="24"/>
          <w:lang w:val="pl-PL"/>
        </w:rPr>
        <w:t xml:space="preserve">aleniu podjęta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5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 nie wyklucza korzystania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wa wjazdu przewidzianego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D55672">
        <w:rPr>
          <w:rFonts w:ascii="Times New Roman" w:hAnsi="Times New Roman"/>
          <w:noProof/>
          <w:sz w:val="24"/>
          <w:lang w:val="pl-PL"/>
        </w:rPr>
        <w:t>art</w:t>
      </w:r>
      <w:r w:rsidRPr="00D55672">
        <w:rPr>
          <w:rFonts w:ascii="Times New Roman" w:hAnsi="Times New Roman"/>
          <w:noProof/>
          <w:sz w:val="24"/>
          <w:lang w:val="pl-PL"/>
        </w:rPr>
        <w:t>.</w:t>
      </w:r>
      <w:r w:rsidR="00D55672" w:rsidRPr="00D55672">
        <w:rPr>
          <w:rFonts w:ascii="Times New Roman" w:hAnsi="Times New Roman"/>
          <w:noProof/>
          <w:sz w:val="24"/>
          <w:lang w:val="pl-PL"/>
        </w:rPr>
        <w:t> </w:t>
      </w:r>
      <w:r w:rsidRPr="00D55672">
        <w:rPr>
          <w:rFonts w:ascii="Times New Roman" w:hAnsi="Times New Roman"/>
          <w:noProof/>
          <w:sz w:val="24"/>
          <w:lang w:val="pl-PL"/>
        </w:rPr>
        <w:t>5</w:t>
      </w:r>
      <w:r w:rsidRPr="00FC6D7F">
        <w:rPr>
          <w:rFonts w:ascii="Times New Roman" w:hAnsi="Times New Roman"/>
          <w:noProof/>
          <w:sz w:val="24"/>
          <w:lang w:val="pl-PL"/>
        </w:rPr>
        <w:t xml:space="preserve"> tej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ypadku gdy obywatel Unii udaje się na terytorium państwa członkowskiego „okazjonalnie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innym niż pobyt na nim”</w:t>
      </w:r>
      <w:r>
        <w:rPr>
          <w:rFonts w:ascii="Times New Roman" w:eastAsiaTheme="minorEastAsia" w:hAnsi="Times New Roman"/>
          <w:noProof/>
          <w:sz w:val="24"/>
          <w:vertAlign w:val="superscript"/>
        </w:rPr>
        <w:footnoteReference w:id="64"/>
      </w:r>
      <w:r w:rsidRPr="00FC6D7F">
        <w:rPr>
          <w:rFonts w:ascii="Times New Roman" w:hAnsi="Times New Roman"/>
          <w:noProof/>
          <w:sz w:val="24"/>
          <w:lang w:val="pl-PL"/>
        </w:rPr>
        <w:t>.</w:t>
      </w:r>
    </w:p>
    <w:p w14:paraId="62CD01A5" w14:textId="45E355B3"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W wyroku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 xml:space="preserve">awie </w:t>
      </w:r>
      <w:r w:rsidRPr="00FC6D7F">
        <w:rPr>
          <w:rFonts w:ascii="Times New Roman" w:hAnsi="Times New Roman"/>
          <w:b/>
          <w:bCs/>
          <w:noProof/>
          <w:sz w:val="24"/>
          <w:lang w:val="pl-PL"/>
        </w:rPr>
        <w:t>V.</w:t>
      </w:r>
      <w:r>
        <w:rPr>
          <w:rFonts w:ascii="Times New Roman" w:hAnsi="Times New Roman"/>
          <w:b/>
          <w:bCs/>
          <w:noProof/>
          <w:sz w:val="24"/>
        </w:rPr>
        <w:t>М</w:t>
      </w:r>
      <w:r w:rsidRPr="00FC6D7F">
        <w:rPr>
          <w:rFonts w:ascii="Times New Roman" w:hAnsi="Times New Roman"/>
          <w:b/>
          <w:bCs/>
          <w:noProof/>
          <w:sz w:val="24"/>
          <w:lang w:val="pl-PL"/>
        </w:rPr>
        <w:t>.</w:t>
      </w:r>
      <w:r>
        <w:rPr>
          <w:rFonts w:ascii="Times New Roman" w:hAnsi="Times New Roman"/>
          <w:b/>
          <w:bCs/>
          <w:noProof/>
          <w:sz w:val="24"/>
        </w:rPr>
        <w:t>А</w:t>
      </w:r>
      <w:r w:rsidRPr="00FC6D7F">
        <w:rPr>
          <w:rFonts w:ascii="Times New Roman" w:hAnsi="Times New Roman"/>
          <w:b/>
          <w:bCs/>
          <w:noProof/>
          <w:sz w:val="24"/>
          <w:lang w:val="pl-PL"/>
        </w:rPr>
        <w:t>./Stolichna obshtina, rayon Pancharevo</w:t>
      </w:r>
      <w:r>
        <w:rPr>
          <w:rFonts w:ascii="Times New Roman" w:eastAsiaTheme="minorEastAsia" w:hAnsi="Times New Roman"/>
          <w:noProof/>
          <w:sz w:val="24"/>
          <w:vertAlign w:val="superscript"/>
        </w:rPr>
        <w:footnoteReference w:id="65"/>
      </w:r>
      <w:r w:rsidRPr="00FC6D7F">
        <w:rPr>
          <w:rFonts w:ascii="Times New Roman" w:hAnsi="Times New Roman"/>
          <w:noProof/>
          <w:sz w:val="24"/>
          <w:lang w:val="pl-PL"/>
        </w:rPr>
        <w:t xml:space="preserve"> Trybunał orzekł, że jeżeli dziecko jest obywatelem Unii, ma ono prawo do uzyskania paszportu lub dowodu tożsamości od państwa członkowskiego obywatelstwa, potwierdzających ich przynależność państwową</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naz</w:t>
      </w:r>
      <w:r w:rsidRPr="00FC6D7F">
        <w:rPr>
          <w:rFonts w:ascii="Times New Roman" w:hAnsi="Times New Roman"/>
          <w:noProof/>
          <w:sz w:val="24"/>
          <w:lang w:val="pl-PL"/>
        </w:rPr>
        <w:t>wisko widniejące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akc</w:t>
      </w:r>
      <w:r w:rsidRPr="00FC6D7F">
        <w:rPr>
          <w:rFonts w:ascii="Times New Roman" w:hAnsi="Times New Roman"/>
          <w:noProof/>
          <w:sz w:val="24"/>
          <w:lang w:val="pl-PL"/>
        </w:rPr>
        <w:t>ie urodzenia sporządzonym przez inne państwo członkowskie</w:t>
      </w:r>
      <w:r>
        <w:rPr>
          <w:rFonts w:ascii="Times New Roman" w:eastAsiaTheme="minorEastAsia" w:hAnsi="Times New Roman"/>
          <w:noProof/>
          <w:sz w:val="24"/>
          <w:vertAlign w:val="superscript"/>
        </w:rPr>
        <w:footnoteReference w:id="66"/>
      </w:r>
      <w:r w:rsidRPr="00FC6D7F">
        <w:rPr>
          <w:rFonts w:ascii="Times New Roman" w:hAnsi="Times New Roman"/>
          <w:noProof/>
          <w:sz w:val="24"/>
          <w:lang w:val="pl-PL"/>
        </w:rPr>
        <w:t>. Ponadto taki dokument podróży, pojedynczo lub</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pow</w:t>
      </w:r>
      <w:r w:rsidRPr="00FC6D7F">
        <w:rPr>
          <w:rFonts w:ascii="Times New Roman" w:hAnsi="Times New Roman"/>
          <w:noProof/>
          <w:sz w:val="24"/>
          <w:lang w:val="pl-PL"/>
        </w:rPr>
        <w:t>iązaniu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inn</w:t>
      </w:r>
      <w:r w:rsidRPr="00FC6D7F">
        <w:rPr>
          <w:rFonts w:ascii="Times New Roman" w:hAnsi="Times New Roman"/>
          <w:noProof/>
          <w:sz w:val="24"/>
          <w:lang w:val="pl-PL"/>
        </w:rPr>
        <w:t>ymi dokumentami, (takimi jak akt urodzenia wydany przez państwo członkowskie urodzenia), musi umożliwiać dziecku podróżowanie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dow</w:t>
      </w:r>
      <w:r w:rsidRPr="00FC6D7F">
        <w:rPr>
          <w:rFonts w:ascii="Times New Roman" w:hAnsi="Times New Roman"/>
          <w:noProof/>
          <w:sz w:val="24"/>
          <w:lang w:val="pl-PL"/>
        </w:rPr>
        <w:t>olnym</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rod</w:t>
      </w:r>
      <w:r w:rsidRPr="00FC6D7F">
        <w:rPr>
          <w:rFonts w:ascii="Times New Roman" w:hAnsi="Times New Roman"/>
          <w:noProof/>
          <w:sz w:val="24"/>
          <w:lang w:val="pl-PL"/>
        </w:rPr>
        <w:t>ziców, którego rodzicielstwo zostało ustalone przez inne państwo członkowskie</w:t>
      </w:r>
      <w:r>
        <w:rPr>
          <w:rFonts w:ascii="Times New Roman" w:eastAsiaTheme="minorEastAsia" w:hAnsi="Times New Roman"/>
          <w:noProof/>
          <w:sz w:val="24"/>
          <w:vertAlign w:val="superscript"/>
        </w:rPr>
        <w:footnoteReference w:id="67"/>
      </w:r>
      <w:r w:rsidRPr="00FC6D7F">
        <w:rPr>
          <w:rFonts w:ascii="Times New Roman" w:hAnsi="Times New Roman"/>
          <w:noProof/>
          <w:sz w:val="24"/>
          <w:lang w:val="pl-PL"/>
        </w:rPr>
        <w:t>. Rodzice również są uprawnieni do otrzymania dokumentu,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rym wymieniono ich jako osoby,</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rych każda może sama podróżować</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dzieckiem</w:t>
      </w:r>
      <w:r>
        <w:rPr>
          <w:rFonts w:ascii="Times New Roman" w:eastAsiaTheme="minorEastAsia" w:hAnsi="Times New Roman"/>
          <w:noProof/>
          <w:sz w:val="24"/>
          <w:vertAlign w:val="superscript"/>
        </w:rPr>
        <w:footnoteReference w:id="68"/>
      </w:r>
      <w:r w:rsidRPr="00FC6D7F">
        <w:rPr>
          <w:rFonts w:ascii="Times New Roman" w:hAnsi="Times New Roman"/>
          <w:noProof/>
          <w:sz w:val="24"/>
          <w:lang w:val="pl-PL"/>
        </w:rPr>
        <w:t>. Nie pociąga to za sobą obowiązku wydania przez państwo członkowskie obywatelstwa aktu urodzenia</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tak</w:t>
      </w:r>
      <w:r w:rsidRPr="00FC6D7F">
        <w:rPr>
          <w:rFonts w:ascii="Times New Roman" w:hAnsi="Times New Roman"/>
          <w:noProof/>
          <w:sz w:val="24"/>
          <w:lang w:val="pl-PL"/>
        </w:rPr>
        <w:t>iej samej treści jak akt wydany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inn</w:t>
      </w:r>
      <w:r w:rsidRPr="00FC6D7F">
        <w:rPr>
          <w:rFonts w:ascii="Times New Roman" w:hAnsi="Times New Roman"/>
          <w:noProof/>
          <w:sz w:val="24"/>
          <w:lang w:val="pl-PL"/>
        </w:rPr>
        <w:t>ym państwie członkowskim. Trybunał wyjaśnił jednak, że państwo członkowskie obywatelstwa jest zobowiązane do wydania dowodu tożsamości lub paszportu bez konieczności sporządzenia aktu urodzenia przez jego organy krajowe. Państwo członkowskie nie może powoływać się na taki wymóg lub na jakikolwiek inny wymóg wynikający</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jeg</w:t>
      </w:r>
      <w:r w:rsidRPr="00FC6D7F">
        <w:rPr>
          <w:rFonts w:ascii="Times New Roman" w:hAnsi="Times New Roman"/>
          <w:noProof/>
          <w:sz w:val="24"/>
          <w:lang w:val="pl-PL"/>
        </w:rPr>
        <w:t>o prawa krajowego, by odmówić wydania paszportu lub dowodu tożsamości</w:t>
      </w:r>
      <w:r>
        <w:rPr>
          <w:rFonts w:ascii="Times New Roman" w:eastAsiaTheme="minorEastAsia" w:hAnsi="Times New Roman"/>
          <w:noProof/>
          <w:sz w:val="24"/>
          <w:vertAlign w:val="superscript"/>
        </w:rPr>
        <w:footnoteReference w:id="69"/>
      </w:r>
      <w:r w:rsidRPr="00FC6D7F">
        <w:rPr>
          <w:rFonts w:ascii="Times New Roman" w:hAnsi="Times New Roman"/>
          <w:noProof/>
          <w:sz w:val="24"/>
          <w:lang w:val="pl-PL"/>
        </w:rPr>
        <w:t>. Trybunał przypomniał również, że jednym</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 xml:space="preserve">w, które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1 TFUE przyznaje obywatelom Unii, jest prawo do prowadzenia przez nich zwykłego życia rodzinnego zarówno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yjmującym państwie członkowskim, jak</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stwie członkowskim, którego przynależność państwową posiadają,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ypadku powrotu do tego ostatniego państwa,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rym to prawem wiąże się obecność członków rodziny</w:t>
      </w:r>
      <w:r>
        <w:rPr>
          <w:rFonts w:ascii="Times New Roman" w:eastAsiaTheme="minorEastAsia" w:hAnsi="Times New Roman"/>
          <w:noProof/>
          <w:sz w:val="24"/>
          <w:vertAlign w:val="superscript"/>
        </w:rPr>
        <w:footnoteReference w:id="70"/>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wszystkie państwa członkowskie muszą uznać więź filiacyjną do celów korzystania przez to dziecko</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 przysługujących mu na mocy prawa Unii</w:t>
      </w:r>
      <w:r>
        <w:rPr>
          <w:rFonts w:ascii="Times New Roman" w:eastAsiaTheme="minorEastAsia" w:hAnsi="Times New Roman"/>
          <w:noProof/>
          <w:sz w:val="24"/>
          <w:vertAlign w:val="superscript"/>
        </w:rPr>
        <w:footnoteReference w:id="71"/>
      </w:r>
      <w:r w:rsidRPr="00FC6D7F">
        <w:rPr>
          <w:rFonts w:ascii="Times New Roman" w:hAnsi="Times New Roman"/>
          <w:noProof/>
          <w:sz w:val="24"/>
          <w:lang w:val="pl-PL"/>
        </w:rPr>
        <w:t>. Trybunał podkreślił również istotność praw podstawowych,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szc</w:t>
      </w:r>
      <w:r w:rsidRPr="00FC6D7F">
        <w:rPr>
          <w:rFonts w:ascii="Times New Roman" w:hAnsi="Times New Roman"/>
          <w:noProof/>
          <w:sz w:val="24"/>
          <w:lang w:val="pl-PL"/>
        </w:rPr>
        <w:t>zególności prawa do życia prywatnego</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rod</w:t>
      </w:r>
      <w:r w:rsidRPr="00FC6D7F">
        <w:rPr>
          <w:rFonts w:ascii="Times New Roman" w:hAnsi="Times New Roman"/>
          <w:noProof/>
          <w:sz w:val="24"/>
          <w:lang w:val="pl-PL"/>
        </w:rPr>
        <w:t>zinnego oraz praw dziecka – „w sytuacji będącej przedmiotem sporu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pos</w:t>
      </w:r>
      <w:r w:rsidRPr="00FC6D7F">
        <w:rPr>
          <w:rFonts w:ascii="Times New Roman" w:hAnsi="Times New Roman"/>
          <w:noProof/>
          <w:sz w:val="24"/>
          <w:lang w:val="pl-PL"/>
        </w:rPr>
        <w:t>tępowaniu głównym prawo do poszanowania życia prywatnego</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rod</w:t>
      </w:r>
      <w:r w:rsidRPr="00FC6D7F">
        <w:rPr>
          <w:rFonts w:ascii="Times New Roman" w:hAnsi="Times New Roman"/>
          <w:noProof/>
          <w:sz w:val="24"/>
          <w:lang w:val="pl-PL"/>
        </w:rPr>
        <w:t>zinnego, zagwarantowane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D55672">
        <w:rPr>
          <w:rFonts w:ascii="Times New Roman" w:hAnsi="Times New Roman"/>
          <w:noProof/>
          <w:sz w:val="24"/>
          <w:lang w:val="pl-PL"/>
        </w:rPr>
        <w:t>art</w:t>
      </w:r>
      <w:r w:rsidRPr="00D55672">
        <w:rPr>
          <w:rFonts w:ascii="Times New Roman" w:hAnsi="Times New Roman"/>
          <w:noProof/>
          <w:sz w:val="24"/>
          <w:lang w:val="pl-PL"/>
        </w:rPr>
        <w:t>.</w:t>
      </w:r>
      <w:r w:rsidR="00D55672" w:rsidRPr="00D55672">
        <w:rPr>
          <w:rFonts w:ascii="Times New Roman" w:hAnsi="Times New Roman"/>
          <w:noProof/>
          <w:sz w:val="24"/>
          <w:lang w:val="pl-PL"/>
        </w:rPr>
        <w:t> </w:t>
      </w:r>
      <w:r w:rsidRPr="00D55672">
        <w:rPr>
          <w:rFonts w:ascii="Times New Roman" w:hAnsi="Times New Roman"/>
          <w:noProof/>
          <w:sz w:val="24"/>
          <w:lang w:val="pl-PL"/>
        </w:rPr>
        <w:t>7</w:t>
      </w:r>
      <w:r w:rsidRPr="00FC6D7F">
        <w:rPr>
          <w:rFonts w:ascii="Times New Roman" w:hAnsi="Times New Roman"/>
          <w:noProof/>
          <w:sz w:val="24"/>
          <w:lang w:val="pl-PL"/>
        </w:rPr>
        <w:t xml:space="preserve"> Karty [praw podstawowych] oraz prawa dziecka, zagwarantowane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jej</w:t>
      </w:r>
      <w:r w:rsidRPr="00FC6D7F">
        <w:rPr>
          <w:rFonts w:ascii="Times New Roman" w:hAnsi="Times New Roman"/>
          <w:noProof/>
          <w:sz w:val="24"/>
          <w:lang w:val="pl-PL"/>
        </w:rPr>
        <w:t xml:space="preserv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4,</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szc</w:t>
      </w:r>
      <w:r w:rsidRPr="00FC6D7F">
        <w:rPr>
          <w:rFonts w:ascii="Times New Roman" w:hAnsi="Times New Roman"/>
          <w:noProof/>
          <w:sz w:val="24"/>
          <w:lang w:val="pl-PL"/>
        </w:rPr>
        <w:t>zególności prawo do uwzględnienia najlepszego interesu dziecka jako sprawa nadrzędna we wszystkich działaniach dotyczących dzieci,</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tak</w:t>
      </w:r>
      <w:r w:rsidRPr="00FC6D7F">
        <w:rPr>
          <w:rFonts w:ascii="Times New Roman" w:hAnsi="Times New Roman"/>
          <w:noProof/>
          <w:sz w:val="24"/>
          <w:lang w:val="pl-PL"/>
        </w:rPr>
        <w:t>że prawo do utrzymywania stałego, osobistego związku</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bez</w:t>
      </w:r>
      <w:r w:rsidRPr="00FC6D7F">
        <w:rPr>
          <w:rFonts w:ascii="Times New Roman" w:hAnsi="Times New Roman"/>
          <w:noProof/>
          <w:sz w:val="24"/>
          <w:lang w:val="pl-PL"/>
        </w:rPr>
        <w:t>pośredniego kontaktu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każ</w:t>
      </w:r>
      <w:r w:rsidRPr="00FC6D7F">
        <w:rPr>
          <w:rFonts w:ascii="Times New Roman" w:hAnsi="Times New Roman"/>
          <w:noProof/>
          <w:sz w:val="24"/>
          <w:lang w:val="pl-PL"/>
        </w:rPr>
        <w:t>dym rodzicem mają podstawowe znaczenie”</w:t>
      </w:r>
      <w:r>
        <w:rPr>
          <w:rFonts w:ascii="Times New Roman" w:eastAsiaTheme="minorEastAsia" w:hAnsi="Times New Roman"/>
          <w:noProof/>
          <w:sz w:val="24"/>
          <w:vertAlign w:val="superscript"/>
        </w:rPr>
        <w:footnoteReference w:id="72"/>
      </w:r>
      <w:r w:rsidRPr="00FC6D7F">
        <w:rPr>
          <w:rFonts w:ascii="Times New Roman" w:hAnsi="Times New Roman"/>
          <w:noProof/>
          <w:sz w:val="24"/>
          <w:lang w:val="pl-PL"/>
        </w:rPr>
        <w:t xml:space="preserve">. </w:t>
      </w:r>
    </w:p>
    <w:p w14:paraId="6DC50875" w14:textId="3A47BEF8"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Nie oznacza to bowiem, by państwo członkowskie, którego dane dziecko jest obywatelem, było zobowiązane do wprowadzenia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swo</w:t>
      </w:r>
      <w:r w:rsidRPr="00FC6D7F">
        <w:rPr>
          <w:rFonts w:ascii="Times New Roman" w:hAnsi="Times New Roman"/>
          <w:noProof/>
          <w:sz w:val="24"/>
          <w:lang w:val="pl-PL"/>
        </w:rPr>
        <w:t>im prawie krajowym rodzicielstwa osób tej samej płci lub uznania, do celów innych niż wykonywanie praw, które to dziecko wywodzi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wa Unii, więzi filiacyjnej między wspomnianym dzieckiem</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oso</w:t>
      </w:r>
      <w:r w:rsidRPr="00FC6D7F">
        <w:rPr>
          <w:rFonts w:ascii="Times New Roman" w:hAnsi="Times New Roman"/>
          <w:noProof/>
          <w:sz w:val="24"/>
          <w:lang w:val="pl-PL"/>
        </w:rPr>
        <w:t>bami wskazanymi jako rodzice tego dziecka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akc</w:t>
      </w:r>
      <w:r w:rsidRPr="00FC6D7F">
        <w:rPr>
          <w:rFonts w:ascii="Times New Roman" w:hAnsi="Times New Roman"/>
          <w:noProof/>
          <w:sz w:val="24"/>
          <w:lang w:val="pl-PL"/>
        </w:rPr>
        <w:t>ie urodzenia sporządzonym przez organy przyjmującego państwa członkowskiego</w:t>
      </w:r>
      <w:r>
        <w:rPr>
          <w:rFonts w:ascii="Times New Roman" w:eastAsiaTheme="minorEastAsia" w:hAnsi="Times New Roman"/>
          <w:noProof/>
          <w:sz w:val="24"/>
          <w:vertAlign w:val="superscript"/>
        </w:rPr>
        <w:footnoteReference w:id="73"/>
      </w:r>
      <w:r w:rsidRPr="00FC6D7F">
        <w:rPr>
          <w:rFonts w:ascii="Times New Roman" w:hAnsi="Times New Roman"/>
          <w:noProof/>
          <w:sz w:val="24"/>
          <w:lang w:val="pl-PL"/>
        </w:rPr>
        <w:t xml:space="preserve">. </w:t>
      </w:r>
    </w:p>
    <w:p w14:paraId="3AE25176" w14:textId="1DD0403F"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Stwierdzenie zawarte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wyr</w:t>
      </w:r>
      <w:r w:rsidRPr="00FC6D7F">
        <w:rPr>
          <w:rFonts w:ascii="Times New Roman" w:hAnsi="Times New Roman"/>
          <w:noProof/>
          <w:sz w:val="24"/>
          <w:lang w:val="pl-PL"/>
        </w:rPr>
        <w:t>oku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V.M.A zostało potwierdzone przez Trybunał</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wyr</w:t>
      </w:r>
      <w:r w:rsidRPr="00FC6D7F">
        <w:rPr>
          <w:rFonts w:ascii="Times New Roman" w:hAnsi="Times New Roman"/>
          <w:noProof/>
          <w:sz w:val="24"/>
          <w:lang w:val="pl-PL"/>
        </w:rPr>
        <w:t xml:space="preserve">oku </w:t>
      </w:r>
      <w:r w:rsidRPr="00FC6D7F">
        <w:rPr>
          <w:rFonts w:ascii="Times New Roman" w:hAnsi="Times New Roman"/>
          <w:b/>
          <w:bCs/>
          <w:noProof/>
          <w:sz w:val="24"/>
          <w:lang w:val="pl-PL"/>
        </w:rPr>
        <w:t>Rzecznik Praw Obywatelskich</w:t>
      </w:r>
      <w:r>
        <w:rPr>
          <w:rFonts w:ascii="Times New Roman" w:eastAsiaTheme="minorEastAsia" w:hAnsi="Times New Roman"/>
          <w:noProof/>
          <w:sz w:val="24"/>
          <w:vertAlign w:val="superscript"/>
        </w:rPr>
        <w:footnoteReference w:id="74"/>
      </w:r>
      <w:r w:rsidRPr="00FC6D7F">
        <w:rPr>
          <w:rFonts w:ascii="Times New Roman" w:hAnsi="Times New Roman"/>
          <w:noProof/>
          <w:sz w:val="24"/>
          <w:lang w:val="pl-PL"/>
        </w:rPr>
        <w:t>.</w:t>
      </w:r>
    </w:p>
    <w:p w14:paraId="175BF782" w14:textId="7142E3C8"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W sprawie </w:t>
      </w:r>
      <w:r w:rsidRPr="00FC6D7F">
        <w:rPr>
          <w:rFonts w:ascii="Times New Roman" w:hAnsi="Times New Roman"/>
          <w:b/>
          <w:bCs/>
          <w:noProof/>
          <w:sz w:val="24"/>
          <w:lang w:val="pl-PL"/>
        </w:rPr>
        <w:t>X/État belge</w:t>
      </w:r>
      <w:r>
        <w:rPr>
          <w:rFonts w:ascii="Times New Roman" w:eastAsiaTheme="minorEastAsia" w:hAnsi="Times New Roman"/>
          <w:noProof/>
          <w:sz w:val="24"/>
          <w:vertAlign w:val="superscript"/>
        </w:rPr>
        <w:footnoteReference w:id="75"/>
      </w:r>
      <w:r w:rsidRPr="00FC6D7F">
        <w:rPr>
          <w:rFonts w:ascii="Times New Roman" w:hAnsi="Times New Roman"/>
          <w:noProof/>
          <w:sz w:val="24"/>
          <w:lang w:val="pl-PL"/>
        </w:rPr>
        <w:t xml:space="preserve"> Trybunał potwierdził ważność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3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świ</w:t>
      </w:r>
      <w:r w:rsidRPr="00FC6D7F">
        <w:rPr>
          <w:rFonts w:ascii="Times New Roman" w:hAnsi="Times New Roman"/>
          <w:noProof/>
          <w:sz w:val="24"/>
          <w:lang w:val="pl-PL"/>
        </w:rPr>
        <w:t xml:space="preserve">etle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 xml:space="preserve">1 Karty praw podstawowych Unii Europejskiej. </w:t>
      </w:r>
    </w:p>
    <w:p w14:paraId="3E32EF53" w14:textId="6D464F16"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W szczególności Trybunał orzekł, że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3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 jest ważny, jednak</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ypadku rozwodu, unieważnienia małżeństwa lub ustania zarejestrowanego związku partnerskiego przepis ten uzależnia zachowanie prawa pobytu przez obywatela państwa trzeciego, którego małżonek jest przemieszczającym się obywatelem UE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 był ofiarą przemocy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rod</w:t>
      </w:r>
      <w:r w:rsidRPr="00FC6D7F">
        <w:rPr>
          <w:rFonts w:ascii="Times New Roman" w:hAnsi="Times New Roman"/>
          <w:noProof/>
          <w:sz w:val="24"/>
          <w:lang w:val="pl-PL"/>
        </w:rPr>
        <w:t>zinie, od warunku posiadania wystarczających środków</w:t>
      </w:r>
      <w:r>
        <w:rPr>
          <w:rFonts w:ascii="Times New Roman" w:eastAsiaTheme="minorEastAsia" w:hAnsi="Times New Roman"/>
          <w:noProof/>
          <w:sz w:val="24"/>
          <w:vertAlign w:val="superscript"/>
        </w:rPr>
        <w:footnoteReference w:id="76"/>
      </w:r>
      <w:r w:rsidRPr="00FC6D7F">
        <w:rPr>
          <w:rFonts w:ascii="Times New Roman" w:hAnsi="Times New Roman"/>
          <w:noProof/>
          <w:sz w:val="24"/>
          <w:lang w:val="pl-PL"/>
        </w:rPr>
        <w:t xml:space="preserve">; jednocześnie, że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5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3</w:t>
      </w:r>
      <w:r w:rsidRPr="00FC6D7F">
        <w:rPr>
          <w:rFonts w:ascii="Times New Roman" w:hAnsi="Times New Roman"/>
          <w:noProof/>
          <w:sz w:val="24"/>
          <w:lang w:val="pl-PL"/>
        </w:rPr>
        <w:t xml:space="preserve"> dyrektywy 2003/86/WE nie uzależnia zachowania prawa pobytu przez obywatela państwa trzeciego, który skorzystał</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wa do łączenia rodzin, od tego warunku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 xml:space="preserve">ypadku rozwodu lub separacji. </w:t>
      </w:r>
    </w:p>
    <w:p w14:paraId="4314065D" w14:textId="2460C9A4"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Trybunał stwierdził, że odmienne traktowanie obywateli państw trzecich będących ofiarami przemocy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rod</w:t>
      </w:r>
      <w:r w:rsidRPr="00FC6D7F">
        <w:rPr>
          <w:rFonts w:ascii="Times New Roman" w:hAnsi="Times New Roman"/>
          <w:noProof/>
          <w:sz w:val="24"/>
          <w:lang w:val="pl-PL"/>
        </w:rPr>
        <w:t>zinie ze strony ich małżonka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zal</w:t>
      </w:r>
      <w:r w:rsidRPr="00FC6D7F">
        <w:rPr>
          <w:rFonts w:ascii="Times New Roman" w:hAnsi="Times New Roman"/>
          <w:noProof/>
          <w:sz w:val="24"/>
          <w:lang w:val="pl-PL"/>
        </w:rPr>
        <w:t>eżności od tego, czy skorzystali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wa do łączenia rodziny tworzonej</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oby</w:t>
      </w:r>
      <w:r w:rsidRPr="00FC6D7F">
        <w:rPr>
          <w:rFonts w:ascii="Times New Roman" w:hAnsi="Times New Roman"/>
          <w:noProof/>
          <w:sz w:val="24"/>
          <w:lang w:val="pl-PL"/>
        </w:rPr>
        <w:t>watelem Unii, czy</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oby</w:t>
      </w:r>
      <w:r w:rsidRPr="00FC6D7F">
        <w:rPr>
          <w:rFonts w:ascii="Times New Roman" w:hAnsi="Times New Roman"/>
          <w:noProof/>
          <w:sz w:val="24"/>
          <w:lang w:val="pl-PL"/>
        </w:rPr>
        <w:t>watelem państwa trzeciego, nie narusza zapisanego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D55672">
        <w:rPr>
          <w:rFonts w:ascii="Times New Roman" w:hAnsi="Times New Roman"/>
          <w:noProof/>
          <w:sz w:val="24"/>
          <w:lang w:val="pl-PL"/>
        </w:rPr>
        <w:t>art</w:t>
      </w:r>
      <w:r w:rsidRPr="00D55672">
        <w:rPr>
          <w:rFonts w:ascii="Times New Roman" w:hAnsi="Times New Roman"/>
          <w:noProof/>
          <w:sz w:val="24"/>
          <w:lang w:val="pl-PL"/>
        </w:rPr>
        <w: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 karty prawa do „równości wobec prawa” obywateli państw trzecich znajdujących się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obu</w:t>
      </w:r>
      <w:r w:rsidRPr="00FC6D7F">
        <w:rPr>
          <w:rFonts w:ascii="Times New Roman" w:hAnsi="Times New Roman"/>
          <w:noProof/>
          <w:sz w:val="24"/>
          <w:lang w:val="pl-PL"/>
        </w:rPr>
        <w:t xml:space="preserve"> sytuacjach ze względu na różnice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sta</w:t>
      </w:r>
      <w:r w:rsidRPr="00FC6D7F">
        <w:rPr>
          <w:rFonts w:ascii="Times New Roman" w:hAnsi="Times New Roman"/>
          <w:noProof/>
          <w:sz w:val="24"/>
          <w:lang w:val="pl-PL"/>
        </w:rPr>
        <w:t>tusie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wach</w:t>
      </w:r>
      <w:r>
        <w:rPr>
          <w:rFonts w:ascii="Times New Roman" w:eastAsiaTheme="minorEastAsia" w:hAnsi="Times New Roman"/>
          <w:noProof/>
          <w:sz w:val="24"/>
          <w:vertAlign w:val="superscript"/>
        </w:rPr>
        <w:footnoteReference w:id="77"/>
      </w:r>
      <w:r w:rsidRPr="00FC6D7F">
        <w:rPr>
          <w:rFonts w:ascii="Times New Roman" w:hAnsi="Times New Roman"/>
          <w:noProof/>
          <w:sz w:val="24"/>
          <w:lang w:val="pl-PL"/>
        </w:rPr>
        <w:t xml:space="preserve">. </w:t>
      </w:r>
    </w:p>
    <w:p w14:paraId="7244F500" w14:textId="70B511C4"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Ponadto Trybunał skorzystał</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tej</w:t>
      </w:r>
      <w:r w:rsidRPr="00FC6D7F">
        <w:rPr>
          <w:rFonts w:ascii="Times New Roman" w:hAnsi="Times New Roman"/>
          <w:noProof/>
          <w:sz w:val="24"/>
          <w:lang w:val="pl-PL"/>
        </w:rPr>
        <w:t xml:space="preserve"> sprawy, aby zmienić swoje stanowisko przyjęte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NA</w:t>
      </w:r>
      <w:r>
        <w:rPr>
          <w:rFonts w:ascii="Times New Roman" w:eastAsiaTheme="minorEastAsia" w:hAnsi="Times New Roman"/>
          <w:noProof/>
          <w:sz w:val="24"/>
          <w:vertAlign w:val="superscript"/>
        </w:rPr>
        <w:footnoteReference w:id="78"/>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 xml:space="preserve">edmiocie stosowania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3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 </w:t>
      </w:r>
      <w:r w:rsidRPr="00D55672">
        <w:rPr>
          <w:rFonts w:ascii="Times New Roman" w:hAnsi="Times New Roman"/>
          <w:noProof/>
          <w:sz w:val="24"/>
          <w:lang w:val="pl-PL"/>
        </w:rPr>
        <w:t>lit.</w:t>
      </w:r>
      <w:r w:rsidR="00D55672" w:rsidRPr="00D55672">
        <w:rPr>
          <w:rFonts w:ascii="Times New Roman" w:hAnsi="Times New Roman"/>
          <w:noProof/>
          <w:sz w:val="24"/>
          <w:lang w:val="pl-PL"/>
        </w:rPr>
        <w:t> </w:t>
      </w:r>
      <w:r w:rsidRPr="00D55672">
        <w:rPr>
          <w:rFonts w:ascii="Times New Roman" w:hAnsi="Times New Roman"/>
          <w:noProof/>
          <w:sz w:val="24"/>
          <w:lang w:val="pl-PL"/>
        </w:rPr>
        <w:t>c)</w:t>
      </w:r>
      <w:r w:rsidRPr="00FC6D7F">
        <w:rPr>
          <w:rFonts w:ascii="Times New Roman" w:hAnsi="Times New Roman"/>
          <w:noProof/>
          <w:sz w:val="24"/>
          <w:lang w:val="pl-PL"/>
        </w:rPr>
        <w:t xml:space="preserve">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 Podczas gdy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NA Trybunał orzekł, że postępowanie rozwodowe musiało zostać wszczęte zanim przemieszczający się obywatel Unii opuści państwo członkowskie zamieszkania, aby obywatel państwa trzeciego mógł zachować prawo pobytu,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 xml:space="preserve">edmiotowej sprawie orzekł, że jeżeli ten obywatel państwa trzeciego jest ofiarą przemocy domowej ze strony swojego współmałżonka będącego obywatelem Unii lub swojej współmałżonki będącej obywatelką Unii, obywatel państwa trzeciego może powoływać się na zachowanie prawa pobytu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3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 </w:t>
      </w:r>
      <w:r w:rsidRPr="00D55672">
        <w:rPr>
          <w:rFonts w:ascii="Times New Roman" w:hAnsi="Times New Roman"/>
          <w:noProof/>
          <w:sz w:val="24"/>
          <w:lang w:val="pl-PL"/>
        </w:rPr>
        <w:t>lit.</w:t>
      </w:r>
      <w:r w:rsidR="00D55672" w:rsidRPr="00D55672">
        <w:rPr>
          <w:rFonts w:ascii="Times New Roman" w:hAnsi="Times New Roman"/>
          <w:noProof/>
          <w:sz w:val="24"/>
          <w:lang w:val="pl-PL"/>
        </w:rPr>
        <w:t> </w:t>
      </w:r>
      <w:r w:rsidRPr="00D55672">
        <w:rPr>
          <w:rFonts w:ascii="Times New Roman" w:hAnsi="Times New Roman"/>
          <w:noProof/>
          <w:sz w:val="24"/>
          <w:lang w:val="pl-PL"/>
        </w:rPr>
        <w:t>c)</w:t>
      </w:r>
      <w:r w:rsidRPr="00FC6D7F">
        <w:rPr>
          <w:rFonts w:ascii="Times New Roman" w:hAnsi="Times New Roman"/>
          <w:noProof/>
          <w:sz w:val="24"/>
          <w:lang w:val="pl-PL"/>
        </w:rPr>
        <w:t xml:space="preserve"> tylko wtedy, gdy postępowanie rozwodowe zostanie wszczęte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roz</w:t>
      </w:r>
      <w:r w:rsidRPr="00FC6D7F">
        <w:rPr>
          <w:rFonts w:ascii="Times New Roman" w:hAnsi="Times New Roman"/>
          <w:noProof/>
          <w:sz w:val="24"/>
          <w:lang w:val="pl-PL"/>
        </w:rPr>
        <w:t>sądnym terminie po wyjeździe obywatela Unii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yjmującego państwa członkowskiego</w:t>
      </w:r>
      <w:r>
        <w:rPr>
          <w:rFonts w:ascii="Times New Roman" w:eastAsiaTheme="minorEastAsia" w:hAnsi="Times New Roman"/>
          <w:noProof/>
          <w:sz w:val="24"/>
          <w:vertAlign w:val="superscript"/>
        </w:rPr>
        <w:footnoteReference w:id="79"/>
      </w:r>
      <w:r w:rsidRPr="00FC6D7F">
        <w:rPr>
          <w:rFonts w:ascii="Times New Roman" w:hAnsi="Times New Roman"/>
          <w:noProof/>
          <w:sz w:val="24"/>
          <w:lang w:val="pl-PL"/>
        </w:rPr>
        <w:t>.</w:t>
      </w:r>
    </w:p>
    <w:p w14:paraId="5A77EB52" w14:textId="55DBF37B"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W sprawie </w:t>
      </w:r>
      <w:r w:rsidRPr="00FC6D7F">
        <w:rPr>
          <w:rFonts w:ascii="Times New Roman" w:hAnsi="Times New Roman"/>
          <w:b/>
          <w:bCs/>
          <w:noProof/>
          <w:sz w:val="24"/>
          <w:lang w:val="pl-PL"/>
        </w:rPr>
        <w:t>A (Soins de santé publics)</w:t>
      </w:r>
      <w:r>
        <w:rPr>
          <w:rFonts w:ascii="Times New Roman" w:eastAsiaTheme="minorEastAsia" w:hAnsi="Times New Roman"/>
          <w:noProof/>
          <w:sz w:val="24"/>
          <w:vertAlign w:val="superscript"/>
        </w:rPr>
        <w:footnoteReference w:id="80"/>
      </w:r>
      <w:r w:rsidRPr="00FC6D7F">
        <w:rPr>
          <w:rFonts w:ascii="Times New Roman" w:hAnsi="Times New Roman"/>
          <w:noProof/>
          <w:sz w:val="24"/>
          <w:lang w:val="pl-PL"/>
        </w:rPr>
        <w:t xml:space="preserve"> Trybunał zbadał,</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jak</w:t>
      </w:r>
      <w:r w:rsidRPr="00FC6D7F">
        <w:rPr>
          <w:rFonts w:ascii="Times New Roman" w:hAnsi="Times New Roman"/>
          <w:noProof/>
          <w:sz w:val="24"/>
          <w:lang w:val="pl-PL"/>
        </w:rPr>
        <w:t>i sposób rozporządzenie 883/2004 (w sprawie zabezpieczenia społecznego) oddziałuje na wymóg posiadania pełnego ubezpieczenia zdrowotnego,</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rym mowa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D55672">
        <w:rPr>
          <w:rFonts w:ascii="Times New Roman" w:hAnsi="Times New Roman"/>
          <w:noProof/>
          <w:sz w:val="24"/>
          <w:lang w:val="pl-PL"/>
        </w:rPr>
        <w:t>art</w:t>
      </w:r>
      <w:r w:rsidRPr="00D55672">
        <w:rPr>
          <w:rFonts w:ascii="Times New Roman" w:hAnsi="Times New Roman"/>
          <w:noProof/>
          <w:sz w:val="24"/>
          <w:lang w:val="pl-PL"/>
        </w:rPr>
        <w:t>.</w:t>
      </w:r>
      <w:r w:rsidR="00D55672" w:rsidRPr="00D55672">
        <w:rPr>
          <w:rFonts w:ascii="Times New Roman" w:hAnsi="Times New Roman"/>
          <w:noProof/>
          <w:sz w:val="24"/>
          <w:lang w:val="pl-PL"/>
        </w:rPr>
        <w:t> </w:t>
      </w:r>
      <w:r w:rsidRPr="00D55672">
        <w:rPr>
          <w:rFonts w:ascii="Times New Roman" w:hAnsi="Times New Roman"/>
          <w:noProof/>
          <w:sz w:val="24"/>
          <w:lang w:val="pl-PL"/>
        </w:rPr>
        <w:t>7</w:t>
      </w:r>
      <w:r w:rsidRPr="00FC6D7F">
        <w:rPr>
          <w:rFonts w:ascii="Times New Roman" w:hAnsi="Times New Roman"/>
          <w:noProof/>
          <w:sz w:val="24"/>
          <w:lang w:val="pl-PL"/>
        </w:rPr>
        <w:t xml:space="preserve">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 </w:t>
      </w:r>
      <w:r w:rsidRPr="00D55672">
        <w:rPr>
          <w:rFonts w:ascii="Times New Roman" w:hAnsi="Times New Roman"/>
          <w:noProof/>
          <w:sz w:val="24"/>
          <w:lang w:val="pl-PL"/>
        </w:rPr>
        <w:t>lit.</w:t>
      </w:r>
      <w:r w:rsidR="00D55672" w:rsidRPr="00D55672">
        <w:rPr>
          <w:rFonts w:ascii="Times New Roman" w:hAnsi="Times New Roman"/>
          <w:noProof/>
          <w:sz w:val="24"/>
          <w:lang w:val="pl-PL"/>
        </w:rPr>
        <w:t> </w:t>
      </w:r>
      <w:r w:rsidRPr="00D55672">
        <w:rPr>
          <w:rFonts w:ascii="Times New Roman" w:hAnsi="Times New Roman"/>
          <w:noProof/>
          <w:sz w:val="24"/>
          <w:lang w:val="pl-PL"/>
        </w:rPr>
        <w:t>b)</w:t>
      </w:r>
      <w:r w:rsidRPr="00FC6D7F">
        <w:rPr>
          <w:rFonts w:ascii="Times New Roman" w:hAnsi="Times New Roman"/>
          <w:noProof/>
          <w:sz w:val="24"/>
          <w:lang w:val="pl-PL"/>
        </w:rPr>
        <w:t xml:space="preserve">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 Zgodnie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artykułem, państwa członkowskie mogą wymagać od obywateli UE, którzy są obywatelami innego państwa członkowskiego</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rzy chcą korzystać</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wa pobytu na ich terytorium przez okres dłuższy niż trzy miesiące, nie będąc aktywnymi zawodowo, posiadania dla siebie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czł</w:t>
      </w:r>
      <w:r w:rsidRPr="00FC6D7F">
        <w:rPr>
          <w:rFonts w:ascii="Times New Roman" w:hAnsi="Times New Roman"/>
          <w:noProof/>
          <w:sz w:val="24"/>
          <w:lang w:val="pl-PL"/>
        </w:rPr>
        <w:t>onków swojej rodziny pełnego ubezpieczenia zdrowotnego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yjmującym państwie członkowskim oraz wystarczających zasobów, aby nie stanowić obciążenia dla systemu pomocy społecznej przyjmującego państwa członkowskiego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okr</w:t>
      </w:r>
      <w:r w:rsidRPr="00FC6D7F">
        <w:rPr>
          <w:rFonts w:ascii="Times New Roman" w:hAnsi="Times New Roman"/>
          <w:noProof/>
          <w:sz w:val="24"/>
          <w:lang w:val="pl-PL"/>
        </w:rPr>
        <w:t>esie pobytu.</w:t>
      </w:r>
    </w:p>
    <w:p w14:paraId="458B9F67" w14:textId="38D513B5"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Trybunał stwierdził, że nieaktywni zawodowo obywatele Unii, którzy przenoszą się do innego państwa członkowskiego</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kor</w:t>
      </w:r>
      <w:r w:rsidRPr="00FC6D7F">
        <w:rPr>
          <w:rFonts w:ascii="Times New Roman" w:hAnsi="Times New Roman"/>
          <w:noProof/>
          <w:sz w:val="24"/>
          <w:lang w:val="pl-PL"/>
        </w:rPr>
        <w:t>zystają</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wa pobytu przez okres dłuższy niż trzy miesiące, ale krótszy niż pięć lat, mają prawo do ubezpieczenia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publicznego systemu ubezpieczenia zdrowotnego przyjmującego państwa członkowskiego. Trybunał uznał bowiem, że państwo członkowskie nie może, na podstawie swojego ustawodawstwa krajowego, odmówić objęcia publicznym ubezpieczeniem zdrowotnym obywatela Unii, który zgodnie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D55672">
        <w:rPr>
          <w:rFonts w:ascii="Times New Roman" w:hAnsi="Times New Roman"/>
          <w:noProof/>
          <w:sz w:val="24"/>
          <w:lang w:val="pl-PL"/>
        </w:rPr>
        <w:t>art</w:t>
      </w:r>
      <w:r w:rsidRPr="00D55672">
        <w:rPr>
          <w:rFonts w:ascii="Times New Roman" w:hAnsi="Times New Roman"/>
          <w:noProof/>
          <w:sz w:val="24"/>
          <w:lang w:val="pl-PL"/>
        </w:rPr>
        <w: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1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3</w:t>
      </w:r>
      <w:r w:rsidRPr="00FC6D7F">
        <w:rPr>
          <w:rFonts w:ascii="Times New Roman" w:hAnsi="Times New Roman"/>
          <w:noProof/>
          <w:sz w:val="24"/>
          <w:lang w:val="pl-PL"/>
        </w:rPr>
        <w:t xml:space="preserve"> </w:t>
      </w:r>
      <w:r w:rsidRPr="00D55672">
        <w:rPr>
          <w:rFonts w:ascii="Times New Roman" w:hAnsi="Times New Roman"/>
          <w:noProof/>
          <w:sz w:val="24"/>
          <w:lang w:val="pl-PL"/>
        </w:rPr>
        <w:t>lit.</w:t>
      </w:r>
      <w:r w:rsidR="00D55672" w:rsidRPr="00D55672">
        <w:rPr>
          <w:rFonts w:ascii="Times New Roman" w:hAnsi="Times New Roman"/>
          <w:noProof/>
          <w:sz w:val="24"/>
          <w:lang w:val="pl-PL"/>
        </w:rPr>
        <w:t> </w:t>
      </w:r>
      <w:r w:rsidRPr="00D55672">
        <w:rPr>
          <w:rFonts w:ascii="Times New Roman" w:hAnsi="Times New Roman"/>
          <w:noProof/>
          <w:sz w:val="24"/>
          <w:lang w:val="pl-PL"/>
        </w:rPr>
        <w:t>e)</w:t>
      </w:r>
      <w:r w:rsidRPr="00FC6D7F">
        <w:rPr>
          <w:rFonts w:ascii="Times New Roman" w:hAnsi="Times New Roman"/>
          <w:noProof/>
          <w:sz w:val="24"/>
          <w:lang w:val="pl-PL"/>
        </w:rPr>
        <w:t xml:space="preserve"> rozporządzenia </w:t>
      </w:r>
      <w:r w:rsidRPr="00D55672">
        <w:rPr>
          <w:rFonts w:ascii="Times New Roman" w:hAnsi="Times New Roman"/>
          <w:noProof/>
          <w:sz w:val="24"/>
          <w:lang w:val="pl-PL"/>
        </w:rPr>
        <w:t>nr</w:t>
      </w:r>
      <w:r w:rsidR="00D55672" w:rsidRPr="00D55672">
        <w:rPr>
          <w:rFonts w:ascii="Times New Roman" w:hAnsi="Times New Roman"/>
          <w:noProof/>
          <w:sz w:val="24"/>
          <w:lang w:val="pl-PL"/>
        </w:rPr>
        <w:t> </w:t>
      </w:r>
      <w:r w:rsidRPr="00D55672">
        <w:rPr>
          <w:rFonts w:ascii="Times New Roman" w:hAnsi="Times New Roman"/>
          <w:noProof/>
          <w:sz w:val="24"/>
          <w:lang w:val="pl-PL"/>
        </w:rPr>
        <w:t>8</w:t>
      </w:r>
      <w:r w:rsidRPr="00FC6D7F">
        <w:rPr>
          <w:rFonts w:ascii="Times New Roman" w:hAnsi="Times New Roman"/>
          <w:noProof/>
          <w:sz w:val="24"/>
          <w:lang w:val="pl-PL"/>
        </w:rPr>
        <w:t>83/2004,</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odn</w:t>
      </w:r>
      <w:r w:rsidRPr="00FC6D7F">
        <w:rPr>
          <w:rFonts w:ascii="Times New Roman" w:hAnsi="Times New Roman"/>
          <w:noProof/>
          <w:sz w:val="24"/>
          <w:lang w:val="pl-PL"/>
        </w:rPr>
        <w:t>iesieniu do określania mającego zastosowanie ustawodawstwa, podlega ustawodawstwu tego państwa członkowskiego</w:t>
      </w:r>
      <w:r>
        <w:rPr>
          <w:rFonts w:ascii="Times New Roman" w:eastAsiaTheme="minorEastAsia" w:hAnsi="Times New Roman"/>
          <w:noProof/>
          <w:sz w:val="24"/>
          <w:vertAlign w:val="superscript"/>
        </w:rPr>
        <w:footnoteReference w:id="81"/>
      </w:r>
      <w:r w:rsidRPr="00FC6D7F">
        <w:rPr>
          <w:rFonts w:ascii="Times New Roman" w:hAnsi="Times New Roman"/>
          <w:noProof/>
          <w:sz w:val="24"/>
          <w:lang w:val="pl-PL"/>
        </w:rPr>
        <w:t>.</w:t>
      </w:r>
    </w:p>
    <w:p w14:paraId="186EFA80" w14:textId="09A18E7C"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Niemniej jednak</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tak</w:t>
      </w:r>
      <w:r w:rsidRPr="00FC6D7F">
        <w:rPr>
          <w:rFonts w:ascii="Times New Roman" w:hAnsi="Times New Roman"/>
          <w:noProof/>
          <w:sz w:val="24"/>
          <w:lang w:val="pl-PL"/>
        </w:rPr>
        <w:t>ich okolicznościach do czasu uzyskania przez takich obywateli Unii prawa stałego pobytu przyjmujące państwo członkowskie może postanowić, że dostęp do tego systemu nie będzie bezpłatny,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uniknięcia sytuacji,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rej nieaktywni zawodowo obywatele Unii staliby się nieracjonalnym obciążeniem dla finansów publicznych tego państwa członkowskiego</w:t>
      </w:r>
      <w:r>
        <w:rPr>
          <w:rFonts w:ascii="Times New Roman" w:eastAsiaTheme="minorEastAsia" w:hAnsi="Times New Roman"/>
          <w:noProof/>
          <w:sz w:val="24"/>
          <w:vertAlign w:val="superscript"/>
        </w:rPr>
        <w:footnoteReference w:id="82"/>
      </w:r>
      <w:r w:rsidRPr="00FC6D7F">
        <w:rPr>
          <w:rFonts w:ascii="Times New Roman" w:hAnsi="Times New Roman"/>
          <w:noProof/>
          <w:sz w:val="24"/>
          <w:lang w:val="pl-PL"/>
        </w:rPr>
        <w:t>.</w:t>
      </w:r>
    </w:p>
    <w:p w14:paraId="748CD04C" w14:textId="6D869C1E"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W związku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przyjmujące państwo członkowskie może, pod warunkiem przestrzegania zasady proporcjonalności, uzależnić członkostwo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pub</w:t>
      </w:r>
      <w:r w:rsidRPr="00FC6D7F">
        <w:rPr>
          <w:rFonts w:ascii="Times New Roman" w:hAnsi="Times New Roman"/>
          <w:noProof/>
          <w:sz w:val="24"/>
          <w:lang w:val="pl-PL"/>
        </w:rPr>
        <w:t>licznym systemie ubezpieczenia zdrowotnego nieaktywnego zawodowo obywatela Unii od spełnienia przez niego warunków mających na celu zapewnienie, aby obywatel Unii nie stał się nieracjonalnym obciążeniem dla finansów publicznych tego państwa. Warunki te mogą obejmować zawarcie lub utrzymanie przez obywatela Unii pełnego prywatnego ubezpieczenia zdrowotnego, co pozwoli przyjmującemu państwu członkowskiemu odzyskać koszty opieki zdrowotnej poniesione na rzecz tego obywatela, lub opłacenie przez obywatela Unii składki na rzecz systemu publicznego ubezpieczenia zdrowotnego tego państwa członkowskiego</w:t>
      </w:r>
      <w:r>
        <w:rPr>
          <w:rFonts w:ascii="Times New Roman" w:eastAsiaTheme="minorEastAsia" w:hAnsi="Times New Roman"/>
          <w:noProof/>
          <w:sz w:val="24"/>
          <w:vertAlign w:val="superscript"/>
        </w:rPr>
        <w:footnoteReference w:id="83"/>
      </w:r>
      <w:r w:rsidRPr="00FC6D7F">
        <w:rPr>
          <w:rFonts w:ascii="Times New Roman" w:hAnsi="Times New Roman"/>
          <w:noProof/>
          <w:sz w:val="24"/>
          <w:lang w:val="pl-PL"/>
        </w:rPr>
        <w:t>. Trybunał orzekł, że przyjmujące państwo członkowskie musi zapewnić</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kontekście poszanowanie zasady proporcjonalności „oraz zapewnić że możliwość spełnienia takich warunków przez danego obywatela nie będzie nadmiernie utrudniona”</w:t>
      </w:r>
      <w:r>
        <w:rPr>
          <w:rFonts w:ascii="Times New Roman" w:eastAsiaTheme="minorEastAsia" w:hAnsi="Times New Roman"/>
          <w:noProof/>
          <w:sz w:val="24"/>
          <w:vertAlign w:val="superscript"/>
        </w:rPr>
        <w:footnoteReference w:id="84"/>
      </w:r>
      <w:r w:rsidRPr="00FC6D7F">
        <w:rPr>
          <w:rFonts w:ascii="Times New Roman" w:hAnsi="Times New Roman"/>
          <w:noProof/>
          <w:sz w:val="24"/>
          <w:lang w:val="pl-PL"/>
        </w:rPr>
        <w:t>.</w:t>
      </w:r>
    </w:p>
    <w:p w14:paraId="591FDE9B" w14:textId="36EF5C4C"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Sprawa </w:t>
      </w:r>
      <w:r w:rsidRPr="00FC6D7F">
        <w:rPr>
          <w:rFonts w:ascii="Times New Roman" w:hAnsi="Times New Roman"/>
          <w:b/>
          <w:bCs/>
          <w:noProof/>
          <w:sz w:val="24"/>
          <w:lang w:val="pl-PL"/>
        </w:rPr>
        <w:t>VI/Commissioners for Her Majesty’s Revenue &amp; Customs</w:t>
      </w:r>
      <w:r>
        <w:rPr>
          <w:rFonts w:ascii="Times New Roman" w:eastAsiaTheme="minorEastAsia" w:hAnsi="Times New Roman"/>
          <w:noProof/>
          <w:sz w:val="24"/>
          <w:vertAlign w:val="superscript"/>
        </w:rPr>
        <w:footnoteReference w:id="85"/>
      </w:r>
      <w:r w:rsidRPr="00FC6D7F">
        <w:rPr>
          <w:rFonts w:ascii="Times New Roman" w:hAnsi="Times New Roman"/>
          <w:noProof/>
          <w:sz w:val="24"/>
          <w:lang w:val="pl-PL"/>
        </w:rPr>
        <w:t xml:space="preserve"> dotyczyła sytuacji irlandzkiego dziecka oraz jego rodzica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głó</w:t>
      </w:r>
      <w:r w:rsidRPr="00FC6D7F">
        <w:rPr>
          <w:rFonts w:ascii="Times New Roman" w:hAnsi="Times New Roman"/>
          <w:noProof/>
          <w:sz w:val="24"/>
          <w:lang w:val="pl-PL"/>
        </w:rPr>
        <w:t>wnego opiekuna niebędącego obywatelem Unii, którzy mieszkali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Zje</w:t>
      </w:r>
      <w:r w:rsidRPr="00FC6D7F">
        <w:rPr>
          <w:rFonts w:ascii="Times New Roman" w:hAnsi="Times New Roman"/>
          <w:noProof/>
          <w:sz w:val="24"/>
          <w:lang w:val="pl-PL"/>
        </w:rPr>
        <w:t>dnoczonym Królestwie. Kwestia ta była związana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wym</w:t>
      </w:r>
      <w:r w:rsidRPr="00FC6D7F">
        <w:rPr>
          <w:rFonts w:ascii="Times New Roman" w:hAnsi="Times New Roman"/>
          <w:noProof/>
          <w:sz w:val="24"/>
          <w:lang w:val="pl-PL"/>
        </w:rPr>
        <w:t>ogiem posiadania pełnego ubezpieczenia zdrowotnego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roz</w:t>
      </w:r>
      <w:r w:rsidRPr="00FC6D7F">
        <w:rPr>
          <w:rFonts w:ascii="Times New Roman" w:hAnsi="Times New Roman"/>
          <w:noProof/>
          <w:sz w:val="24"/>
          <w:lang w:val="pl-PL"/>
        </w:rPr>
        <w:t>umieniu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 xml:space="preserve">awie swobodnego przemieszczania się. </w:t>
      </w:r>
    </w:p>
    <w:p w14:paraId="36ABC8D6" w14:textId="05B16035"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Po pierwsze, Trybunał przypomniał, że prawo małoletniego do stałego pobytu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yjmującym państwie członkowskim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zapewnienia skuteczności tego prawa pobytu pociąga za sobą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spo</w:t>
      </w:r>
      <w:r w:rsidRPr="00FC6D7F">
        <w:rPr>
          <w:rFonts w:ascii="Times New Roman" w:hAnsi="Times New Roman"/>
          <w:noProof/>
          <w:sz w:val="24"/>
          <w:lang w:val="pl-PL"/>
        </w:rPr>
        <w:t>sób nieunikniony prawo rodzica sprawującego główną pieczę nad tym dzieckiem do zamieszkiwania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nim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yjmującym państwie członkowskim</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kon</w:t>
      </w:r>
      <w:r w:rsidRPr="00FC6D7F">
        <w:rPr>
          <w:rFonts w:ascii="Times New Roman" w:hAnsi="Times New Roman"/>
          <w:noProof/>
          <w:sz w:val="24"/>
          <w:lang w:val="pl-PL"/>
        </w:rPr>
        <w:t>sekwencji niemożność zastosowania warunku posiadania, między innymi, pełnego ubezpieczenia zdrowotnego po uzyskaniu przez małoletniego stałego pobytu rozciąga się na tego rodzica</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po nabyciu przez dziecko prawa do stałego pobytu żadne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nic</w:t>
      </w:r>
      <w:r w:rsidRPr="00FC6D7F">
        <w:rPr>
          <w:rFonts w:ascii="Times New Roman" w:hAnsi="Times New Roman"/>
          <w:noProof/>
          <w:sz w:val="24"/>
          <w:lang w:val="pl-PL"/>
        </w:rPr>
        <w:t>h nie jest zobowiązane do posiadania pełnego ubezpieczenia zdrowotnego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zachowania prawa pobytu</w:t>
      </w:r>
      <w:r>
        <w:rPr>
          <w:rFonts w:ascii="Times New Roman" w:eastAsiaTheme="minorEastAsia" w:hAnsi="Times New Roman"/>
          <w:noProof/>
          <w:sz w:val="24"/>
          <w:vertAlign w:val="superscript"/>
        </w:rPr>
        <w:footnoteReference w:id="86"/>
      </w:r>
      <w:r w:rsidRPr="00FC6D7F">
        <w:rPr>
          <w:rFonts w:ascii="Times New Roman" w:hAnsi="Times New Roman"/>
          <w:noProof/>
          <w:sz w:val="24"/>
          <w:lang w:val="pl-PL"/>
        </w:rPr>
        <w:t xml:space="preserve">. </w:t>
      </w:r>
    </w:p>
    <w:p w14:paraId="77447C20" w14:textId="7C5CC420"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Ponadto Trybunał wyjaśnił, że przed nabyciem przez dziecko prawa do stałego miejsca zamieszkania zarówno dziecko, jak</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rod</w:t>
      </w:r>
      <w:r w:rsidRPr="00FC6D7F">
        <w:rPr>
          <w:rFonts w:ascii="Times New Roman" w:hAnsi="Times New Roman"/>
          <w:noProof/>
          <w:sz w:val="24"/>
          <w:lang w:val="pl-PL"/>
        </w:rPr>
        <w:t>zic sprawujący główną pieczę są zobowiązani do posiadania pełnego ubezpieczenia zdrowotnego. Wymóg ten jest spełniony zarówno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ypadku, gdy dziecko to ma pełne ubezpieczenie zdrowotne obejmujące jego rodzica, jak</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w:t>
      </w:r>
      <w:r w:rsidR="00D55672">
        <w:rPr>
          <w:rFonts w:ascii="Times New Roman" w:hAnsi="Times New Roman"/>
          <w:noProof/>
          <w:sz w:val="24"/>
          <w:lang w:val="pl-PL"/>
        </w:rPr>
        <w:t> </w:t>
      </w:r>
      <w:r w:rsidR="00D55672" w:rsidRPr="00FC6D7F">
        <w:rPr>
          <w:rFonts w:ascii="Times New Roman" w:hAnsi="Times New Roman"/>
          <w:noProof/>
          <w:sz w:val="24"/>
          <w:lang w:val="pl-PL"/>
        </w:rPr>
        <w:t>odw</w:t>
      </w:r>
      <w:r w:rsidRPr="00FC6D7F">
        <w:rPr>
          <w:rFonts w:ascii="Times New Roman" w:hAnsi="Times New Roman"/>
          <w:noProof/>
          <w:sz w:val="24"/>
          <w:lang w:val="pl-PL"/>
        </w:rPr>
        <w:t>rotnym przypadku, gdy rodzic ma takie ubezpieczenie obejmujące jego dziecko</w:t>
      </w:r>
      <w:r>
        <w:rPr>
          <w:rFonts w:ascii="Times New Roman" w:eastAsiaTheme="minorEastAsia" w:hAnsi="Times New Roman"/>
          <w:noProof/>
          <w:sz w:val="24"/>
          <w:vertAlign w:val="superscript"/>
        </w:rPr>
        <w:footnoteReference w:id="87"/>
      </w:r>
      <w:r w:rsidRPr="00FC6D7F">
        <w:rPr>
          <w:rFonts w:ascii="Times New Roman" w:hAnsi="Times New Roman"/>
          <w:noProof/>
          <w:sz w:val="24"/>
          <w:lang w:val="pl-PL"/>
        </w:rPr>
        <w:t xml:space="preserve">. </w:t>
      </w:r>
    </w:p>
    <w:p w14:paraId="195AD548" w14:textId="39747BAE" w:rsidR="003667F7" w:rsidRPr="00FC6D7F" w:rsidRDefault="003667F7" w:rsidP="003667F7">
      <w:pPr>
        <w:spacing w:after="240" w:line="276" w:lineRule="auto"/>
        <w:jc w:val="both"/>
        <w:rPr>
          <w:rFonts w:ascii="Times New Roman" w:eastAsiaTheme="minorEastAsia" w:hAnsi="Times New Roman"/>
          <w:b/>
          <w:noProof/>
          <w:sz w:val="24"/>
          <w:lang w:val="pl-PL"/>
        </w:rPr>
      </w:pPr>
      <w:r w:rsidRPr="00FC6D7F">
        <w:rPr>
          <w:rFonts w:ascii="Times New Roman" w:hAnsi="Times New Roman"/>
          <w:noProof/>
          <w:sz w:val="24"/>
          <w:lang w:val="pl-PL"/>
        </w:rPr>
        <w:t>Trybunał przypomniał, że przyjmujące państwo członkowskie może, pod warunkiem przestrzegania zasady proporcjonalności, uzależnić członkostwo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pub</w:t>
      </w:r>
      <w:r w:rsidRPr="00FC6D7F">
        <w:rPr>
          <w:rFonts w:ascii="Times New Roman" w:hAnsi="Times New Roman"/>
          <w:noProof/>
          <w:sz w:val="24"/>
          <w:lang w:val="pl-PL"/>
        </w:rPr>
        <w:t>licznym systemie ubezpieczenia zdrowotnego nieaktywnego zawodowo obywatela Unii od spełnienia przez niego warunków mających na celu zapewnienie, aby obywatel ten nie stał się nieracjonalnym obciążeniem dla finansów publicznych tego państwa. Trybunał podkreślił również, że obywatel Unii, który przystąpi do takiego publicznego systemu ubezpieczeń zdrowotnych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yjmującym państwie członkowskim, jest objęty pełnym ubezpieczeniem zdrowotnym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roz</w:t>
      </w:r>
      <w:r w:rsidRPr="00FC6D7F">
        <w:rPr>
          <w:rFonts w:ascii="Times New Roman" w:hAnsi="Times New Roman"/>
          <w:noProof/>
          <w:sz w:val="24"/>
          <w:lang w:val="pl-PL"/>
        </w:rPr>
        <w:t>umieniu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w:t>
      </w:r>
      <w:r>
        <w:rPr>
          <w:rFonts w:ascii="Times New Roman" w:eastAsiaTheme="minorEastAsia" w:hAnsi="Times New Roman"/>
          <w:noProof/>
          <w:sz w:val="24"/>
          <w:vertAlign w:val="superscript"/>
        </w:rPr>
        <w:footnoteReference w:id="88"/>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syt</w:t>
      </w:r>
      <w:r w:rsidRPr="00FC6D7F">
        <w:rPr>
          <w:rFonts w:ascii="Times New Roman" w:hAnsi="Times New Roman"/>
          <w:noProof/>
          <w:sz w:val="24"/>
          <w:lang w:val="pl-PL"/>
        </w:rPr>
        <w:t>uacji,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rej rodzic pracował</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był</w:t>
      </w:r>
      <w:r w:rsidRPr="00FC6D7F">
        <w:rPr>
          <w:rFonts w:ascii="Times New Roman" w:hAnsi="Times New Roman"/>
          <w:noProof/>
          <w:sz w:val="24"/>
          <w:lang w:val="pl-PL"/>
        </w:rPr>
        <w:t xml:space="preserve"> objęty obowiązkiem podatkowym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stwie przyjmującym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roz</w:t>
      </w:r>
      <w:r w:rsidRPr="00FC6D7F">
        <w:rPr>
          <w:rFonts w:ascii="Times New Roman" w:hAnsi="Times New Roman"/>
          <w:noProof/>
          <w:sz w:val="24"/>
          <w:lang w:val="pl-PL"/>
        </w:rPr>
        <w:t>patrywanym okresie, odmówienie temu dziecku</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rod</w:t>
      </w:r>
      <w:r w:rsidRPr="00FC6D7F">
        <w:rPr>
          <w:rFonts w:ascii="Times New Roman" w:hAnsi="Times New Roman"/>
          <w:noProof/>
          <w:sz w:val="24"/>
          <w:lang w:val="pl-PL"/>
        </w:rPr>
        <w:t>zicowi prawa pobytu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teg</w:t>
      </w:r>
      <w:r w:rsidRPr="00FC6D7F">
        <w:rPr>
          <w:rFonts w:ascii="Times New Roman" w:hAnsi="Times New Roman"/>
          <w:noProof/>
          <w:sz w:val="24"/>
          <w:lang w:val="pl-PL"/>
        </w:rPr>
        <w:t>o tylko powodu, że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okresie byli oni ubezpieczeni nieodpłatnie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publicznego systemu ubezpieczenia zdrowotnego tego państwa, byłoby nieproporcjonalne</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tyc</w:t>
      </w:r>
      <w:r w:rsidRPr="00FC6D7F">
        <w:rPr>
          <w:rFonts w:ascii="Times New Roman" w:hAnsi="Times New Roman"/>
          <w:noProof/>
          <w:sz w:val="24"/>
          <w:lang w:val="pl-PL"/>
        </w:rPr>
        <w:t>h okolicznościach nie można uznać, że takie członkostwo stanowi nieracjonalne obciążenie dla finansów publicznych państwa członkowskiego.</w:t>
      </w:r>
    </w:p>
    <w:p w14:paraId="4CB4F629" w14:textId="6C0D6E3B" w:rsidR="003667F7" w:rsidRPr="00FC6D7F" w:rsidRDefault="003667F7" w:rsidP="003667F7">
      <w:pPr>
        <w:pStyle w:val="Heading2"/>
        <w:rPr>
          <w:noProof/>
          <w:lang w:val="pl-PL"/>
        </w:rPr>
      </w:pPr>
      <w:r w:rsidRPr="00FC6D7F">
        <w:rPr>
          <w:noProof/>
          <w:lang w:val="pl-PL"/>
        </w:rPr>
        <w:t>Wjazd</w:t>
      </w:r>
      <w:r w:rsidR="00D55672" w:rsidRPr="00FC6D7F">
        <w:rPr>
          <w:noProof/>
          <w:lang w:val="pl-PL"/>
        </w:rPr>
        <w:t xml:space="preserve"> i</w:t>
      </w:r>
      <w:r w:rsidR="00D55672">
        <w:rPr>
          <w:noProof/>
          <w:lang w:val="pl-PL"/>
        </w:rPr>
        <w:t> </w:t>
      </w:r>
      <w:r w:rsidR="00D55672" w:rsidRPr="00FC6D7F">
        <w:rPr>
          <w:noProof/>
          <w:lang w:val="pl-PL"/>
        </w:rPr>
        <w:t>pob</w:t>
      </w:r>
      <w:r w:rsidRPr="00FC6D7F">
        <w:rPr>
          <w:noProof/>
          <w:lang w:val="pl-PL"/>
        </w:rPr>
        <w:t>yt „innych członków rodziny” obywatela Unii</w:t>
      </w:r>
    </w:p>
    <w:p w14:paraId="555455EA" w14:textId="74A3B97D"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Zgodnie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D55672">
        <w:rPr>
          <w:rFonts w:ascii="Times New Roman" w:hAnsi="Times New Roman"/>
          <w:noProof/>
          <w:sz w:val="24"/>
          <w:lang w:val="pl-PL"/>
        </w:rPr>
        <w:t>art</w:t>
      </w:r>
      <w:r w:rsidRPr="00D55672">
        <w:rPr>
          <w:rFonts w:ascii="Times New Roman" w:hAnsi="Times New Roman"/>
          <w:noProof/>
          <w:sz w:val="24"/>
          <w:lang w:val="pl-PL"/>
        </w:rPr>
        <w:t>.</w:t>
      </w:r>
      <w:r w:rsidR="00D55672" w:rsidRPr="00D55672">
        <w:rPr>
          <w:rFonts w:ascii="Times New Roman" w:hAnsi="Times New Roman"/>
          <w:noProof/>
          <w:sz w:val="24"/>
          <w:lang w:val="pl-PL"/>
        </w:rPr>
        <w:t> </w:t>
      </w:r>
      <w:r w:rsidRPr="00D55672">
        <w:rPr>
          <w:rFonts w:ascii="Times New Roman" w:hAnsi="Times New Roman"/>
          <w:noProof/>
          <w:sz w:val="24"/>
          <w:lang w:val="pl-PL"/>
        </w:rPr>
        <w:t>3</w:t>
      </w:r>
      <w:r w:rsidRPr="00FC6D7F">
        <w:rPr>
          <w:rFonts w:ascii="Times New Roman" w:hAnsi="Times New Roman"/>
          <w:noProof/>
          <w:sz w:val="24"/>
          <w:lang w:val="pl-PL"/>
        </w:rPr>
        <w:t xml:space="preserve">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 państwa członkowskie muszą ułatwiać wjazd</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pob</w:t>
      </w:r>
      <w:r w:rsidRPr="00FC6D7F">
        <w:rPr>
          <w:rFonts w:ascii="Times New Roman" w:hAnsi="Times New Roman"/>
          <w:noProof/>
          <w:sz w:val="24"/>
          <w:lang w:val="pl-PL"/>
        </w:rPr>
        <w:t xml:space="preserve">yt „członków rodziny rozszerzonej” obywateli Unii. Sprawa </w:t>
      </w:r>
      <w:r w:rsidRPr="00FC6D7F">
        <w:rPr>
          <w:rFonts w:ascii="Times New Roman" w:hAnsi="Times New Roman"/>
          <w:b/>
          <w:bCs/>
          <w:noProof/>
          <w:sz w:val="24"/>
          <w:lang w:val="pl-PL"/>
        </w:rPr>
        <w:t>Minister for Justice and Equality (Ressortissant de pays tiers cousin d’un citoyen de l’Union)</w:t>
      </w:r>
      <w:r>
        <w:rPr>
          <w:rFonts w:ascii="Times New Roman" w:eastAsiaTheme="minorEastAsia" w:hAnsi="Times New Roman"/>
          <w:noProof/>
          <w:sz w:val="24"/>
          <w:vertAlign w:val="superscript"/>
        </w:rPr>
        <w:footnoteReference w:id="89"/>
      </w:r>
      <w:r w:rsidRPr="00FC6D7F">
        <w:rPr>
          <w:rFonts w:ascii="Times New Roman" w:hAnsi="Times New Roman"/>
          <w:noProof/>
          <w:sz w:val="24"/>
          <w:lang w:val="pl-PL"/>
        </w:rPr>
        <w:t xml:space="preserve"> dotyczyła „członków gospodarstwa domowego”, jednej</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kat</w:t>
      </w:r>
      <w:r w:rsidRPr="00FC6D7F">
        <w:rPr>
          <w:rFonts w:ascii="Times New Roman" w:hAnsi="Times New Roman"/>
          <w:noProof/>
          <w:sz w:val="24"/>
          <w:lang w:val="pl-PL"/>
        </w:rPr>
        <w:t>egorii „członków rodziny rozszerzonej”. Po pierwsze, Trybunał orzekł, że trzy sytuacje dotyczące kategorii „członka rodziny rozszerzonej” – zależność finansowa, zależność fizyczna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byc</w:t>
      </w:r>
      <w:r w:rsidRPr="00FC6D7F">
        <w:rPr>
          <w:rFonts w:ascii="Times New Roman" w:hAnsi="Times New Roman"/>
          <w:noProof/>
          <w:sz w:val="24"/>
          <w:lang w:val="pl-PL"/>
        </w:rPr>
        <w:t>ie członkiem gospodarstwa domowego – nie muszą występować łącznie. Oznacza to, że daną osobę można uznać za „członka rodziny rozszerzonej”, jeżeli znajduje się ona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jed</w:t>
      </w:r>
      <w:r w:rsidRPr="00FC6D7F">
        <w:rPr>
          <w:rFonts w:ascii="Times New Roman" w:hAnsi="Times New Roman"/>
          <w:noProof/>
          <w:sz w:val="24"/>
          <w:lang w:val="pl-PL"/>
        </w:rPr>
        <w:t>nej</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tyc</w:t>
      </w:r>
      <w:r w:rsidRPr="00FC6D7F">
        <w:rPr>
          <w:rFonts w:ascii="Times New Roman" w:hAnsi="Times New Roman"/>
          <w:noProof/>
          <w:sz w:val="24"/>
          <w:lang w:val="pl-PL"/>
        </w:rPr>
        <w:t>h trzech sytuacji.</w:t>
      </w:r>
      <w:r w:rsidR="00C20C0D">
        <w:rPr>
          <w:rFonts w:ascii="Times New Roman" w:hAnsi="Times New Roman"/>
          <w:noProof/>
          <w:sz w:val="24"/>
          <w:lang w:val="pl-PL"/>
        </w:rPr>
        <w:t xml:space="preserve"> </w:t>
      </w:r>
      <w:r w:rsidRPr="00FC6D7F">
        <w:rPr>
          <w:rFonts w:ascii="Times New Roman" w:hAnsi="Times New Roman"/>
          <w:noProof/>
          <w:sz w:val="24"/>
          <w:lang w:val="pl-PL"/>
        </w:rPr>
        <w:t>Po drugie, Trybunał wyjaśnił, że pojęcie „członek gospodarstwa domowego” oznacza osoby, które pozostają</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oby</w:t>
      </w:r>
      <w:r w:rsidRPr="00FC6D7F">
        <w:rPr>
          <w:rFonts w:ascii="Times New Roman" w:hAnsi="Times New Roman"/>
          <w:noProof/>
          <w:sz w:val="24"/>
          <w:lang w:val="pl-PL"/>
        </w:rPr>
        <w:t>watelem Unii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rel</w:t>
      </w:r>
      <w:r w:rsidRPr="00FC6D7F">
        <w:rPr>
          <w:rFonts w:ascii="Times New Roman" w:hAnsi="Times New Roman"/>
          <w:noProof/>
          <w:sz w:val="24"/>
          <w:lang w:val="pl-PL"/>
        </w:rPr>
        <w:t>acji zależności opartej na „ścisłych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trw</w:t>
      </w:r>
      <w:r w:rsidRPr="00FC6D7F">
        <w:rPr>
          <w:rFonts w:ascii="Times New Roman" w:hAnsi="Times New Roman"/>
          <w:noProof/>
          <w:sz w:val="24"/>
          <w:lang w:val="pl-PL"/>
        </w:rPr>
        <w:t>ałych więzach osobistych, powstałych wewnątrz tego samego ogniska rodzinnego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wspólnoty życia domowego wykraczającej poza zwykłe, czasowe wspólne zamieszkiwanie wynikające ze zwykłej wygody”</w:t>
      </w:r>
      <w:r>
        <w:rPr>
          <w:rFonts w:ascii="Times New Roman" w:eastAsiaTheme="minorEastAsia" w:hAnsi="Times New Roman"/>
          <w:noProof/>
          <w:sz w:val="24"/>
          <w:vertAlign w:val="superscript"/>
        </w:rPr>
        <w:footnoteReference w:id="90"/>
      </w:r>
      <w:r w:rsidRPr="00FC6D7F">
        <w:rPr>
          <w:rFonts w:ascii="Times New Roman" w:hAnsi="Times New Roman"/>
          <w:noProof/>
          <w:sz w:val="24"/>
          <w:lang w:val="pl-PL"/>
        </w:rPr>
        <w:t>. Czynniki, które należy uwzględnić przy ocenie istnienia takiej więzi, obejmują stopień pokrewieństwa oraz,</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zal</w:t>
      </w:r>
      <w:r w:rsidRPr="00FC6D7F">
        <w:rPr>
          <w:rFonts w:ascii="Times New Roman" w:hAnsi="Times New Roman"/>
          <w:noProof/>
          <w:sz w:val="24"/>
          <w:lang w:val="pl-PL"/>
        </w:rPr>
        <w:t>eżności od szczególnych okoliczności sprawy, „bliskość danej relacji rodzinnej oraz wzajemność</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int</w:t>
      </w:r>
      <w:r w:rsidRPr="00FC6D7F">
        <w:rPr>
          <w:rFonts w:ascii="Times New Roman" w:hAnsi="Times New Roman"/>
          <w:noProof/>
          <w:sz w:val="24"/>
          <w:lang w:val="pl-PL"/>
        </w:rPr>
        <w:t>ensywność więzi”</w:t>
      </w:r>
      <w:r>
        <w:rPr>
          <w:rFonts w:ascii="Times New Roman" w:eastAsiaTheme="minorEastAsia" w:hAnsi="Times New Roman"/>
          <w:noProof/>
          <w:sz w:val="24"/>
          <w:vertAlign w:val="superscript"/>
        </w:rPr>
        <w:footnoteReference w:id="91"/>
      </w:r>
      <w:r w:rsidRPr="00FC6D7F">
        <w:rPr>
          <w:rFonts w:ascii="Times New Roman" w:hAnsi="Times New Roman"/>
          <w:noProof/>
          <w:sz w:val="24"/>
          <w:lang w:val="pl-PL"/>
        </w:rPr>
        <w:t>. Więź ta powinna być tego rodzaju, że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ypadku, gdyby stało się niemożliwe, by członek rodziny był członkiem gospodarstwa domowego obywatela Unii, „ucierpiałaby co najmniej jedna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tyc</w:t>
      </w:r>
      <w:r w:rsidRPr="00FC6D7F">
        <w:rPr>
          <w:rFonts w:ascii="Times New Roman" w:hAnsi="Times New Roman"/>
          <w:noProof/>
          <w:sz w:val="24"/>
          <w:lang w:val="pl-PL"/>
        </w:rPr>
        <w:t>h dwóch osób”</w:t>
      </w:r>
      <w:r>
        <w:rPr>
          <w:rFonts w:ascii="Times New Roman" w:eastAsiaTheme="minorEastAsia" w:hAnsi="Times New Roman"/>
          <w:noProof/>
          <w:sz w:val="24"/>
          <w:vertAlign w:val="superscript"/>
        </w:rPr>
        <w:footnoteReference w:id="92"/>
      </w:r>
      <w:r w:rsidRPr="00FC6D7F">
        <w:rPr>
          <w:rFonts w:ascii="Times New Roman" w:hAnsi="Times New Roman"/>
          <w:noProof/>
          <w:sz w:val="24"/>
          <w:lang w:val="pl-PL"/>
        </w:rPr>
        <w:t>. Ważnym czynnikiem jest również czas trwania wspólnoty życia domowego</w:t>
      </w:r>
      <w:r>
        <w:rPr>
          <w:rFonts w:ascii="Times New Roman" w:eastAsiaTheme="minorEastAsia" w:hAnsi="Times New Roman"/>
          <w:noProof/>
          <w:sz w:val="24"/>
          <w:vertAlign w:val="superscript"/>
        </w:rPr>
        <w:footnoteReference w:id="93"/>
      </w:r>
      <w:r w:rsidRPr="00FC6D7F">
        <w:rPr>
          <w:rFonts w:ascii="Times New Roman" w:hAnsi="Times New Roman"/>
          <w:noProof/>
          <w:sz w:val="24"/>
          <w:lang w:val="pl-PL"/>
        </w:rPr>
        <w:t>. Obywatel UE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inn</w:t>
      </w:r>
      <w:r w:rsidRPr="00FC6D7F">
        <w:rPr>
          <w:rFonts w:ascii="Times New Roman" w:hAnsi="Times New Roman"/>
          <w:noProof/>
          <w:sz w:val="24"/>
          <w:lang w:val="pl-PL"/>
        </w:rPr>
        <w:t>y członek rodziny muszą być członkami tego samego gospodarstwa domowego, ale obywatel Unii nie musi być głową tego gospodarstwa</w:t>
      </w:r>
      <w:r>
        <w:rPr>
          <w:rFonts w:ascii="Times New Roman" w:eastAsiaTheme="minorEastAsia" w:hAnsi="Times New Roman"/>
          <w:noProof/>
          <w:sz w:val="24"/>
          <w:vertAlign w:val="superscript"/>
        </w:rPr>
        <w:footnoteReference w:id="94"/>
      </w:r>
      <w:r w:rsidRPr="00FC6D7F">
        <w:rPr>
          <w:rFonts w:ascii="Times New Roman" w:hAnsi="Times New Roman"/>
          <w:noProof/>
          <w:sz w:val="24"/>
          <w:lang w:val="pl-PL"/>
        </w:rPr>
        <w:t>.</w:t>
      </w:r>
    </w:p>
    <w:p w14:paraId="1F70D5BD" w14:textId="77777777" w:rsidR="003667F7" w:rsidRPr="00FC6D7F" w:rsidRDefault="003667F7" w:rsidP="003667F7">
      <w:pPr>
        <w:pStyle w:val="Heading2"/>
        <w:rPr>
          <w:noProof/>
          <w:lang w:val="pl-PL"/>
        </w:rPr>
      </w:pPr>
      <w:r w:rsidRPr="00FC6D7F">
        <w:rPr>
          <w:noProof/>
          <w:lang w:val="pl-PL"/>
        </w:rPr>
        <w:t>Dostęp przemieszczających się obywateli UE do świadczeń lub pomocy społecznej</w:t>
      </w:r>
    </w:p>
    <w:p w14:paraId="46C4846F" w14:textId="1C47606D"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Sprawa </w:t>
      </w:r>
      <w:r w:rsidRPr="00FC6D7F">
        <w:rPr>
          <w:rFonts w:ascii="Times New Roman" w:hAnsi="Times New Roman"/>
          <w:b/>
          <w:bCs/>
          <w:noProof/>
          <w:sz w:val="24"/>
          <w:lang w:val="pl-PL"/>
        </w:rPr>
        <w:t>S./Familienkasse Niedersachsen-Bremen der Bundesagentur für Arbeit</w:t>
      </w:r>
      <w:r>
        <w:rPr>
          <w:rFonts w:ascii="Times New Roman" w:eastAsiaTheme="minorEastAsia" w:hAnsi="Times New Roman"/>
          <w:noProof/>
          <w:sz w:val="24"/>
          <w:vertAlign w:val="superscript"/>
        </w:rPr>
        <w:footnoteReference w:id="95"/>
      </w:r>
      <w:r w:rsidRPr="00FC6D7F">
        <w:rPr>
          <w:rFonts w:ascii="Times New Roman" w:hAnsi="Times New Roman"/>
          <w:noProof/>
          <w:sz w:val="24"/>
          <w:lang w:val="pl-PL"/>
        </w:rPr>
        <w:t xml:space="preserve"> dotyczyła kwestii, czy przemieszczający się obywatele UE, którzy posiadają miejsce zwykłego pobytu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yjmującym państwie członkowskim i są bierni zawodowo, mogą zostać pozbawieni prawa do świadczeń rodzinnych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cią</w:t>
      </w:r>
      <w:r w:rsidRPr="00FC6D7F">
        <w:rPr>
          <w:rFonts w:ascii="Times New Roman" w:hAnsi="Times New Roman"/>
          <w:noProof/>
          <w:sz w:val="24"/>
          <w:lang w:val="pl-PL"/>
        </w:rPr>
        <w:t>gu pierwszych trzech miesięcy pobytu. Trybunał orzekł, że taki warunek nie jest zgodny</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wem Unii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jak</w:t>
      </w:r>
      <w:r w:rsidRPr="00FC6D7F">
        <w:rPr>
          <w:rFonts w:ascii="Times New Roman" w:hAnsi="Times New Roman"/>
          <w:noProof/>
          <w:sz w:val="24"/>
          <w:lang w:val="pl-PL"/>
        </w:rPr>
        <w:t>im dotyczy osób posiadających miejsce zwykłego pobytu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yjmującym państwie członkowskim,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rym legalnie przebywają</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odn</w:t>
      </w:r>
      <w:r w:rsidRPr="00FC6D7F">
        <w:rPr>
          <w:rFonts w:ascii="Times New Roman" w:hAnsi="Times New Roman"/>
          <w:noProof/>
          <w:sz w:val="24"/>
          <w:lang w:val="pl-PL"/>
        </w:rPr>
        <w:t>iesieniu do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 Trybunał potwierdził, że bierny zawodowo obywatel Unii posiada prawo do pobytu na terytorium innego państwa członkowskiego bez wypełniania jakichkolwiek warunków</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for</w:t>
      </w:r>
      <w:r w:rsidRPr="00FC6D7F">
        <w:rPr>
          <w:rFonts w:ascii="Times New Roman" w:hAnsi="Times New Roman"/>
          <w:noProof/>
          <w:sz w:val="24"/>
          <w:lang w:val="pl-PL"/>
        </w:rPr>
        <w:t>malności innych niż wymóg posiadania ważnego dowodu tożsamości lub paszportu. Chociaż zgodnie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D55672">
        <w:rPr>
          <w:rFonts w:ascii="Times New Roman" w:hAnsi="Times New Roman"/>
          <w:noProof/>
          <w:sz w:val="24"/>
          <w:lang w:val="pl-PL"/>
        </w:rPr>
        <w:t>art</w:t>
      </w:r>
      <w:r w:rsidRPr="00D55672">
        <w:rPr>
          <w:rFonts w:ascii="Times New Roman" w:hAnsi="Times New Roman"/>
          <w:noProof/>
          <w:sz w:val="24"/>
          <w:lang w:val="pl-PL"/>
        </w:rPr>
        <w: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4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 państwa członkowskie mają prawo nie przyznawać pomocy społecznej</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cią</w:t>
      </w:r>
      <w:r w:rsidRPr="00FC6D7F">
        <w:rPr>
          <w:rFonts w:ascii="Times New Roman" w:hAnsi="Times New Roman"/>
          <w:noProof/>
          <w:sz w:val="24"/>
          <w:lang w:val="pl-PL"/>
        </w:rPr>
        <w:t>gu pierwszych trzech miesięcy pobytu obywatelom Unii innym niż ci, którzy są pracownikami najemnymi lub osobami pracującymi na własny rachunek,</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czł</w:t>
      </w:r>
      <w:r w:rsidRPr="00FC6D7F">
        <w:rPr>
          <w:rFonts w:ascii="Times New Roman" w:hAnsi="Times New Roman"/>
          <w:noProof/>
          <w:sz w:val="24"/>
          <w:lang w:val="pl-PL"/>
        </w:rPr>
        <w:t>onkom ich rodzin, Trybunał wyjaśnił, że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przypadku odstępstwo to nie ma zastosowania</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ypadku gdy świadczenia rodzinne są przyznawane niezależnie od indywidualnych potrzeb beneficjenta i są przeznaczone na pokrycie nie kosztów utrzymania, lecz wydatków rodzinnych, nie wchodzą one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 pojęcia „pomoc społeczna”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roz</w:t>
      </w:r>
      <w:r w:rsidRPr="00FC6D7F">
        <w:rPr>
          <w:rFonts w:ascii="Times New Roman" w:hAnsi="Times New Roman"/>
          <w:noProof/>
          <w:sz w:val="24"/>
          <w:lang w:val="pl-PL"/>
        </w:rPr>
        <w:t>umieniu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 Dotyczy to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szc</w:t>
      </w:r>
      <w:r w:rsidRPr="00FC6D7F">
        <w:rPr>
          <w:rFonts w:ascii="Times New Roman" w:hAnsi="Times New Roman"/>
          <w:noProof/>
          <w:sz w:val="24"/>
          <w:lang w:val="pl-PL"/>
        </w:rPr>
        <w:t>zególności świadczeń rodzinnych przyznawanych</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urz</w:t>
      </w:r>
      <w:r w:rsidRPr="00FC6D7F">
        <w:rPr>
          <w:rFonts w:ascii="Times New Roman" w:hAnsi="Times New Roman"/>
          <w:noProof/>
          <w:sz w:val="24"/>
          <w:lang w:val="pl-PL"/>
        </w:rPr>
        <w:t>ędu rodzinom spełniającym pewne obiektywne kryteria związane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szc</w:t>
      </w:r>
      <w:r w:rsidRPr="00FC6D7F">
        <w:rPr>
          <w:rFonts w:ascii="Times New Roman" w:hAnsi="Times New Roman"/>
          <w:noProof/>
          <w:sz w:val="24"/>
          <w:lang w:val="pl-PL"/>
        </w:rPr>
        <w:t>zególności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ich</w:t>
      </w:r>
      <w:r w:rsidRPr="00FC6D7F">
        <w:rPr>
          <w:rFonts w:ascii="Times New Roman" w:hAnsi="Times New Roman"/>
          <w:noProof/>
          <w:sz w:val="24"/>
          <w:lang w:val="pl-PL"/>
        </w:rPr>
        <w:t xml:space="preserve"> wielkością, dochodami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zas</w:t>
      </w:r>
      <w:r w:rsidRPr="00FC6D7F">
        <w:rPr>
          <w:rFonts w:ascii="Times New Roman" w:hAnsi="Times New Roman"/>
          <w:noProof/>
          <w:sz w:val="24"/>
          <w:lang w:val="pl-PL"/>
        </w:rPr>
        <w:t>obami kapitałowymi, bez indywidualnej</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uzn</w:t>
      </w:r>
      <w:r w:rsidRPr="00FC6D7F">
        <w:rPr>
          <w:rFonts w:ascii="Times New Roman" w:hAnsi="Times New Roman"/>
          <w:noProof/>
          <w:sz w:val="24"/>
          <w:lang w:val="pl-PL"/>
        </w:rPr>
        <w:t>aniowej oceny osobistych potrzeb</w:t>
      </w:r>
      <w:r>
        <w:rPr>
          <w:rFonts w:ascii="Times New Roman" w:eastAsiaTheme="minorEastAsia" w:hAnsi="Times New Roman"/>
          <w:noProof/>
          <w:sz w:val="24"/>
          <w:vertAlign w:val="superscript"/>
        </w:rPr>
        <w:footnoteReference w:id="96"/>
      </w:r>
      <w:r w:rsidRPr="00FC6D7F">
        <w:rPr>
          <w:rFonts w:ascii="Times New Roman" w:hAnsi="Times New Roman"/>
          <w:noProof/>
          <w:sz w:val="24"/>
          <w:lang w:val="pl-PL"/>
        </w:rPr>
        <w:t xml:space="preserve">. </w:t>
      </w:r>
    </w:p>
    <w:p w14:paraId="7C1968D1" w14:textId="2EE7A66C"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Sprawa </w:t>
      </w:r>
      <w:r w:rsidRPr="00FC6D7F">
        <w:rPr>
          <w:rFonts w:ascii="Times New Roman" w:hAnsi="Times New Roman"/>
          <w:b/>
          <w:bCs/>
          <w:noProof/>
          <w:sz w:val="24"/>
          <w:lang w:val="pl-PL"/>
        </w:rPr>
        <w:t>Jobcenter Krefeld</w:t>
      </w:r>
      <w:r>
        <w:rPr>
          <w:rFonts w:ascii="Times New Roman" w:eastAsiaTheme="minorEastAsia" w:hAnsi="Times New Roman"/>
          <w:noProof/>
          <w:sz w:val="24"/>
          <w:vertAlign w:val="superscript"/>
        </w:rPr>
        <w:footnoteReference w:id="97"/>
      </w:r>
      <w:r w:rsidRPr="00FC6D7F">
        <w:rPr>
          <w:rFonts w:ascii="Times New Roman" w:hAnsi="Times New Roman"/>
          <w:noProof/>
          <w:sz w:val="24"/>
          <w:lang w:val="pl-PL"/>
        </w:rPr>
        <w:t xml:space="preserve"> dotyczyła przypadku obywatela Unii, który zanim stał się bezrobotny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yjmującym państwie członkowskim, pracował</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państwie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wys</w:t>
      </w:r>
      <w:r w:rsidRPr="00FC6D7F">
        <w:rPr>
          <w:rFonts w:ascii="Times New Roman" w:hAnsi="Times New Roman"/>
          <w:noProof/>
          <w:sz w:val="24"/>
          <w:lang w:val="pl-PL"/>
        </w:rPr>
        <w:t>łał tam swoje małoletnie dzieci do szkoły</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korzysta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 xml:space="preserve">wa pobytu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0 rozporządzenia </w:t>
      </w:r>
      <w:r w:rsidRPr="00D55672">
        <w:rPr>
          <w:rFonts w:ascii="Times New Roman" w:hAnsi="Times New Roman"/>
          <w:noProof/>
          <w:sz w:val="24"/>
          <w:lang w:val="pl-PL"/>
        </w:rPr>
        <w:t>nr</w:t>
      </w:r>
      <w:r w:rsidR="00D55672" w:rsidRPr="00D55672">
        <w:rPr>
          <w:rFonts w:ascii="Times New Roman" w:hAnsi="Times New Roman"/>
          <w:noProof/>
          <w:sz w:val="24"/>
          <w:lang w:val="pl-PL"/>
        </w:rPr>
        <w:t> </w:t>
      </w:r>
      <w:r w:rsidRPr="00D55672">
        <w:rPr>
          <w:rFonts w:ascii="Times New Roman" w:hAnsi="Times New Roman"/>
          <w:noProof/>
          <w:sz w:val="24"/>
          <w:lang w:val="pl-PL"/>
        </w:rPr>
        <w:t>4</w:t>
      </w:r>
      <w:r w:rsidRPr="00FC6D7F">
        <w:rPr>
          <w:rFonts w:ascii="Times New Roman" w:hAnsi="Times New Roman"/>
          <w:noProof/>
          <w:sz w:val="24"/>
          <w:lang w:val="pl-PL"/>
        </w:rPr>
        <w:t>92/2011</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przepływu pracowników wewnątrz Unii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ucz</w:t>
      </w:r>
      <w:r w:rsidRPr="00FC6D7F">
        <w:rPr>
          <w:rFonts w:ascii="Times New Roman" w:hAnsi="Times New Roman"/>
          <w:noProof/>
          <w:sz w:val="24"/>
          <w:lang w:val="pl-PL"/>
        </w:rPr>
        <w:t>ęszczaniem tych dzieci do szkoły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państwie. Sprawa dotyczy prawa do równego traktowania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odn</w:t>
      </w:r>
      <w:r w:rsidRPr="00FC6D7F">
        <w:rPr>
          <w:rFonts w:ascii="Times New Roman" w:hAnsi="Times New Roman"/>
          <w:noProof/>
          <w:sz w:val="24"/>
          <w:lang w:val="pl-PL"/>
        </w:rPr>
        <w:t>iesieniu do przywilejów socjalnych.</w:t>
      </w:r>
    </w:p>
    <w:p w14:paraId="75D7199A" w14:textId="0D74F522"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Trybunał orzekł, że rozporządzenie </w:t>
      </w:r>
      <w:r w:rsidRPr="00D55672">
        <w:rPr>
          <w:rFonts w:ascii="Times New Roman" w:hAnsi="Times New Roman"/>
          <w:noProof/>
          <w:sz w:val="24"/>
          <w:lang w:val="pl-PL"/>
        </w:rPr>
        <w:t>nr</w:t>
      </w:r>
      <w:r w:rsidR="00D55672" w:rsidRPr="00D55672">
        <w:rPr>
          <w:rFonts w:ascii="Times New Roman" w:hAnsi="Times New Roman"/>
          <w:noProof/>
          <w:sz w:val="24"/>
          <w:lang w:val="pl-PL"/>
        </w:rPr>
        <w:t> </w:t>
      </w:r>
      <w:r w:rsidRPr="00D55672">
        <w:rPr>
          <w:rFonts w:ascii="Times New Roman" w:hAnsi="Times New Roman"/>
          <w:noProof/>
          <w:sz w:val="24"/>
          <w:lang w:val="pl-PL"/>
        </w:rPr>
        <w:t>4</w:t>
      </w:r>
      <w:r w:rsidRPr="00FC6D7F">
        <w:rPr>
          <w:rFonts w:ascii="Times New Roman" w:hAnsi="Times New Roman"/>
          <w:noProof/>
          <w:sz w:val="24"/>
          <w:lang w:val="pl-PL"/>
        </w:rPr>
        <w:t>92/2011 stoi na przeszkodzie uregulowaniu państwa członkowskiego, które przewiduje, że obywatel innego państwa członkowskiego</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jeg</w:t>
      </w:r>
      <w:r w:rsidRPr="00FC6D7F">
        <w:rPr>
          <w:rFonts w:ascii="Times New Roman" w:hAnsi="Times New Roman"/>
          <w:noProof/>
          <w:sz w:val="24"/>
          <w:lang w:val="pl-PL"/>
        </w:rPr>
        <w:t>o małoletnie dzieci,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rych wszystkie posiadają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pie</w:t>
      </w:r>
      <w:r w:rsidRPr="00FC6D7F">
        <w:rPr>
          <w:rFonts w:ascii="Times New Roman" w:hAnsi="Times New Roman"/>
          <w:noProof/>
          <w:sz w:val="24"/>
          <w:lang w:val="pl-PL"/>
        </w:rPr>
        <w:t xml:space="preserve">rwszym państwie członkowskim prawo pobytu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0 tego rozporządzenia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ucz</w:t>
      </w:r>
      <w:r w:rsidRPr="00FC6D7F">
        <w:rPr>
          <w:rFonts w:ascii="Times New Roman" w:hAnsi="Times New Roman"/>
          <w:noProof/>
          <w:sz w:val="24"/>
          <w:lang w:val="pl-PL"/>
        </w:rPr>
        <w:t>ęszczaniem tych dzieci do szkoły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państwie, są automatycznie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w:t>
      </w:r>
      <w:r w:rsidR="00D55672">
        <w:rPr>
          <w:rFonts w:ascii="Times New Roman" w:hAnsi="Times New Roman"/>
          <w:noProof/>
          <w:sz w:val="24"/>
          <w:lang w:val="pl-PL"/>
        </w:rPr>
        <w:t> </w:t>
      </w:r>
      <w:r w:rsidR="00D55672" w:rsidRPr="00FC6D7F">
        <w:rPr>
          <w:rFonts w:ascii="Times New Roman" w:hAnsi="Times New Roman"/>
          <w:noProof/>
          <w:sz w:val="24"/>
          <w:lang w:val="pl-PL"/>
        </w:rPr>
        <w:t>każ</w:t>
      </w:r>
      <w:r w:rsidRPr="00FC6D7F">
        <w:rPr>
          <w:rFonts w:ascii="Times New Roman" w:hAnsi="Times New Roman"/>
          <w:noProof/>
          <w:sz w:val="24"/>
          <w:lang w:val="pl-PL"/>
        </w:rPr>
        <w:t>dych okolicznościach wyłączeni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wa do świadczeń na pokrycie kosztów utrzymania. Trybunał przypomniał, że prawo pobytu przyznane dzieciom (byłego) pracownika migrującego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zagwarantowania im prawa dostępu do edukacji,</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w</w:t>
      </w:r>
      <w:r w:rsidR="00D55672">
        <w:rPr>
          <w:rFonts w:ascii="Times New Roman" w:hAnsi="Times New Roman"/>
          <w:noProof/>
          <w:sz w:val="24"/>
          <w:lang w:val="pl-PL"/>
        </w:rPr>
        <w:t> </w:t>
      </w:r>
      <w:r w:rsidR="00D55672" w:rsidRPr="00FC6D7F">
        <w:rPr>
          <w:rFonts w:ascii="Times New Roman" w:hAnsi="Times New Roman"/>
          <w:noProof/>
          <w:sz w:val="24"/>
          <w:lang w:val="pl-PL"/>
        </w:rPr>
        <w:t>dru</w:t>
      </w:r>
      <w:r w:rsidRPr="00FC6D7F">
        <w:rPr>
          <w:rFonts w:ascii="Times New Roman" w:hAnsi="Times New Roman"/>
          <w:noProof/>
          <w:sz w:val="24"/>
          <w:lang w:val="pl-PL"/>
        </w:rPr>
        <w:t>giej kolejności rodzicowi sprawującemu opiekę nad tymi dziećmi, ma swoje pierwotne źródło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sta</w:t>
      </w:r>
      <w:r w:rsidRPr="00FC6D7F">
        <w:rPr>
          <w:rFonts w:ascii="Times New Roman" w:hAnsi="Times New Roman"/>
          <w:noProof/>
          <w:sz w:val="24"/>
          <w:lang w:val="pl-PL"/>
        </w:rPr>
        <w:t>tusie tego rodzica jako pracownika. Wraz</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nab</w:t>
      </w:r>
      <w:r w:rsidRPr="00FC6D7F">
        <w:rPr>
          <w:rFonts w:ascii="Times New Roman" w:hAnsi="Times New Roman"/>
          <w:noProof/>
          <w:sz w:val="24"/>
          <w:lang w:val="pl-PL"/>
        </w:rPr>
        <w:t>yciem tego prawa staje się ono jednak autonomiczne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moż</w:t>
      </w:r>
      <w:r w:rsidRPr="00FC6D7F">
        <w:rPr>
          <w:rFonts w:ascii="Times New Roman" w:hAnsi="Times New Roman"/>
          <w:noProof/>
          <w:sz w:val="24"/>
          <w:lang w:val="pl-PL"/>
        </w:rPr>
        <w:t xml:space="preserve">e utrzymywać się nawet po utracie tego statusu. Trybunał uznał, że osobom, którym przysługuje prawo pobytu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0 rozporządzenia </w:t>
      </w:r>
      <w:r w:rsidRPr="00D55672">
        <w:rPr>
          <w:rFonts w:ascii="Times New Roman" w:hAnsi="Times New Roman"/>
          <w:noProof/>
          <w:sz w:val="24"/>
          <w:lang w:val="pl-PL"/>
        </w:rPr>
        <w:t>nr</w:t>
      </w:r>
      <w:r w:rsidR="00D55672" w:rsidRPr="00D55672">
        <w:rPr>
          <w:rFonts w:ascii="Times New Roman" w:hAnsi="Times New Roman"/>
          <w:noProof/>
          <w:sz w:val="24"/>
          <w:lang w:val="pl-PL"/>
        </w:rPr>
        <w:t> </w:t>
      </w:r>
      <w:r w:rsidRPr="00D55672">
        <w:rPr>
          <w:rFonts w:ascii="Times New Roman" w:hAnsi="Times New Roman"/>
          <w:noProof/>
          <w:sz w:val="24"/>
          <w:lang w:val="pl-PL"/>
        </w:rPr>
        <w:t>4</w:t>
      </w:r>
      <w:r w:rsidRPr="00FC6D7F">
        <w:rPr>
          <w:rFonts w:ascii="Times New Roman" w:hAnsi="Times New Roman"/>
          <w:noProof/>
          <w:sz w:val="24"/>
          <w:lang w:val="pl-PL"/>
        </w:rPr>
        <w:t>92/2011, przysługuje również prawo do równego traktowania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przyznawania przywilejów socjalnych,</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rym mowa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D55672">
        <w:rPr>
          <w:rFonts w:ascii="Times New Roman" w:hAnsi="Times New Roman"/>
          <w:noProof/>
          <w:sz w:val="24"/>
          <w:lang w:val="pl-PL"/>
        </w:rPr>
        <w:t>art</w:t>
      </w:r>
      <w:r w:rsidRPr="00D55672">
        <w:rPr>
          <w:rFonts w:ascii="Times New Roman" w:hAnsi="Times New Roman"/>
          <w:noProof/>
          <w:sz w:val="24"/>
          <w:lang w:val="pl-PL"/>
        </w:rPr>
        <w:t>.</w:t>
      </w:r>
      <w:r w:rsidR="00D55672" w:rsidRPr="00D55672">
        <w:rPr>
          <w:rFonts w:ascii="Times New Roman" w:hAnsi="Times New Roman"/>
          <w:noProof/>
          <w:sz w:val="24"/>
          <w:lang w:val="pl-PL"/>
        </w:rPr>
        <w:t> </w:t>
      </w:r>
      <w:r w:rsidRPr="00D55672">
        <w:rPr>
          <w:rFonts w:ascii="Times New Roman" w:hAnsi="Times New Roman"/>
          <w:noProof/>
          <w:sz w:val="24"/>
          <w:lang w:val="pl-PL"/>
        </w:rPr>
        <w:t>7</w:t>
      </w:r>
      <w:r w:rsidRPr="00FC6D7F">
        <w:rPr>
          <w:rFonts w:ascii="Times New Roman" w:hAnsi="Times New Roman"/>
          <w:noProof/>
          <w:sz w:val="24"/>
          <w:lang w:val="pl-PL"/>
        </w:rPr>
        <w:t xml:space="preserve">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 tego rozporządzenia, nawet wówczas, gdy osoby te utraciły status pracownika,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rego pierwotnie wywodziło się ich prawo pobytu</w:t>
      </w:r>
      <w:r>
        <w:rPr>
          <w:rFonts w:ascii="Times New Roman" w:eastAsiaTheme="minorEastAsia" w:hAnsi="Times New Roman"/>
          <w:noProof/>
          <w:sz w:val="24"/>
          <w:vertAlign w:val="superscript"/>
        </w:rPr>
        <w:footnoteReference w:id="98"/>
      </w:r>
      <w:r w:rsidRPr="00FC6D7F">
        <w:rPr>
          <w:rFonts w:ascii="Times New Roman" w:hAnsi="Times New Roman"/>
          <w:noProof/>
          <w:sz w:val="24"/>
          <w:lang w:val="pl-PL"/>
        </w:rPr>
        <w:t>.</w:t>
      </w:r>
    </w:p>
    <w:p w14:paraId="57FE1690" w14:textId="06D6BCA9"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Trybunał orzekł, że wykładni tej nie podważa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4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względzie Trybunał wyjaśnił, że odstępstwo od zasady równego traktowania ustanowione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D55672">
        <w:rPr>
          <w:rFonts w:ascii="Times New Roman" w:hAnsi="Times New Roman"/>
          <w:noProof/>
          <w:sz w:val="24"/>
          <w:lang w:val="pl-PL"/>
        </w:rPr>
        <w:t>art</w:t>
      </w:r>
      <w:r w:rsidRPr="00D55672">
        <w:rPr>
          <w:rFonts w:ascii="Times New Roman" w:hAnsi="Times New Roman"/>
          <w:noProof/>
          <w:sz w:val="24"/>
          <w:lang w:val="pl-PL"/>
        </w:rPr>
        <w: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4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 nie ma zastosowania do obywatela UE, który zanim stał się bezrobotny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yjmującym państwie członkowskim, pracował</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państwie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wys</w:t>
      </w:r>
      <w:r w:rsidRPr="00FC6D7F">
        <w:rPr>
          <w:rFonts w:ascii="Times New Roman" w:hAnsi="Times New Roman"/>
          <w:noProof/>
          <w:sz w:val="24"/>
          <w:lang w:val="pl-PL"/>
        </w:rPr>
        <w:t>łał tam swoje małoletnie dzieci do szkoły</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korzysta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 xml:space="preserve">wa pobytu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0 rozporządzenia </w:t>
      </w:r>
      <w:r w:rsidRPr="00D55672">
        <w:rPr>
          <w:rFonts w:ascii="Times New Roman" w:hAnsi="Times New Roman"/>
          <w:noProof/>
          <w:sz w:val="24"/>
          <w:lang w:val="pl-PL"/>
        </w:rPr>
        <w:t>nr</w:t>
      </w:r>
      <w:r w:rsidR="00D55672" w:rsidRPr="00D55672">
        <w:rPr>
          <w:rFonts w:ascii="Times New Roman" w:hAnsi="Times New Roman"/>
          <w:noProof/>
          <w:sz w:val="24"/>
          <w:lang w:val="pl-PL"/>
        </w:rPr>
        <w:t> </w:t>
      </w:r>
      <w:r w:rsidRPr="00D55672">
        <w:rPr>
          <w:rFonts w:ascii="Times New Roman" w:hAnsi="Times New Roman"/>
          <w:noProof/>
          <w:sz w:val="24"/>
          <w:lang w:val="pl-PL"/>
        </w:rPr>
        <w:t>4</w:t>
      </w:r>
      <w:r w:rsidRPr="00FC6D7F">
        <w:rPr>
          <w:rFonts w:ascii="Times New Roman" w:hAnsi="Times New Roman"/>
          <w:noProof/>
          <w:sz w:val="24"/>
          <w:lang w:val="pl-PL"/>
        </w:rPr>
        <w:t>92/2011</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ucz</w:t>
      </w:r>
      <w:r w:rsidRPr="00FC6D7F">
        <w:rPr>
          <w:rFonts w:ascii="Times New Roman" w:hAnsi="Times New Roman"/>
          <w:noProof/>
          <w:sz w:val="24"/>
          <w:lang w:val="pl-PL"/>
        </w:rPr>
        <w:t>ęszczaniem tych dzieci do szkoły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państwie</w:t>
      </w:r>
      <w:r>
        <w:rPr>
          <w:rFonts w:ascii="Times New Roman" w:eastAsiaTheme="minorEastAsia" w:hAnsi="Times New Roman"/>
          <w:noProof/>
          <w:sz w:val="24"/>
          <w:vertAlign w:val="superscript"/>
        </w:rPr>
        <w:footnoteReference w:id="99"/>
      </w:r>
      <w:r w:rsidRPr="00FC6D7F">
        <w:rPr>
          <w:rFonts w:ascii="Times New Roman" w:hAnsi="Times New Roman"/>
          <w:noProof/>
          <w:sz w:val="24"/>
          <w:lang w:val="pl-PL"/>
        </w:rPr>
        <w:t xml:space="preserve">. </w:t>
      </w:r>
    </w:p>
    <w:p w14:paraId="49B488A0" w14:textId="127C4ACE"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Trybunał orzekł ponadto, że rozporządzenie (WE) </w:t>
      </w:r>
      <w:r w:rsidRPr="00D55672">
        <w:rPr>
          <w:rFonts w:ascii="Times New Roman" w:hAnsi="Times New Roman"/>
          <w:noProof/>
          <w:sz w:val="24"/>
          <w:lang w:val="pl-PL"/>
        </w:rPr>
        <w:t>nr</w:t>
      </w:r>
      <w:r w:rsidR="00D55672" w:rsidRPr="00D55672">
        <w:rPr>
          <w:rFonts w:ascii="Times New Roman" w:hAnsi="Times New Roman"/>
          <w:noProof/>
          <w:sz w:val="24"/>
          <w:lang w:val="pl-PL"/>
        </w:rPr>
        <w:t> </w:t>
      </w:r>
      <w:r w:rsidRPr="00D55672">
        <w:rPr>
          <w:rFonts w:ascii="Times New Roman" w:hAnsi="Times New Roman"/>
          <w:noProof/>
          <w:sz w:val="24"/>
          <w:lang w:val="pl-PL"/>
        </w:rPr>
        <w:t>8</w:t>
      </w:r>
      <w:r w:rsidRPr="00FC6D7F">
        <w:rPr>
          <w:rFonts w:ascii="Times New Roman" w:hAnsi="Times New Roman"/>
          <w:noProof/>
          <w:sz w:val="24"/>
          <w:lang w:val="pl-PL"/>
        </w:rPr>
        <w:t>83/2004</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koordynacji systemów zabezpieczenia społecznego stoi na przeszkodzie uregulowaniu państwa członkowskiego, które przewiduje, że obywatel innego państwa członkowskiego</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jeg</w:t>
      </w:r>
      <w:r w:rsidRPr="00FC6D7F">
        <w:rPr>
          <w:rFonts w:ascii="Times New Roman" w:hAnsi="Times New Roman"/>
          <w:noProof/>
          <w:sz w:val="24"/>
          <w:lang w:val="pl-PL"/>
        </w:rPr>
        <w:t>o małoletnie dzieci,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rych wszystkie posiadają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pie</w:t>
      </w:r>
      <w:r w:rsidRPr="00FC6D7F">
        <w:rPr>
          <w:rFonts w:ascii="Times New Roman" w:hAnsi="Times New Roman"/>
          <w:noProof/>
          <w:sz w:val="24"/>
          <w:lang w:val="pl-PL"/>
        </w:rPr>
        <w:t xml:space="preserve">rwszym państwie członkowskim prawo pobytu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0 rozporządzenia </w:t>
      </w:r>
      <w:r w:rsidRPr="00D55672">
        <w:rPr>
          <w:rFonts w:ascii="Times New Roman" w:hAnsi="Times New Roman"/>
          <w:noProof/>
          <w:sz w:val="24"/>
          <w:lang w:val="pl-PL"/>
        </w:rPr>
        <w:t>nr</w:t>
      </w:r>
      <w:r w:rsidR="00D55672" w:rsidRPr="00D55672">
        <w:rPr>
          <w:rFonts w:ascii="Times New Roman" w:hAnsi="Times New Roman"/>
          <w:noProof/>
          <w:sz w:val="24"/>
          <w:lang w:val="pl-PL"/>
        </w:rPr>
        <w:t> </w:t>
      </w:r>
      <w:r w:rsidRPr="00D55672">
        <w:rPr>
          <w:rFonts w:ascii="Times New Roman" w:hAnsi="Times New Roman"/>
          <w:noProof/>
          <w:sz w:val="24"/>
          <w:lang w:val="pl-PL"/>
        </w:rPr>
        <w:t>4</w:t>
      </w:r>
      <w:r w:rsidRPr="00FC6D7F">
        <w:rPr>
          <w:rFonts w:ascii="Times New Roman" w:hAnsi="Times New Roman"/>
          <w:noProof/>
          <w:sz w:val="24"/>
          <w:lang w:val="pl-PL"/>
        </w:rPr>
        <w:t>92/2011</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ucz</w:t>
      </w:r>
      <w:r w:rsidRPr="00FC6D7F">
        <w:rPr>
          <w:rFonts w:ascii="Times New Roman" w:hAnsi="Times New Roman"/>
          <w:noProof/>
          <w:sz w:val="24"/>
          <w:lang w:val="pl-PL"/>
        </w:rPr>
        <w:t>ęszczaniem tych dzieci do szkoły,</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pod</w:t>
      </w:r>
      <w:r w:rsidRPr="00FC6D7F">
        <w:rPr>
          <w:rFonts w:ascii="Times New Roman" w:hAnsi="Times New Roman"/>
          <w:noProof/>
          <w:sz w:val="24"/>
          <w:lang w:val="pl-PL"/>
        </w:rPr>
        <w:t>legają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nim</w:t>
      </w:r>
      <w:r w:rsidRPr="00FC6D7F">
        <w:rPr>
          <w:rFonts w:ascii="Times New Roman" w:hAnsi="Times New Roman"/>
          <w:noProof/>
          <w:sz w:val="24"/>
          <w:lang w:val="pl-PL"/>
        </w:rPr>
        <w:t xml:space="preserve"> systemowi ubezpieczeń społecznych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roz</w:t>
      </w:r>
      <w:r w:rsidRPr="00FC6D7F">
        <w:rPr>
          <w:rFonts w:ascii="Times New Roman" w:hAnsi="Times New Roman"/>
          <w:noProof/>
          <w:sz w:val="24"/>
          <w:lang w:val="pl-PL"/>
        </w:rPr>
        <w:t xml:space="preserve">umieniu rozporządzenia </w:t>
      </w:r>
      <w:r w:rsidRPr="00D55672">
        <w:rPr>
          <w:rFonts w:ascii="Times New Roman" w:hAnsi="Times New Roman"/>
          <w:noProof/>
          <w:sz w:val="24"/>
          <w:lang w:val="pl-PL"/>
        </w:rPr>
        <w:t>nr</w:t>
      </w:r>
      <w:r w:rsidR="00D55672" w:rsidRPr="00D55672">
        <w:rPr>
          <w:rFonts w:ascii="Times New Roman" w:hAnsi="Times New Roman"/>
          <w:noProof/>
          <w:sz w:val="24"/>
          <w:lang w:val="pl-PL"/>
        </w:rPr>
        <w:t> </w:t>
      </w:r>
      <w:r w:rsidRPr="00D55672">
        <w:rPr>
          <w:rFonts w:ascii="Times New Roman" w:hAnsi="Times New Roman"/>
          <w:noProof/>
          <w:sz w:val="24"/>
          <w:lang w:val="pl-PL"/>
        </w:rPr>
        <w:t>8</w:t>
      </w:r>
      <w:r w:rsidRPr="00FC6D7F">
        <w:rPr>
          <w:rFonts w:ascii="Times New Roman" w:hAnsi="Times New Roman"/>
          <w:noProof/>
          <w:sz w:val="24"/>
          <w:lang w:val="pl-PL"/>
        </w:rPr>
        <w:t>83/2004, są automatycznie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w</w:t>
      </w:r>
      <w:r w:rsidR="00D55672">
        <w:rPr>
          <w:rFonts w:ascii="Times New Roman" w:hAnsi="Times New Roman"/>
          <w:noProof/>
          <w:sz w:val="24"/>
          <w:lang w:val="pl-PL"/>
        </w:rPr>
        <w:t> </w:t>
      </w:r>
      <w:r w:rsidR="00D55672" w:rsidRPr="00FC6D7F">
        <w:rPr>
          <w:rFonts w:ascii="Times New Roman" w:hAnsi="Times New Roman"/>
          <w:noProof/>
          <w:sz w:val="24"/>
          <w:lang w:val="pl-PL"/>
        </w:rPr>
        <w:t>każ</w:t>
      </w:r>
      <w:r w:rsidRPr="00FC6D7F">
        <w:rPr>
          <w:rFonts w:ascii="Times New Roman" w:hAnsi="Times New Roman"/>
          <w:noProof/>
          <w:sz w:val="24"/>
          <w:lang w:val="pl-PL"/>
        </w:rPr>
        <w:t>dych okolicznościach pozbawieni prawa do specjalnych nieskładkowych świadczeń pieniężnych</w:t>
      </w:r>
      <w:r>
        <w:rPr>
          <w:rFonts w:ascii="Times New Roman" w:eastAsiaTheme="minorEastAsia" w:hAnsi="Times New Roman"/>
          <w:noProof/>
          <w:sz w:val="24"/>
          <w:vertAlign w:val="superscript"/>
        </w:rPr>
        <w:footnoteReference w:id="100"/>
      </w:r>
      <w:r w:rsidRPr="00FC6D7F">
        <w:rPr>
          <w:rFonts w:ascii="Times New Roman" w:hAnsi="Times New Roman"/>
          <w:noProof/>
          <w:sz w:val="24"/>
          <w:lang w:val="pl-PL"/>
        </w:rPr>
        <w:t>.</w:t>
      </w:r>
    </w:p>
    <w:p w14:paraId="2DEA34B3" w14:textId="53CD1178"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Sprawa </w:t>
      </w:r>
      <w:r w:rsidRPr="00FC6D7F">
        <w:rPr>
          <w:rFonts w:ascii="Times New Roman" w:hAnsi="Times New Roman"/>
          <w:b/>
          <w:bCs/>
          <w:noProof/>
          <w:sz w:val="24"/>
          <w:lang w:val="pl-PL"/>
        </w:rPr>
        <w:t>Department for Communities in Northern Ireland</w:t>
      </w:r>
      <w:r>
        <w:rPr>
          <w:rFonts w:ascii="Times New Roman" w:eastAsiaTheme="minorEastAsia" w:hAnsi="Times New Roman"/>
          <w:noProof/>
          <w:sz w:val="24"/>
          <w:vertAlign w:val="superscript"/>
        </w:rPr>
        <w:footnoteReference w:id="101"/>
      </w:r>
      <w:r w:rsidRPr="00FC6D7F">
        <w:rPr>
          <w:rFonts w:ascii="Times New Roman" w:hAnsi="Times New Roman"/>
          <w:noProof/>
          <w:sz w:val="24"/>
          <w:lang w:val="pl-PL"/>
        </w:rPr>
        <w:t xml:space="preserve"> dotyczy obywatela UE, który przybył do Zjednoczonego Królestwa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0</w:t>
      </w:r>
      <w:r w:rsidRPr="00D55672">
        <w:rPr>
          <w:rFonts w:ascii="Times New Roman" w:hAnsi="Times New Roman"/>
          <w:noProof/>
          <w:sz w:val="24"/>
          <w:lang w:val="pl-PL"/>
        </w:rPr>
        <w:t>19</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 nigdy nie prowadził działalności gospodarczej</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kraju</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cze</w:t>
      </w:r>
      <w:r w:rsidRPr="00FC6D7F">
        <w:rPr>
          <w:rFonts w:ascii="Times New Roman" w:hAnsi="Times New Roman"/>
          <w:noProof/>
          <w:sz w:val="24"/>
          <w:lang w:val="pl-PL"/>
        </w:rPr>
        <w:t>rwcu 20</w:t>
      </w:r>
      <w:r w:rsidRPr="00D55672">
        <w:rPr>
          <w:rFonts w:ascii="Times New Roman" w:hAnsi="Times New Roman"/>
          <w:noProof/>
          <w:sz w:val="24"/>
          <w:lang w:val="pl-PL"/>
        </w:rPr>
        <w:t>20</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obywatelowi UE przyznano prawo pobytu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Zje</w:t>
      </w:r>
      <w:r w:rsidRPr="00FC6D7F">
        <w:rPr>
          <w:rFonts w:ascii="Times New Roman" w:hAnsi="Times New Roman"/>
          <w:noProof/>
          <w:sz w:val="24"/>
          <w:lang w:val="pl-PL"/>
        </w:rPr>
        <w:t>dnoczonym Królestwie ze skutkiem natychmiastowym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for</w:t>
      </w:r>
      <w:r w:rsidRPr="00FC6D7F">
        <w:rPr>
          <w:rFonts w:ascii="Times New Roman" w:hAnsi="Times New Roman"/>
          <w:noProof/>
          <w:sz w:val="24"/>
          <w:lang w:val="pl-PL"/>
        </w:rPr>
        <w:t>mie „wstępnego statusu osoby osiedlonej”</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 xml:space="preserve">ach brytyjskiego systemu przyznawania obywatelom UE statusu osoby osiedlonej. System przyznawania obywatelom UE statusu osoby osiedlonej zakłada wdrożenie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8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 umowy brexitowej (nowy status pobytu dla obywateli UE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rod</w:t>
      </w:r>
      <w:r w:rsidRPr="00FC6D7F">
        <w:rPr>
          <w:rFonts w:ascii="Times New Roman" w:hAnsi="Times New Roman"/>
          <w:noProof/>
          <w:sz w:val="24"/>
          <w:lang w:val="pl-PL"/>
        </w:rPr>
        <w:t>ziny, którzy skorzystali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wa do przemieszczania się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Zje</w:t>
      </w:r>
      <w:r w:rsidRPr="00FC6D7F">
        <w:rPr>
          <w:rFonts w:ascii="Times New Roman" w:hAnsi="Times New Roman"/>
          <w:noProof/>
          <w:sz w:val="24"/>
          <w:lang w:val="pl-PL"/>
        </w:rPr>
        <w:t>dnoczonym Królestwie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dni</w:t>
      </w:r>
      <w:r w:rsidRPr="00FC6D7F">
        <w:rPr>
          <w:rFonts w:ascii="Times New Roman" w:hAnsi="Times New Roman"/>
          <w:noProof/>
          <w:sz w:val="24"/>
          <w:lang w:val="pl-PL"/>
        </w:rPr>
        <w:t>u zakończenia okresu przejściowego), ale jednocześnie obejmuje,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ram</w:t>
      </w:r>
      <w:r w:rsidRPr="00FC6D7F">
        <w:rPr>
          <w:rFonts w:ascii="Times New Roman" w:hAnsi="Times New Roman"/>
          <w:noProof/>
          <w:sz w:val="24"/>
          <w:lang w:val="pl-PL"/>
        </w:rPr>
        <w:t>ach polityki krajowej Zjednoczonego Królestwa, obywateli UE, którzy nie są objęci umową</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wys</w:t>
      </w:r>
      <w:r w:rsidRPr="00FC6D7F">
        <w:rPr>
          <w:rFonts w:ascii="Times New Roman" w:hAnsi="Times New Roman"/>
          <w:noProof/>
          <w:sz w:val="24"/>
          <w:lang w:val="pl-PL"/>
        </w:rPr>
        <w:t>tąpieniu ze względu na niespełnienie warunków prawa pobytu określonych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wie UE dotyczącym swobodnego przemieszczania się obywateli UE. W 20</w:t>
      </w:r>
      <w:r w:rsidRPr="00D55672">
        <w:rPr>
          <w:rFonts w:ascii="Times New Roman" w:hAnsi="Times New Roman"/>
          <w:noProof/>
          <w:sz w:val="24"/>
          <w:lang w:val="pl-PL"/>
        </w:rPr>
        <w:t>20</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władze Zjednoczonego Królestwa zdecydowały, że taki obywatel UE nie kwalifikuje się do uzyskania zasiłku na pokrycie kosztów utrzymania, biorąc pod uwagę, że osoba ta nie posiada prawa pobytu na mocy przepisów UE dotyczących swobodnego przemieszczania się. </w:t>
      </w:r>
    </w:p>
    <w:p w14:paraId="0CF470F3" w14:textId="7C57B87E"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W orzeczeniu wyjaśniono, na jakich warunkach obywatele UE nieaktywni zawodowo, zamieszkujący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yjmującym państwie członkowskim na podstawie prawa krajowego, mogą powoływać się na zakaz dyskryminacji ze względu na przynależność państwową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uzyskania dostępu do świadczeń socjalnych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 xml:space="preserve">yjmującym państwie członkowskim. </w:t>
      </w:r>
    </w:p>
    <w:p w14:paraId="189DDD6A" w14:textId="7D49FBBA"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Trybunał uważa, że kwestię, czy taki obywatel ma do czynienia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dys</w:t>
      </w:r>
      <w:r w:rsidRPr="00FC6D7F">
        <w:rPr>
          <w:rFonts w:ascii="Times New Roman" w:hAnsi="Times New Roman"/>
          <w:noProof/>
          <w:sz w:val="24"/>
          <w:lang w:val="pl-PL"/>
        </w:rPr>
        <w:t>kryminacją ze względu na przynależność państwową, należy oceniać</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świ</w:t>
      </w:r>
      <w:r w:rsidRPr="00FC6D7F">
        <w:rPr>
          <w:rFonts w:ascii="Times New Roman" w:hAnsi="Times New Roman"/>
          <w:noProof/>
          <w:sz w:val="24"/>
          <w:lang w:val="pl-PL"/>
        </w:rPr>
        <w:t xml:space="preserve">etle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4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nie w</w:t>
      </w:r>
      <w:r w:rsidR="00D55672">
        <w:rPr>
          <w:rFonts w:ascii="Times New Roman" w:hAnsi="Times New Roman"/>
          <w:noProof/>
          <w:sz w:val="24"/>
          <w:lang w:val="pl-PL"/>
        </w:rPr>
        <w:t> </w:t>
      </w:r>
      <w:r w:rsidR="00D55672" w:rsidRPr="00FC6D7F">
        <w:rPr>
          <w:rFonts w:ascii="Times New Roman" w:hAnsi="Times New Roman"/>
          <w:noProof/>
          <w:sz w:val="24"/>
          <w:lang w:val="pl-PL"/>
        </w:rPr>
        <w:t>świ</w:t>
      </w:r>
      <w:r w:rsidRPr="00FC6D7F">
        <w:rPr>
          <w:rFonts w:ascii="Times New Roman" w:hAnsi="Times New Roman"/>
          <w:noProof/>
          <w:sz w:val="24"/>
          <w:lang w:val="pl-PL"/>
        </w:rPr>
        <w:t xml:space="preserve">etle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8 TFUE</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względzie Trybunał przypomniał, że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4 dyrektywy skonkretyzowano zasadę niedyskryminacji ze względu na przynależność państwową określoną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D55672">
        <w:rPr>
          <w:rFonts w:ascii="Times New Roman" w:hAnsi="Times New Roman"/>
          <w:noProof/>
          <w:sz w:val="24"/>
          <w:lang w:val="pl-PL"/>
        </w:rPr>
        <w:t>art</w:t>
      </w:r>
      <w:r w:rsidRPr="00D55672">
        <w:rPr>
          <w:rFonts w:ascii="Times New Roman" w:hAnsi="Times New Roman"/>
          <w:noProof/>
          <w:sz w:val="24"/>
          <w:lang w:val="pl-PL"/>
        </w:rPr>
        <w: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8 TFUE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odn</w:t>
      </w:r>
      <w:r w:rsidRPr="00FC6D7F">
        <w:rPr>
          <w:rFonts w:ascii="Times New Roman" w:hAnsi="Times New Roman"/>
          <w:noProof/>
          <w:sz w:val="24"/>
          <w:lang w:val="pl-PL"/>
        </w:rPr>
        <w:t>iesieniu do obywateli Unii korzystających ze swobody przemieszczania się</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ebywania na terytorium państw członkowskich i że dyrektywa ta obejmuje swym zakresem stosowania obywateli Unii, którzy przemieszczają się do państwa członkowskiego innego niż państwo członkowskie, którego są obywatelami, lub przebywają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tak</w:t>
      </w:r>
      <w:r w:rsidRPr="00FC6D7F">
        <w:rPr>
          <w:rFonts w:ascii="Times New Roman" w:hAnsi="Times New Roman"/>
          <w:noProof/>
          <w:sz w:val="24"/>
          <w:lang w:val="pl-PL"/>
        </w:rPr>
        <w:t>im państwie, jak również członków ich rodziny</w:t>
      </w:r>
      <w:r>
        <w:rPr>
          <w:rFonts w:ascii="Times New Roman" w:eastAsiaTheme="minorEastAsia" w:hAnsi="Times New Roman"/>
          <w:noProof/>
          <w:sz w:val="24"/>
          <w:vertAlign w:val="superscript"/>
        </w:rPr>
        <w:footnoteReference w:id="102"/>
      </w:r>
      <w:r w:rsidRPr="00FC6D7F">
        <w:rPr>
          <w:rFonts w:ascii="Times New Roman" w:hAnsi="Times New Roman"/>
          <w:noProof/>
          <w:sz w:val="24"/>
          <w:lang w:val="pl-PL"/>
        </w:rPr>
        <w:t xml:space="preserve">. </w:t>
      </w:r>
    </w:p>
    <w:p w14:paraId="7B43FBC1" w14:textId="5FD8D6C0"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Jeśli chodzi</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dos</w:t>
      </w:r>
      <w:r w:rsidRPr="00FC6D7F">
        <w:rPr>
          <w:rFonts w:ascii="Times New Roman" w:hAnsi="Times New Roman"/>
          <w:noProof/>
          <w:sz w:val="24"/>
          <w:lang w:val="pl-PL"/>
        </w:rPr>
        <w:t xml:space="preserve">tęp do pomocy społecznej, Trybunał przypomniał, że obywatel UE może domagać się równego traktowania,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4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oby</w:t>
      </w:r>
      <w:r w:rsidRPr="00FC6D7F">
        <w:rPr>
          <w:rFonts w:ascii="Times New Roman" w:hAnsi="Times New Roman"/>
          <w:noProof/>
          <w:sz w:val="24"/>
          <w:lang w:val="pl-PL"/>
        </w:rPr>
        <w:t>watelami przyjmującego państwa członkowskiego, tylko jeśli jego pobyt na terytorium tego państwa członkowskiego spełnia przesłanki dyrektywy. Nieaktywny zawodowo obywatel UE, który nie posiada wystarczających środków</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zam</w:t>
      </w:r>
      <w:r w:rsidRPr="00FC6D7F">
        <w:rPr>
          <w:rFonts w:ascii="Times New Roman" w:hAnsi="Times New Roman"/>
          <w:noProof/>
          <w:sz w:val="24"/>
          <w:lang w:val="pl-PL"/>
        </w:rPr>
        <w:t>ieszkuje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yjmującym państwie członkowskim bez spełnienia wymogów dotyczących miejsca zamieszkania określonych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dyr</w:t>
      </w:r>
      <w:r w:rsidRPr="00FC6D7F">
        <w:rPr>
          <w:rFonts w:ascii="Times New Roman" w:hAnsi="Times New Roman"/>
          <w:noProof/>
          <w:sz w:val="24"/>
          <w:lang w:val="pl-PL"/>
        </w:rPr>
        <w:t>ektywie, nie może powoływać się na zasadę niedyskryminacji określoną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D55672">
        <w:rPr>
          <w:rFonts w:ascii="Times New Roman" w:hAnsi="Times New Roman"/>
          <w:noProof/>
          <w:sz w:val="24"/>
          <w:lang w:val="pl-PL"/>
        </w:rPr>
        <w:t>art</w:t>
      </w:r>
      <w:r w:rsidRPr="00D55672">
        <w:rPr>
          <w:rFonts w:ascii="Times New Roman" w:hAnsi="Times New Roman"/>
          <w:noProof/>
          <w:sz w:val="24"/>
          <w:lang w:val="pl-PL"/>
        </w:rPr>
        <w: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4 </w:t>
      </w:r>
      <w:r w:rsidRPr="00D55672">
        <w:rPr>
          <w:rFonts w:ascii="Times New Roman" w:hAnsi="Times New Roman"/>
          <w:noProof/>
          <w:sz w:val="24"/>
          <w:lang w:val="pl-PL"/>
        </w:rPr>
        <w:t>ust.</w:t>
      </w:r>
      <w:r w:rsidR="00D55672" w:rsidRPr="00D55672">
        <w:rPr>
          <w:rFonts w:ascii="Times New Roman" w:hAnsi="Times New Roman"/>
          <w:noProof/>
          <w:sz w:val="24"/>
          <w:lang w:val="pl-PL"/>
        </w:rPr>
        <w:t> </w:t>
      </w:r>
      <w:r w:rsidRPr="00D55672">
        <w:rPr>
          <w:rFonts w:ascii="Times New Roman" w:hAnsi="Times New Roman"/>
          <w:noProof/>
          <w:sz w:val="24"/>
          <w:lang w:val="pl-PL"/>
        </w:rPr>
        <w:t>1</w:t>
      </w:r>
      <w:r w:rsidRPr="00FC6D7F">
        <w:rPr>
          <w:rFonts w:ascii="Times New Roman" w:hAnsi="Times New Roman"/>
          <w:noProof/>
          <w:sz w:val="24"/>
          <w:lang w:val="pl-PL"/>
        </w:rPr>
        <w:t xml:space="preserve"> dyrektywy</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eciwnym razie korzystałby on bowiem</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sze</w:t>
      </w:r>
      <w:r w:rsidRPr="00FC6D7F">
        <w:rPr>
          <w:rFonts w:ascii="Times New Roman" w:hAnsi="Times New Roman"/>
          <w:noProof/>
          <w:sz w:val="24"/>
          <w:lang w:val="pl-PL"/>
        </w:rPr>
        <w:t>rszej ochrony niż ta, która przysługiwałaby mu na podstawie przepisów wspomnianej dyrektywy, co doprowadziłoby do odmowy przyznania wspomnianemu obywatelowi prawa pobytu</w:t>
      </w:r>
      <w:bookmarkStart w:id="8" w:name="_Hlk145939567"/>
      <w:bookmarkEnd w:id="8"/>
      <w:r>
        <w:rPr>
          <w:rFonts w:ascii="Times New Roman" w:eastAsiaTheme="minorEastAsia" w:hAnsi="Times New Roman"/>
          <w:noProof/>
          <w:sz w:val="24"/>
          <w:vertAlign w:val="superscript"/>
        </w:rPr>
        <w:footnoteReference w:id="103"/>
      </w:r>
      <w:r w:rsidRPr="00FC6D7F">
        <w:rPr>
          <w:rFonts w:ascii="Times New Roman" w:hAnsi="Times New Roman"/>
          <w:noProof/>
          <w:sz w:val="24"/>
          <w:lang w:val="pl-PL"/>
        </w:rPr>
        <w:t>.</w:t>
      </w:r>
    </w:p>
    <w:p w14:paraId="7A1E098E" w14:textId="14DBC2AA"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W przypadku gdy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4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swobodnego przemieszczania się nie ma zastosowania, ponieważ obywatel Unii nie zamieszkuje na terytorium przyjmującego państwa członkowskiego zgodnie z tą dyrektywą, ale przebywa na nim legalnie na podstawie prawa krajowego, Trybunał uważa, że właściwe organy krajowe mogą odrzucić wniosek</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udz</w:t>
      </w:r>
      <w:r w:rsidRPr="00FC6D7F">
        <w:rPr>
          <w:rFonts w:ascii="Times New Roman" w:hAnsi="Times New Roman"/>
          <w:noProof/>
          <w:sz w:val="24"/>
          <w:lang w:val="pl-PL"/>
        </w:rPr>
        <w:t>ielenie pomocy społecznej wyłącznie po ustaleniu, że odmowa ta nie naraża przemieszczającego się obywatela Unii na konkretne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akt</w:t>
      </w:r>
      <w:r w:rsidRPr="00FC6D7F">
        <w:rPr>
          <w:rFonts w:ascii="Times New Roman" w:hAnsi="Times New Roman"/>
          <w:noProof/>
          <w:sz w:val="24"/>
          <w:lang w:val="pl-PL"/>
        </w:rPr>
        <w:t>ualne ryzyko naruszenia jego praw podstawowych zapisanych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Kar</w:t>
      </w:r>
      <w:r w:rsidRPr="00FC6D7F">
        <w:rPr>
          <w:rFonts w:ascii="Times New Roman" w:hAnsi="Times New Roman"/>
          <w:noProof/>
          <w:sz w:val="24"/>
          <w:lang w:val="pl-PL"/>
        </w:rPr>
        <w:t>cie praw podstawowych</w:t>
      </w:r>
      <w:r>
        <w:rPr>
          <w:rFonts w:ascii="Times New Roman" w:eastAsiaTheme="minorEastAsia" w:hAnsi="Times New Roman"/>
          <w:noProof/>
          <w:sz w:val="24"/>
          <w:vertAlign w:val="superscript"/>
        </w:rPr>
        <w:footnoteReference w:id="104"/>
      </w:r>
      <w:r w:rsidRPr="00FC6D7F">
        <w:rPr>
          <w:rFonts w:ascii="Times New Roman" w:hAnsi="Times New Roman"/>
          <w:noProof/>
          <w:sz w:val="24"/>
          <w:lang w:val="pl-PL"/>
        </w:rPr>
        <w:t>.</w:t>
      </w:r>
    </w:p>
    <w:p w14:paraId="6D6182E5" w14:textId="7996B6F9" w:rsidR="003667F7" w:rsidRPr="00FC6D7F" w:rsidRDefault="003667F7" w:rsidP="003667F7">
      <w:pPr>
        <w:pStyle w:val="Heading2"/>
        <w:rPr>
          <w:noProof/>
          <w:lang w:val="pl-PL"/>
        </w:rPr>
      </w:pPr>
      <w:r w:rsidRPr="00FC6D7F">
        <w:rPr>
          <w:noProof/>
          <w:lang w:val="pl-PL"/>
        </w:rPr>
        <w:t xml:space="preserve">Pochodne prawa pobytu dla obywateli państwa trzeciego będących członkami rodzin obywateli Unii na podstawie </w:t>
      </w:r>
      <w:r w:rsidRPr="00D55672">
        <w:rPr>
          <w:noProof/>
          <w:lang w:val="pl-PL"/>
        </w:rPr>
        <w:t>art.</w:t>
      </w:r>
      <w:r w:rsidR="00D55672" w:rsidRPr="00D55672">
        <w:rPr>
          <w:noProof/>
          <w:lang w:val="pl-PL"/>
        </w:rPr>
        <w:t> </w:t>
      </w:r>
      <w:r w:rsidRPr="00D55672">
        <w:rPr>
          <w:noProof/>
          <w:lang w:val="pl-PL"/>
        </w:rPr>
        <w:t>2</w:t>
      </w:r>
      <w:r w:rsidRPr="00FC6D7F">
        <w:rPr>
          <w:noProof/>
          <w:lang w:val="pl-PL"/>
        </w:rPr>
        <w:t>0 TFUE</w:t>
      </w:r>
    </w:p>
    <w:p w14:paraId="50E78433" w14:textId="466B8019"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W sprawie </w:t>
      </w:r>
      <w:r w:rsidRPr="00FC6D7F">
        <w:rPr>
          <w:rFonts w:ascii="Times New Roman" w:hAnsi="Times New Roman"/>
          <w:b/>
          <w:bCs/>
          <w:noProof/>
          <w:sz w:val="24"/>
          <w:lang w:val="pl-PL"/>
        </w:rPr>
        <w:t>M.D./Országos Idegenrendészeti Főigazgatóság Budapesti és Pest Megyei Regionális Igazgatósága</w:t>
      </w:r>
      <w:r>
        <w:rPr>
          <w:rFonts w:ascii="Times New Roman" w:eastAsiaTheme="minorEastAsia" w:hAnsi="Times New Roman"/>
          <w:noProof/>
          <w:sz w:val="24"/>
          <w:vertAlign w:val="superscript"/>
        </w:rPr>
        <w:footnoteReference w:id="105"/>
      </w:r>
      <w:r w:rsidRPr="00FC6D7F">
        <w:rPr>
          <w:rFonts w:ascii="Times New Roman" w:hAnsi="Times New Roman"/>
          <w:noProof/>
          <w:sz w:val="24"/>
          <w:lang w:val="pl-PL"/>
        </w:rPr>
        <w:t>, obywatel państwa trzeciego mieszkający ze swoim partnerem z UE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mał</w:t>
      </w:r>
      <w:r w:rsidRPr="00FC6D7F">
        <w:rPr>
          <w:rFonts w:ascii="Times New Roman" w:hAnsi="Times New Roman"/>
          <w:noProof/>
          <w:sz w:val="24"/>
          <w:lang w:val="pl-PL"/>
        </w:rPr>
        <w:t>oletnim dzieckiem z UE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stwie członkowskim, którego są obywatelami, złożył wniosek</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zez</w:t>
      </w:r>
      <w:r w:rsidRPr="00FC6D7F">
        <w:rPr>
          <w:rFonts w:ascii="Times New Roman" w:hAnsi="Times New Roman"/>
          <w:noProof/>
          <w:sz w:val="24"/>
          <w:lang w:val="pl-PL"/>
        </w:rPr>
        <w:t>wolenie na pobyt stały, który został odrzucony, ponieważ skarżący został skazany za popełnienie przestępstwa. Organy krajowe uznały, że zachowanie skarżącego stanowiło zagrożenie dla bezpieczeństwa narodowego. Wydały decyzję</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azie wjazdu</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pob</w:t>
      </w:r>
      <w:r w:rsidRPr="00FC6D7F">
        <w:rPr>
          <w:rFonts w:ascii="Times New Roman" w:hAnsi="Times New Roman"/>
          <w:noProof/>
          <w:sz w:val="24"/>
          <w:lang w:val="pl-PL"/>
        </w:rPr>
        <w:t>ytu na okres trzech lat</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dok</w:t>
      </w:r>
      <w:r w:rsidRPr="00FC6D7F">
        <w:rPr>
          <w:rFonts w:ascii="Times New Roman" w:hAnsi="Times New Roman"/>
          <w:noProof/>
          <w:sz w:val="24"/>
          <w:lang w:val="pl-PL"/>
        </w:rPr>
        <w:t>onały wpisu dotyczącego tego zakazu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Sys</w:t>
      </w:r>
      <w:r w:rsidRPr="00FC6D7F">
        <w:rPr>
          <w:rFonts w:ascii="Times New Roman" w:hAnsi="Times New Roman"/>
          <w:noProof/>
          <w:sz w:val="24"/>
          <w:lang w:val="pl-PL"/>
        </w:rPr>
        <w:t>temie Informacyjnym Schengen („SIS”)</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dni</w:t>
      </w:r>
      <w:r w:rsidRPr="00FC6D7F">
        <w:rPr>
          <w:rFonts w:ascii="Times New Roman" w:hAnsi="Times New Roman"/>
          <w:noProof/>
          <w:sz w:val="24"/>
          <w:lang w:val="pl-PL"/>
        </w:rPr>
        <w:t>u cofnięcia zezwolenia na pobyt obywatelowi państwa trzeciego przysługiwało prawo pobytu</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stwie członkowskim innym niż państwo obywatelstwa jego partnera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dzi</w:t>
      </w:r>
      <w:r w:rsidRPr="00FC6D7F">
        <w:rPr>
          <w:rFonts w:ascii="Times New Roman" w:hAnsi="Times New Roman"/>
          <w:noProof/>
          <w:sz w:val="24"/>
          <w:lang w:val="pl-PL"/>
        </w:rPr>
        <w:t>ecka.</w:t>
      </w:r>
    </w:p>
    <w:p w14:paraId="5CC77FDA" w14:textId="26F14486"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Trybunał przypomniał, że istnieją szczególne sytuacje,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rych prawo pobytu powinno zostać przyznane obywatelowi państwa trzeciego będącemu członkiem rodziny tego obywatela Unii, ponieważ</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eciwnym razie skuteczność obywatelstwa Unii zostałaby podważona</w:t>
      </w:r>
      <w:r>
        <w:rPr>
          <w:rFonts w:ascii="Times New Roman" w:eastAsiaTheme="minorEastAsia" w:hAnsi="Times New Roman"/>
          <w:noProof/>
          <w:sz w:val="24"/>
          <w:vertAlign w:val="superscript"/>
        </w:rPr>
        <w:footnoteReference w:id="106"/>
      </w:r>
      <w:r w:rsidRPr="00FC6D7F">
        <w:rPr>
          <w:rFonts w:ascii="Times New Roman" w:hAnsi="Times New Roman"/>
          <w:noProof/>
          <w:sz w:val="24"/>
          <w:lang w:val="pl-PL"/>
        </w:rPr>
        <w:t xml:space="preserve">. Na tej podstawie Trybunał potwierdził, że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 TFUE stoi na przeszkodzie przepisom krajowym, które skutkują pozbawieniem obywateli Unii możliwości skutecznego korzystania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ist</w:t>
      </w:r>
      <w:r w:rsidRPr="00FC6D7F">
        <w:rPr>
          <w:rFonts w:ascii="Times New Roman" w:hAnsi="Times New Roman"/>
          <w:noProof/>
          <w:sz w:val="24"/>
          <w:lang w:val="pl-PL"/>
        </w:rPr>
        <w:t>oty praw przyznanych im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 xml:space="preserve">ązku ze statusem obywatela Unii </w:t>
      </w:r>
      <w:r>
        <w:rPr>
          <w:rFonts w:ascii="Times New Roman" w:eastAsiaTheme="minorEastAsia" w:hAnsi="Times New Roman"/>
          <w:noProof/>
          <w:sz w:val="24"/>
          <w:vertAlign w:val="superscript"/>
        </w:rPr>
        <w:footnoteReference w:id="107"/>
      </w:r>
      <w:r w:rsidRPr="00FC6D7F">
        <w:rPr>
          <w:rFonts w:ascii="Times New Roman" w:hAnsi="Times New Roman"/>
          <w:noProof/>
          <w:sz w:val="24"/>
          <w:lang w:val="pl-PL"/>
        </w:rPr>
        <w:t>. Trybunał zauważył, że decyzja</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azie wjazdu</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pob</w:t>
      </w:r>
      <w:r w:rsidRPr="00FC6D7F">
        <w:rPr>
          <w:rFonts w:ascii="Times New Roman" w:hAnsi="Times New Roman"/>
          <w:noProof/>
          <w:sz w:val="24"/>
          <w:lang w:val="pl-PL"/>
        </w:rPr>
        <w:t>ytu obywatela państwa trzeciego ma wymiar europejski. Nie można</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pri</w:t>
      </w:r>
      <w:r w:rsidRPr="00FC6D7F">
        <w:rPr>
          <w:rFonts w:ascii="Times New Roman" w:hAnsi="Times New Roman"/>
          <w:noProof/>
          <w:sz w:val="24"/>
          <w:lang w:val="pl-PL"/>
        </w:rPr>
        <w:t>ori wykluczyć, że zakaz wjazdu</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pob</w:t>
      </w:r>
      <w:r w:rsidRPr="00FC6D7F">
        <w:rPr>
          <w:rFonts w:ascii="Times New Roman" w:hAnsi="Times New Roman"/>
          <w:noProof/>
          <w:sz w:val="24"/>
          <w:lang w:val="pl-PL"/>
        </w:rPr>
        <w:t>ytu doprowadziłby do tego, że partner</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mał</w:t>
      </w:r>
      <w:r w:rsidRPr="00FC6D7F">
        <w:rPr>
          <w:rFonts w:ascii="Times New Roman" w:hAnsi="Times New Roman"/>
          <w:noProof/>
          <w:sz w:val="24"/>
          <w:lang w:val="pl-PL"/>
        </w:rPr>
        <w:t>oletnie dziecko – obywatele Unii – zostaliby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rze</w:t>
      </w:r>
      <w:r w:rsidRPr="00FC6D7F">
        <w:rPr>
          <w:rFonts w:ascii="Times New Roman" w:hAnsi="Times New Roman"/>
          <w:noProof/>
          <w:sz w:val="24"/>
          <w:lang w:val="pl-PL"/>
        </w:rPr>
        <w:t>czywistości pozbawieni skutecznego korzystania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ist</w:t>
      </w:r>
      <w:r w:rsidRPr="00FC6D7F">
        <w:rPr>
          <w:rFonts w:ascii="Times New Roman" w:hAnsi="Times New Roman"/>
          <w:noProof/>
          <w:sz w:val="24"/>
          <w:lang w:val="pl-PL"/>
        </w:rPr>
        <w:t>oty praw, które wywodzą</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pos</w:t>
      </w:r>
      <w:r w:rsidRPr="00FC6D7F">
        <w:rPr>
          <w:rFonts w:ascii="Times New Roman" w:hAnsi="Times New Roman"/>
          <w:noProof/>
          <w:sz w:val="24"/>
          <w:lang w:val="pl-PL"/>
        </w:rPr>
        <w:t>iadania statusu obywatela Unii. Miałoby to miejsce, gdyby między tym obywatelem niebędącym obywatelem Unii</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oby</w:t>
      </w:r>
      <w:r w:rsidRPr="00FC6D7F">
        <w:rPr>
          <w:rFonts w:ascii="Times New Roman" w:hAnsi="Times New Roman"/>
          <w:noProof/>
          <w:sz w:val="24"/>
          <w:lang w:val="pl-PL"/>
        </w:rPr>
        <w:t xml:space="preserve">watelem Unii będącym członkiem rodziny istniał </w:t>
      </w:r>
      <w:r w:rsidRPr="00FC6D7F">
        <w:rPr>
          <w:rFonts w:ascii="Times New Roman" w:hAnsi="Times New Roman"/>
          <w:i/>
          <w:noProof/>
          <w:sz w:val="24"/>
          <w:lang w:val="pl-PL"/>
        </w:rPr>
        <w:t>stosunek zależności</w:t>
      </w:r>
      <w:r w:rsidRPr="00FC6D7F">
        <w:rPr>
          <w:rFonts w:ascii="Times New Roman" w:hAnsi="Times New Roman"/>
          <w:noProof/>
          <w:sz w:val="24"/>
          <w:lang w:val="pl-PL"/>
        </w:rPr>
        <w:t>, który prowadziłby do tego, że obywatel Unii byłby zmuszony do towarzyszenia temu obywatelowi państwa trzeciego i do opuszczenia terytorium Unii, rozpatrywanego jako całość</w:t>
      </w:r>
      <w:r>
        <w:rPr>
          <w:rFonts w:ascii="Times New Roman" w:eastAsiaTheme="minorEastAsia" w:hAnsi="Times New Roman"/>
          <w:noProof/>
          <w:sz w:val="24"/>
          <w:vertAlign w:val="superscript"/>
        </w:rPr>
        <w:footnoteReference w:id="108"/>
      </w:r>
      <w:r w:rsidRPr="00FC6D7F">
        <w:rPr>
          <w:rFonts w:ascii="Times New Roman" w:hAnsi="Times New Roman"/>
          <w:noProof/>
          <w:sz w:val="24"/>
          <w:lang w:val="pl-PL"/>
        </w:rPr>
        <w:t xml:space="preserve">. Trybunał przypomniał również, że państwa członkowskie mogą powołać się na wyjątek ze względów porządku publicznego lub bezpieczeństwa publicznego, aby ograniczyć prawo pobytu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 TFUE, jeżeli dana osoba stanowi faktyczne, aktualne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dos</w:t>
      </w:r>
      <w:r w:rsidRPr="00FC6D7F">
        <w:rPr>
          <w:rFonts w:ascii="Times New Roman" w:hAnsi="Times New Roman"/>
          <w:noProof/>
          <w:sz w:val="24"/>
          <w:lang w:val="pl-PL"/>
        </w:rPr>
        <w:t>tatecznie poważne zagrożenie dla porządku publicznego lub bezpieczeństwa publicznego lub narodowego. Trybunał stwierdził zatem, że prawo Unii stoi na przeszkodzie wydaniu przez państwo członkowskie decyzji</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azie wjazdu na terytorium Unii wobec obywatela państwa trzeciego będącego członkiem rodziny statycznego obywatela Unii (obywatela tego państwa członkowskiego, który nigdy nie skorzystał</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ysługującej mu swobody przemieszczania się), bez uprzedniego zbadania, czy między tymi osobami istnieje stosunek zależności, który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rze</w:t>
      </w:r>
      <w:r w:rsidRPr="00FC6D7F">
        <w:rPr>
          <w:rFonts w:ascii="Times New Roman" w:hAnsi="Times New Roman"/>
          <w:noProof/>
          <w:sz w:val="24"/>
          <w:lang w:val="pl-PL"/>
        </w:rPr>
        <w:t>czywistości zmuszałby tego obywatela Unii do opuszczenia terytorium Unii, rozpatrywanego jako całość,</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towarzyszenia temu członkowi jego rodziny,</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jeś</w:t>
      </w:r>
      <w:r w:rsidRPr="00FC6D7F">
        <w:rPr>
          <w:rFonts w:ascii="Times New Roman" w:hAnsi="Times New Roman"/>
          <w:noProof/>
          <w:sz w:val="24"/>
          <w:lang w:val="pl-PL"/>
        </w:rPr>
        <w:t>li tak, to czy powody, dla których decyzja ta została wydana, zezwalają na odstępstwo od pochodnego prawa pobytu tego obywatela państwa trzeciego</w:t>
      </w:r>
      <w:r>
        <w:rPr>
          <w:rFonts w:ascii="Times New Roman" w:eastAsiaTheme="minorEastAsia" w:hAnsi="Times New Roman"/>
          <w:noProof/>
          <w:sz w:val="24"/>
          <w:vertAlign w:val="superscript"/>
        </w:rPr>
        <w:footnoteReference w:id="109"/>
      </w:r>
      <w:r w:rsidRPr="00FC6D7F">
        <w:rPr>
          <w:rFonts w:ascii="Times New Roman" w:hAnsi="Times New Roman"/>
          <w:noProof/>
          <w:sz w:val="24"/>
          <w:lang w:val="pl-PL"/>
        </w:rPr>
        <w:t>.</w:t>
      </w:r>
    </w:p>
    <w:p w14:paraId="6C80BA8A" w14:textId="1FCC683E"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W sprawie </w:t>
      </w:r>
      <w:r w:rsidRPr="00FC6D7F">
        <w:rPr>
          <w:rFonts w:ascii="Times New Roman" w:hAnsi="Times New Roman"/>
          <w:b/>
          <w:bCs/>
          <w:noProof/>
          <w:sz w:val="24"/>
          <w:lang w:val="pl-PL"/>
        </w:rPr>
        <w:t>E.K./Staatssecretaris van Justitie en Veiligheid</w:t>
      </w:r>
      <w:r>
        <w:rPr>
          <w:rFonts w:ascii="Times New Roman" w:eastAsiaTheme="minorEastAsia" w:hAnsi="Times New Roman"/>
          <w:noProof/>
          <w:sz w:val="24"/>
          <w:vertAlign w:val="superscript"/>
        </w:rPr>
        <w:footnoteReference w:id="110"/>
      </w:r>
      <w:r w:rsidRPr="00FC6D7F">
        <w:rPr>
          <w:rFonts w:ascii="Times New Roman" w:hAnsi="Times New Roman"/>
          <w:noProof/>
          <w:sz w:val="24"/>
          <w:lang w:val="pl-PL"/>
        </w:rPr>
        <w:t xml:space="preserve"> Trybunał potwierdził, że obywatel państwa trzeciego, który korzysta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 xml:space="preserve">wa pobytu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 TFUE jako członek rodziny statycznego obywatela Unii, może uzyskać status rezydenta długoterminowego na podstawie dyrektywy Rady 2003/109/WE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dni</w:t>
      </w:r>
      <w:r w:rsidRPr="00FC6D7F">
        <w:rPr>
          <w:rFonts w:ascii="Times New Roman" w:hAnsi="Times New Roman"/>
          <w:noProof/>
          <w:sz w:val="24"/>
          <w:lang w:val="pl-PL"/>
        </w:rPr>
        <w:t>a 25 listopada 20</w:t>
      </w:r>
      <w:r w:rsidRPr="00D55672">
        <w:rPr>
          <w:rFonts w:ascii="Times New Roman" w:hAnsi="Times New Roman"/>
          <w:noProof/>
          <w:sz w:val="24"/>
          <w:lang w:val="pl-PL"/>
        </w:rPr>
        <w:t>03</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dotyczącej statusu obywateli państw trzecich będących rezydentami długoterminowymi (zwanej dalej „dyrektywą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rezydentów długoterminowych”), jeżeli osoba ta spełnia warunki przewidziane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wie Unii. Po pierwsze, Trybunał potwierdził, że dyrektywa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rezydentów długoterminowych wyłącza ze swojego zakresu stosowania obywateli państw trzecich, którzy zamieszkują jedynie tymczasowo</w:t>
      </w:r>
      <w:r>
        <w:rPr>
          <w:rFonts w:ascii="Times New Roman" w:eastAsiaTheme="minorEastAsia" w:hAnsi="Times New Roman"/>
          <w:noProof/>
          <w:sz w:val="24"/>
          <w:vertAlign w:val="superscript"/>
        </w:rPr>
        <w:footnoteReference w:id="111"/>
      </w:r>
      <w:r w:rsidRPr="00FC6D7F">
        <w:rPr>
          <w:rFonts w:ascii="Times New Roman" w:hAnsi="Times New Roman"/>
          <w:noProof/>
          <w:sz w:val="24"/>
          <w:lang w:val="pl-PL"/>
        </w:rPr>
        <w:t xml:space="preserve">. Trybunał uznał jednak, że pobytu obywatela państwa trzeciego na terytorium państwa członkowskiego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 TFUE nie można uznać za pobyt „jedynie tymczasowy”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roz</w:t>
      </w:r>
      <w:r w:rsidRPr="00FC6D7F">
        <w:rPr>
          <w:rFonts w:ascii="Times New Roman" w:hAnsi="Times New Roman"/>
          <w:noProof/>
          <w:sz w:val="24"/>
          <w:lang w:val="pl-PL"/>
        </w:rPr>
        <w:t>umieniu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 xml:space="preserve">awie rezydentów długoterminowych. Prawo pobytu obywatela państwa trzeciego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 TFUE jest bowiem uzasadnione tym, że taki pobyt jest konieczny, aby obywatel Unii mógł skutecznie korzystać</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ist</w:t>
      </w:r>
      <w:r w:rsidRPr="00FC6D7F">
        <w:rPr>
          <w:rFonts w:ascii="Times New Roman" w:hAnsi="Times New Roman"/>
          <w:noProof/>
          <w:sz w:val="24"/>
          <w:lang w:val="pl-PL"/>
        </w:rPr>
        <w:t>oty praw przyznanych przez ten status dopóty, dopóki trwa stosunek zależności ze wspomnianym obywatelem państwa trzeciego. Taki stosunek zależności co do zasady nie ma być krótkoterminowy, ale może bowiem rozciągać się na znaczny okres</w:t>
      </w:r>
      <w:r>
        <w:rPr>
          <w:rFonts w:ascii="Times New Roman" w:eastAsiaTheme="minorEastAsia" w:hAnsi="Times New Roman"/>
          <w:noProof/>
          <w:sz w:val="24"/>
          <w:vertAlign w:val="superscript"/>
        </w:rPr>
        <w:footnoteReference w:id="112"/>
      </w:r>
      <w:r w:rsidRPr="00FC6D7F">
        <w:rPr>
          <w:rFonts w:ascii="Times New Roman" w:hAnsi="Times New Roman"/>
          <w:noProof/>
          <w:sz w:val="24"/>
          <w:lang w:val="pl-PL"/>
        </w:rPr>
        <w:t xml:space="preserve">. Po drugie, Trybunał stwierdził, że aby uzyskać status rezydenta długoterminowego, obywatel państwa trzeciego, któremu przysługuje prawo pobytu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 TFUE jako członkowi rodziny statycznego obywatela Unii, musi spełniać warunki określone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tej</w:t>
      </w:r>
      <w:r w:rsidRPr="00FC6D7F">
        <w:rPr>
          <w:rFonts w:ascii="Times New Roman" w:hAnsi="Times New Roman"/>
          <w:noProof/>
          <w:sz w:val="24"/>
          <w:lang w:val="pl-PL"/>
        </w:rPr>
        <w:t xml:space="preserve"> dyrektywie (dotyczące długości pobytu, wystarczających środków</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ube</w:t>
      </w:r>
      <w:r w:rsidRPr="00FC6D7F">
        <w:rPr>
          <w:rFonts w:ascii="Times New Roman" w:hAnsi="Times New Roman"/>
          <w:noProof/>
          <w:sz w:val="24"/>
          <w:lang w:val="pl-PL"/>
        </w:rPr>
        <w:t>zpieczenia zdrowotnego,</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tak</w:t>
      </w:r>
      <w:r w:rsidRPr="00FC6D7F">
        <w:rPr>
          <w:rFonts w:ascii="Times New Roman" w:hAnsi="Times New Roman"/>
          <w:noProof/>
          <w:sz w:val="24"/>
          <w:lang w:val="pl-PL"/>
        </w:rPr>
        <w:t>że dowodu integracji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stwie członkowskim, jeżeli wymaga tego państwo członkowskie)</w:t>
      </w:r>
      <w:r>
        <w:rPr>
          <w:rFonts w:ascii="Times New Roman" w:eastAsiaTheme="minorEastAsia" w:hAnsi="Times New Roman"/>
          <w:noProof/>
          <w:sz w:val="24"/>
          <w:vertAlign w:val="superscript"/>
        </w:rPr>
        <w:footnoteReference w:id="113"/>
      </w:r>
      <w:r w:rsidRPr="00FC6D7F">
        <w:rPr>
          <w:rFonts w:ascii="Times New Roman" w:hAnsi="Times New Roman"/>
          <w:noProof/>
          <w:sz w:val="24"/>
          <w:lang w:val="pl-PL"/>
        </w:rPr>
        <w:t xml:space="preserve">. </w:t>
      </w:r>
    </w:p>
    <w:p w14:paraId="21813300" w14:textId="42758062"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W sprawie </w:t>
      </w:r>
      <w:r w:rsidRPr="00FC6D7F">
        <w:rPr>
          <w:rFonts w:ascii="Times New Roman" w:hAnsi="Times New Roman"/>
          <w:b/>
          <w:bCs/>
          <w:noProof/>
          <w:sz w:val="24"/>
          <w:lang w:val="pl-PL"/>
        </w:rPr>
        <w:t>X/Staatssecretaris van Justitie en Veiligheid</w:t>
      </w:r>
      <w:r>
        <w:rPr>
          <w:rFonts w:ascii="Times New Roman" w:eastAsiaTheme="minorEastAsia" w:hAnsi="Times New Roman"/>
          <w:noProof/>
          <w:sz w:val="24"/>
          <w:vertAlign w:val="superscript"/>
        </w:rPr>
        <w:footnoteReference w:id="114"/>
      </w:r>
      <w:r w:rsidRPr="00FC6D7F">
        <w:rPr>
          <w:rFonts w:ascii="Times New Roman" w:hAnsi="Times New Roman"/>
          <w:noProof/>
          <w:sz w:val="24"/>
          <w:lang w:val="pl-PL"/>
        </w:rPr>
        <w:t xml:space="preserve"> małoletni obywatel niderlandzki urodzony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Taj</w:t>
      </w:r>
      <w:r w:rsidRPr="00FC6D7F">
        <w:rPr>
          <w:rFonts w:ascii="Times New Roman" w:hAnsi="Times New Roman"/>
          <w:noProof/>
          <w:sz w:val="24"/>
          <w:lang w:val="pl-PL"/>
        </w:rPr>
        <w:t>landii,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stwie, którego obywatelstwo posiada jego matka, zamieszkiwał</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kraju przez całe życie. Niderlandzki ojciec nie ma kontaktu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dzi</w:t>
      </w:r>
      <w:r w:rsidRPr="00FC6D7F">
        <w:rPr>
          <w:rFonts w:ascii="Times New Roman" w:hAnsi="Times New Roman"/>
          <w:noProof/>
          <w:sz w:val="24"/>
          <w:lang w:val="pl-PL"/>
        </w:rPr>
        <w:t>eckiem,</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mat</w:t>
      </w:r>
      <w:r w:rsidRPr="00FC6D7F">
        <w:rPr>
          <w:rFonts w:ascii="Times New Roman" w:hAnsi="Times New Roman"/>
          <w:noProof/>
          <w:sz w:val="24"/>
          <w:lang w:val="pl-PL"/>
        </w:rPr>
        <w:t xml:space="preserve">ka sprawuje nad nim wyłączną odpowiedzialność rodzicielską. Trybunał musiał dokonać wykładni stosowania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 TFUE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ypadkach,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 xml:space="preserve">rych małoletni obywatel Unii nigdy nie zamieszkiwał w UE. Trybunał potwierdził, że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 TFUE nie stoi na przeszkodzie temu, by niebędący obywatelem Unii rodzic małoletniego dziecka będącego obywatelem Unii, które od urodzenia nigdy nie zamieszkiwało na terytorium UE, mógł korzystać</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poc</w:t>
      </w:r>
      <w:r w:rsidRPr="00FC6D7F">
        <w:rPr>
          <w:rFonts w:ascii="Times New Roman" w:hAnsi="Times New Roman"/>
          <w:noProof/>
          <w:sz w:val="24"/>
          <w:lang w:val="pl-PL"/>
        </w:rPr>
        <w:t>hodnego prawa pobytu wynikającego</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D55672">
        <w:rPr>
          <w:rFonts w:ascii="Times New Roman" w:hAnsi="Times New Roman"/>
          <w:noProof/>
          <w:sz w:val="24"/>
          <w:lang w:val="pl-PL"/>
        </w:rPr>
        <w:t>art</w:t>
      </w:r>
      <w:r w:rsidRPr="00D55672">
        <w:rPr>
          <w:rFonts w:ascii="Times New Roman" w:hAnsi="Times New Roman"/>
          <w:noProof/>
          <w:sz w:val="24"/>
          <w:lang w:val="pl-PL"/>
        </w:rPr>
        <w: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 TFUE, pod warunkiem że:</w:t>
      </w:r>
    </w:p>
    <w:p w14:paraId="748E4C02" w14:textId="6D1FEC8F" w:rsidR="003667F7" w:rsidRPr="00FC6D7F" w:rsidRDefault="003667F7" w:rsidP="003667F7">
      <w:pPr>
        <w:pStyle w:val="ListParagraph"/>
        <w:numPr>
          <w:ilvl w:val="0"/>
          <w:numId w:val="13"/>
        </w:num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między dzieckiem</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rod</w:t>
      </w:r>
      <w:r w:rsidRPr="00FC6D7F">
        <w:rPr>
          <w:rFonts w:ascii="Times New Roman" w:hAnsi="Times New Roman"/>
          <w:noProof/>
          <w:sz w:val="24"/>
          <w:lang w:val="pl-PL"/>
        </w:rPr>
        <w:t>zicem istnieje wymagany stosunek zależności – zgodnie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utr</w:t>
      </w:r>
      <w:r w:rsidRPr="00FC6D7F">
        <w:rPr>
          <w:rFonts w:ascii="Times New Roman" w:hAnsi="Times New Roman"/>
          <w:noProof/>
          <w:sz w:val="24"/>
          <w:lang w:val="pl-PL"/>
        </w:rPr>
        <w:t xml:space="preserve">walonym orzecznictwem; </w:t>
      </w:r>
    </w:p>
    <w:p w14:paraId="1206CDBC" w14:textId="32F6D501" w:rsidR="003667F7" w:rsidRPr="00FC6D7F" w:rsidRDefault="003667F7" w:rsidP="003667F7">
      <w:pPr>
        <w:pStyle w:val="ListParagraph"/>
        <w:numPr>
          <w:ilvl w:val="0"/>
          <w:numId w:val="13"/>
        </w:num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wykazano, że wspomniane dziecko wjedzie na terytorium państwa członkowskiego, którego obywatelstwo posiada,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będ</w:t>
      </w:r>
      <w:r w:rsidRPr="00FC6D7F">
        <w:rPr>
          <w:rFonts w:ascii="Times New Roman" w:hAnsi="Times New Roman"/>
          <w:noProof/>
          <w:sz w:val="24"/>
          <w:lang w:val="pl-PL"/>
        </w:rPr>
        <w:t>zie tam przebywać</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tow</w:t>
      </w:r>
      <w:r w:rsidRPr="00FC6D7F">
        <w:rPr>
          <w:rFonts w:ascii="Times New Roman" w:hAnsi="Times New Roman"/>
          <w:noProof/>
          <w:sz w:val="24"/>
          <w:lang w:val="pl-PL"/>
        </w:rPr>
        <w:t>arzystwie tego rodzica</w:t>
      </w:r>
      <w:r>
        <w:rPr>
          <w:noProof/>
          <w:vertAlign w:val="superscript"/>
        </w:rPr>
        <w:footnoteReference w:id="115"/>
      </w:r>
      <w:r w:rsidRPr="00FC6D7F">
        <w:rPr>
          <w:rFonts w:ascii="Times New Roman" w:hAnsi="Times New Roman"/>
          <w:noProof/>
          <w:sz w:val="24"/>
          <w:lang w:val="pl-PL"/>
        </w:rPr>
        <w:t>.</w:t>
      </w:r>
    </w:p>
    <w:p w14:paraId="2A0F5314" w14:textId="663897EC"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Po drugie, Trybunał uznał, że państwo członkowskie, które otrzymało wniosek</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yznanie pochodnego prawa pobytu, złożonego przez obywatela państwa trzeciego, wobec której</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zal</w:t>
      </w:r>
      <w:r w:rsidRPr="00FC6D7F">
        <w:rPr>
          <w:rFonts w:ascii="Times New Roman" w:hAnsi="Times New Roman"/>
          <w:noProof/>
          <w:sz w:val="24"/>
          <w:lang w:val="pl-PL"/>
        </w:rPr>
        <w:t>eżności pozostaje małoletnie dziecko będące obywatelem Unii, które nigdy nie przebywało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Uni</w:t>
      </w:r>
      <w:r w:rsidRPr="00FC6D7F">
        <w:rPr>
          <w:rFonts w:ascii="Times New Roman" w:hAnsi="Times New Roman"/>
          <w:noProof/>
          <w:sz w:val="24"/>
          <w:lang w:val="pl-PL"/>
        </w:rPr>
        <w:t>i, nie może tego wniosku odrzucić na podstawie, że przemieszczenie się do państwa członkowskiego, którego obywatelem jest dziecko,</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rym to przemieszczeniem się wiąże się wykonywanie przez to dziecko jego praw jako obywatela Unii, nie pozostaje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int</w:t>
      </w:r>
      <w:r w:rsidRPr="00FC6D7F">
        <w:rPr>
          <w:rFonts w:ascii="Times New Roman" w:hAnsi="Times New Roman"/>
          <w:noProof/>
          <w:sz w:val="24"/>
          <w:lang w:val="pl-PL"/>
        </w:rPr>
        <w:t>eresie, faktycznym lub prawdopodobnym, wspomnianego dziecka</w:t>
      </w:r>
      <w:r>
        <w:rPr>
          <w:rFonts w:ascii="Times New Roman" w:eastAsiaTheme="minorEastAsia" w:hAnsi="Times New Roman"/>
          <w:noProof/>
          <w:sz w:val="24"/>
          <w:vertAlign w:val="superscript"/>
        </w:rPr>
        <w:footnoteReference w:id="116"/>
      </w:r>
      <w:r w:rsidRPr="00FC6D7F">
        <w:rPr>
          <w:rFonts w:ascii="Times New Roman" w:hAnsi="Times New Roman"/>
          <w:noProof/>
          <w:sz w:val="24"/>
          <w:lang w:val="pl-PL"/>
        </w:rPr>
        <w:t>. Ponadto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dokonania oceny, czy małoletnie dziecko będące obywatelem Unii pozostaje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zal</w:t>
      </w:r>
      <w:r w:rsidRPr="00FC6D7F">
        <w:rPr>
          <w:rFonts w:ascii="Times New Roman" w:hAnsi="Times New Roman"/>
          <w:noProof/>
          <w:sz w:val="24"/>
          <w:lang w:val="pl-PL"/>
        </w:rPr>
        <w:t>eżności wobec rodzica będącego obywatelem państwa trzeciego, dane państwo członkowskie jest zobowiązane do uwzględnienia wszystkich istotnych okoliczności</w:t>
      </w:r>
      <w:r>
        <w:rPr>
          <w:rFonts w:ascii="Times New Roman" w:eastAsiaTheme="minorEastAsia" w:hAnsi="Times New Roman"/>
          <w:noProof/>
          <w:sz w:val="24"/>
          <w:vertAlign w:val="superscript"/>
        </w:rPr>
        <w:footnoteReference w:id="117"/>
      </w:r>
      <w:r w:rsidRPr="00FC6D7F">
        <w:rPr>
          <w:rFonts w:ascii="Times New Roman" w:hAnsi="Times New Roman"/>
          <w:noProof/>
          <w:sz w:val="24"/>
          <w:lang w:val="pl-PL"/>
        </w:rPr>
        <w:t>.</w:t>
      </w:r>
    </w:p>
    <w:p w14:paraId="28F2FF6F" w14:textId="001F7C4D" w:rsidR="003667F7" w:rsidRPr="00FC6D7F" w:rsidRDefault="00815ACE"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Również sprawy połączone </w:t>
      </w:r>
      <w:r w:rsidRPr="00FC6D7F">
        <w:rPr>
          <w:rFonts w:ascii="Times New Roman" w:hAnsi="Times New Roman"/>
          <w:b/>
          <w:bCs/>
          <w:noProof/>
          <w:sz w:val="24"/>
          <w:lang w:val="pl-PL"/>
        </w:rPr>
        <w:t>Subdelegación del Gobierno en Toledo/XU i QP</w:t>
      </w:r>
      <w:r>
        <w:rPr>
          <w:rFonts w:ascii="Times New Roman" w:eastAsiaTheme="minorEastAsia" w:hAnsi="Times New Roman"/>
          <w:noProof/>
          <w:sz w:val="24"/>
          <w:vertAlign w:val="superscript"/>
        </w:rPr>
        <w:footnoteReference w:id="118"/>
      </w:r>
      <w:r w:rsidRPr="00FC6D7F">
        <w:rPr>
          <w:rFonts w:ascii="Times New Roman" w:hAnsi="Times New Roman"/>
          <w:noProof/>
          <w:sz w:val="24"/>
          <w:lang w:val="pl-PL"/>
        </w:rPr>
        <w:t xml:space="preserve"> dotyczyły prawa pobytu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 TFUE członków rodziny, będących obywatelami państw trzecich, obywatela Unii, którzy nie skorzystał</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ysługującego mu prawa do swobodnego przemieszczania się. Członkami rodziny będącymi obywatelami państw trzecich były, odpowiednio, małoletnie dziecko małżonka obywatela Unii oraz małżonek obywatela Unii. Ponadto rodziny te obejmowały dzieci będące obywatelami UE: brata małoletniego dziecka małżonka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cór</w:t>
      </w:r>
      <w:r w:rsidRPr="00FC6D7F">
        <w:rPr>
          <w:rFonts w:ascii="Times New Roman" w:hAnsi="Times New Roman"/>
          <w:noProof/>
          <w:sz w:val="24"/>
          <w:lang w:val="pl-PL"/>
        </w:rPr>
        <w:t>kę małżonka.</w:t>
      </w:r>
    </w:p>
    <w:p w14:paraId="0D3DFEA6" w14:textId="1581EA82"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Trybunał przypomniał, że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 TFUE przyznaje pochodne prawo pobytu członkom rodziny, będącym obywatelami państwa trzeciego, obywatela UE, który nie skorzystał ze prawa do przemieszczania się, jeżeli między tymi członkami rodziny</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oby</w:t>
      </w:r>
      <w:r w:rsidRPr="00FC6D7F">
        <w:rPr>
          <w:rFonts w:ascii="Times New Roman" w:hAnsi="Times New Roman"/>
          <w:noProof/>
          <w:sz w:val="24"/>
          <w:lang w:val="pl-PL"/>
        </w:rPr>
        <w:t>watelem UE istnieje stosunek zależności tego rodzaju, że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wyp</w:t>
      </w:r>
      <w:r w:rsidRPr="00FC6D7F">
        <w:rPr>
          <w:rFonts w:ascii="Times New Roman" w:hAnsi="Times New Roman"/>
          <w:noProof/>
          <w:sz w:val="24"/>
          <w:lang w:val="pl-PL"/>
        </w:rPr>
        <w:t>adku nieprzyznania pochodnego prawa pobytu obywatelowi państwa trzeciego obywatel Unii byłby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ktyce zmuszony do opuszczenia terytorium Unii rozpatrywanego jako całość</w:t>
      </w:r>
      <w:r>
        <w:rPr>
          <w:rFonts w:ascii="Times New Roman" w:eastAsiaTheme="minorEastAsia" w:hAnsi="Times New Roman"/>
          <w:noProof/>
          <w:sz w:val="24"/>
          <w:vertAlign w:val="superscript"/>
        </w:rPr>
        <w:footnoteReference w:id="119"/>
      </w:r>
      <w:r w:rsidRPr="00FC6D7F">
        <w:rPr>
          <w:rFonts w:ascii="Times New Roman" w:hAnsi="Times New Roman"/>
          <w:noProof/>
          <w:sz w:val="24"/>
          <w:lang w:val="pl-PL"/>
        </w:rPr>
        <w:t xml:space="preserve">. </w:t>
      </w:r>
    </w:p>
    <w:p w14:paraId="1E5ED80F" w14:textId="246C02B0"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Trybunał uznał, że istnieje wzruszalne domniemanie pozostawania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sto</w:t>
      </w:r>
      <w:r w:rsidRPr="00FC6D7F">
        <w:rPr>
          <w:rFonts w:ascii="Times New Roman" w:hAnsi="Times New Roman"/>
          <w:noProof/>
          <w:sz w:val="24"/>
          <w:lang w:val="pl-PL"/>
        </w:rPr>
        <w:t>sunku zależności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odn</w:t>
      </w:r>
      <w:r w:rsidRPr="00FC6D7F">
        <w:rPr>
          <w:rFonts w:ascii="Times New Roman" w:hAnsi="Times New Roman"/>
          <w:noProof/>
          <w:sz w:val="24"/>
          <w:lang w:val="pl-PL"/>
        </w:rPr>
        <w:t>iesieniu do dziecka będącego obywatelem Unii, które nigdy nie skorzystało ze swobody przemieszczania się,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nas</w:t>
      </w:r>
      <w:r w:rsidRPr="00FC6D7F">
        <w:rPr>
          <w:rFonts w:ascii="Times New Roman" w:hAnsi="Times New Roman"/>
          <w:noProof/>
          <w:sz w:val="24"/>
          <w:lang w:val="pl-PL"/>
        </w:rPr>
        <w:t>tępującej sytuacji: gdy rodzic niebędący obywatelem Unii zamieszkuje na stałe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dru</w:t>
      </w:r>
      <w:r w:rsidRPr="00FC6D7F">
        <w:rPr>
          <w:rFonts w:ascii="Times New Roman" w:hAnsi="Times New Roman"/>
          <w:noProof/>
          <w:sz w:val="24"/>
          <w:lang w:val="pl-PL"/>
        </w:rPr>
        <w:t>gim rodzicem będącym obywatelem Unii,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ązku czym piecza nad tym dzieckiem oraz opieka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asp</w:t>
      </w:r>
      <w:r w:rsidRPr="00FC6D7F">
        <w:rPr>
          <w:rFonts w:ascii="Times New Roman" w:hAnsi="Times New Roman"/>
          <w:noProof/>
          <w:sz w:val="24"/>
          <w:lang w:val="pl-PL"/>
        </w:rPr>
        <w:t>ektach prawnym, uczuciowym</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fin</w:t>
      </w:r>
      <w:r w:rsidRPr="00FC6D7F">
        <w:rPr>
          <w:rFonts w:ascii="Times New Roman" w:hAnsi="Times New Roman"/>
          <w:noProof/>
          <w:sz w:val="24"/>
          <w:lang w:val="pl-PL"/>
        </w:rPr>
        <w:t>ansowym są na co dzień sprawowane przez oboje rodziców. Można domniemywać, że istnieje stosunek zależności, niezależnie od faktu, że drugi rodzic ma bezwarunkowe prawo do przebywania na terytorium państwa członkowskiego, którego jest obywatelem</w:t>
      </w:r>
      <w:r>
        <w:rPr>
          <w:rFonts w:ascii="Times New Roman" w:eastAsiaTheme="minorEastAsia" w:hAnsi="Times New Roman"/>
          <w:noProof/>
          <w:sz w:val="24"/>
          <w:vertAlign w:val="superscript"/>
        </w:rPr>
        <w:footnoteReference w:id="120"/>
      </w:r>
      <w:r w:rsidRPr="00FC6D7F">
        <w:rPr>
          <w:rFonts w:ascii="Times New Roman" w:hAnsi="Times New Roman"/>
          <w:noProof/>
          <w:sz w:val="24"/>
          <w:lang w:val="pl-PL"/>
        </w:rPr>
        <w:t>.</w:t>
      </w:r>
    </w:p>
    <w:p w14:paraId="3793824E" w14:textId="0F10696A"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Trybunał przyjrzał się ponadto sytuacji małoletniego rodzeństwa niebędącego obywatelami Unii małoletniego dziecka będącego obywatelem Unii, których rodzicowi/opiekunowi niebędącemu obywatelem Unii przysługuje prawo pobytu na podstawie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0 TFUE. Trybunał stwierdził, że stosunek zależności mogący uzasadnić przyznanie pochodnego prawa pobytu małoletniemu dziecku, które nie jest obywatelem Unii, współmałżonka, który nie jest obywatelem Unii, osoby, która nigdy nie wykonywała swoich praw do swobodnego przemieszczania się, istnieje, jeżeli (i)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mał</w:t>
      </w:r>
      <w:r w:rsidRPr="00FC6D7F">
        <w:rPr>
          <w:rFonts w:ascii="Times New Roman" w:hAnsi="Times New Roman"/>
          <w:noProof/>
          <w:sz w:val="24"/>
          <w:lang w:val="pl-PL"/>
        </w:rPr>
        <w:t>żeństwa między obywatelem Unii</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wsp</w:t>
      </w:r>
      <w:r w:rsidRPr="00FC6D7F">
        <w:rPr>
          <w:rFonts w:ascii="Times New Roman" w:hAnsi="Times New Roman"/>
          <w:noProof/>
          <w:sz w:val="24"/>
          <w:lang w:val="pl-PL"/>
        </w:rPr>
        <w:t>ółmałżonkiem, który nie jest obywatelem Unii, urodziło się dziecko, które jest obywatelem Unii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re nigdy nie wykonywało swoich praw do swobodnego przemieszczania się oraz (ii) to dziecko będące obywatelem Unii byłoby zmuszone do opuszczenia terytorium UE rozpatrywanego jako całość, jeżeli małoletnie dziecko, które nie jest obywatelem Unii, byłoby zmuszone do opuszczenia terytorium odnośnego państwa członkowskiego</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ist</w:t>
      </w:r>
      <w:r w:rsidRPr="00FC6D7F">
        <w:rPr>
          <w:rFonts w:ascii="Times New Roman" w:hAnsi="Times New Roman"/>
          <w:noProof/>
          <w:sz w:val="24"/>
          <w:lang w:val="pl-PL"/>
        </w:rPr>
        <w:t>ocie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tak</w:t>
      </w:r>
      <w:r w:rsidRPr="00FC6D7F">
        <w:rPr>
          <w:rFonts w:ascii="Times New Roman" w:hAnsi="Times New Roman"/>
          <w:noProof/>
          <w:sz w:val="24"/>
          <w:lang w:val="pl-PL"/>
        </w:rPr>
        <w:t>iej sytuacji rodzic/opiekun, który nie jest obywatelem Unii, mógłby zostać zmuszony do towarzyszenia małoletniemu bratu/siostrze, którzy nie są obywatelami Unii. To</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kol</w:t>
      </w:r>
      <w:r w:rsidRPr="00FC6D7F">
        <w:rPr>
          <w:rFonts w:ascii="Times New Roman" w:hAnsi="Times New Roman"/>
          <w:noProof/>
          <w:sz w:val="24"/>
          <w:lang w:val="pl-PL"/>
        </w:rPr>
        <w:t>ei może zmusić drugie dziecko, które jest obywatelem Unii, do opuszczenia tego terytorium</w:t>
      </w:r>
      <w:r>
        <w:rPr>
          <w:rFonts w:ascii="Times New Roman" w:eastAsiaTheme="minorEastAsia" w:hAnsi="Times New Roman"/>
          <w:noProof/>
          <w:sz w:val="24"/>
          <w:vertAlign w:val="superscript"/>
        </w:rPr>
        <w:footnoteReference w:id="121"/>
      </w:r>
      <w:r w:rsidRPr="00FC6D7F">
        <w:rPr>
          <w:rFonts w:ascii="Times New Roman" w:hAnsi="Times New Roman"/>
          <w:noProof/>
          <w:sz w:val="24"/>
          <w:lang w:val="pl-PL"/>
        </w:rPr>
        <w:t>.</w:t>
      </w:r>
    </w:p>
    <w:p w14:paraId="30FAAF6C" w14:textId="77777777" w:rsidR="003667F7" w:rsidRPr="00FC6D7F" w:rsidRDefault="003667F7" w:rsidP="003667F7">
      <w:pPr>
        <w:pStyle w:val="Heading2"/>
        <w:rPr>
          <w:noProof/>
          <w:lang w:val="pl-PL"/>
        </w:rPr>
      </w:pPr>
      <w:r w:rsidRPr="00FC6D7F">
        <w:rPr>
          <w:noProof/>
          <w:lang w:val="pl-PL"/>
        </w:rPr>
        <w:t>Inne sprawy dotyczące prawa do swobodnego przemieszczania się</w:t>
      </w:r>
    </w:p>
    <w:p w14:paraId="1C2887D8" w14:textId="2DD08FE4" w:rsidR="003667F7" w:rsidRPr="00FC6D7F" w:rsidDel="00AD5CD3"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Sprawa </w:t>
      </w:r>
      <w:r w:rsidRPr="00FC6D7F">
        <w:rPr>
          <w:rFonts w:ascii="Times New Roman" w:hAnsi="Times New Roman"/>
          <w:b/>
          <w:bCs/>
          <w:noProof/>
          <w:sz w:val="24"/>
          <w:lang w:val="pl-PL"/>
        </w:rPr>
        <w:t>WS/Bundesrepublik Deutschland</w:t>
      </w:r>
      <w:r>
        <w:rPr>
          <w:rFonts w:ascii="Times New Roman" w:eastAsiaTheme="minorEastAsia" w:hAnsi="Times New Roman"/>
          <w:noProof/>
          <w:sz w:val="24"/>
          <w:vertAlign w:val="superscript"/>
        </w:rPr>
        <w:footnoteReference w:id="122"/>
      </w:r>
      <w:r w:rsidRPr="00FC6D7F">
        <w:rPr>
          <w:rFonts w:ascii="Times New Roman" w:hAnsi="Times New Roman"/>
          <w:noProof/>
          <w:sz w:val="24"/>
          <w:lang w:val="pl-PL"/>
        </w:rPr>
        <w:t xml:space="preserve"> dotyczyła obywatela niemieckiego, którego dotyczyła nota Interpolu</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tak</w:t>
      </w:r>
      <w:r w:rsidRPr="00FC6D7F">
        <w:rPr>
          <w:rFonts w:ascii="Times New Roman" w:hAnsi="Times New Roman"/>
          <w:noProof/>
          <w:sz w:val="24"/>
          <w:lang w:val="pl-PL"/>
        </w:rPr>
        <w:t>ich przypadkach, jeżeli dana osoba przebywa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stwie członkowskim Interpolu, państwo to musi zastosować areszt tymczasowy wobec tej osoby lub zastosować wobec niej ograniczenie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emieszczaniu się. Przed wydaniem noty Niemcy wszczęły wobec tego obywatela postępowanie przygotowawcze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tych samych faktów,</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nas</w:t>
      </w:r>
      <w:r w:rsidRPr="00FC6D7F">
        <w:rPr>
          <w:rFonts w:ascii="Times New Roman" w:hAnsi="Times New Roman"/>
          <w:noProof/>
          <w:sz w:val="24"/>
          <w:lang w:val="pl-PL"/>
        </w:rPr>
        <w:t xml:space="preserve">tępnie je zakończyły. Niemcy poinformowały Interpol, że ich zdaniem zasada </w:t>
      </w:r>
      <w:r w:rsidRPr="00FC6D7F">
        <w:rPr>
          <w:rFonts w:ascii="Times New Roman" w:hAnsi="Times New Roman"/>
          <w:i/>
          <w:noProof/>
          <w:sz w:val="24"/>
          <w:lang w:val="pl-PL"/>
        </w:rPr>
        <w:t>ne bis in idem</w:t>
      </w:r>
      <w:r w:rsidRPr="00FC6D7F">
        <w:rPr>
          <w:rFonts w:ascii="Times New Roman" w:hAnsi="Times New Roman"/>
          <w:noProof/>
          <w:sz w:val="24"/>
          <w:lang w:val="pl-PL"/>
        </w:rPr>
        <w:t xml:space="preserve"> ma zastosowanie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tej</w:t>
      </w:r>
      <w:r w:rsidRPr="00FC6D7F">
        <w:rPr>
          <w:rFonts w:ascii="Times New Roman" w:hAnsi="Times New Roman"/>
          <w:noProof/>
          <w:sz w:val="24"/>
          <w:lang w:val="pl-PL"/>
        </w:rPr>
        <w:t xml:space="preserve"> sprawie. Zgodnie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zas</w:t>
      </w:r>
      <w:r w:rsidRPr="00FC6D7F">
        <w:rPr>
          <w:rFonts w:ascii="Times New Roman" w:hAnsi="Times New Roman"/>
          <w:noProof/>
          <w:sz w:val="24"/>
          <w:lang w:val="pl-PL"/>
        </w:rPr>
        <w:t xml:space="preserve">adą </w:t>
      </w:r>
      <w:r w:rsidRPr="00FC6D7F">
        <w:rPr>
          <w:rFonts w:ascii="Times New Roman" w:hAnsi="Times New Roman"/>
          <w:i/>
          <w:noProof/>
          <w:sz w:val="24"/>
          <w:lang w:val="pl-PL"/>
        </w:rPr>
        <w:t>ne bis in idem</w:t>
      </w:r>
      <w:r w:rsidRPr="00FC6D7F">
        <w:rPr>
          <w:rFonts w:ascii="Times New Roman" w:hAnsi="Times New Roman"/>
          <w:noProof/>
          <w:sz w:val="24"/>
          <w:lang w:val="pl-PL"/>
        </w:rPr>
        <w:t xml:space="preserve"> osoba, której proces zakończył się wyrokiem prawomocnym, nie może być ponownie ścigana za ten sam czyn. Następnie obywatel niemiecki wniósł</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wyd</w:t>
      </w:r>
      <w:r w:rsidRPr="00FC6D7F">
        <w:rPr>
          <w:rFonts w:ascii="Times New Roman" w:hAnsi="Times New Roman"/>
          <w:noProof/>
          <w:sz w:val="24"/>
          <w:lang w:val="pl-PL"/>
        </w:rPr>
        <w:t>anie nakazu sądowego zobowiązującego Niemcy do podjęcia wszelkich niezbędnych środków</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wycofania noty. Obywatel powołał się m.in. na przysługujące mu prawo do swobodnego przemieszczania się, ponieważ nie mógł podróżować do żadnego państwa będącego stroną układu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Sch</w:t>
      </w:r>
      <w:r w:rsidRPr="00FC6D7F">
        <w:rPr>
          <w:rFonts w:ascii="Times New Roman" w:hAnsi="Times New Roman"/>
          <w:noProof/>
          <w:sz w:val="24"/>
          <w:lang w:val="pl-PL"/>
        </w:rPr>
        <w:t>engen ani do żadnego państwa członkowskiego, nie narażając się na aresztowanie.</w:t>
      </w:r>
    </w:p>
    <w:p w14:paraId="59F0397E" w14:textId="1DD53CB7"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Trybunał zbadał zatem, czy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1 TFUE dotyczący swobodnego przemieszczania się oraz przepisy prawa Unii dotyczące zasady </w:t>
      </w:r>
      <w:r w:rsidRPr="00FC6D7F">
        <w:rPr>
          <w:rFonts w:ascii="Times New Roman" w:hAnsi="Times New Roman"/>
          <w:i/>
          <w:noProof/>
          <w:sz w:val="24"/>
          <w:lang w:val="pl-PL"/>
        </w:rPr>
        <w:t>ne bis in idem</w:t>
      </w:r>
      <w:r w:rsidRPr="00FC6D7F">
        <w:rPr>
          <w:rFonts w:ascii="Times New Roman" w:hAnsi="Times New Roman"/>
          <w:noProof/>
          <w:sz w:val="24"/>
          <w:lang w:val="pl-PL"/>
        </w:rPr>
        <w:t xml:space="preserve"> stoją na przeszkodzie tymczasowemu aresztowaniu osoby znajdującej się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tak</w:t>
      </w:r>
      <w:r w:rsidRPr="00FC6D7F">
        <w:rPr>
          <w:rFonts w:ascii="Times New Roman" w:hAnsi="Times New Roman"/>
          <w:noProof/>
          <w:sz w:val="24"/>
          <w:lang w:val="pl-PL"/>
        </w:rPr>
        <w:t>iej sytuacji.</w:t>
      </w:r>
    </w:p>
    <w:p w14:paraId="6FDA704F" w14:textId="43F5D15E"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Trybunał orzekł, że</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ile</w:t>
      </w:r>
      <w:r w:rsidRPr="00FC6D7F">
        <w:rPr>
          <w:rFonts w:ascii="Times New Roman" w:hAnsi="Times New Roman"/>
          <w:noProof/>
          <w:sz w:val="24"/>
          <w:lang w:val="pl-PL"/>
        </w:rPr>
        <w:t xml:space="preserve"> tymczasowe aresztowanie stanowi ograniczenie prawa do swobodnego przemieszczania się</w:t>
      </w:r>
      <w:r>
        <w:rPr>
          <w:rFonts w:ascii="Times New Roman" w:eastAsiaTheme="minorEastAsia" w:hAnsi="Times New Roman"/>
          <w:noProof/>
          <w:sz w:val="24"/>
          <w:vertAlign w:val="superscript"/>
        </w:rPr>
        <w:footnoteReference w:id="123"/>
      </w:r>
      <w:r w:rsidRPr="00FC6D7F">
        <w:rPr>
          <w:rFonts w:ascii="Times New Roman" w:hAnsi="Times New Roman"/>
          <w:noProof/>
          <w:sz w:val="24"/>
          <w:lang w:val="pl-PL"/>
        </w:rPr>
        <w:t>,</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tyl</w:t>
      </w:r>
      <w:r w:rsidRPr="00FC6D7F">
        <w:rPr>
          <w:rFonts w:ascii="Times New Roman" w:hAnsi="Times New Roman"/>
          <w:noProof/>
          <w:sz w:val="24"/>
          <w:lang w:val="pl-PL"/>
        </w:rPr>
        <w:t>e jest ono uzasadnione zgodnym</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 xml:space="preserve">wem celem polegającym na zapobieganiu uchylaniu się od kary, gdy nie ma pewności co do możliwości zastosowania zasady </w:t>
      </w:r>
      <w:r w:rsidRPr="00FC6D7F">
        <w:rPr>
          <w:rFonts w:ascii="Times New Roman" w:hAnsi="Times New Roman"/>
          <w:i/>
          <w:noProof/>
          <w:sz w:val="24"/>
          <w:lang w:val="pl-PL"/>
        </w:rPr>
        <w:t>ne bis in idem</w:t>
      </w:r>
      <w:r w:rsidRPr="00FC6D7F">
        <w:rPr>
          <w:rFonts w:ascii="Times New Roman" w:hAnsi="Times New Roman"/>
          <w:noProof/>
          <w:sz w:val="24"/>
          <w:lang w:val="pl-PL"/>
        </w:rPr>
        <w:t>. Natomiast poddanie danej osoby tymczasowemu aresztowaniu lub pozbawieniu wolności jest wykluczone, jeżeli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 xml:space="preserve">womocnym orzeczeniu sądowym zostanie stwierdzone, że zasada </w:t>
      </w:r>
      <w:r w:rsidRPr="00FC6D7F">
        <w:rPr>
          <w:rFonts w:ascii="Times New Roman" w:hAnsi="Times New Roman"/>
          <w:i/>
          <w:noProof/>
          <w:sz w:val="24"/>
          <w:lang w:val="pl-PL"/>
        </w:rPr>
        <w:t>ne bis in idem</w:t>
      </w:r>
      <w:r w:rsidRPr="00FC6D7F">
        <w:rPr>
          <w:rFonts w:ascii="Times New Roman" w:hAnsi="Times New Roman"/>
          <w:noProof/>
          <w:sz w:val="24"/>
          <w:lang w:val="pl-PL"/>
        </w:rPr>
        <w:t xml:space="preserve"> ma zastosowanie.</w:t>
      </w:r>
    </w:p>
    <w:p w14:paraId="2A13893A" w14:textId="7061B602"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W sprawie </w:t>
      </w:r>
      <w:r w:rsidRPr="00FC6D7F">
        <w:rPr>
          <w:rFonts w:ascii="Times New Roman" w:hAnsi="Times New Roman"/>
          <w:b/>
          <w:bCs/>
          <w:noProof/>
          <w:sz w:val="24"/>
          <w:lang w:val="pl-PL"/>
        </w:rPr>
        <w:t>Staatsanwaltschaft Heilbronn/ZW</w:t>
      </w:r>
      <w:r>
        <w:rPr>
          <w:rFonts w:ascii="Times New Roman" w:eastAsiaTheme="minorEastAsia" w:hAnsi="Times New Roman"/>
          <w:noProof/>
          <w:sz w:val="24"/>
          <w:vertAlign w:val="superscript"/>
        </w:rPr>
        <w:footnoteReference w:id="124"/>
      </w:r>
      <w:r w:rsidRPr="00FC6D7F">
        <w:rPr>
          <w:rFonts w:ascii="Times New Roman" w:hAnsi="Times New Roman"/>
          <w:noProof/>
          <w:sz w:val="24"/>
          <w:lang w:val="pl-PL"/>
        </w:rPr>
        <w:t xml:space="preserve"> Trybunał zajął się sprawą obywateli rumuńskich, którzy przenieśli miejsce zamieszkania swojego dziecka</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miec do Rumunii bez niezbędnej zgody wyznaczonego przez rząd kuratora, który był uprawniony do ustalania miejsca pobytu tego dziecka. Pytania prejudycjalne skierowane do Trybunału dotyczyły niemieckich przepisów prawa karnego przewidujących odmienne traktowanie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zal</w:t>
      </w:r>
      <w:r w:rsidRPr="00FC6D7F">
        <w:rPr>
          <w:rFonts w:ascii="Times New Roman" w:hAnsi="Times New Roman"/>
          <w:noProof/>
          <w:sz w:val="24"/>
          <w:lang w:val="pl-PL"/>
        </w:rPr>
        <w:t>eżności od tego, czy dziecko zostało zatrzymane przez jego rodzica na terytorium Niemiec, czy też poza nim (w tym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inn</w:t>
      </w:r>
      <w:r w:rsidRPr="00FC6D7F">
        <w:rPr>
          <w:rFonts w:ascii="Times New Roman" w:hAnsi="Times New Roman"/>
          <w:noProof/>
          <w:sz w:val="24"/>
          <w:lang w:val="pl-PL"/>
        </w:rPr>
        <w:t>ym państwie członkowskim): tylko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ostatnim przypadku takie zachowanie byłoby karane sankcjami karnymi, nawet</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ypadku braku użycia przemocy, groźby wyrządzenia poważnej szkody lub podstępu.</w:t>
      </w:r>
      <w:r>
        <w:rPr>
          <w:rFonts w:ascii="Times New Roman" w:eastAsiaTheme="minorEastAsia" w:hAnsi="Times New Roman"/>
          <w:noProof/>
          <w:sz w:val="24"/>
          <w:vertAlign w:val="superscript"/>
        </w:rPr>
        <w:footnoteReference w:id="125"/>
      </w:r>
      <w:r w:rsidRPr="00FC6D7F">
        <w:rPr>
          <w:rFonts w:ascii="Times New Roman" w:hAnsi="Times New Roman"/>
          <w:noProof/>
          <w:sz w:val="24"/>
          <w:lang w:val="pl-PL"/>
        </w:rPr>
        <w:t xml:space="preserve"> Trybunał podkreślił, że obywatele UE niebędący Niemcami mieszkający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mczech częściej niż obywatele niemieccy mogą przemieszczać lub wysyłać swoje dziecko do innego państwa członkowskiego</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tam</w:t>
      </w:r>
      <w:r w:rsidRPr="00FC6D7F">
        <w:rPr>
          <w:rFonts w:ascii="Times New Roman" w:hAnsi="Times New Roman"/>
          <w:noProof/>
          <w:sz w:val="24"/>
          <w:lang w:val="pl-PL"/>
        </w:rPr>
        <w:t xml:space="preserve"> je zatrzymywać</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zwi</w:t>
      </w:r>
      <w:r w:rsidRPr="00FC6D7F">
        <w:rPr>
          <w:rFonts w:ascii="Times New Roman" w:hAnsi="Times New Roman"/>
          <w:noProof/>
          <w:sz w:val="24"/>
          <w:lang w:val="pl-PL"/>
        </w:rPr>
        <w:t>ązku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taka różnica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tra</w:t>
      </w:r>
      <w:r w:rsidRPr="00FC6D7F">
        <w:rPr>
          <w:rFonts w:ascii="Times New Roman" w:hAnsi="Times New Roman"/>
          <w:noProof/>
          <w:sz w:val="24"/>
          <w:lang w:val="pl-PL"/>
        </w:rPr>
        <w:t>ktowaniu może wpływać na swobodne przemieszczanie się obywateli UE,</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naw</w:t>
      </w:r>
      <w:r w:rsidRPr="00FC6D7F">
        <w:rPr>
          <w:rFonts w:ascii="Times New Roman" w:hAnsi="Times New Roman"/>
          <w:noProof/>
          <w:sz w:val="24"/>
          <w:lang w:val="pl-PL"/>
        </w:rPr>
        <w:t>et ją ograniczać</w:t>
      </w:r>
      <w:r w:rsidR="00D55672" w:rsidRPr="00FC6D7F">
        <w:rPr>
          <w:rFonts w:ascii="Times New Roman" w:hAnsi="Times New Roman"/>
          <w:noProof/>
          <w:sz w:val="24"/>
          <w:lang w:val="pl-PL"/>
        </w:rPr>
        <w:t>. O</w:t>
      </w:r>
      <w:r w:rsidR="00D55672">
        <w:rPr>
          <w:rFonts w:ascii="Times New Roman" w:hAnsi="Times New Roman"/>
          <w:noProof/>
          <w:sz w:val="24"/>
          <w:lang w:val="pl-PL"/>
        </w:rPr>
        <w:t> </w:t>
      </w:r>
      <w:r w:rsidR="00D55672" w:rsidRPr="00FC6D7F">
        <w:rPr>
          <w:rFonts w:ascii="Times New Roman" w:hAnsi="Times New Roman"/>
          <w:noProof/>
          <w:sz w:val="24"/>
          <w:lang w:val="pl-PL"/>
        </w:rPr>
        <w:t>ile</w:t>
      </w:r>
      <w:r w:rsidRPr="00FC6D7F">
        <w:rPr>
          <w:rFonts w:ascii="Times New Roman" w:hAnsi="Times New Roman"/>
          <w:noProof/>
          <w:sz w:val="24"/>
          <w:lang w:val="pl-PL"/>
        </w:rPr>
        <w:t xml:space="preserve"> ochrona dziecka stanowi uzasadniony interes, który co do zasady uzasadnia ograniczenie prawa do swobodne przemieszczanie się,</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tyl</w:t>
      </w:r>
      <w:r w:rsidRPr="00FC6D7F">
        <w:rPr>
          <w:rFonts w:ascii="Times New Roman" w:hAnsi="Times New Roman"/>
          <w:noProof/>
          <w:sz w:val="24"/>
          <w:lang w:val="pl-PL"/>
        </w:rPr>
        <w:t>e sporny przepis krajowy został uznany za wykraczający poza to, co jest konieczne do osiągnięcia tego uzasadnionego celu. Trybunał odniósł się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szc</w:t>
      </w:r>
      <w:r w:rsidRPr="00FC6D7F">
        <w:rPr>
          <w:rFonts w:ascii="Times New Roman" w:hAnsi="Times New Roman"/>
          <w:noProof/>
          <w:sz w:val="24"/>
          <w:lang w:val="pl-PL"/>
        </w:rPr>
        <w:t>zególności do przepisów UE dotyczących współpracy sądowej</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uprowadzenia dziecka za granicę</w:t>
      </w:r>
      <w:r>
        <w:rPr>
          <w:rFonts w:ascii="Times New Roman" w:eastAsiaTheme="minorEastAsia" w:hAnsi="Times New Roman"/>
          <w:noProof/>
          <w:sz w:val="24"/>
          <w:vertAlign w:val="superscript"/>
        </w:rPr>
        <w:footnoteReference w:id="126"/>
      </w:r>
      <w:r w:rsidRPr="00FC6D7F">
        <w:rPr>
          <w:rFonts w:ascii="Times New Roman" w:hAnsi="Times New Roman"/>
          <w:noProof/>
          <w:sz w:val="24"/>
          <w:lang w:val="pl-PL"/>
        </w:rPr>
        <w:t xml:space="preserve">. Trybunał doszedł do wniosku, że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1 TFUE dotyczący swobodnego przepływu osób stoi na przeszkodzie takiemu przepisowi, jak rozpatrywany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tej</w:t>
      </w:r>
      <w:r w:rsidRPr="00FC6D7F">
        <w:rPr>
          <w:rFonts w:ascii="Times New Roman" w:hAnsi="Times New Roman"/>
          <w:noProof/>
          <w:sz w:val="24"/>
          <w:lang w:val="pl-PL"/>
        </w:rPr>
        <w:t xml:space="preserve"> sprawie.</w:t>
      </w:r>
    </w:p>
    <w:p w14:paraId="4A8439BB" w14:textId="269C500B" w:rsidR="003667F7" w:rsidRPr="00FC6D7F" w:rsidRDefault="003667F7" w:rsidP="003667F7">
      <w:pPr>
        <w:spacing w:after="240" w:line="276" w:lineRule="auto"/>
        <w:jc w:val="both"/>
        <w:rPr>
          <w:rFonts w:ascii="Times New Roman" w:eastAsiaTheme="minorEastAsia" w:hAnsi="Times New Roman"/>
          <w:noProof/>
          <w:sz w:val="24"/>
          <w:lang w:val="pl-PL"/>
        </w:rPr>
      </w:pPr>
      <w:bookmarkStart w:id="9" w:name="_Hlk151034484"/>
      <w:r w:rsidRPr="00FC6D7F">
        <w:rPr>
          <w:rFonts w:ascii="Times New Roman" w:hAnsi="Times New Roman"/>
          <w:noProof/>
          <w:sz w:val="24"/>
          <w:lang w:val="pl-PL"/>
        </w:rPr>
        <w:t xml:space="preserve">Sprawa </w:t>
      </w:r>
      <w:r w:rsidRPr="00FC6D7F">
        <w:rPr>
          <w:rFonts w:ascii="Times New Roman" w:hAnsi="Times New Roman"/>
          <w:b/>
          <w:bCs/>
          <w:noProof/>
          <w:sz w:val="24"/>
          <w:lang w:val="pl-PL"/>
        </w:rPr>
        <w:t>Ligue des droits humains</w:t>
      </w:r>
      <w:r>
        <w:rPr>
          <w:rFonts w:ascii="Times New Roman" w:eastAsiaTheme="minorEastAsia" w:hAnsi="Times New Roman"/>
          <w:noProof/>
          <w:sz w:val="24"/>
          <w:vertAlign w:val="superscript"/>
        </w:rPr>
        <w:footnoteReference w:id="127"/>
      </w:r>
      <w:r w:rsidRPr="00FC6D7F">
        <w:rPr>
          <w:rFonts w:ascii="Times New Roman" w:hAnsi="Times New Roman"/>
          <w:noProof/>
          <w:sz w:val="24"/>
          <w:lang w:val="pl-PL"/>
        </w:rPr>
        <w:t xml:space="preserve"> stanowi źródło istotnych wyjaśnień dotyczących interpretacji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danych dotyczących przelotu pasażera (danych PNR) oraz kwestii ochrony danych. Wyjaśniono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nie</w:t>
      </w:r>
      <w:r w:rsidRPr="00FC6D7F">
        <w:rPr>
          <w:rFonts w:ascii="Times New Roman" w:hAnsi="Times New Roman"/>
          <w:noProof/>
          <w:sz w:val="24"/>
          <w:lang w:val="pl-PL"/>
        </w:rPr>
        <w:t>j również sposoby wykorzystywania danych PNR</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odn</w:t>
      </w:r>
      <w:r w:rsidRPr="00FC6D7F">
        <w:rPr>
          <w:rFonts w:ascii="Times New Roman" w:hAnsi="Times New Roman"/>
          <w:noProof/>
          <w:sz w:val="24"/>
          <w:lang w:val="pl-PL"/>
        </w:rPr>
        <w:t>iesieniu do lotów wewnątrzunijnych.</w:t>
      </w:r>
    </w:p>
    <w:p w14:paraId="4DA79599" w14:textId="5178DBE9"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Dyrektywa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danych PNR wymaga regularnego przetwarzania znacznej ilości danych PNR (danych dotyczących przelotu pasażera), odnoszących się do pasażerów lotniczych lotów pozaunijnych przybywających do UE</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opu</w:t>
      </w:r>
      <w:r w:rsidRPr="00FC6D7F">
        <w:rPr>
          <w:rFonts w:ascii="Times New Roman" w:hAnsi="Times New Roman"/>
          <w:noProof/>
          <w:sz w:val="24"/>
          <w:lang w:val="pl-PL"/>
        </w:rPr>
        <w:t>szczających UE, do celów zwalczania przestępstw terrorystycznych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pow</w:t>
      </w:r>
      <w:r w:rsidRPr="00FC6D7F">
        <w:rPr>
          <w:rFonts w:ascii="Times New Roman" w:hAnsi="Times New Roman"/>
          <w:noProof/>
          <w:sz w:val="24"/>
          <w:lang w:val="pl-PL"/>
        </w:rPr>
        <w:t xml:space="preserve">ażnej przestępczości. Ponadto </w:t>
      </w:r>
      <w:r w:rsidRPr="00D55672">
        <w:rPr>
          <w:rFonts w:ascii="Times New Roman" w:hAnsi="Times New Roman"/>
          <w:noProof/>
          <w:sz w:val="24"/>
          <w:lang w:val="pl-PL"/>
        </w:rPr>
        <w:t>art.</w:t>
      </w:r>
      <w:r w:rsidR="00D55672" w:rsidRPr="00D55672">
        <w:rPr>
          <w:rFonts w:ascii="Times New Roman" w:hAnsi="Times New Roman"/>
          <w:noProof/>
          <w:sz w:val="24"/>
          <w:lang w:val="pl-PL"/>
        </w:rPr>
        <w:t> </w:t>
      </w:r>
      <w:r w:rsidRPr="00D55672">
        <w:rPr>
          <w:rFonts w:ascii="Times New Roman" w:hAnsi="Times New Roman"/>
          <w:noProof/>
          <w:sz w:val="24"/>
          <w:lang w:val="pl-PL"/>
        </w:rPr>
        <w:t>2</w:t>
      </w:r>
      <w:r w:rsidRPr="00FC6D7F">
        <w:rPr>
          <w:rFonts w:ascii="Times New Roman" w:hAnsi="Times New Roman"/>
          <w:noProof/>
          <w:sz w:val="24"/>
          <w:lang w:val="pl-PL"/>
        </w:rPr>
        <w:t xml:space="preserve"> tej dyrektywy daje państwom członkowskim możliwość stosowania dyrektywy również do lotów wewnątrzunijnych. </w:t>
      </w:r>
    </w:p>
    <w:p w14:paraId="3122E02E" w14:textId="71785352" w:rsidR="003667F7" w:rsidRPr="00FC6D7F" w:rsidRDefault="00815ACE"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W ramach skargi</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stw</w:t>
      </w:r>
      <w:r w:rsidRPr="00FC6D7F">
        <w:rPr>
          <w:rFonts w:ascii="Times New Roman" w:hAnsi="Times New Roman"/>
          <w:noProof/>
          <w:sz w:val="24"/>
          <w:lang w:val="pl-PL"/>
        </w:rPr>
        <w:t>ierdzenie nieważności wniesionej do Cour constitutionnelle (belgijskiego trybunału konstytucyjnego) przeciwko belgijskiej ustawie, która transponowała do prawa krajowego dyrektywę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danych PNR</w:t>
      </w:r>
      <w:r>
        <w:rPr>
          <w:rStyle w:val="FootnoteReference"/>
          <w:rFonts w:ascii="Times New Roman" w:eastAsiaTheme="minorEastAsia" w:hAnsi="Times New Roman"/>
          <w:noProof/>
          <w:sz w:val="24"/>
        </w:rPr>
        <w:footnoteReference w:id="128"/>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dyr</w:t>
      </w:r>
      <w:r w:rsidRPr="00FC6D7F">
        <w:rPr>
          <w:rFonts w:ascii="Times New Roman" w:hAnsi="Times New Roman"/>
          <w:noProof/>
          <w:sz w:val="24"/>
          <w:lang w:val="pl-PL"/>
        </w:rPr>
        <w:t>ektywę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API</w:t>
      </w:r>
      <w:r>
        <w:rPr>
          <w:rStyle w:val="FootnoteReference"/>
          <w:rFonts w:ascii="Times New Roman" w:eastAsiaTheme="minorEastAsia" w:hAnsi="Times New Roman"/>
          <w:noProof/>
          <w:sz w:val="24"/>
        </w:rPr>
        <w:footnoteReference w:id="129"/>
      </w:r>
      <w:r w:rsidRPr="00FC6D7F">
        <w:rPr>
          <w:rFonts w:ascii="Times New Roman" w:hAnsi="Times New Roman"/>
          <w:noProof/>
          <w:sz w:val="24"/>
          <w:lang w:val="pl-PL"/>
        </w:rPr>
        <w:t>, belgijski trybunał konstytucyjny zwrócił się do Trybunału Sprawiedliwości Unii Europejskiej</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dzi</w:t>
      </w:r>
      <w:r w:rsidRPr="00FC6D7F">
        <w:rPr>
          <w:rFonts w:ascii="Times New Roman" w:hAnsi="Times New Roman"/>
          <w:noProof/>
          <w:sz w:val="24"/>
          <w:lang w:val="pl-PL"/>
        </w:rPr>
        <w:t>esięcioma pytaniami prejudycjalnymi dotyczącymi m.in. ważności dyrektywy</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danych PNR</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zgo</w:t>
      </w:r>
      <w:r w:rsidRPr="00FC6D7F">
        <w:rPr>
          <w:rFonts w:ascii="Times New Roman" w:hAnsi="Times New Roman"/>
          <w:noProof/>
          <w:sz w:val="24"/>
          <w:lang w:val="pl-PL"/>
        </w:rPr>
        <w:t>dności prawa belgijskiego</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wem Unii.</w:t>
      </w:r>
    </w:p>
    <w:p w14:paraId="21FF1722" w14:textId="45F8297E"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Trybunał stwierdził, że</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ana</w:t>
      </w:r>
      <w:r w:rsidRPr="00FC6D7F">
        <w:rPr>
          <w:rFonts w:ascii="Times New Roman" w:hAnsi="Times New Roman"/>
          <w:noProof/>
          <w:sz w:val="24"/>
          <w:lang w:val="pl-PL"/>
        </w:rPr>
        <w:t>lizy pytań prejudycjalnych nie wynikło nic, co mogłoby wpłynąć na ważność wspomnianej dyrektywy</w:t>
      </w:r>
      <w:r>
        <w:rPr>
          <w:rFonts w:ascii="Times New Roman" w:eastAsiaTheme="minorEastAsia" w:hAnsi="Times New Roman"/>
          <w:noProof/>
          <w:sz w:val="24"/>
          <w:vertAlign w:val="superscript"/>
        </w:rPr>
        <w:footnoteReference w:id="130"/>
      </w:r>
      <w:r w:rsidRPr="00FC6D7F">
        <w:rPr>
          <w:rFonts w:ascii="Times New Roman" w:hAnsi="Times New Roman"/>
          <w:noProof/>
          <w:sz w:val="24"/>
          <w:lang w:val="pl-PL"/>
        </w:rPr>
        <w:t xml:space="preserve">. </w:t>
      </w:r>
    </w:p>
    <w:p w14:paraId="522745B2" w14:textId="0767FDC6"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Ponadto, wśród innych kwestii, Trybunał przedstawił wyjaśnienia dotyczące możliwego zastosowania systemu ustanowionego dyrektywą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danych PNR</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zwalczania przestępstw terrorystycznych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pow</w:t>
      </w:r>
      <w:r w:rsidRPr="00FC6D7F">
        <w:rPr>
          <w:rFonts w:ascii="Times New Roman" w:hAnsi="Times New Roman"/>
          <w:noProof/>
          <w:sz w:val="24"/>
          <w:lang w:val="pl-PL"/>
        </w:rPr>
        <w:t>ażnej przestępczości, do lotów wewnątrzunijnych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inn</w:t>
      </w:r>
      <w:r w:rsidRPr="00FC6D7F">
        <w:rPr>
          <w:rFonts w:ascii="Times New Roman" w:hAnsi="Times New Roman"/>
          <w:noProof/>
          <w:sz w:val="24"/>
          <w:lang w:val="pl-PL"/>
        </w:rPr>
        <w:t>ych środków przewozu pasażerów w UE</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tym</w:t>
      </w:r>
      <w:r w:rsidRPr="00FC6D7F">
        <w:rPr>
          <w:rFonts w:ascii="Times New Roman" w:hAnsi="Times New Roman"/>
          <w:noProof/>
          <w:sz w:val="24"/>
          <w:lang w:val="pl-PL"/>
        </w:rPr>
        <w:t xml:space="preserve"> względzie Trybunał orzekł, że prawo Unii stoi na przeszkodzie uregulowaniu krajowemu, które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ypadku braku rzeczywistego</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akt</w:t>
      </w:r>
      <w:r w:rsidRPr="00FC6D7F">
        <w:rPr>
          <w:rFonts w:ascii="Times New Roman" w:hAnsi="Times New Roman"/>
          <w:noProof/>
          <w:sz w:val="24"/>
          <w:lang w:val="pl-PL"/>
        </w:rPr>
        <w:t>ualnego lub możliwego do przewidzenia zagrożenia terrorystycznego,</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rym zmaga się dane państwo członkowskie, wprowadza system przekazywania przez przewoźników</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ope</w:t>
      </w:r>
      <w:r w:rsidRPr="00FC6D7F">
        <w:rPr>
          <w:rFonts w:ascii="Times New Roman" w:hAnsi="Times New Roman"/>
          <w:noProof/>
          <w:sz w:val="24"/>
          <w:lang w:val="pl-PL"/>
        </w:rPr>
        <w:t>ratorów turystycznych oraz przetwarzania przez właściwe organy danych PNR dotyczących lotów</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ewozów odbywających się innymi środkami transportu wewnątrz Unii, rozpoczynających się lub kończących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pań</w:t>
      </w:r>
      <w:r w:rsidRPr="00FC6D7F">
        <w:rPr>
          <w:rFonts w:ascii="Times New Roman" w:hAnsi="Times New Roman"/>
          <w:noProof/>
          <w:sz w:val="24"/>
          <w:lang w:val="pl-PL"/>
        </w:rPr>
        <w:t>stwie członkowskim,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rym przyjęto to uregulowanie, lub przebiegających przez to państwo członkowskie</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zwalczania przestępstw terrorystycznych</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pow</w:t>
      </w:r>
      <w:r w:rsidRPr="00FC6D7F">
        <w:rPr>
          <w:rFonts w:ascii="Times New Roman" w:hAnsi="Times New Roman"/>
          <w:noProof/>
          <w:sz w:val="24"/>
          <w:lang w:val="pl-PL"/>
        </w:rPr>
        <w:t>ażnej przestępczości</w:t>
      </w:r>
      <w:r>
        <w:rPr>
          <w:rFonts w:ascii="Times New Roman" w:eastAsiaTheme="minorEastAsia" w:hAnsi="Times New Roman"/>
          <w:noProof/>
          <w:sz w:val="24"/>
          <w:vertAlign w:val="superscript"/>
        </w:rPr>
        <w:footnoteReference w:id="131"/>
      </w:r>
      <w:r w:rsidRPr="00FC6D7F">
        <w:rPr>
          <w:rFonts w:ascii="Times New Roman" w:hAnsi="Times New Roman"/>
          <w:noProof/>
          <w:sz w:val="24"/>
          <w:lang w:val="pl-PL"/>
        </w:rPr>
        <w:t xml:space="preserve">. </w:t>
      </w:r>
    </w:p>
    <w:p w14:paraId="47A9AF68" w14:textId="04C02D12"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W takim przypadku stosowanie systemu wprowadzonego dyrektywą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spr</w:t>
      </w:r>
      <w:r w:rsidRPr="00FC6D7F">
        <w:rPr>
          <w:rFonts w:ascii="Times New Roman" w:hAnsi="Times New Roman"/>
          <w:noProof/>
          <w:sz w:val="24"/>
          <w:lang w:val="pl-PL"/>
        </w:rPr>
        <w:t>awie danych PNR powinno być ograniczone do przekazywania</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etwarzania danych PNR lotów lub innych przewozów dotyczących,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szc</w:t>
      </w:r>
      <w:r w:rsidRPr="00FC6D7F">
        <w:rPr>
          <w:rFonts w:ascii="Times New Roman" w:hAnsi="Times New Roman"/>
          <w:noProof/>
          <w:sz w:val="24"/>
          <w:lang w:val="pl-PL"/>
        </w:rPr>
        <w:t>zególności, niektórych połączeń lub planów podróży, lub niektórych lotnisk, dworców lub portów morskich, co do których istnieją przesłanki uzasadniające takie stosowanie. To do danego państwa członkowskiego należy wybór lotów wewnątrzunijnych lub przewozów odbywających się za pomocą innych środków transportu wewnątrz Unii, dla których takie przesłanki istnieją, oraz dokonywanie regularnego przeglądu takiego stosowania,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zal</w:t>
      </w:r>
      <w:r w:rsidRPr="00FC6D7F">
        <w:rPr>
          <w:rFonts w:ascii="Times New Roman" w:hAnsi="Times New Roman"/>
          <w:noProof/>
          <w:sz w:val="24"/>
          <w:lang w:val="pl-PL"/>
        </w:rPr>
        <w:t>eżności od zmiany warunków, które uzasadniają ich wybór, celem zapewnienia, że zastosowanie przedmiotowego systemu do takich lotów lub takich innych przewozów jest cały czas ograniczone do tego, co ściśle konieczne</w:t>
      </w:r>
      <w:r>
        <w:rPr>
          <w:rFonts w:ascii="Times New Roman" w:eastAsiaTheme="minorEastAsia" w:hAnsi="Times New Roman"/>
          <w:noProof/>
          <w:sz w:val="24"/>
          <w:vertAlign w:val="superscript"/>
        </w:rPr>
        <w:footnoteReference w:id="132"/>
      </w:r>
      <w:r w:rsidRPr="00FC6D7F">
        <w:rPr>
          <w:rFonts w:ascii="Times New Roman" w:hAnsi="Times New Roman"/>
          <w:noProof/>
          <w:sz w:val="24"/>
          <w:lang w:val="pl-PL"/>
        </w:rPr>
        <w:t>.</w:t>
      </w:r>
    </w:p>
    <w:bookmarkEnd w:id="9"/>
    <w:p w14:paraId="53BAF847" w14:textId="4A56F308" w:rsidR="003667F7" w:rsidRPr="00FC6D7F" w:rsidRDefault="003667F7" w:rsidP="003667F7">
      <w:pPr>
        <w:pStyle w:val="Heading1"/>
        <w:rPr>
          <w:noProof/>
          <w:lang w:val="pl-PL"/>
        </w:rPr>
      </w:pPr>
      <w:r w:rsidRPr="00FC6D7F">
        <w:rPr>
          <w:noProof/>
          <w:lang w:val="pl-PL"/>
        </w:rPr>
        <w:t>Europejska inicjatywa obywatelska (</w:t>
      </w:r>
      <w:r w:rsidRPr="00D55672">
        <w:rPr>
          <w:noProof/>
          <w:lang w:val="pl-PL"/>
        </w:rPr>
        <w:t>art.</w:t>
      </w:r>
      <w:r w:rsidR="00D55672" w:rsidRPr="00D55672">
        <w:rPr>
          <w:noProof/>
          <w:lang w:val="pl-PL"/>
        </w:rPr>
        <w:t> </w:t>
      </w:r>
      <w:r w:rsidRPr="00D55672">
        <w:rPr>
          <w:noProof/>
          <w:lang w:val="pl-PL"/>
        </w:rPr>
        <w:t>2</w:t>
      </w:r>
      <w:r w:rsidRPr="00FC6D7F">
        <w:rPr>
          <w:noProof/>
          <w:lang w:val="pl-PL"/>
        </w:rPr>
        <w:t xml:space="preserve">4 TFUE; </w:t>
      </w:r>
      <w:r w:rsidRPr="00D55672">
        <w:rPr>
          <w:noProof/>
          <w:lang w:val="pl-PL"/>
        </w:rPr>
        <w:t>art.</w:t>
      </w:r>
      <w:r w:rsidR="00D55672" w:rsidRPr="00D55672">
        <w:rPr>
          <w:noProof/>
          <w:lang w:val="pl-PL"/>
        </w:rPr>
        <w:t> </w:t>
      </w:r>
      <w:r w:rsidRPr="00D55672">
        <w:rPr>
          <w:noProof/>
          <w:lang w:val="pl-PL"/>
        </w:rPr>
        <w:t>1</w:t>
      </w:r>
      <w:r w:rsidRPr="00FC6D7F">
        <w:rPr>
          <w:noProof/>
          <w:lang w:val="pl-PL"/>
        </w:rPr>
        <w:t xml:space="preserve">1 </w:t>
      </w:r>
      <w:r w:rsidRPr="00D55672">
        <w:rPr>
          <w:noProof/>
          <w:lang w:val="pl-PL"/>
        </w:rPr>
        <w:t>ust.</w:t>
      </w:r>
      <w:r w:rsidR="00D55672" w:rsidRPr="00D55672">
        <w:rPr>
          <w:noProof/>
          <w:lang w:val="pl-PL"/>
        </w:rPr>
        <w:t> </w:t>
      </w:r>
      <w:r w:rsidRPr="00D55672">
        <w:rPr>
          <w:noProof/>
          <w:lang w:val="pl-PL"/>
        </w:rPr>
        <w:t>4</w:t>
      </w:r>
      <w:r w:rsidRPr="00FC6D7F">
        <w:rPr>
          <w:noProof/>
          <w:lang w:val="pl-PL"/>
        </w:rPr>
        <w:t xml:space="preserve"> TUE)</w:t>
      </w:r>
    </w:p>
    <w:p w14:paraId="46D3B148" w14:textId="77777777" w:rsidR="003667F7" w:rsidRPr="00FC6D7F" w:rsidRDefault="003667F7" w:rsidP="003667F7">
      <w:pPr>
        <w:spacing w:after="240"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W okresie objętym niniejszym sprawozdaniem Trybunał wydał dwa kluczowe wyroki dotyczące europejskiej inicjatywy obywatelskiej.</w:t>
      </w:r>
    </w:p>
    <w:p w14:paraId="4244E9CD" w14:textId="554F4081" w:rsidR="003667F7" w:rsidRPr="00FC6D7F" w:rsidRDefault="003667F7" w:rsidP="003667F7">
      <w:pPr>
        <w:spacing w:line="276" w:lineRule="auto"/>
        <w:jc w:val="both"/>
        <w:rPr>
          <w:rFonts w:ascii="Times New Roman" w:eastAsiaTheme="minorEastAsia" w:hAnsi="Times New Roman"/>
          <w:noProof/>
          <w:sz w:val="24"/>
          <w:lang w:val="pl-PL"/>
        </w:rPr>
      </w:pPr>
      <w:r w:rsidRPr="00FC6D7F">
        <w:rPr>
          <w:rFonts w:ascii="Times New Roman" w:hAnsi="Times New Roman"/>
          <w:noProof/>
          <w:sz w:val="24"/>
          <w:lang w:val="pl-PL"/>
        </w:rPr>
        <w:t xml:space="preserve">W sprawie </w:t>
      </w:r>
      <w:r w:rsidRPr="00FC6D7F">
        <w:rPr>
          <w:rFonts w:ascii="Times New Roman" w:hAnsi="Times New Roman"/>
          <w:b/>
          <w:bCs/>
          <w:noProof/>
          <w:sz w:val="24"/>
          <w:lang w:val="pl-PL"/>
        </w:rPr>
        <w:t>Rumunia/Komisja</w:t>
      </w:r>
      <w:r>
        <w:rPr>
          <w:rFonts w:ascii="Times New Roman" w:eastAsiaTheme="minorEastAsia" w:hAnsi="Times New Roman"/>
          <w:noProof/>
          <w:sz w:val="24"/>
          <w:vertAlign w:val="superscript"/>
        </w:rPr>
        <w:footnoteReference w:id="133"/>
      </w:r>
      <w:r w:rsidRPr="00FC6D7F">
        <w:rPr>
          <w:rFonts w:ascii="Times New Roman" w:hAnsi="Times New Roman"/>
          <w:noProof/>
          <w:sz w:val="24"/>
          <w:lang w:val="pl-PL"/>
        </w:rPr>
        <w:t xml:space="preserve"> Sąd po raz pierwszy wyraźnie odniósł się do kwestii, czy decyzja Komisji</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zar</w:t>
      </w:r>
      <w:r w:rsidRPr="00FC6D7F">
        <w:rPr>
          <w:rFonts w:ascii="Times New Roman" w:hAnsi="Times New Roman"/>
          <w:noProof/>
          <w:sz w:val="24"/>
          <w:lang w:val="pl-PL"/>
        </w:rPr>
        <w:t>ejestrowaniu europejskiej inicjatywy obywatelskiej jest aktem,</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prz</w:t>
      </w:r>
      <w:r w:rsidRPr="00FC6D7F">
        <w:rPr>
          <w:rFonts w:ascii="Times New Roman" w:hAnsi="Times New Roman"/>
          <w:noProof/>
          <w:sz w:val="24"/>
          <w:lang w:val="pl-PL"/>
        </w:rPr>
        <w:t>ypadku którego skarga jest dopuszczalna. Wyjaśnił również cechy kontroli przeprowadzanej przez Komisję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przyjęcia takiej decyzji,</w:t>
      </w:r>
      <w:r w:rsidR="00D55672" w:rsidRPr="00FC6D7F">
        <w:rPr>
          <w:rFonts w:ascii="Times New Roman" w:hAnsi="Times New Roman"/>
          <w:noProof/>
          <w:sz w:val="24"/>
          <w:lang w:val="pl-PL"/>
        </w:rPr>
        <w:t xml:space="preserve"> a</w:t>
      </w:r>
      <w:r w:rsidR="00D55672">
        <w:rPr>
          <w:rFonts w:ascii="Times New Roman" w:hAnsi="Times New Roman"/>
          <w:noProof/>
          <w:sz w:val="24"/>
          <w:lang w:val="pl-PL"/>
        </w:rPr>
        <w:t> </w:t>
      </w:r>
      <w:r w:rsidR="00D55672" w:rsidRPr="00FC6D7F">
        <w:rPr>
          <w:rFonts w:ascii="Times New Roman" w:hAnsi="Times New Roman"/>
          <w:noProof/>
          <w:sz w:val="24"/>
          <w:lang w:val="pl-PL"/>
        </w:rPr>
        <w:t>z</w:t>
      </w:r>
      <w:r w:rsidR="00D55672">
        <w:rPr>
          <w:rFonts w:ascii="Times New Roman" w:hAnsi="Times New Roman"/>
          <w:noProof/>
          <w:sz w:val="24"/>
          <w:lang w:val="pl-PL"/>
        </w:rPr>
        <w:t> </w:t>
      </w:r>
      <w:r w:rsidR="00D55672" w:rsidRPr="00FC6D7F">
        <w:rPr>
          <w:rFonts w:ascii="Times New Roman" w:hAnsi="Times New Roman"/>
          <w:noProof/>
          <w:sz w:val="24"/>
          <w:lang w:val="pl-PL"/>
        </w:rPr>
        <w:t>dru</w:t>
      </w:r>
      <w:r w:rsidRPr="00FC6D7F">
        <w:rPr>
          <w:rFonts w:ascii="Times New Roman" w:hAnsi="Times New Roman"/>
          <w:noProof/>
          <w:sz w:val="24"/>
          <w:lang w:val="pl-PL"/>
        </w:rPr>
        <w:t>giej strony charakter sprawowanej przez Sąd kontroli zgodności tej decyzji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pra</w:t>
      </w:r>
      <w:r w:rsidRPr="00FC6D7F">
        <w:rPr>
          <w:rFonts w:ascii="Times New Roman" w:hAnsi="Times New Roman"/>
          <w:noProof/>
          <w:sz w:val="24"/>
          <w:lang w:val="pl-PL"/>
        </w:rPr>
        <w:t>wem. 18 czerwca 20</w:t>
      </w:r>
      <w:r w:rsidRPr="00D55672">
        <w:rPr>
          <w:rFonts w:ascii="Times New Roman" w:hAnsi="Times New Roman"/>
          <w:noProof/>
          <w:sz w:val="24"/>
          <w:lang w:val="pl-PL"/>
        </w:rPr>
        <w:t>13</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do Komisji Europejskiej wpłynął wniosek</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rej</w:t>
      </w:r>
      <w:r w:rsidRPr="00FC6D7F">
        <w:rPr>
          <w:rFonts w:ascii="Times New Roman" w:hAnsi="Times New Roman"/>
          <w:noProof/>
          <w:sz w:val="24"/>
          <w:lang w:val="pl-PL"/>
        </w:rPr>
        <w:t>estrację europejskiej inicjatywy obywatelskiej „Polityka spójności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reg</w:t>
      </w:r>
      <w:r w:rsidRPr="00FC6D7F">
        <w:rPr>
          <w:rFonts w:ascii="Times New Roman" w:hAnsi="Times New Roman"/>
          <w:noProof/>
          <w:sz w:val="24"/>
          <w:lang w:val="pl-PL"/>
        </w:rPr>
        <w:t>ionie na rzecz równości</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zac</w:t>
      </w:r>
      <w:r w:rsidRPr="00FC6D7F">
        <w:rPr>
          <w:rFonts w:ascii="Times New Roman" w:hAnsi="Times New Roman"/>
          <w:noProof/>
          <w:sz w:val="24"/>
          <w:lang w:val="pl-PL"/>
        </w:rPr>
        <w:t>howania kultury regionu”. Decyzją</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dni</w:t>
      </w:r>
      <w:r w:rsidRPr="00FC6D7F">
        <w:rPr>
          <w:rFonts w:ascii="Times New Roman" w:hAnsi="Times New Roman"/>
          <w:noProof/>
          <w:sz w:val="24"/>
          <w:lang w:val="pl-PL"/>
        </w:rPr>
        <w:t>a 25 lipca 20</w:t>
      </w:r>
      <w:r w:rsidRPr="00D55672">
        <w:rPr>
          <w:rFonts w:ascii="Times New Roman" w:hAnsi="Times New Roman"/>
          <w:noProof/>
          <w:sz w:val="24"/>
          <w:lang w:val="pl-PL"/>
        </w:rPr>
        <w:t>13</w:t>
      </w:r>
      <w:r w:rsidR="00D55672" w:rsidRPr="00D55672">
        <w:rPr>
          <w:rFonts w:ascii="Times New Roman" w:hAnsi="Times New Roman"/>
          <w:noProof/>
          <w:sz w:val="24"/>
          <w:lang w:val="pl-PL"/>
        </w:rPr>
        <w:t> </w:t>
      </w:r>
      <w:r w:rsidRPr="00D55672">
        <w:rPr>
          <w:rFonts w:ascii="Times New Roman" w:hAnsi="Times New Roman"/>
          <w:noProof/>
          <w:sz w:val="24"/>
          <w:lang w:val="pl-PL"/>
        </w:rPr>
        <w:t>r.</w:t>
      </w:r>
      <w:r>
        <w:rPr>
          <w:rFonts w:ascii="Times New Roman" w:eastAsiaTheme="minorEastAsia" w:hAnsi="Times New Roman"/>
          <w:noProof/>
          <w:sz w:val="24"/>
          <w:vertAlign w:val="superscript"/>
        </w:rPr>
        <w:footnoteReference w:id="134"/>
      </w:r>
      <w:r w:rsidRPr="00FC6D7F">
        <w:rPr>
          <w:rFonts w:ascii="Times New Roman" w:hAnsi="Times New Roman"/>
          <w:noProof/>
          <w:sz w:val="24"/>
          <w:lang w:val="pl-PL"/>
        </w:rPr>
        <w:t xml:space="preserve"> Komisja odrzuciła wniosek</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rej</w:t>
      </w:r>
      <w:r w:rsidRPr="00FC6D7F">
        <w:rPr>
          <w:rFonts w:ascii="Times New Roman" w:hAnsi="Times New Roman"/>
          <w:noProof/>
          <w:sz w:val="24"/>
          <w:lang w:val="pl-PL"/>
        </w:rPr>
        <w:t>estrację przedmiotowej inicjatywy ze względu na to, że wykraczała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spo</w:t>
      </w:r>
      <w:r w:rsidRPr="00FC6D7F">
        <w:rPr>
          <w:rFonts w:ascii="Times New Roman" w:hAnsi="Times New Roman"/>
          <w:noProof/>
          <w:sz w:val="24"/>
          <w:lang w:val="pl-PL"/>
        </w:rPr>
        <w:t>sób oczywisty poza kompetencje Komisji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zak</w:t>
      </w:r>
      <w:r w:rsidRPr="00FC6D7F">
        <w:rPr>
          <w:rFonts w:ascii="Times New Roman" w:hAnsi="Times New Roman"/>
          <w:noProof/>
          <w:sz w:val="24"/>
          <w:lang w:val="pl-PL"/>
        </w:rPr>
        <w:t>resie przedkładania wniosków dotyczących unijnych aktów prawnych</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cel</w:t>
      </w:r>
      <w:r w:rsidRPr="00FC6D7F">
        <w:rPr>
          <w:rFonts w:ascii="Times New Roman" w:hAnsi="Times New Roman"/>
          <w:noProof/>
          <w:sz w:val="24"/>
          <w:lang w:val="pl-PL"/>
        </w:rPr>
        <w:t>u wprowadzania</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życ</w:t>
      </w:r>
      <w:r w:rsidRPr="00FC6D7F">
        <w:rPr>
          <w:rFonts w:ascii="Times New Roman" w:hAnsi="Times New Roman"/>
          <w:noProof/>
          <w:sz w:val="24"/>
          <w:lang w:val="pl-PL"/>
        </w:rPr>
        <w:t>ie traktatów. Sąd oddalił skargę</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stw</w:t>
      </w:r>
      <w:r w:rsidRPr="00FC6D7F">
        <w:rPr>
          <w:rFonts w:ascii="Times New Roman" w:hAnsi="Times New Roman"/>
          <w:noProof/>
          <w:sz w:val="24"/>
          <w:lang w:val="pl-PL"/>
        </w:rPr>
        <w:t>ierdzenie nieważności tej decyzji</w:t>
      </w:r>
      <w:r>
        <w:rPr>
          <w:rFonts w:ascii="Times New Roman" w:eastAsiaTheme="minorEastAsia" w:hAnsi="Times New Roman"/>
          <w:noProof/>
          <w:sz w:val="24"/>
          <w:vertAlign w:val="superscript"/>
        </w:rPr>
        <w:footnoteReference w:id="135"/>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wyn</w:t>
      </w:r>
      <w:r w:rsidRPr="00FC6D7F">
        <w:rPr>
          <w:rFonts w:ascii="Times New Roman" w:hAnsi="Times New Roman"/>
          <w:noProof/>
          <w:sz w:val="24"/>
          <w:lang w:val="pl-PL"/>
        </w:rPr>
        <w:t>iku odwołania Trybunał Sprawiedliwości uchylił wyrok Sądu</w:t>
      </w:r>
      <w:r w:rsidR="00D55672" w:rsidRPr="00FC6D7F">
        <w:rPr>
          <w:rFonts w:ascii="Times New Roman" w:hAnsi="Times New Roman"/>
          <w:noProof/>
          <w:sz w:val="24"/>
          <w:lang w:val="pl-PL"/>
        </w:rPr>
        <w:t xml:space="preserve"> i</w:t>
      </w:r>
      <w:r w:rsidR="00D55672">
        <w:rPr>
          <w:rFonts w:ascii="Times New Roman" w:hAnsi="Times New Roman"/>
          <w:noProof/>
          <w:sz w:val="24"/>
          <w:lang w:val="pl-PL"/>
        </w:rPr>
        <w:t> </w:t>
      </w:r>
      <w:r w:rsidR="00D55672" w:rsidRPr="00FC6D7F">
        <w:rPr>
          <w:rFonts w:ascii="Times New Roman" w:hAnsi="Times New Roman"/>
          <w:noProof/>
          <w:sz w:val="24"/>
          <w:lang w:val="pl-PL"/>
        </w:rPr>
        <w:t>stw</w:t>
      </w:r>
      <w:r w:rsidRPr="00FC6D7F">
        <w:rPr>
          <w:rFonts w:ascii="Times New Roman" w:hAnsi="Times New Roman"/>
          <w:noProof/>
          <w:sz w:val="24"/>
          <w:lang w:val="pl-PL"/>
        </w:rPr>
        <w:t>ierdził nieważność decyzji</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2</w:t>
      </w:r>
      <w:r w:rsidRPr="00FC6D7F">
        <w:rPr>
          <w:rFonts w:ascii="Times New Roman" w:hAnsi="Times New Roman"/>
          <w:noProof/>
          <w:sz w:val="24"/>
          <w:lang w:val="pl-PL"/>
        </w:rPr>
        <w:t>5 lipca 20</w:t>
      </w:r>
      <w:r w:rsidRPr="00D55672">
        <w:rPr>
          <w:rFonts w:ascii="Times New Roman" w:hAnsi="Times New Roman"/>
          <w:noProof/>
          <w:sz w:val="24"/>
          <w:lang w:val="pl-PL"/>
        </w:rPr>
        <w:t>13</w:t>
      </w:r>
      <w:r w:rsidR="00D55672" w:rsidRPr="00D55672">
        <w:rPr>
          <w:rFonts w:ascii="Times New Roman" w:hAnsi="Times New Roman"/>
          <w:noProof/>
          <w:sz w:val="24"/>
          <w:lang w:val="pl-PL"/>
        </w:rPr>
        <w:t> </w:t>
      </w:r>
      <w:r w:rsidRPr="00D55672">
        <w:rPr>
          <w:rFonts w:ascii="Times New Roman" w:hAnsi="Times New Roman"/>
          <w:noProof/>
          <w:sz w:val="24"/>
          <w:lang w:val="pl-PL"/>
        </w:rPr>
        <w:t>r.</w:t>
      </w:r>
      <w:r>
        <w:rPr>
          <w:rFonts w:ascii="Times New Roman" w:eastAsiaTheme="minorEastAsia" w:hAnsi="Times New Roman"/>
          <w:noProof/>
          <w:sz w:val="24"/>
          <w:vertAlign w:val="superscript"/>
        </w:rPr>
        <w:footnoteReference w:id="136"/>
      </w:r>
      <w:r w:rsidRPr="00FC6D7F">
        <w:rPr>
          <w:rFonts w:ascii="Times New Roman" w:hAnsi="Times New Roman"/>
          <w:noProof/>
          <w:sz w:val="24"/>
          <w:lang w:val="pl-PL"/>
        </w:rPr>
        <w:t xml:space="preserve"> 30 kwietnia 20</w:t>
      </w:r>
      <w:r w:rsidRPr="00D55672">
        <w:rPr>
          <w:rFonts w:ascii="Times New Roman" w:hAnsi="Times New Roman"/>
          <w:noProof/>
          <w:sz w:val="24"/>
          <w:lang w:val="pl-PL"/>
        </w:rPr>
        <w:t>19</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Komisja wydała nową decyzję,</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któ</w:t>
      </w:r>
      <w:r w:rsidRPr="00FC6D7F">
        <w:rPr>
          <w:rFonts w:ascii="Times New Roman" w:hAnsi="Times New Roman"/>
          <w:noProof/>
          <w:sz w:val="24"/>
          <w:lang w:val="pl-PL"/>
        </w:rPr>
        <w:t>rej zarejestrowała sporną inicjatywę</w:t>
      </w:r>
      <w:r>
        <w:rPr>
          <w:rFonts w:ascii="Times New Roman" w:eastAsiaTheme="minorEastAsia" w:hAnsi="Times New Roman"/>
          <w:noProof/>
          <w:sz w:val="24"/>
          <w:vertAlign w:val="superscript"/>
        </w:rPr>
        <w:footnoteReference w:id="137"/>
      </w:r>
      <w:r w:rsidRPr="00FC6D7F">
        <w:rPr>
          <w:rFonts w:ascii="Times New Roman" w:hAnsi="Times New Roman"/>
          <w:noProof/>
          <w:sz w:val="24"/>
          <w:lang w:val="pl-PL"/>
        </w:rPr>
        <w:t>. Rumunia wniosła skargę</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stw</w:t>
      </w:r>
      <w:r w:rsidRPr="00FC6D7F">
        <w:rPr>
          <w:rFonts w:ascii="Times New Roman" w:hAnsi="Times New Roman"/>
          <w:noProof/>
          <w:sz w:val="24"/>
          <w:lang w:val="pl-PL"/>
        </w:rPr>
        <w:t>ierdzenie nieważności tej decyzji. Trybunał oddalił skargę Rumunii. Sprawa jest obecnie przedmiotem odwołania (C-54/22).</w:t>
      </w:r>
    </w:p>
    <w:p w14:paraId="476CC930" w14:textId="768AEE1E" w:rsidR="00024689" w:rsidRPr="00C23F6A" w:rsidRDefault="003667F7" w:rsidP="00C23F6A">
      <w:pPr>
        <w:spacing w:line="276" w:lineRule="auto"/>
        <w:jc w:val="both"/>
        <w:rPr>
          <w:rFonts w:ascii="Times New Roman" w:eastAsia="Times New Roman" w:hAnsi="Times New Roman" w:cs="Times New Roman"/>
          <w:noProof/>
          <w:sz w:val="24"/>
          <w:lang w:val="pl-PL"/>
        </w:rPr>
      </w:pPr>
      <w:r w:rsidRPr="00FC6D7F">
        <w:rPr>
          <w:rFonts w:ascii="Times New Roman" w:hAnsi="Times New Roman"/>
          <w:noProof/>
          <w:sz w:val="24"/>
          <w:lang w:val="pl-PL"/>
        </w:rPr>
        <w:t xml:space="preserve">W sprawie </w:t>
      </w:r>
      <w:r w:rsidRPr="00FC6D7F">
        <w:rPr>
          <w:rFonts w:ascii="Times New Roman" w:hAnsi="Times New Roman"/>
          <w:b/>
          <w:bCs/>
          <w:noProof/>
          <w:sz w:val="24"/>
          <w:lang w:val="pl-PL"/>
        </w:rPr>
        <w:t>Minority SafePack/Komisja Europejska</w:t>
      </w:r>
      <w:r>
        <w:rPr>
          <w:rStyle w:val="FootnoteReference"/>
          <w:rFonts w:ascii="Times New Roman" w:eastAsiaTheme="minorEastAsia" w:hAnsi="Times New Roman"/>
          <w:noProof/>
          <w:sz w:val="24"/>
        </w:rPr>
        <w:footnoteReference w:id="138"/>
      </w:r>
      <w:r w:rsidRPr="00FC6D7F">
        <w:rPr>
          <w:rFonts w:ascii="Times New Roman" w:hAnsi="Times New Roman"/>
          <w:noProof/>
          <w:sz w:val="24"/>
          <w:lang w:val="pl-PL"/>
        </w:rPr>
        <w:t xml:space="preserve"> organizatorzy europejskiej inicjatywy obywatelskiej wnieśli do Sądu skargę</w:t>
      </w:r>
      <w:r w:rsidR="00D55672" w:rsidRPr="00FC6D7F">
        <w:rPr>
          <w:rFonts w:ascii="Times New Roman" w:hAnsi="Times New Roman"/>
          <w:noProof/>
          <w:sz w:val="24"/>
          <w:lang w:val="pl-PL"/>
        </w:rPr>
        <w:t xml:space="preserve"> o</w:t>
      </w:r>
      <w:r w:rsidR="00D55672">
        <w:rPr>
          <w:rFonts w:ascii="Times New Roman" w:hAnsi="Times New Roman"/>
          <w:noProof/>
          <w:sz w:val="24"/>
          <w:lang w:val="pl-PL"/>
        </w:rPr>
        <w:t> </w:t>
      </w:r>
      <w:r w:rsidR="00D55672" w:rsidRPr="00FC6D7F">
        <w:rPr>
          <w:rFonts w:ascii="Times New Roman" w:hAnsi="Times New Roman"/>
          <w:noProof/>
          <w:sz w:val="24"/>
          <w:lang w:val="pl-PL"/>
        </w:rPr>
        <w:t>stw</w:t>
      </w:r>
      <w:r w:rsidRPr="00FC6D7F">
        <w:rPr>
          <w:rFonts w:ascii="Times New Roman" w:hAnsi="Times New Roman"/>
          <w:noProof/>
          <w:sz w:val="24"/>
          <w:lang w:val="pl-PL"/>
        </w:rPr>
        <w:t>ierdzenie nieważności komunikatu Komisji C(2021)171. Komunikat przyjęto</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odp</w:t>
      </w:r>
      <w:r w:rsidRPr="00FC6D7F">
        <w:rPr>
          <w:rFonts w:ascii="Times New Roman" w:hAnsi="Times New Roman"/>
          <w:noProof/>
          <w:sz w:val="24"/>
          <w:lang w:val="pl-PL"/>
        </w:rPr>
        <w:t>owiedzi na udaną europejską inicjatywę obywatelską „Minority SafePack – milion podpisów za różnorodnością</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Eur</w:t>
      </w:r>
      <w:r w:rsidRPr="00FC6D7F">
        <w:rPr>
          <w:rFonts w:ascii="Times New Roman" w:hAnsi="Times New Roman"/>
          <w:noProof/>
          <w:sz w:val="24"/>
          <w:lang w:val="pl-PL"/>
        </w:rPr>
        <w:t>opie”</w:t>
      </w:r>
      <w:r w:rsidR="00D55672" w:rsidRPr="00FC6D7F">
        <w:rPr>
          <w:rFonts w:ascii="Times New Roman" w:hAnsi="Times New Roman"/>
          <w:noProof/>
          <w:sz w:val="24"/>
          <w:lang w:val="pl-PL"/>
        </w:rPr>
        <w:t>. W</w:t>
      </w:r>
      <w:r w:rsidR="00D55672">
        <w:rPr>
          <w:rFonts w:ascii="Times New Roman" w:hAnsi="Times New Roman"/>
          <w:noProof/>
          <w:sz w:val="24"/>
          <w:lang w:val="pl-PL"/>
        </w:rPr>
        <w:t> </w:t>
      </w:r>
      <w:r w:rsidR="00D55672" w:rsidRPr="00FC6D7F">
        <w:rPr>
          <w:rFonts w:ascii="Times New Roman" w:hAnsi="Times New Roman"/>
          <w:noProof/>
          <w:sz w:val="24"/>
          <w:lang w:val="pl-PL"/>
        </w:rPr>
        <w:t>wyr</w:t>
      </w:r>
      <w:r w:rsidRPr="00FC6D7F">
        <w:rPr>
          <w:rFonts w:ascii="Times New Roman" w:hAnsi="Times New Roman"/>
          <w:noProof/>
          <w:sz w:val="24"/>
          <w:lang w:val="pl-PL"/>
        </w:rPr>
        <w:t>oku</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9</w:t>
      </w:r>
      <w:r w:rsidRPr="00FC6D7F">
        <w:rPr>
          <w:rFonts w:ascii="Times New Roman" w:hAnsi="Times New Roman"/>
          <w:noProof/>
          <w:sz w:val="24"/>
          <w:lang w:val="pl-PL"/>
        </w:rPr>
        <w:t xml:space="preserve"> listopada 20</w:t>
      </w:r>
      <w:r w:rsidRPr="00D55672">
        <w:rPr>
          <w:rFonts w:ascii="Times New Roman" w:hAnsi="Times New Roman"/>
          <w:noProof/>
          <w:sz w:val="24"/>
          <w:lang w:val="pl-PL"/>
        </w:rPr>
        <w:t>22</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Sąd orzekł, że Komisja wywiązała się</w:t>
      </w:r>
      <w:r w:rsidR="00D55672" w:rsidRPr="00FC6D7F">
        <w:rPr>
          <w:rFonts w:ascii="Times New Roman" w:hAnsi="Times New Roman"/>
          <w:noProof/>
          <w:sz w:val="24"/>
          <w:lang w:val="pl-PL"/>
        </w:rPr>
        <w:t xml:space="preserve"> z</w:t>
      </w:r>
      <w:r w:rsidR="00D55672">
        <w:rPr>
          <w:rFonts w:ascii="Times New Roman" w:hAnsi="Times New Roman"/>
          <w:noProof/>
          <w:sz w:val="24"/>
          <w:lang w:val="pl-PL"/>
        </w:rPr>
        <w:t> </w:t>
      </w:r>
      <w:r w:rsidR="00D55672" w:rsidRPr="00FC6D7F">
        <w:rPr>
          <w:rFonts w:ascii="Times New Roman" w:hAnsi="Times New Roman"/>
          <w:noProof/>
          <w:sz w:val="24"/>
          <w:lang w:val="pl-PL"/>
        </w:rPr>
        <w:t>obo</w:t>
      </w:r>
      <w:r w:rsidRPr="00FC6D7F">
        <w:rPr>
          <w:rFonts w:ascii="Times New Roman" w:hAnsi="Times New Roman"/>
          <w:noProof/>
          <w:sz w:val="24"/>
          <w:lang w:val="pl-PL"/>
        </w:rPr>
        <w:t>wiązku uzasadnienia, uznając, że żaden dodatkowy akt prawny nie jest konieczny do osiągnięcia celów inicjatywy, biorąc pod uwagę inicjatywy już podjęte przez instytucje Unii</w:t>
      </w:r>
      <w:r w:rsidR="00D55672" w:rsidRPr="00FC6D7F">
        <w:rPr>
          <w:rFonts w:ascii="Times New Roman" w:hAnsi="Times New Roman"/>
          <w:noProof/>
          <w:sz w:val="24"/>
          <w:lang w:val="pl-PL"/>
        </w:rPr>
        <w:t xml:space="preserve"> w</w:t>
      </w:r>
      <w:r w:rsidR="00D55672">
        <w:rPr>
          <w:rFonts w:ascii="Times New Roman" w:hAnsi="Times New Roman"/>
          <w:noProof/>
          <w:sz w:val="24"/>
          <w:lang w:val="pl-PL"/>
        </w:rPr>
        <w:t> </w:t>
      </w:r>
      <w:r w:rsidR="00D55672" w:rsidRPr="00FC6D7F">
        <w:rPr>
          <w:rFonts w:ascii="Times New Roman" w:hAnsi="Times New Roman"/>
          <w:noProof/>
          <w:sz w:val="24"/>
          <w:lang w:val="pl-PL"/>
        </w:rPr>
        <w:t>dzi</w:t>
      </w:r>
      <w:r w:rsidRPr="00FC6D7F">
        <w:rPr>
          <w:rFonts w:ascii="Times New Roman" w:hAnsi="Times New Roman"/>
          <w:noProof/>
          <w:sz w:val="24"/>
          <w:lang w:val="pl-PL"/>
        </w:rPr>
        <w:t>edzinach objętych inicjatywą oraz monitorowanie przez Komisję ich wdrażania. 21 stycznia 20</w:t>
      </w:r>
      <w:r w:rsidRPr="00D55672">
        <w:rPr>
          <w:rFonts w:ascii="Times New Roman" w:hAnsi="Times New Roman"/>
          <w:noProof/>
          <w:sz w:val="24"/>
          <w:lang w:val="pl-PL"/>
        </w:rPr>
        <w:t>23</w:t>
      </w:r>
      <w:r w:rsidR="00D55672" w:rsidRPr="00D55672">
        <w:rPr>
          <w:rFonts w:ascii="Times New Roman" w:hAnsi="Times New Roman"/>
          <w:noProof/>
          <w:sz w:val="24"/>
          <w:lang w:val="pl-PL"/>
        </w:rPr>
        <w:t> </w:t>
      </w:r>
      <w:r w:rsidRPr="00D55672">
        <w:rPr>
          <w:rFonts w:ascii="Times New Roman" w:hAnsi="Times New Roman"/>
          <w:noProof/>
          <w:sz w:val="24"/>
          <w:lang w:val="pl-PL"/>
        </w:rPr>
        <w:t>r.</w:t>
      </w:r>
      <w:r w:rsidRPr="00FC6D7F">
        <w:rPr>
          <w:rFonts w:ascii="Times New Roman" w:hAnsi="Times New Roman"/>
          <w:noProof/>
          <w:sz w:val="24"/>
          <w:lang w:val="pl-PL"/>
        </w:rPr>
        <w:t xml:space="preserve"> organizatorzy wnieśli odwołanie od tego wyroku Trybunału Sprawiedliwości (sprawa C-26/23 P).</w:t>
      </w:r>
    </w:p>
    <w:sectPr w:rsidR="00024689" w:rsidRPr="00C23F6A" w:rsidSect="00C05C8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332A2" w14:textId="77777777" w:rsidR="00C05C83" w:rsidRDefault="00C05C83" w:rsidP="00C05C83">
      <w:pPr>
        <w:spacing w:after="0" w:line="240" w:lineRule="auto"/>
      </w:pPr>
      <w:r>
        <w:separator/>
      </w:r>
    </w:p>
  </w:endnote>
  <w:endnote w:type="continuationSeparator" w:id="0">
    <w:p w14:paraId="2C55625C" w14:textId="77777777" w:rsidR="00C05C83" w:rsidRDefault="00C05C83" w:rsidP="00C0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BF7F" w14:textId="37A1B38A" w:rsidR="00ED04BF" w:rsidRPr="00ED04BF" w:rsidRDefault="00ED04BF" w:rsidP="00ED04BF">
    <w:pPr>
      <w:pStyle w:val="FooterCoverPage"/>
      <w:rPr>
        <w:rFonts w:ascii="Arial" w:hAnsi="Arial" w:cs="Arial"/>
        <w:b/>
        <w:sz w:val="48"/>
      </w:rPr>
    </w:pPr>
    <w:r w:rsidRPr="00ED04BF">
      <w:rPr>
        <w:rFonts w:ascii="Arial" w:hAnsi="Arial" w:cs="Arial"/>
        <w:b/>
        <w:sz w:val="48"/>
      </w:rPr>
      <w:t>PL</w:t>
    </w:r>
    <w:r w:rsidRPr="00ED04BF">
      <w:rPr>
        <w:rFonts w:ascii="Arial" w:hAnsi="Arial" w:cs="Arial"/>
        <w:b/>
        <w:sz w:val="48"/>
      </w:rPr>
      <w:tab/>
    </w:r>
    <w:r w:rsidRPr="00ED04BF">
      <w:rPr>
        <w:rFonts w:ascii="Arial" w:hAnsi="Arial" w:cs="Arial"/>
        <w:b/>
        <w:sz w:val="48"/>
      </w:rPr>
      <w:tab/>
    </w:r>
    <w:r w:rsidRPr="00ED04BF">
      <w:tab/>
    </w:r>
    <w:r w:rsidRPr="00ED04BF">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CDD3" w14:textId="66392A63" w:rsidR="00ED04BF" w:rsidRPr="00ED04BF" w:rsidRDefault="00ED04BF" w:rsidP="00ED04BF">
    <w:pPr>
      <w:pStyle w:val="FooterCoverPage"/>
      <w:rPr>
        <w:rFonts w:ascii="Arial" w:hAnsi="Arial" w:cs="Arial"/>
        <w:b/>
        <w:sz w:val="48"/>
      </w:rPr>
    </w:pPr>
    <w:r w:rsidRPr="00ED04BF">
      <w:rPr>
        <w:rFonts w:ascii="Arial" w:hAnsi="Arial" w:cs="Arial"/>
        <w:b/>
        <w:sz w:val="48"/>
      </w:rPr>
      <w:t>PL</w:t>
    </w:r>
    <w:r w:rsidRPr="00ED04BF">
      <w:rPr>
        <w:rFonts w:ascii="Arial" w:hAnsi="Arial" w:cs="Arial"/>
        <w:b/>
        <w:sz w:val="48"/>
      </w:rPr>
      <w:tab/>
    </w:r>
    <w:r w:rsidRPr="00ED04BF">
      <w:rPr>
        <w:rFonts w:ascii="Arial" w:hAnsi="Arial" w:cs="Arial"/>
        <w:b/>
        <w:sz w:val="48"/>
      </w:rPr>
      <w:tab/>
    </w:r>
    <w:r w:rsidRPr="00ED04BF">
      <w:tab/>
    </w:r>
    <w:r w:rsidRPr="00ED04BF">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76310" w14:textId="77777777" w:rsidR="00ED04BF" w:rsidRPr="00ED04BF" w:rsidRDefault="00ED04BF" w:rsidP="00ED04B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B811E" w14:textId="77777777" w:rsidR="00C05C83" w:rsidRDefault="00C05C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214176"/>
      <w:docPartObj>
        <w:docPartGallery w:val="Page Numbers (Bottom of Page)"/>
        <w:docPartUnique/>
      </w:docPartObj>
    </w:sdtPr>
    <w:sdtEndPr/>
    <w:sdtContent>
      <w:p w14:paraId="18AD94A2" w14:textId="0CC7E21D" w:rsidR="0000466D" w:rsidRDefault="0000466D">
        <w:pPr>
          <w:pStyle w:val="Footer"/>
          <w:jc w:val="right"/>
        </w:pPr>
        <w:r>
          <w:fldChar w:fldCharType="begin"/>
        </w:r>
        <w:r>
          <w:instrText xml:space="preserve"> PAGE   \* MERGEFORMAT </w:instrText>
        </w:r>
        <w:r>
          <w:fldChar w:fldCharType="separate"/>
        </w:r>
        <w:r w:rsidR="00ED04BF">
          <w:rPr>
            <w:noProof/>
          </w:rPr>
          <w:t>1</w:t>
        </w:r>
        <w:r>
          <w:fldChar w:fldCharType="end"/>
        </w:r>
      </w:p>
    </w:sdtContent>
  </w:sdt>
  <w:p w14:paraId="080045F2" w14:textId="77777777" w:rsidR="00C05C83" w:rsidRDefault="00C05C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FDE1" w14:textId="77777777" w:rsidR="00C05C83" w:rsidRDefault="00C05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DA9AB" w14:textId="77777777" w:rsidR="00C05C83" w:rsidRDefault="00C05C83" w:rsidP="00C05C83">
      <w:pPr>
        <w:spacing w:after="0" w:line="240" w:lineRule="auto"/>
      </w:pPr>
      <w:r>
        <w:separator/>
      </w:r>
    </w:p>
  </w:footnote>
  <w:footnote w:type="continuationSeparator" w:id="0">
    <w:p w14:paraId="18F60EB4" w14:textId="77777777" w:rsidR="00C05C83" w:rsidRDefault="00C05C83" w:rsidP="00C05C83">
      <w:pPr>
        <w:spacing w:after="0" w:line="240" w:lineRule="auto"/>
      </w:pPr>
      <w:r>
        <w:continuationSeparator/>
      </w:r>
    </w:p>
  </w:footnote>
  <w:footnote w:id="1">
    <w:p w14:paraId="54927E1E" w14:textId="3BC32640" w:rsidR="00056C57" w:rsidRPr="00FC6D7F" w:rsidRDefault="00056C57" w:rsidP="00056C5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r>
      <w:hyperlink r:id="rId1" w:history="1">
        <w:r w:rsidRPr="00FC6D7F">
          <w:rPr>
            <w:rStyle w:val="Hyperlink"/>
            <w:lang w:val="pl-PL"/>
          </w:rPr>
          <w:t>Komunikat pt. „Sprawozdanie na temat obywatelstwa UE</w:t>
        </w:r>
        <w:r w:rsidR="00D55672" w:rsidRPr="00FC6D7F">
          <w:rPr>
            <w:rStyle w:val="Hyperlink"/>
            <w:lang w:val="pl-PL"/>
          </w:rPr>
          <w:t xml:space="preserve"> z</w:t>
        </w:r>
        <w:r w:rsidR="00D55672">
          <w:rPr>
            <w:rStyle w:val="Hyperlink"/>
            <w:lang w:val="pl-PL"/>
          </w:rPr>
          <w:t> </w:t>
        </w:r>
        <w:r w:rsidR="00D55672" w:rsidRPr="00FC6D7F">
          <w:rPr>
            <w:rStyle w:val="Hyperlink"/>
            <w:lang w:val="pl-PL"/>
          </w:rPr>
          <w:t>2</w:t>
        </w:r>
        <w:r w:rsidRPr="00FC6D7F">
          <w:rPr>
            <w:rStyle w:val="Hyperlink"/>
            <w:lang w:val="pl-PL"/>
          </w:rPr>
          <w:t>0</w:t>
        </w:r>
        <w:r w:rsidRPr="00D55672">
          <w:rPr>
            <w:rStyle w:val="Hyperlink"/>
            <w:lang w:val="pl-PL"/>
          </w:rPr>
          <w:t>20</w:t>
        </w:r>
        <w:r w:rsidR="00D55672" w:rsidRPr="00D55672">
          <w:rPr>
            <w:rStyle w:val="Hyperlink"/>
            <w:lang w:val="pl-PL"/>
          </w:rPr>
          <w:t> </w:t>
        </w:r>
        <w:r w:rsidRPr="00D55672">
          <w:rPr>
            <w:rStyle w:val="Hyperlink"/>
            <w:lang w:val="pl-PL"/>
          </w:rPr>
          <w:t>r.</w:t>
        </w:r>
        <w:r w:rsidRPr="00FC6D7F">
          <w:rPr>
            <w:rStyle w:val="Hyperlink"/>
            <w:lang w:val="pl-PL"/>
          </w:rPr>
          <w:t>”</w:t>
        </w:r>
      </w:hyperlink>
      <w:r w:rsidRPr="00FC6D7F">
        <w:rPr>
          <w:lang w:val="pl-PL"/>
        </w:rPr>
        <w:t xml:space="preserve"> (sprawozdanie Komisji dla Parlamentu Europejskiego, Rady, Europejskiego Komitetu Ekonomiczno-Społecznego</w:t>
      </w:r>
      <w:r w:rsidR="00D55672" w:rsidRPr="00FC6D7F">
        <w:rPr>
          <w:lang w:val="pl-PL"/>
        </w:rPr>
        <w:t xml:space="preserve"> i</w:t>
      </w:r>
      <w:r w:rsidR="00D55672">
        <w:rPr>
          <w:lang w:val="pl-PL"/>
        </w:rPr>
        <w:t> </w:t>
      </w:r>
      <w:r w:rsidR="00D55672" w:rsidRPr="00FC6D7F">
        <w:rPr>
          <w:lang w:val="pl-PL"/>
        </w:rPr>
        <w:t>Kom</w:t>
      </w:r>
      <w:r w:rsidRPr="00FC6D7F">
        <w:rPr>
          <w:lang w:val="pl-PL"/>
        </w:rPr>
        <w:t>itetu Regionów: Sprawozdanie na temat obywatelstwa UE</w:t>
      </w:r>
      <w:r w:rsidR="00D55672" w:rsidRPr="00FC6D7F">
        <w:rPr>
          <w:lang w:val="pl-PL"/>
        </w:rPr>
        <w:t xml:space="preserve"> z</w:t>
      </w:r>
      <w:r w:rsidR="00D55672">
        <w:rPr>
          <w:lang w:val="pl-PL"/>
        </w:rPr>
        <w:t> </w:t>
      </w:r>
      <w:r w:rsidR="00D55672" w:rsidRPr="00FC6D7F">
        <w:rPr>
          <w:lang w:val="pl-PL"/>
        </w:rPr>
        <w:t>2</w:t>
      </w:r>
      <w:r w:rsidRPr="00FC6D7F">
        <w:rPr>
          <w:lang w:val="pl-PL"/>
        </w:rPr>
        <w:t>0</w:t>
      </w:r>
      <w:r w:rsidRPr="00D55672">
        <w:rPr>
          <w:lang w:val="pl-PL"/>
        </w:rPr>
        <w:t>20</w:t>
      </w:r>
      <w:r w:rsidR="00D55672" w:rsidRPr="00D55672">
        <w:rPr>
          <w:lang w:val="pl-PL"/>
        </w:rPr>
        <w:t> </w:t>
      </w:r>
      <w:r w:rsidRPr="00D55672">
        <w:rPr>
          <w:lang w:val="pl-PL"/>
        </w:rPr>
        <w:t>r.</w:t>
      </w:r>
      <w:r w:rsidRPr="00FC6D7F">
        <w:rPr>
          <w:lang w:val="pl-PL"/>
        </w:rPr>
        <w:t xml:space="preserve"> – Wzmacnianie pozycji obywateli</w:t>
      </w:r>
      <w:r w:rsidR="00D55672" w:rsidRPr="00FC6D7F">
        <w:rPr>
          <w:lang w:val="pl-PL"/>
        </w:rPr>
        <w:t xml:space="preserve"> i</w:t>
      </w:r>
      <w:r w:rsidR="00D55672">
        <w:rPr>
          <w:lang w:val="pl-PL"/>
        </w:rPr>
        <w:t> </w:t>
      </w:r>
      <w:r w:rsidR="00D55672" w:rsidRPr="00FC6D7F">
        <w:rPr>
          <w:lang w:val="pl-PL"/>
        </w:rPr>
        <w:t>och</w:t>
      </w:r>
      <w:r w:rsidRPr="00FC6D7F">
        <w:rPr>
          <w:lang w:val="pl-PL"/>
        </w:rPr>
        <w:t>rona ich praw, COM(2020) 730 final).</w:t>
      </w:r>
    </w:p>
  </w:footnote>
  <w:footnote w:id="2">
    <w:p w14:paraId="4ED4837A" w14:textId="43435459" w:rsidR="00413B7B" w:rsidRPr="00FC6D7F" w:rsidRDefault="00413B7B" w:rsidP="00F575FE">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Art. 25 akapit pierwszy TFUE stanowi, że „Co trzy lata Komisja składa sprawozdanie Parlamentowi Europejskiemu, Radzie oraz Komitetowi Ekonomiczno-Społecznemu</w:t>
      </w:r>
      <w:r w:rsidR="00D55672" w:rsidRPr="00FC6D7F">
        <w:rPr>
          <w:lang w:val="pl-PL"/>
        </w:rPr>
        <w:t xml:space="preserve"> w</w:t>
      </w:r>
      <w:r w:rsidR="00D55672">
        <w:rPr>
          <w:lang w:val="pl-PL"/>
        </w:rPr>
        <w:t> </w:t>
      </w:r>
      <w:r w:rsidR="00D55672" w:rsidRPr="00FC6D7F">
        <w:rPr>
          <w:lang w:val="pl-PL"/>
        </w:rPr>
        <w:t>spr</w:t>
      </w:r>
      <w:r w:rsidRPr="00FC6D7F">
        <w:rPr>
          <w:lang w:val="pl-PL"/>
        </w:rPr>
        <w:t>awie stosowania postanowień niniejszej części. Sprawozdanie to uwzględnia rozwój Unii”. Dokonując wykładni poszczególnych artykułów części 2 TFUE, Trybunał wyjaśnia</w:t>
      </w:r>
      <w:r w:rsidR="00D55672" w:rsidRPr="00FC6D7F">
        <w:rPr>
          <w:lang w:val="pl-PL"/>
        </w:rPr>
        <w:t xml:space="preserve"> i</w:t>
      </w:r>
      <w:r w:rsidR="00D55672">
        <w:rPr>
          <w:lang w:val="pl-PL"/>
        </w:rPr>
        <w:t> </w:t>
      </w:r>
      <w:r w:rsidR="00D55672" w:rsidRPr="00FC6D7F">
        <w:rPr>
          <w:lang w:val="pl-PL"/>
        </w:rPr>
        <w:t>pre</w:t>
      </w:r>
      <w:r w:rsidRPr="00FC6D7F">
        <w:rPr>
          <w:lang w:val="pl-PL"/>
        </w:rPr>
        <w:t>cyzuje prawa wynikające</w:t>
      </w:r>
      <w:r w:rsidR="00D55672" w:rsidRPr="00FC6D7F">
        <w:rPr>
          <w:lang w:val="pl-PL"/>
        </w:rPr>
        <w:t xml:space="preserve"> z</w:t>
      </w:r>
      <w:r w:rsidR="00D55672">
        <w:rPr>
          <w:lang w:val="pl-PL"/>
        </w:rPr>
        <w:t> </w:t>
      </w:r>
      <w:r w:rsidR="00D55672" w:rsidRPr="00FC6D7F">
        <w:rPr>
          <w:lang w:val="pl-PL"/>
        </w:rPr>
        <w:t>oby</w:t>
      </w:r>
      <w:r w:rsidRPr="00FC6D7F">
        <w:rPr>
          <w:lang w:val="pl-PL"/>
        </w:rPr>
        <w:t>watelstwa Unii. Komisja odgrywa aktywną rolę</w:t>
      </w:r>
      <w:r w:rsidR="00D55672" w:rsidRPr="00FC6D7F">
        <w:rPr>
          <w:lang w:val="pl-PL"/>
        </w:rPr>
        <w:t xml:space="preserve"> w</w:t>
      </w:r>
      <w:r w:rsidR="00D55672">
        <w:rPr>
          <w:lang w:val="pl-PL"/>
        </w:rPr>
        <w:t> </w:t>
      </w:r>
      <w:r w:rsidR="00D55672" w:rsidRPr="00FC6D7F">
        <w:rPr>
          <w:lang w:val="pl-PL"/>
        </w:rPr>
        <w:t>odp</w:t>
      </w:r>
      <w:r w:rsidRPr="00FC6D7F">
        <w:rPr>
          <w:lang w:val="pl-PL"/>
        </w:rPr>
        <w:t>owiednich postępowaniach,</w:t>
      </w:r>
      <w:r w:rsidR="00D55672" w:rsidRPr="00FC6D7F">
        <w:rPr>
          <w:lang w:val="pl-PL"/>
        </w:rPr>
        <w:t xml:space="preserve"> w</w:t>
      </w:r>
      <w:r w:rsidR="00D55672">
        <w:rPr>
          <w:lang w:val="pl-PL"/>
        </w:rPr>
        <w:t> </w:t>
      </w:r>
      <w:r w:rsidR="00D55672" w:rsidRPr="00FC6D7F">
        <w:rPr>
          <w:lang w:val="pl-PL"/>
        </w:rPr>
        <w:t>szc</w:t>
      </w:r>
      <w:r w:rsidRPr="00FC6D7F">
        <w:rPr>
          <w:lang w:val="pl-PL"/>
        </w:rPr>
        <w:t>zególności</w:t>
      </w:r>
      <w:r w:rsidR="00D55672" w:rsidRPr="00FC6D7F">
        <w:rPr>
          <w:lang w:val="pl-PL"/>
        </w:rPr>
        <w:t xml:space="preserve"> w</w:t>
      </w:r>
      <w:r w:rsidR="00D55672">
        <w:rPr>
          <w:lang w:val="pl-PL"/>
        </w:rPr>
        <w:t> </w:t>
      </w:r>
      <w:r w:rsidR="00D55672" w:rsidRPr="00FC6D7F">
        <w:rPr>
          <w:lang w:val="pl-PL"/>
        </w:rPr>
        <w:t>pos</w:t>
      </w:r>
      <w:r w:rsidRPr="00FC6D7F">
        <w:rPr>
          <w:lang w:val="pl-PL"/>
        </w:rPr>
        <w:t>tępowaniach</w:t>
      </w:r>
      <w:r w:rsidR="00D55672" w:rsidRPr="00FC6D7F">
        <w:rPr>
          <w:lang w:val="pl-PL"/>
        </w:rPr>
        <w:t xml:space="preserve"> w</w:t>
      </w:r>
      <w:r w:rsidR="00D55672">
        <w:rPr>
          <w:lang w:val="pl-PL"/>
        </w:rPr>
        <w:t> </w:t>
      </w:r>
      <w:r w:rsidR="00D55672" w:rsidRPr="00FC6D7F">
        <w:rPr>
          <w:lang w:val="pl-PL"/>
        </w:rPr>
        <w:t>spr</w:t>
      </w:r>
      <w:r w:rsidRPr="00FC6D7F">
        <w:rPr>
          <w:lang w:val="pl-PL"/>
        </w:rPr>
        <w:t>awie uchybienia zobowiązaniom państwa członkowskiego przeciwko państwom członkowskim dotyczącymi zarzucanych naruszeń stosownych artykułów lub poprzez interwencje</w:t>
      </w:r>
      <w:r w:rsidR="00D55672" w:rsidRPr="00FC6D7F">
        <w:rPr>
          <w:lang w:val="pl-PL"/>
        </w:rPr>
        <w:t xml:space="preserve"> w</w:t>
      </w:r>
      <w:r w:rsidR="00D55672">
        <w:rPr>
          <w:lang w:val="pl-PL"/>
        </w:rPr>
        <w:t> </w:t>
      </w:r>
      <w:r w:rsidR="00D55672" w:rsidRPr="00FC6D7F">
        <w:rPr>
          <w:lang w:val="pl-PL"/>
        </w:rPr>
        <w:t>prz</w:t>
      </w:r>
      <w:r w:rsidRPr="00FC6D7F">
        <w:rPr>
          <w:lang w:val="pl-PL"/>
        </w:rPr>
        <w:t>ypadku wniosków</w:t>
      </w:r>
      <w:r w:rsidR="00D55672" w:rsidRPr="00FC6D7F">
        <w:rPr>
          <w:lang w:val="pl-PL"/>
        </w:rPr>
        <w:t xml:space="preserve"> o</w:t>
      </w:r>
      <w:r w:rsidR="00D55672">
        <w:rPr>
          <w:lang w:val="pl-PL"/>
        </w:rPr>
        <w:t> </w:t>
      </w:r>
      <w:r w:rsidR="00D55672" w:rsidRPr="00FC6D7F">
        <w:rPr>
          <w:lang w:val="pl-PL"/>
        </w:rPr>
        <w:t>wyd</w:t>
      </w:r>
      <w:r w:rsidRPr="00FC6D7F">
        <w:rPr>
          <w:lang w:val="pl-PL"/>
        </w:rPr>
        <w:t>anie orzeczenia</w:t>
      </w:r>
      <w:r w:rsidR="00D55672" w:rsidRPr="00FC6D7F">
        <w:rPr>
          <w:lang w:val="pl-PL"/>
        </w:rPr>
        <w:t xml:space="preserve"> w</w:t>
      </w:r>
      <w:r w:rsidR="00D55672">
        <w:rPr>
          <w:lang w:val="pl-PL"/>
        </w:rPr>
        <w:t> </w:t>
      </w:r>
      <w:r w:rsidR="00D55672" w:rsidRPr="00FC6D7F">
        <w:rPr>
          <w:lang w:val="pl-PL"/>
        </w:rPr>
        <w:t>try</w:t>
      </w:r>
      <w:r w:rsidRPr="00FC6D7F">
        <w:rPr>
          <w:lang w:val="pl-PL"/>
        </w:rPr>
        <w:t>bie prejudycjalnym. Przegląd spraw omówionych</w:t>
      </w:r>
      <w:r w:rsidR="00D55672" w:rsidRPr="00FC6D7F">
        <w:rPr>
          <w:lang w:val="pl-PL"/>
        </w:rPr>
        <w:t xml:space="preserve"> w</w:t>
      </w:r>
      <w:r w:rsidR="00D55672">
        <w:rPr>
          <w:lang w:val="pl-PL"/>
        </w:rPr>
        <w:t> </w:t>
      </w:r>
      <w:r w:rsidR="00D55672" w:rsidRPr="00FC6D7F">
        <w:rPr>
          <w:lang w:val="pl-PL"/>
        </w:rPr>
        <w:t>nin</w:t>
      </w:r>
      <w:r w:rsidRPr="00FC6D7F">
        <w:rPr>
          <w:lang w:val="pl-PL"/>
        </w:rPr>
        <w:t>iejszym załączniku nie jest wyczerpującym wykazem wszystkich spraw powiązanych</w:t>
      </w:r>
      <w:r w:rsidR="00D55672" w:rsidRPr="00FC6D7F">
        <w:rPr>
          <w:lang w:val="pl-PL"/>
        </w:rPr>
        <w:t xml:space="preserve"> z</w:t>
      </w:r>
      <w:r w:rsidR="00D55672">
        <w:rPr>
          <w:lang w:val="pl-PL"/>
        </w:rPr>
        <w:t> </w:t>
      </w:r>
      <w:r w:rsidR="00D55672" w:rsidRPr="00FC6D7F">
        <w:rPr>
          <w:lang w:val="pl-PL"/>
        </w:rPr>
        <w:t>oby</w:t>
      </w:r>
      <w:r w:rsidRPr="00FC6D7F">
        <w:rPr>
          <w:lang w:val="pl-PL"/>
        </w:rPr>
        <w:t>watelstwem Unii, lecz koncentruje się na sprawach uznanych za najistotniejsze.</w:t>
      </w:r>
    </w:p>
  </w:footnote>
  <w:footnote w:id="3">
    <w:p w14:paraId="3E233E10" w14:textId="4E083A27" w:rsidR="003667F7" w:rsidRPr="00FC6D7F" w:rsidRDefault="003667F7" w:rsidP="003667F7">
      <w:pPr>
        <w:pStyle w:val="FootnoteText"/>
        <w:ind w:left="357" w:hanging="357"/>
        <w:rPr>
          <w:lang w:val="pl-PL"/>
        </w:rPr>
      </w:pPr>
      <w:r>
        <w:rPr>
          <w:rStyle w:val="FootnoteReference"/>
        </w:rPr>
        <w:footnoteRef/>
      </w:r>
      <w:r w:rsidRPr="00FC6D7F">
        <w:rPr>
          <w:lang w:val="pl-PL"/>
        </w:rPr>
        <w:t xml:space="preserve"> </w:t>
      </w:r>
      <w:r w:rsidRPr="00FC6D7F">
        <w:rPr>
          <w:lang w:val="pl-PL"/>
        </w:rPr>
        <w:tab/>
        <w:t>Liczba ta obejmuje sprawy dotyczące praw pobytu wynikających</w:t>
      </w:r>
      <w:r w:rsidR="00D55672" w:rsidRPr="00FC6D7F">
        <w:rPr>
          <w:lang w:val="pl-PL"/>
        </w:rPr>
        <w:t xml:space="preserve"> z</w:t>
      </w:r>
      <w:r w:rsidR="00D55672">
        <w:rPr>
          <w:lang w:val="pl-PL"/>
        </w:rPr>
        <w:t> </w:t>
      </w:r>
      <w:r w:rsidR="00D55672" w:rsidRPr="00FC6D7F">
        <w:rPr>
          <w:lang w:val="pl-PL"/>
        </w:rPr>
        <w:t>oby</w:t>
      </w:r>
      <w:r w:rsidRPr="00FC6D7F">
        <w:rPr>
          <w:lang w:val="pl-PL"/>
        </w:rPr>
        <w:t xml:space="preserve">watelstwa Unii na podstawie </w:t>
      </w:r>
      <w:r w:rsidRPr="00D55672">
        <w:rPr>
          <w:lang w:val="pl-PL"/>
        </w:rPr>
        <w:t>art.</w:t>
      </w:r>
      <w:r w:rsidR="00D55672" w:rsidRPr="00D55672">
        <w:rPr>
          <w:lang w:val="pl-PL"/>
        </w:rPr>
        <w:t> </w:t>
      </w:r>
      <w:r w:rsidRPr="00D55672">
        <w:rPr>
          <w:lang w:val="pl-PL"/>
        </w:rPr>
        <w:t>2</w:t>
      </w:r>
      <w:r w:rsidRPr="00FC6D7F">
        <w:rPr>
          <w:lang w:val="pl-PL"/>
        </w:rPr>
        <w:t>0 TFUE.</w:t>
      </w:r>
    </w:p>
  </w:footnote>
  <w:footnote w:id="4">
    <w:p w14:paraId="6910B252" w14:textId="38A6AA30" w:rsidR="003667F7" w:rsidRPr="00FC6D7F" w:rsidRDefault="003667F7" w:rsidP="003667F7">
      <w:pPr>
        <w:pStyle w:val="FootnoteText"/>
        <w:ind w:left="357" w:hanging="357"/>
        <w:jc w:val="both"/>
        <w:rPr>
          <w:i/>
          <w:lang w:val="pl-PL"/>
        </w:rPr>
      </w:pPr>
      <w:r>
        <w:rPr>
          <w:rStyle w:val="FootnoteReference"/>
        </w:rPr>
        <w:footnoteRef/>
      </w:r>
      <w:r w:rsidRPr="00FC6D7F">
        <w:rPr>
          <w:lang w:val="pl-PL"/>
        </w:rPr>
        <w:t xml:space="preserve"> </w:t>
      </w:r>
      <w:r w:rsidRPr="00FC6D7F">
        <w:rPr>
          <w:lang w:val="pl-PL"/>
        </w:rPr>
        <w:tab/>
        <w:t>Dyrektywa 2004/38/WE Parlamentu Europejskiego</w:t>
      </w:r>
      <w:r w:rsidR="00D55672" w:rsidRPr="00FC6D7F">
        <w:rPr>
          <w:lang w:val="pl-PL"/>
        </w:rPr>
        <w:t xml:space="preserve"> i</w:t>
      </w:r>
      <w:r w:rsidR="00D55672">
        <w:rPr>
          <w:lang w:val="pl-PL"/>
        </w:rPr>
        <w:t> </w:t>
      </w:r>
      <w:r w:rsidR="00D55672" w:rsidRPr="00FC6D7F">
        <w:rPr>
          <w:lang w:val="pl-PL"/>
        </w:rPr>
        <w:t>Rad</w:t>
      </w:r>
      <w:r w:rsidRPr="00FC6D7F">
        <w:rPr>
          <w:lang w:val="pl-PL"/>
        </w:rPr>
        <w:t>y</w:t>
      </w:r>
      <w:r w:rsidR="00D55672" w:rsidRPr="00FC6D7F">
        <w:rPr>
          <w:lang w:val="pl-PL"/>
        </w:rPr>
        <w:t xml:space="preserve"> z</w:t>
      </w:r>
      <w:r w:rsidR="00D55672">
        <w:rPr>
          <w:lang w:val="pl-PL"/>
        </w:rPr>
        <w:t> </w:t>
      </w:r>
      <w:r w:rsidR="00D55672" w:rsidRPr="00FC6D7F">
        <w:rPr>
          <w:lang w:val="pl-PL"/>
        </w:rPr>
        <w:t>dni</w:t>
      </w:r>
      <w:r w:rsidRPr="00FC6D7F">
        <w:rPr>
          <w:lang w:val="pl-PL"/>
        </w:rPr>
        <w:t>a 29 kwietnia 20</w:t>
      </w:r>
      <w:r w:rsidRPr="00D55672">
        <w:rPr>
          <w:lang w:val="pl-PL"/>
        </w:rPr>
        <w:t>04</w:t>
      </w:r>
      <w:r w:rsidR="00D55672" w:rsidRPr="00D55672">
        <w:rPr>
          <w:lang w:val="pl-PL"/>
        </w:rPr>
        <w:t> </w:t>
      </w:r>
      <w:r w:rsidRPr="00D55672">
        <w:rPr>
          <w:lang w:val="pl-PL"/>
        </w:rPr>
        <w:t>r.</w:t>
      </w:r>
      <w:r w:rsidR="00D55672" w:rsidRPr="00FC6D7F">
        <w:rPr>
          <w:lang w:val="pl-PL"/>
        </w:rPr>
        <w:t xml:space="preserve"> w</w:t>
      </w:r>
      <w:r w:rsidR="00D55672">
        <w:rPr>
          <w:lang w:val="pl-PL"/>
        </w:rPr>
        <w:t> </w:t>
      </w:r>
      <w:r w:rsidR="00D55672" w:rsidRPr="00FC6D7F">
        <w:rPr>
          <w:lang w:val="pl-PL"/>
        </w:rPr>
        <w:t>spr</w:t>
      </w:r>
      <w:r w:rsidRPr="00FC6D7F">
        <w:rPr>
          <w:lang w:val="pl-PL"/>
        </w:rPr>
        <w:t>awie prawa obywateli Unii</w:t>
      </w:r>
      <w:r w:rsidR="00D55672" w:rsidRPr="00FC6D7F">
        <w:rPr>
          <w:lang w:val="pl-PL"/>
        </w:rPr>
        <w:t xml:space="preserve"> i</w:t>
      </w:r>
      <w:r w:rsidR="00D55672">
        <w:rPr>
          <w:lang w:val="pl-PL"/>
        </w:rPr>
        <w:t> </w:t>
      </w:r>
      <w:r w:rsidR="00D55672" w:rsidRPr="00FC6D7F">
        <w:rPr>
          <w:lang w:val="pl-PL"/>
        </w:rPr>
        <w:t>czł</w:t>
      </w:r>
      <w:r w:rsidRPr="00FC6D7F">
        <w:rPr>
          <w:lang w:val="pl-PL"/>
        </w:rPr>
        <w:t>onków ich rodzin do swobodnego przemieszczania się</w:t>
      </w:r>
      <w:r w:rsidR="00D55672" w:rsidRPr="00FC6D7F">
        <w:rPr>
          <w:lang w:val="pl-PL"/>
        </w:rPr>
        <w:t xml:space="preserve"> i</w:t>
      </w:r>
      <w:r w:rsidR="00D55672">
        <w:rPr>
          <w:lang w:val="pl-PL"/>
        </w:rPr>
        <w:t> </w:t>
      </w:r>
      <w:r w:rsidR="00D55672" w:rsidRPr="00FC6D7F">
        <w:rPr>
          <w:lang w:val="pl-PL"/>
        </w:rPr>
        <w:t>pob</w:t>
      </w:r>
      <w:r w:rsidRPr="00FC6D7F">
        <w:rPr>
          <w:lang w:val="pl-PL"/>
        </w:rPr>
        <w:t xml:space="preserve">ytu na terytorium państw członkowskich, zmieniająca rozporządzenie (EWG) </w:t>
      </w:r>
      <w:r w:rsidRPr="00D55672">
        <w:rPr>
          <w:lang w:val="pl-PL"/>
        </w:rPr>
        <w:t>nr</w:t>
      </w:r>
      <w:r w:rsidR="00D55672" w:rsidRPr="00D55672">
        <w:rPr>
          <w:lang w:val="pl-PL"/>
        </w:rPr>
        <w:t> </w:t>
      </w:r>
      <w:r w:rsidRPr="00D55672">
        <w:rPr>
          <w:lang w:val="pl-PL"/>
        </w:rPr>
        <w:t>1</w:t>
      </w:r>
      <w:r w:rsidRPr="00FC6D7F">
        <w:rPr>
          <w:lang w:val="pl-PL"/>
        </w:rPr>
        <w:t>612/68</w:t>
      </w:r>
      <w:r w:rsidR="00D55672" w:rsidRPr="00FC6D7F">
        <w:rPr>
          <w:lang w:val="pl-PL"/>
        </w:rPr>
        <w:t xml:space="preserve"> i</w:t>
      </w:r>
      <w:r w:rsidR="00D55672">
        <w:rPr>
          <w:lang w:val="pl-PL"/>
        </w:rPr>
        <w:t> </w:t>
      </w:r>
      <w:r w:rsidR="00D55672" w:rsidRPr="00FC6D7F">
        <w:rPr>
          <w:lang w:val="pl-PL"/>
        </w:rPr>
        <w:t>uch</w:t>
      </w:r>
      <w:r w:rsidRPr="00FC6D7F">
        <w:rPr>
          <w:lang w:val="pl-PL"/>
        </w:rPr>
        <w:t>ylająca dyrektywy 64/221/EWG, 68/360/EWG, 72/194/EWG, 73/148/EWG, 75/34/EWG, 75/35/EWG, 90/364/EWG, 90/365/EWG</w:t>
      </w:r>
      <w:r w:rsidR="00D55672" w:rsidRPr="00FC6D7F">
        <w:rPr>
          <w:lang w:val="pl-PL"/>
        </w:rPr>
        <w:t xml:space="preserve"> i</w:t>
      </w:r>
      <w:r w:rsidR="00D55672">
        <w:rPr>
          <w:lang w:val="pl-PL"/>
        </w:rPr>
        <w:t> </w:t>
      </w:r>
      <w:r w:rsidR="00D55672" w:rsidRPr="00FC6D7F">
        <w:rPr>
          <w:lang w:val="pl-PL"/>
        </w:rPr>
        <w:t>9</w:t>
      </w:r>
      <w:r w:rsidRPr="00FC6D7F">
        <w:rPr>
          <w:lang w:val="pl-PL"/>
        </w:rPr>
        <w:t xml:space="preserve">3/96/EWG (Tekst mający znaczenie dla EOG), </w:t>
      </w:r>
      <w:r w:rsidRPr="00FC6D7F">
        <w:rPr>
          <w:i/>
          <w:lang w:val="pl-PL"/>
        </w:rPr>
        <w:t>Dz.U. L 158</w:t>
      </w:r>
      <w:r w:rsidR="00D55672" w:rsidRPr="00FC6D7F">
        <w:rPr>
          <w:i/>
          <w:lang w:val="pl-PL"/>
        </w:rPr>
        <w:t xml:space="preserve"> z</w:t>
      </w:r>
      <w:r w:rsidR="00D55672">
        <w:rPr>
          <w:i/>
          <w:lang w:val="pl-PL"/>
        </w:rPr>
        <w:t> </w:t>
      </w:r>
      <w:r w:rsidR="00D55672" w:rsidRPr="00FC6D7F">
        <w:rPr>
          <w:i/>
          <w:lang w:val="pl-PL"/>
        </w:rPr>
        <w:t>3</w:t>
      </w:r>
      <w:r w:rsidRPr="00FC6D7F">
        <w:rPr>
          <w:i/>
          <w:lang w:val="pl-PL"/>
        </w:rPr>
        <w:t>0.4.2004, s. 77.</w:t>
      </w:r>
    </w:p>
  </w:footnote>
  <w:footnote w:id="5">
    <w:p w14:paraId="4095E1B6" w14:textId="11986BF3"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22 grudnia 20</w:t>
      </w:r>
      <w:r w:rsidRPr="00D55672">
        <w:rPr>
          <w:lang w:val="pl-PL"/>
        </w:rPr>
        <w:t>22</w:t>
      </w:r>
      <w:r w:rsidR="00D55672" w:rsidRPr="00D55672">
        <w:rPr>
          <w:lang w:val="pl-PL"/>
        </w:rPr>
        <w:t> </w:t>
      </w:r>
      <w:r w:rsidRPr="00D55672">
        <w:rPr>
          <w:lang w:val="pl-PL"/>
        </w:rPr>
        <w:t>r.</w:t>
      </w:r>
      <w:r w:rsidRPr="00FC6D7F">
        <w:rPr>
          <w:lang w:val="pl-PL"/>
        </w:rPr>
        <w:t xml:space="preserve">, Generalstaatsanwaltschaft München/S.M., </w:t>
      </w:r>
      <w:hyperlink r:id="rId2" w:history="1">
        <w:r w:rsidRPr="00FC6D7F">
          <w:rPr>
            <w:rStyle w:val="Hyperlink"/>
            <w:lang w:val="pl-PL"/>
          </w:rPr>
          <w:t>C-237/21</w:t>
        </w:r>
      </w:hyperlink>
      <w:r w:rsidRPr="00FC6D7F">
        <w:rPr>
          <w:lang w:val="pl-PL"/>
        </w:rPr>
        <w:t>, EU:C:2022:1017.</w:t>
      </w:r>
    </w:p>
  </w:footnote>
  <w:footnote w:id="6">
    <w:p w14:paraId="5100C880" w14:textId="29230804"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17 grudnia 20</w:t>
      </w:r>
      <w:r w:rsidRPr="00D55672">
        <w:rPr>
          <w:lang w:val="pl-PL"/>
        </w:rPr>
        <w:t>20</w:t>
      </w:r>
      <w:r w:rsidR="00D55672" w:rsidRPr="00D55672">
        <w:rPr>
          <w:lang w:val="pl-PL"/>
        </w:rPr>
        <w:t> </w:t>
      </w:r>
      <w:r w:rsidRPr="00D55672">
        <w:rPr>
          <w:lang w:val="pl-PL"/>
        </w:rPr>
        <w:t>r.</w:t>
      </w:r>
      <w:r w:rsidRPr="00FC6D7F">
        <w:rPr>
          <w:lang w:val="pl-PL"/>
        </w:rPr>
        <w:t xml:space="preserve">, BY, </w:t>
      </w:r>
      <w:hyperlink r:id="rId3" w:history="1">
        <w:r w:rsidRPr="00FC6D7F">
          <w:rPr>
            <w:rStyle w:val="Hyperlink"/>
            <w:lang w:val="pl-PL"/>
          </w:rPr>
          <w:t>C-398/19</w:t>
        </w:r>
      </w:hyperlink>
      <w:r w:rsidRPr="00FC6D7F">
        <w:rPr>
          <w:lang w:val="pl-PL"/>
        </w:rPr>
        <w:t>, EU:C:2020:1032.</w:t>
      </w:r>
    </w:p>
  </w:footnote>
  <w:footnote w:id="7">
    <w:p w14:paraId="2618B7FC" w14:textId="665D1619"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22 grudnia 20</w:t>
      </w:r>
      <w:r w:rsidRPr="00D55672">
        <w:rPr>
          <w:lang w:val="pl-PL"/>
        </w:rPr>
        <w:t>22</w:t>
      </w:r>
      <w:r w:rsidR="00D55672" w:rsidRPr="00D55672">
        <w:rPr>
          <w:lang w:val="pl-PL"/>
        </w:rPr>
        <w:t> </w:t>
      </w:r>
      <w:r w:rsidRPr="00D55672">
        <w:rPr>
          <w:lang w:val="pl-PL"/>
        </w:rPr>
        <w:t>r.</w:t>
      </w:r>
      <w:r w:rsidRPr="00FC6D7F">
        <w:rPr>
          <w:lang w:val="pl-PL"/>
        </w:rPr>
        <w:t xml:space="preserve">, Generalstaatsanwaltschaft München/S.M., C-237/21, EU:C:2022:1017, </w:t>
      </w:r>
      <w:r w:rsidRPr="00D55672">
        <w:rPr>
          <w:lang w:val="pl-PL"/>
        </w:rPr>
        <w:t>pkt</w:t>
      </w:r>
      <w:r w:rsidR="00D55672" w:rsidRPr="00D55672">
        <w:rPr>
          <w:lang w:val="pl-PL"/>
        </w:rPr>
        <w:t> </w:t>
      </w:r>
      <w:r w:rsidRPr="00D55672">
        <w:rPr>
          <w:lang w:val="pl-PL"/>
        </w:rPr>
        <w:t>3</w:t>
      </w:r>
      <w:r w:rsidRPr="00FC6D7F">
        <w:rPr>
          <w:lang w:val="pl-PL"/>
        </w:rPr>
        <w:t>1.</w:t>
      </w:r>
    </w:p>
  </w:footnote>
  <w:footnote w:id="8">
    <w:p w14:paraId="1D56FE17" w14:textId="12161720"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Zob.: 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13 listopada 20</w:t>
      </w:r>
      <w:r w:rsidRPr="00D55672">
        <w:rPr>
          <w:lang w:val="pl-PL"/>
        </w:rPr>
        <w:t>18</w:t>
      </w:r>
      <w:r w:rsidR="00D55672" w:rsidRPr="00D55672">
        <w:rPr>
          <w:lang w:val="pl-PL"/>
        </w:rPr>
        <w:t> </w:t>
      </w:r>
      <w:r w:rsidRPr="00D55672">
        <w:rPr>
          <w:lang w:val="pl-PL"/>
        </w:rPr>
        <w:t>r.</w:t>
      </w:r>
      <w:r w:rsidRPr="00FC6D7F">
        <w:rPr>
          <w:lang w:val="pl-PL"/>
        </w:rPr>
        <w:t xml:space="preserve">, Raugeivicius, </w:t>
      </w:r>
      <w:hyperlink r:id="rId4" w:history="1">
        <w:r w:rsidRPr="00FC6D7F">
          <w:rPr>
            <w:rStyle w:val="Hyperlink"/>
            <w:lang w:val="pl-PL"/>
          </w:rPr>
          <w:t>C</w:t>
        </w:r>
        <w:r w:rsidRPr="00FC6D7F">
          <w:rPr>
            <w:rStyle w:val="Hyperlink"/>
            <w:rFonts w:ascii="Cambria Math" w:hAnsi="Cambria Math"/>
            <w:lang w:val="pl-PL"/>
          </w:rPr>
          <w:t>-</w:t>
        </w:r>
        <w:r w:rsidRPr="00FC6D7F">
          <w:rPr>
            <w:rStyle w:val="Hyperlink"/>
            <w:lang w:val="pl-PL"/>
          </w:rPr>
          <w:t>247/17</w:t>
        </w:r>
      </w:hyperlink>
      <w:r w:rsidRPr="00FC6D7F">
        <w:rPr>
          <w:lang w:val="pl-PL"/>
        </w:rPr>
        <w:t>, EU:C:2018:898.</w:t>
      </w:r>
    </w:p>
  </w:footnote>
  <w:footnote w:id="9">
    <w:p w14:paraId="2D5E6D08" w14:textId="143B386A"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22 grudnia 20</w:t>
      </w:r>
      <w:r w:rsidRPr="00D55672">
        <w:rPr>
          <w:lang w:val="pl-PL"/>
        </w:rPr>
        <w:t>22</w:t>
      </w:r>
      <w:r w:rsidR="00D55672" w:rsidRPr="00D55672">
        <w:rPr>
          <w:lang w:val="pl-PL"/>
        </w:rPr>
        <w:t> </w:t>
      </w:r>
      <w:r w:rsidRPr="00D55672">
        <w:rPr>
          <w:lang w:val="pl-PL"/>
        </w:rPr>
        <w:t>r.</w:t>
      </w:r>
      <w:r w:rsidRPr="00FC6D7F">
        <w:rPr>
          <w:lang w:val="pl-PL"/>
        </w:rPr>
        <w:t xml:space="preserve">, Generalstaatsanwaltschaft München/S.M., </w:t>
      </w:r>
      <w:hyperlink r:id="rId5" w:history="1">
        <w:r w:rsidRPr="00FC6D7F">
          <w:rPr>
            <w:rStyle w:val="Hyperlink"/>
            <w:lang w:val="pl-PL"/>
          </w:rPr>
          <w:t>C-237/21</w:t>
        </w:r>
      </w:hyperlink>
      <w:r w:rsidRPr="00FC6D7F">
        <w:rPr>
          <w:lang w:val="pl-PL"/>
        </w:rPr>
        <w:t xml:space="preserve">, EU:C:2022:1017, </w:t>
      </w:r>
      <w:r w:rsidRPr="00D55672">
        <w:rPr>
          <w:lang w:val="pl-PL"/>
        </w:rPr>
        <w:t>pkt</w:t>
      </w:r>
      <w:r w:rsidR="00D55672" w:rsidRPr="00D55672">
        <w:rPr>
          <w:lang w:val="pl-PL"/>
        </w:rPr>
        <w:t> </w:t>
      </w:r>
      <w:r w:rsidRPr="00D55672">
        <w:rPr>
          <w:lang w:val="pl-PL"/>
        </w:rPr>
        <w:t>3</w:t>
      </w:r>
      <w:r w:rsidRPr="00FC6D7F">
        <w:rPr>
          <w:lang w:val="pl-PL"/>
        </w:rPr>
        <w:t>1.</w:t>
      </w:r>
    </w:p>
  </w:footnote>
  <w:footnote w:id="10">
    <w:p w14:paraId="1A8999FC" w14:textId="09C7C804"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22 grudnia 20</w:t>
      </w:r>
      <w:r w:rsidRPr="00D55672">
        <w:rPr>
          <w:lang w:val="pl-PL"/>
        </w:rPr>
        <w:t>22</w:t>
      </w:r>
      <w:r w:rsidR="00D55672" w:rsidRPr="00D55672">
        <w:rPr>
          <w:lang w:val="pl-PL"/>
        </w:rPr>
        <w:t> </w:t>
      </w:r>
      <w:r w:rsidRPr="00D55672">
        <w:rPr>
          <w:lang w:val="pl-PL"/>
        </w:rPr>
        <w:t>r.</w:t>
      </w:r>
      <w:r w:rsidRPr="00FC6D7F">
        <w:rPr>
          <w:lang w:val="pl-PL"/>
        </w:rPr>
        <w:t xml:space="preserve">, Generalstaatsanwaltschaft München/S.M., </w:t>
      </w:r>
      <w:hyperlink r:id="rId6" w:history="1">
        <w:r w:rsidRPr="00FC6D7F">
          <w:rPr>
            <w:rStyle w:val="Hyperlink"/>
            <w:lang w:val="pl-PL"/>
          </w:rPr>
          <w:t>C-237/21</w:t>
        </w:r>
      </w:hyperlink>
      <w:r w:rsidRPr="00FC6D7F">
        <w:rPr>
          <w:lang w:val="pl-PL"/>
        </w:rPr>
        <w:t xml:space="preserve">, EU:C:2022:1017, </w:t>
      </w:r>
      <w:r w:rsidRPr="00D55672">
        <w:rPr>
          <w:lang w:val="pl-PL"/>
        </w:rPr>
        <w:t>pkt</w:t>
      </w:r>
      <w:r w:rsidR="00D55672" w:rsidRPr="00D55672">
        <w:rPr>
          <w:lang w:val="pl-PL"/>
        </w:rPr>
        <w:t> </w:t>
      </w:r>
      <w:r w:rsidRPr="00D55672">
        <w:rPr>
          <w:lang w:val="pl-PL"/>
        </w:rPr>
        <w:t>3</w:t>
      </w:r>
      <w:r w:rsidRPr="00FC6D7F">
        <w:rPr>
          <w:lang w:val="pl-PL"/>
        </w:rPr>
        <w:t>5–42.</w:t>
      </w:r>
    </w:p>
  </w:footnote>
  <w:footnote w:id="11">
    <w:p w14:paraId="2BE5165D" w14:textId="38618ECC"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 kwietnia 20</w:t>
      </w:r>
      <w:r w:rsidRPr="00D55672">
        <w:rPr>
          <w:lang w:val="pl-PL"/>
        </w:rPr>
        <w:t>20</w:t>
      </w:r>
      <w:r w:rsidR="00D55672" w:rsidRPr="00D55672">
        <w:rPr>
          <w:lang w:val="pl-PL"/>
        </w:rPr>
        <w:t> </w:t>
      </w:r>
      <w:r w:rsidRPr="00D55672">
        <w:rPr>
          <w:lang w:val="pl-PL"/>
        </w:rPr>
        <w:t>r.</w:t>
      </w:r>
      <w:r w:rsidRPr="00FC6D7F">
        <w:rPr>
          <w:lang w:val="pl-PL"/>
        </w:rPr>
        <w:t xml:space="preserve">, I.N./Ruska Federacija, </w:t>
      </w:r>
      <w:hyperlink r:id="rId7" w:history="1">
        <w:r w:rsidRPr="00FC6D7F">
          <w:rPr>
            <w:rStyle w:val="Hyperlink"/>
            <w:lang w:val="pl-PL"/>
          </w:rPr>
          <w:t>C</w:t>
        </w:r>
        <w:r w:rsidRPr="00FC6D7F">
          <w:rPr>
            <w:rStyle w:val="Hyperlink"/>
            <w:rFonts w:ascii="Cambria Math" w:hAnsi="Cambria Math"/>
            <w:lang w:val="pl-PL"/>
          </w:rPr>
          <w:t>-</w:t>
        </w:r>
        <w:r w:rsidRPr="00FC6D7F">
          <w:rPr>
            <w:rStyle w:val="Hyperlink"/>
            <w:lang w:val="pl-PL"/>
          </w:rPr>
          <w:t>897/19, PPU</w:t>
        </w:r>
      </w:hyperlink>
      <w:r w:rsidRPr="00FC6D7F">
        <w:rPr>
          <w:lang w:val="pl-PL"/>
        </w:rPr>
        <w:t>, EU:C:2020:262.</w:t>
      </w:r>
    </w:p>
  </w:footnote>
  <w:footnote w:id="12">
    <w:p w14:paraId="0E97C202" w14:textId="342FE021" w:rsidR="003667F7" w:rsidRPr="00FC6D7F" w:rsidRDefault="003667F7" w:rsidP="003667F7">
      <w:pPr>
        <w:spacing w:after="40" w:line="240" w:lineRule="auto"/>
        <w:ind w:left="357" w:hanging="357"/>
        <w:jc w:val="both"/>
        <w:rPr>
          <w:rFonts w:ascii="Times New Roman" w:hAnsi="Times New Roman"/>
          <w:sz w:val="20"/>
          <w:lang w:val="pl-PL"/>
        </w:rPr>
      </w:pPr>
      <w:r>
        <w:rPr>
          <w:rStyle w:val="FootnoteReference"/>
          <w:sz w:val="16"/>
        </w:rPr>
        <w:footnoteRef/>
      </w:r>
      <w:r w:rsidRPr="00FC6D7F">
        <w:rPr>
          <w:rStyle w:val="FootnoteReference"/>
          <w:sz w:val="16"/>
          <w:lang w:val="pl-PL"/>
        </w:rPr>
        <w:t xml:space="preserve"> </w:t>
      </w:r>
      <w:r w:rsidRPr="00FC6D7F">
        <w:rPr>
          <w:lang w:val="pl-PL"/>
        </w:rPr>
        <w:tab/>
      </w:r>
      <w:r w:rsidRPr="00FC6D7F">
        <w:rPr>
          <w:rFonts w:ascii="Times New Roman" w:hAnsi="Times New Roman"/>
          <w:sz w:val="20"/>
          <w:lang w:val="pl-PL"/>
        </w:rPr>
        <w:t>Wyrok Trybunału (wielka izba)</w:t>
      </w:r>
      <w:r w:rsidR="00D55672" w:rsidRPr="00FC6D7F">
        <w:rPr>
          <w:rFonts w:ascii="Times New Roman" w:hAnsi="Times New Roman"/>
          <w:sz w:val="20"/>
          <w:lang w:val="pl-PL"/>
        </w:rPr>
        <w:t xml:space="preserve"> z</w:t>
      </w:r>
      <w:r w:rsidR="00D55672">
        <w:rPr>
          <w:rFonts w:ascii="Times New Roman" w:hAnsi="Times New Roman"/>
          <w:sz w:val="20"/>
          <w:lang w:val="pl-PL"/>
        </w:rPr>
        <w:t> </w:t>
      </w:r>
      <w:r w:rsidR="00D55672" w:rsidRPr="00FC6D7F">
        <w:rPr>
          <w:rFonts w:ascii="Times New Roman" w:hAnsi="Times New Roman"/>
          <w:sz w:val="20"/>
          <w:lang w:val="pl-PL"/>
        </w:rPr>
        <w:t>dni</w:t>
      </w:r>
      <w:r w:rsidRPr="00FC6D7F">
        <w:rPr>
          <w:rFonts w:ascii="Times New Roman" w:hAnsi="Times New Roman"/>
          <w:sz w:val="20"/>
          <w:lang w:val="pl-PL"/>
        </w:rPr>
        <w:t>a 17 grudnia 20</w:t>
      </w:r>
      <w:r w:rsidRPr="00D55672">
        <w:rPr>
          <w:rFonts w:ascii="Times New Roman" w:hAnsi="Times New Roman"/>
          <w:sz w:val="20"/>
          <w:lang w:val="pl-PL"/>
        </w:rPr>
        <w:t>20</w:t>
      </w:r>
      <w:r w:rsidR="00D55672" w:rsidRPr="00D55672">
        <w:rPr>
          <w:rFonts w:ascii="Times New Roman" w:hAnsi="Times New Roman"/>
          <w:sz w:val="20"/>
          <w:lang w:val="pl-PL"/>
        </w:rPr>
        <w:t> </w:t>
      </w:r>
      <w:r w:rsidRPr="00D55672">
        <w:rPr>
          <w:rFonts w:ascii="Times New Roman" w:hAnsi="Times New Roman"/>
          <w:sz w:val="20"/>
          <w:lang w:val="pl-PL"/>
        </w:rPr>
        <w:t>r.</w:t>
      </w:r>
      <w:r w:rsidRPr="00FC6D7F">
        <w:rPr>
          <w:rFonts w:ascii="Times New Roman" w:hAnsi="Times New Roman"/>
          <w:sz w:val="20"/>
          <w:lang w:val="pl-PL"/>
        </w:rPr>
        <w:t xml:space="preserve">, Generalstaatsanwaltschaft Berlin/BY, </w:t>
      </w:r>
      <w:hyperlink r:id="rId8" w:history="1">
        <w:hyperlink r:id="rId9" w:history="1">
          <w:r w:rsidRPr="00FC6D7F">
            <w:rPr>
              <w:rFonts w:ascii="Times New Roman" w:hAnsi="Times New Roman"/>
              <w:sz w:val="20"/>
              <w:lang w:val="pl-PL"/>
            </w:rPr>
            <w:t>C-389/19</w:t>
          </w:r>
        </w:hyperlink>
      </w:hyperlink>
      <w:r w:rsidRPr="00FC6D7F">
        <w:rPr>
          <w:rFonts w:ascii="Times New Roman" w:hAnsi="Times New Roman"/>
          <w:sz w:val="20"/>
          <w:lang w:val="pl-PL"/>
        </w:rPr>
        <w:t xml:space="preserve">, EU:C:2020:1032, </w:t>
      </w:r>
      <w:r w:rsidRPr="00D55672">
        <w:rPr>
          <w:rFonts w:ascii="Times New Roman" w:hAnsi="Times New Roman"/>
          <w:sz w:val="20"/>
          <w:lang w:val="pl-PL"/>
        </w:rPr>
        <w:t>pkt</w:t>
      </w:r>
      <w:r w:rsidR="00D55672" w:rsidRPr="00D55672">
        <w:rPr>
          <w:rFonts w:ascii="Times New Roman" w:hAnsi="Times New Roman"/>
          <w:sz w:val="20"/>
          <w:lang w:val="pl-PL"/>
        </w:rPr>
        <w:t> </w:t>
      </w:r>
      <w:r w:rsidRPr="00D55672">
        <w:rPr>
          <w:rFonts w:ascii="Times New Roman" w:hAnsi="Times New Roman"/>
          <w:sz w:val="20"/>
          <w:lang w:val="pl-PL"/>
        </w:rPr>
        <w:t>2</w:t>
      </w:r>
      <w:r w:rsidRPr="00FC6D7F">
        <w:rPr>
          <w:rFonts w:ascii="Times New Roman" w:hAnsi="Times New Roman"/>
          <w:sz w:val="20"/>
          <w:lang w:val="pl-PL"/>
        </w:rPr>
        <w:t>8.</w:t>
      </w:r>
    </w:p>
  </w:footnote>
  <w:footnote w:id="13">
    <w:p w14:paraId="6EFA807E" w14:textId="0A237760" w:rsidR="003667F7" w:rsidRPr="00FC6D7F" w:rsidRDefault="003667F7" w:rsidP="003667F7">
      <w:pPr>
        <w:pStyle w:val="FootnoteText"/>
        <w:ind w:left="357" w:hanging="357"/>
        <w:jc w:val="both"/>
        <w:rPr>
          <w:lang w:val="pl-PL"/>
        </w:rPr>
      </w:pPr>
      <w:r>
        <w:rPr>
          <w:rStyle w:val="FootnoteReference"/>
        </w:rPr>
        <w:footnoteRef/>
      </w:r>
      <w:r w:rsidRPr="00FC6D7F">
        <w:rPr>
          <w:rStyle w:val="FootnoteReference"/>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6 września 20</w:t>
      </w:r>
      <w:r w:rsidRPr="00D55672">
        <w:rPr>
          <w:lang w:val="pl-PL"/>
        </w:rPr>
        <w:t>16</w:t>
      </w:r>
      <w:r w:rsidR="00D55672" w:rsidRPr="00D55672">
        <w:rPr>
          <w:lang w:val="pl-PL"/>
        </w:rPr>
        <w:t> </w:t>
      </w:r>
      <w:r w:rsidRPr="00D55672">
        <w:rPr>
          <w:lang w:val="pl-PL"/>
        </w:rPr>
        <w:t>r.</w:t>
      </w:r>
      <w:r w:rsidRPr="00FC6D7F">
        <w:rPr>
          <w:lang w:val="pl-PL"/>
        </w:rPr>
        <w:t xml:space="preserve">, Aleksei Petruhhin, </w:t>
      </w:r>
      <w:hyperlink r:id="rId10" w:history="1">
        <w:r w:rsidRPr="00FC6D7F">
          <w:rPr>
            <w:rStyle w:val="Hyperlink"/>
            <w:lang w:val="pl-PL"/>
          </w:rPr>
          <w:t>C</w:t>
        </w:r>
        <w:r w:rsidRPr="00FC6D7F">
          <w:rPr>
            <w:rStyle w:val="Hyperlink"/>
            <w:rFonts w:ascii="Cambria Math" w:hAnsi="Cambria Math"/>
            <w:lang w:val="pl-PL"/>
          </w:rPr>
          <w:t>-</w:t>
        </w:r>
        <w:r w:rsidRPr="00FC6D7F">
          <w:rPr>
            <w:rStyle w:val="Hyperlink"/>
            <w:lang w:val="pl-PL"/>
          </w:rPr>
          <w:t>182/15</w:t>
        </w:r>
      </w:hyperlink>
      <w:r w:rsidRPr="00FC6D7F">
        <w:rPr>
          <w:lang w:val="pl-PL"/>
        </w:rPr>
        <w:t>, EU:C:2016:630.</w:t>
      </w:r>
    </w:p>
  </w:footnote>
  <w:footnote w:id="14">
    <w:p w14:paraId="1B2063B4" w14:textId="768FDA5B"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17 grudnia 20</w:t>
      </w:r>
      <w:r w:rsidRPr="00D55672">
        <w:rPr>
          <w:lang w:val="pl-PL"/>
        </w:rPr>
        <w:t>20</w:t>
      </w:r>
      <w:r w:rsidR="00D55672" w:rsidRPr="00D55672">
        <w:rPr>
          <w:lang w:val="pl-PL"/>
        </w:rPr>
        <w:t> </w:t>
      </w:r>
      <w:r w:rsidRPr="00D55672">
        <w:rPr>
          <w:lang w:val="pl-PL"/>
        </w:rPr>
        <w:t>r.</w:t>
      </w:r>
      <w:r w:rsidRPr="00FC6D7F">
        <w:rPr>
          <w:lang w:val="pl-PL"/>
        </w:rPr>
        <w:t xml:space="preserve">, Generalstaatsanwaltschaft Berlin/BY, </w:t>
      </w:r>
      <w:hyperlink r:id="rId11" w:history="1">
        <w:r w:rsidRPr="00FC6D7F">
          <w:rPr>
            <w:rStyle w:val="Hyperlink"/>
            <w:lang w:val="pl-PL"/>
          </w:rPr>
          <w:t>C-389/19</w:t>
        </w:r>
      </w:hyperlink>
      <w:r w:rsidRPr="00FC6D7F">
        <w:rPr>
          <w:lang w:val="pl-PL"/>
        </w:rPr>
        <w:t xml:space="preserve">, EU:C:2020:1032, </w:t>
      </w:r>
      <w:r w:rsidRPr="00D55672">
        <w:rPr>
          <w:lang w:val="pl-PL"/>
        </w:rPr>
        <w:t>pkt</w:t>
      </w:r>
      <w:r w:rsidR="00D55672" w:rsidRPr="00D55672">
        <w:rPr>
          <w:lang w:val="pl-PL"/>
        </w:rPr>
        <w:t> </w:t>
      </w:r>
      <w:r w:rsidRPr="00D55672">
        <w:rPr>
          <w:lang w:val="pl-PL"/>
        </w:rPr>
        <w:t>3</w:t>
      </w:r>
      <w:r w:rsidRPr="00FC6D7F">
        <w:rPr>
          <w:lang w:val="pl-PL"/>
        </w:rPr>
        <w:t xml:space="preserve">1. </w:t>
      </w:r>
    </w:p>
  </w:footnote>
  <w:footnote w:id="15">
    <w:p w14:paraId="449DA2AB" w14:textId="4865A94C"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17 grudnia 20</w:t>
      </w:r>
      <w:r w:rsidRPr="00D55672">
        <w:rPr>
          <w:lang w:val="pl-PL"/>
        </w:rPr>
        <w:t>20</w:t>
      </w:r>
      <w:r w:rsidR="00D55672" w:rsidRPr="00D55672">
        <w:rPr>
          <w:lang w:val="pl-PL"/>
        </w:rPr>
        <w:t> </w:t>
      </w:r>
      <w:r w:rsidRPr="00D55672">
        <w:rPr>
          <w:lang w:val="pl-PL"/>
        </w:rPr>
        <w:t>r.</w:t>
      </w:r>
      <w:r w:rsidRPr="00FC6D7F">
        <w:rPr>
          <w:lang w:val="pl-PL"/>
        </w:rPr>
        <w:t xml:space="preserve">, Generalstaatsanwaltschaft Berlin/BY, </w:t>
      </w:r>
      <w:hyperlink r:id="rId12" w:history="1">
        <w:r w:rsidRPr="00FC6D7F">
          <w:rPr>
            <w:rStyle w:val="Hyperlink"/>
            <w:lang w:val="pl-PL"/>
          </w:rPr>
          <w:t>C-389/19</w:t>
        </w:r>
      </w:hyperlink>
      <w:r w:rsidRPr="00FC6D7F">
        <w:rPr>
          <w:lang w:val="pl-PL"/>
        </w:rPr>
        <w:t xml:space="preserve">, EU:C:2020:1032, </w:t>
      </w:r>
      <w:r w:rsidRPr="00D55672">
        <w:rPr>
          <w:lang w:val="pl-PL"/>
        </w:rPr>
        <w:t>pkt</w:t>
      </w:r>
      <w:r w:rsidR="00D55672" w:rsidRPr="00D55672">
        <w:rPr>
          <w:lang w:val="pl-PL"/>
        </w:rPr>
        <w:t> </w:t>
      </w:r>
      <w:r w:rsidRPr="00D55672">
        <w:rPr>
          <w:lang w:val="pl-PL"/>
        </w:rPr>
        <w:t>4</w:t>
      </w:r>
      <w:r w:rsidRPr="00FC6D7F">
        <w:rPr>
          <w:lang w:val="pl-PL"/>
        </w:rPr>
        <w:t>3–47.</w:t>
      </w:r>
    </w:p>
  </w:footnote>
  <w:footnote w:id="16">
    <w:p w14:paraId="6E764F63" w14:textId="1A406696"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17 grudnia 20</w:t>
      </w:r>
      <w:r w:rsidRPr="00D55672">
        <w:rPr>
          <w:lang w:val="pl-PL"/>
        </w:rPr>
        <w:t>20</w:t>
      </w:r>
      <w:r w:rsidR="00D55672" w:rsidRPr="00D55672">
        <w:rPr>
          <w:lang w:val="pl-PL"/>
        </w:rPr>
        <w:t> </w:t>
      </w:r>
      <w:r w:rsidRPr="00D55672">
        <w:rPr>
          <w:lang w:val="pl-PL"/>
        </w:rPr>
        <w:t>r.</w:t>
      </w:r>
      <w:r w:rsidRPr="00FC6D7F">
        <w:rPr>
          <w:lang w:val="pl-PL"/>
        </w:rPr>
        <w:t xml:space="preserve">, Generalstaatsanwaltschaft Berlin/BY, C-389/19, EU:C:2020:1032, </w:t>
      </w:r>
      <w:r w:rsidRPr="00D55672">
        <w:rPr>
          <w:lang w:val="pl-PL"/>
        </w:rPr>
        <w:t>pkt</w:t>
      </w:r>
      <w:r w:rsidR="00D55672" w:rsidRPr="00D55672">
        <w:rPr>
          <w:lang w:val="pl-PL"/>
        </w:rPr>
        <w:t> </w:t>
      </w:r>
      <w:r w:rsidRPr="00D55672">
        <w:rPr>
          <w:lang w:val="pl-PL"/>
        </w:rPr>
        <w:t>6</w:t>
      </w:r>
      <w:r w:rsidRPr="00FC6D7F">
        <w:rPr>
          <w:lang w:val="pl-PL"/>
        </w:rPr>
        <w:t>7.</w:t>
      </w:r>
    </w:p>
  </w:footnote>
  <w:footnote w:id="17">
    <w:p w14:paraId="4BD07DED" w14:textId="39EFED98"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(trzecia izba)</w:t>
      </w:r>
      <w:r w:rsidR="00D55672" w:rsidRPr="00FC6D7F">
        <w:rPr>
          <w:lang w:val="pl-PL"/>
        </w:rPr>
        <w:t xml:space="preserve"> z</w:t>
      </w:r>
      <w:r w:rsidR="00D55672">
        <w:rPr>
          <w:lang w:val="pl-PL"/>
        </w:rPr>
        <w:t> </w:t>
      </w:r>
      <w:r w:rsidR="00D55672" w:rsidRPr="00FC6D7F">
        <w:rPr>
          <w:lang w:val="pl-PL"/>
        </w:rPr>
        <w:t>dni</w:t>
      </w:r>
      <w:r w:rsidRPr="00FC6D7F">
        <w:rPr>
          <w:lang w:val="pl-PL"/>
        </w:rPr>
        <w:t>a 10 lutego 20</w:t>
      </w:r>
      <w:r w:rsidRPr="00D55672">
        <w:rPr>
          <w:lang w:val="pl-PL"/>
        </w:rPr>
        <w:t>22</w:t>
      </w:r>
      <w:r w:rsidR="00D55672" w:rsidRPr="00D55672">
        <w:rPr>
          <w:lang w:val="pl-PL"/>
        </w:rPr>
        <w:t> </w:t>
      </w:r>
      <w:r w:rsidRPr="00D55672">
        <w:rPr>
          <w:lang w:val="pl-PL"/>
        </w:rPr>
        <w:t>r.</w:t>
      </w:r>
      <w:r w:rsidRPr="00FC6D7F">
        <w:rPr>
          <w:lang w:val="pl-PL"/>
        </w:rPr>
        <w:t xml:space="preserve">, OE/VY, </w:t>
      </w:r>
      <w:hyperlink r:id="rId13" w:anchor="ctx1" w:history="1">
        <w:r w:rsidRPr="00FC6D7F">
          <w:rPr>
            <w:rStyle w:val="Hyperlink"/>
            <w:lang w:val="pl-PL"/>
          </w:rPr>
          <w:t>C-522/20</w:t>
        </w:r>
      </w:hyperlink>
      <w:r w:rsidRPr="00FC6D7F">
        <w:rPr>
          <w:lang w:val="pl-PL"/>
        </w:rPr>
        <w:t>, EU:C:2022:87.</w:t>
      </w:r>
    </w:p>
  </w:footnote>
  <w:footnote w:id="18">
    <w:p w14:paraId="187BDBC5" w14:textId="763E545F" w:rsidR="003667F7" w:rsidRPr="00FC6D7F" w:rsidRDefault="003667F7" w:rsidP="003667F7">
      <w:pPr>
        <w:pStyle w:val="FootnoteText"/>
        <w:ind w:left="357" w:hanging="357"/>
        <w:jc w:val="both"/>
        <w:rPr>
          <w:rFonts w:eastAsia="Arial" w:cs="Arial"/>
          <w:lang w:val="pl-PL"/>
        </w:rPr>
      </w:pPr>
      <w:r>
        <w:rPr>
          <w:rStyle w:val="FootnoteReference"/>
        </w:rPr>
        <w:footnoteRef/>
      </w:r>
      <w:r w:rsidRPr="00FC6D7F">
        <w:rPr>
          <w:rStyle w:val="FootnoteReference"/>
          <w:lang w:val="pl-PL"/>
        </w:rPr>
        <w:t xml:space="preserve"> </w:t>
      </w:r>
      <w:r w:rsidRPr="00FC6D7F">
        <w:rPr>
          <w:lang w:val="pl-PL"/>
        </w:rPr>
        <w:tab/>
        <w:t xml:space="preserve">Rozporządzenie (WE) </w:t>
      </w:r>
      <w:r w:rsidRPr="00D55672">
        <w:rPr>
          <w:lang w:val="pl-PL"/>
        </w:rPr>
        <w:t>nr</w:t>
      </w:r>
      <w:r w:rsidR="00D55672" w:rsidRPr="00D55672">
        <w:rPr>
          <w:lang w:val="pl-PL"/>
        </w:rPr>
        <w:t> </w:t>
      </w:r>
      <w:r w:rsidRPr="00D55672">
        <w:rPr>
          <w:lang w:val="pl-PL"/>
        </w:rPr>
        <w:t>2</w:t>
      </w:r>
      <w:r w:rsidRPr="00FC6D7F">
        <w:rPr>
          <w:lang w:val="pl-PL"/>
        </w:rPr>
        <w:t>201/2003</w:t>
      </w:r>
      <w:r w:rsidR="00D55672" w:rsidRPr="00FC6D7F">
        <w:rPr>
          <w:lang w:val="pl-PL"/>
        </w:rPr>
        <w:t xml:space="preserve"> z</w:t>
      </w:r>
      <w:r w:rsidR="00D55672">
        <w:rPr>
          <w:lang w:val="pl-PL"/>
        </w:rPr>
        <w:t> </w:t>
      </w:r>
      <w:r w:rsidR="00D55672" w:rsidRPr="00FC6D7F">
        <w:rPr>
          <w:lang w:val="pl-PL"/>
        </w:rPr>
        <w:t>dni</w:t>
      </w:r>
      <w:r w:rsidRPr="00FC6D7F">
        <w:rPr>
          <w:lang w:val="pl-PL"/>
        </w:rPr>
        <w:t>a 27 listopada 20</w:t>
      </w:r>
      <w:r w:rsidRPr="00D55672">
        <w:rPr>
          <w:lang w:val="pl-PL"/>
        </w:rPr>
        <w:t>03</w:t>
      </w:r>
      <w:r w:rsidR="00D55672" w:rsidRPr="00D55672">
        <w:rPr>
          <w:lang w:val="pl-PL"/>
        </w:rPr>
        <w:t> </w:t>
      </w:r>
      <w:r w:rsidRPr="00D55672">
        <w:rPr>
          <w:lang w:val="pl-PL"/>
        </w:rPr>
        <w:t>r.</w:t>
      </w:r>
      <w:r w:rsidRPr="00FC6D7F">
        <w:rPr>
          <w:lang w:val="pl-PL"/>
        </w:rPr>
        <w:t xml:space="preserve"> dotyczące jurysdykcji oraz uznawania</w:t>
      </w:r>
      <w:r w:rsidR="00D55672" w:rsidRPr="00FC6D7F">
        <w:rPr>
          <w:lang w:val="pl-PL"/>
        </w:rPr>
        <w:t xml:space="preserve"> i</w:t>
      </w:r>
      <w:r w:rsidR="00D55672">
        <w:rPr>
          <w:lang w:val="pl-PL"/>
        </w:rPr>
        <w:t> </w:t>
      </w:r>
      <w:r w:rsidR="00D55672" w:rsidRPr="00FC6D7F">
        <w:rPr>
          <w:lang w:val="pl-PL"/>
        </w:rPr>
        <w:t>wyk</w:t>
      </w:r>
      <w:r w:rsidRPr="00FC6D7F">
        <w:rPr>
          <w:lang w:val="pl-PL"/>
        </w:rPr>
        <w:t>onywania orzeczeń</w:t>
      </w:r>
      <w:r w:rsidR="00D55672" w:rsidRPr="00FC6D7F">
        <w:rPr>
          <w:lang w:val="pl-PL"/>
        </w:rPr>
        <w:t xml:space="preserve"> w</w:t>
      </w:r>
      <w:r w:rsidR="00D55672">
        <w:rPr>
          <w:lang w:val="pl-PL"/>
        </w:rPr>
        <w:t> </w:t>
      </w:r>
      <w:r w:rsidR="00D55672" w:rsidRPr="00FC6D7F">
        <w:rPr>
          <w:lang w:val="pl-PL"/>
        </w:rPr>
        <w:t>spr</w:t>
      </w:r>
      <w:r w:rsidRPr="00FC6D7F">
        <w:rPr>
          <w:lang w:val="pl-PL"/>
        </w:rPr>
        <w:t>awach małżeńskich oraz</w:t>
      </w:r>
      <w:r w:rsidR="00D55672" w:rsidRPr="00FC6D7F">
        <w:rPr>
          <w:lang w:val="pl-PL"/>
        </w:rPr>
        <w:t xml:space="preserve"> w</w:t>
      </w:r>
      <w:r w:rsidR="00D55672">
        <w:rPr>
          <w:lang w:val="pl-PL"/>
        </w:rPr>
        <w:t> </w:t>
      </w:r>
      <w:r w:rsidR="00D55672" w:rsidRPr="00FC6D7F">
        <w:rPr>
          <w:lang w:val="pl-PL"/>
        </w:rPr>
        <w:t>spr</w:t>
      </w:r>
      <w:r w:rsidRPr="00FC6D7F">
        <w:rPr>
          <w:lang w:val="pl-PL"/>
        </w:rPr>
        <w:t xml:space="preserve">awach dotyczących odpowiedzialności rodzicielskiej, uchylające rozporządzenie (WE) </w:t>
      </w:r>
      <w:r w:rsidRPr="00D55672">
        <w:rPr>
          <w:lang w:val="pl-PL"/>
        </w:rPr>
        <w:t>nr</w:t>
      </w:r>
      <w:r w:rsidR="00D55672" w:rsidRPr="00D55672">
        <w:rPr>
          <w:lang w:val="pl-PL"/>
        </w:rPr>
        <w:t> </w:t>
      </w:r>
      <w:r w:rsidRPr="00D55672">
        <w:rPr>
          <w:lang w:val="pl-PL"/>
        </w:rPr>
        <w:t>1</w:t>
      </w:r>
      <w:r w:rsidRPr="00FC6D7F">
        <w:rPr>
          <w:lang w:val="pl-PL"/>
        </w:rPr>
        <w:t>347/2000 (Dz.U. L 338</w:t>
      </w:r>
      <w:r w:rsidR="00D55672" w:rsidRPr="00FC6D7F">
        <w:rPr>
          <w:lang w:val="pl-PL"/>
        </w:rPr>
        <w:t xml:space="preserve"> z</w:t>
      </w:r>
      <w:r w:rsidR="00D55672">
        <w:rPr>
          <w:lang w:val="pl-PL"/>
        </w:rPr>
        <w:t> </w:t>
      </w:r>
      <w:r w:rsidR="00D55672" w:rsidRPr="00FC6D7F">
        <w:rPr>
          <w:lang w:val="pl-PL"/>
        </w:rPr>
        <w:t>2</w:t>
      </w:r>
      <w:r w:rsidRPr="00FC6D7F">
        <w:rPr>
          <w:lang w:val="pl-PL"/>
        </w:rPr>
        <w:t>3.12.2003, s. 1).</w:t>
      </w:r>
    </w:p>
  </w:footnote>
  <w:footnote w:id="19">
    <w:p w14:paraId="62AAD2E8" w14:textId="433D848A"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(trzecia izba)</w:t>
      </w:r>
      <w:r w:rsidR="00D55672" w:rsidRPr="00FC6D7F">
        <w:rPr>
          <w:lang w:val="pl-PL"/>
        </w:rPr>
        <w:t xml:space="preserve"> z</w:t>
      </w:r>
      <w:r w:rsidR="00D55672">
        <w:rPr>
          <w:lang w:val="pl-PL"/>
        </w:rPr>
        <w:t> </w:t>
      </w:r>
      <w:r w:rsidR="00D55672" w:rsidRPr="00FC6D7F">
        <w:rPr>
          <w:lang w:val="pl-PL"/>
        </w:rPr>
        <w:t>dni</w:t>
      </w:r>
      <w:r w:rsidRPr="00FC6D7F">
        <w:rPr>
          <w:lang w:val="pl-PL"/>
        </w:rPr>
        <w:t>a 10 lutego 20</w:t>
      </w:r>
      <w:r w:rsidRPr="00D55672">
        <w:rPr>
          <w:lang w:val="pl-PL"/>
        </w:rPr>
        <w:t>22</w:t>
      </w:r>
      <w:r w:rsidR="00D55672" w:rsidRPr="00D55672">
        <w:rPr>
          <w:lang w:val="pl-PL"/>
        </w:rPr>
        <w:t> </w:t>
      </w:r>
      <w:r w:rsidRPr="00D55672">
        <w:rPr>
          <w:lang w:val="pl-PL"/>
        </w:rPr>
        <w:t>r.</w:t>
      </w:r>
      <w:r w:rsidRPr="00FC6D7F">
        <w:rPr>
          <w:lang w:val="pl-PL"/>
        </w:rPr>
        <w:t xml:space="preserve">, OE/VY, </w:t>
      </w:r>
      <w:hyperlink r:id="rId14" w:anchor="ctx1" w:history="1">
        <w:r w:rsidRPr="00FC6D7F">
          <w:rPr>
            <w:rStyle w:val="Hyperlink"/>
            <w:lang w:val="pl-PL"/>
          </w:rPr>
          <w:t>C-522/20</w:t>
        </w:r>
      </w:hyperlink>
      <w:r w:rsidRPr="00FC6D7F">
        <w:rPr>
          <w:lang w:val="pl-PL"/>
        </w:rPr>
        <w:t xml:space="preserve">, EU:C:2022:87, </w:t>
      </w:r>
      <w:r w:rsidRPr="00D55672">
        <w:rPr>
          <w:lang w:val="pl-PL"/>
        </w:rPr>
        <w:t>pkt</w:t>
      </w:r>
      <w:r w:rsidR="00D55672" w:rsidRPr="00D55672">
        <w:rPr>
          <w:lang w:val="pl-PL"/>
        </w:rPr>
        <w:t> </w:t>
      </w:r>
      <w:r w:rsidRPr="00D55672">
        <w:rPr>
          <w:lang w:val="pl-PL"/>
        </w:rPr>
        <w:t>1</w:t>
      </w:r>
      <w:r w:rsidRPr="00FC6D7F">
        <w:rPr>
          <w:lang w:val="pl-PL"/>
        </w:rPr>
        <w:t>9–21.</w:t>
      </w:r>
    </w:p>
  </w:footnote>
  <w:footnote w:id="20">
    <w:p w14:paraId="4E69ECEA" w14:textId="068ECDCF"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(trzecia izba)</w:t>
      </w:r>
      <w:r w:rsidR="00D55672" w:rsidRPr="00FC6D7F">
        <w:rPr>
          <w:lang w:val="pl-PL"/>
        </w:rPr>
        <w:t xml:space="preserve"> z</w:t>
      </w:r>
      <w:r w:rsidR="00D55672">
        <w:rPr>
          <w:lang w:val="pl-PL"/>
        </w:rPr>
        <w:t> </w:t>
      </w:r>
      <w:r w:rsidR="00D55672" w:rsidRPr="00FC6D7F">
        <w:rPr>
          <w:lang w:val="pl-PL"/>
        </w:rPr>
        <w:t>dni</w:t>
      </w:r>
      <w:r w:rsidRPr="00FC6D7F">
        <w:rPr>
          <w:lang w:val="pl-PL"/>
        </w:rPr>
        <w:t>a 10 lutego 20</w:t>
      </w:r>
      <w:r w:rsidRPr="00D55672">
        <w:rPr>
          <w:lang w:val="pl-PL"/>
        </w:rPr>
        <w:t>22</w:t>
      </w:r>
      <w:r w:rsidR="00D55672" w:rsidRPr="00D55672">
        <w:rPr>
          <w:lang w:val="pl-PL"/>
        </w:rPr>
        <w:t> </w:t>
      </w:r>
      <w:r w:rsidRPr="00D55672">
        <w:rPr>
          <w:lang w:val="pl-PL"/>
        </w:rPr>
        <w:t>r.</w:t>
      </w:r>
      <w:r w:rsidRPr="00FC6D7F">
        <w:rPr>
          <w:lang w:val="pl-PL"/>
        </w:rPr>
        <w:t xml:space="preserve">, OE/VY, </w:t>
      </w:r>
      <w:hyperlink r:id="rId15" w:anchor="ctx1" w:history="1">
        <w:r w:rsidRPr="00FC6D7F">
          <w:rPr>
            <w:rStyle w:val="Hyperlink"/>
            <w:lang w:val="pl-PL"/>
          </w:rPr>
          <w:t>C-522/20</w:t>
        </w:r>
      </w:hyperlink>
      <w:r w:rsidRPr="00FC6D7F">
        <w:rPr>
          <w:lang w:val="pl-PL"/>
        </w:rPr>
        <w:t xml:space="preserve">, EU:C:2022:87, </w:t>
      </w:r>
      <w:r w:rsidRPr="00D55672">
        <w:rPr>
          <w:lang w:val="pl-PL"/>
        </w:rPr>
        <w:t>pkt</w:t>
      </w:r>
      <w:r w:rsidR="00D55672" w:rsidRPr="00D55672">
        <w:rPr>
          <w:lang w:val="pl-PL"/>
        </w:rPr>
        <w:t> </w:t>
      </w:r>
      <w:r w:rsidRPr="00D55672">
        <w:rPr>
          <w:lang w:val="pl-PL"/>
        </w:rPr>
        <w:t>3</w:t>
      </w:r>
      <w:r w:rsidRPr="00FC6D7F">
        <w:rPr>
          <w:lang w:val="pl-PL"/>
        </w:rPr>
        <w:t>8–44.</w:t>
      </w:r>
    </w:p>
  </w:footnote>
  <w:footnote w:id="21">
    <w:p w14:paraId="50B2B6A8" w14:textId="1E26D543"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(trzecia izba)</w:t>
      </w:r>
      <w:r w:rsidR="00D55672" w:rsidRPr="00FC6D7F">
        <w:rPr>
          <w:lang w:val="pl-PL"/>
        </w:rPr>
        <w:t xml:space="preserve"> z</w:t>
      </w:r>
      <w:r w:rsidR="00D55672">
        <w:rPr>
          <w:lang w:val="pl-PL"/>
        </w:rPr>
        <w:t> </w:t>
      </w:r>
      <w:r w:rsidR="00D55672" w:rsidRPr="00FC6D7F">
        <w:rPr>
          <w:lang w:val="pl-PL"/>
        </w:rPr>
        <w:t>dni</w:t>
      </w:r>
      <w:r w:rsidRPr="00FC6D7F">
        <w:rPr>
          <w:lang w:val="pl-PL"/>
        </w:rPr>
        <w:t>a 10 lutego 20</w:t>
      </w:r>
      <w:r w:rsidRPr="00D55672">
        <w:rPr>
          <w:lang w:val="pl-PL"/>
        </w:rPr>
        <w:t>22</w:t>
      </w:r>
      <w:r w:rsidR="00D55672" w:rsidRPr="00D55672">
        <w:rPr>
          <w:lang w:val="pl-PL"/>
        </w:rPr>
        <w:t> </w:t>
      </w:r>
      <w:r w:rsidRPr="00D55672">
        <w:rPr>
          <w:lang w:val="pl-PL"/>
        </w:rPr>
        <w:t>r.</w:t>
      </w:r>
      <w:r w:rsidRPr="00FC6D7F">
        <w:rPr>
          <w:lang w:val="pl-PL"/>
        </w:rPr>
        <w:t xml:space="preserve">, OE/VY, </w:t>
      </w:r>
      <w:hyperlink r:id="rId16" w:anchor="ctx1" w:history="1">
        <w:r w:rsidRPr="00FC6D7F">
          <w:rPr>
            <w:rStyle w:val="Hyperlink"/>
            <w:lang w:val="pl-PL"/>
          </w:rPr>
          <w:t>C-522/20</w:t>
        </w:r>
      </w:hyperlink>
      <w:r w:rsidRPr="00FC6D7F">
        <w:rPr>
          <w:lang w:val="pl-PL"/>
        </w:rPr>
        <w:t xml:space="preserve">, EU:C:2022:87, </w:t>
      </w:r>
      <w:r w:rsidRPr="00D55672">
        <w:rPr>
          <w:lang w:val="pl-PL"/>
        </w:rPr>
        <w:t>pkt</w:t>
      </w:r>
      <w:r w:rsidR="00D55672" w:rsidRPr="00D55672">
        <w:rPr>
          <w:lang w:val="pl-PL"/>
        </w:rPr>
        <w:t> </w:t>
      </w:r>
      <w:r w:rsidRPr="00D55672">
        <w:rPr>
          <w:lang w:val="pl-PL"/>
        </w:rPr>
        <w:t>3</w:t>
      </w:r>
      <w:r w:rsidRPr="00FC6D7F">
        <w:rPr>
          <w:lang w:val="pl-PL"/>
        </w:rPr>
        <w:t>1.</w:t>
      </w:r>
    </w:p>
  </w:footnote>
  <w:footnote w:id="22">
    <w:p w14:paraId="73162937" w14:textId="23B34E1C" w:rsidR="003667F7" w:rsidRPr="00FC6D7F" w:rsidRDefault="003667F7" w:rsidP="003667F7">
      <w:pPr>
        <w:pStyle w:val="FootnoteText"/>
        <w:ind w:left="357" w:hanging="357"/>
        <w:jc w:val="both"/>
        <w:rPr>
          <w:rFonts w:cs="Arial"/>
          <w:lang w:val="pl-PL"/>
        </w:rPr>
      </w:pPr>
      <w:r>
        <w:rPr>
          <w:rStyle w:val="FootnoteReference"/>
        </w:rPr>
        <w:footnoteRef/>
      </w:r>
      <w:r w:rsidRPr="00FC6D7F">
        <w:rPr>
          <w:lang w:val="pl-PL"/>
        </w:rPr>
        <w:t xml:space="preserve"> </w:t>
      </w:r>
      <w:r w:rsidRPr="00FC6D7F">
        <w:rPr>
          <w:lang w:val="pl-PL"/>
        </w:rPr>
        <w:tab/>
        <w:t>Wyrok Trybunału (druga izba)</w:t>
      </w:r>
      <w:r w:rsidR="00D55672" w:rsidRPr="00FC6D7F">
        <w:rPr>
          <w:lang w:val="pl-PL"/>
        </w:rPr>
        <w:t xml:space="preserve"> z</w:t>
      </w:r>
      <w:r w:rsidR="00D55672">
        <w:rPr>
          <w:lang w:val="pl-PL"/>
        </w:rPr>
        <w:t> </w:t>
      </w:r>
      <w:r w:rsidR="00D55672" w:rsidRPr="00FC6D7F">
        <w:rPr>
          <w:lang w:val="pl-PL"/>
        </w:rPr>
        <w:t>dni</w:t>
      </w:r>
      <w:r w:rsidRPr="00FC6D7F">
        <w:rPr>
          <w:lang w:val="pl-PL"/>
        </w:rPr>
        <w:t>a 13 października 20</w:t>
      </w:r>
      <w:r w:rsidRPr="00D55672">
        <w:rPr>
          <w:lang w:val="pl-PL"/>
        </w:rPr>
        <w:t>22</w:t>
      </w:r>
      <w:r w:rsidR="00D55672" w:rsidRPr="00D55672">
        <w:rPr>
          <w:lang w:val="pl-PL"/>
        </w:rPr>
        <w:t> </w:t>
      </w:r>
      <w:r w:rsidRPr="00D55672">
        <w:rPr>
          <w:lang w:val="pl-PL"/>
        </w:rPr>
        <w:t>r.</w:t>
      </w:r>
      <w:r w:rsidRPr="00FC6D7F">
        <w:rPr>
          <w:lang w:val="pl-PL"/>
        </w:rPr>
        <w:t xml:space="preserve">, L.F./S.C.R.L., </w:t>
      </w:r>
      <w:hyperlink r:id="rId17" w:history="1">
        <w:r w:rsidRPr="00FC6D7F">
          <w:rPr>
            <w:rStyle w:val="Hyperlink"/>
            <w:lang w:val="pl-PL"/>
          </w:rPr>
          <w:t>C-344/20</w:t>
        </w:r>
      </w:hyperlink>
      <w:r w:rsidRPr="00FC6D7F">
        <w:rPr>
          <w:lang w:val="pl-PL"/>
        </w:rPr>
        <w:t xml:space="preserve">, EU:C:2022:774, </w:t>
      </w:r>
      <w:r w:rsidRPr="00D55672">
        <w:rPr>
          <w:lang w:val="pl-PL"/>
        </w:rPr>
        <w:t>pkt</w:t>
      </w:r>
      <w:r w:rsidR="00D55672" w:rsidRPr="00D55672">
        <w:rPr>
          <w:lang w:val="pl-PL"/>
        </w:rPr>
        <w:t> </w:t>
      </w:r>
      <w:r w:rsidRPr="00D55672">
        <w:rPr>
          <w:lang w:val="pl-PL"/>
        </w:rPr>
        <w:t>3</w:t>
      </w:r>
      <w:r w:rsidRPr="00FC6D7F">
        <w:rPr>
          <w:lang w:val="pl-PL"/>
        </w:rPr>
        <w:t>3. Zob. również wyrok</w:t>
      </w:r>
      <w:r w:rsidR="00D55672" w:rsidRPr="00FC6D7F">
        <w:rPr>
          <w:lang w:val="pl-PL"/>
        </w:rPr>
        <w:t xml:space="preserve"> z</w:t>
      </w:r>
      <w:r w:rsidR="00D55672">
        <w:rPr>
          <w:lang w:val="pl-PL"/>
        </w:rPr>
        <w:t> </w:t>
      </w:r>
      <w:r w:rsidR="00D55672" w:rsidRPr="00FC6D7F">
        <w:rPr>
          <w:lang w:val="pl-PL"/>
        </w:rPr>
        <w:t>dni</w:t>
      </w:r>
      <w:r w:rsidRPr="00FC6D7F">
        <w:rPr>
          <w:lang w:val="pl-PL"/>
        </w:rPr>
        <w:t>a 14 marca 20</w:t>
      </w:r>
      <w:r w:rsidRPr="00D55672">
        <w:rPr>
          <w:lang w:val="pl-PL"/>
        </w:rPr>
        <w:t>17</w:t>
      </w:r>
      <w:r w:rsidR="00D55672" w:rsidRPr="00D55672">
        <w:rPr>
          <w:lang w:val="pl-PL"/>
        </w:rPr>
        <w:t> </w:t>
      </w:r>
      <w:r w:rsidRPr="00D55672">
        <w:rPr>
          <w:lang w:val="pl-PL"/>
        </w:rPr>
        <w:t>r.</w:t>
      </w:r>
      <w:r w:rsidRPr="00FC6D7F">
        <w:rPr>
          <w:lang w:val="pl-PL"/>
        </w:rPr>
        <w:t xml:space="preserve">, G4S Secure Solutions, </w:t>
      </w:r>
      <w:hyperlink r:id="rId18" w:history="1">
        <w:r w:rsidRPr="00FC6D7F">
          <w:rPr>
            <w:rStyle w:val="Hyperlink"/>
            <w:lang w:val="pl-PL"/>
          </w:rPr>
          <w:t>C</w:t>
        </w:r>
        <w:r w:rsidRPr="00FC6D7F">
          <w:rPr>
            <w:rStyle w:val="Hyperlink"/>
            <w:rFonts w:ascii="Cambria Math" w:hAnsi="Cambria Math"/>
            <w:lang w:val="pl-PL"/>
          </w:rPr>
          <w:t>-</w:t>
        </w:r>
        <w:r w:rsidRPr="00FC6D7F">
          <w:rPr>
            <w:rStyle w:val="Hyperlink"/>
            <w:lang w:val="pl-PL"/>
          </w:rPr>
          <w:t>157/15</w:t>
        </w:r>
      </w:hyperlink>
      <w:r w:rsidRPr="00FC6D7F">
        <w:rPr>
          <w:lang w:val="pl-PL"/>
        </w:rPr>
        <w:t xml:space="preserve">, EU:C:2017:203, </w:t>
      </w:r>
      <w:r w:rsidRPr="00D55672">
        <w:rPr>
          <w:lang w:val="pl-PL"/>
        </w:rPr>
        <w:t>pkt</w:t>
      </w:r>
      <w:r w:rsidR="00D55672" w:rsidRPr="00D55672">
        <w:rPr>
          <w:lang w:val="pl-PL"/>
        </w:rPr>
        <w:t> </w:t>
      </w:r>
      <w:r w:rsidRPr="00D55672">
        <w:rPr>
          <w:lang w:val="pl-PL"/>
        </w:rPr>
        <w:t>3</w:t>
      </w:r>
      <w:r w:rsidRPr="00FC6D7F">
        <w:rPr>
          <w:lang w:val="pl-PL"/>
        </w:rPr>
        <w:t>0</w:t>
      </w:r>
      <w:r w:rsidR="00D55672" w:rsidRPr="00FC6D7F">
        <w:rPr>
          <w:lang w:val="pl-PL"/>
        </w:rPr>
        <w:t xml:space="preserve"> i</w:t>
      </w:r>
      <w:r w:rsidR="00D55672">
        <w:rPr>
          <w:lang w:val="pl-PL"/>
        </w:rPr>
        <w:t> </w:t>
      </w:r>
      <w:r w:rsidR="00D55672" w:rsidRPr="00FC6D7F">
        <w:rPr>
          <w:lang w:val="pl-PL"/>
        </w:rPr>
        <w:t>3</w:t>
      </w:r>
      <w:r w:rsidRPr="00FC6D7F">
        <w:rPr>
          <w:lang w:val="pl-PL"/>
        </w:rPr>
        <w:t>2.</w:t>
      </w:r>
    </w:p>
  </w:footnote>
  <w:footnote w:id="23">
    <w:p w14:paraId="3438092F" w14:textId="77777777"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r>
      <w:hyperlink r:id="rId19" w:anchor=":~:text=Judgment%20of%20the%20Court%20of%20Justice%20in%20Case,all%20workers%20in%20a%20general%20and%20undifferentiated%20way" w:history="1">
        <w:r w:rsidRPr="00FC6D7F">
          <w:rPr>
            <w:rStyle w:val="Hyperlink"/>
            <w:lang w:val="pl-PL"/>
          </w:rPr>
          <w:t>Zob. komunikat prasowy</w:t>
        </w:r>
      </w:hyperlink>
      <w:r w:rsidRPr="00FC6D7F">
        <w:rPr>
          <w:lang w:val="pl-PL"/>
        </w:rPr>
        <w:t xml:space="preserve">. </w:t>
      </w:r>
    </w:p>
  </w:footnote>
  <w:footnote w:id="24">
    <w:p w14:paraId="64C5209F" w14:textId="23269E8E"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Dyrektywa 2000/78/WE</w:t>
      </w:r>
      <w:r w:rsidR="00D55672" w:rsidRPr="00FC6D7F">
        <w:rPr>
          <w:lang w:val="pl-PL"/>
        </w:rPr>
        <w:t xml:space="preserve"> z</w:t>
      </w:r>
      <w:r w:rsidR="00D55672">
        <w:rPr>
          <w:lang w:val="pl-PL"/>
        </w:rPr>
        <w:t> </w:t>
      </w:r>
      <w:r w:rsidR="00D55672" w:rsidRPr="00FC6D7F">
        <w:rPr>
          <w:lang w:val="pl-PL"/>
        </w:rPr>
        <w:t>dni</w:t>
      </w:r>
      <w:r w:rsidRPr="00FC6D7F">
        <w:rPr>
          <w:lang w:val="pl-PL"/>
        </w:rPr>
        <w:t>a 27 listopada 20</w:t>
      </w:r>
      <w:r w:rsidRPr="00D55672">
        <w:rPr>
          <w:lang w:val="pl-PL"/>
        </w:rPr>
        <w:t>00</w:t>
      </w:r>
      <w:r w:rsidR="00D55672" w:rsidRPr="00D55672">
        <w:rPr>
          <w:lang w:val="pl-PL"/>
        </w:rPr>
        <w:t> </w:t>
      </w:r>
      <w:r w:rsidRPr="00D55672">
        <w:rPr>
          <w:lang w:val="pl-PL"/>
        </w:rPr>
        <w:t>r.</w:t>
      </w:r>
      <w:r w:rsidRPr="00FC6D7F">
        <w:rPr>
          <w:lang w:val="pl-PL"/>
        </w:rPr>
        <w:t xml:space="preserve"> ustanawiająca ogólne warunki ramowe równego traktowania</w:t>
      </w:r>
      <w:r w:rsidR="00D55672" w:rsidRPr="00FC6D7F">
        <w:rPr>
          <w:lang w:val="pl-PL"/>
        </w:rPr>
        <w:t xml:space="preserve"> w</w:t>
      </w:r>
      <w:r w:rsidR="00D55672">
        <w:rPr>
          <w:lang w:val="pl-PL"/>
        </w:rPr>
        <w:t> </w:t>
      </w:r>
      <w:r w:rsidR="00D55672" w:rsidRPr="00FC6D7F">
        <w:rPr>
          <w:lang w:val="pl-PL"/>
        </w:rPr>
        <w:t>zak</w:t>
      </w:r>
      <w:r w:rsidRPr="00FC6D7F">
        <w:rPr>
          <w:lang w:val="pl-PL"/>
        </w:rPr>
        <w:t>resie zatrudnienia</w:t>
      </w:r>
      <w:r w:rsidR="00D55672" w:rsidRPr="00FC6D7F">
        <w:rPr>
          <w:lang w:val="pl-PL"/>
        </w:rPr>
        <w:t xml:space="preserve"> i</w:t>
      </w:r>
      <w:r w:rsidR="00D55672">
        <w:rPr>
          <w:lang w:val="pl-PL"/>
        </w:rPr>
        <w:t> </w:t>
      </w:r>
      <w:r w:rsidR="00D55672" w:rsidRPr="00FC6D7F">
        <w:rPr>
          <w:lang w:val="pl-PL"/>
        </w:rPr>
        <w:t>pra</w:t>
      </w:r>
      <w:r w:rsidRPr="00FC6D7F">
        <w:rPr>
          <w:lang w:val="pl-PL"/>
        </w:rPr>
        <w:t>cy.</w:t>
      </w:r>
    </w:p>
  </w:footnote>
  <w:footnote w:id="25">
    <w:p w14:paraId="798157B6" w14:textId="3B0E881F"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(druga izba)</w:t>
      </w:r>
      <w:r w:rsidR="00D55672" w:rsidRPr="00FC6D7F">
        <w:rPr>
          <w:lang w:val="pl-PL"/>
        </w:rPr>
        <w:t xml:space="preserve"> z</w:t>
      </w:r>
      <w:r w:rsidR="00D55672">
        <w:rPr>
          <w:lang w:val="pl-PL"/>
        </w:rPr>
        <w:t> </w:t>
      </w:r>
      <w:r w:rsidR="00D55672" w:rsidRPr="00FC6D7F">
        <w:rPr>
          <w:lang w:val="pl-PL"/>
        </w:rPr>
        <w:t>dni</w:t>
      </w:r>
      <w:r w:rsidRPr="00FC6D7F">
        <w:rPr>
          <w:lang w:val="pl-PL"/>
        </w:rPr>
        <w:t>a 13 października 20</w:t>
      </w:r>
      <w:r w:rsidRPr="00D55672">
        <w:rPr>
          <w:lang w:val="pl-PL"/>
        </w:rPr>
        <w:t>22</w:t>
      </w:r>
      <w:r w:rsidR="00D55672" w:rsidRPr="00D55672">
        <w:rPr>
          <w:lang w:val="pl-PL"/>
        </w:rPr>
        <w:t> </w:t>
      </w:r>
      <w:r w:rsidRPr="00D55672">
        <w:rPr>
          <w:lang w:val="pl-PL"/>
        </w:rPr>
        <w:t>r.</w:t>
      </w:r>
      <w:r w:rsidRPr="00FC6D7F">
        <w:rPr>
          <w:lang w:val="pl-PL"/>
        </w:rPr>
        <w:t xml:space="preserve">, L.F./S.C.R.L., C-344/20, EU:C:2022:774, </w:t>
      </w:r>
      <w:r w:rsidRPr="00D55672">
        <w:rPr>
          <w:lang w:val="pl-PL"/>
        </w:rPr>
        <w:t>pkt</w:t>
      </w:r>
      <w:r w:rsidR="00D55672" w:rsidRPr="00D55672">
        <w:rPr>
          <w:lang w:val="pl-PL"/>
        </w:rPr>
        <w:t> </w:t>
      </w:r>
      <w:r w:rsidRPr="00D55672">
        <w:rPr>
          <w:lang w:val="pl-PL"/>
        </w:rPr>
        <w:t>2</w:t>
      </w:r>
      <w:r w:rsidRPr="00FC6D7F">
        <w:rPr>
          <w:lang w:val="pl-PL"/>
        </w:rPr>
        <w:t xml:space="preserve">5. </w:t>
      </w:r>
    </w:p>
  </w:footnote>
  <w:footnote w:id="26">
    <w:p w14:paraId="720EED28" w14:textId="2AAAC0F3"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15 lipca 20</w:t>
      </w:r>
      <w:r w:rsidRPr="00D55672">
        <w:rPr>
          <w:lang w:val="pl-PL"/>
        </w:rPr>
        <w:t>21</w:t>
      </w:r>
      <w:r w:rsidR="00D55672" w:rsidRPr="00D55672">
        <w:rPr>
          <w:lang w:val="pl-PL"/>
        </w:rPr>
        <w:t> </w:t>
      </w:r>
      <w:r w:rsidRPr="00D55672">
        <w:rPr>
          <w:lang w:val="pl-PL"/>
        </w:rPr>
        <w:t>r.</w:t>
      </w:r>
      <w:r w:rsidRPr="00FC6D7F">
        <w:rPr>
          <w:lang w:val="pl-PL"/>
        </w:rPr>
        <w:t xml:space="preserve">, IX/WABE eV i MH Müller Handels GmbH/MJ, </w:t>
      </w:r>
      <w:hyperlink r:id="rId20" w:history="1">
        <w:r w:rsidRPr="00FC6D7F">
          <w:rPr>
            <w:rStyle w:val="Hyperlink"/>
            <w:lang w:val="pl-PL"/>
          </w:rPr>
          <w:t>sprawy połączone C</w:t>
        </w:r>
        <w:r w:rsidRPr="00FC6D7F">
          <w:rPr>
            <w:rStyle w:val="Hyperlink"/>
            <w:rFonts w:ascii="Cambria Math" w:hAnsi="Cambria Math"/>
            <w:lang w:val="pl-PL"/>
          </w:rPr>
          <w:t>-</w:t>
        </w:r>
        <w:r w:rsidRPr="00FC6D7F">
          <w:rPr>
            <w:rStyle w:val="Hyperlink"/>
            <w:lang w:val="pl-PL"/>
          </w:rPr>
          <w:t>804/18 i C</w:t>
        </w:r>
        <w:r w:rsidRPr="00FC6D7F">
          <w:rPr>
            <w:rStyle w:val="Hyperlink"/>
            <w:rFonts w:ascii="Cambria Math" w:hAnsi="Cambria Math"/>
            <w:lang w:val="pl-PL"/>
          </w:rPr>
          <w:t>-</w:t>
        </w:r>
        <w:r w:rsidRPr="00FC6D7F">
          <w:rPr>
            <w:rStyle w:val="Hyperlink"/>
            <w:lang w:val="pl-PL"/>
          </w:rPr>
          <w:t>341/19</w:t>
        </w:r>
      </w:hyperlink>
      <w:r w:rsidRPr="00FC6D7F">
        <w:rPr>
          <w:lang w:val="pl-PL"/>
        </w:rPr>
        <w:t xml:space="preserve">, EU:C:2021:594, </w:t>
      </w:r>
      <w:r w:rsidRPr="00D55672">
        <w:rPr>
          <w:lang w:val="pl-PL"/>
        </w:rPr>
        <w:t>pkt</w:t>
      </w:r>
      <w:r w:rsidR="00D55672" w:rsidRPr="00D55672">
        <w:rPr>
          <w:lang w:val="pl-PL"/>
        </w:rPr>
        <w:t> </w:t>
      </w:r>
      <w:r w:rsidRPr="00D55672">
        <w:rPr>
          <w:lang w:val="pl-PL"/>
        </w:rPr>
        <w:t>5</w:t>
      </w:r>
      <w:r w:rsidRPr="00FC6D7F">
        <w:rPr>
          <w:lang w:val="pl-PL"/>
        </w:rPr>
        <w:t>2.</w:t>
      </w:r>
    </w:p>
  </w:footnote>
  <w:footnote w:id="27">
    <w:p w14:paraId="41AD041A" w14:textId="7E0E958E"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15 lipca 20</w:t>
      </w:r>
      <w:r w:rsidRPr="00D55672">
        <w:rPr>
          <w:lang w:val="pl-PL"/>
        </w:rPr>
        <w:t>21</w:t>
      </w:r>
      <w:r w:rsidR="00D55672" w:rsidRPr="00D55672">
        <w:rPr>
          <w:lang w:val="pl-PL"/>
        </w:rPr>
        <w:t> </w:t>
      </w:r>
      <w:r w:rsidRPr="00D55672">
        <w:rPr>
          <w:lang w:val="pl-PL"/>
        </w:rPr>
        <w:t>r.</w:t>
      </w:r>
      <w:r w:rsidRPr="00FC6D7F">
        <w:rPr>
          <w:lang w:val="pl-PL"/>
        </w:rPr>
        <w:t>, IX/WABE eV i MH Müller Handels GmbH/MJ, sprawy połączone C</w:t>
      </w:r>
      <w:r w:rsidRPr="00FC6D7F">
        <w:rPr>
          <w:rFonts w:ascii="Cambria Math" w:hAnsi="Cambria Math"/>
          <w:lang w:val="pl-PL"/>
        </w:rPr>
        <w:t>-</w:t>
      </w:r>
      <w:r w:rsidRPr="00FC6D7F">
        <w:rPr>
          <w:lang w:val="pl-PL"/>
        </w:rPr>
        <w:t>804/18 i C</w:t>
      </w:r>
      <w:r w:rsidRPr="00FC6D7F">
        <w:rPr>
          <w:rFonts w:ascii="Cambria Math" w:hAnsi="Cambria Math"/>
          <w:lang w:val="pl-PL"/>
        </w:rPr>
        <w:t>-</w:t>
      </w:r>
      <w:r w:rsidRPr="00FC6D7F">
        <w:rPr>
          <w:lang w:val="pl-PL"/>
        </w:rPr>
        <w:t xml:space="preserve">341/19, EU:C:2021:594, </w:t>
      </w:r>
      <w:r w:rsidRPr="00D55672">
        <w:rPr>
          <w:lang w:val="pl-PL"/>
        </w:rPr>
        <w:t>pkt</w:t>
      </w:r>
      <w:r w:rsidR="00D55672" w:rsidRPr="00D55672">
        <w:rPr>
          <w:lang w:val="pl-PL"/>
        </w:rPr>
        <w:t> </w:t>
      </w:r>
      <w:r w:rsidRPr="00D55672">
        <w:rPr>
          <w:lang w:val="pl-PL"/>
        </w:rPr>
        <w:t>4</w:t>
      </w:r>
      <w:r w:rsidRPr="00FC6D7F">
        <w:rPr>
          <w:lang w:val="pl-PL"/>
        </w:rPr>
        <w:t>4.</w:t>
      </w:r>
    </w:p>
  </w:footnote>
  <w:footnote w:id="28">
    <w:p w14:paraId="25833AEE" w14:textId="28C0FF47"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Zob.: 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15 lipca 20</w:t>
      </w:r>
      <w:r w:rsidRPr="00D55672">
        <w:rPr>
          <w:lang w:val="pl-PL"/>
        </w:rPr>
        <w:t>21</w:t>
      </w:r>
      <w:r w:rsidR="00D55672" w:rsidRPr="00D55672">
        <w:rPr>
          <w:lang w:val="pl-PL"/>
        </w:rPr>
        <w:t> </w:t>
      </w:r>
      <w:r w:rsidRPr="00D55672">
        <w:rPr>
          <w:lang w:val="pl-PL"/>
        </w:rPr>
        <w:t>r.</w:t>
      </w:r>
      <w:r w:rsidRPr="00FC6D7F">
        <w:rPr>
          <w:lang w:val="pl-PL"/>
        </w:rPr>
        <w:t xml:space="preserve">, IX/WABE eV i MH Müller Handels GmbH/MJ, sprawy połączone C-804/18 i C-341/19, EU:C:2021:594, </w:t>
      </w:r>
      <w:r w:rsidRPr="00D55672">
        <w:rPr>
          <w:lang w:val="pl-PL"/>
        </w:rPr>
        <w:t>pkt</w:t>
      </w:r>
      <w:r w:rsidR="00D55672" w:rsidRPr="00D55672">
        <w:rPr>
          <w:lang w:val="pl-PL"/>
        </w:rPr>
        <w:t> </w:t>
      </w:r>
      <w:r w:rsidRPr="00D55672">
        <w:rPr>
          <w:lang w:val="pl-PL"/>
        </w:rPr>
        <w:t>7</w:t>
      </w:r>
      <w:r w:rsidRPr="00FC6D7F">
        <w:rPr>
          <w:lang w:val="pl-PL"/>
        </w:rPr>
        <w:t>0, 90.</w:t>
      </w:r>
    </w:p>
  </w:footnote>
  <w:footnote w:id="29">
    <w:p w14:paraId="36787C00" w14:textId="2620DB50"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(druga izba)</w:t>
      </w:r>
      <w:r w:rsidR="00D55672" w:rsidRPr="00FC6D7F">
        <w:rPr>
          <w:lang w:val="pl-PL"/>
        </w:rPr>
        <w:t xml:space="preserve"> z</w:t>
      </w:r>
      <w:r w:rsidR="00D55672">
        <w:rPr>
          <w:lang w:val="pl-PL"/>
        </w:rPr>
        <w:t> </w:t>
      </w:r>
      <w:r w:rsidR="00D55672" w:rsidRPr="00FC6D7F">
        <w:rPr>
          <w:lang w:val="pl-PL"/>
        </w:rPr>
        <w:t>dni</w:t>
      </w:r>
      <w:r w:rsidRPr="00FC6D7F">
        <w:rPr>
          <w:lang w:val="pl-PL"/>
        </w:rPr>
        <w:t>a 2 czerwca 20</w:t>
      </w:r>
      <w:r w:rsidRPr="00D55672">
        <w:rPr>
          <w:lang w:val="pl-PL"/>
        </w:rPr>
        <w:t>22</w:t>
      </w:r>
      <w:r w:rsidR="00D55672" w:rsidRPr="00D55672">
        <w:rPr>
          <w:lang w:val="pl-PL"/>
        </w:rPr>
        <w:t> </w:t>
      </w:r>
      <w:r w:rsidRPr="00D55672">
        <w:rPr>
          <w:lang w:val="pl-PL"/>
        </w:rPr>
        <w:t>r.</w:t>
      </w:r>
      <w:r w:rsidRPr="00FC6D7F">
        <w:rPr>
          <w:lang w:val="pl-PL"/>
        </w:rPr>
        <w:t xml:space="preserve">, A/HK Danmark i HK/Privat, </w:t>
      </w:r>
      <w:hyperlink r:id="rId21" w:history="1">
        <w:r w:rsidRPr="00FC6D7F">
          <w:rPr>
            <w:rStyle w:val="Hyperlink"/>
            <w:lang w:val="pl-PL"/>
          </w:rPr>
          <w:t>C-587/20</w:t>
        </w:r>
      </w:hyperlink>
      <w:r w:rsidRPr="00FC6D7F">
        <w:rPr>
          <w:lang w:val="pl-PL"/>
        </w:rPr>
        <w:t>, EU:C:2022:419.</w:t>
      </w:r>
    </w:p>
  </w:footnote>
  <w:footnote w:id="30">
    <w:p w14:paraId="4739E70A" w14:textId="5635F353"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(druga izba)</w:t>
      </w:r>
      <w:r w:rsidR="00D55672" w:rsidRPr="00FC6D7F">
        <w:rPr>
          <w:lang w:val="pl-PL"/>
        </w:rPr>
        <w:t xml:space="preserve"> z</w:t>
      </w:r>
      <w:r w:rsidR="00D55672">
        <w:rPr>
          <w:lang w:val="pl-PL"/>
        </w:rPr>
        <w:t> </w:t>
      </w:r>
      <w:r w:rsidR="00D55672" w:rsidRPr="00FC6D7F">
        <w:rPr>
          <w:lang w:val="pl-PL"/>
        </w:rPr>
        <w:t>dni</w:t>
      </w:r>
      <w:r w:rsidRPr="00FC6D7F">
        <w:rPr>
          <w:lang w:val="pl-PL"/>
        </w:rPr>
        <w:t>a 2 czerwca 20</w:t>
      </w:r>
      <w:r w:rsidRPr="00D55672">
        <w:rPr>
          <w:lang w:val="pl-PL"/>
        </w:rPr>
        <w:t>22</w:t>
      </w:r>
      <w:r w:rsidR="00D55672" w:rsidRPr="00D55672">
        <w:rPr>
          <w:lang w:val="pl-PL"/>
        </w:rPr>
        <w:t> </w:t>
      </w:r>
      <w:r w:rsidRPr="00D55672">
        <w:rPr>
          <w:lang w:val="pl-PL"/>
        </w:rPr>
        <w:t>r.</w:t>
      </w:r>
      <w:r w:rsidRPr="00FC6D7F">
        <w:rPr>
          <w:lang w:val="pl-PL"/>
        </w:rPr>
        <w:t xml:space="preserve">, A/HK Danmark i HK/Privat, </w:t>
      </w:r>
      <w:hyperlink r:id="rId22" w:history="1">
        <w:r w:rsidRPr="00FC6D7F">
          <w:rPr>
            <w:rStyle w:val="Hyperlink"/>
            <w:lang w:val="pl-PL"/>
          </w:rPr>
          <w:t>C-587/20</w:t>
        </w:r>
      </w:hyperlink>
      <w:r w:rsidRPr="00FC6D7F">
        <w:rPr>
          <w:lang w:val="pl-PL"/>
        </w:rPr>
        <w:t xml:space="preserve">, EU:C:2022:419, </w:t>
      </w:r>
      <w:r w:rsidRPr="00D55672">
        <w:rPr>
          <w:lang w:val="pl-PL"/>
        </w:rPr>
        <w:t>pkt</w:t>
      </w:r>
      <w:r w:rsidR="00D55672" w:rsidRPr="00D55672">
        <w:rPr>
          <w:lang w:val="pl-PL"/>
        </w:rPr>
        <w:t> </w:t>
      </w:r>
      <w:r w:rsidRPr="00D55672">
        <w:rPr>
          <w:lang w:val="pl-PL"/>
        </w:rPr>
        <w:t>5</w:t>
      </w:r>
      <w:r w:rsidRPr="00FC6D7F">
        <w:rPr>
          <w:lang w:val="pl-PL"/>
        </w:rPr>
        <w:t>4.</w:t>
      </w:r>
    </w:p>
  </w:footnote>
  <w:footnote w:id="31">
    <w:p w14:paraId="136138B6" w14:textId="77777777"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 xml:space="preserve">Zob. również </w:t>
      </w:r>
      <w:hyperlink r:id="rId23" w:history="1">
        <w:r w:rsidRPr="00FC6D7F">
          <w:rPr>
            <w:rStyle w:val="Hyperlink"/>
            <w:lang w:val="pl-PL"/>
          </w:rPr>
          <w:t>komunikat prasowy</w:t>
        </w:r>
      </w:hyperlink>
      <w:r w:rsidRPr="00FC6D7F">
        <w:rPr>
          <w:rStyle w:val="Hyperlink"/>
          <w:lang w:val="pl-PL"/>
        </w:rPr>
        <w:t>.</w:t>
      </w:r>
    </w:p>
  </w:footnote>
  <w:footnote w:id="32">
    <w:p w14:paraId="13C95BF0" w14:textId="595539C8"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(druga izba)</w:t>
      </w:r>
      <w:r w:rsidR="00D55672" w:rsidRPr="00FC6D7F">
        <w:rPr>
          <w:lang w:val="pl-PL"/>
        </w:rPr>
        <w:t xml:space="preserve"> z</w:t>
      </w:r>
      <w:r w:rsidR="00D55672">
        <w:rPr>
          <w:lang w:val="pl-PL"/>
        </w:rPr>
        <w:t> </w:t>
      </w:r>
      <w:r w:rsidR="00D55672" w:rsidRPr="00FC6D7F">
        <w:rPr>
          <w:lang w:val="pl-PL"/>
        </w:rPr>
        <w:t>dni</w:t>
      </w:r>
      <w:r w:rsidRPr="00FC6D7F">
        <w:rPr>
          <w:lang w:val="pl-PL"/>
        </w:rPr>
        <w:t>a 2 czerwca 20</w:t>
      </w:r>
      <w:r w:rsidRPr="00D55672">
        <w:rPr>
          <w:lang w:val="pl-PL"/>
        </w:rPr>
        <w:t>22</w:t>
      </w:r>
      <w:r w:rsidR="00D55672" w:rsidRPr="00D55672">
        <w:rPr>
          <w:lang w:val="pl-PL"/>
        </w:rPr>
        <w:t> </w:t>
      </w:r>
      <w:r w:rsidRPr="00D55672">
        <w:rPr>
          <w:lang w:val="pl-PL"/>
        </w:rPr>
        <w:t>r.</w:t>
      </w:r>
      <w:r w:rsidRPr="00FC6D7F">
        <w:rPr>
          <w:lang w:val="pl-PL"/>
        </w:rPr>
        <w:t xml:space="preserve">, A/HK Danmark i HK/Privat, </w:t>
      </w:r>
      <w:hyperlink r:id="rId24" w:history="1">
        <w:r w:rsidRPr="00FC6D7F">
          <w:rPr>
            <w:rStyle w:val="Hyperlink"/>
            <w:lang w:val="pl-PL"/>
          </w:rPr>
          <w:t>C-587/20</w:t>
        </w:r>
      </w:hyperlink>
      <w:r w:rsidRPr="00FC6D7F">
        <w:rPr>
          <w:lang w:val="pl-PL"/>
        </w:rPr>
        <w:t xml:space="preserve">, EU:C:2022:419, </w:t>
      </w:r>
      <w:r w:rsidRPr="00D55672">
        <w:rPr>
          <w:lang w:val="pl-PL"/>
        </w:rPr>
        <w:t>pkt</w:t>
      </w:r>
      <w:r w:rsidR="00D55672" w:rsidRPr="00D55672">
        <w:rPr>
          <w:lang w:val="pl-PL"/>
        </w:rPr>
        <w:t> </w:t>
      </w:r>
      <w:r w:rsidRPr="00D55672">
        <w:rPr>
          <w:lang w:val="pl-PL"/>
        </w:rPr>
        <w:t>3</w:t>
      </w:r>
      <w:r w:rsidRPr="00FC6D7F">
        <w:rPr>
          <w:lang w:val="pl-PL"/>
        </w:rPr>
        <w:t>4.</w:t>
      </w:r>
    </w:p>
  </w:footnote>
  <w:footnote w:id="33">
    <w:p w14:paraId="2ED8B40C" w14:textId="18E47211"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(druga izba)</w:t>
      </w:r>
      <w:r w:rsidR="00D55672" w:rsidRPr="00FC6D7F">
        <w:rPr>
          <w:lang w:val="pl-PL"/>
        </w:rPr>
        <w:t xml:space="preserve"> z</w:t>
      </w:r>
      <w:r w:rsidR="00D55672">
        <w:rPr>
          <w:lang w:val="pl-PL"/>
        </w:rPr>
        <w:t> </w:t>
      </w:r>
      <w:r w:rsidR="00D55672" w:rsidRPr="00FC6D7F">
        <w:rPr>
          <w:lang w:val="pl-PL"/>
        </w:rPr>
        <w:t>dni</w:t>
      </w:r>
      <w:r w:rsidRPr="00FC6D7F">
        <w:rPr>
          <w:lang w:val="pl-PL"/>
        </w:rPr>
        <w:t>a 12 stycznia 20</w:t>
      </w:r>
      <w:r w:rsidRPr="00D55672">
        <w:rPr>
          <w:lang w:val="pl-PL"/>
        </w:rPr>
        <w:t>23</w:t>
      </w:r>
      <w:r w:rsidR="00D55672" w:rsidRPr="00D55672">
        <w:rPr>
          <w:lang w:val="pl-PL"/>
        </w:rPr>
        <w:t> </w:t>
      </w:r>
      <w:r w:rsidRPr="00D55672">
        <w:rPr>
          <w:lang w:val="pl-PL"/>
        </w:rPr>
        <w:t>r.</w:t>
      </w:r>
      <w:r w:rsidRPr="00FC6D7F">
        <w:rPr>
          <w:lang w:val="pl-PL"/>
        </w:rPr>
        <w:t xml:space="preserve">, J.K./TP S.A., </w:t>
      </w:r>
      <w:hyperlink r:id="rId25" w:history="1">
        <w:r w:rsidRPr="00FC6D7F">
          <w:rPr>
            <w:rStyle w:val="Hyperlink"/>
            <w:lang w:val="pl-PL"/>
          </w:rPr>
          <w:t>C 356/21</w:t>
        </w:r>
      </w:hyperlink>
      <w:r w:rsidRPr="00FC6D7F">
        <w:rPr>
          <w:lang w:val="pl-PL"/>
        </w:rPr>
        <w:t>, EU:C:2023:9.</w:t>
      </w:r>
    </w:p>
  </w:footnote>
  <w:footnote w:id="34">
    <w:p w14:paraId="4A7FEA21" w14:textId="77777777"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 xml:space="preserve">Zob. również </w:t>
      </w:r>
      <w:hyperlink r:id="rId26" w:history="1">
        <w:r w:rsidRPr="00FC6D7F">
          <w:rPr>
            <w:rStyle w:val="Hyperlink"/>
            <w:lang w:val="pl-PL"/>
          </w:rPr>
          <w:t>komunikat prasowy</w:t>
        </w:r>
      </w:hyperlink>
      <w:r w:rsidRPr="00FC6D7F">
        <w:rPr>
          <w:rStyle w:val="Hyperlink"/>
          <w:lang w:val="pl-PL"/>
        </w:rPr>
        <w:t>.</w:t>
      </w:r>
    </w:p>
  </w:footnote>
  <w:footnote w:id="35">
    <w:p w14:paraId="2845CF8D" w14:textId="3170615C" w:rsidR="003667F7" w:rsidRPr="00FC6D7F" w:rsidRDefault="003667F7" w:rsidP="003667F7">
      <w:pPr>
        <w:pStyle w:val="FootnoteText"/>
        <w:ind w:left="357" w:hanging="357"/>
        <w:rPr>
          <w:lang w:val="pl-PL"/>
        </w:rPr>
      </w:pPr>
      <w:r>
        <w:rPr>
          <w:rStyle w:val="FootnoteReference"/>
        </w:rPr>
        <w:footnoteRef/>
      </w:r>
      <w:r w:rsidRPr="00FC6D7F">
        <w:rPr>
          <w:lang w:val="pl-PL"/>
        </w:rPr>
        <w:t xml:space="preserve"> </w:t>
      </w:r>
      <w:r w:rsidRPr="00FC6D7F">
        <w:rPr>
          <w:lang w:val="pl-PL"/>
        </w:rPr>
        <w:tab/>
        <w:t>Wyrok Trybunału (druga izba)</w:t>
      </w:r>
      <w:r w:rsidR="00D55672" w:rsidRPr="00FC6D7F">
        <w:rPr>
          <w:lang w:val="pl-PL"/>
        </w:rPr>
        <w:t xml:space="preserve"> z</w:t>
      </w:r>
      <w:r w:rsidR="00D55672">
        <w:rPr>
          <w:lang w:val="pl-PL"/>
        </w:rPr>
        <w:t> </w:t>
      </w:r>
      <w:r w:rsidR="00D55672" w:rsidRPr="00FC6D7F">
        <w:rPr>
          <w:lang w:val="pl-PL"/>
        </w:rPr>
        <w:t>dni</w:t>
      </w:r>
      <w:r w:rsidRPr="00FC6D7F">
        <w:rPr>
          <w:lang w:val="pl-PL"/>
        </w:rPr>
        <w:t>a 12 stycznia 20</w:t>
      </w:r>
      <w:r w:rsidRPr="00D55672">
        <w:rPr>
          <w:lang w:val="pl-PL"/>
        </w:rPr>
        <w:t>23</w:t>
      </w:r>
      <w:r w:rsidR="00D55672" w:rsidRPr="00D55672">
        <w:rPr>
          <w:lang w:val="pl-PL"/>
        </w:rPr>
        <w:t> </w:t>
      </w:r>
      <w:r w:rsidRPr="00D55672">
        <w:rPr>
          <w:lang w:val="pl-PL"/>
        </w:rPr>
        <w:t>r.</w:t>
      </w:r>
      <w:r w:rsidRPr="00FC6D7F">
        <w:rPr>
          <w:lang w:val="pl-PL"/>
        </w:rPr>
        <w:t xml:space="preserve">, J.K./TP S.A., </w:t>
      </w:r>
      <w:hyperlink r:id="rId27" w:history="1">
        <w:r w:rsidRPr="00FC6D7F">
          <w:rPr>
            <w:rStyle w:val="Hyperlink"/>
            <w:lang w:val="pl-PL"/>
          </w:rPr>
          <w:t>C 356/21</w:t>
        </w:r>
      </w:hyperlink>
      <w:r w:rsidRPr="00FC6D7F">
        <w:rPr>
          <w:lang w:val="pl-PL"/>
        </w:rPr>
        <w:t xml:space="preserve">, EU:C:2023:9, </w:t>
      </w:r>
      <w:r w:rsidRPr="00D55672">
        <w:rPr>
          <w:lang w:val="pl-PL"/>
        </w:rPr>
        <w:t>pkt</w:t>
      </w:r>
      <w:r w:rsidR="00D55672" w:rsidRPr="00D55672">
        <w:rPr>
          <w:lang w:val="pl-PL"/>
        </w:rPr>
        <w:t> </w:t>
      </w:r>
      <w:r w:rsidRPr="00D55672">
        <w:rPr>
          <w:lang w:val="pl-PL"/>
        </w:rPr>
        <w:t>3</w:t>
      </w:r>
      <w:r w:rsidRPr="00FC6D7F">
        <w:rPr>
          <w:lang w:val="pl-PL"/>
        </w:rPr>
        <w:t>6.</w:t>
      </w:r>
    </w:p>
  </w:footnote>
  <w:footnote w:id="36">
    <w:p w14:paraId="19382CB7" w14:textId="36162FCC" w:rsidR="003667F7" w:rsidRPr="00FC6D7F" w:rsidRDefault="003667F7" w:rsidP="003667F7">
      <w:pPr>
        <w:pStyle w:val="FootnoteText"/>
        <w:ind w:left="357" w:hanging="357"/>
        <w:rPr>
          <w:lang w:val="pl-PL"/>
        </w:rPr>
      </w:pPr>
      <w:r>
        <w:rPr>
          <w:rStyle w:val="FootnoteReference"/>
        </w:rPr>
        <w:footnoteRef/>
      </w:r>
      <w:r w:rsidRPr="00FC6D7F">
        <w:rPr>
          <w:lang w:val="pl-PL"/>
        </w:rPr>
        <w:t xml:space="preserve"> </w:t>
      </w:r>
      <w:r w:rsidRPr="00FC6D7F">
        <w:rPr>
          <w:lang w:val="pl-PL"/>
        </w:rPr>
        <w:tab/>
        <w:t>Wyrok Trybunału (druga izba)</w:t>
      </w:r>
      <w:r w:rsidR="00D55672" w:rsidRPr="00FC6D7F">
        <w:rPr>
          <w:lang w:val="pl-PL"/>
        </w:rPr>
        <w:t xml:space="preserve"> z</w:t>
      </w:r>
      <w:r w:rsidR="00D55672">
        <w:rPr>
          <w:lang w:val="pl-PL"/>
        </w:rPr>
        <w:t> </w:t>
      </w:r>
      <w:r w:rsidR="00D55672" w:rsidRPr="00FC6D7F">
        <w:rPr>
          <w:lang w:val="pl-PL"/>
        </w:rPr>
        <w:t>dni</w:t>
      </w:r>
      <w:r w:rsidRPr="00FC6D7F">
        <w:rPr>
          <w:lang w:val="pl-PL"/>
        </w:rPr>
        <w:t>a 12 stycznia 20</w:t>
      </w:r>
      <w:r w:rsidRPr="00D55672">
        <w:rPr>
          <w:lang w:val="pl-PL"/>
        </w:rPr>
        <w:t>23</w:t>
      </w:r>
      <w:r w:rsidR="00D55672" w:rsidRPr="00D55672">
        <w:rPr>
          <w:lang w:val="pl-PL"/>
        </w:rPr>
        <w:t> </w:t>
      </w:r>
      <w:r w:rsidRPr="00D55672">
        <w:rPr>
          <w:lang w:val="pl-PL"/>
        </w:rPr>
        <w:t>r.</w:t>
      </w:r>
      <w:r w:rsidRPr="00FC6D7F">
        <w:rPr>
          <w:lang w:val="pl-PL"/>
        </w:rPr>
        <w:t xml:space="preserve">, J.K./TP S.A., </w:t>
      </w:r>
      <w:hyperlink r:id="rId28" w:history="1">
        <w:r w:rsidRPr="00FC6D7F">
          <w:rPr>
            <w:rStyle w:val="Hyperlink"/>
            <w:lang w:val="pl-PL"/>
          </w:rPr>
          <w:t>C 356/21</w:t>
        </w:r>
      </w:hyperlink>
      <w:r w:rsidRPr="00FC6D7F">
        <w:rPr>
          <w:lang w:val="pl-PL"/>
        </w:rPr>
        <w:t xml:space="preserve">, EU:C:2023:9, </w:t>
      </w:r>
      <w:r w:rsidRPr="00D55672">
        <w:rPr>
          <w:lang w:val="pl-PL"/>
        </w:rPr>
        <w:t>pkt</w:t>
      </w:r>
      <w:r w:rsidR="00D55672" w:rsidRPr="00D55672">
        <w:rPr>
          <w:lang w:val="pl-PL"/>
        </w:rPr>
        <w:t> </w:t>
      </w:r>
      <w:r w:rsidRPr="00D55672">
        <w:rPr>
          <w:lang w:val="pl-PL"/>
        </w:rPr>
        <w:t>4</w:t>
      </w:r>
      <w:r w:rsidRPr="00FC6D7F">
        <w:rPr>
          <w:lang w:val="pl-PL"/>
        </w:rPr>
        <w:t xml:space="preserve">3. </w:t>
      </w:r>
    </w:p>
  </w:footnote>
  <w:footnote w:id="37">
    <w:p w14:paraId="19BE7FE1" w14:textId="3359EFF8" w:rsidR="002272C6" w:rsidRPr="00FC6D7F" w:rsidRDefault="002272C6" w:rsidP="002272C6">
      <w:pPr>
        <w:pStyle w:val="FootnoteText"/>
        <w:ind w:left="426" w:hanging="426"/>
        <w:rPr>
          <w:lang w:val="pl-PL"/>
        </w:rPr>
      </w:pPr>
      <w:r>
        <w:rPr>
          <w:rStyle w:val="FootnoteReference"/>
        </w:rPr>
        <w:footnoteRef/>
      </w:r>
      <w:r w:rsidRPr="00FC6D7F">
        <w:rPr>
          <w:lang w:val="pl-PL"/>
        </w:rPr>
        <w:t xml:space="preserve"> Wyrok Trybunału (trzecia izba)</w:t>
      </w:r>
      <w:r w:rsidR="00D55672" w:rsidRPr="00FC6D7F">
        <w:rPr>
          <w:lang w:val="pl-PL"/>
        </w:rPr>
        <w:t xml:space="preserve"> z</w:t>
      </w:r>
      <w:r w:rsidR="00D55672">
        <w:rPr>
          <w:lang w:val="pl-PL"/>
        </w:rPr>
        <w:t> </w:t>
      </w:r>
      <w:r w:rsidR="00D55672" w:rsidRPr="00FC6D7F">
        <w:rPr>
          <w:lang w:val="pl-PL"/>
        </w:rPr>
        <w:t>dni</w:t>
      </w:r>
      <w:r w:rsidRPr="00FC6D7F">
        <w:rPr>
          <w:lang w:val="pl-PL"/>
        </w:rPr>
        <w:t>a 24 lutego 20</w:t>
      </w:r>
      <w:r w:rsidRPr="00D55672">
        <w:rPr>
          <w:lang w:val="pl-PL"/>
        </w:rPr>
        <w:t>22</w:t>
      </w:r>
      <w:r w:rsidR="00D55672" w:rsidRPr="00D55672">
        <w:rPr>
          <w:lang w:val="pl-PL"/>
        </w:rPr>
        <w:t> </w:t>
      </w:r>
      <w:r w:rsidRPr="00D55672">
        <w:rPr>
          <w:lang w:val="pl-PL"/>
        </w:rPr>
        <w:t>r.</w:t>
      </w:r>
      <w:r w:rsidRPr="00FC6D7F">
        <w:rPr>
          <w:lang w:val="pl-PL"/>
        </w:rPr>
        <w:t>, CJ/Tesorería General de la Seguridad Social (TGSS), C-389/20, ECLI:EU:C:2022:120.</w:t>
      </w:r>
    </w:p>
  </w:footnote>
  <w:footnote w:id="38">
    <w:p w14:paraId="3C3CAA63" w14:textId="56D16384" w:rsidR="002272C6" w:rsidRPr="00FC6D7F" w:rsidRDefault="002272C6" w:rsidP="002272C6">
      <w:pPr>
        <w:pStyle w:val="FootnoteText"/>
        <w:ind w:left="426" w:hanging="426"/>
        <w:jc w:val="both"/>
        <w:rPr>
          <w:lang w:val="pl-PL"/>
        </w:rPr>
      </w:pPr>
      <w:r>
        <w:rPr>
          <w:rStyle w:val="FootnoteReference"/>
        </w:rPr>
        <w:footnoteRef/>
      </w:r>
      <w:r w:rsidRPr="00FC6D7F">
        <w:rPr>
          <w:lang w:val="pl-PL"/>
        </w:rPr>
        <w:t xml:space="preserve"> Dyrektywa 79/7/EWG</w:t>
      </w:r>
      <w:r w:rsidR="00D55672" w:rsidRPr="00FC6D7F">
        <w:rPr>
          <w:lang w:val="pl-PL"/>
        </w:rPr>
        <w:t xml:space="preserve"> z</w:t>
      </w:r>
      <w:r w:rsidR="00D55672">
        <w:rPr>
          <w:lang w:val="pl-PL"/>
        </w:rPr>
        <w:t> </w:t>
      </w:r>
      <w:r w:rsidR="00D55672" w:rsidRPr="00FC6D7F">
        <w:rPr>
          <w:lang w:val="pl-PL"/>
        </w:rPr>
        <w:t>dni</w:t>
      </w:r>
      <w:r w:rsidRPr="00FC6D7F">
        <w:rPr>
          <w:lang w:val="pl-PL"/>
        </w:rPr>
        <w:t>a 19 grudnia 19</w:t>
      </w:r>
      <w:r w:rsidRPr="00D55672">
        <w:rPr>
          <w:lang w:val="pl-PL"/>
        </w:rPr>
        <w:t>78</w:t>
      </w:r>
      <w:r w:rsidR="00D55672" w:rsidRPr="00D55672">
        <w:rPr>
          <w:lang w:val="pl-PL"/>
        </w:rPr>
        <w:t> </w:t>
      </w:r>
      <w:r w:rsidRPr="00D55672">
        <w:rPr>
          <w:lang w:val="pl-PL"/>
        </w:rPr>
        <w:t>r.</w:t>
      </w:r>
      <w:r w:rsidR="00D55672" w:rsidRPr="00FC6D7F">
        <w:rPr>
          <w:lang w:val="pl-PL"/>
        </w:rPr>
        <w:t xml:space="preserve"> w</w:t>
      </w:r>
      <w:r w:rsidR="00D55672">
        <w:rPr>
          <w:lang w:val="pl-PL"/>
        </w:rPr>
        <w:t> </w:t>
      </w:r>
      <w:r w:rsidR="00D55672" w:rsidRPr="00FC6D7F">
        <w:rPr>
          <w:lang w:val="pl-PL"/>
        </w:rPr>
        <w:t>spr</w:t>
      </w:r>
      <w:r w:rsidRPr="00FC6D7F">
        <w:rPr>
          <w:lang w:val="pl-PL"/>
        </w:rPr>
        <w:t>awie stopniowego wprowadzania</w:t>
      </w:r>
      <w:r w:rsidR="00D55672" w:rsidRPr="00FC6D7F">
        <w:rPr>
          <w:lang w:val="pl-PL"/>
        </w:rPr>
        <w:t xml:space="preserve"> w</w:t>
      </w:r>
      <w:r w:rsidR="00D55672">
        <w:rPr>
          <w:lang w:val="pl-PL"/>
        </w:rPr>
        <w:t> </w:t>
      </w:r>
      <w:r w:rsidR="00D55672" w:rsidRPr="00FC6D7F">
        <w:rPr>
          <w:lang w:val="pl-PL"/>
        </w:rPr>
        <w:t>życ</w:t>
      </w:r>
      <w:r w:rsidRPr="00FC6D7F">
        <w:rPr>
          <w:lang w:val="pl-PL"/>
        </w:rPr>
        <w:t>ie zasady równego traktowania kobiet</w:t>
      </w:r>
      <w:r w:rsidR="00D55672" w:rsidRPr="00FC6D7F">
        <w:rPr>
          <w:lang w:val="pl-PL"/>
        </w:rPr>
        <w:t xml:space="preserve"> i</w:t>
      </w:r>
      <w:r w:rsidR="00D55672">
        <w:rPr>
          <w:lang w:val="pl-PL"/>
        </w:rPr>
        <w:t> </w:t>
      </w:r>
      <w:r w:rsidR="00D55672" w:rsidRPr="00FC6D7F">
        <w:rPr>
          <w:lang w:val="pl-PL"/>
        </w:rPr>
        <w:t>męż</w:t>
      </w:r>
      <w:r w:rsidRPr="00FC6D7F">
        <w:rPr>
          <w:lang w:val="pl-PL"/>
        </w:rPr>
        <w:t>czyzn</w:t>
      </w:r>
      <w:r w:rsidR="00D55672" w:rsidRPr="00FC6D7F">
        <w:rPr>
          <w:lang w:val="pl-PL"/>
        </w:rPr>
        <w:t xml:space="preserve"> w</w:t>
      </w:r>
      <w:r w:rsidR="00D55672">
        <w:rPr>
          <w:lang w:val="pl-PL"/>
        </w:rPr>
        <w:t> </w:t>
      </w:r>
      <w:r w:rsidR="00D55672" w:rsidRPr="00FC6D7F">
        <w:rPr>
          <w:lang w:val="pl-PL"/>
        </w:rPr>
        <w:t>dzi</w:t>
      </w:r>
      <w:r w:rsidRPr="00FC6D7F">
        <w:rPr>
          <w:lang w:val="pl-PL"/>
        </w:rPr>
        <w:t>edzinie zabezpieczenia społecznego, Dz.U. L 6</w:t>
      </w:r>
      <w:r w:rsidR="00D55672" w:rsidRPr="00FC6D7F">
        <w:rPr>
          <w:lang w:val="pl-PL"/>
        </w:rPr>
        <w:t xml:space="preserve"> z</w:t>
      </w:r>
      <w:r w:rsidR="00D55672">
        <w:rPr>
          <w:lang w:val="pl-PL"/>
        </w:rPr>
        <w:t> </w:t>
      </w:r>
      <w:r w:rsidR="00D55672" w:rsidRPr="00FC6D7F">
        <w:rPr>
          <w:lang w:val="pl-PL"/>
        </w:rPr>
        <w:t>1</w:t>
      </w:r>
      <w:r w:rsidRPr="00FC6D7F">
        <w:rPr>
          <w:lang w:val="pl-PL"/>
        </w:rPr>
        <w:t>0.1.1979, s. 24.</w:t>
      </w:r>
    </w:p>
  </w:footnote>
  <w:footnote w:id="39">
    <w:p w14:paraId="1B182FD1" w14:textId="009C6314"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(ósma izba)</w:t>
      </w:r>
      <w:r w:rsidR="00D55672" w:rsidRPr="00FC6D7F">
        <w:rPr>
          <w:lang w:val="pl-PL"/>
        </w:rPr>
        <w:t xml:space="preserve"> z</w:t>
      </w:r>
      <w:r w:rsidR="00D55672">
        <w:rPr>
          <w:lang w:val="pl-PL"/>
        </w:rPr>
        <w:t> </w:t>
      </w:r>
      <w:r w:rsidR="00D55672" w:rsidRPr="00FC6D7F">
        <w:rPr>
          <w:lang w:val="pl-PL"/>
        </w:rPr>
        <w:t>dni</w:t>
      </w:r>
      <w:r w:rsidRPr="00FC6D7F">
        <w:rPr>
          <w:lang w:val="pl-PL"/>
        </w:rPr>
        <w:t>a 15 czerwca 20</w:t>
      </w:r>
      <w:r w:rsidRPr="00D55672">
        <w:rPr>
          <w:lang w:val="pl-PL"/>
        </w:rPr>
        <w:t>23</w:t>
      </w:r>
      <w:r w:rsidR="00D55672" w:rsidRPr="00D55672">
        <w:rPr>
          <w:lang w:val="pl-PL"/>
        </w:rPr>
        <w:t> </w:t>
      </w:r>
      <w:r w:rsidRPr="00D55672">
        <w:rPr>
          <w:lang w:val="pl-PL"/>
        </w:rPr>
        <w:t>r.</w:t>
      </w:r>
      <w:r w:rsidRPr="00FC6D7F">
        <w:rPr>
          <w:lang w:val="pl-PL"/>
        </w:rPr>
        <w:t xml:space="preserve">, Silver i in./Rada, </w:t>
      </w:r>
      <w:hyperlink r:id="rId29" w:history="1">
        <w:r w:rsidRPr="00FC6D7F">
          <w:rPr>
            <w:rStyle w:val="Hyperlink"/>
            <w:lang w:val="pl-PL"/>
          </w:rPr>
          <w:t>C</w:t>
        </w:r>
        <w:r w:rsidRPr="00FC6D7F">
          <w:rPr>
            <w:rStyle w:val="Hyperlink"/>
            <w:rFonts w:ascii="Cambria Math" w:hAnsi="Cambria Math"/>
            <w:lang w:val="pl-PL"/>
          </w:rPr>
          <w:t>-</w:t>
        </w:r>
        <w:r w:rsidRPr="00FC6D7F">
          <w:rPr>
            <w:rStyle w:val="Hyperlink"/>
            <w:lang w:val="pl-PL"/>
          </w:rPr>
          <w:t>499/21 P</w:t>
        </w:r>
      </w:hyperlink>
      <w:r w:rsidRPr="00FC6D7F">
        <w:rPr>
          <w:lang w:val="pl-PL"/>
        </w:rPr>
        <w:t>, EU:C:2023:479.</w:t>
      </w:r>
    </w:p>
  </w:footnote>
  <w:footnote w:id="40">
    <w:p w14:paraId="09EF1568" w14:textId="7A911417"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(ósma izba)</w:t>
      </w:r>
      <w:r w:rsidR="00D55672" w:rsidRPr="00FC6D7F">
        <w:rPr>
          <w:lang w:val="pl-PL"/>
        </w:rPr>
        <w:t xml:space="preserve"> z</w:t>
      </w:r>
      <w:r w:rsidR="00D55672">
        <w:rPr>
          <w:lang w:val="pl-PL"/>
        </w:rPr>
        <w:t> </w:t>
      </w:r>
      <w:r w:rsidR="00D55672" w:rsidRPr="00FC6D7F">
        <w:rPr>
          <w:lang w:val="pl-PL"/>
        </w:rPr>
        <w:t>dni</w:t>
      </w:r>
      <w:r w:rsidRPr="00FC6D7F">
        <w:rPr>
          <w:lang w:val="pl-PL"/>
        </w:rPr>
        <w:t>a 15 czerwca 20</w:t>
      </w:r>
      <w:r w:rsidRPr="00D55672">
        <w:rPr>
          <w:lang w:val="pl-PL"/>
        </w:rPr>
        <w:t>23</w:t>
      </w:r>
      <w:r w:rsidR="00D55672" w:rsidRPr="00D55672">
        <w:rPr>
          <w:lang w:val="pl-PL"/>
        </w:rPr>
        <w:t> </w:t>
      </w:r>
      <w:r w:rsidRPr="00D55672">
        <w:rPr>
          <w:lang w:val="pl-PL"/>
        </w:rPr>
        <w:t>r.</w:t>
      </w:r>
      <w:r w:rsidRPr="00FC6D7F">
        <w:rPr>
          <w:lang w:val="pl-PL"/>
        </w:rPr>
        <w:t xml:space="preserve">, Shindler i in./Rada, </w:t>
      </w:r>
      <w:hyperlink r:id="rId30" w:history="1">
        <w:r w:rsidRPr="00FC6D7F">
          <w:rPr>
            <w:rStyle w:val="Hyperlink"/>
            <w:lang w:val="pl-PL"/>
          </w:rPr>
          <w:t>C-501/21 P</w:t>
        </w:r>
      </w:hyperlink>
      <w:r w:rsidRPr="00FC6D7F">
        <w:rPr>
          <w:lang w:val="pl-PL"/>
        </w:rPr>
        <w:t>, EU:C:2023:480.</w:t>
      </w:r>
    </w:p>
  </w:footnote>
  <w:footnote w:id="41">
    <w:p w14:paraId="3414FE44" w14:textId="72088174"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(ósma izba)</w:t>
      </w:r>
      <w:r w:rsidR="00D55672" w:rsidRPr="00FC6D7F">
        <w:rPr>
          <w:lang w:val="pl-PL"/>
        </w:rPr>
        <w:t xml:space="preserve"> z</w:t>
      </w:r>
      <w:r w:rsidR="00D55672">
        <w:rPr>
          <w:lang w:val="pl-PL"/>
        </w:rPr>
        <w:t> </w:t>
      </w:r>
      <w:r w:rsidR="00D55672" w:rsidRPr="00FC6D7F">
        <w:rPr>
          <w:lang w:val="pl-PL"/>
        </w:rPr>
        <w:t>dni</w:t>
      </w:r>
      <w:r w:rsidRPr="00FC6D7F">
        <w:rPr>
          <w:lang w:val="pl-PL"/>
        </w:rPr>
        <w:t>a 15 czerwca 20</w:t>
      </w:r>
      <w:r w:rsidRPr="00D55672">
        <w:rPr>
          <w:lang w:val="pl-PL"/>
        </w:rPr>
        <w:t>23</w:t>
      </w:r>
      <w:r w:rsidR="00D55672" w:rsidRPr="00D55672">
        <w:rPr>
          <w:lang w:val="pl-PL"/>
        </w:rPr>
        <w:t> </w:t>
      </w:r>
      <w:r w:rsidRPr="00D55672">
        <w:rPr>
          <w:lang w:val="pl-PL"/>
        </w:rPr>
        <w:t>r.</w:t>
      </w:r>
      <w:r w:rsidRPr="00FC6D7F">
        <w:rPr>
          <w:lang w:val="pl-PL"/>
        </w:rPr>
        <w:t>, David Price/Rada</w:t>
      </w:r>
      <w:r w:rsidRPr="00FC6D7F">
        <w:rPr>
          <w:i/>
          <w:lang w:val="pl-PL"/>
        </w:rPr>
        <w:t xml:space="preserve">, </w:t>
      </w:r>
      <w:hyperlink r:id="rId31" w:history="1">
        <w:r w:rsidRPr="00FC6D7F">
          <w:rPr>
            <w:rStyle w:val="Hyperlink"/>
            <w:lang w:val="pl-PL"/>
          </w:rPr>
          <w:t>C-502/21 P</w:t>
        </w:r>
      </w:hyperlink>
      <w:r w:rsidRPr="00FC6D7F">
        <w:rPr>
          <w:lang w:val="pl-PL"/>
        </w:rPr>
        <w:t>, EU:C:2023:482.</w:t>
      </w:r>
    </w:p>
  </w:footnote>
  <w:footnote w:id="42">
    <w:p w14:paraId="246B351F" w14:textId="54E55F55"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(ósma izba)</w:t>
      </w:r>
      <w:r w:rsidR="00D55672" w:rsidRPr="00FC6D7F">
        <w:rPr>
          <w:lang w:val="pl-PL"/>
        </w:rPr>
        <w:t xml:space="preserve"> z</w:t>
      </w:r>
      <w:r w:rsidR="00D55672">
        <w:rPr>
          <w:lang w:val="pl-PL"/>
        </w:rPr>
        <w:t> </w:t>
      </w:r>
      <w:r w:rsidR="00D55672" w:rsidRPr="00FC6D7F">
        <w:rPr>
          <w:lang w:val="pl-PL"/>
        </w:rPr>
        <w:t>dni</w:t>
      </w:r>
      <w:r w:rsidRPr="00FC6D7F">
        <w:rPr>
          <w:lang w:val="pl-PL"/>
        </w:rPr>
        <w:t>a 15 czerwca 20</w:t>
      </w:r>
      <w:r w:rsidRPr="00D55672">
        <w:rPr>
          <w:lang w:val="pl-PL"/>
        </w:rPr>
        <w:t>23</w:t>
      </w:r>
      <w:r w:rsidR="00D55672" w:rsidRPr="00D55672">
        <w:rPr>
          <w:lang w:val="pl-PL"/>
        </w:rPr>
        <w:t> </w:t>
      </w:r>
      <w:r w:rsidRPr="00D55672">
        <w:rPr>
          <w:lang w:val="pl-PL"/>
        </w:rPr>
        <w:t>r.</w:t>
      </w:r>
      <w:r w:rsidRPr="00FC6D7F">
        <w:rPr>
          <w:lang w:val="pl-PL"/>
        </w:rPr>
        <w:t xml:space="preserve">, Silver i in./Rada, </w:t>
      </w:r>
      <w:hyperlink r:id="rId32" w:history="1">
        <w:r w:rsidRPr="00FC6D7F">
          <w:rPr>
            <w:rStyle w:val="Hyperlink"/>
            <w:lang w:val="pl-PL"/>
          </w:rPr>
          <w:t>C</w:t>
        </w:r>
        <w:r w:rsidRPr="00FC6D7F">
          <w:rPr>
            <w:rStyle w:val="Hyperlink"/>
            <w:rFonts w:ascii="Cambria Math" w:hAnsi="Cambria Math"/>
            <w:lang w:val="pl-PL"/>
          </w:rPr>
          <w:t>-</w:t>
        </w:r>
        <w:r w:rsidRPr="00FC6D7F">
          <w:rPr>
            <w:rStyle w:val="Hyperlink"/>
            <w:lang w:val="pl-PL"/>
          </w:rPr>
          <w:t>499/21 P</w:t>
        </w:r>
      </w:hyperlink>
      <w:r w:rsidRPr="00FC6D7F">
        <w:rPr>
          <w:lang w:val="pl-PL"/>
        </w:rPr>
        <w:t xml:space="preserve">, EU:C:2023:479, </w:t>
      </w:r>
      <w:r w:rsidRPr="00D55672">
        <w:rPr>
          <w:lang w:val="pl-PL"/>
        </w:rPr>
        <w:t>pkt</w:t>
      </w:r>
      <w:r w:rsidR="00D55672" w:rsidRPr="00D55672">
        <w:rPr>
          <w:lang w:val="pl-PL"/>
        </w:rPr>
        <w:t> </w:t>
      </w:r>
      <w:r w:rsidRPr="00D55672">
        <w:rPr>
          <w:lang w:val="pl-PL"/>
        </w:rPr>
        <w:t>4</w:t>
      </w:r>
      <w:r w:rsidRPr="00FC6D7F">
        <w:rPr>
          <w:lang w:val="pl-PL"/>
        </w:rPr>
        <w:t>6</w:t>
      </w:r>
      <w:r w:rsidR="00D55672" w:rsidRPr="00FC6D7F">
        <w:rPr>
          <w:lang w:val="pl-PL"/>
        </w:rPr>
        <w:t xml:space="preserve"> i</w:t>
      </w:r>
      <w:r w:rsidR="00D55672">
        <w:rPr>
          <w:lang w:val="pl-PL"/>
        </w:rPr>
        <w:t> </w:t>
      </w:r>
      <w:r w:rsidR="00D55672" w:rsidRPr="00FC6D7F">
        <w:rPr>
          <w:lang w:val="pl-PL"/>
        </w:rPr>
        <w:t>4</w:t>
      </w:r>
      <w:r w:rsidRPr="00FC6D7F">
        <w:rPr>
          <w:lang w:val="pl-PL"/>
        </w:rPr>
        <w:t>7; wyrok Trybunału (ósma izba)</w:t>
      </w:r>
      <w:r w:rsidR="00D55672" w:rsidRPr="00FC6D7F">
        <w:rPr>
          <w:lang w:val="pl-PL"/>
        </w:rPr>
        <w:t xml:space="preserve"> z</w:t>
      </w:r>
      <w:r w:rsidR="00D55672">
        <w:rPr>
          <w:lang w:val="pl-PL"/>
        </w:rPr>
        <w:t> </w:t>
      </w:r>
      <w:r w:rsidR="00D55672" w:rsidRPr="00FC6D7F">
        <w:rPr>
          <w:lang w:val="pl-PL"/>
        </w:rPr>
        <w:t>dni</w:t>
      </w:r>
      <w:r w:rsidRPr="00FC6D7F">
        <w:rPr>
          <w:lang w:val="pl-PL"/>
        </w:rPr>
        <w:t>a 15 czerwca 20</w:t>
      </w:r>
      <w:r w:rsidRPr="00D55672">
        <w:rPr>
          <w:lang w:val="pl-PL"/>
        </w:rPr>
        <w:t>23</w:t>
      </w:r>
      <w:r w:rsidR="00D55672" w:rsidRPr="00D55672">
        <w:rPr>
          <w:lang w:val="pl-PL"/>
        </w:rPr>
        <w:t> </w:t>
      </w:r>
      <w:r w:rsidRPr="00D55672">
        <w:rPr>
          <w:lang w:val="pl-PL"/>
        </w:rPr>
        <w:t>r.</w:t>
      </w:r>
      <w:r w:rsidRPr="00FC6D7F">
        <w:rPr>
          <w:lang w:val="pl-PL"/>
        </w:rPr>
        <w:t xml:space="preserve">, Shindler i in./Rada, </w:t>
      </w:r>
      <w:hyperlink r:id="rId33" w:history="1">
        <w:r w:rsidRPr="00FC6D7F">
          <w:rPr>
            <w:rStyle w:val="Hyperlink"/>
            <w:lang w:val="pl-PL"/>
          </w:rPr>
          <w:t>C-501/21 P</w:t>
        </w:r>
      </w:hyperlink>
      <w:r w:rsidRPr="00FC6D7F">
        <w:rPr>
          <w:lang w:val="pl-PL"/>
        </w:rPr>
        <w:t xml:space="preserve">, EU:C:2023:480, </w:t>
      </w:r>
      <w:r w:rsidRPr="00D55672">
        <w:rPr>
          <w:lang w:val="pl-PL"/>
        </w:rPr>
        <w:t>pkt</w:t>
      </w:r>
      <w:r w:rsidR="00D55672" w:rsidRPr="00D55672">
        <w:rPr>
          <w:lang w:val="pl-PL"/>
        </w:rPr>
        <w:t> </w:t>
      </w:r>
      <w:r w:rsidRPr="00D55672">
        <w:rPr>
          <w:lang w:val="pl-PL"/>
        </w:rPr>
        <w:t>6</w:t>
      </w:r>
      <w:r w:rsidRPr="00FC6D7F">
        <w:rPr>
          <w:lang w:val="pl-PL"/>
        </w:rPr>
        <w:t>9</w:t>
      </w:r>
      <w:r w:rsidR="00D55672" w:rsidRPr="00FC6D7F">
        <w:rPr>
          <w:lang w:val="pl-PL"/>
        </w:rPr>
        <w:t xml:space="preserve"> i</w:t>
      </w:r>
      <w:r w:rsidR="00D55672">
        <w:rPr>
          <w:lang w:val="pl-PL"/>
        </w:rPr>
        <w:t> </w:t>
      </w:r>
      <w:r w:rsidR="00D55672" w:rsidRPr="00FC6D7F">
        <w:rPr>
          <w:lang w:val="pl-PL"/>
        </w:rPr>
        <w:t>7</w:t>
      </w:r>
      <w:r w:rsidRPr="00FC6D7F">
        <w:rPr>
          <w:lang w:val="pl-PL"/>
        </w:rPr>
        <w:t>0; wyrok Trybunału (ósma izba)</w:t>
      </w:r>
      <w:r w:rsidR="00D55672" w:rsidRPr="00FC6D7F">
        <w:rPr>
          <w:lang w:val="pl-PL"/>
        </w:rPr>
        <w:t xml:space="preserve"> z</w:t>
      </w:r>
      <w:r w:rsidR="00D55672">
        <w:rPr>
          <w:lang w:val="pl-PL"/>
        </w:rPr>
        <w:t> </w:t>
      </w:r>
      <w:r w:rsidR="00D55672" w:rsidRPr="00FC6D7F">
        <w:rPr>
          <w:lang w:val="pl-PL"/>
        </w:rPr>
        <w:t>dni</w:t>
      </w:r>
      <w:r w:rsidRPr="00FC6D7F">
        <w:rPr>
          <w:lang w:val="pl-PL"/>
        </w:rPr>
        <w:t>a 15 czerwca 20</w:t>
      </w:r>
      <w:r w:rsidRPr="00D55672">
        <w:rPr>
          <w:lang w:val="pl-PL"/>
        </w:rPr>
        <w:t>23</w:t>
      </w:r>
      <w:r w:rsidR="00D55672" w:rsidRPr="00D55672">
        <w:rPr>
          <w:lang w:val="pl-PL"/>
        </w:rPr>
        <w:t> </w:t>
      </w:r>
      <w:r w:rsidRPr="00D55672">
        <w:rPr>
          <w:lang w:val="pl-PL"/>
        </w:rPr>
        <w:t>r.</w:t>
      </w:r>
      <w:r w:rsidRPr="00FC6D7F">
        <w:rPr>
          <w:lang w:val="pl-PL"/>
        </w:rPr>
        <w:t xml:space="preserve">, David Price/Rada, </w:t>
      </w:r>
      <w:hyperlink r:id="rId34" w:history="1">
        <w:r w:rsidRPr="00FC6D7F">
          <w:rPr>
            <w:rStyle w:val="Hyperlink"/>
            <w:lang w:val="pl-PL"/>
          </w:rPr>
          <w:t>C-502/21 P</w:t>
        </w:r>
      </w:hyperlink>
      <w:r w:rsidRPr="00FC6D7F">
        <w:rPr>
          <w:lang w:val="pl-PL"/>
        </w:rPr>
        <w:t xml:space="preserve">, EU:C:2023:482, </w:t>
      </w:r>
      <w:r w:rsidRPr="00D55672">
        <w:rPr>
          <w:lang w:val="pl-PL"/>
        </w:rPr>
        <w:t>pkt</w:t>
      </w:r>
      <w:r w:rsidR="00D55672" w:rsidRPr="00D55672">
        <w:rPr>
          <w:lang w:val="pl-PL"/>
        </w:rPr>
        <w:t> </w:t>
      </w:r>
      <w:r w:rsidRPr="00D55672">
        <w:rPr>
          <w:lang w:val="pl-PL"/>
        </w:rPr>
        <w:t>7</w:t>
      </w:r>
      <w:r w:rsidRPr="00FC6D7F">
        <w:rPr>
          <w:lang w:val="pl-PL"/>
        </w:rPr>
        <w:t>5</w:t>
      </w:r>
      <w:r w:rsidR="00D55672" w:rsidRPr="00FC6D7F">
        <w:rPr>
          <w:lang w:val="pl-PL"/>
        </w:rPr>
        <w:t xml:space="preserve"> i</w:t>
      </w:r>
      <w:r w:rsidR="00D55672">
        <w:rPr>
          <w:lang w:val="pl-PL"/>
        </w:rPr>
        <w:t> </w:t>
      </w:r>
      <w:r w:rsidR="00D55672" w:rsidRPr="00FC6D7F">
        <w:rPr>
          <w:lang w:val="pl-PL"/>
        </w:rPr>
        <w:t>7</w:t>
      </w:r>
      <w:r w:rsidRPr="00FC6D7F">
        <w:rPr>
          <w:lang w:val="pl-PL"/>
        </w:rPr>
        <w:t>6.</w:t>
      </w:r>
    </w:p>
  </w:footnote>
  <w:footnote w:id="43">
    <w:p w14:paraId="3FE1A580" w14:textId="0950FC29"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18 stycznia 20</w:t>
      </w:r>
      <w:r w:rsidRPr="00D55672">
        <w:rPr>
          <w:lang w:val="pl-PL"/>
        </w:rPr>
        <w:t>22</w:t>
      </w:r>
      <w:r w:rsidR="00D55672" w:rsidRPr="00D55672">
        <w:rPr>
          <w:lang w:val="pl-PL"/>
        </w:rPr>
        <w:t> </w:t>
      </w:r>
      <w:r w:rsidRPr="00D55672">
        <w:rPr>
          <w:lang w:val="pl-PL"/>
        </w:rPr>
        <w:t>r.</w:t>
      </w:r>
      <w:r w:rsidRPr="00FC6D7F">
        <w:rPr>
          <w:lang w:val="pl-PL"/>
        </w:rPr>
        <w:t xml:space="preserve">, JY/Wiener Landesregierung, </w:t>
      </w:r>
      <w:hyperlink r:id="rId35" w:history="1">
        <w:r w:rsidRPr="00FC6D7F">
          <w:rPr>
            <w:rStyle w:val="Hyperlink"/>
            <w:lang w:val="pl-PL"/>
          </w:rPr>
          <w:t>C</w:t>
        </w:r>
        <w:r w:rsidRPr="00FC6D7F">
          <w:rPr>
            <w:rStyle w:val="Hyperlink"/>
            <w:rFonts w:ascii="Cambria Math" w:hAnsi="Cambria Math"/>
            <w:lang w:val="pl-PL"/>
          </w:rPr>
          <w:t>-</w:t>
        </w:r>
        <w:r w:rsidRPr="00FC6D7F">
          <w:rPr>
            <w:rStyle w:val="Hyperlink"/>
            <w:lang w:val="pl-PL"/>
          </w:rPr>
          <w:t>118/20</w:t>
        </w:r>
      </w:hyperlink>
      <w:r w:rsidRPr="00FC6D7F">
        <w:rPr>
          <w:lang w:val="pl-PL"/>
        </w:rPr>
        <w:t>, EU:C:2022:34.</w:t>
      </w:r>
    </w:p>
  </w:footnote>
  <w:footnote w:id="44">
    <w:p w14:paraId="4E970507" w14:textId="76E68903"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Trybunał opierał się na wcześniejszym orzecznictwie: wyrok</w:t>
      </w:r>
      <w:r w:rsidR="00D55672" w:rsidRPr="00FC6D7F">
        <w:rPr>
          <w:lang w:val="pl-PL"/>
        </w:rPr>
        <w:t xml:space="preserve"> z</w:t>
      </w:r>
      <w:r w:rsidR="00D55672">
        <w:rPr>
          <w:lang w:val="pl-PL"/>
        </w:rPr>
        <w:t> </w:t>
      </w:r>
      <w:r w:rsidR="00D55672" w:rsidRPr="00FC6D7F">
        <w:rPr>
          <w:lang w:val="pl-PL"/>
        </w:rPr>
        <w:t>dni</w:t>
      </w:r>
      <w:r w:rsidRPr="00FC6D7F">
        <w:rPr>
          <w:lang w:val="pl-PL"/>
        </w:rPr>
        <w:t>a 2 marca 20</w:t>
      </w:r>
      <w:r w:rsidRPr="00D55672">
        <w:rPr>
          <w:lang w:val="pl-PL"/>
        </w:rPr>
        <w:t>10</w:t>
      </w:r>
      <w:r w:rsidR="00D55672" w:rsidRPr="00D55672">
        <w:rPr>
          <w:lang w:val="pl-PL"/>
        </w:rPr>
        <w:t> </w:t>
      </w:r>
      <w:r w:rsidRPr="00D55672">
        <w:rPr>
          <w:lang w:val="pl-PL"/>
        </w:rPr>
        <w:t>r.</w:t>
      </w:r>
      <w:r w:rsidRPr="00FC6D7F">
        <w:rPr>
          <w:lang w:val="pl-PL"/>
        </w:rPr>
        <w:t xml:space="preserve">, Rottmann, </w:t>
      </w:r>
      <w:hyperlink r:id="rId36" w:history="1">
        <w:r w:rsidRPr="00FC6D7F">
          <w:rPr>
            <w:rStyle w:val="Hyperlink"/>
            <w:lang w:val="pl-PL"/>
          </w:rPr>
          <w:t>C</w:t>
        </w:r>
        <w:r w:rsidRPr="00FC6D7F">
          <w:rPr>
            <w:rStyle w:val="Hyperlink"/>
            <w:rFonts w:ascii="Cambria Math" w:hAnsi="Cambria Math"/>
            <w:lang w:val="pl-PL"/>
          </w:rPr>
          <w:t>-</w:t>
        </w:r>
        <w:r w:rsidRPr="00FC6D7F">
          <w:rPr>
            <w:rStyle w:val="Hyperlink"/>
            <w:lang w:val="pl-PL"/>
          </w:rPr>
          <w:t>135/08</w:t>
        </w:r>
      </w:hyperlink>
      <w:r w:rsidRPr="00FC6D7F">
        <w:rPr>
          <w:lang w:val="pl-PL"/>
        </w:rPr>
        <w:t xml:space="preserve">, EU:C:2010:104, </w:t>
      </w:r>
      <w:r w:rsidRPr="00D55672">
        <w:rPr>
          <w:lang w:val="pl-PL"/>
        </w:rPr>
        <w:t>pkt</w:t>
      </w:r>
      <w:r w:rsidR="00D55672" w:rsidRPr="00D55672">
        <w:rPr>
          <w:lang w:val="pl-PL"/>
        </w:rPr>
        <w:t> </w:t>
      </w:r>
      <w:r w:rsidRPr="00D55672">
        <w:rPr>
          <w:lang w:val="pl-PL"/>
        </w:rPr>
        <w:t>5</w:t>
      </w:r>
      <w:r w:rsidRPr="00FC6D7F">
        <w:rPr>
          <w:lang w:val="pl-PL"/>
        </w:rPr>
        <w:t>5</w:t>
      </w:r>
      <w:r w:rsidR="00D55672" w:rsidRPr="00FC6D7F">
        <w:rPr>
          <w:lang w:val="pl-PL"/>
        </w:rPr>
        <w:t xml:space="preserve"> i</w:t>
      </w:r>
      <w:r w:rsidR="00D55672">
        <w:rPr>
          <w:lang w:val="pl-PL"/>
        </w:rPr>
        <w:t> </w:t>
      </w:r>
      <w:r w:rsidR="00D55672" w:rsidRPr="00FC6D7F">
        <w:rPr>
          <w:lang w:val="pl-PL"/>
        </w:rPr>
        <w:t>5</w:t>
      </w:r>
      <w:r w:rsidRPr="00FC6D7F">
        <w:rPr>
          <w:lang w:val="pl-PL"/>
        </w:rPr>
        <w:t>6; wyrok</w:t>
      </w:r>
      <w:r w:rsidR="00D55672" w:rsidRPr="00FC6D7F">
        <w:rPr>
          <w:lang w:val="pl-PL"/>
        </w:rPr>
        <w:t xml:space="preserve"> z</w:t>
      </w:r>
      <w:r w:rsidR="00D55672">
        <w:rPr>
          <w:lang w:val="pl-PL"/>
        </w:rPr>
        <w:t> </w:t>
      </w:r>
      <w:r w:rsidR="00D55672" w:rsidRPr="00FC6D7F">
        <w:rPr>
          <w:lang w:val="pl-PL"/>
        </w:rPr>
        <w:t>dni</w:t>
      </w:r>
      <w:r w:rsidRPr="00FC6D7F">
        <w:rPr>
          <w:lang w:val="pl-PL"/>
        </w:rPr>
        <w:t>a 12 marca 20</w:t>
      </w:r>
      <w:r w:rsidRPr="00D55672">
        <w:rPr>
          <w:lang w:val="pl-PL"/>
        </w:rPr>
        <w:t>19</w:t>
      </w:r>
      <w:r w:rsidR="00D55672" w:rsidRPr="00D55672">
        <w:rPr>
          <w:lang w:val="pl-PL"/>
        </w:rPr>
        <w:t> </w:t>
      </w:r>
      <w:r w:rsidRPr="00D55672">
        <w:rPr>
          <w:lang w:val="pl-PL"/>
        </w:rPr>
        <w:t>r.</w:t>
      </w:r>
      <w:r w:rsidRPr="00FC6D7F">
        <w:rPr>
          <w:lang w:val="pl-PL"/>
        </w:rPr>
        <w:t xml:space="preserve">, Tjebbes i in., </w:t>
      </w:r>
      <w:hyperlink r:id="rId37" w:history="1">
        <w:r w:rsidRPr="00FC6D7F">
          <w:rPr>
            <w:rStyle w:val="Hyperlink"/>
            <w:lang w:val="pl-PL"/>
          </w:rPr>
          <w:t>C</w:t>
        </w:r>
        <w:r w:rsidRPr="00FC6D7F">
          <w:rPr>
            <w:rStyle w:val="Hyperlink"/>
            <w:rFonts w:ascii="Cambria Math" w:hAnsi="Cambria Math"/>
            <w:lang w:val="pl-PL"/>
          </w:rPr>
          <w:t>-</w:t>
        </w:r>
        <w:r w:rsidRPr="00FC6D7F">
          <w:rPr>
            <w:rStyle w:val="Hyperlink"/>
            <w:lang w:val="pl-PL"/>
          </w:rPr>
          <w:t>221/17</w:t>
        </w:r>
      </w:hyperlink>
      <w:r w:rsidRPr="00FC6D7F">
        <w:rPr>
          <w:lang w:val="pl-PL"/>
        </w:rPr>
        <w:t xml:space="preserve">, EU:C:2019:189, </w:t>
      </w:r>
      <w:r w:rsidRPr="00D55672">
        <w:rPr>
          <w:lang w:val="pl-PL"/>
        </w:rPr>
        <w:t>pkt</w:t>
      </w:r>
      <w:r w:rsidR="00D55672" w:rsidRPr="00D55672">
        <w:rPr>
          <w:lang w:val="pl-PL"/>
        </w:rPr>
        <w:t> </w:t>
      </w:r>
      <w:r w:rsidRPr="00D55672">
        <w:rPr>
          <w:lang w:val="pl-PL"/>
        </w:rPr>
        <w:t>4</w:t>
      </w:r>
      <w:r w:rsidRPr="00FC6D7F">
        <w:rPr>
          <w:lang w:val="pl-PL"/>
        </w:rPr>
        <w:t>0.</w:t>
      </w:r>
    </w:p>
  </w:footnote>
  <w:footnote w:id="45">
    <w:p w14:paraId="12A8BC1B" w14:textId="05875EF9"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18 stycznia 20</w:t>
      </w:r>
      <w:r w:rsidRPr="00D55672">
        <w:rPr>
          <w:lang w:val="pl-PL"/>
        </w:rPr>
        <w:t>22</w:t>
      </w:r>
      <w:r w:rsidR="00D55672" w:rsidRPr="00D55672">
        <w:rPr>
          <w:lang w:val="pl-PL"/>
        </w:rPr>
        <w:t> </w:t>
      </w:r>
      <w:r w:rsidRPr="00D55672">
        <w:rPr>
          <w:lang w:val="pl-PL"/>
        </w:rPr>
        <w:t>r.</w:t>
      </w:r>
      <w:r w:rsidRPr="00FC6D7F">
        <w:rPr>
          <w:lang w:val="pl-PL"/>
        </w:rPr>
        <w:t xml:space="preserve">, JY/Wiener Landesregierung, </w:t>
      </w:r>
      <w:hyperlink r:id="rId38" w:history="1">
        <w:r w:rsidRPr="00FC6D7F">
          <w:rPr>
            <w:rStyle w:val="Hyperlink"/>
            <w:lang w:val="pl-PL"/>
          </w:rPr>
          <w:t>C</w:t>
        </w:r>
        <w:r w:rsidRPr="00FC6D7F">
          <w:rPr>
            <w:rStyle w:val="Hyperlink"/>
            <w:rFonts w:ascii="Cambria Math" w:hAnsi="Cambria Math"/>
            <w:lang w:val="pl-PL"/>
          </w:rPr>
          <w:t>-</w:t>
        </w:r>
        <w:r w:rsidRPr="00FC6D7F">
          <w:rPr>
            <w:rStyle w:val="Hyperlink"/>
            <w:lang w:val="pl-PL"/>
          </w:rPr>
          <w:t>118/20</w:t>
        </w:r>
      </w:hyperlink>
      <w:r w:rsidRPr="00FC6D7F">
        <w:rPr>
          <w:lang w:val="pl-PL"/>
        </w:rPr>
        <w:t xml:space="preserve">, EU:C:2022:34, </w:t>
      </w:r>
      <w:r w:rsidRPr="00D55672">
        <w:rPr>
          <w:lang w:val="pl-PL"/>
        </w:rPr>
        <w:t>pkt</w:t>
      </w:r>
      <w:r w:rsidR="00D55672" w:rsidRPr="00D55672">
        <w:rPr>
          <w:lang w:val="pl-PL"/>
        </w:rPr>
        <w:t> </w:t>
      </w:r>
      <w:r w:rsidRPr="00D55672">
        <w:rPr>
          <w:lang w:val="pl-PL"/>
        </w:rPr>
        <w:t>7</w:t>
      </w:r>
      <w:r w:rsidRPr="00FC6D7F">
        <w:rPr>
          <w:lang w:val="pl-PL"/>
        </w:rPr>
        <w:t>4.</w:t>
      </w:r>
    </w:p>
  </w:footnote>
  <w:footnote w:id="46">
    <w:p w14:paraId="6E451420" w14:textId="6802F0A6" w:rsidR="003667F7" w:rsidRPr="00FC6D7F" w:rsidRDefault="003667F7" w:rsidP="003667F7">
      <w:pPr>
        <w:pStyle w:val="FootnoteText"/>
        <w:ind w:left="357" w:hanging="357"/>
        <w:jc w:val="both"/>
        <w:rPr>
          <w:lang w:val="fr-LU"/>
        </w:rPr>
      </w:pPr>
      <w:r>
        <w:rPr>
          <w:rStyle w:val="FootnoteReference"/>
        </w:rPr>
        <w:footnoteRef/>
      </w:r>
      <w:r w:rsidRPr="00FC6D7F">
        <w:rPr>
          <w:lang w:val="fr-LU"/>
        </w:rPr>
        <w:t xml:space="preserve"> </w:t>
      </w:r>
      <w:r w:rsidRPr="00FC6D7F">
        <w:rPr>
          <w:lang w:val="fr-LU"/>
        </w:rPr>
        <w:tab/>
        <w:t>Wyrok</w:t>
      </w:r>
      <w:r w:rsidR="00D55672" w:rsidRPr="00FC6D7F">
        <w:rPr>
          <w:lang w:val="fr-LU"/>
        </w:rPr>
        <w:t xml:space="preserve"> z</w:t>
      </w:r>
      <w:r w:rsidR="00D55672">
        <w:rPr>
          <w:lang w:val="fr-LU"/>
        </w:rPr>
        <w:t> </w:t>
      </w:r>
      <w:r w:rsidR="00D55672" w:rsidRPr="00FC6D7F">
        <w:rPr>
          <w:lang w:val="fr-LU"/>
        </w:rPr>
        <w:t>dni</w:t>
      </w:r>
      <w:r w:rsidRPr="00FC6D7F">
        <w:rPr>
          <w:lang w:val="fr-LU"/>
        </w:rPr>
        <w:t>a 9 czerwca 20</w:t>
      </w:r>
      <w:r w:rsidRPr="00D55672">
        <w:rPr>
          <w:lang w:val="pl-PL"/>
        </w:rPr>
        <w:t>22</w:t>
      </w:r>
      <w:r w:rsidR="00D55672" w:rsidRPr="00D55672">
        <w:rPr>
          <w:lang w:val="pl-PL"/>
        </w:rPr>
        <w:t> </w:t>
      </w:r>
      <w:r w:rsidRPr="00D55672">
        <w:rPr>
          <w:lang w:val="pl-PL"/>
        </w:rPr>
        <w:t>r.</w:t>
      </w:r>
      <w:r w:rsidRPr="00FC6D7F">
        <w:rPr>
          <w:lang w:val="fr-LU"/>
        </w:rPr>
        <w:t>, EP/Préfet du Gers</w:t>
      </w:r>
      <w:r w:rsidR="00D55672" w:rsidRPr="00FC6D7F">
        <w:rPr>
          <w:lang w:val="fr-LU"/>
        </w:rPr>
        <w:t xml:space="preserve"> i</w:t>
      </w:r>
      <w:r w:rsidR="00D55672">
        <w:rPr>
          <w:lang w:val="fr-LU"/>
        </w:rPr>
        <w:t> </w:t>
      </w:r>
      <w:r w:rsidR="00D55672" w:rsidRPr="00FC6D7F">
        <w:rPr>
          <w:lang w:val="fr-LU"/>
        </w:rPr>
        <w:t>Ins</w:t>
      </w:r>
      <w:r w:rsidRPr="00FC6D7F">
        <w:rPr>
          <w:lang w:val="fr-LU"/>
        </w:rPr>
        <w:t xml:space="preserve">titut national de la statistique et des études économiques (INSEE), </w:t>
      </w:r>
      <w:hyperlink r:id="rId39" w:history="1">
        <w:r w:rsidRPr="00FC6D7F">
          <w:rPr>
            <w:rStyle w:val="Hyperlink"/>
            <w:lang w:val="fr-LU"/>
          </w:rPr>
          <w:t>C-673/20</w:t>
        </w:r>
      </w:hyperlink>
      <w:r w:rsidRPr="00FC6D7F">
        <w:rPr>
          <w:lang w:val="fr-LU"/>
        </w:rPr>
        <w:t>, EU:C:2022:449.</w:t>
      </w:r>
    </w:p>
  </w:footnote>
  <w:footnote w:id="47">
    <w:p w14:paraId="6B21F1EE" w14:textId="685D8D85" w:rsidR="003667F7" w:rsidRPr="00FC6D7F" w:rsidRDefault="003667F7" w:rsidP="003667F7">
      <w:pPr>
        <w:pStyle w:val="FootnoteText"/>
        <w:ind w:left="357" w:hanging="357"/>
        <w:jc w:val="both"/>
        <w:rPr>
          <w:lang w:val="fr-LU"/>
        </w:rPr>
      </w:pPr>
      <w:r>
        <w:rPr>
          <w:rStyle w:val="FootnoteReference"/>
        </w:rPr>
        <w:footnoteRef/>
      </w:r>
      <w:r w:rsidRPr="00FC6D7F">
        <w:rPr>
          <w:lang w:val="fr-LU"/>
        </w:rPr>
        <w:t xml:space="preserve"> </w:t>
      </w:r>
      <w:r w:rsidRPr="00FC6D7F">
        <w:rPr>
          <w:lang w:val="fr-LU"/>
        </w:rPr>
        <w:tab/>
        <w:t>Wyrok</w:t>
      </w:r>
      <w:r w:rsidR="00D55672" w:rsidRPr="00FC6D7F">
        <w:rPr>
          <w:lang w:val="fr-LU"/>
        </w:rPr>
        <w:t xml:space="preserve"> z</w:t>
      </w:r>
      <w:r w:rsidR="00D55672">
        <w:rPr>
          <w:lang w:val="fr-LU"/>
        </w:rPr>
        <w:t> </w:t>
      </w:r>
      <w:r w:rsidR="00D55672" w:rsidRPr="00FC6D7F">
        <w:rPr>
          <w:lang w:val="fr-LU"/>
        </w:rPr>
        <w:t>dni</w:t>
      </w:r>
      <w:r w:rsidRPr="00FC6D7F">
        <w:rPr>
          <w:lang w:val="fr-LU"/>
        </w:rPr>
        <w:t>a 9 czerwca 20</w:t>
      </w:r>
      <w:r w:rsidRPr="00D55672">
        <w:rPr>
          <w:lang w:val="pl-PL"/>
        </w:rPr>
        <w:t>22</w:t>
      </w:r>
      <w:r w:rsidR="00D55672" w:rsidRPr="00D55672">
        <w:rPr>
          <w:lang w:val="pl-PL"/>
        </w:rPr>
        <w:t> </w:t>
      </w:r>
      <w:r w:rsidRPr="00D55672">
        <w:rPr>
          <w:lang w:val="pl-PL"/>
        </w:rPr>
        <w:t>r.</w:t>
      </w:r>
      <w:r w:rsidRPr="00FC6D7F">
        <w:rPr>
          <w:lang w:val="fr-LU"/>
        </w:rPr>
        <w:t>, EP/Préfet du Gers</w:t>
      </w:r>
      <w:r w:rsidR="00D55672" w:rsidRPr="00FC6D7F">
        <w:rPr>
          <w:lang w:val="fr-LU"/>
        </w:rPr>
        <w:t xml:space="preserve"> i</w:t>
      </w:r>
      <w:r w:rsidR="00D55672">
        <w:rPr>
          <w:lang w:val="fr-LU"/>
        </w:rPr>
        <w:t> </w:t>
      </w:r>
      <w:r w:rsidR="00D55672" w:rsidRPr="00FC6D7F">
        <w:rPr>
          <w:lang w:val="fr-LU"/>
        </w:rPr>
        <w:t>Ins</w:t>
      </w:r>
      <w:r w:rsidRPr="00FC6D7F">
        <w:rPr>
          <w:lang w:val="fr-LU"/>
        </w:rPr>
        <w:t xml:space="preserve">titut national de la statistique et des études économiques (INSEE), C-673/20, EU:C:2022:449, </w:t>
      </w:r>
      <w:r w:rsidRPr="00D55672">
        <w:rPr>
          <w:lang w:val="pl-PL"/>
        </w:rPr>
        <w:t>pkt</w:t>
      </w:r>
      <w:r w:rsidR="00D55672" w:rsidRPr="00D55672">
        <w:rPr>
          <w:lang w:val="pl-PL"/>
        </w:rPr>
        <w:t> </w:t>
      </w:r>
      <w:r w:rsidRPr="00D55672">
        <w:rPr>
          <w:lang w:val="pl-PL"/>
        </w:rPr>
        <w:t>4</w:t>
      </w:r>
      <w:r w:rsidRPr="00FC6D7F">
        <w:rPr>
          <w:lang w:val="fr-LU"/>
        </w:rPr>
        <w:t>5.</w:t>
      </w:r>
    </w:p>
  </w:footnote>
  <w:footnote w:id="48">
    <w:p w14:paraId="104B1D4B" w14:textId="6902D107"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Postanowienie Trybunału (dziewiąta izba)</w:t>
      </w:r>
      <w:r w:rsidR="00D55672" w:rsidRPr="00FC6D7F">
        <w:rPr>
          <w:lang w:val="pl-PL"/>
        </w:rPr>
        <w:t xml:space="preserve"> z</w:t>
      </w:r>
      <w:r w:rsidR="00D55672">
        <w:rPr>
          <w:lang w:val="pl-PL"/>
        </w:rPr>
        <w:t> </w:t>
      </w:r>
      <w:r w:rsidR="00D55672" w:rsidRPr="00FC6D7F">
        <w:rPr>
          <w:lang w:val="pl-PL"/>
        </w:rPr>
        <w:t>dni</w:t>
      </w:r>
      <w:r w:rsidRPr="00FC6D7F">
        <w:rPr>
          <w:lang w:val="pl-PL"/>
        </w:rPr>
        <w:t>a 15 marca 20</w:t>
      </w:r>
      <w:r w:rsidRPr="00D55672">
        <w:rPr>
          <w:lang w:val="pl-PL"/>
        </w:rPr>
        <w:t>22</w:t>
      </w:r>
      <w:r w:rsidR="00D55672" w:rsidRPr="00D55672">
        <w:rPr>
          <w:lang w:val="pl-PL"/>
        </w:rPr>
        <w:t> </w:t>
      </w:r>
      <w:r w:rsidRPr="00D55672">
        <w:rPr>
          <w:lang w:val="pl-PL"/>
        </w:rPr>
        <w:t>r.</w:t>
      </w:r>
      <w:r w:rsidRPr="00FC6D7F">
        <w:rPr>
          <w:lang w:val="pl-PL"/>
        </w:rPr>
        <w:t xml:space="preserve">, WY/Steiermärkische Landesregierung, </w:t>
      </w:r>
      <w:hyperlink r:id="rId40" w:history="1">
        <w:r w:rsidRPr="00FC6D7F">
          <w:rPr>
            <w:rStyle w:val="Hyperlink"/>
            <w:lang w:val="pl-PL"/>
          </w:rPr>
          <w:t>C-85/21</w:t>
        </w:r>
      </w:hyperlink>
      <w:r w:rsidRPr="00FC6D7F">
        <w:rPr>
          <w:lang w:val="pl-PL"/>
        </w:rPr>
        <w:t xml:space="preserve">, EU:C:2022:192. </w:t>
      </w:r>
    </w:p>
  </w:footnote>
  <w:footnote w:id="49">
    <w:p w14:paraId="2CAF7407" w14:textId="36BF1315"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Postanowienie Trybunału (dziewiąta izba)</w:t>
      </w:r>
      <w:r w:rsidR="00D55672" w:rsidRPr="00FC6D7F">
        <w:rPr>
          <w:lang w:val="pl-PL"/>
        </w:rPr>
        <w:t xml:space="preserve"> z</w:t>
      </w:r>
      <w:r w:rsidR="00D55672">
        <w:rPr>
          <w:lang w:val="pl-PL"/>
        </w:rPr>
        <w:t> </w:t>
      </w:r>
      <w:r w:rsidR="00D55672" w:rsidRPr="00FC6D7F">
        <w:rPr>
          <w:lang w:val="pl-PL"/>
        </w:rPr>
        <w:t>dni</w:t>
      </w:r>
      <w:r w:rsidRPr="00FC6D7F">
        <w:rPr>
          <w:lang w:val="pl-PL"/>
        </w:rPr>
        <w:t>a 15 marca 20</w:t>
      </w:r>
      <w:r w:rsidRPr="00D55672">
        <w:rPr>
          <w:lang w:val="pl-PL"/>
        </w:rPr>
        <w:t>22</w:t>
      </w:r>
      <w:r w:rsidR="00D55672" w:rsidRPr="00D55672">
        <w:rPr>
          <w:lang w:val="pl-PL"/>
        </w:rPr>
        <w:t> </w:t>
      </w:r>
      <w:r w:rsidRPr="00D55672">
        <w:rPr>
          <w:lang w:val="pl-PL"/>
        </w:rPr>
        <w:t>r.</w:t>
      </w:r>
      <w:r w:rsidRPr="00FC6D7F">
        <w:rPr>
          <w:lang w:val="pl-PL"/>
        </w:rPr>
        <w:t xml:space="preserve">, WY/Steiermärkische Landesregierung, </w:t>
      </w:r>
      <w:hyperlink r:id="rId41" w:history="1">
        <w:r w:rsidRPr="00FC6D7F">
          <w:rPr>
            <w:rStyle w:val="Hyperlink"/>
            <w:lang w:val="pl-PL"/>
          </w:rPr>
          <w:t>C-85/21</w:t>
        </w:r>
      </w:hyperlink>
      <w:r w:rsidRPr="00FC6D7F">
        <w:rPr>
          <w:lang w:val="pl-PL"/>
        </w:rPr>
        <w:t xml:space="preserve">, EU:C:2022:192, </w:t>
      </w:r>
      <w:r w:rsidRPr="00D55672">
        <w:rPr>
          <w:lang w:val="pl-PL"/>
        </w:rPr>
        <w:t>pkt</w:t>
      </w:r>
      <w:r w:rsidR="00D55672" w:rsidRPr="00D55672">
        <w:rPr>
          <w:lang w:val="pl-PL"/>
        </w:rPr>
        <w:t> </w:t>
      </w:r>
      <w:r w:rsidRPr="00D55672">
        <w:rPr>
          <w:lang w:val="pl-PL"/>
        </w:rPr>
        <w:t>2</w:t>
      </w:r>
      <w:r w:rsidRPr="00FC6D7F">
        <w:rPr>
          <w:lang w:val="pl-PL"/>
        </w:rPr>
        <w:t>9.</w:t>
      </w:r>
    </w:p>
  </w:footnote>
  <w:footnote w:id="50">
    <w:p w14:paraId="620309B5" w14:textId="5B79752E"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Postanowienie Trybunału (dziewiąta izba)</w:t>
      </w:r>
      <w:r w:rsidR="00D55672" w:rsidRPr="00FC6D7F">
        <w:rPr>
          <w:lang w:val="pl-PL"/>
        </w:rPr>
        <w:t xml:space="preserve"> z</w:t>
      </w:r>
      <w:r w:rsidR="00D55672">
        <w:rPr>
          <w:lang w:val="pl-PL"/>
        </w:rPr>
        <w:t> </w:t>
      </w:r>
      <w:r w:rsidR="00D55672" w:rsidRPr="00FC6D7F">
        <w:rPr>
          <w:lang w:val="pl-PL"/>
        </w:rPr>
        <w:t>dni</w:t>
      </w:r>
      <w:r w:rsidRPr="00FC6D7F">
        <w:rPr>
          <w:lang w:val="pl-PL"/>
        </w:rPr>
        <w:t>a 15 marca 20</w:t>
      </w:r>
      <w:r w:rsidRPr="00D55672">
        <w:rPr>
          <w:lang w:val="pl-PL"/>
        </w:rPr>
        <w:t>22</w:t>
      </w:r>
      <w:r w:rsidR="00D55672" w:rsidRPr="00D55672">
        <w:rPr>
          <w:lang w:val="pl-PL"/>
        </w:rPr>
        <w:t> </w:t>
      </w:r>
      <w:r w:rsidRPr="00D55672">
        <w:rPr>
          <w:lang w:val="pl-PL"/>
        </w:rPr>
        <w:t>r.</w:t>
      </w:r>
      <w:r w:rsidRPr="00FC6D7F">
        <w:rPr>
          <w:lang w:val="pl-PL"/>
        </w:rPr>
        <w:t xml:space="preserve">, WY/Steiermärkische Landesregierung, </w:t>
      </w:r>
      <w:hyperlink r:id="rId42" w:history="1">
        <w:r w:rsidRPr="00FC6D7F">
          <w:rPr>
            <w:rStyle w:val="Hyperlink"/>
            <w:lang w:val="pl-PL"/>
          </w:rPr>
          <w:t>C-85/21</w:t>
        </w:r>
      </w:hyperlink>
      <w:r w:rsidRPr="00FC6D7F">
        <w:rPr>
          <w:lang w:val="pl-PL"/>
        </w:rPr>
        <w:t xml:space="preserve">, EU:C:2022:192, </w:t>
      </w:r>
      <w:r w:rsidRPr="00D55672">
        <w:rPr>
          <w:lang w:val="pl-PL"/>
        </w:rPr>
        <w:t>pkt</w:t>
      </w:r>
      <w:r w:rsidR="00D55672" w:rsidRPr="00D55672">
        <w:rPr>
          <w:lang w:val="pl-PL"/>
        </w:rPr>
        <w:t> </w:t>
      </w:r>
      <w:r w:rsidRPr="00D55672">
        <w:rPr>
          <w:lang w:val="pl-PL"/>
        </w:rPr>
        <w:t>3</w:t>
      </w:r>
      <w:r w:rsidRPr="00FC6D7F">
        <w:rPr>
          <w:lang w:val="pl-PL"/>
        </w:rPr>
        <w:t>1.</w:t>
      </w:r>
    </w:p>
  </w:footnote>
  <w:footnote w:id="51">
    <w:p w14:paraId="29984470" w14:textId="6798602F" w:rsidR="003667F7" w:rsidRPr="0023008D" w:rsidRDefault="003667F7" w:rsidP="003667F7">
      <w:pPr>
        <w:pStyle w:val="FootnoteText"/>
        <w:ind w:left="357" w:hanging="357"/>
        <w:jc w:val="both"/>
      </w:pPr>
      <w:r>
        <w:rPr>
          <w:rStyle w:val="FootnoteReference"/>
        </w:rPr>
        <w:footnoteRef/>
      </w:r>
      <w:r>
        <w:t xml:space="preserve"> </w:t>
      </w:r>
      <w:r>
        <w:tab/>
        <w:t>Wyrok Sądu (ósma izba)</w:t>
      </w:r>
      <w:r w:rsidR="00D55672">
        <w:t xml:space="preserve"> z dni</w:t>
      </w:r>
      <w:r>
        <w:t>a 9 listopada 20</w:t>
      </w:r>
      <w:r w:rsidRPr="00D55672">
        <w:rPr>
          <w:lang w:val="pl-PL"/>
        </w:rPr>
        <w:t>22</w:t>
      </w:r>
      <w:r w:rsidR="00D55672" w:rsidRPr="00D55672">
        <w:rPr>
          <w:lang w:val="pl-PL"/>
        </w:rPr>
        <w:t> </w:t>
      </w:r>
      <w:r w:rsidRPr="00D55672">
        <w:rPr>
          <w:lang w:val="pl-PL"/>
        </w:rPr>
        <w:t>r.</w:t>
      </w:r>
      <w:r>
        <w:t xml:space="preserve">, Citizens’ Committee of the European Citizens’ Initiative „Minority SafePack – one million signatures for diversity in Europe”/Komisja Europejska, </w:t>
      </w:r>
      <w:hyperlink r:id="rId43" w:history="1">
        <w:r>
          <w:rPr>
            <w:rStyle w:val="Hyperlink"/>
          </w:rPr>
          <w:t>T-158/21</w:t>
        </w:r>
      </w:hyperlink>
      <w:r>
        <w:t>, odwołanie</w:t>
      </w:r>
      <w:r w:rsidR="00D55672">
        <w:t xml:space="preserve"> w tok</w:t>
      </w:r>
      <w:r>
        <w:t>u, EU:T:2022:696.</w:t>
      </w:r>
    </w:p>
  </w:footnote>
  <w:footnote w:id="52">
    <w:p w14:paraId="29702DB1" w14:textId="43F0A280" w:rsidR="003667F7" w:rsidRPr="00FC6D7F" w:rsidRDefault="003667F7" w:rsidP="0051621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 xml:space="preserve">Niniejszy załącznik nie odnosi się do kilku spraw, które – chociaż nie opierają się na </w:t>
      </w:r>
      <w:r w:rsidRPr="00D55672">
        <w:rPr>
          <w:lang w:val="pl-PL"/>
        </w:rPr>
        <w:t>art.</w:t>
      </w:r>
      <w:r w:rsidR="00D55672" w:rsidRPr="00D55672">
        <w:rPr>
          <w:lang w:val="pl-PL"/>
        </w:rPr>
        <w:t> </w:t>
      </w:r>
      <w:r w:rsidRPr="00D55672">
        <w:rPr>
          <w:lang w:val="pl-PL"/>
        </w:rPr>
        <w:t>2</w:t>
      </w:r>
      <w:r w:rsidRPr="00FC6D7F">
        <w:rPr>
          <w:lang w:val="pl-PL"/>
        </w:rPr>
        <w:t>1 TFUE ani na dyrektywie</w:t>
      </w:r>
      <w:r w:rsidR="00D55672" w:rsidRPr="00FC6D7F">
        <w:rPr>
          <w:lang w:val="pl-PL"/>
        </w:rPr>
        <w:t xml:space="preserve"> w</w:t>
      </w:r>
      <w:r w:rsidR="00D55672">
        <w:rPr>
          <w:lang w:val="pl-PL"/>
        </w:rPr>
        <w:t> </w:t>
      </w:r>
      <w:r w:rsidR="00D55672" w:rsidRPr="00FC6D7F">
        <w:rPr>
          <w:lang w:val="pl-PL"/>
        </w:rPr>
        <w:t>spr</w:t>
      </w:r>
      <w:r w:rsidRPr="00FC6D7F">
        <w:rPr>
          <w:lang w:val="pl-PL"/>
        </w:rPr>
        <w:t>awie swobodnego przemieszczania się, nadal mają znaczenie</w:t>
      </w:r>
      <w:r w:rsidR="00D55672" w:rsidRPr="00FC6D7F">
        <w:rPr>
          <w:lang w:val="pl-PL"/>
        </w:rPr>
        <w:t xml:space="preserve"> w</w:t>
      </w:r>
      <w:r w:rsidR="00D55672">
        <w:rPr>
          <w:lang w:val="pl-PL"/>
        </w:rPr>
        <w:t> </w:t>
      </w:r>
      <w:r w:rsidR="00D55672" w:rsidRPr="00FC6D7F">
        <w:rPr>
          <w:lang w:val="pl-PL"/>
        </w:rPr>
        <w:t>kon</w:t>
      </w:r>
      <w:r w:rsidRPr="00FC6D7F">
        <w:rPr>
          <w:lang w:val="pl-PL"/>
        </w:rPr>
        <w:t>tekście korzystania ze swobodnego przemieszczania się podczas pandemii COVID-19. Dotyczą one</w:t>
      </w:r>
      <w:r w:rsidR="00D55672" w:rsidRPr="00FC6D7F">
        <w:rPr>
          <w:lang w:val="pl-PL"/>
        </w:rPr>
        <w:t xml:space="preserve"> w</w:t>
      </w:r>
      <w:r w:rsidR="00D55672">
        <w:rPr>
          <w:lang w:val="pl-PL"/>
        </w:rPr>
        <w:t> </w:t>
      </w:r>
      <w:r w:rsidR="00D55672" w:rsidRPr="00FC6D7F">
        <w:rPr>
          <w:lang w:val="pl-PL"/>
        </w:rPr>
        <w:t>szc</w:t>
      </w:r>
      <w:r w:rsidRPr="00FC6D7F">
        <w:rPr>
          <w:lang w:val="pl-PL"/>
        </w:rPr>
        <w:t>zególności rozporządzenia ustanawiającego unijne cyfrowe zaświadczenie COVID (rozporządzenie (UE) 2021/953). Są to sprawy T-527/21 (Abenante i in./Parlament</w:t>
      </w:r>
      <w:r w:rsidR="00D55672" w:rsidRPr="00FC6D7F">
        <w:rPr>
          <w:lang w:val="pl-PL"/>
        </w:rPr>
        <w:t xml:space="preserve"> i</w:t>
      </w:r>
      <w:r w:rsidR="00D55672">
        <w:rPr>
          <w:lang w:val="pl-PL"/>
        </w:rPr>
        <w:t> </w:t>
      </w:r>
      <w:r w:rsidR="00D55672" w:rsidRPr="00FC6D7F">
        <w:rPr>
          <w:lang w:val="pl-PL"/>
        </w:rPr>
        <w:t>Rad</w:t>
      </w:r>
      <w:r w:rsidRPr="00FC6D7F">
        <w:rPr>
          <w:lang w:val="pl-PL"/>
        </w:rPr>
        <w:t>a), T-101/22 (OG i in./Komisja), T-103/22 (ON/Komisja Europejska) i T-503/21 (Lagardère, Unité médico-sociale/Komisja)</w:t>
      </w:r>
      <w:r w:rsidR="00D55672" w:rsidRPr="00FC6D7F">
        <w:rPr>
          <w:lang w:val="pl-PL"/>
        </w:rPr>
        <w:t>. W</w:t>
      </w:r>
      <w:r w:rsidR="00D55672">
        <w:rPr>
          <w:lang w:val="pl-PL"/>
        </w:rPr>
        <w:t> </w:t>
      </w:r>
      <w:r w:rsidR="00D55672" w:rsidRPr="00FC6D7F">
        <w:rPr>
          <w:lang w:val="pl-PL"/>
        </w:rPr>
        <w:t>nin</w:t>
      </w:r>
      <w:r w:rsidRPr="00FC6D7F">
        <w:rPr>
          <w:lang w:val="pl-PL"/>
        </w:rPr>
        <w:t>iejszym załączniku nie uwzględniono również wyroków Trybunału opierających się przede wszystkim na statusie „pracownika unijnego” zgodnie</w:t>
      </w:r>
      <w:r w:rsidR="00D55672" w:rsidRPr="00FC6D7F">
        <w:rPr>
          <w:lang w:val="pl-PL"/>
        </w:rPr>
        <w:t xml:space="preserve"> z</w:t>
      </w:r>
      <w:r w:rsidR="00D55672">
        <w:rPr>
          <w:lang w:val="pl-PL"/>
        </w:rPr>
        <w:t> </w:t>
      </w:r>
      <w:r w:rsidR="00D55672" w:rsidRPr="00D55672">
        <w:rPr>
          <w:lang w:val="pl-PL"/>
        </w:rPr>
        <w:t>art</w:t>
      </w:r>
      <w:r w:rsidRPr="00D55672">
        <w:rPr>
          <w:lang w:val="pl-PL"/>
        </w:rPr>
        <w:t>.</w:t>
      </w:r>
      <w:r w:rsidR="00D55672" w:rsidRPr="00D55672">
        <w:rPr>
          <w:lang w:val="pl-PL"/>
        </w:rPr>
        <w:t> </w:t>
      </w:r>
      <w:r w:rsidRPr="00D55672">
        <w:rPr>
          <w:lang w:val="pl-PL"/>
        </w:rPr>
        <w:t>4</w:t>
      </w:r>
      <w:r w:rsidRPr="00FC6D7F">
        <w:rPr>
          <w:lang w:val="pl-PL"/>
        </w:rPr>
        <w:t>5</w:t>
      </w:r>
      <w:r w:rsidR="00D55672" w:rsidRPr="00FC6D7F">
        <w:rPr>
          <w:lang w:val="pl-PL"/>
        </w:rPr>
        <w:t xml:space="preserve"> i</w:t>
      </w:r>
      <w:r w:rsidR="00D55672">
        <w:rPr>
          <w:lang w:val="pl-PL"/>
        </w:rPr>
        <w:t> </w:t>
      </w:r>
      <w:r w:rsidR="00D55672" w:rsidRPr="00FC6D7F">
        <w:rPr>
          <w:lang w:val="pl-PL"/>
        </w:rPr>
        <w:t>nas</w:t>
      </w:r>
      <w:r w:rsidRPr="00FC6D7F">
        <w:rPr>
          <w:lang w:val="pl-PL"/>
        </w:rPr>
        <w:t>t. TFUE.</w:t>
      </w:r>
    </w:p>
  </w:footnote>
  <w:footnote w:id="53">
    <w:p w14:paraId="4F95A462" w14:textId="543DC0C2" w:rsidR="003667F7" w:rsidRPr="00FC6D7F" w:rsidRDefault="003667F7" w:rsidP="003667F7">
      <w:pPr>
        <w:pStyle w:val="FootnoteText"/>
        <w:ind w:left="357" w:hanging="357"/>
        <w:jc w:val="both"/>
        <w:rPr>
          <w:lang w:val="pl-PL"/>
        </w:rPr>
      </w:pPr>
      <w:r>
        <w:rPr>
          <w:rStyle w:val="FootnoteReference"/>
          <w:rFonts w:cs="Arial"/>
        </w:rPr>
        <w:footnoteRef/>
      </w:r>
      <w:r w:rsidRPr="00FC6D7F">
        <w:rPr>
          <w:lang w:val="pl-PL"/>
        </w:rPr>
        <w:t xml:space="preserve"> </w:t>
      </w:r>
      <w:r w:rsidRPr="00FC6D7F">
        <w:rPr>
          <w:lang w:val="pl-PL"/>
        </w:rPr>
        <w:tab/>
      </w:r>
      <w:r w:rsidRPr="00FC6D7F">
        <w:rPr>
          <w:color w:val="222222"/>
          <w:shd w:val="clear" w:color="auto" w:fill="FFFFFF"/>
          <w:lang w:val="pl-PL"/>
        </w:rPr>
        <w:t>Wyrok Trybunału (pierwsza izba)</w:t>
      </w:r>
      <w:r w:rsidR="00D55672" w:rsidRPr="00FC6D7F">
        <w:rPr>
          <w:color w:val="222222"/>
          <w:shd w:val="clear" w:color="auto" w:fill="FFFFFF"/>
          <w:lang w:val="pl-PL"/>
        </w:rPr>
        <w:t xml:space="preserve"> z</w:t>
      </w:r>
      <w:r w:rsidR="00D55672">
        <w:rPr>
          <w:color w:val="222222"/>
          <w:shd w:val="clear" w:color="auto" w:fill="FFFFFF"/>
          <w:lang w:val="pl-PL"/>
        </w:rPr>
        <w:t> </w:t>
      </w:r>
      <w:r w:rsidR="00D55672" w:rsidRPr="00FC6D7F">
        <w:rPr>
          <w:color w:val="222222"/>
          <w:shd w:val="clear" w:color="auto" w:fill="FFFFFF"/>
          <w:lang w:val="pl-PL"/>
        </w:rPr>
        <w:t>dni</w:t>
      </w:r>
      <w:r w:rsidRPr="00FC6D7F">
        <w:rPr>
          <w:color w:val="222222"/>
          <w:shd w:val="clear" w:color="auto" w:fill="FFFFFF"/>
          <w:lang w:val="pl-PL"/>
        </w:rPr>
        <w:t>a 17 grudnia 20</w:t>
      </w:r>
      <w:r w:rsidRPr="00D55672">
        <w:rPr>
          <w:color w:val="222222"/>
          <w:shd w:val="clear" w:color="auto" w:fill="FFFFFF"/>
          <w:lang w:val="pl-PL"/>
        </w:rPr>
        <w:t>20</w:t>
      </w:r>
      <w:r w:rsidR="00D55672" w:rsidRPr="00D55672">
        <w:rPr>
          <w:color w:val="222222"/>
          <w:shd w:val="clear" w:color="auto" w:fill="FFFFFF"/>
          <w:lang w:val="pl-PL"/>
        </w:rPr>
        <w:t> </w:t>
      </w:r>
      <w:r w:rsidRPr="00D55672">
        <w:rPr>
          <w:color w:val="222222"/>
          <w:shd w:val="clear" w:color="auto" w:fill="FFFFFF"/>
          <w:lang w:val="pl-PL"/>
        </w:rPr>
        <w:t>r.</w:t>
      </w:r>
      <w:r w:rsidRPr="00FC6D7F">
        <w:rPr>
          <w:color w:val="222222"/>
          <w:shd w:val="clear" w:color="auto" w:fill="FFFFFF" w:themeFill="background1"/>
          <w:lang w:val="pl-PL"/>
        </w:rPr>
        <w:t xml:space="preserve">, </w:t>
      </w:r>
      <w:r w:rsidRPr="00FC6D7F">
        <w:rPr>
          <w:shd w:val="clear" w:color="auto" w:fill="FFFFFF" w:themeFill="background1"/>
          <w:lang w:val="pl-PL"/>
        </w:rPr>
        <w:t xml:space="preserve">GMA Demandeur d'emploi, </w:t>
      </w:r>
      <w:hyperlink r:id="rId44" w:history="1">
        <w:r w:rsidRPr="00FC6D7F">
          <w:rPr>
            <w:rStyle w:val="Hyperlink"/>
            <w:color w:val="1155CC"/>
            <w:shd w:val="clear" w:color="auto" w:fill="FFFFFF" w:themeFill="background1"/>
            <w:lang w:val="pl-PL"/>
          </w:rPr>
          <w:t xml:space="preserve">C-710/2019, </w:t>
        </w:r>
      </w:hyperlink>
      <w:r w:rsidRPr="00FC6D7F">
        <w:rPr>
          <w:shd w:val="clear" w:color="auto" w:fill="FFFFFF" w:themeFill="background1"/>
          <w:lang w:val="pl-PL"/>
        </w:rPr>
        <w:t>EU:C:2020:1037</w:t>
      </w:r>
      <w:r w:rsidRPr="00FC6D7F">
        <w:rPr>
          <w:shd w:val="clear" w:color="auto" w:fill="FFFFFF"/>
          <w:lang w:val="pl-PL"/>
        </w:rPr>
        <w:t>.</w:t>
      </w:r>
    </w:p>
  </w:footnote>
  <w:footnote w:id="54">
    <w:p w14:paraId="3AD02F93" w14:textId="34556065" w:rsidR="003667F7" w:rsidRPr="00FC6D7F" w:rsidRDefault="003667F7" w:rsidP="003667F7">
      <w:pPr>
        <w:pStyle w:val="FootnoteText"/>
        <w:ind w:left="357" w:hanging="357"/>
        <w:jc w:val="both"/>
        <w:rPr>
          <w:lang w:val="pl-PL"/>
        </w:rPr>
      </w:pPr>
      <w:r>
        <w:rPr>
          <w:rStyle w:val="FootnoteReference"/>
          <w:rFonts w:cs="Arial"/>
        </w:rPr>
        <w:footnoteRef/>
      </w:r>
      <w:r w:rsidRPr="00FC6D7F">
        <w:rPr>
          <w:lang w:val="pl-PL"/>
        </w:rPr>
        <w:t xml:space="preserve"> </w:t>
      </w:r>
      <w:r w:rsidRPr="00FC6D7F">
        <w:rPr>
          <w:lang w:val="pl-PL"/>
        </w:rPr>
        <w:tab/>
      </w:r>
      <w:r w:rsidRPr="00FC6D7F">
        <w:rPr>
          <w:color w:val="222222"/>
          <w:shd w:val="clear" w:color="auto" w:fill="FFFFFF"/>
          <w:lang w:val="pl-PL"/>
        </w:rPr>
        <w:t>Wyrok</w:t>
      </w:r>
      <w:r w:rsidRPr="00FC6D7F">
        <w:rPr>
          <w:shd w:val="clear" w:color="auto" w:fill="FFFFFF"/>
          <w:lang w:val="pl-PL"/>
        </w:rPr>
        <w:t xml:space="preserve"> Trybunału (pierwsza izba)</w:t>
      </w:r>
      <w:r w:rsidR="00D55672" w:rsidRPr="00FC6D7F">
        <w:rPr>
          <w:shd w:val="clear" w:color="auto" w:fill="FFFFFF"/>
          <w:lang w:val="pl-PL"/>
        </w:rPr>
        <w:t xml:space="preserve"> z</w:t>
      </w:r>
      <w:r w:rsidR="00D55672">
        <w:rPr>
          <w:shd w:val="clear" w:color="auto" w:fill="FFFFFF"/>
          <w:lang w:val="pl-PL"/>
        </w:rPr>
        <w:t> </w:t>
      </w:r>
      <w:r w:rsidR="00D55672" w:rsidRPr="00FC6D7F">
        <w:rPr>
          <w:shd w:val="clear" w:color="auto" w:fill="FFFFFF"/>
          <w:lang w:val="pl-PL"/>
        </w:rPr>
        <w:t>dni</w:t>
      </w:r>
      <w:r w:rsidRPr="00FC6D7F">
        <w:rPr>
          <w:shd w:val="clear" w:color="auto" w:fill="FFFFFF"/>
          <w:lang w:val="pl-PL"/>
        </w:rPr>
        <w:t>a 17 grudnia 20</w:t>
      </w:r>
      <w:r w:rsidRPr="00D55672">
        <w:rPr>
          <w:shd w:val="clear" w:color="auto" w:fill="FFFFFF"/>
          <w:lang w:val="pl-PL"/>
        </w:rPr>
        <w:t>20</w:t>
      </w:r>
      <w:r w:rsidR="00D55672" w:rsidRPr="00D55672">
        <w:rPr>
          <w:shd w:val="clear" w:color="auto" w:fill="FFFFFF"/>
          <w:lang w:val="pl-PL"/>
        </w:rPr>
        <w:t> </w:t>
      </w:r>
      <w:r w:rsidRPr="00D55672">
        <w:rPr>
          <w:shd w:val="clear" w:color="auto" w:fill="FFFFFF"/>
          <w:lang w:val="pl-PL"/>
        </w:rPr>
        <w:t>r.</w:t>
      </w:r>
      <w:r w:rsidRPr="00FC6D7F">
        <w:rPr>
          <w:shd w:val="clear" w:color="auto" w:fill="FFFFFF" w:themeFill="background1"/>
          <w:lang w:val="pl-PL"/>
        </w:rPr>
        <w:t xml:space="preserve">, GMA Demandeur d'emploi, </w:t>
      </w:r>
      <w:hyperlink r:id="rId45" w:history="1">
        <w:r w:rsidRPr="00FC6D7F">
          <w:rPr>
            <w:rStyle w:val="Hyperlink"/>
            <w:shd w:val="clear" w:color="auto" w:fill="FFFFFF" w:themeFill="background1"/>
            <w:lang w:val="pl-PL"/>
          </w:rPr>
          <w:t xml:space="preserve">C-710/2019, </w:t>
        </w:r>
      </w:hyperlink>
      <w:r w:rsidRPr="00FC6D7F">
        <w:rPr>
          <w:shd w:val="clear" w:color="auto" w:fill="FFFFFF" w:themeFill="background1"/>
          <w:lang w:val="pl-PL"/>
        </w:rPr>
        <w:t>EU:C:2020:1037</w:t>
      </w:r>
      <w:r w:rsidRPr="00FC6D7F">
        <w:rPr>
          <w:shd w:val="clear" w:color="auto" w:fill="FFFFFF"/>
          <w:lang w:val="pl-PL"/>
        </w:rPr>
        <w:t xml:space="preserve">, </w:t>
      </w:r>
      <w:r w:rsidRPr="00D55672">
        <w:rPr>
          <w:shd w:val="clear" w:color="auto" w:fill="FFFFFF"/>
          <w:lang w:val="pl-PL"/>
        </w:rPr>
        <w:t>pkt</w:t>
      </w:r>
      <w:r w:rsidR="00D55672" w:rsidRPr="00D55672">
        <w:rPr>
          <w:shd w:val="clear" w:color="auto" w:fill="FFFFFF"/>
          <w:lang w:val="pl-PL"/>
        </w:rPr>
        <w:t> </w:t>
      </w:r>
      <w:r w:rsidRPr="00D55672">
        <w:rPr>
          <w:shd w:val="clear" w:color="auto" w:fill="FFFFFF"/>
          <w:lang w:val="pl-PL"/>
        </w:rPr>
        <w:t>5</w:t>
      </w:r>
      <w:r w:rsidRPr="00FC6D7F">
        <w:rPr>
          <w:shd w:val="clear" w:color="auto" w:fill="FFFFFF"/>
          <w:lang w:val="pl-PL"/>
        </w:rPr>
        <w:t>1.</w:t>
      </w:r>
    </w:p>
  </w:footnote>
  <w:footnote w:id="55">
    <w:p w14:paraId="5FBDEA6D" w14:textId="319757AF"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r>
      <w:r w:rsidRPr="00FC6D7F">
        <w:rPr>
          <w:color w:val="222222"/>
          <w:shd w:val="clear" w:color="auto" w:fill="FFFFFF"/>
          <w:lang w:val="pl-PL"/>
        </w:rPr>
        <w:t>Wyrok Trybunału (pierwsza izba)</w:t>
      </w:r>
      <w:r w:rsidR="00D55672" w:rsidRPr="00FC6D7F">
        <w:rPr>
          <w:color w:val="222222"/>
          <w:shd w:val="clear" w:color="auto" w:fill="FFFFFF"/>
          <w:lang w:val="pl-PL"/>
        </w:rPr>
        <w:t xml:space="preserve"> z</w:t>
      </w:r>
      <w:r w:rsidR="00D55672">
        <w:rPr>
          <w:color w:val="222222"/>
          <w:shd w:val="clear" w:color="auto" w:fill="FFFFFF"/>
          <w:lang w:val="pl-PL"/>
        </w:rPr>
        <w:t> </w:t>
      </w:r>
      <w:r w:rsidR="00D55672" w:rsidRPr="00FC6D7F">
        <w:rPr>
          <w:color w:val="222222"/>
          <w:shd w:val="clear" w:color="auto" w:fill="FFFFFF"/>
          <w:lang w:val="pl-PL"/>
        </w:rPr>
        <w:t>dni</w:t>
      </w:r>
      <w:r w:rsidRPr="00FC6D7F">
        <w:rPr>
          <w:color w:val="222222"/>
          <w:shd w:val="clear" w:color="auto" w:fill="FFFFFF"/>
          <w:lang w:val="pl-PL"/>
        </w:rPr>
        <w:t>a 17 grudnia 20</w:t>
      </w:r>
      <w:r w:rsidRPr="00D55672">
        <w:rPr>
          <w:color w:val="222222"/>
          <w:shd w:val="clear" w:color="auto" w:fill="FFFFFF"/>
          <w:lang w:val="pl-PL"/>
        </w:rPr>
        <w:t>20</w:t>
      </w:r>
      <w:r w:rsidR="00D55672" w:rsidRPr="00D55672">
        <w:rPr>
          <w:color w:val="222222"/>
          <w:shd w:val="clear" w:color="auto" w:fill="FFFFFF"/>
          <w:lang w:val="pl-PL"/>
        </w:rPr>
        <w:t> </w:t>
      </w:r>
      <w:r w:rsidRPr="00D55672">
        <w:rPr>
          <w:color w:val="222222"/>
          <w:shd w:val="clear" w:color="auto" w:fill="FFFFFF"/>
          <w:lang w:val="pl-PL"/>
        </w:rPr>
        <w:t>r.</w:t>
      </w:r>
      <w:r w:rsidRPr="00FC6D7F">
        <w:rPr>
          <w:color w:val="222222"/>
          <w:shd w:val="clear" w:color="auto" w:fill="FFFFFF"/>
          <w:lang w:val="pl-PL"/>
        </w:rPr>
        <w:t xml:space="preserve">, GMA Demandeur d'emploi, </w:t>
      </w:r>
      <w:hyperlink r:id="rId46" w:history="1">
        <w:r w:rsidRPr="00FC6D7F">
          <w:rPr>
            <w:color w:val="222222"/>
            <w:shd w:val="clear" w:color="auto" w:fill="FFFFFF"/>
            <w:lang w:val="pl-PL"/>
          </w:rPr>
          <w:t xml:space="preserve">C-710/2019, </w:t>
        </w:r>
      </w:hyperlink>
      <w:r w:rsidRPr="00FC6D7F">
        <w:rPr>
          <w:color w:val="222222"/>
          <w:shd w:val="clear" w:color="auto" w:fill="FFFFFF"/>
          <w:lang w:val="pl-PL"/>
        </w:rPr>
        <w:t xml:space="preserve">EU:C:2020:1037, </w:t>
      </w:r>
      <w:r w:rsidRPr="00D55672">
        <w:rPr>
          <w:color w:val="222222"/>
          <w:shd w:val="clear" w:color="auto" w:fill="FFFFFF"/>
          <w:lang w:val="pl-PL"/>
        </w:rPr>
        <w:t>pkt</w:t>
      </w:r>
      <w:r w:rsidR="00D55672" w:rsidRPr="00D55672">
        <w:rPr>
          <w:color w:val="222222"/>
          <w:shd w:val="clear" w:color="auto" w:fill="FFFFFF"/>
          <w:lang w:val="pl-PL"/>
        </w:rPr>
        <w:t> </w:t>
      </w:r>
      <w:r w:rsidRPr="00D55672">
        <w:rPr>
          <w:color w:val="222222"/>
          <w:shd w:val="clear" w:color="auto" w:fill="FFFFFF"/>
          <w:lang w:val="pl-PL"/>
        </w:rPr>
        <w:t>4</w:t>
      </w:r>
      <w:r w:rsidRPr="00FC6D7F">
        <w:rPr>
          <w:color w:val="222222"/>
          <w:shd w:val="clear" w:color="auto" w:fill="FFFFFF"/>
          <w:lang w:val="pl-PL"/>
        </w:rPr>
        <w:t>5.</w:t>
      </w:r>
    </w:p>
  </w:footnote>
  <w:footnote w:id="56">
    <w:p w14:paraId="13D73124" w14:textId="6E83A628"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r>
      <w:r w:rsidRPr="00FC6D7F">
        <w:rPr>
          <w:color w:val="222222"/>
          <w:shd w:val="clear" w:color="auto" w:fill="FFFFFF"/>
          <w:lang w:val="pl-PL"/>
        </w:rPr>
        <w:t>Wyrok Trybunału (pierwsza izba)</w:t>
      </w:r>
      <w:r w:rsidR="00D55672" w:rsidRPr="00FC6D7F">
        <w:rPr>
          <w:color w:val="222222"/>
          <w:shd w:val="clear" w:color="auto" w:fill="FFFFFF"/>
          <w:lang w:val="pl-PL"/>
        </w:rPr>
        <w:t xml:space="preserve"> z</w:t>
      </w:r>
      <w:r w:rsidR="00D55672">
        <w:rPr>
          <w:color w:val="222222"/>
          <w:shd w:val="clear" w:color="auto" w:fill="FFFFFF"/>
          <w:lang w:val="pl-PL"/>
        </w:rPr>
        <w:t> </w:t>
      </w:r>
      <w:r w:rsidR="00D55672" w:rsidRPr="00FC6D7F">
        <w:rPr>
          <w:color w:val="222222"/>
          <w:shd w:val="clear" w:color="auto" w:fill="FFFFFF"/>
          <w:lang w:val="pl-PL"/>
        </w:rPr>
        <w:t>dni</w:t>
      </w:r>
      <w:r w:rsidRPr="00FC6D7F">
        <w:rPr>
          <w:color w:val="222222"/>
          <w:shd w:val="clear" w:color="auto" w:fill="FFFFFF"/>
          <w:lang w:val="pl-PL"/>
        </w:rPr>
        <w:t>a 17 grudnia 20</w:t>
      </w:r>
      <w:r w:rsidRPr="00D55672">
        <w:rPr>
          <w:color w:val="222222"/>
          <w:shd w:val="clear" w:color="auto" w:fill="FFFFFF"/>
          <w:lang w:val="pl-PL"/>
        </w:rPr>
        <w:t>20</w:t>
      </w:r>
      <w:r w:rsidR="00D55672" w:rsidRPr="00D55672">
        <w:rPr>
          <w:color w:val="222222"/>
          <w:shd w:val="clear" w:color="auto" w:fill="FFFFFF"/>
          <w:lang w:val="pl-PL"/>
        </w:rPr>
        <w:t> </w:t>
      </w:r>
      <w:r w:rsidRPr="00D55672">
        <w:rPr>
          <w:color w:val="222222"/>
          <w:shd w:val="clear" w:color="auto" w:fill="FFFFFF"/>
          <w:lang w:val="pl-PL"/>
        </w:rPr>
        <w:t>r.</w:t>
      </w:r>
      <w:r w:rsidRPr="00FC6D7F">
        <w:rPr>
          <w:color w:val="222222"/>
          <w:shd w:val="clear" w:color="auto" w:fill="FFFFFF"/>
          <w:lang w:val="pl-PL"/>
        </w:rPr>
        <w:t xml:space="preserve">, GMA Demandeur d'emploi, </w:t>
      </w:r>
      <w:hyperlink r:id="rId47" w:history="1">
        <w:r w:rsidRPr="00FC6D7F">
          <w:rPr>
            <w:color w:val="222222"/>
            <w:shd w:val="clear" w:color="auto" w:fill="FFFFFF"/>
            <w:lang w:val="pl-PL"/>
          </w:rPr>
          <w:t xml:space="preserve">C-710/2019, </w:t>
        </w:r>
      </w:hyperlink>
      <w:r w:rsidRPr="00FC6D7F">
        <w:rPr>
          <w:color w:val="222222"/>
          <w:shd w:val="clear" w:color="auto" w:fill="FFFFFF"/>
          <w:lang w:val="pl-PL"/>
        </w:rPr>
        <w:t xml:space="preserve">EU:C:2020:1037, </w:t>
      </w:r>
      <w:r w:rsidRPr="00D55672">
        <w:rPr>
          <w:color w:val="222222"/>
          <w:shd w:val="clear" w:color="auto" w:fill="FFFFFF"/>
          <w:lang w:val="pl-PL"/>
        </w:rPr>
        <w:t>pkt</w:t>
      </w:r>
      <w:r w:rsidR="00D55672" w:rsidRPr="00D55672">
        <w:rPr>
          <w:color w:val="222222"/>
          <w:shd w:val="clear" w:color="auto" w:fill="FFFFFF"/>
          <w:lang w:val="pl-PL"/>
        </w:rPr>
        <w:t> </w:t>
      </w:r>
      <w:r w:rsidRPr="00D55672">
        <w:rPr>
          <w:color w:val="222222"/>
          <w:shd w:val="clear" w:color="auto" w:fill="FFFFFF"/>
          <w:lang w:val="pl-PL"/>
        </w:rPr>
        <w:t>4</w:t>
      </w:r>
      <w:r w:rsidRPr="00FC6D7F">
        <w:rPr>
          <w:color w:val="222222"/>
          <w:shd w:val="clear" w:color="auto" w:fill="FFFFFF"/>
          <w:lang w:val="pl-PL"/>
        </w:rPr>
        <w:t>3.</w:t>
      </w:r>
    </w:p>
  </w:footnote>
  <w:footnote w:id="57">
    <w:p w14:paraId="4184E7E0" w14:textId="2AB59B65"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r>
      <w:r w:rsidRPr="00FC6D7F">
        <w:rPr>
          <w:color w:val="222222"/>
          <w:shd w:val="clear" w:color="auto" w:fill="FFFFFF"/>
          <w:lang w:val="pl-PL"/>
        </w:rPr>
        <w:t>Wyrok Trybunału (pierwsza izba)</w:t>
      </w:r>
      <w:r w:rsidR="00D55672" w:rsidRPr="00FC6D7F">
        <w:rPr>
          <w:color w:val="222222"/>
          <w:shd w:val="clear" w:color="auto" w:fill="FFFFFF"/>
          <w:lang w:val="pl-PL"/>
        </w:rPr>
        <w:t xml:space="preserve"> z</w:t>
      </w:r>
      <w:r w:rsidR="00D55672">
        <w:rPr>
          <w:color w:val="222222"/>
          <w:shd w:val="clear" w:color="auto" w:fill="FFFFFF"/>
          <w:lang w:val="pl-PL"/>
        </w:rPr>
        <w:t> </w:t>
      </w:r>
      <w:r w:rsidR="00D55672" w:rsidRPr="00FC6D7F">
        <w:rPr>
          <w:color w:val="222222"/>
          <w:shd w:val="clear" w:color="auto" w:fill="FFFFFF"/>
          <w:lang w:val="pl-PL"/>
        </w:rPr>
        <w:t>dni</w:t>
      </w:r>
      <w:r w:rsidRPr="00FC6D7F">
        <w:rPr>
          <w:color w:val="222222"/>
          <w:shd w:val="clear" w:color="auto" w:fill="FFFFFF"/>
          <w:lang w:val="pl-PL"/>
        </w:rPr>
        <w:t>a 17 grudnia 20</w:t>
      </w:r>
      <w:r w:rsidRPr="00D55672">
        <w:rPr>
          <w:color w:val="222222"/>
          <w:shd w:val="clear" w:color="auto" w:fill="FFFFFF"/>
          <w:lang w:val="pl-PL"/>
        </w:rPr>
        <w:t>20</w:t>
      </w:r>
      <w:r w:rsidR="00D55672" w:rsidRPr="00D55672">
        <w:rPr>
          <w:color w:val="222222"/>
          <w:shd w:val="clear" w:color="auto" w:fill="FFFFFF"/>
          <w:lang w:val="pl-PL"/>
        </w:rPr>
        <w:t> </w:t>
      </w:r>
      <w:r w:rsidRPr="00D55672">
        <w:rPr>
          <w:color w:val="222222"/>
          <w:shd w:val="clear" w:color="auto" w:fill="FFFFFF"/>
          <w:lang w:val="pl-PL"/>
        </w:rPr>
        <w:t>r.</w:t>
      </w:r>
      <w:r w:rsidRPr="00FC6D7F">
        <w:rPr>
          <w:color w:val="222222"/>
          <w:shd w:val="clear" w:color="auto" w:fill="FFFFFF"/>
          <w:lang w:val="pl-PL"/>
        </w:rPr>
        <w:t xml:space="preserve">, GMA Demandeur d'emploi, </w:t>
      </w:r>
      <w:hyperlink r:id="rId48" w:history="1">
        <w:r w:rsidRPr="00FC6D7F">
          <w:rPr>
            <w:color w:val="222222"/>
            <w:shd w:val="clear" w:color="auto" w:fill="FFFFFF"/>
            <w:lang w:val="pl-PL"/>
          </w:rPr>
          <w:t xml:space="preserve">C-710/2019, </w:t>
        </w:r>
      </w:hyperlink>
      <w:r w:rsidRPr="00FC6D7F">
        <w:rPr>
          <w:color w:val="222222"/>
          <w:shd w:val="clear" w:color="auto" w:fill="FFFFFF"/>
          <w:lang w:val="pl-PL"/>
        </w:rPr>
        <w:t xml:space="preserve">EU:C:2020:1037, </w:t>
      </w:r>
      <w:r w:rsidRPr="00D55672">
        <w:rPr>
          <w:color w:val="222222"/>
          <w:shd w:val="clear" w:color="auto" w:fill="FFFFFF"/>
          <w:lang w:val="pl-PL"/>
        </w:rPr>
        <w:t>pkt</w:t>
      </w:r>
      <w:r w:rsidR="00D55672" w:rsidRPr="00D55672">
        <w:rPr>
          <w:color w:val="222222"/>
          <w:shd w:val="clear" w:color="auto" w:fill="FFFFFF"/>
          <w:lang w:val="pl-PL"/>
        </w:rPr>
        <w:t> </w:t>
      </w:r>
      <w:r w:rsidRPr="00D55672">
        <w:rPr>
          <w:color w:val="222222"/>
          <w:shd w:val="clear" w:color="auto" w:fill="FFFFFF"/>
          <w:lang w:val="pl-PL"/>
        </w:rPr>
        <w:t>4</w:t>
      </w:r>
      <w:r w:rsidRPr="00FC6D7F">
        <w:rPr>
          <w:color w:val="222222"/>
          <w:shd w:val="clear" w:color="auto" w:fill="FFFFFF"/>
          <w:lang w:val="pl-PL"/>
        </w:rPr>
        <w:t>2.</w:t>
      </w:r>
    </w:p>
  </w:footnote>
  <w:footnote w:id="58">
    <w:p w14:paraId="22C06640" w14:textId="5283FC81"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(pierwsza izba)</w:t>
      </w:r>
      <w:r w:rsidR="00D55672" w:rsidRPr="00FC6D7F">
        <w:rPr>
          <w:lang w:val="pl-PL"/>
        </w:rPr>
        <w:t xml:space="preserve"> z</w:t>
      </w:r>
      <w:r w:rsidR="00D55672">
        <w:rPr>
          <w:lang w:val="pl-PL"/>
        </w:rPr>
        <w:t> </w:t>
      </w:r>
      <w:r w:rsidR="00D55672" w:rsidRPr="00FC6D7F">
        <w:rPr>
          <w:lang w:val="pl-PL"/>
        </w:rPr>
        <w:t>dni</w:t>
      </w:r>
      <w:r w:rsidRPr="00FC6D7F">
        <w:rPr>
          <w:lang w:val="pl-PL"/>
        </w:rPr>
        <w:t>a 17 grudnia 20</w:t>
      </w:r>
      <w:r w:rsidRPr="00D55672">
        <w:rPr>
          <w:lang w:val="pl-PL"/>
        </w:rPr>
        <w:t>20</w:t>
      </w:r>
      <w:r w:rsidR="00D55672" w:rsidRPr="00D55672">
        <w:rPr>
          <w:lang w:val="pl-PL"/>
        </w:rPr>
        <w:t> </w:t>
      </w:r>
      <w:r w:rsidRPr="00D55672">
        <w:rPr>
          <w:lang w:val="pl-PL"/>
        </w:rPr>
        <w:t>r.</w:t>
      </w:r>
      <w:r w:rsidRPr="00FC6D7F">
        <w:rPr>
          <w:lang w:val="pl-PL"/>
        </w:rPr>
        <w:t xml:space="preserve">, GMA Demandeur d'emploi, </w:t>
      </w:r>
      <w:hyperlink r:id="rId49" w:history="1">
        <w:r w:rsidRPr="00FC6D7F">
          <w:rPr>
            <w:lang w:val="pl-PL"/>
          </w:rPr>
          <w:t xml:space="preserve">C-710/2019, </w:t>
        </w:r>
      </w:hyperlink>
      <w:r w:rsidRPr="00FC6D7F">
        <w:rPr>
          <w:lang w:val="pl-PL"/>
        </w:rPr>
        <w:t xml:space="preserve">EU:C:2020:1037, </w:t>
      </w:r>
      <w:r w:rsidRPr="00D55672">
        <w:rPr>
          <w:lang w:val="pl-PL"/>
        </w:rPr>
        <w:t>pkt</w:t>
      </w:r>
      <w:r w:rsidR="00D55672" w:rsidRPr="00D55672">
        <w:rPr>
          <w:lang w:val="pl-PL"/>
        </w:rPr>
        <w:t> </w:t>
      </w:r>
      <w:r w:rsidRPr="00D55672">
        <w:rPr>
          <w:lang w:val="pl-PL"/>
        </w:rPr>
        <w:t>2</w:t>
      </w:r>
      <w:r w:rsidRPr="00FC6D7F">
        <w:rPr>
          <w:lang w:val="pl-PL"/>
        </w:rPr>
        <w:t>8.</w:t>
      </w:r>
    </w:p>
  </w:footnote>
  <w:footnote w:id="59">
    <w:p w14:paraId="4A1F71FA" w14:textId="388D3268"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22 czerwca 20</w:t>
      </w:r>
      <w:r w:rsidRPr="00D55672">
        <w:rPr>
          <w:lang w:val="pl-PL"/>
        </w:rPr>
        <w:t>21</w:t>
      </w:r>
      <w:r w:rsidR="00D55672" w:rsidRPr="00D55672">
        <w:rPr>
          <w:lang w:val="pl-PL"/>
        </w:rPr>
        <w:t> </w:t>
      </w:r>
      <w:r w:rsidRPr="00D55672">
        <w:rPr>
          <w:lang w:val="pl-PL"/>
        </w:rPr>
        <w:t>r.</w:t>
      </w:r>
      <w:r w:rsidRPr="00FC6D7F">
        <w:rPr>
          <w:lang w:val="pl-PL"/>
        </w:rPr>
        <w:t xml:space="preserve">, Staatssecretaris van Justitie en Veiligheid, </w:t>
      </w:r>
      <w:hyperlink r:id="rId50" w:history="1">
        <w:r w:rsidRPr="00FC6D7F">
          <w:rPr>
            <w:rStyle w:val="Hyperlink"/>
            <w:lang w:val="pl-PL"/>
          </w:rPr>
          <w:t>C-719/19</w:t>
        </w:r>
      </w:hyperlink>
      <w:r w:rsidRPr="00FC6D7F">
        <w:rPr>
          <w:lang w:val="pl-PL"/>
        </w:rPr>
        <w:t>, EU:C:2021:506.</w:t>
      </w:r>
    </w:p>
  </w:footnote>
  <w:footnote w:id="60">
    <w:p w14:paraId="33645DA9" w14:textId="31EB6F2C"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22 czerwca 20</w:t>
      </w:r>
      <w:r w:rsidRPr="00D55672">
        <w:rPr>
          <w:lang w:val="pl-PL"/>
        </w:rPr>
        <w:t>21</w:t>
      </w:r>
      <w:r w:rsidR="00D55672" w:rsidRPr="00D55672">
        <w:rPr>
          <w:lang w:val="pl-PL"/>
        </w:rPr>
        <w:t> </w:t>
      </w:r>
      <w:r w:rsidRPr="00D55672">
        <w:rPr>
          <w:lang w:val="pl-PL"/>
        </w:rPr>
        <w:t>r.</w:t>
      </w:r>
      <w:r w:rsidRPr="00FC6D7F">
        <w:rPr>
          <w:lang w:val="pl-PL"/>
        </w:rPr>
        <w:t xml:space="preserve">, Staatssecretaris van Justitie en Veiligheid, </w:t>
      </w:r>
      <w:hyperlink r:id="rId51" w:history="1">
        <w:r w:rsidRPr="00FC6D7F">
          <w:rPr>
            <w:rStyle w:val="Hyperlink"/>
            <w:lang w:val="pl-PL"/>
          </w:rPr>
          <w:t>C-719/19</w:t>
        </w:r>
      </w:hyperlink>
      <w:r w:rsidRPr="00FC6D7F">
        <w:rPr>
          <w:lang w:val="pl-PL"/>
        </w:rPr>
        <w:t xml:space="preserve">, EU:C:2021:506, </w:t>
      </w:r>
      <w:r w:rsidRPr="00D55672">
        <w:rPr>
          <w:lang w:val="pl-PL"/>
        </w:rPr>
        <w:t>pkt</w:t>
      </w:r>
      <w:r w:rsidR="00D55672" w:rsidRPr="00D55672">
        <w:rPr>
          <w:lang w:val="pl-PL"/>
        </w:rPr>
        <w:t> </w:t>
      </w:r>
      <w:r w:rsidRPr="00D55672">
        <w:rPr>
          <w:lang w:val="pl-PL"/>
        </w:rPr>
        <w:t>8</w:t>
      </w:r>
      <w:r w:rsidRPr="00FC6D7F">
        <w:rPr>
          <w:lang w:val="pl-PL"/>
        </w:rPr>
        <w:t>1.</w:t>
      </w:r>
    </w:p>
  </w:footnote>
  <w:footnote w:id="61">
    <w:p w14:paraId="2C69EE11" w14:textId="17F00051"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22 czerwca 20</w:t>
      </w:r>
      <w:r w:rsidRPr="00D55672">
        <w:rPr>
          <w:lang w:val="pl-PL"/>
        </w:rPr>
        <w:t>21</w:t>
      </w:r>
      <w:r w:rsidR="00D55672" w:rsidRPr="00D55672">
        <w:rPr>
          <w:lang w:val="pl-PL"/>
        </w:rPr>
        <w:t> </w:t>
      </w:r>
      <w:r w:rsidRPr="00D55672">
        <w:rPr>
          <w:lang w:val="pl-PL"/>
        </w:rPr>
        <w:t>r.</w:t>
      </w:r>
      <w:r w:rsidRPr="00FC6D7F">
        <w:rPr>
          <w:lang w:val="pl-PL"/>
        </w:rPr>
        <w:t xml:space="preserve">, Staatssecretaris van Justitie en Veiligheid, </w:t>
      </w:r>
      <w:hyperlink r:id="rId52" w:history="1">
        <w:r w:rsidRPr="00FC6D7F">
          <w:rPr>
            <w:rStyle w:val="Hyperlink"/>
            <w:lang w:val="pl-PL"/>
          </w:rPr>
          <w:t>C-719/19</w:t>
        </w:r>
      </w:hyperlink>
      <w:r w:rsidRPr="00FC6D7F">
        <w:rPr>
          <w:lang w:val="pl-PL"/>
        </w:rPr>
        <w:t xml:space="preserve">, EU:C:2021:506, </w:t>
      </w:r>
      <w:r w:rsidRPr="00D55672">
        <w:rPr>
          <w:lang w:val="pl-PL"/>
        </w:rPr>
        <w:t>pkt</w:t>
      </w:r>
      <w:r w:rsidR="00D55672" w:rsidRPr="00D55672">
        <w:rPr>
          <w:lang w:val="pl-PL"/>
        </w:rPr>
        <w:t> </w:t>
      </w:r>
      <w:r w:rsidRPr="00D55672">
        <w:rPr>
          <w:lang w:val="pl-PL"/>
        </w:rPr>
        <w:t>8</w:t>
      </w:r>
      <w:r w:rsidRPr="00FC6D7F">
        <w:rPr>
          <w:lang w:val="pl-PL"/>
        </w:rPr>
        <w:t>1.</w:t>
      </w:r>
    </w:p>
  </w:footnote>
  <w:footnote w:id="62">
    <w:p w14:paraId="76DEDB90" w14:textId="1E514D8B"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22 czerwca 20</w:t>
      </w:r>
      <w:r w:rsidRPr="00D55672">
        <w:rPr>
          <w:lang w:val="pl-PL"/>
        </w:rPr>
        <w:t>21</w:t>
      </w:r>
      <w:r w:rsidR="00D55672" w:rsidRPr="00D55672">
        <w:rPr>
          <w:lang w:val="pl-PL"/>
        </w:rPr>
        <w:t> </w:t>
      </w:r>
      <w:r w:rsidRPr="00D55672">
        <w:rPr>
          <w:lang w:val="pl-PL"/>
        </w:rPr>
        <w:t>r.</w:t>
      </w:r>
      <w:r w:rsidRPr="00FC6D7F">
        <w:rPr>
          <w:lang w:val="pl-PL"/>
        </w:rPr>
        <w:t xml:space="preserve">, Staatssecretaris van Justitie en Veiligheid, </w:t>
      </w:r>
      <w:hyperlink r:id="rId53" w:history="1">
        <w:r w:rsidRPr="00FC6D7F">
          <w:rPr>
            <w:rStyle w:val="Hyperlink"/>
            <w:lang w:val="pl-PL"/>
          </w:rPr>
          <w:t>C-719/19</w:t>
        </w:r>
      </w:hyperlink>
      <w:r w:rsidRPr="00FC6D7F">
        <w:rPr>
          <w:lang w:val="pl-PL"/>
        </w:rPr>
        <w:t xml:space="preserve">, EU:C:2021:506, </w:t>
      </w:r>
      <w:r w:rsidRPr="00D55672">
        <w:rPr>
          <w:lang w:val="pl-PL"/>
        </w:rPr>
        <w:t>pkt</w:t>
      </w:r>
      <w:r w:rsidR="00D55672" w:rsidRPr="00D55672">
        <w:rPr>
          <w:lang w:val="pl-PL"/>
        </w:rPr>
        <w:t> </w:t>
      </w:r>
      <w:r w:rsidRPr="00D55672">
        <w:rPr>
          <w:lang w:val="pl-PL"/>
        </w:rPr>
        <w:t>9</w:t>
      </w:r>
      <w:r w:rsidRPr="00FC6D7F">
        <w:rPr>
          <w:lang w:val="pl-PL"/>
        </w:rPr>
        <w:t>4.</w:t>
      </w:r>
    </w:p>
  </w:footnote>
  <w:footnote w:id="63">
    <w:p w14:paraId="5E9A17E6" w14:textId="1B5EDA4A"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22 czerwca 20</w:t>
      </w:r>
      <w:r w:rsidRPr="00D55672">
        <w:rPr>
          <w:lang w:val="pl-PL"/>
        </w:rPr>
        <w:t>21</w:t>
      </w:r>
      <w:r w:rsidR="00D55672" w:rsidRPr="00D55672">
        <w:rPr>
          <w:lang w:val="pl-PL"/>
        </w:rPr>
        <w:t> </w:t>
      </w:r>
      <w:r w:rsidRPr="00D55672">
        <w:rPr>
          <w:lang w:val="pl-PL"/>
        </w:rPr>
        <w:t>r.</w:t>
      </w:r>
      <w:r w:rsidRPr="00FC6D7F">
        <w:rPr>
          <w:lang w:val="pl-PL"/>
        </w:rPr>
        <w:t xml:space="preserve">, Staatssecretaris van Justitie en Veiligheid, </w:t>
      </w:r>
      <w:hyperlink r:id="rId54" w:history="1">
        <w:r w:rsidRPr="00FC6D7F">
          <w:rPr>
            <w:rStyle w:val="Hyperlink"/>
            <w:lang w:val="pl-PL"/>
          </w:rPr>
          <w:t>C-719/19</w:t>
        </w:r>
      </w:hyperlink>
      <w:r w:rsidRPr="00FC6D7F">
        <w:rPr>
          <w:lang w:val="pl-PL"/>
        </w:rPr>
        <w:t xml:space="preserve">, EU:C:2021:506, </w:t>
      </w:r>
      <w:r w:rsidRPr="00D55672">
        <w:rPr>
          <w:lang w:val="pl-PL"/>
        </w:rPr>
        <w:t>pkt</w:t>
      </w:r>
      <w:r w:rsidR="00D55672" w:rsidRPr="00D55672">
        <w:rPr>
          <w:lang w:val="pl-PL"/>
        </w:rPr>
        <w:t> </w:t>
      </w:r>
      <w:r w:rsidRPr="00D55672">
        <w:rPr>
          <w:lang w:val="pl-PL"/>
        </w:rPr>
        <w:t>9</w:t>
      </w:r>
      <w:r w:rsidRPr="00FC6D7F">
        <w:rPr>
          <w:lang w:val="pl-PL"/>
        </w:rPr>
        <w:t>5.</w:t>
      </w:r>
    </w:p>
  </w:footnote>
  <w:footnote w:id="64">
    <w:p w14:paraId="5893C4AB" w14:textId="70222C1A"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22 czerwca 20</w:t>
      </w:r>
      <w:r w:rsidRPr="00D55672">
        <w:rPr>
          <w:lang w:val="pl-PL"/>
        </w:rPr>
        <w:t>21</w:t>
      </w:r>
      <w:r w:rsidR="00D55672" w:rsidRPr="00D55672">
        <w:rPr>
          <w:lang w:val="pl-PL"/>
        </w:rPr>
        <w:t> </w:t>
      </w:r>
      <w:r w:rsidRPr="00D55672">
        <w:rPr>
          <w:lang w:val="pl-PL"/>
        </w:rPr>
        <w:t>r.</w:t>
      </w:r>
      <w:r w:rsidRPr="00FC6D7F">
        <w:rPr>
          <w:lang w:val="pl-PL"/>
        </w:rPr>
        <w:t xml:space="preserve">, Staatssecretaris van Justitie en Veiligheid, </w:t>
      </w:r>
      <w:hyperlink r:id="rId55" w:history="1">
        <w:r w:rsidRPr="00FC6D7F">
          <w:rPr>
            <w:rStyle w:val="Hyperlink"/>
            <w:lang w:val="pl-PL"/>
          </w:rPr>
          <w:t>C-719/19</w:t>
        </w:r>
      </w:hyperlink>
      <w:r w:rsidRPr="00FC6D7F">
        <w:rPr>
          <w:lang w:val="pl-PL"/>
        </w:rPr>
        <w:t xml:space="preserve">, EU:C:2021:506, </w:t>
      </w:r>
      <w:r w:rsidRPr="00D55672">
        <w:rPr>
          <w:lang w:val="pl-PL"/>
        </w:rPr>
        <w:t>pkt</w:t>
      </w:r>
      <w:r w:rsidR="00D55672" w:rsidRPr="00D55672">
        <w:rPr>
          <w:lang w:val="pl-PL"/>
        </w:rPr>
        <w:t> </w:t>
      </w:r>
      <w:r w:rsidRPr="00D55672">
        <w:rPr>
          <w:lang w:val="pl-PL"/>
        </w:rPr>
        <w:t>1</w:t>
      </w:r>
      <w:r w:rsidRPr="00FC6D7F">
        <w:rPr>
          <w:lang w:val="pl-PL"/>
        </w:rPr>
        <w:t>02–103.</w:t>
      </w:r>
    </w:p>
  </w:footnote>
  <w:footnote w:id="65">
    <w:p w14:paraId="37ECC676" w14:textId="665B60B0"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14 grudnia 20</w:t>
      </w:r>
      <w:r w:rsidRPr="00D55672">
        <w:rPr>
          <w:lang w:val="pl-PL"/>
        </w:rPr>
        <w:t>21</w:t>
      </w:r>
      <w:r w:rsidR="00D55672" w:rsidRPr="00D55672">
        <w:rPr>
          <w:lang w:val="pl-PL"/>
        </w:rPr>
        <w:t> </w:t>
      </w:r>
      <w:r w:rsidRPr="00D55672">
        <w:rPr>
          <w:lang w:val="pl-PL"/>
        </w:rPr>
        <w:t>r.</w:t>
      </w:r>
      <w:r w:rsidRPr="00FC6D7F">
        <w:rPr>
          <w:lang w:val="pl-PL"/>
        </w:rPr>
        <w:t>, V.</w:t>
      </w:r>
      <w:r>
        <w:t>М</w:t>
      </w:r>
      <w:r w:rsidRPr="00FC6D7F">
        <w:rPr>
          <w:lang w:val="pl-PL"/>
        </w:rPr>
        <w:t>.</w:t>
      </w:r>
      <w:r>
        <w:t>А</w:t>
      </w:r>
      <w:r w:rsidRPr="00FC6D7F">
        <w:rPr>
          <w:lang w:val="pl-PL"/>
        </w:rPr>
        <w:t xml:space="preserve">./Stolichna obshtina, rayon „Pancharevo”, </w:t>
      </w:r>
      <w:hyperlink r:id="rId56">
        <w:r w:rsidRPr="00FC6D7F">
          <w:rPr>
            <w:rStyle w:val="Hyperlink"/>
            <w:lang w:val="pl-PL"/>
          </w:rPr>
          <w:t>C-490/20</w:t>
        </w:r>
      </w:hyperlink>
      <w:r w:rsidRPr="00FC6D7F">
        <w:rPr>
          <w:lang w:val="pl-PL"/>
        </w:rPr>
        <w:t>, EU:C:2021:1008.</w:t>
      </w:r>
    </w:p>
  </w:footnote>
  <w:footnote w:id="66">
    <w:p w14:paraId="11867DC1" w14:textId="360454ED"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14 grudnia 20</w:t>
      </w:r>
      <w:r w:rsidRPr="00D55672">
        <w:rPr>
          <w:lang w:val="pl-PL"/>
        </w:rPr>
        <w:t>21</w:t>
      </w:r>
      <w:r w:rsidR="00D55672" w:rsidRPr="00D55672">
        <w:rPr>
          <w:lang w:val="pl-PL"/>
        </w:rPr>
        <w:t> </w:t>
      </w:r>
      <w:r w:rsidRPr="00D55672">
        <w:rPr>
          <w:lang w:val="pl-PL"/>
        </w:rPr>
        <w:t>r.</w:t>
      </w:r>
      <w:r w:rsidRPr="00FC6D7F">
        <w:rPr>
          <w:lang w:val="pl-PL"/>
        </w:rPr>
        <w:t>, V.</w:t>
      </w:r>
      <w:r>
        <w:t>М</w:t>
      </w:r>
      <w:r w:rsidRPr="00FC6D7F">
        <w:rPr>
          <w:lang w:val="pl-PL"/>
        </w:rPr>
        <w:t>.</w:t>
      </w:r>
      <w:r>
        <w:t>А</w:t>
      </w:r>
      <w:r w:rsidRPr="00FC6D7F">
        <w:rPr>
          <w:lang w:val="pl-PL"/>
        </w:rPr>
        <w:t xml:space="preserve">./Stolichna obshtina, rayon „Pancharevo”, </w:t>
      </w:r>
      <w:hyperlink r:id="rId57">
        <w:r w:rsidRPr="00FC6D7F">
          <w:rPr>
            <w:rStyle w:val="Hyperlink"/>
            <w:lang w:val="pl-PL"/>
          </w:rPr>
          <w:t>C-490/20</w:t>
        </w:r>
      </w:hyperlink>
      <w:r w:rsidRPr="00FC6D7F">
        <w:rPr>
          <w:lang w:val="pl-PL"/>
        </w:rPr>
        <w:t xml:space="preserve">, EU:C:2021:1008, </w:t>
      </w:r>
      <w:r w:rsidRPr="00D55672">
        <w:rPr>
          <w:lang w:val="pl-PL"/>
        </w:rPr>
        <w:t>pkt</w:t>
      </w:r>
      <w:r w:rsidR="00D55672" w:rsidRPr="00D55672">
        <w:rPr>
          <w:lang w:val="pl-PL"/>
        </w:rPr>
        <w:t> </w:t>
      </w:r>
      <w:r w:rsidRPr="00D55672">
        <w:rPr>
          <w:lang w:val="pl-PL"/>
        </w:rPr>
        <w:t>4</w:t>
      </w:r>
      <w:r w:rsidRPr="00FC6D7F">
        <w:rPr>
          <w:lang w:val="pl-PL"/>
        </w:rPr>
        <w:t>4.</w:t>
      </w:r>
    </w:p>
  </w:footnote>
  <w:footnote w:id="67">
    <w:p w14:paraId="6F930344" w14:textId="063FB1F2"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14 grudnia 20</w:t>
      </w:r>
      <w:r w:rsidRPr="00D55672">
        <w:rPr>
          <w:lang w:val="pl-PL"/>
        </w:rPr>
        <w:t>21</w:t>
      </w:r>
      <w:r w:rsidR="00D55672" w:rsidRPr="00D55672">
        <w:rPr>
          <w:lang w:val="pl-PL"/>
        </w:rPr>
        <w:t> </w:t>
      </w:r>
      <w:r w:rsidRPr="00D55672">
        <w:rPr>
          <w:lang w:val="pl-PL"/>
        </w:rPr>
        <w:t>r.</w:t>
      </w:r>
      <w:r w:rsidRPr="00FC6D7F">
        <w:rPr>
          <w:lang w:val="pl-PL"/>
        </w:rPr>
        <w:t>, V.</w:t>
      </w:r>
      <w:r>
        <w:t>М</w:t>
      </w:r>
      <w:r w:rsidRPr="00FC6D7F">
        <w:rPr>
          <w:lang w:val="pl-PL"/>
        </w:rPr>
        <w:t>.</w:t>
      </w:r>
      <w:r>
        <w:t>А</w:t>
      </w:r>
      <w:r w:rsidRPr="00FC6D7F">
        <w:rPr>
          <w:lang w:val="pl-PL"/>
        </w:rPr>
        <w:t xml:space="preserve">./Stolichna obshtina, rayon „Pancharevo”, </w:t>
      </w:r>
      <w:hyperlink r:id="rId58">
        <w:r w:rsidRPr="00FC6D7F">
          <w:rPr>
            <w:rStyle w:val="Hyperlink"/>
            <w:lang w:val="pl-PL"/>
          </w:rPr>
          <w:t>C-490/20</w:t>
        </w:r>
      </w:hyperlink>
      <w:r w:rsidRPr="00FC6D7F">
        <w:rPr>
          <w:lang w:val="pl-PL"/>
        </w:rPr>
        <w:t xml:space="preserve">, EU:C:2021:1008, </w:t>
      </w:r>
      <w:r w:rsidRPr="00D55672">
        <w:rPr>
          <w:lang w:val="pl-PL"/>
        </w:rPr>
        <w:t>pkt</w:t>
      </w:r>
      <w:r w:rsidR="00D55672" w:rsidRPr="00D55672">
        <w:rPr>
          <w:lang w:val="pl-PL"/>
        </w:rPr>
        <w:t> </w:t>
      </w:r>
      <w:r w:rsidRPr="00D55672">
        <w:rPr>
          <w:lang w:val="pl-PL"/>
        </w:rPr>
        <w:t>4</w:t>
      </w:r>
      <w:r w:rsidRPr="00FC6D7F">
        <w:rPr>
          <w:lang w:val="pl-PL"/>
        </w:rPr>
        <w:t>6.</w:t>
      </w:r>
    </w:p>
  </w:footnote>
  <w:footnote w:id="68">
    <w:p w14:paraId="75F143B5" w14:textId="4AC2329E"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14 grudnia 20</w:t>
      </w:r>
      <w:r w:rsidRPr="00D55672">
        <w:rPr>
          <w:lang w:val="pl-PL"/>
        </w:rPr>
        <w:t>21</w:t>
      </w:r>
      <w:r w:rsidR="00D55672" w:rsidRPr="00D55672">
        <w:rPr>
          <w:lang w:val="pl-PL"/>
        </w:rPr>
        <w:t> </w:t>
      </w:r>
      <w:r w:rsidRPr="00D55672">
        <w:rPr>
          <w:lang w:val="pl-PL"/>
        </w:rPr>
        <w:t>r.</w:t>
      </w:r>
      <w:r w:rsidRPr="00FC6D7F">
        <w:rPr>
          <w:lang w:val="pl-PL"/>
        </w:rPr>
        <w:t>, V.</w:t>
      </w:r>
      <w:r>
        <w:t>М</w:t>
      </w:r>
      <w:r w:rsidRPr="00FC6D7F">
        <w:rPr>
          <w:lang w:val="pl-PL"/>
        </w:rPr>
        <w:t>.</w:t>
      </w:r>
      <w:r>
        <w:t>А</w:t>
      </w:r>
      <w:r w:rsidRPr="00FC6D7F">
        <w:rPr>
          <w:lang w:val="pl-PL"/>
        </w:rPr>
        <w:t xml:space="preserve">./Stolichna obshtina, rayon „Pancharevo”, </w:t>
      </w:r>
      <w:hyperlink r:id="rId59">
        <w:r w:rsidRPr="00FC6D7F">
          <w:rPr>
            <w:rStyle w:val="Hyperlink"/>
            <w:lang w:val="pl-PL"/>
          </w:rPr>
          <w:t>C-490/20</w:t>
        </w:r>
      </w:hyperlink>
      <w:r w:rsidRPr="00FC6D7F">
        <w:rPr>
          <w:lang w:val="pl-PL"/>
        </w:rPr>
        <w:t xml:space="preserve">, EU:C:2021:1008, </w:t>
      </w:r>
      <w:r w:rsidRPr="00D55672">
        <w:rPr>
          <w:lang w:val="pl-PL"/>
        </w:rPr>
        <w:t>pkt</w:t>
      </w:r>
      <w:r w:rsidR="00D55672" w:rsidRPr="00D55672">
        <w:rPr>
          <w:lang w:val="pl-PL"/>
        </w:rPr>
        <w:t> </w:t>
      </w:r>
      <w:r w:rsidRPr="00D55672">
        <w:rPr>
          <w:lang w:val="pl-PL"/>
        </w:rPr>
        <w:t>5</w:t>
      </w:r>
      <w:r w:rsidRPr="00FC6D7F">
        <w:rPr>
          <w:lang w:val="pl-PL"/>
        </w:rPr>
        <w:t>0.</w:t>
      </w:r>
    </w:p>
  </w:footnote>
  <w:footnote w:id="69">
    <w:p w14:paraId="43BF6845" w14:textId="54AF105F"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14 grudnia 20</w:t>
      </w:r>
      <w:r w:rsidRPr="00D55672">
        <w:rPr>
          <w:lang w:val="pl-PL"/>
        </w:rPr>
        <w:t>21</w:t>
      </w:r>
      <w:r w:rsidR="00D55672" w:rsidRPr="00D55672">
        <w:rPr>
          <w:lang w:val="pl-PL"/>
        </w:rPr>
        <w:t> </w:t>
      </w:r>
      <w:r w:rsidRPr="00D55672">
        <w:rPr>
          <w:lang w:val="pl-PL"/>
        </w:rPr>
        <w:t>r.</w:t>
      </w:r>
      <w:r w:rsidRPr="00FC6D7F">
        <w:rPr>
          <w:lang w:val="pl-PL"/>
        </w:rPr>
        <w:t>, V.</w:t>
      </w:r>
      <w:r>
        <w:t>М</w:t>
      </w:r>
      <w:r w:rsidRPr="00FC6D7F">
        <w:rPr>
          <w:lang w:val="pl-PL"/>
        </w:rPr>
        <w:t>.</w:t>
      </w:r>
      <w:r>
        <w:t>А</w:t>
      </w:r>
      <w:r w:rsidRPr="00FC6D7F">
        <w:rPr>
          <w:lang w:val="pl-PL"/>
        </w:rPr>
        <w:t xml:space="preserve">./Stolichna obshtina, rayon „Pancharevo”, </w:t>
      </w:r>
      <w:hyperlink r:id="rId60">
        <w:r w:rsidRPr="00FC6D7F">
          <w:rPr>
            <w:rStyle w:val="Hyperlink"/>
            <w:lang w:val="pl-PL"/>
          </w:rPr>
          <w:t>C-490/20</w:t>
        </w:r>
      </w:hyperlink>
      <w:r w:rsidRPr="00FC6D7F">
        <w:rPr>
          <w:lang w:val="pl-PL"/>
        </w:rPr>
        <w:t xml:space="preserve">, EU:C:2021:1008, </w:t>
      </w:r>
      <w:r w:rsidRPr="00D55672">
        <w:rPr>
          <w:lang w:val="pl-PL"/>
        </w:rPr>
        <w:t>pkt</w:t>
      </w:r>
      <w:r w:rsidR="00D55672" w:rsidRPr="00D55672">
        <w:rPr>
          <w:lang w:val="pl-PL"/>
        </w:rPr>
        <w:t> </w:t>
      </w:r>
      <w:r w:rsidRPr="00D55672">
        <w:rPr>
          <w:lang w:val="pl-PL"/>
        </w:rPr>
        <w:t>4</w:t>
      </w:r>
      <w:r w:rsidRPr="00FC6D7F">
        <w:rPr>
          <w:lang w:val="pl-PL"/>
        </w:rPr>
        <w:t>5.</w:t>
      </w:r>
    </w:p>
  </w:footnote>
  <w:footnote w:id="70">
    <w:p w14:paraId="2110001A" w14:textId="649D362C"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14 grudnia 20</w:t>
      </w:r>
      <w:r w:rsidRPr="00D55672">
        <w:rPr>
          <w:lang w:val="pl-PL"/>
        </w:rPr>
        <w:t>21</w:t>
      </w:r>
      <w:r w:rsidR="00D55672" w:rsidRPr="00D55672">
        <w:rPr>
          <w:lang w:val="pl-PL"/>
        </w:rPr>
        <w:t> </w:t>
      </w:r>
      <w:r w:rsidRPr="00D55672">
        <w:rPr>
          <w:lang w:val="pl-PL"/>
        </w:rPr>
        <w:t>r.</w:t>
      </w:r>
      <w:r w:rsidRPr="00FC6D7F">
        <w:rPr>
          <w:lang w:val="pl-PL"/>
        </w:rPr>
        <w:t>, V.</w:t>
      </w:r>
      <w:r>
        <w:t>М</w:t>
      </w:r>
      <w:r w:rsidRPr="00FC6D7F">
        <w:rPr>
          <w:lang w:val="pl-PL"/>
        </w:rPr>
        <w:t>.</w:t>
      </w:r>
      <w:r>
        <w:t>А</w:t>
      </w:r>
      <w:r w:rsidRPr="00FC6D7F">
        <w:rPr>
          <w:lang w:val="pl-PL"/>
        </w:rPr>
        <w:t xml:space="preserve">./Stolichna obshtina, rayon „Pancharevo”, </w:t>
      </w:r>
      <w:hyperlink r:id="rId61">
        <w:r w:rsidRPr="00FC6D7F">
          <w:rPr>
            <w:rStyle w:val="Hyperlink"/>
            <w:lang w:val="pl-PL"/>
          </w:rPr>
          <w:t>C-490/20</w:t>
        </w:r>
      </w:hyperlink>
      <w:r w:rsidRPr="00FC6D7F">
        <w:rPr>
          <w:lang w:val="pl-PL"/>
        </w:rPr>
        <w:t xml:space="preserve">, EU:C:2021:1008, </w:t>
      </w:r>
      <w:r w:rsidRPr="00D55672">
        <w:rPr>
          <w:lang w:val="pl-PL"/>
        </w:rPr>
        <w:t>pkt</w:t>
      </w:r>
      <w:r w:rsidR="00D55672" w:rsidRPr="00D55672">
        <w:rPr>
          <w:lang w:val="pl-PL"/>
        </w:rPr>
        <w:t> </w:t>
      </w:r>
      <w:r w:rsidRPr="00D55672">
        <w:rPr>
          <w:lang w:val="pl-PL"/>
        </w:rPr>
        <w:t>4</w:t>
      </w:r>
      <w:r w:rsidRPr="00FC6D7F">
        <w:rPr>
          <w:lang w:val="pl-PL"/>
        </w:rPr>
        <w:t>5.</w:t>
      </w:r>
    </w:p>
  </w:footnote>
  <w:footnote w:id="71">
    <w:p w14:paraId="7DE0A189" w14:textId="4EB5560D"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14 grudnia 20</w:t>
      </w:r>
      <w:r w:rsidRPr="00D55672">
        <w:rPr>
          <w:lang w:val="pl-PL"/>
        </w:rPr>
        <w:t>21</w:t>
      </w:r>
      <w:r w:rsidR="00D55672" w:rsidRPr="00D55672">
        <w:rPr>
          <w:lang w:val="pl-PL"/>
        </w:rPr>
        <w:t> </w:t>
      </w:r>
      <w:r w:rsidRPr="00D55672">
        <w:rPr>
          <w:lang w:val="pl-PL"/>
        </w:rPr>
        <w:t>r.</w:t>
      </w:r>
      <w:r w:rsidRPr="00FC6D7F">
        <w:rPr>
          <w:lang w:val="pl-PL"/>
        </w:rPr>
        <w:t>, V.</w:t>
      </w:r>
      <w:r>
        <w:t>М</w:t>
      </w:r>
      <w:r w:rsidRPr="00FC6D7F">
        <w:rPr>
          <w:lang w:val="pl-PL"/>
        </w:rPr>
        <w:t>.</w:t>
      </w:r>
      <w:r>
        <w:t>А</w:t>
      </w:r>
      <w:r w:rsidRPr="00FC6D7F">
        <w:rPr>
          <w:lang w:val="pl-PL"/>
        </w:rPr>
        <w:t xml:space="preserve">./Stolichna obshtina, rayon „Pancharevo”, </w:t>
      </w:r>
      <w:hyperlink r:id="rId62">
        <w:r w:rsidRPr="00FC6D7F">
          <w:rPr>
            <w:rStyle w:val="Hyperlink"/>
            <w:lang w:val="pl-PL"/>
          </w:rPr>
          <w:t>C-490/20</w:t>
        </w:r>
      </w:hyperlink>
      <w:r w:rsidRPr="00FC6D7F">
        <w:rPr>
          <w:lang w:val="pl-PL"/>
        </w:rPr>
        <w:t xml:space="preserve">, EU:C:2021:1008, </w:t>
      </w:r>
      <w:r w:rsidRPr="00D55672">
        <w:rPr>
          <w:lang w:val="pl-PL"/>
        </w:rPr>
        <w:t>pkt</w:t>
      </w:r>
      <w:r w:rsidR="00D55672" w:rsidRPr="00D55672">
        <w:rPr>
          <w:lang w:val="pl-PL"/>
        </w:rPr>
        <w:t> </w:t>
      </w:r>
      <w:r w:rsidRPr="00D55672">
        <w:rPr>
          <w:lang w:val="pl-PL"/>
        </w:rPr>
        <w:t>4</w:t>
      </w:r>
      <w:r w:rsidRPr="00FC6D7F">
        <w:rPr>
          <w:lang w:val="pl-PL"/>
        </w:rPr>
        <w:t>9</w:t>
      </w:r>
      <w:r w:rsidR="00D55672" w:rsidRPr="00FC6D7F">
        <w:rPr>
          <w:lang w:val="pl-PL"/>
        </w:rPr>
        <w:t xml:space="preserve"> i</w:t>
      </w:r>
      <w:r w:rsidR="00D55672">
        <w:rPr>
          <w:lang w:val="pl-PL"/>
        </w:rPr>
        <w:t> </w:t>
      </w:r>
      <w:r w:rsidR="00D55672" w:rsidRPr="00FC6D7F">
        <w:rPr>
          <w:lang w:val="pl-PL"/>
        </w:rPr>
        <w:t>5</w:t>
      </w:r>
      <w:r w:rsidRPr="00FC6D7F">
        <w:rPr>
          <w:lang w:val="pl-PL"/>
        </w:rPr>
        <w:t>7.</w:t>
      </w:r>
    </w:p>
  </w:footnote>
  <w:footnote w:id="72">
    <w:p w14:paraId="2DA1F889" w14:textId="3ACED2E4"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14 grudnia 20</w:t>
      </w:r>
      <w:r w:rsidRPr="00D55672">
        <w:rPr>
          <w:lang w:val="pl-PL"/>
        </w:rPr>
        <w:t>21</w:t>
      </w:r>
      <w:r w:rsidR="00D55672" w:rsidRPr="00D55672">
        <w:rPr>
          <w:lang w:val="pl-PL"/>
        </w:rPr>
        <w:t> </w:t>
      </w:r>
      <w:r w:rsidRPr="00D55672">
        <w:rPr>
          <w:lang w:val="pl-PL"/>
        </w:rPr>
        <w:t>r.</w:t>
      </w:r>
      <w:r w:rsidRPr="00FC6D7F">
        <w:rPr>
          <w:lang w:val="pl-PL"/>
        </w:rPr>
        <w:t>, V.</w:t>
      </w:r>
      <w:r>
        <w:t>М</w:t>
      </w:r>
      <w:r w:rsidRPr="00FC6D7F">
        <w:rPr>
          <w:lang w:val="pl-PL"/>
        </w:rPr>
        <w:t>.</w:t>
      </w:r>
      <w:r>
        <w:t>А</w:t>
      </w:r>
      <w:r w:rsidRPr="00FC6D7F">
        <w:rPr>
          <w:lang w:val="pl-PL"/>
        </w:rPr>
        <w:t xml:space="preserve">./Stolichna obshtina, rayon „Pancharevo”, </w:t>
      </w:r>
      <w:hyperlink r:id="rId63">
        <w:r w:rsidRPr="00FC6D7F">
          <w:rPr>
            <w:rStyle w:val="Hyperlink"/>
            <w:lang w:val="pl-PL"/>
          </w:rPr>
          <w:t>C-490/20</w:t>
        </w:r>
      </w:hyperlink>
      <w:r w:rsidRPr="00FC6D7F">
        <w:rPr>
          <w:lang w:val="pl-PL"/>
        </w:rPr>
        <w:t xml:space="preserve">, EU:C:2021:1008, </w:t>
      </w:r>
      <w:r w:rsidRPr="00D55672">
        <w:rPr>
          <w:lang w:val="pl-PL"/>
        </w:rPr>
        <w:t>pkt</w:t>
      </w:r>
      <w:r w:rsidR="00D55672" w:rsidRPr="00D55672">
        <w:rPr>
          <w:lang w:val="pl-PL"/>
        </w:rPr>
        <w:t> </w:t>
      </w:r>
      <w:r w:rsidRPr="00D55672">
        <w:rPr>
          <w:lang w:val="pl-PL"/>
        </w:rPr>
        <w:t>5</w:t>
      </w:r>
      <w:r w:rsidRPr="00FC6D7F">
        <w:rPr>
          <w:lang w:val="pl-PL"/>
        </w:rPr>
        <w:t>9.</w:t>
      </w:r>
    </w:p>
  </w:footnote>
  <w:footnote w:id="73">
    <w:p w14:paraId="39C86BAC" w14:textId="6C5E21BA"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14 grudnia 20</w:t>
      </w:r>
      <w:r w:rsidRPr="00D55672">
        <w:rPr>
          <w:lang w:val="pl-PL"/>
        </w:rPr>
        <w:t>21</w:t>
      </w:r>
      <w:r w:rsidR="00D55672" w:rsidRPr="00D55672">
        <w:rPr>
          <w:lang w:val="pl-PL"/>
        </w:rPr>
        <w:t> </w:t>
      </w:r>
      <w:r w:rsidRPr="00D55672">
        <w:rPr>
          <w:lang w:val="pl-PL"/>
        </w:rPr>
        <w:t>r.</w:t>
      </w:r>
      <w:r w:rsidRPr="00FC6D7F">
        <w:rPr>
          <w:lang w:val="pl-PL"/>
        </w:rPr>
        <w:t>, V.</w:t>
      </w:r>
      <w:r>
        <w:t>М</w:t>
      </w:r>
      <w:r w:rsidRPr="00FC6D7F">
        <w:rPr>
          <w:lang w:val="pl-PL"/>
        </w:rPr>
        <w:t>.</w:t>
      </w:r>
      <w:r>
        <w:t>А</w:t>
      </w:r>
      <w:r w:rsidRPr="00FC6D7F">
        <w:rPr>
          <w:lang w:val="pl-PL"/>
        </w:rPr>
        <w:t xml:space="preserve">./Stolichna obshtina, rayon „Pancharevo”, </w:t>
      </w:r>
      <w:hyperlink r:id="rId64">
        <w:r w:rsidRPr="00FC6D7F">
          <w:rPr>
            <w:rStyle w:val="Hyperlink"/>
            <w:lang w:val="pl-PL"/>
          </w:rPr>
          <w:t>C-490/20</w:t>
        </w:r>
      </w:hyperlink>
      <w:r w:rsidRPr="00FC6D7F">
        <w:rPr>
          <w:lang w:val="pl-PL"/>
        </w:rPr>
        <w:t xml:space="preserve">, EU:C:2021:1008, </w:t>
      </w:r>
      <w:r w:rsidRPr="00D55672">
        <w:rPr>
          <w:lang w:val="pl-PL"/>
        </w:rPr>
        <w:t>pkt</w:t>
      </w:r>
      <w:r w:rsidR="00D55672" w:rsidRPr="00D55672">
        <w:rPr>
          <w:lang w:val="pl-PL"/>
        </w:rPr>
        <w:t> </w:t>
      </w:r>
      <w:r w:rsidRPr="00D55672">
        <w:rPr>
          <w:lang w:val="pl-PL"/>
        </w:rPr>
        <w:t>4</w:t>
      </w:r>
      <w:r w:rsidRPr="00FC6D7F">
        <w:rPr>
          <w:lang w:val="pl-PL"/>
        </w:rPr>
        <w:t>7–49, 52, 57, 67</w:t>
      </w:r>
      <w:r w:rsidR="00D55672" w:rsidRPr="00FC6D7F">
        <w:rPr>
          <w:lang w:val="pl-PL"/>
        </w:rPr>
        <w:t xml:space="preserve"> i</w:t>
      </w:r>
      <w:r w:rsidR="00D55672">
        <w:rPr>
          <w:lang w:val="pl-PL"/>
        </w:rPr>
        <w:t> </w:t>
      </w:r>
      <w:r w:rsidR="00D55672" w:rsidRPr="00FC6D7F">
        <w:rPr>
          <w:lang w:val="pl-PL"/>
        </w:rPr>
        <w:t>6</w:t>
      </w:r>
      <w:r w:rsidRPr="00FC6D7F">
        <w:rPr>
          <w:lang w:val="pl-PL"/>
        </w:rPr>
        <w:t>8.</w:t>
      </w:r>
    </w:p>
  </w:footnote>
  <w:footnote w:id="74">
    <w:p w14:paraId="58D77F66" w14:textId="47272451"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Postanowienie Trybunału (dziesiąta izba)</w:t>
      </w:r>
      <w:r w:rsidR="00D55672" w:rsidRPr="00FC6D7F">
        <w:rPr>
          <w:lang w:val="pl-PL"/>
        </w:rPr>
        <w:t xml:space="preserve"> z</w:t>
      </w:r>
      <w:r w:rsidR="00D55672">
        <w:rPr>
          <w:lang w:val="pl-PL"/>
        </w:rPr>
        <w:t> </w:t>
      </w:r>
      <w:r w:rsidR="00D55672" w:rsidRPr="00FC6D7F">
        <w:rPr>
          <w:lang w:val="pl-PL"/>
        </w:rPr>
        <w:t>dni</w:t>
      </w:r>
      <w:r w:rsidRPr="00FC6D7F">
        <w:rPr>
          <w:lang w:val="pl-PL"/>
        </w:rPr>
        <w:t>a 24 czerwca 20</w:t>
      </w:r>
      <w:r w:rsidRPr="00D55672">
        <w:rPr>
          <w:lang w:val="pl-PL"/>
        </w:rPr>
        <w:t>22</w:t>
      </w:r>
      <w:r w:rsidR="00D55672" w:rsidRPr="00D55672">
        <w:rPr>
          <w:lang w:val="pl-PL"/>
        </w:rPr>
        <w:t> </w:t>
      </w:r>
      <w:r w:rsidRPr="00D55672">
        <w:rPr>
          <w:lang w:val="pl-PL"/>
        </w:rPr>
        <w:t>r.</w:t>
      </w:r>
      <w:r w:rsidRPr="00FC6D7F">
        <w:rPr>
          <w:lang w:val="pl-PL"/>
        </w:rPr>
        <w:t xml:space="preserve">, Rzecznik Praw Obywatelskich, </w:t>
      </w:r>
      <w:hyperlink r:id="rId65" w:history="1">
        <w:r w:rsidRPr="00FC6D7F">
          <w:rPr>
            <w:lang w:val="pl-PL"/>
          </w:rPr>
          <w:t>C-2/21</w:t>
        </w:r>
      </w:hyperlink>
      <w:r w:rsidRPr="00FC6D7F">
        <w:rPr>
          <w:lang w:val="pl-PL"/>
        </w:rPr>
        <w:t>, EU:C:2022:502.</w:t>
      </w:r>
    </w:p>
  </w:footnote>
  <w:footnote w:id="75">
    <w:p w14:paraId="5E3F44B1" w14:textId="54E0035E"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 września 20</w:t>
      </w:r>
      <w:r w:rsidRPr="00D55672">
        <w:rPr>
          <w:lang w:val="pl-PL"/>
        </w:rPr>
        <w:t>21</w:t>
      </w:r>
      <w:r w:rsidR="00D55672" w:rsidRPr="00D55672">
        <w:rPr>
          <w:lang w:val="pl-PL"/>
        </w:rPr>
        <w:t> </w:t>
      </w:r>
      <w:r w:rsidRPr="00D55672">
        <w:rPr>
          <w:lang w:val="pl-PL"/>
        </w:rPr>
        <w:t>r.</w:t>
      </w:r>
      <w:r w:rsidRPr="00FC6D7F">
        <w:rPr>
          <w:lang w:val="pl-PL"/>
        </w:rPr>
        <w:t xml:space="preserve">, X/État belge, </w:t>
      </w:r>
      <w:hyperlink r:id="rId66" w:history="1">
        <w:r w:rsidRPr="00FC6D7F">
          <w:rPr>
            <w:lang w:val="pl-PL"/>
          </w:rPr>
          <w:t>C-930/219</w:t>
        </w:r>
      </w:hyperlink>
      <w:r w:rsidRPr="00FC6D7F">
        <w:rPr>
          <w:lang w:val="pl-PL"/>
        </w:rPr>
        <w:t>, EU:C:2021:657.</w:t>
      </w:r>
    </w:p>
  </w:footnote>
  <w:footnote w:id="76">
    <w:p w14:paraId="3C3B35EF" w14:textId="69C962D7"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 września 20</w:t>
      </w:r>
      <w:r w:rsidRPr="00D55672">
        <w:rPr>
          <w:lang w:val="pl-PL"/>
        </w:rPr>
        <w:t>21</w:t>
      </w:r>
      <w:r w:rsidR="00D55672" w:rsidRPr="00D55672">
        <w:rPr>
          <w:lang w:val="pl-PL"/>
        </w:rPr>
        <w:t> </w:t>
      </w:r>
      <w:r w:rsidRPr="00D55672">
        <w:rPr>
          <w:lang w:val="pl-PL"/>
        </w:rPr>
        <w:t>r.</w:t>
      </w:r>
      <w:r w:rsidRPr="00FC6D7F">
        <w:rPr>
          <w:lang w:val="pl-PL"/>
        </w:rPr>
        <w:t xml:space="preserve">, X/État belge, </w:t>
      </w:r>
      <w:hyperlink r:id="rId67" w:history="1">
        <w:r w:rsidRPr="00FC6D7F">
          <w:rPr>
            <w:lang w:val="pl-PL"/>
          </w:rPr>
          <w:t>C-930/219</w:t>
        </w:r>
      </w:hyperlink>
      <w:r w:rsidRPr="00FC6D7F">
        <w:rPr>
          <w:lang w:val="pl-PL"/>
        </w:rPr>
        <w:t xml:space="preserve">, EU:C:2021:657, </w:t>
      </w:r>
      <w:r w:rsidRPr="00D55672">
        <w:rPr>
          <w:lang w:val="pl-PL"/>
        </w:rPr>
        <w:t>pkt</w:t>
      </w:r>
      <w:r w:rsidR="00D55672" w:rsidRPr="00D55672">
        <w:rPr>
          <w:lang w:val="pl-PL"/>
        </w:rPr>
        <w:t> </w:t>
      </w:r>
      <w:r w:rsidRPr="00D55672">
        <w:rPr>
          <w:lang w:val="pl-PL"/>
        </w:rPr>
        <w:t>6</w:t>
      </w:r>
      <w:r w:rsidRPr="00FC6D7F">
        <w:rPr>
          <w:lang w:val="pl-PL"/>
        </w:rPr>
        <w:t>1–62</w:t>
      </w:r>
      <w:r w:rsidR="00D55672" w:rsidRPr="00FC6D7F">
        <w:rPr>
          <w:lang w:val="pl-PL"/>
        </w:rPr>
        <w:t xml:space="preserve"> i</w:t>
      </w:r>
      <w:r w:rsidR="00D55672">
        <w:rPr>
          <w:lang w:val="pl-PL"/>
        </w:rPr>
        <w:t> </w:t>
      </w:r>
      <w:r w:rsidR="00D55672" w:rsidRPr="00FC6D7F">
        <w:rPr>
          <w:lang w:val="pl-PL"/>
        </w:rPr>
        <w:t>6</w:t>
      </w:r>
      <w:r w:rsidRPr="00FC6D7F">
        <w:rPr>
          <w:lang w:val="pl-PL"/>
        </w:rPr>
        <w:t>4.</w:t>
      </w:r>
    </w:p>
  </w:footnote>
  <w:footnote w:id="77">
    <w:p w14:paraId="4690E06D" w14:textId="26E0CE54"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 września 20</w:t>
      </w:r>
      <w:r w:rsidRPr="00D55672">
        <w:rPr>
          <w:lang w:val="pl-PL"/>
        </w:rPr>
        <w:t>21</w:t>
      </w:r>
      <w:r w:rsidR="00D55672" w:rsidRPr="00D55672">
        <w:rPr>
          <w:lang w:val="pl-PL"/>
        </w:rPr>
        <w:t> </w:t>
      </w:r>
      <w:r w:rsidRPr="00D55672">
        <w:rPr>
          <w:lang w:val="pl-PL"/>
        </w:rPr>
        <w:t>r.</w:t>
      </w:r>
      <w:r w:rsidRPr="00FC6D7F">
        <w:rPr>
          <w:lang w:val="pl-PL"/>
        </w:rPr>
        <w:t xml:space="preserve">, X/État belge, </w:t>
      </w:r>
      <w:hyperlink r:id="rId68" w:history="1">
        <w:r w:rsidRPr="00FC6D7F">
          <w:rPr>
            <w:lang w:val="pl-PL"/>
          </w:rPr>
          <w:t>C-930/219</w:t>
        </w:r>
      </w:hyperlink>
      <w:r w:rsidRPr="00FC6D7F">
        <w:rPr>
          <w:lang w:val="pl-PL"/>
        </w:rPr>
        <w:t xml:space="preserve">, EU:C:2021:657, </w:t>
      </w:r>
      <w:r w:rsidRPr="00D55672">
        <w:rPr>
          <w:lang w:val="pl-PL"/>
        </w:rPr>
        <w:t>pkt</w:t>
      </w:r>
      <w:r w:rsidR="00D55672" w:rsidRPr="00D55672">
        <w:rPr>
          <w:lang w:val="pl-PL"/>
        </w:rPr>
        <w:t> </w:t>
      </w:r>
      <w:r w:rsidRPr="00D55672">
        <w:rPr>
          <w:lang w:val="pl-PL"/>
        </w:rPr>
        <w:t>6</w:t>
      </w:r>
      <w:r w:rsidRPr="00FC6D7F">
        <w:rPr>
          <w:lang w:val="pl-PL"/>
        </w:rPr>
        <w:t>1–90.</w:t>
      </w:r>
    </w:p>
  </w:footnote>
  <w:footnote w:id="78">
    <w:p w14:paraId="3EFE7DD4" w14:textId="1A6E951C"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(pierwsza izba)</w:t>
      </w:r>
      <w:r w:rsidR="00D55672" w:rsidRPr="00FC6D7F">
        <w:rPr>
          <w:lang w:val="pl-PL"/>
        </w:rPr>
        <w:t xml:space="preserve"> z</w:t>
      </w:r>
      <w:r w:rsidR="00D55672">
        <w:rPr>
          <w:lang w:val="pl-PL"/>
        </w:rPr>
        <w:t> </w:t>
      </w:r>
      <w:r w:rsidR="00D55672" w:rsidRPr="00FC6D7F">
        <w:rPr>
          <w:lang w:val="pl-PL"/>
        </w:rPr>
        <w:t>dni</w:t>
      </w:r>
      <w:r w:rsidRPr="00FC6D7F">
        <w:rPr>
          <w:lang w:val="pl-PL"/>
        </w:rPr>
        <w:t>a 30 czerwca 20</w:t>
      </w:r>
      <w:r w:rsidRPr="00D55672">
        <w:rPr>
          <w:lang w:val="pl-PL"/>
        </w:rPr>
        <w:t>16</w:t>
      </w:r>
      <w:r w:rsidR="00D55672" w:rsidRPr="00D55672">
        <w:rPr>
          <w:lang w:val="pl-PL"/>
        </w:rPr>
        <w:t> </w:t>
      </w:r>
      <w:r w:rsidRPr="00D55672">
        <w:rPr>
          <w:lang w:val="pl-PL"/>
        </w:rPr>
        <w:t>r.</w:t>
      </w:r>
      <w:r w:rsidRPr="00FC6D7F">
        <w:rPr>
          <w:lang w:val="pl-PL"/>
        </w:rPr>
        <w:t xml:space="preserve">, N.A. </w:t>
      </w:r>
      <w:hyperlink r:id="rId69" w:anchor=":~:text=51%20In%20the%20light%20of,marriage%2C%20cannot%20rely%20on%20the" w:history="1">
        <w:r w:rsidRPr="00FC6D7F">
          <w:rPr>
            <w:rStyle w:val="Hyperlink"/>
            <w:lang w:val="pl-PL"/>
          </w:rPr>
          <w:t>C-115/15</w:t>
        </w:r>
      </w:hyperlink>
      <w:r w:rsidRPr="00FC6D7F">
        <w:rPr>
          <w:lang w:val="pl-PL"/>
        </w:rPr>
        <w:t xml:space="preserve">, EU:C:2016:487, </w:t>
      </w:r>
      <w:r w:rsidRPr="00D55672">
        <w:rPr>
          <w:lang w:val="pl-PL"/>
        </w:rPr>
        <w:t>pkt</w:t>
      </w:r>
      <w:r w:rsidR="00D55672" w:rsidRPr="00D55672">
        <w:rPr>
          <w:lang w:val="pl-PL"/>
        </w:rPr>
        <w:t> </w:t>
      </w:r>
      <w:r w:rsidRPr="00D55672">
        <w:rPr>
          <w:lang w:val="pl-PL"/>
        </w:rPr>
        <w:t>5</w:t>
      </w:r>
      <w:r w:rsidRPr="00FC6D7F">
        <w:rPr>
          <w:lang w:val="pl-PL"/>
        </w:rPr>
        <w:t>1.</w:t>
      </w:r>
    </w:p>
  </w:footnote>
  <w:footnote w:id="79">
    <w:p w14:paraId="442E0BC0" w14:textId="76544569" w:rsidR="003667F7" w:rsidRPr="00FC6D7F" w:rsidRDefault="003667F7" w:rsidP="003667F7">
      <w:pPr>
        <w:pStyle w:val="FootnoteText"/>
        <w:ind w:left="357" w:hanging="357"/>
        <w:jc w:val="both"/>
        <w:rPr>
          <w:rFonts w:asciiTheme="minorHAnsi" w:hAnsiTheme="minorHAnsi"/>
          <w:strike/>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 września 20</w:t>
      </w:r>
      <w:r w:rsidRPr="00D55672">
        <w:rPr>
          <w:lang w:val="pl-PL"/>
        </w:rPr>
        <w:t>21</w:t>
      </w:r>
      <w:r w:rsidR="00D55672" w:rsidRPr="00D55672">
        <w:rPr>
          <w:lang w:val="pl-PL"/>
        </w:rPr>
        <w:t> </w:t>
      </w:r>
      <w:r w:rsidRPr="00D55672">
        <w:rPr>
          <w:lang w:val="pl-PL"/>
        </w:rPr>
        <w:t>r.</w:t>
      </w:r>
      <w:r w:rsidRPr="00FC6D7F">
        <w:rPr>
          <w:lang w:val="pl-PL"/>
        </w:rPr>
        <w:t xml:space="preserve">, X/État belge, </w:t>
      </w:r>
      <w:hyperlink r:id="rId70" w:history="1">
        <w:r w:rsidRPr="00FC6D7F">
          <w:rPr>
            <w:lang w:val="pl-PL"/>
          </w:rPr>
          <w:t>C-930/219</w:t>
        </w:r>
      </w:hyperlink>
      <w:r w:rsidRPr="00FC6D7F">
        <w:rPr>
          <w:lang w:val="pl-PL"/>
        </w:rPr>
        <w:t xml:space="preserve">, EU:C:2021:657, </w:t>
      </w:r>
      <w:r w:rsidRPr="00D55672">
        <w:rPr>
          <w:lang w:val="pl-PL"/>
        </w:rPr>
        <w:t>pkt</w:t>
      </w:r>
      <w:r w:rsidR="00D55672" w:rsidRPr="00D55672">
        <w:rPr>
          <w:lang w:val="pl-PL"/>
        </w:rPr>
        <w:t> </w:t>
      </w:r>
      <w:r w:rsidRPr="00D55672">
        <w:rPr>
          <w:lang w:val="pl-PL"/>
        </w:rPr>
        <w:t>4</w:t>
      </w:r>
      <w:r w:rsidRPr="00FC6D7F">
        <w:rPr>
          <w:lang w:val="pl-PL"/>
        </w:rPr>
        <w:t>3</w:t>
      </w:r>
      <w:r w:rsidR="00D55672" w:rsidRPr="00FC6D7F">
        <w:rPr>
          <w:lang w:val="pl-PL"/>
        </w:rPr>
        <w:t xml:space="preserve"> i</w:t>
      </w:r>
      <w:r w:rsidR="00D55672">
        <w:rPr>
          <w:lang w:val="pl-PL"/>
        </w:rPr>
        <w:t> </w:t>
      </w:r>
      <w:r w:rsidR="00D55672" w:rsidRPr="00FC6D7F">
        <w:rPr>
          <w:lang w:val="pl-PL"/>
        </w:rPr>
        <w:t>4</w:t>
      </w:r>
      <w:r w:rsidRPr="00FC6D7F">
        <w:rPr>
          <w:lang w:val="pl-PL"/>
        </w:rPr>
        <w:t>5,</w:t>
      </w:r>
      <w:r w:rsidR="00D55672" w:rsidRPr="00FC6D7F">
        <w:rPr>
          <w:lang w:val="pl-PL"/>
        </w:rPr>
        <w:t xml:space="preserve"> w</w:t>
      </w:r>
      <w:r w:rsidR="00D55672">
        <w:rPr>
          <w:lang w:val="pl-PL"/>
        </w:rPr>
        <w:t> </w:t>
      </w:r>
      <w:r w:rsidR="00D55672" w:rsidRPr="00FC6D7F">
        <w:rPr>
          <w:lang w:val="pl-PL"/>
        </w:rPr>
        <w:t>któ</w:t>
      </w:r>
      <w:r w:rsidRPr="00FC6D7F">
        <w:rPr>
          <w:lang w:val="pl-PL"/>
        </w:rPr>
        <w:t>rym doprecyzowano, że wszczęcie postępowania rozwodowego po niemal trzech latach od opuszczenia przyjmującego państwa członkowskiego przez współmałżonkę będącą obywatelką Unii nie jest, jak się wydaje, rozsądnym terminem.</w:t>
      </w:r>
    </w:p>
  </w:footnote>
  <w:footnote w:id="80">
    <w:p w14:paraId="3585A782" w14:textId="35DBDCFA"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15 lipca 20</w:t>
      </w:r>
      <w:r w:rsidRPr="00D55672">
        <w:rPr>
          <w:lang w:val="pl-PL"/>
        </w:rPr>
        <w:t>21</w:t>
      </w:r>
      <w:r w:rsidR="00D55672" w:rsidRPr="00D55672">
        <w:rPr>
          <w:lang w:val="pl-PL"/>
        </w:rPr>
        <w:t> </w:t>
      </w:r>
      <w:r w:rsidRPr="00D55672">
        <w:rPr>
          <w:lang w:val="pl-PL"/>
        </w:rPr>
        <w:t>r.</w:t>
      </w:r>
      <w:r w:rsidRPr="00FC6D7F">
        <w:rPr>
          <w:lang w:val="pl-PL"/>
        </w:rPr>
        <w:t xml:space="preserve">, A (Soins de santé publics, </w:t>
      </w:r>
      <w:hyperlink r:id="rId71" w:tgtFrame="_blank" w:history="1">
        <w:r w:rsidRPr="00FC6D7F">
          <w:rPr>
            <w:rStyle w:val="Hyperlink"/>
            <w:lang w:val="pl-PL"/>
          </w:rPr>
          <w:t>C-535/19</w:t>
        </w:r>
      </w:hyperlink>
      <w:r w:rsidRPr="00FC6D7F">
        <w:rPr>
          <w:lang w:val="pl-PL"/>
        </w:rPr>
        <w:t>, EU:C:2021:595.</w:t>
      </w:r>
    </w:p>
  </w:footnote>
  <w:footnote w:id="81">
    <w:p w14:paraId="6377E923" w14:textId="00404606" w:rsidR="003667F7" w:rsidRPr="00FC6D7F" w:rsidRDefault="003667F7" w:rsidP="003667F7">
      <w:pPr>
        <w:pStyle w:val="FootnoteText"/>
        <w:ind w:left="357" w:hanging="357"/>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15 lipca 20</w:t>
      </w:r>
      <w:r w:rsidRPr="00D55672">
        <w:rPr>
          <w:lang w:val="pl-PL"/>
        </w:rPr>
        <w:t>21</w:t>
      </w:r>
      <w:r w:rsidR="00D55672" w:rsidRPr="00D55672">
        <w:rPr>
          <w:lang w:val="pl-PL"/>
        </w:rPr>
        <w:t> </w:t>
      </w:r>
      <w:r w:rsidRPr="00D55672">
        <w:rPr>
          <w:lang w:val="pl-PL"/>
        </w:rPr>
        <w:t>r.</w:t>
      </w:r>
      <w:r w:rsidRPr="00FC6D7F">
        <w:rPr>
          <w:lang w:val="pl-PL"/>
        </w:rPr>
        <w:t xml:space="preserve">, A (Soins de santé publics, </w:t>
      </w:r>
      <w:hyperlink r:id="rId72" w:tgtFrame="_blank" w:history="1">
        <w:r w:rsidRPr="00FC6D7F">
          <w:rPr>
            <w:rStyle w:val="Hyperlink"/>
            <w:lang w:val="pl-PL"/>
          </w:rPr>
          <w:t>C-535/19</w:t>
        </w:r>
      </w:hyperlink>
      <w:r w:rsidRPr="00FC6D7F">
        <w:rPr>
          <w:lang w:val="pl-PL"/>
        </w:rPr>
        <w:t xml:space="preserve">, EU:C:2021:595, </w:t>
      </w:r>
      <w:r w:rsidRPr="00D55672">
        <w:rPr>
          <w:lang w:val="pl-PL"/>
        </w:rPr>
        <w:t>pkt</w:t>
      </w:r>
      <w:r w:rsidR="00D55672" w:rsidRPr="00D55672">
        <w:rPr>
          <w:lang w:val="pl-PL"/>
        </w:rPr>
        <w:t> </w:t>
      </w:r>
      <w:r w:rsidRPr="00D55672">
        <w:rPr>
          <w:lang w:val="pl-PL"/>
        </w:rPr>
        <w:t>5</w:t>
      </w:r>
      <w:r w:rsidRPr="00FC6D7F">
        <w:rPr>
          <w:lang w:val="pl-PL"/>
        </w:rPr>
        <w:t>0.</w:t>
      </w:r>
    </w:p>
  </w:footnote>
  <w:footnote w:id="82">
    <w:p w14:paraId="0A37C56D" w14:textId="4B832F4C" w:rsidR="003667F7" w:rsidRPr="00FC6D7F" w:rsidRDefault="003667F7" w:rsidP="003667F7">
      <w:pPr>
        <w:pStyle w:val="FootnoteText"/>
        <w:ind w:left="357" w:hanging="357"/>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15 lipca 20</w:t>
      </w:r>
      <w:r w:rsidRPr="00D55672">
        <w:rPr>
          <w:lang w:val="pl-PL"/>
        </w:rPr>
        <w:t>21</w:t>
      </w:r>
      <w:r w:rsidR="00D55672" w:rsidRPr="00D55672">
        <w:rPr>
          <w:lang w:val="pl-PL"/>
        </w:rPr>
        <w:t> </w:t>
      </w:r>
      <w:r w:rsidRPr="00D55672">
        <w:rPr>
          <w:lang w:val="pl-PL"/>
        </w:rPr>
        <w:t>r.</w:t>
      </w:r>
      <w:r w:rsidRPr="00FC6D7F">
        <w:rPr>
          <w:lang w:val="pl-PL"/>
        </w:rPr>
        <w:t xml:space="preserve">, A (Soins de santé publics, </w:t>
      </w:r>
      <w:hyperlink r:id="rId73" w:tgtFrame="_blank" w:history="1">
        <w:r w:rsidRPr="00FC6D7F">
          <w:rPr>
            <w:rStyle w:val="Hyperlink"/>
            <w:lang w:val="pl-PL"/>
          </w:rPr>
          <w:t>C-535/19</w:t>
        </w:r>
      </w:hyperlink>
      <w:r w:rsidRPr="00FC6D7F">
        <w:rPr>
          <w:lang w:val="pl-PL"/>
        </w:rPr>
        <w:t xml:space="preserve">, EU:C:2021:595, </w:t>
      </w:r>
      <w:r w:rsidRPr="00D55672">
        <w:rPr>
          <w:lang w:val="pl-PL"/>
        </w:rPr>
        <w:t>pkt</w:t>
      </w:r>
      <w:r w:rsidR="00D55672" w:rsidRPr="00D55672">
        <w:rPr>
          <w:lang w:val="pl-PL"/>
        </w:rPr>
        <w:t> </w:t>
      </w:r>
      <w:r w:rsidRPr="00D55672">
        <w:rPr>
          <w:lang w:val="pl-PL"/>
        </w:rPr>
        <w:t>5</w:t>
      </w:r>
      <w:r w:rsidRPr="00FC6D7F">
        <w:rPr>
          <w:lang w:val="pl-PL"/>
        </w:rPr>
        <w:t>8.</w:t>
      </w:r>
    </w:p>
  </w:footnote>
  <w:footnote w:id="83">
    <w:p w14:paraId="189D94AE" w14:textId="1CD5DF70" w:rsidR="003667F7" w:rsidRPr="00FC6D7F" w:rsidRDefault="003667F7" w:rsidP="003667F7">
      <w:pPr>
        <w:pStyle w:val="FootnoteText"/>
        <w:ind w:left="357" w:hanging="357"/>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15 lipca 20</w:t>
      </w:r>
      <w:r w:rsidRPr="00D55672">
        <w:rPr>
          <w:lang w:val="pl-PL"/>
        </w:rPr>
        <w:t>21</w:t>
      </w:r>
      <w:r w:rsidR="00D55672" w:rsidRPr="00D55672">
        <w:rPr>
          <w:lang w:val="pl-PL"/>
        </w:rPr>
        <w:t> </w:t>
      </w:r>
      <w:r w:rsidRPr="00D55672">
        <w:rPr>
          <w:lang w:val="pl-PL"/>
        </w:rPr>
        <w:t>r.</w:t>
      </w:r>
      <w:r w:rsidRPr="00FC6D7F">
        <w:rPr>
          <w:lang w:val="pl-PL"/>
        </w:rPr>
        <w:t xml:space="preserve">, A (Soins de santé publics, </w:t>
      </w:r>
      <w:hyperlink r:id="rId74" w:tgtFrame="_blank" w:history="1">
        <w:r w:rsidRPr="00FC6D7F">
          <w:rPr>
            <w:rStyle w:val="Hyperlink"/>
            <w:lang w:val="pl-PL"/>
          </w:rPr>
          <w:t>C-535/19</w:t>
        </w:r>
      </w:hyperlink>
      <w:r w:rsidRPr="00FC6D7F">
        <w:rPr>
          <w:lang w:val="pl-PL"/>
        </w:rPr>
        <w:t xml:space="preserve">, EU:C:2021:595, </w:t>
      </w:r>
      <w:r w:rsidRPr="00D55672">
        <w:rPr>
          <w:lang w:val="pl-PL"/>
        </w:rPr>
        <w:t>pkt</w:t>
      </w:r>
      <w:r w:rsidR="00D55672" w:rsidRPr="00D55672">
        <w:rPr>
          <w:lang w:val="pl-PL"/>
        </w:rPr>
        <w:t> </w:t>
      </w:r>
      <w:r w:rsidRPr="00D55672">
        <w:rPr>
          <w:lang w:val="pl-PL"/>
        </w:rPr>
        <w:t>5</w:t>
      </w:r>
      <w:r w:rsidRPr="00FC6D7F">
        <w:rPr>
          <w:lang w:val="pl-PL"/>
        </w:rPr>
        <w:t>9, oraz C-247/20, VI,</w:t>
      </w:r>
      <w:r w:rsidRPr="00FC6D7F">
        <w:rPr>
          <w:rFonts w:ascii="Open Sans" w:hAnsi="Open Sans"/>
          <w:b/>
          <w:lang w:val="pl-PL"/>
        </w:rPr>
        <w:t xml:space="preserve"> </w:t>
      </w:r>
      <w:r w:rsidRPr="00FC6D7F">
        <w:rPr>
          <w:lang w:val="pl-PL"/>
        </w:rPr>
        <w:t xml:space="preserve">ECLI:EU:C:2022:177, </w:t>
      </w:r>
      <w:r w:rsidRPr="00D55672">
        <w:rPr>
          <w:lang w:val="pl-PL"/>
        </w:rPr>
        <w:t>pkt</w:t>
      </w:r>
      <w:r w:rsidR="00D55672" w:rsidRPr="00D55672">
        <w:rPr>
          <w:lang w:val="pl-PL"/>
        </w:rPr>
        <w:t> </w:t>
      </w:r>
      <w:r w:rsidRPr="00D55672">
        <w:rPr>
          <w:lang w:val="pl-PL"/>
        </w:rPr>
        <w:t>5</w:t>
      </w:r>
      <w:r w:rsidRPr="00FC6D7F">
        <w:rPr>
          <w:lang w:val="pl-PL"/>
        </w:rPr>
        <w:t>9.</w:t>
      </w:r>
    </w:p>
  </w:footnote>
  <w:footnote w:id="84">
    <w:p w14:paraId="705DA5E2" w14:textId="2D718BA7" w:rsidR="003667F7" w:rsidRPr="00FC6D7F" w:rsidRDefault="003667F7" w:rsidP="003667F7">
      <w:pPr>
        <w:pStyle w:val="FootnoteText"/>
        <w:ind w:left="357" w:hanging="357"/>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15 lipca 20</w:t>
      </w:r>
      <w:r w:rsidRPr="00D55672">
        <w:rPr>
          <w:lang w:val="pl-PL"/>
        </w:rPr>
        <w:t>21</w:t>
      </w:r>
      <w:r w:rsidR="00D55672" w:rsidRPr="00D55672">
        <w:rPr>
          <w:lang w:val="pl-PL"/>
        </w:rPr>
        <w:t> </w:t>
      </w:r>
      <w:r w:rsidRPr="00D55672">
        <w:rPr>
          <w:lang w:val="pl-PL"/>
        </w:rPr>
        <w:t>r.</w:t>
      </w:r>
      <w:r w:rsidRPr="00FC6D7F">
        <w:rPr>
          <w:lang w:val="pl-PL"/>
        </w:rPr>
        <w:t xml:space="preserve">, A (Soins de santé publics, </w:t>
      </w:r>
      <w:hyperlink r:id="rId75" w:tgtFrame="_blank" w:history="1">
        <w:r w:rsidRPr="00FC6D7F">
          <w:rPr>
            <w:rStyle w:val="Hyperlink"/>
            <w:lang w:val="pl-PL"/>
          </w:rPr>
          <w:t>C-535/19</w:t>
        </w:r>
      </w:hyperlink>
      <w:r w:rsidRPr="00FC6D7F">
        <w:rPr>
          <w:lang w:val="pl-PL"/>
        </w:rPr>
        <w:t xml:space="preserve">, EU:C:2021:595, </w:t>
      </w:r>
      <w:r w:rsidRPr="00D55672">
        <w:rPr>
          <w:lang w:val="pl-PL"/>
        </w:rPr>
        <w:t>pkt</w:t>
      </w:r>
      <w:r w:rsidR="00D55672" w:rsidRPr="00D55672">
        <w:rPr>
          <w:lang w:val="pl-PL"/>
        </w:rPr>
        <w:t> </w:t>
      </w:r>
      <w:r w:rsidRPr="00D55672">
        <w:rPr>
          <w:lang w:val="pl-PL"/>
        </w:rPr>
        <w:t>5</w:t>
      </w:r>
      <w:r w:rsidRPr="00FC6D7F">
        <w:rPr>
          <w:lang w:val="pl-PL"/>
        </w:rPr>
        <w:t>9.</w:t>
      </w:r>
    </w:p>
  </w:footnote>
  <w:footnote w:id="85">
    <w:p w14:paraId="53B1C4AA" w14:textId="6AFC3F19" w:rsidR="003667F7" w:rsidRPr="00675E26" w:rsidRDefault="003667F7" w:rsidP="003667F7">
      <w:pPr>
        <w:pStyle w:val="FootnoteText"/>
        <w:ind w:left="357" w:hanging="357"/>
      </w:pPr>
      <w:r>
        <w:rPr>
          <w:rStyle w:val="FootnoteReference"/>
        </w:rPr>
        <w:footnoteRef/>
      </w:r>
      <w:r>
        <w:t xml:space="preserve"> </w:t>
      </w:r>
      <w:r>
        <w:tab/>
        <w:t>Wyrok Trybunału (piąta izba)</w:t>
      </w:r>
      <w:r w:rsidR="00D55672">
        <w:t xml:space="preserve"> z dni</w:t>
      </w:r>
      <w:r>
        <w:t>a 10 marca 20</w:t>
      </w:r>
      <w:r w:rsidRPr="00D55672">
        <w:rPr>
          <w:lang w:val="pl-PL"/>
        </w:rPr>
        <w:t>22</w:t>
      </w:r>
      <w:r w:rsidR="00D55672" w:rsidRPr="00D55672">
        <w:rPr>
          <w:lang w:val="pl-PL"/>
        </w:rPr>
        <w:t> </w:t>
      </w:r>
      <w:r w:rsidRPr="00D55672">
        <w:rPr>
          <w:lang w:val="pl-PL"/>
        </w:rPr>
        <w:t>r.</w:t>
      </w:r>
      <w:r>
        <w:t xml:space="preserve">, VI /Commissioners for Her Majesty's Revenue and Customs, </w:t>
      </w:r>
      <w:hyperlink r:id="rId76" w:history="1">
        <w:r>
          <w:rPr>
            <w:rStyle w:val="Hyperlink"/>
          </w:rPr>
          <w:t>C-247/20</w:t>
        </w:r>
      </w:hyperlink>
      <w:r>
        <w:t>, EU:C:2022:177.</w:t>
      </w:r>
    </w:p>
  </w:footnote>
  <w:footnote w:id="86">
    <w:p w14:paraId="65D28772" w14:textId="57C35546" w:rsidR="003667F7" w:rsidRPr="00574577" w:rsidRDefault="003667F7" w:rsidP="003667F7">
      <w:pPr>
        <w:pStyle w:val="FootnoteText"/>
        <w:ind w:left="357" w:hanging="357"/>
      </w:pPr>
      <w:r>
        <w:rPr>
          <w:rStyle w:val="FootnoteReference"/>
        </w:rPr>
        <w:footnoteRef/>
      </w:r>
      <w:r>
        <w:t xml:space="preserve"> </w:t>
      </w:r>
      <w:r>
        <w:tab/>
        <w:t>Wyrok Trybunału (piąta izba)</w:t>
      </w:r>
      <w:r w:rsidR="00D55672">
        <w:t xml:space="preserve"> z dni</w:t>
      </w:r>
      <w:r>
        <w:t>a 10 marca 20</w:t>
      </w:r>
      <w:r w:rsidRPr="00D55672">
        <w:rPr>
          <w:lang w:val="pl-PL"/>
        </w:rPr>
        <w:t>22</w:t>
      </w:r>
      <w:r w:rsidR="00D55672" w:rsidRPr="00D55672">
        <w:rPr>
          <w:lang w:val="pl-PL"/>
        </w:rPr>
        <w:t> </w:t>
      </w:r>
      <w:r w:rsidRPr="00D55672">
        <w:rPr>
          <w:lang w:val="pl-PL"/>
        </w:rPr>
        <w:t>r.</w:t>
      </w:r>
      <w:r>
        <w:t xml:space="preserve">, VI /Commissioners for Her Majesty's Revenue and Customs, C-247/20, EU:C:2022:177, </w:t>
      </w:r>
      <w:r w:rsidRPr="00D55672">
        <w:rPr>
          <w:lang w:val="pl-PL"/>
        </w:rPr>
        <w:t>pkt</w:t>
      </w:r>
      <w:r w:rsidR="00D55672" w:rsidRPr="00D55672">
        <w:rPr>
          <w:lang w:val="pl-PL"/>
        </w:rPr>
        <w:t> </w:t>
      </w:r>
      <w:r w:rsidRPr="00D55672">
        <w:rPr>
          <w:lang w:val="pl-PL"/>
        </w:rPr>
        <w:t>6</w:t>
      </w:r>
      <w:r>
        <w:t>0.</w:t>
      </w:r>
    </w:p>
  </w:footnote>
  <w:footnote w:id="87">
    <w:p w14:paraId="58A30A83" w14:textId="60DB0877" w:rsidR="003667F7" w:rsidRPr="00574577" w:rsidRDefault="003667F7" w:rsidP="003667F7">
      <w:pPr>
        <w:pStyle w:val="FootnoteText"/>
        <w:ind w:left="357" w:hanging="357"/>
        <w:jc w:val="both"/>
      </w:pPr>
      <w:r>
        <w:rPr>
          <w:rStyle w:val="FootnoteReference"/>
        </w:rPr>
        <w:footnoteRef/>
      </w:r>
      <w:r>
        <w:t xml:space="preserve"> </w:t>
      </w:r>
      <w:r>
        <w:tab/>
        <w:t>Wyrok Trybunału (piąta izba)</w:t>
      </w:r>
      <w:r w:rsidR="00D55672">
        <w:t xml:space="preserve"> z dni</w:t>
      </w:r>
      <w:r>
        <w:t>a 10 marca 20</w:t>
      </w:r>
      <w:r w:rsidRPr="00D55672">
        <w:rPr>
          <w:lang w:val="pl-PL"/>
        </w:rPr>
        <w:t>22</w:t>
      </w:r>
      <w:r w:rsidR="00D55672" w:rsidRPr="00D55672">
        <w:rPr>
          <w:lang w:val="pl-PL"/>
        </w:rPr>
        <w:t> </w:t>
      </w:r>
      <w:r w:rsidRPr="00D55672">
        <w:rPr>
          <w:lang w:val="pl-PL"/>
        </w:rPr>
        <w:t>r.</w:t>
      </w:r>
      <w:r>
        <w:t xml:space="preserve">, VI /Commissioners for Her Majesty's Revenue and Customs, C-247/20, EU:C:2022:177, </w:t>
      </w:r>
      <w:r w:rsidRPr="00D55672">
        <w:rPr>
          <w:lang w:val="pl-PL"/>
        </w:rPr>
        <w:t>pkt</w:t>
      </w:r>
      <w:r w:rsidR="00D55672" w:rsidRPr="00D55672">
        <w:rPr>
          <w:lang w:val="pl-PL"/>
        </w:rPr>
        <w:t> </w:t>
      </w:r>
      <w:r w:rsidRPr="00D55672">
        <w:rPr>
          <w:lang w:val="pl-PL"/>
        </w:rPr>
        <w:t>6</w:t>
      </w:r>
      <w:r>
        <w:t>7.</w:t>
      </w:r>
    </w:p>
  </w:footnote>
  <w:footnote w:id="88">
    <w:p w14:paraId="01D7253A" w14:textId="6C0ACA86" w:rsidR="003667F7" w:rsidRDefault="003667F7" w:rsidP="003667F7">
      <w:pPr>
        <w:pStyle w:val="FootnoteText"/>
        <w:ind w:left="357" w:hanging="357"/>
        <w:jc w:val="both"/>
      </w:pPr>
      <w:r>
        <w:rPr>
          <w:rStyle w:val="FootnoteReference"/>
        </w:rPr>
        <w:footnoteRef/>
      </w:r>
      <w:r>
        <w:t xml:space="preserve"> </w:t>
      </w:r>
      <w:r>
        <w:tab/>
        <w:t>Wyrok Trybunału (piąta izba)</w:t>
      </w:r>
      <w:r w:rsidR="00D55672">
        <w:t xml:space="preserve"> z dni</w:t>
      </w:r>
      <w:r>
        <w:t>a 10 marca 20</w:t>
      </w:r>
      <w:r w:rsidRPr="00D55672">
        <w:rPr>
          <w:lang w:val="pl-PL"/>
        </w:rPr>
        <w:t>22</w:t>
      </w:r>
      <w:r w:rsidR="00D55672" w:rsidRPr="00D55672">
        <w:rPr>
          <w:lang w:val="pl-PL"/>
        </w:rPr>
        <w:t> </w:t>
      </w:r>
      <w:r w:rsidRPr="00D55672">
        <w:rPr>
          <w:lang w:val="pl-PL"/>
        </w:rPr>
        <w:t>r.</w:t>
      </w:r>
      <w:r>
        <w:t xml:space="preserve">, VI /Commissioners for Her Majesty's Revenue and Customs, </w:t>
      </w:r>
      <w:hyperlink r:id="rId77" w:history="1">
        <w:r>
          <w:rPr>
            <w:rStyle w:val="Hyperlink"/>
          </w:rPr>
          <w:t>C-247/20</w:t>
        </w:r>
      </w:hyperlink>
      <w:r>
        <w:t xml:space="preserve">, EU:C:2022:177, </w:t>
      </w:r>
      <w:r w:rsidRPr="00D55672">
        <w:rPr>
          <w:lang w:val="pl-PL"/>
        </w:rPr>
        <w:t>pkt</w:t>
      </w:r>
      <w:r w:rsidR="00D55672" w:rsidRPr="00D55672">
        <w:rPr>
          <w:lang w:val="pl-PL"/>
        </w:rPr>
        <w:t> </w:t>
      </w:r>
      <w:r w:rsidRPr="00D55672">
        <w:rPr>
          <w:lang w:val="pl-PL"/>
        </w:rPr>
        <w:t>6</w:t>
      </w:r>
      <w:r>
        <w:t>9.</w:t>
      </w:r>
    </w:p>
  </w:footnote>
  <w:footnote w:id="89">
    <w:p w14:paraId="35BBC92F" w14:textId="6F27A462"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bookmarkStart w:id="5" w:name="_Hlk145936948"/>
      <w:r w:rsidRPr="00FC6D7F">
        <w:rPr>
          <w:lang w:val="pl-PL"/>
        </w:rPr>
        <w:tab/>
        <w:t>Wyrok Trybunału (trzecia izba)</w:t>
      </w:r>
      <w:r w:rsidR="00D55672" w:rsidRPr="00FC6D7F">
        <w:rPr>
          <w:lang w:val="pl-PL"/>
        </w:rPr>
        <w:t xml:space="preserve"> z</w:t>
      </w:r>
      <w:r w:rsidR="00D55672">
        <w:rPr>
          <w:lang w:val="pl-PL"/>
        </w:rPr>
        <w:t> </w:t>
      </w:r>
      <w:r w:rsidR="00D55672" w:rsidRPr="00FC6D7F">
        <w:rPr>
          <w:lang w:val="pl-PL"/>
        </w:rPr>
        <w:t>dni</w:t>
      </w:r>
      <w:r w:rsidRPr="00FC6D7F">
        <w:rPr>
          <w:lang w:val="pl-PL"/>
        </w:rPr>
        <w:t>a 15 września 20</w:t>
      </w:r>
      <w:r w:rsidRPr="00D55672">
        <w:rPr>
          <w:lang w:val="pl-PL"/>
        </w:rPr>
        <w:t>22</w:t>
      </w:r>
      <w:r w:rsidR="00D55672" w:rsidRPr="00D55672">
        <w:rPr>
          <w:lang w:val="pl-PL"/>
        </w:rPr>
        <w:t> </w:t>
      </w:r>
      <w:r w:rsidRPr="00D55672">
        <w:rPr>
          <w:lang w:val="pl-PL"/>
        </w:rPr>
        <w:t>r.</w:t>
      </w:r>
      <w:r w:rsidRPr="00FC6D7F">
        <w:rPr>
          <w:lang w:val="pl-PL"/>
        </w:rPr>
        <w:t xml:space="preserve">, SRS i AA/Minister for Justice and Equality, </w:t>
      </w:r>
      <w:hyperlink r:id="rId78" w:history="1">
        <w:r w:rsidRPr="00FC6D7F">
          <w:rPr>
            <w:rStyle w:val="Hyperlink"/>
            <w:lang w:val="pl-PL"/>
          </w:rPr>
          <w:t>C-22/21</w:t>
        </w:r>
      </w:hyperlink>
      <w:r w:rsidRPr="00FC6D7F">
        <w:rPr>
          <w:lang w:val="pl-PL"/>
        </w:rPr>
        <w:t>, EU:C:2022:683.</w:t>
      </w:r>
      <w:bookmarkEnd w:id="5"/>
      <w:r w:rsidRPr="00FC6D7F">
        <w:rPr>
          <w:lang w:val="pl-PL"/>
        </w:rPr>
        <w:t xml:space="preserve"> </w:t>
      </w:r>
    </w:p>
  </w:footnote>
  <w:footnote w:id="90">
    <w:p w14:paraId="0021E2E0" w14:textId="18109700"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(trzecia izba)</w:t>
      </w:r>
      <w:r w:rsidR="00D55672" w:rsidRPr="00FC6D7F">
        <w:rPr>
          <w:lang w:val="pl-PL"/>
        </w:rPr>
        <w:t xml:space="preserve"> z</w:t>
      </w:r>
      <w:r w:rsidR="00D55672">
        <w:rPr>
          <w:lang w:val="pl-PL"/>
        </w:rPr>
        <w:t> </w:t>
      </w:r>
      <w:r w:rsidR="00D55672" w:rsidRPr="00FC6D7F">
        <w:rPr>
          <w:lang w:val="pl-PL"/>
        </w:rPr>
        <w:t>dni</w:t>
      </w:r>
      <w:r w:rsidRPr="00FC6D7F">
        <w:rPr>
          <w:lang w:val="pl-PL"/>
        </w:rPr>
        <w:t>a 15 września 20</w:t>
      </w:r>
      <w:r w:rsidRPr="00D55672">
        <w:rPr>
          <w:lang w:val="pl-PL"/>
        </w:rPr>
        <w:t>22</w:t>
      </w:r>
      <w:r w:rsidR="00D55672" w:rsidRPr="00D55672">
        <w:rPr>
          <w:lang w:val="pl-PL"/>
        </w:rPr>
        <w:t> </w:t>
      </w:r>
      <w:r w:rsidRPr="00D55672">
        <w:rPr>
          <w:lang w:val="pl-PL"/>
        </w:rPr>
        <w:t>r.</w:t>
      </w:r>
      <w:r w:rsidRPr="00FC6D7F">
        <w:rPr>
          <w:lang w:val="pl-PL"/>
        </w:rPr>
        <w:t xml:space="preserve">, SRS i AA/Minister for Justice and Equality, </w:t>
      </w:r>
      <w:hyperlink r:id="rId79" w:history="1">
        <w:r w:rsidRPr="00FC6D7F">
          <w:rPr>
            <w:rStyle w:val="Hyperlink"/>
            <w:lang w:val="pl-PL"/>
          </w:rPr>
          <w:t>C-22/21</w:t>
        </w:r>
      </w:hyperlink>
      <w:r w:rsidRPr="00FC6D7F">
        <w:rPr>
          <w:lang w:val="pl-PL"/>
        </w:rPr>
        <w:t xml:space="preserve">, EU:C:2022:683, </w:t>
      </w:r>
      <w:r w:rsidRPr="00D55672">
        <w:rPr>
          <w:lang w:val="pl-PL"/>
        </w:rPr>
        <w:t>pkt</w:t>
      </w:r>
      <w:r w:rsidR="00D55672" w:rsidRPr="00D55672">
        <w:rPr>
          <w:lang w:val="pl-PL"/>
        </w:rPr>
        <w:t> </w:t>
      </w:r>
      <w:r w:rsidRPr="00D55672">
        <w:rPr>
          <w:lang w:val="pl-PL"/>
        </w:rPr>
        <w:t>3</w:t>
      </w:r>
      <w:r w:rsidRPr="00FC6D7F">
        <w:rPr>
          <w:lang w:val="pl-PL"/>
        </w:rPr>
        <w:t>0.</w:t>
      </w:r>
    </w:p>
  </w:footnote>
  <w:footnote w:id="91">
    <w:p w14:paraId="2F096AD7" w14:textId="780E4794"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(trzecia izba)</w:t>
      </w:r>
      <w:r w:rsidR="00D55672" w:rsidRPr="00FC6D7F">
        <w:rPr>
          <w:lang w:val="pl-PL"/>
        </w:rPr>
        <w:t xml:space="preserve"> z</w:t>
      </w:r>
      <w:r w:rsidR="00D55672">
        <w:rPr>
          <w:lang w:val="pl-PL"/>
        </w:rPr>
        <w:t> </w:t>
      </w:r>
      <w:r w:rsidR="00D55672" w:rsidRPr="00FC6D7F">
        <w:rPr>
          <w:lang w:val="pl-PL"/>
        </w:rPr>
        <w:t>dni</w:t>
      </w:r>
      <w:r w:rsidRPr="00FC6D7F">
        <w:rPr>
          <w:lang w:val="pl-PL"/>
        </w:rPr>
        <w:t>a 15 września 20</w:t>
      </w:r>
      <w:r w:rsidRPr="00D55672">
        <w:rPr>
          <w:lang w:val="pl-PL"/>
        </w:rPr>
        <w:t>22</w:t>
      </w:r>
      <w:r w:rsidR="00D55672" w:rsidRPr="00D55672">
        <w:rPr>
          <w:lang w:val="pl-PL"/>
        </w:rPr>
        <w:t> </w:t>
      </w:r>
      <w:r w:rsidRPr="00D55672">
        <w:rPr>
          <w:lang w:val="pl-PL"/>
        </w:rPr>
        <w:t>r.</w:t>
      </w:r>
      <w:r w:rsidRPr="00FC6D7F">
        <w:rPr>
          <w:lang w:val="pl-PL"/>
        </w:rPr>
        <w:t xml:space="preserve">, SRS i AA/Minister for Justice and Equality, </w:t>
      </w:r>
      <w:hyperlink r:id="rId80" w:history="1">
        <w:r w:rsidRPr="00FC6D7F">
          <w:rPr>
            <w:rStyle w:val="Hyperlink"/>
            <w:lang w:val="pl-PL"/>
          </w:rPr>
          <w:t>C-22/21</w:t>
        </w:r>
      </w:hyperlink>
      <w:r w:rsidRPr="00FC6D7F">
        <w:rPr>
          <w:lang w:val="pl-PL"/>
        </w:rPr>
        <w:t xml:space="preserve">, EU:C:2022:683, </w:t>
      </w:r>
      <w:r w:rsidRPr="00D55672">
        <w:rPr>
          <w:lang w:val="pl-PL"/>
        </w:rPr>
        <w:t>pkt</w:t>
      </w:r>
      <w:r w:rsidR="00D55672" w:rsidRPr="00D55672">
        <w:rPr>
          <w:lang w:val="pl-PL"/>
        </w:rPr>
        <w:t> </w:t>
      </w:r>
      <w:r w:rsidRPr="00D55672">
        <w:rPr>
          <w:lang w:val="pl-PL"/>
        </w:rPr>
        <w:t>2</w:t>
      </w:r>
      <w:r w:rsidRPr="00FC6D7F">
        <w:rPr>
          <w:lang w:val="pl-PL"/>
        </w:rPr>
        <w:t>7.</w:t>
      </w:r>
    </w:p>
  </w:footnote>
  <w:footnote w:id="92">
    <w:p w14:paraId="17548E2E" w14:textId="1AA64A14"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(trzecia izba)</w:t>
      </w:r>
      <w:r w:rsidR="00D55672" w:rsidRPr="00FC6D7F">
        <w:rPr>
          <w:lang w:val="pl-PL"/>
        </w:rPr>
        <w:t xml:space="preserve"> z</w:t>
      </w:r>
      <w:r w:rsidR="00D55672">
        <w:rPr>
          <w:lang w:val="pl-PL"/>
        </w:rPr>
        <w:t> </w:t>
      </w:r>
      <w:r w:rsidR="00D55672" w:rsidRPr="00FC6D7F">
        <w:rPr>
          <w:lang w:val="pl-PL"/>
        </w:rPr>
        <w:t>dni</w:t>
      </w:r>
      <w:r w:rsidRPr="00FC6D7F">
        <w:rPr>
          <w:lang w:val="pl-PL"/>
        </w:rPr>
        <w:t>a 15 września 20</w:t>
      </w:r>
      <w:r w:rsidRPr="00D55672">
        <w:rPr>
          <w:lang w:val="pl-PL"/>
        </w:rPr>
        <w:t>22</w:t>
      </w:r>
      <w:r w:rsidR="00D55672" w:rsidRPr="00D55672">
        <w:rPr>
          <w:lang w:val="pl-PL"/>
        </w:rPr>
        <w:t> </w:t>
      </w:r>
      <w:r w:rsidRPr="00D55672">
        <w:rPr>
          <w:lang w:val="pl-PL"/>
        </w:rPr>
        <w:t>r.</w:t>
      </w:r>
      <w:r w:rsidRPr="00FC6D7F">
        <w:rPr>
          <w:lang w:val="pl-PL"/>
        </w:rPr>
        <w:t xml:space="preserve">, SRS i AA/Minister for Justice and Equality, </w:t>
      </w:r>
      <w:hyperlink r:id="rId81" w:history="1">
        <w:r w:rsidRPr="00FC6D7F">
          <w:rPr>
            <w:rStyle w:val="Hyperlink"/>
            <w:lang w:val="pl-PL"/>
          </w:rPr>
          <w:t>C-22/21</w:t>
        </w:r>
      </w:hyperlink>
      <w:r w:rsidRPr="00FC6D7F">
        <w:rPr>
          <w:lang w:val="pl-PL"/>
        </w:rPr>
        <w:t xml:space="preserve">, EU:C:2022:683, </w:t>
      </w:r>
      <w:r w:rsidRPr="00D55672">
        <w:rPr>
          <w:lang w:val="pl-PL"/>
        </w:rPr>
        <w:t>pkt</w:t>
      </w:r>
      <w:r w:rsidR="00D55672" w:rsidRPr="00D55672">
        <w:rPr>
          <w:lang w:val="pl-PL"/>
        </w:rPr>
        <w:t> </w:t>
      </w:r>
      <w:r w:rsidRPr="00D55672">
        <w:rPr>
          <w:lang w:val="pl-PL"/>
        </w:rPr>
        <w:t>2</w:t>
      </w:r>
      <w:r w:rsidRPr="00FC6D7F">
        <w:rPr>
          <w:lang w:val="pl-PL"/>
        </w:rPr>
        <w:t>7.</w:t>
      </w:r>
    </w:p>
  </w:footnote>
  <w:footnote w:id="93">
    <w:p w14:paraId="21DF34EF" w14:textId="1AF79583"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(trzecia izba)</w:t>
      </w:r>
      <w:r w:rsidR="00D55672" w:rsidRPr="00FC6D7F">
        <w:rPr>
          <w:lang w:val="pl-PL"/>
        </w:rPr>
        <w:t xml:space="preserve"> z</w:t>
      </w:r>
      <w:r w:rsidR="00D55672">
        <w:rPr>
          <w:lang w:val="pl-PL"/>
        </w:rPr>
        <w:t> </w:t>
      </w:r>
      <w:r w:rsidR="00D55672" w:rsidRPr="00FC6D7F">
        <w:rPr>
          <w:lang w:val="pl-PL"/>
        </w:rPr>
        <w:t>dni</w:t>
      </w:r>
      <w:r w:rsidRPr="00FC6D7F">
        <w:rPr>
          <w:lang w:val="pl-PL"/>
        </w:rPr>
        <w:t>a 15 września 20</w:t>
      </w:r>
      <w:r w:rsidRPr="00D55672">
        <w:rPr>
          <w:lang w:val="pl-PL"/>
        </w:rPr>
        <w:t>22</w:t>
      </w:r>
      <w:r w:rsidR="00D55672" w:rsidRPr="00D55672">
        <w:rPr>
          <w:lang w:val="pl-PL"/>
        </w:rPr>
        <w:t> </w:t>
      </w:r>
      <w:r w:rsidRPr="00D55672">
        <w:rPr>
          <w:lang w:val="pl-PL"/>
        </w:rPr>
        <w:t>r.</w:t>
      </w:r>
      <w:r w:rsidRPr="00FC6D7F">
        <w:rPr>
          <w:lang w:val="pl-PL"/>
        </w:rPr>
        <w:t xml:space="preserve">, SRS i AA/Minister for Justice and Equality, </w:t>
      </w:r>
      <w:hyperlink r:id="rId82" w:history="1">
        <w:r w:rsidRPr="00FC6D7F">
          <w:rPr>
            <w:rStyle w:val="Hyperlink"/>
            <w:lang w:val="pl-PL"/>
          </w:rPr>
          <w:t>C-22/21</w:t>
        </w:r>
      </w:hyperlink>
      <w:r w:rsidRPr="00FC6D7F">
        <w:rPr>
          <w:lang w:val="pl-PL"/>
        </w:rPr>
        <w:t xml:space="preserve">, EU:C:2022:683, </w:t>
      </w:r>
      <w:r w:rsidRPr="00D55672">
        <w:rPr>
          <w:lang w:val="pl-PL"/>
        </w:rPr>
        <w:t>pkt</w:t>
      </w:r>
      <w:r w:rsidR="00D55672" w:rsidRPr="00D55672">
        <w:rPr>
          <w:lang w:val="pl-PL"/>
        </w:rPr>
        <w:t> </w:t>
      </w:r>
      <w:r w:rsidRPr="00D55672">
        <w:rPr>
          <w:lang w:val="pl-PL"/>
        </w:rPr>
        <w:t>2</w:t>
      </w:r>
      <w:r w:rsidRPr="00FC6D7F">
        <w:rPr>
          <w:lang w:val="pl-PL"/>
        </w:rPr>
        <w:t>9.</w:t>
      </w:r>
    </w:p>
  </w:footnote>
  <w:footnote w:id="94">
    <w:p w14:paraId="0AFE6D79" w14:textId="190ED588"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(trzecia izba)</w:t>
      </w:r>
      <w:r w:rsidR="00D55672" w:rsidRPr="00FC6D7F">
        <w:rPr>
          <w:lang w:val="pl-PL"/>
        </w:rPr>
        <w:t xml:space="preserve"> z</w:t>
      </w:r>
      <w:r w:rsidR="00D55672">
        <w:rPr>
          <w:lang w:val="pl-PL"/>
        </w:rPr>
        <w:t> </w:t>
      </w:r>
      <w:r w:rsidR="00D55672" w:rsidRPr="00FC6D7F">
        <w:rPr>
          <w:lang w:val="pl-PL"/>
        </w:rPr>
        <w:t>dni</w:t>
      </w:r>
      <w:r w:rsidRPr="00FC6D7F">
        <w:rPr>
          <w:lang w:val="pl-PL"/>
        </w:rPr>
        <w:t>a 15 września 20</w:t>
      </w:r>
      <w:r w:rsidRPr="00D55672">
        <w:rPr>
          <w:lang w:val="pl-PL"/>
        </w:rPr>
        <w:t>22</w:t>
      </w:r>
      <w:r w:rsidR="00D55672" w:rsidRPr="00D55672">
        <w:rPr>
          <w:lang w:val="pl-PL"/>
        </w:rPr>
        <w:t> </w:t>
      </w:r>
      <w:r w:rsidRPr="00D55672">
        <w:rPr>
          <w:lang w:val="pl-PL"/>
        </w:rPr>
        <w:t>r.</w:t>
      </w:r>
      <w:r w:rsidRPr="00FC6D7F">
        <w:rPr>
          <w:lang w:val="pl-PL"/>
        </w:rPr>
        <w:t xml:space="preserve">, SRS i AA/Minister for Justice and Equality, </w:t>
      </w:r>
      <w:hyperlink r:id="rId83" w:history="1">
        <w:r w:rsidRPr="00FC6D7F">
          <w:rPr>
            <w:rStyle w:val="Hyperlink"/>
            <w:lang w:val="pl-PL"/>
          </w:rPr>
          <w:t>C-22/21</w:t>
        </w:r>
      </w:hyperlink>
      <w:r w:rsidRPr="00FC6D7F">
        <w:rPr>
          <w:lang w:val="pl-PL"/>
        </w:rPr>
        <w:t xml:space="preserve">, EU:C:2022:683, </w:t>
      </w:r>
      <w:r w:rsidRPr="00D55672">
        <w:rPr>
          <w:lang w:val="pl-PL"/>
        </w:rPr>
        <w:t>pkt</w:t>
      </w:r>
      <w:r w:rsidR="00D55672" w:rsidRPr="00D55672">
        <w:rPr>
          <w:lang w:val="pl-PL"/>
        </w:rPr>
        <w:t> </w:t>
      </w:r>
      <w:r w:rsidRPr="00D55672">
        <w:rPr>
          <w:lang w:val="pl-PL"/>
        </w:rPr>
        <w:t>2</w:t>
      </w:r>
      <w:r w:rsidRPr="00FC6D7F">
        <w:rPr>
          <w:lang w:val="pl-PL"/>
        </w:rPr>
        <w:t xml:space="preserve">2. </w:t>
      </w:r>
    </w:p>
  </w:footnote>
  <w:footnote w:id="95">
    <w:p w14:paraId="5DBA7AB8" w14:textId="4311F313" w:rsidR="003667F7" w:rsidRPr="00FC6D7F" w:rsidRDefault="003667F7" w:rsidP="003667F7">
      <w:pPr>
        <w:pStyle w:val="FootnoteText"/>
        <w:ind w:left="357" w:hanging="357"/>
        <w:jc w:val="both"/>
        <w:rPr>
          <w:lang w:val="de-DE"/>
        </w:rPr>
      </w:pPr>
      <w:r>
        <w:rPr>
          <w:rStyle w:val="FootnoteReference"/>
        </w:rPr>
        <w:footnoteRef/>
      </w:r>
      <w:r w:rsidRPr="00FC6D7F">
        <w:rPr>
          <w:lang w:val="de-DE"/>
        </w:rPr>
        <w:t xml:space="preserve"> </w:t>
      </w:r>
      <w:r w:rsidRPr="00FC6D7F">
        <w:rPr>
          <w:lang w:val="de-DE"/>
        </w:rPr>
        <w:tab/>
        <w:t>Wyrok Trybunału (wielka izba)</w:t>
      </w:r>
      <w:r w:rsidR="00D55672" w:rsidRPr="00FC6D7F">
        <w:rPr>
          <w:lang w:val="de-DE"/>
        </w:rPr>
        <w:t xml:space="preserve"> z</w:t>
      </w:r>
      <w:r w:rsidR="00D55672">
        <w:rPr>
          <w:lang w:val="de-DE"/>
        </w:rPr>
        <w:t> </w:t>
      </w:r>
      <w:r w:rsidR="00D55672" w:rsidRPr="00FC6D7F">
        <w:rPr>
          <w:lang w:val="de-DE"/>
        </w:rPr>
        <w:t>dni</w:t>
      </w:r>
      <w:r w:rsidRPr="00FC6D7F">
        <w:rPr>
          <w:lang w:val="de-DE"/>
        </w:rPr>
        <w:t>a 1 sierpnia 20</w:t>
      </w:r>
      <w:r w:rsidRPr="00D55672">
        <w:rPr>
          <w:lang w:val="pl-PL"/>
        </w:rPr>
        <w:t>22</w:t>
      </w:r>
      <w:r w:rsidR="00D55672" w:rsidRPr="00D55672">
        <w:rPr>
          <w:lang w:val="pl-PL"/>
        </w:rPr>
        <w:t> </w:t>
      </w:r>
      <w:r w:rsidRPr="00D55672">
        <w:rPr>
          <w:lang w:val="pl-PL"/>
        </w:rPr>
        <w:t>r.</w:t>
      </w:r>
      <w:r w:rsidRPr="00FC6D7F">
        <w:rPr>
          <w:lang w:val="de-DE"/>
        </w:rPr>
        <w:t xml:space="preserve">, </w:t>
      </w:r>
      <w:r w:rsidRPr="00FC6D7F">
        <w:rPr>
          <w:color w:val="000000" w:themeColor="text1"/>
          <w:lang w:val="de-DE"/>
        </w:rPr>
        <w:t xml:space="preserve">S./Familienkasse Niedersachsen-Bremen der Bundesagentur für Arbeit, </w:t>
      </w:r>
      <w:hyperlink r:id="rId84" w:anchor="Footref*" w:history="1">
        <w:r w:rsidRPr="00FC6D7F">
          <w:rPr>
            <w:rStyle w:val="Hyperlink"/>
            <w:lang w:val="de-DE"/>
          </w:rPr>
          <w:t>C-411/20</w:t>
        </w:r>
      </w:hyperlink>
      <w:r w:rsidRPr="00FC6D7F">
        <w:rPr>
          <w:color w:val="000000" w:themeColor="text1"/>
          <w:lang w:val="de-DE"/>
        </w:rPr>
        <w:t>, EU:C:2022:602</w:t>
      </w:r>
      <w:r w:rsidRPr="00FC6D7F">
        <w:rPr>
          <w:lang w:val="de-DE"/>
        </w:rPr>
        <w:t>.</w:t>
      </w:r>
    </w:p>
  </w:footnote>
  <w:footnote w:id="96">
    <w:p w14:paraId="5602D4C9" w14:textId="1A5C6FA2" w:rsidR="003667F7" w:rsidRPr="00FC6D7F" w:rsidRDefault="003667F7" w:rsidP="003667F7">
      <w:pPr>
        <w:pStyle w:val="FootnoteText"/>
        <w:ind w:left="357" w:hanging="357"/>
        <w:jc w:val="both"/>
        <w:rPr>
          <w:rFonts w:cs="Times New Roman"/>
          <w:lang w:val="de-DE"/>
        </w:rPr>
      </w:pPr>
      <w:r>
        <w:rPr>
          <w:rStyle w:val="FootnoteReference"/>
        </w:rPr>
        <w:footnoteRef/>
      </w:r>
      <w:r w:rsidRPr="00FC6D7F">
        <w:rPr>
          <w:lang w:val="de-DE"/>
        </w:rPr>
        <w:t xml:space="preserve"> </w:t>
      </w:r>
      <w:r w:rsidRPr="00FC6D7F">
        <w:rPr>
          <w:lang w:val="de-DE"/>
        </w:rPr>
        <w:tab/>
        <w:t>Wyrok Trybunału (wielka izba)</w:t>
      </w:r>
      <w:r w:rsidR="00D55672" w:rsidRPr="00FC6D7F">
        <w:rPr>
          <w:lang w:val="de-DE"/>
        </w:rPr>
        <w:t xml:space="preserve"> z</w:t>
      </w:r>
      <w:r w:rsidR="00D55672">
        <w:rPr>
          <w:lang w:val="de-DE"/>
        </w:rPr>
        <w:t> </w:t>
      </w:r>
      <w:r w:rsidR="00D55672" w:rsidRPr="00FC6D7F">
        <w:rPr>
          <w:lang w:val="de-DE"/>
        </w:rPr>
        <w:t>dni</w:t>
      </w:r>
      <w:r w:rsidRPr="00FC6D7F">
        <w:rPr>
          <w:lang w:val="de-DE"/>
        </w:rPr>
        <w:t>a 1 sierpnia 20</w:t>
      </w:r>
      <w:r w:rsidRPr="00D55672">
        <w:rPr>
          <w:lang w:val="pl-PL"/>
        </w:rPr>
        <w:t>22</w:t>
      </w:r>
      <w:r w:rsidR="00D55672" w:rsidRPr="00D55672">
        <w:rPr>
          <w:lang w:val="pl-PL"/>
        </w:rPr>
        <w:t> </w:t>
      </w:r>
      <w:r w:rsidRPr="00D55672">
        <w:rPr>
          <w:lang w:val="pl-PL"/>
        </w:rPr>
        <w:t>r.</w:t>
      </w:r>
      <w:r w:rsidRPr="00FC6D7F">
        <w:rPr>
          <w:lang w:val="de-DE"/>
        </w:rPr>
        <w:t xml:space="preserve">, S./Familienkasse Niedersachsen-Bremen der Bundesagentur für Arbeit, </w:t>
      </w:r>
      <w:hyperlink r:id="rId85" w:anchor="Footref*" w:history="1">
        <w:r w:rsidRPr="00FC6D7F">
          <w:rPr>
            <w:rStyle w:val="Hyperlink"/>
            <w:lang w:val="de-DE"/>
          </w:rPr>
          <w:t>C-411/20</w:t>
        </w:r>
      </w:hyperlink>
      <w:r w:rsidRPr="00FC6D7F">
        <w:rPr>
          <w:lang w:val="de-DE"/>
        </w:rPr>
        <w:t xml:space="preserve">, EU:C:2022:602, </w:t>
      </w:r>
      <w:r w:rsidRPr="00D55672">
        <w:rPr>
          <w:lang w:val="pl-PL"/>
        </w:rPr>
        <w:t>pkt</w:t>
      </w:r>
      <w:r w:rsidR="00D55672" w:rsidRPr="00D55672">
        <w:rPr>
          <w:lang w:val="pl-PL"/>
        </w:rPr>
        <w:t> </w:t>
      </w:r>
      <w:r w:rsidRPr="00D55672">
        <w:rPr>
          <w:lang w:val="pl-PL"/>
        </w:rPr>
        <w:t>3</w:t>
      </w:r>
      <w:r w:rsidRPr="00FC6D7F">
        <w:rPr>
          <w:lang w:val="de-DE"/>
        </w:rPr>
        <w:t>4, 35, 47, 48, 53</w:t>
      </w:r>
      <w:r w:rsidR="00D55672" w:rsidRPr="00FC6D7F">
        <w:rPr>
          <w:lang w:val="de-DE"/>
        </w:rPr>
        <w:t xml:space="preserve"> i</w:t>
      </w:r>
      <w:r w:rsidR="00D55672">
        <w:rPr>
          <w:lang w:val="de-DE"/>
        </w:rPr>
        <w:t> </w:t>
      </w:r>
      <w:r w:rsidR="00D55672" w:rsidRPr="00FC6D7F">
        <w:rPr>
          <w:lang w:val="de-DE"/>
        </w:rPr>
        <w:t>5</w:t>
      </w:r>
      <w:r w:rsidRPr="00FC6D7F">
        <w:rPr>
          <w:lang w:val="de-DE"/>
        </w:rPr>
        <w:t>5.</w:t>
      </w:r>
    </w:p>
  </w:footnote>
  <w:footnote w:id="97">
    <w:p w14:paraId="45AA0B18" w14:textId="3666B72D" w:rsidR="003667F7" w:rsidRPr="00FC6D7F" w:rsidRDefault="003667F7" w:rsidP="003667F7">
      <w:pPr>
        <w:pStyle w:val="FootnoteText"/>
        <w:ind w:left="357" w:hanging="357"/>
        <w:jc w:val="both"/>
        <w:rPr>
          <w:lang w:val="pl-PL"/>
        </w:rPr>
      </w:pPr>
      <w:r>
        <w:rPr>
          <w:rStyle w:val="FootnoteReference"/>
        </w:rPr>
        <w:footnoteRef/>
      </w:r>
      <w:bookmarkStart w:id="6" w:name="_Hlk145937980"/>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6 października 20</w:t>
      </w:r>
      <w:r w:rsidRPr="00D55672">
        <w:rPr>
          <w:lang w:val="pl-PL"/>
        </w:rPr>
        <w:t>20</w:t>
      </w:r>
      <w:r w:rsidR="00D55672" w:rsidRPr="00D55672">
        <w:rPr>
          <w:lang w:val="pl-PL"/>
        </w:rPr>
        <w:t> </w:t>
      </w:r>
      <w:r w:rsidRPr="00D55672">
        <w:rPr>
          <w:lang w:val="pl-PL"/>
        </w:rPr>
        <w:t>r.</w:t>
      </w:r>
      <w:r w:rsidRPr="00FC6D7F">
        <w:rPr>
          <w:lang w:val="pl-PL"/>
        </w:rPr>
        <w:t>,</w:t>
      </w:r>
      <w:r w:rsidRPr="00FC6D7F">
        <w:rPr>
          <w:rFonts w:ascii="Roboto" w:hAnsi="Roboto"/>
          <w:b/>
          <w:color w:val="333333"/>
          <w:sz w:val="21"/>
          <w:shd w:val="clear" w:color="auto" w:fill="FFFFFF"/>
          <w:lang w:val="pl-PL"/>
        </w:rPr>
        <w:t xml:space="preserve"> </w:t>
      </w:r>
      <w:r w:rsidRPr="00FC6D7F">
        <w:rPr>
          <w:lang w:val="pl-PL"/>
        </w:rPr>
        <w:t xml:space="preserve">Jobcenter Krefeld – Widerspruchsstelle/JD, sprawa </w:t>
      </w:r>
      <w:hyperlink r:id="rId86" w:history="1">
        <w:r w:rsidRPr="00FC6D7F">
          <w:rPr>
            <w:rStyle w:val="Hyperlink"/>
            <w:lang w:val="pl-PL"/>
          </w:rPr>
          <w:t>C-181/19</w:t>
        </w:r>
      </w:hyperlink>
      <w:r w:rsidRPr="00FC6D7F">
        <w:rPr>
          <w:lang w:val="pl-PL"/>
        </w:rPr>
        <w:t>, EU:C:2020:794.</w:t>
      </w:r>
      <w:bookmarkEnd w:id="6"/>
    </w:p>
  </w:footnote>
  <w:footnote w:id="98">
    <w:p w14:paraId="27787D06" w14:textId="27956993"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6 października 20</w:t>
      </w:r>
      <w:r w:rsidRPr="00D55672">
        <w:rPr>
          <w:lang w:val="pl-PL"/>
        </w:rPr>
        <w:t>20</w:t>
      </w:r>
      <w:r w:rsidR="00D55672" w:rsidRPr="00D55672">
        <w:rPr>
          <w:lang w:val="pl-PL"/>
        </w:rPr>
        <w:t> </w:t>
      </w:r>
      <w:r w:rsidRPr="00D55672">
        <w:rPr>
          <w:lang w:val="pl-PL"/>
        </w:rPr>
        <w:t>r.</w:t>
      </w:r>
      <w:r w:rsidRPr="00FC6D7F">
        <w:rPr>
          <w:lang w:val="pl-PL"/>
        </w:rPr>
        <w:t>,</w:t>
      </w:r>
      <w:r w:rsidRPr="00FC6D7F">
        <w:rPr>
          <w:b/>
          <w:lang w:val="pl-PL"/>
        </w:rPr>
        <w:t xml:space="preserve"> </w:t>
      </w:r>
      <w:r w:rsidRPr="00FC6D7F">
        <w:rPr>
          <w:lang w:val="pl-PL"/>
        </w:rPr>
        <w:t xml:space="preserve">Jobcenter Krefeld – Widerspruchsstelle/JD, sprawa </w:t>
      </w:r>
      <w:hyperlink r:id="rId87" w:history="1">
        <w:r w:rsidRPr="00FC6D7F">
          <w:rPr>
            <w:rStyle w:val="Hyperlink"/>
            <w:lang w:val="pl-PL"/>
          </w:rPr>
          <w:t>C-181/19</w:t>
        </w:r>
      </w:hyperlink>
      <w:r w:rsidRPr="00FC6D7F">
        <w:rPr>
          <w:lang w:val="pl-PL"/>
        </w:rPr>
        <w:t xml:space="preserve">, EU:C:2020:794, </w:t>
      </w:r>
      <w:r w:rsidRPr="00D55672">
        <w:rPr>
          <w:lang w:val="pl-PL"/>
        </w:rPr>
        <w:t>pkt</w:t>
      </w:r>
      <w:r w:rsidR="00D55672" w:rsidRPr="00D55672">
        <w:rPr>
          <w:lang w:val="pl-PL"/>
        </w:rPr>
        <w:t> </w:t>
      </w:r>
      <w:r w:rsidRPr="00D55672">
        <w:rPr>
          <w:lang w:val="pl-PL"/>
        </w:rPr>
        <w:t>5</w:t>
      </w:r>
      <w:r w:rsidRPr="00FC6D7F">
        <w:rPr>
          <w:lang w:val="pl-PL"/>
        </w:rPr>
        <w:t>0, 54</w:t>
      </w:r>
      <w:r w:rsidR="00D55672" w:rsidRPr="00FC6D7F">
        <w:rPr>
          <w:lang w:val="pl-PL"/>
        </w:rPr>
        <w:t xml:space="preserve"> i</w:t>
      </w:r>
      <w:r w:rsidR="00D55672">
        <w:rPr>
          <w:lang w:val="pl-PL"/>
        </w:rPr>
        <w:t> </w:t>
      </w:r>
      <w:r w:rsidR="00D55672" w:rsidRPr="00FC6D7F">
        <w:rPr>
          <w:lang w:val="pl-PL"/>
        </w:rPr>
        <w:t>5</w:t>
      </w:r>
      <w:r w:rsidRPr="00FC6D7F">
        <w:rPr>
          <w:lang w:val="pl-PL"/>
        </w:rPr>
        <w:t>5.</w:t>
      </w:r>
    </w:p>
  </w:footnote>
  <w:footnote w:id="99">
    <w:p w14:paraId="546118D5" w14:textId="1A976862"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6 października 20</w:t>
      </w:r>
      <w:r w:rsidRPr="00D55672">
        <w:rPr>
          <w:lang w:val="pl-PL"/>
        </w:rPr>
        <w:t>20</w:t>
      </w:r>
      <w:r w:rsidR="00D55672" w:rsidRPr="00D55672">
        <w:rPr>
          <w:lang w:val="pl-PL"/>
        </w:rPr>
        <w:t> </w:t>
      </w:r>
      <w:r w:rsidRPr="00D55672">
        <w:rPr>
          <w:lang w:val="pl-PL"/>
        </w:rPr>
        <w:t>r.</w:t>
      </w:r>
      <w:r w:rsidRPr="00FC6D7F">
        <w:rPr>
          <w:lang w:val="pl-PL"/>
        </w:rPr>
        <w:t>,</w:t>
      </w:r>
      <w:r w:rsidRPr="00FC6D7F">
        <w:rPr>
          <w:rFonts w:ascii="Roboto" w:hAnsi="Roboto"/>
          <w:b/>
          <w:color w:val="333333"/>
          <w:sz w:val="21"/>
          <w:shd w:val="clear" w:color="auto" w:fill="FFFFFF"/>
          <w:lang w:val="pl-PL"/>
        </w:rPr>
        <w:t xml:space="preserve"> </w:t>
      </w:r>
      <w:r w:rsidRPr="00FC6D7F">
        <w:rPr>
          <w:lang w:val="pl-PL"/>
        </w:rPr>
        <w:t xml:space="preserve">Jobcenter Krefeld – Widerspruchsstelle/JD, sprawa </w:t>
      </w:r>
      <w:hyperlink r:id="rId88" w:history="1">
        <w:r w:rsidRPr="00FC6D7F">
          <w:rPr>
            <w:rStyle w:val="Hyperlink"/>
            <w:lang w:val="pl-PL"/>
          </w:rPr>
          <w:t>C-181/19</w:t>
        </w:r>
      </w:hyperlink>
      <w:r w:rsidRPr="00FC6D7F">
        <w:rPr>
          <w:lang w:val="pl-PL"/>
        </w:rPr>
        <w:t xml:space="preserve">, EU:C:2020:794, </w:t>
      </w:r>
      <w:r w:rsidRPr="00D55672">
        <w:rPr>
          <w:lang w:val="pl-PL"/>
        </w:rPr>
        <w:t>pkt</w:t>
      </w:r>
      <w:r w:rsidR="00D55672" w:rsidRPr="00D55672">
        <w:rPr>
          <w:lang w:val="pl-PL"/>
        </w:rPr>
        <w:t> </w:t>
      </w:r>
      <w:r w:rsidRPr="00D55672">
        <w:rPr>
          <w:lang w:val="pl-PL"/>
        </w:rPr>
        <w:t>6</w:t>
      </w:r>
      <w:r w:rsidRPr="00FC6D7F">
        <w:rPr>
          <w:lang w:val="pl-PL"/>
        </w:rPr>
        <w:t>7.</w:t>
      </w:r>
    </w:p>
  </w:footnote>
  <w:footnote w:id="100">
    <w:p w14:paraId="2C02926D" w14:textId="59C440C4"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6 października 20</w:t>
      </w:r>
      <w:r w:rsidRPr="00D55672">
        <w:rPr>
          <w:lang w:val="pl-PL"/>
        </w:rPr>
        <w:t>20</w:t>
      </w:r>
      <w:r w:rsidR="00D55672" w:rsidRPr="00D55672">
        <w:rPr>
          <w:lang w:val="pl-PL"/>
        </w:rPr>
        <w:t> </w:t>
      </w:r>
      <w:r w:rsidRPr="00D55672">
        <w:rPr>
          <w:lang w:val="pl-PL"/>
        </w:rPr>
        <w:t>r.</w:t>
      </w:r>
      <w:r w:rsidRPr="00FC6D7F">
        <w:rPr>
          <w:lang w:val="pl-PL"/>
        </w:rPr>
        <w:t>,</w:t>
      </w:r>
      <w:r w:rsidRPr="00FC6D7F">
        <w:rPr>
          <w:rFonts w:ascii="Roboto" w:hAnsi="Roboto"/>
          <w:b/>
          <w:color w:val="333333"/>
          <w:sz w:val="21"/>
          <w:shd w:val="clear" w:color="auto" w:fill="FFFFFF"/>
          <w:lang w:val="pl-PL"/>
        </w:rPr>
        <w:t xml:space="preserve"> </w:t>
      </w:r>
      <w:r w:rsidRPr="00FC6D7F">
        <w:rPr>
          <w:lang w:val="pl-PL"/>
        </w:rPr>
        <w:t xml:space="preserve">Jobcenter Krefeld – Widerspruchsstelle/JD, sprawa </w:t>
      </w:r>
      <w:hyperlink r:id="rId89" w:history="1">
        <w:r w:rsidRPr="00FC6D7F">
          <w:rPr>
            <w:rStyle w:val="Hyperlink"/>
            <w:lang w:val="pl-PL"/>
          </w:rPr>
          <w:t>C-181/19</w:t>
        </w:r>
      </w:hyperlink>
      <w:r w:rsidRPr="00FC6D7F">
        <w:rPr>
          <w:lang w:val="pl-PL"/>
        </w:rPr>
        <w:t xml:space="preserve">, EU:C:2020:794, </w:t>
      </w:r>
      <w:r w:rsidRPr="00D55672">
        <w:rPr>
          <w:lang w:val="pl-PL"/>
        </w:rPr>
        <w:t>pkt</w:t>
      </w:r>
      <w:r w:rsidR="00D55672" w:rsidRPr="00D55672">
        <w:rPr>
          <w:lang w:val="pl-PL"/>
        </w:rPr>
        <w:t> </w:t>
      </w:r>
      <w:r w:rsidRPr="00D55672">
        <w:rPr>
          <w:lang w:val="pl-PL"/>
        </w:rPr>
        <w:t>7</w:t>
      </w:r>
      <w:r w:rsidRPr="00FC6D7F">
        <w:rPr>
          <w:lang w:val="pl-PL"/>
        </w:rPr>
        <w:t>5–79.</w:t>
      </w:r>
    </w:p>
  </w:footnote>
  <w:footnote w:id="101">
    <w:p w14:paraId="79B81A6A" w14:textId="512D2F70" w:rsidR="003667F7" w:rsidRPr="00E65EE5" w:rsidRDefault="003667F7" w:rsidP="003667F7">
      <w:pPr>
        <w:pStyle w:val="FootnoteText"/>
        <w:ind w:left="357" w:hanging="357"/>
        <w:jc w:val="both"/>
      </w:pPr>
      <w:r>
        <w:rPr>
          <w:rStyle w:val="FootnoteReference"/>
        </w:rPr>
        <w:footnoteRef/>
      </w:r>
      <w:r>
        <w:t xml:space="preserve"> </w:t>
      </w:r>
      <w:r>
        <w:tab/>
        <w:t>Wyrok Trybunału (wielka izba)</w:t>
      </w:r>
      <w:r w:rsidR="00D55672">
        <w:t xml:space="preserve"> z dni</w:t>
      </w:r>
      <w:r>
        <w:t>a 15 lipca 20</w:t>
      </w:r>
      <w:r w:rsidRPr="00D55672">
        <w:rPr>
          <w:lang w:val="pl-PL"/>
        </w:rPr>
        <w:t>21</w:t>
      </w:r>
      <w:r w:rsidR="00D55672" w:rsidRPr="00D55672">
        <w:rPr>
          <w:lang w:val="pl-PL"/>
        </w:rPr>
        <w:t> </w:t>
      </w:r>
      <w:r w:rsidRPr="00D55672">
        <w:rPr>
          <w:lang w:val="pl-PL"/>
        </w:rPr>
        <w:t>r.</w:t>
      </w:r>
      <w:r>
        <w:t xml:space="preserve">, CG/The Department for Communities in Northern Ireland, </w:t>
      </w:r>
      <w:hyperlink r:id="rId90" w:history="1">
        <w:r>
          <w:rPr>
            <w:rStyle w:val="Hyperlink"/>
          </w:rPr>
          <w:t>C-709/20</w:t>
        </w:r>
      </w:hyperlink>
      <w:r>
        <w:t xml:space="preserve">, EU:C:2021:602. </w:t>
      </w:r>
    </w:p>
  </w:footnote>
  <w:footnote w:id="102">
    <w:p w14:paraId="26DA44E7" w14:textId="2DF2FD8E" w:rsidR="003667F7" w:rsidRPr="005923D8" w:rsidRDefault="003667F7" w:rsidP="0051621F">
      <w:pPr>
        <w:pStyle w:val="FootnoteText"/>
        <w:ind w:left="357" w:hanging="357"/>
        <w:jc w:val="both"/>
      </w:pPr>
      <w:r>
        <w:rPr>
          <w:rStyle w:val="FootnoteReference"/>
        </w:rPr>
        <w:footnoteRef/>
      </w:r>
      <w:r>
        <w:t xml:space="preserve"> </w:t>
      </w:r>
      <w:bookmarkStart w:id="7" w:name="_Hlk145939579"/>
      <w:r>
        <w:tab/>
        <w:t xml:space="preserve"> Wyrok Trybunału (wielka izba)</w:t>
      </w:r>
      <w:r w:rsidR="00D55672">
        <w:t xml:space="preserve"> z dni</w:t>
      </w:r>
      <w:r>
        <w:t>a 15 lipca 20</w:t>
      </w:r>
      <w:r w:rsidRPr="00D55672">
        <w:rPr>
          <w:lang w:val="pl-PL"/>
        </w:rPr>
        <w:t>21</w:t>
      </w:r>
      <w:r w:rsidR="00D55672" w:rsidRPr="00D55672">
        <w:rPr>
          <w:lang w:val="pl-PL"/>
        </w:rPr>
        <w:t> </w:t>
      </w:r>
      <w:r w:rsidRPr="00D55672">
        <w:rPr>
          <w:lang w:val="pl-PL"/>
        </w:rPr>
        <w:t>r.</w:t>
      </w:r>
      <w:r>
        <w:t xml:space="preserve">, CG/The Department for Communities in Northern Ireland, </w:t>
      </w:r>
      <w:hyperlink r:id="rId91" w:history="1">
        <w:r>
          <w:rPr>
            <w:rStyle w:val="Hyperlink"/>
          </w:rPr>
          <w:t>C-709/20</w:t>
        </w:r>
      </w:hyperlink>
      <w:r>
        <w:t xml:space="preserve">, EU:C:2021:602, </w:t>
      </w:r>
      <w:r w:rsidRPr="00D55672">
        <w:rPr>
          <w:lang w:val="pl-PL"/>
        </w:rPr>
        <w:t>pkt</w:t>
      </w:r>
      <w:bookmarkEnd w:id="7"/>
      <w:r w:rsidR="00D55672" w:rsidRPr="00D55672">
        <w:rPr>
          <w:lang w:val="pl-PL"/>
        </w:rPr>
        <w:t> </w:t>
      </w:r>
      <w:r w:rsidRPr="00D55672">
        <w:rPr>
          <w:lang w:val="pl-PL"/>
        </w:rPr>
        <w:t>6</w:t>
      </w:r>
      <w:r>
        <w:t>6–67.</w:t>
      </w:r>
    </w:p>
  </w:footnote>
  <w:footnote w:id="103">
    <w:p w14:paraId="1E921714" w14:textId="5BC2484B" w:rsidR="003667F7" w:rsidRPr="00CB6E0B" w:rsidRDefault="003667F7" w:rsidP="0051621F">
      <w:pPr>
        <w:pStyle w:val="FootnoteText"/>
        <w:ind w:left="357" w:hanging="357"/>
        <w:jc w:val="both"/>
      </w:pPr>
      <w:r>
        <w:rPr>
          <w:rStyle w:val="FootnoteReference"/>
        </w:rPr>
        <w:footnoteRef/>
      </w:r>
      <w:r>
        <w:t xml:space="preserve"> </w:t>
      </w:r>
      <w:r>
        <w:tab/>
        <w:t>Wyrok Trybunału (wielka izba)</w:t>
      </w:r>
      <w:r w:rsidR="00D55672">
        <w:t xml:space="preserve"> z dni</w:t>
      </w:r>
      <w:r>
        <w:t>a 15 lipca 20</w:t>
      </w:r>
      <w:r w:rsidRPr="00D55672">
        <w:rPr>
          <w:lang w:val="pl-PL"/>
        </w:rPr>
        <w:t>21</w:t>
      </w:r>
      <w:r w:rsidR="00D55672" w:rsidRPr="00D55672">
        <w:rPr>
          <w:lang w:val="pl-PL"/>
        </w:rPr>
        <w:t> </w:t>
      </w:r>
      <w:r w:rsidRPr="00D55672">
        <w:rPr>
          <w:lang w:val="pl-PL"/>
        </w:rPr>
        <w:t>r.</w:t>
      </w:r>
      <w:r>
        <w:t xml:space="preserve">, CG/The Department for Communities in Northern Ireland, </w:t>
      </w:r>
      <w:hyperlink r:id="rId92" w:history="1">
        <w:r>
          <w:rPr>
            <w:rStyle w:val="Hyperlink"/>
          </w:rPr>
          <w:t>C-709/20</w:t>
        </w:r>
      </w:hyperlink>
      <w:r>
        <w:t xml:space="preserve">, EU:C:2021:602, </w:t>
      </w:r>
      <w:r w:rsidRPr="00D55672">
        <w:rPr>
          <w:lang w:val="pl-PL"/>
        </w:rPr>
        <w:t>pkt</w:t>
      </w:r>
      <w:r w:rsidR="00D55672" w:rsidRPr="00D55672">
        <w:rPr>
          <w:lang w:val="pl-PL"/>
        </w:rPr>
        <w:t> </w:t>
      </w:r>
      <w:r w:rsidRPr="00D55672">
        <w:rPr>
          <w:lang w:val="pl-PL"/>
        </w:rPr>
        <w:t>8</w:t>
      </w:r>
      <w:r>
        <w:t>1.</w:t>
      </w:r>
    </w:p>
  </w:footnote>
  <w:footnote w:id="104">
    <w:p w14:paraId="658C26D7" w14:textId="442F6FBC" w:rsidR="003667F7" w:rsidRPr="00893D21" w:rsidRDefault="003667F7" w:rsidP="0051621F">
      <w:pPr>
        <w:pStyle w:val="FootnoteText"/>
        <w:ind w:left="357" w:hanging="357"/>
        <w:jc w:val="both"/>
      </w:pPr>
      <w:r>
        <w:rPr>
          <w:rStyle w:val="FootnoteReference"/>
        </w:rPr>
        <w:footnoteRef/>
      </w:r>
      <w:r>
        <w:t xml:space="preserve"> </w:t>
      </w:r>
      <w:r>
        <w:tab/>
        <w:t>Wyrok Trybunału (wielka izba)</w:t>
      </w:r>
      <w:r w:rsidR="00D55672">
        <w:t xml:space="preserve"> z dni</w:t>
      </w:r>
      <w:r>
        <w:t>a 15 lipca 20</w:t>
      </w:r>
      <w:r w:rsidRPr="00D55672">
        <w:rPr>
          <w:lang w:val="pl-PL"/>
        </w:rPr>
        <w:t>21</w:t>
      </w:r>
      <w:r w:rsidR="00D55672" w:rsidRPr="00D55672">
        <w:rPr>
          <w:lang w:val="pl-PL"/>
        </w:rPr>
        <w:t> </w:t>
      </w:r>
      <w:r w:rsidRPr="00D55672">
        <w:rPr>
          <w:lang w:val="pl-PL"/>
        </w:rPr>
        <w:t>r.</w:t>
      </w:r>
      <w:r>
        <w:t xml:space="preserve">, CG/The Department for Communities in Northern Ireland, </w:t>
      </w:r>
      <w:hyperlink r:id="rId93" w:history="1">
        <w:r>
          <w:rPr>
            <w:rStyle w:val="Hyperlink"/>
          </w:rPr>
          <w:t>C-709/20</w:t>
        </w:r>
      </w:hyperlink>
      <w:r>
        <w:t xml:space="preserve">, EU:C:2021:602, </w:t>
      </w:r>
      <w:r w:rsidRPr="00D55672">
        <w:rPr>
          <w:lang w:val="pl-PL"/>
        </w:rPr>
        <w:t>pkt</w:t>
      </w:r>
      <w:r w:rsidR="00D55672" w:rsidRPr="00D55672">
        <w:rPr>
          <w:lang w:val="pl-PL"/>
        </w:rPr>
        <w:t> </w:t>
      </w:r>
      <w:r w:rsidRPr="00D55672">
        <w:rPr>
          <w:lang w:val="pl-PL"/>
        </w:rPr>
        <w:t>9</w:t>
      </w:r>
      <w:r>
        <w:t>3.</w:t>
      </w:r>
    </w:p>
  </w:footnote>
  <w:footnote w:id="105">
    <w:p w14:paraId="4CBAF85F" w14:textId="5491654D" w:rsidR="003667F7" w:rsidRPr="00F13BAE" w:rsidRDefault="003667F7" w:rsidP="0051621F">
      <w:pPr>
        <w:pStyle w:val="FootnoteText"/>
        <w:ind w:left="357" w:hanging="357"/>
        <w:jc w:val="both"/>
      </w:pPr>
      <w:r>
        <w:rPr>
          <w:rStyle w:val="FootnoteReference"/>
        </w:rPr>
        <w:footnoteRef/>
      </w:r>
      <w:r>
        <w:t xml:space="preserve"> </w:t>
      </w:r>
      <w:r>
        <w:tab/>
        <w:t>Wyrok Trybunału (czwarta izba)</w:t>
      </w:r>
      <w:r w:rsidR="00D55672">
        <w:t xml:space="preserve"> z dni</w:t>
      </w:r>
      <w:r>
        <w:t>a 27 kwietnia 20</w:t>
      </w:r>
      <w:r w:rsidRPr="00D55672">
        <w:rPr>
          <w:lang w:val="pl-PL"/>
        </w:rPr>
        <w:t>23</w:t>
      </w:r>
      <w:r w:rsidR="00D55672" w:rsidRPr="00D55672">
        <w:rPr>
          <w:lang w:val="pl-PL"/>
        </w:rPr>
        <w:t> </w:t>
      </w:r>
      <w:r w:rsidRPr="00D55672">
        <w:rPr>
          <w:lang w:val="pl-PL"/>
        </w:rPr>
        <w:t>r.</w:t>
      </w:r>
      <w:r>
        <w:t xml:space="preserve">, M.D./Országos Idegenrendészeti Főigazgatóság Budapesti és Pest Megyei Regionális Igazgatósága, </w:t>
      </w:r>
      <w:hyperlink r:id="rId94" w:history="1">
        <w:r>
          <w:rPr>
            <w:rStyle w:val="Hyperlink"/>
          </w:rPr>
          <w:t>C-528/21</w:t>
        </w:r>
      </w:hyperlink>
      <w:r>
        <w:t>, EU:C:2023:341.</w:t>
      </w:r>
    </w:p>
  </w:footnote>
  <w:footnote w:id="106">
    <w:p w14:paraId="3BD72E6D" w14:textId="3F8EB044" w:rsidR="003667F7" w:rsidRPr="00F13BAE" w:rsidRDefault="003667F7" w:rsidP="0051621F">
      <w:pPr>
        <w:pStyle w:val="FootnoteText"/>
        <w:ind w:left="357" w:hanging="357"/>
        <w:jc w:val="both"/>
      </w:pPr>
      <w:r>
        <w:rPr>
          <w:rStyle w:val="FootnoteReference"/>
        </w:rPr>
        <w:footnoteRef/>
      </w:r>
      <w:r>
        <w:t xml:space="preserve"> </w:t>
      </w:r>
      <w:r>
        <w:tab/>
        <w:t>Wyrok Trybunału (czwarta izba)</w:t>
      </w:r>
      <w:r w:rsidR="00D55672">
        <w:t xml:space="preserve"> z dni</w:t>
      </w:r>
      <w:r>
        <w:t>a 27 kwietnia 20</w:t>
      </w:r>
      <w:r w:rsidRPr="00D55672">
        <w:rPr>
          <w:lang w:val="pl-PL"/>
        </w:rPr>
        <w:t>23</w:t>
      </w:r>
      <w:r w:rsidR="00D55672" w:rsidRPr="00D55672">
        <w:rPr>
          <w:lang w:val="pl-PL"/>
        </w:rPr>
        <w:t> </w:t>
      </w:r>
      <w:r w:rsidRPr="00D55672">
        <w:rPr>
          <w:lang w:val="pl-PL"/>
        </w:rPr>
        <w:t>r.</w:t>
      </w:r>
      <w:r>
        <w:t xml:space="preserve">, M.D./Országos Idegenrendészeti Főigazgatóság Budapesti és Pest Megyei Regionális Igazgatósága, </w:t>
      </w:r>
      <w:hyperlink r:id="rId95" w:history="1">
        <w:r>
          <w:rPr>
            <w:rStyle w:val="Hyperlink"/>
          </w:rPr>
          <w:t>C-528/21</w:t>
        </w:r>
      </w:hyperlink>
      <w:r>
        <w:t xml:space="preserve">, EU:C:2023:341, </w:t>
      </w:r>
      <w:r w:rsidRPr="00D55672">
        <w:rPr>
          <w:lang w:val="pl-PL"/>
        </w:rPr>
        <w:t>pkt</w:t>
      </w:r>
      <w:r w:rsidR="00D55672" w:rsidRPr="00D55672">
        <w:rPr>
          <w:lang w:val="pl-PL"/>
        </w:rPr>
        <w:t> </w:t>
      </w:r>
      <w:r w:rsidRPr="00D55672">
        <w:rPr>
          <w:lang w:val="pl-PL"/>
        </w:rPr>
        <w:t>5</w:t>
      </w:r>
      <w:r>
        <w:t>8.</w:t>
      </w:r>
    </w:p>
  </w:footnote>
  <w:footnote w:id="107">
    <w:p w14:paraId="491CE43D" w14:textId="71B47342" w:rsidR="003667F7" w:rsidRPr="00F13BAE" w:rsidRDefault="003667F7" w:rsidP="0051621F">
      <w:pPr>
        <w:pStyle w:val="FootnoteText"/>
        <w:ind w:left="357" w:hanging="357"/>
        <w:jc w:val="both"/>
      </w:pPr>
      <w:r>
        <w:rPr>
          <w:rStyle w:val="FootnoteReference"/>
        </w:rPr>
        <w:footnoteRef/>
      </w:r>
      <w:r>
        <w:t xml:space="preserve"> </w:t>
      </w:r>
      <w:r>
        <w:tab/>
        <w:t>Wyrok Trybunału (czwarta izba)</w:t>
      </w:r>
      <w:r w:rsidR="00D55672">
        <w:t xml:space="preserve"> z dni</w:t>
      </w:r>
      <w:r>
        <w:t>a 27 kwietnia 20</w:t>
      </w:r>
      <w:r w:rsidRPr="00D55672">
        <w:rPr>
          <w:lang w:val="pl-PL"/>
        </w:rPr>
        <w:t>23</w:t>
      </w:r>
      <w:r w:rsidR="00D55672" w:rsidRPr="00D55672">
        <w:rPr>
          <w:lang w:val="pl-PL"/>
        </w:rPr>
        <w:t> </w:t>
      </w:r>
      <w:r w:rsidRPr="00D55672">
        <w:rPr>
          <w:lang w:val="pl-PL"/>
        </w:rPr>
        <w:t>r.</w:t>
      </w:r>
      <w:r>
        <w:t xml:space="preserve">, M.D./Országos Idegenrendészeti Főigazgatóság Budapesti és Pest Megyei Regionális Igazgatósága, </w:t>
      </w:r>
      <w:hyperlink r:id="rId96" w:history="1">
        <w:r>
          <w:rPr>
            <w:rStyle w:val="Hyperlink"/>
          </w:rPr>
          <w:t>C-528/21</w:t>
        </w:r>
      </w:hyperlink>
      <w:r>
        <w:t xml:space="preserve">, EU:C:2023:341, </w:t>
      </w:r>
      <w:r w:rsidRPr="00D55672">
        <w:rPr>
          <w:lang w:val="pl-PL"/>
        </w:rPr>
        <w:t>pkt</w:t>
      </w:r>
      <w:r w:rsidR="00D55672" w:rsidRPr="00D55672">
        <w:rPr>
          <w:lang w:val="pl-PL"/>
        </w:rPr>
        <w:t> </w:t>
      </w:r>
      <w:r w:rsidRPr="00D55672">
        <w:rPr>
          <w:lang w:val="pl-PL"/>
        </w:rPr>
        <w:t>5</w:t>
      </w:r>
      <w:r>
        <w:t>7.</w:t>
      </w:r>
    </w:p>
  </w:footnote>
  <w:footnote w:id="108">
    <w:p w14:paraId="746CCD6D" w14:textId="702A9FDD" w:rsidR="003667F7" w:rsidRPr="00F13BAE" w:rsidRDefault="003667F7" w:rsidP="0051621F">
      <w:pPr>
        <w:pStyle w:val="FootnoteText"/>
        <w:ind w:left="357" w:hanging="357"/>
        <w:jc w:val="both"/>
      </w:pPr>
      <w:r>
        <w:rPr>
          <w:rStyle w:val="FootnoteReference"/>
        </w:rPr>
        <w:footnoteRef/>
      </w:r>
      <w:r>
        <w:t xml:space="preserve"> </w:t>
      </w:r>
      <w:r>
        <w:tab/>
        <w:t>Wyrok Trybunału (czwarta izba)</w:t>
      </w:r>
      <w:r w:rsidR="00D55672">
        <w:t xml:space="preserve"> z dni</w:t>
      </w:r>
      <w:r>
        <w:t>a 27 kwietnia 20</w:t>
      </w:r>
      <w:r w:rsidRPr="00D55672">
        <w:rPr>
          <w:lang w:val="pl-PL"/>
        </w:rPr>
        <w:t>23</w:t>
      </w:r>
      <w:r w:rsidR="00D55672" w:rsidRPr="00D55672">
        <w:rPr>
          <w:lang w:val="pl-PL"/>
        </w:rPr>
        <w:t> </w:t>
      </w:r>
      <w:r w:rsidRPr="00D55672">
        <w:rPr>
          <w:lang w:val="pl-PL"/>
        </w:rPr>
        <w:t>r.</w:t>
      </w:r>
      <w:r>
        <w:t xml:space="preserve">, M.D./Országos Idegenrendészeti Főigazgatóság Budapesti és Pest Megyei Regionális Igazgatósága, </w:t>
      </w:r>
      <w:hyperlink r:id="rId97" w:history="1">
        <w:r>
          <w:rPr>
            <w:rStyle w:val="Hyperlink"/>
          </w:rPr>
          <w:t>C-528/21</w:t>
        </w:r>
      </w:hyperlink>
      <w:r>
        <w:t xml:space="preserve">, EU:C:2023:341, </w:t>
      </w:r>
      <w:r w:rsidRPr="00D55672">
        <w:rPr>
          <w:lang w:val="pl-PL"/>
        </w:rPr>
        <w:t>pkt</w:t>
      </w:r>
      <w:r w:rsidR="00D55672" w:rsidRPr="00D55672">
        <w:rPr>
          <w:lang w:val="pl-PL"/>
        </w:rPr>
        <w:t> </w:t>
      </w:r>
      <w:r w:rsidRPr="00D55672">
        <w:rPr>
          <w:lang w:val="pl-PL"/>
        </w:rPr>
        <w:t>5</w:t>
      </w:r>
      <w:r>
        <w:t>9.</w:t>
      </w:r>
    </w:p>
  </w:footnote>
  <w:footnote w:id="109">
    <w:p w14:paraId="0D11C390" w14:textId="1CF70E59" w:rsidR="003667F7" w:rsidRPr="00F13BAE" w:rsidRDefault="003667F7" w:rsidP="0051621F">
      <w:pPr>
        <w:pStyle w:val="FootnoteText"/>
        <w:ind w:left="357" w:hanging="357"/>
        <w:jc w:val="both"/>
      </w:pPr>
      <w:r>
        <w:rPr>
          <w:rStyle w:val="FootnoteReference"/>
        </w:rPr>
        <w:footnoteRef/>
      </w:r>
      <w:r>
        <w:t xml:space="preserve"> </w:t>
      </w:r>
      <w:r>
        <w:tab/>
        <w:t>Wyrok Trybunału (czwarta izba)</w:t>
      </w:r>
      <w:r w:rsidR="00D55672">
        <w:t xml:space="preserve"> z dni</w:t>
      </w:r>
      <w:r>
        <w:t>a 27 kwietnia 20</w:t>
      </w:r>
      <w:r w:rsidRPr="00D55672">
        <w:rPr>
          <w:lang w:val="pl-PL"/>
        </w:rPr>
        <w:t>23</w:t>
      </w:r>
      <w:r w:rsidR="00D55672" w:rsidRPr="00D55672">
        <w:rPr>
          <w:lang w:val="pl-PL"/>
        </w:rPr>
        <w:t> </w:t>
      </w:r>
      <w:r w:rsidRPr="00D55672">
        <w:rPr>
          <w:lang w:val="pl-PL"/>
        </w:rPr>
        <w:t>r.</w:t>
      </w:r>
      <w:r>
        <w:t xml:space="preserve">, M.D./Országos Idegenrendészeti Főigazgatóság Budapesti és Pest Megyei Regionális Igazgatósága, </w:t>
      </w:r>
      <w:hyperlink r:id="rId98" w:history="1">
        <w:r>
          <w:rPr>
            <w:rStyle w:val="Hyperlink"/>
          </w:rPr>
          <w:t>C-528/21</w:t>
        </w:r>
      </w:hyperlink>
      <w:r>
        <w:t xml:space="preserve">, EU:C:2023:341, </w:t>
      </w:r>
      <w:r w:rsidRPr="00D55672">
        <w:rPr>
          <w:lang w:val="pl-PL"/>
        </w:rPr>
        <w:t>pkt</w:t>
      </w:r>
      <w:r w:rsidR="00D55672" w:rsidRPr="00D55672">
        <w:rPr>
          <w:lang w:val="pl-PL"/>
        </w:rPr>
        <w:t> </w:t>
      </w:r>
      <w:r w:rsidRPr="00D55672">
        <w:rPr>
          <w:lang w:val="pl-PL"/>
        </w:rPr>
        <w:t>7</w:t>
      </w:r>
      <w:r>
        <w:t>0.</w:t>
      </w:r>
    </w:p>
  </w:footnote>
  <w:footnote w:id="110">
    <w:p w14:paraId="7D88339D" w14:textId="0FF8A275" w:rsidR="003667F7" w:rsidRPr="00FC6D7F" w:rsidRDefault="003667F7" w:rsidP="0051621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7 września 20</w:t>
      </w:r>
      <w:r w:rsidRPr="00D55672">
        <w:rPr>
          <w:lang w:val="pl-PL"/>
        </w:rPr>
        <w:t>22</w:t>
      </w:r>
      <w:r w:rsidR="00D55672" w:rsidRPr="00D55672">
        <w:rPr>
          <w:lang w:val="pl-PL"/>
        </w:rPr>
        <w:t> </w:t>
      </w:r>
      <w:r w:rsidRPr="00D55672">
        <w:rPr>
          <w:lang w:val="pl-PL"/>
        </w:rPr>
        <w:t>r.</w:t>
      </w:r>
      <w:r w:rsidRPr="00FC6D7F">
        <w:rPr>
          <w:lang w:val="pl-PL"/>
        </w:rPr>
        <w:t xml:space="preserve">, E.K./Staatssecretaris van Justitie en Veiligheid, </w:t>
      </w:r>
      <w:hyperlink r:id="rId99" w:history="1">
        <w:r w:rsidRPr="00FC6D7F">
          <w:rPr>
            <w:rStyle w:val="Hyperlink"/>
            <w:lang w:val="pl-PL"/>
          </w:rPr>
          <w:t>C-624/20</w:t>
        </w:r>
      </w:hyperlink>
      <w:r w:rsidRPr="00FC6D7F">
        <w:rPr>
          <w:lang w:val="pl-PL"/>
        </w:rPr>
        <w:t>, EU:C:2022:639.</w:t>
      </w:r>
    </w:p>
  </w:footnote>
  <w:footnote w:id="111">
    <w:p w14:paraId="6D31191A" w14:textId="7D055865" w:rsidR="003667F7" w:rsidRPr="00FC6D7F" w:rsidRDefault="003667F7" w:rsidP="0051621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7 września 20</w:t>
      </w:r>
      <w:r w:rsidRPr="00D55672">
        <w:rPr>
          <w:lang w:val="pl-PL"/>
        </w:rPr>
        <w:t>22</w:t>
      </w:r>
      <w:r w:rsidR="00D55672" w:rsidRPr="00D55672">
        <w:rPr>
          <w:lang w:val="pl-PL"/>
        </w:rPr>
        <w:t> </w:t>
      </w:r>
      <w:r w:rsidRPr="00D55672">
        <w:rPr>
          <w:lang w:val="pl-PL"/>
        </w:rPr>
        <w:t>r.</w:t>
      </w:r>
      <w:r w:rsidRPr="00FC6D7F">
        <w:rPr>
          <w:lang w:val="pl-PL"/>
        </w:rPr>
        <w:t xml:space="preserve">, E.K./Staatssecretaris van Justitie en Veiligheid, </w:t>
      </w:r>
      <w:hyperlink r:id="rId100" w:history="1">
        <w:r w:rsidRPr="00FC6D7F">
          <w:rPr>
            <w:rStyle w:val="Hyperlink"/>
            <w:lang w:val="pl-PL"/>
          </w:rPr>
          <w:t>C-624/20</w:t>
        </w:r>
      </w:hyperlink>
      <w:r w:rsidRPr="00FC6D7F">
        <w:rPr>
          <w:lang w:val="pl-PL"/>
        </w:rPr>
        <w:t xml:space="preserve">, EU:C:2022:639, </w:t>
      </w:r>
      <w:r w:rsidRPr="00D55672">
        <w:rPr>
          <w:lang w:val="pl-PL"/>
        </w:rPr>
        <w:t>pkt</w:t>
      </w:r>
      <w:r w:rsidR="00D55672" w:rsidRPr="00D55672">
        <w:rPr>
          <w:lang w:val="pl-PL"/>
        </w:rPr>
        <w:t> </w:t>
      </w:r>
      <w:r w:rsidRPr="00D55672">
        <w:rPr>
          <w:lang w:val="pl-PL"/>
        </w:rPr>
        <w:t>4</w:t>
      </w:r>
      <w:r w:rsidRPr="00FC6D7F">
        <w:rPr>
          <w:lang w:val="pl-PL"/>
        </w:rPr>
        <w:t>2.</w:t>
      </w:r>
    </w:p>
  </w:footnote>
  <w:footnote w:id="112">
    <w:p w14:paraId="0F9CD915" w14:textId="621D0FC9" w:rsidR="003667F7" w:rsidRPr="00FC6D7F" w:rsidRDefault="003667F7" w:rsidP="0051621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7 września 20</w:t>
      </w:r>
      <w:r w:rsidRPr="00D55672">
        <w:rPr>
          <w:lang w:val="pl-PL"/>
        </w:rPr>
        <w:t>22</w:t>
      </w:r>
      <w:r w:rsidR="00D55672" w:rsidRPr="00D55672">
        <w:rPr>
          <w:lang w:val="pl-PL"/>
        </w:rPr>
        <w:t> </w:t>
      </w:r>
      <w:r w:rsidRPr="00D55672">
        <w:rPr>
          <w:lang w:val="pl-PL"/>
        </w:rPr>
        <w:t>r.</w:t>
      </w:r>
      <w:r w:rsidRPr="00FC6D7F">
        <w:rPr>
          <w:lang w:val="pl-PL"/>
        </w:rPr>
        <w:t xml:space="preserve">, E.K./Staatssecretaris van Justitie en Veiligheid, </w:t>
      </w:r>
      <w:hyperlink r:id="rId101" w:history="1">
        <w:r w:rsidRPr="00FC6D7F">
          <w:rPr>
            <w:rStyle w:val="Hyperlink"/>
            <w:lang w:val="pl-PL"/>
          </w:rPr>
          <w:t>C-624/20</w:t>
        </w:r>
      </w:hyperlink>
      <w:r w:rsidRPr="00FC6D7F">
        <w:rPr>
          <w:lang w:val="pl-PL"/>
        </w:rPr>
        <w:t xml:space="preserve">, EU:C:2022:639, </w:t>
      </w:r>
      <w:r w:rsidRPr="00D55672">
        <w:rPr>
          <w:lang w:val="pl-PL"/>
        </w:rPr>
        <w:t>pkt</w:t>
      </w:r>
      <w:r w:rsidR="00D55672" w:rsidRPr="00D55672">
        <w:rPr>
          <w:lang w:val="pl-PL"/>
        </w:rPr>
        <w:t> </w:t>
      </w:r>
      <w:r w:rsidRPr="00D55672">
        <w:rPr>
          <w:lang w:val="pl-PL"/>
        </w:rPr>
        <w:t>4</w:t>
      </w:r>
      <w:r w:rsidRPr="00FC6D7F">
        <w:rPr>
          <w:lang w:val="pl-PL"/>
        </w:rPr>
        <w:t xml:space="preserve">1. </w:t>
      </w:r>
    </w:p>
  </w:footnote>
  <w:footnote w:id="113">
    <w:p w14:paraId="0F40BDFE" w14:textId="1CC89C6C" w:rsidR="003667F7" w:rsidRPr="00FC6D7F" w:rsidRDefault="003667F7" w:rsidP="0051621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7 września 20</w:t>
      </w:r>
      <w:r w:rsidRPr="00D55672">
        <w:rPr>
          <w:lang w:val="pl-PL"/>
        </w:rPr>
        <w:t>22</w:t>
      </w:r>
      <w:r w:rsidR="00D55672" w:rsidRPr="00D55672">
        <w:rPr>
          <w:lang w:val="pl-PL"/>
        </w:rPr>
        <w:t> </w:t>
      </w:r>
      <w:r w:rsidRPr="00D55672">
        <w:rPr>
          <w:lang w:val="pl-PL"/>
        </w:rPr>
        <w:t>r.</w:t>
      </w:r>
      <w:r w:rsidRPr="00FC6D7F">
        <w:rPr>
          <w:lang w:val="pl-PL"/>
        </w:rPr>
        <w:t xml:space="preserve">, E.K./Staatssecretaris van Justitie en Veiligheid, </w:t>
      </w:r>
      <w:hyperlink r:id="rId102" w:history="1">
        <w:r w:rsidRPr="00FC6D7F">
          <w:rPr>
            <w:rStyle w:val="Hyperlink"/>
            <w:lang w:val="pl-PL"/>
          </w:rPr>
          <w:t>C-624/20</w:t>
        </w:r>
      </w:hyperlink>
      <w:r w:rsidRPr="00FC6D7F">
        <w:rPr>
          <w:lang w:val="pl-PL"/>
        </w:rPr>
        <w:t xml:space="preserve">, EU:C:2022:639, </w:t>
      </w:r>
      <w:r w:rsidRPr="00D55672">
        <w:rPr>
          <w:lang w:val="pl-PL"/>
        </w:rPr>
        <w:t>pkt</w:t>
      </w:r>
      <w:r w:rsidR="00D55672" w:rsidRPr="00D55672">
        <w:rPr>
          <w:lang w:val="pl-PL"/>
        </w:rPr>
        <w:t> </w:t>
      </w:r>
      <w:r w:rsidRPr="00D55672">
        <w:rPr>
          <w:lang w:val="pl-PL"/>
        </w:rPr>
        <w:t>4</w:t>
      </w:r>
      <w:r w:rsidRPr="00FC6D7F">
        <w:rPr>
          <w:lang w:val="pl-PL"/>
        </w:rPr>
        <w:t>9.</w:t>
      </w:r>
    </w:p>
  </w:footnote>
  <w:footnote w:id="114">
    <w:p w14:paraId="41C57810" w14:textId="54493A94" w:rsidR="003667F7" w:rsidRPr="00FC6D7F" w:rsidRDefault="003667F7" w:rsidP="0051621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(pierwsza izba)</w:t>
      </w:r>
      <w:r w:rsidR="00D55672" w:rsidRPr="00FC6D7F">
        <w:rPr>
          <w:lang w:val="pl-PL"/>
        </w:rPr>
        <w:t xml:space="preserve"> z</w:t>
      </w:r>
      <w:r w:rsidR="00D55672">
        <w:rPr>
          <w:lang w:val="pl-PL"/>
        </w:rPr>
        <w:t> </w:t>
      </w:r>
      <w:r w:rsidR="00D55672" w:rsidRPr="00FC6D7F">
        <w:rPr>
          <w:lang w:val="pl-PL"/>
        </w:rPr>
        <w:t>dni</w:t>
      </w:r>
      <w:r w:rsidRPr="00FC6D7F">
        <w:rPr>
          <w:lang w:val="pl-PL"/>
        </w:rPr>
        <w:t>a 22 czerwca 20</w:t>
      </w:r>
      <w:r w:rsidRPr="00D55672">
        <w:rPr>
          <w:lang w:val="pl-PL"/>
        </w:rPr>
        <w:t>23</w:t>
      </w:r>
      <w:r w:rsidR="00D55672" w:rsidRPr="00D55672">
        <w:rPr>
          <w:lang w:val="pl-PL"/>
        </w:rPr>
        <w:t> </w:t>
      </w:r>
      <w:r w:rsidRPr="00D55672">
        <w:rPr>
          <w:lang w:val="pl-PL"/>
        </w:rPr>
        <w:t>r.</w:t>
      </w:r>
      <w:r w:rsidRPr="00FC6D7F">
        <w:rPr>
          <w:lang w:val="pl-PL"/>
        </w:rPr>
        <w:t xml:space="preserve">, X/Staatssecretaris van Justitie en Veiligheid, </w:t>
      </w:r>
      <w:hyperlink r:id="rId103" w:history="1">
        <w:r w:rsidRPr="00FC6D7F">
          <w:rPr>
            <w:rStyle w:val="Hyperlink"/>
            <w:lang w:val="pl-PL"/>
          </w:rPr>
          <w:t>C-459/20</w:t>
        </w:r>
      </w:hyperlink>
      <w:r w:rsidRPr="00FC6D7F">
        <w:rPr>
          <w:lang w:val="pl-PL"/>
        </w:rPr>
        <w:t>, EU:C:2023:499.</w:t>
      </w:r>
    </w:p>
  </w:footnote>
  <w:footnote w:id="115">
    <w:p w14:paraId="4F9BDFE5" w14:textId="4F3DD9CE" w:rsidR="003667F7" w:rsidRPr="00FC6D7F" w:rsidRDefault="003667F7" w:rsidP="0051621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(pierwsza izba)</w:t>
      </w:r>
      <w:r w:rsidR="00D55672" w:rsidRPr="00FC6D7F">
        <w:rPr>
          <w:lang w:val="pl-PL"/>
        </w:rPr>
        <w:t xml:space="preserve"> z</w:t>
      </w:r>
      <w:r w:rsidR="00D55672">
        <w:rPr>
          <w:lang w:val="pl-PL"/>
        </w:rPr>
        <w:t> </w:t>
      </w:r>
      <w:r w:rsidR="00D55672" w:rsidRPr="00FC6D7F">
        <w:rPr>
          <w:lang w:val="pl-PL"/>
        </w:rPr>
        <w:t>dni</w:t>
      </w:r>
      <w:r w:rsidRPr="00FC6D7F">
        <w:rPr>
          <w:lang w:val="pl-PL"/>
        </w:rPr>
        <w:t>a 22 czerwca 20</w:t>
      </w:r>
      <w:r w:rsidRPr="00D55672">
        <w:rPr>
          <w:lang w:val="pl-PL"/>
        </w:rPr>
        <w:t>23</w:t>
      </w:r>
      <w:r w:rsidR="00D55672" w:rsidRPr="00D55672">
        <w:rPr>
          <w:lang w:val="pl-PL"/>
        </w:rPr>
        <w:t> </w:t>
      </w:r>
      <w:r w:rsidRPr="00D55672">
        <w:rPr>
          <w:lang w:val="pl-PL"/>
        </w:rPr>
        <w:t>r.</w:t>
      </w:r>
      <w:r w:rsidRPr="00FC6D7F">
        <w:rPr>
          <w:lang w:val="pl-PL"/>
        </w:rPr>
        <w:t xml:space="preserve">, X/Staatssecretaris van Justitie en Veiligheid, </w:t>
      </w:r>
      <w:hyperlink r:id="rId104" w:history="1">
        <w:r w:rsidRPr="00FC6D7F">
          <w:rPr>
            <w:rStyle w:val="Hyperlink"/>
            <w:lang w:val="pl-PL"/>
          </w:rPr>
          <w:t>C-459/20</w:t>
        </w:r>
      </w:hyperlink>
      <w:r w:rsidRPr="00FC6D7F">
        <w:rPr>
          <w:lang w:val="pl-PL"/>
        </w:rPr>
        <w:t xml:space="preserve">, EU:C:2023:499, </w:t>
      </w:r>
      <w:r w:rsidRPr="00D55672">
        <w:rPr>
          <w:lang w:val="pl-PL"/>
        </w:rPr>
        <w:t>pkt</w:t>
      </w:r>
      <w:r w:rsidR="00D55672" w:rsidRPr="00D55672">
        <w:rPr>
          <w:lang w:val="pl-PL"/>
        </w:rPr>
        <w:t> </w:t>
      </w:r>
      <w:r w:rsidRPr="00D55672">
        <w:rPr>
          <w:lang w:val="pl-PL"/>
        </w:rPr>
        <w:t>3</w:t>
      </w:r>
      <w:r w:rsidRPr="00FC6D7F">
        <w:rPr>
          <w:lang w:val="pl-PL"/>
        </w:rPr>
        <w:t>8.</w:t>
      </w:r>
    </w:p>
  </w:footnote>
  <w:footnote w:id="116">
    <w:p w14:paraId="29E9251E" w14:textId="7F9E5DA9" w:rsidR="003667F7" w:rsidRPr="00FC6D7F" w:rsidRDefault="003667F7" w:rsidP="0051621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(pierwsza izba)</w:t>
      </w:r>
      <w:r w:rsidR="00D55672" w:rsidRPr="00FC6D7F">
        <w:rPr>
          <w:lang w:val="pl-PL"/>
        </w:rPr>
        <w:t xml:space="preserve"> z</w:t>
      </w:r>
      <w:r w:rsidR="00D55672">
        <w:rPr>
          <w:lang w:val="pl-PL"/>
        </w:rPr>
        <w:t> </w:t>
      </w:r>
      <w:r w:rsidR="00D55672" w:rsidRPr="00FC6D7F">
        <w:rPr>
          <w:lang w:val="pl-PL"/>
        </w:rPr>
        <w:t>dni</w:t>
      </w:r>
      <w:r w:rsidRPr="00FC6D7F">
        <w:rPr>
          <w:lang w:val="pl-PL"/>
        </w:rPr>
        <w:t>a 22 czerwca 20</w:t>
      </w:r>
      <w:r w:rsidRPr="00D55672">
        <w:rPr>
          <w:lang w:val="pl-PL"/>
        </w:rPr>
        <w:t>23</w:t>
      </w:r>
      <w:r w:rsidR="00D55672" w:rsidRPr="00D55672">
        <w:rPr>
          <w:lang w:val="pl-PL"/>
        </w:rPr>
        <w:t> </w:t>
      </w:r>
      <w:r w:rsidRPr="00D55672">
        <w:rPr>
          <w:lang w:val="pl-PL"/>
        </w:rPr>
        <w:t>r.</w:t>
      </w:r>
      <w:r w:rsidRPr="00FC6D7F">
        <w:rPr>
          <w:lang w:val="pl-PL"/>
        </w:rPr>
        <w:t xml:space="preserve">, X/Staatssecretaris van Justitie en Veiligheid, </w:t>
      </w:r>
      <w:hyperlink r:id="rId105" w:history="1">
        <w:r w:rsidRPr="00FC6D7F">
          <w:rPr>
            <w:rStyle w:val="Hyperlink"/>
            <w:lang w:val="pl-PL"/>
          </w:rPr>
          <w:t>C-459/20</w:t>
        </w:r>
      </w:hyperlink>
      <w:r w:rsidRPr="00FC6D7F">
        <w:rPr>
          <w:lang w:val="pl-PL"/>
        </w:rPr>
        <w:t xml:space="preserve">, EU:C:2023:499, </w:t>
      </w:r>
      <w:r w:rsidRPr="00D55672">
        <w:rPr>
          <w:lang w:val="pl-PL"/>
        </w:rPr>
        <w:t>pkt</w:t>
      </w:r>
      <w:r w:rsidR="00D55672" w:rsidRPr="00D55672">
        <w:rPr>
          <w:lang w:val="pl-PL"/>
        </w:rPr>
        <w:t> </w:t>
      </w:r>
      <w:r w:rsidRPr="00D55672">
        <w:rPr>
          <w:lang w:val="pl-PL"/>
        </w:rPr>
        <w:t>4</w:t>
      </w:r>
      <w:r w:rsidRPr="00FC6D7F">
        <w:rPr>
          <w:lang w:val="pl-PL"/>
        </w:rPr>
        <w:t>5.</w:t>
      </w:r>
    </w:p>
  </w:footnote>
  <w:footnote w:id="117">
    <w:p w14:paraId="7041A9F7" w14:textId="01F3895C" w:rsidR="003667F7" w:rsidRPr="00FC6D7F" w:rsidRDefault="003667F7" w:rsidP="0051621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(pierwsza izba)</w:t>
      </w:r>
      <w:r w:rsidR="00D55672" w:rsidRPr="00FC6D7F">
        <w:rPr>
          <w:lang w:val="pl-PL"/>
        </w:rPr>
        <w:t xml:space="preserve"> z</w:t>
      </w:r>
      <w:r w:rsidR="00D55672">
        <w:rPr>
          <w:lang w:val="pl-PL"/>
        </w:rPr>
        <w:t> </w:t>
      </w:r>
      <w:r w:rsidR="00D55672" w:rsidRPr="00FC6D7F">
        <w:rPr>
          <w:lang w:val="pl-PL"/>
        </w:rPr>
        <w:t>dni</w:t>
      </w:r>
      <w:r w:rsidRPr="00FC6D7F">
        <w:rPr>
          <w:lang w:val="pl-PL"/>
        </w:rPr>
        <w:t>a 22 czerwca 20</w:t>
      </w:r>
      <w:r w:rsidRPr="00D55672">
        <w:rPr>
          <w:lang w:val="pl-PL"/>
        </w:rPr>
        <w:t>23</w:t>
      </w:r>
      <w:r w:rsidR="00D55672" w:rsidRPr="00D55672">
        <w:rPr>
          <w:lang w:val="pl-PL"/>
        </w:rPr>
        <w:t> </w:t>
      </w:r>
      <w:r w:rsidRPr="00D55672">
        <w:rPr>
          <w:lang w:val="pl-PL"/>
        </w:rPr>
        <w:t>r.</w:t>
      </w:r>
      <w:r w:rsidRPr="00FC6D7F">
        <w:rPr>
          <w:lang w:val="pl-PL"/>
        </w:rPr>
        <w:t xml:space="preserve">, X/Staatssecretaris van Justitie en Veiligheid, </w:t>
      </w:r>
      <w:hyperlink r:id="rId106" w:history="1">
        <w:r w:rsidRPr="00FC6D7F">
          <w:rPr>
            <w:rStyle w:val="Hyperlink"/>
            <w:lang w:val="pl-PL"/>
          </w:rPr>
          <w:t>C-459/20</w:t>
        </w:r>
      </w:hyperlink>
      <w:r w:rsidRPr="00FC6D7F">
        <w:rPr>
          <w:lang w:val="pl-PL"/>
        </w:rPr>
        <w:t xml:space="preserve">, EU:C:2023:499, </w:t>
      </w:r>
      <w:r w:rsidRPr="00D55672">
        <w:rPr>
          <w:lang w:val="pl-PL"/>
        </w:rPr>
        <w:t>pkt</w:t>
      </w:r>
      <w:r w:rsidR="00D55672" w:rsidRPr="00D55672">
        <w:rPr>
          <w:lang w:val="pl-PL"/>
        </w:rPr>
        <w:t> </w:t>
      </w:r>
      <w:r w:rsidRPr="00D55672">
        <w:rPr>
          <w:lang w:val="pl-PL"/>
        </w:rPr>
        <w:t>6</w:t>
      </w:r>
      <w:r w:rsidRPr="00FC6D7F">
        <w:rPr>
          <w:lang w:val="pl-PL"/>
        </w:rPr>
        <w:t>1.</w:t>
      </w:r>
    </w:p>
  </w:footnote>
  <w:footnote w:id="118">
    <w:p w14:paraId="2222602B" w14:textId="694A52C9" w:rsidR="003667F7" w:rsidRPr="00FC6D7F" w:rsidRDefault="003667F7" w:rsidP="0051621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(czwarta izba)</w:t>
      </w:r>
      <w:r w:rsidR="00D55672" w:rsidRPr="00FC6D7F">
        <w:rPr>
          <w:lang w:val="pl-PL"/>
        </w:rPr>
        <w:t xml:space="preserve"> z</w:t>
      </w:r>
      <w:r w:rsidR="00D55672">
        <w:rPr>
          <w:lang w:val="pl-PL"/>
        </w:rPr>
        <w:t> </w:t>
      </w:r>
      <w:r w:rsidR="00D55672" w:rsidRPr="00FC6D7F">
        <w:rPr>
          <w:lang w:val="pl-PL"/>
        </w:rPr>
        <w:t>dni</w:t>
      </w:r>
      <w:r w:rsidRPr="00FC6D7F">
        <w:rPr>
          <w:lang w:val="pl-PL"/>
        </w:rPr>
        <w:t>a 5 maja 20</w:t>
      </w:r>
      <w:r w:rsidRPr="00D55672">
        <w:rPr>
          <w:lang w:val="pl-PL"/>
        </w:rPr>
        <w:t>22</w:t>
      </w:r>
      <w:r w:rsidR="00D55672" w:rsidRPr="00D55672">
        <w:rPr>
          <w:lang w:val="pl-PL"/>
        </w:rPr>
        <w:t> </w:t>
      </w:r>
      <w:r w:rsidRPr="00D55672">
        <w:rPr>
          <w:lang w:val="pl-PL"/>
        </w:rPr>
        <w:t>r.</w:t>
      </w:r>
      <w:r w:rsidRPr="00FC6D7F">
        <w:rPr>
          <w:lang w:val="pl-PL"/>
        </w:rPr>
        <w:t xml:space="preserve">, Subdelegación del Gobierno en Toledo/XU i QP, </w:t>
      </w:r>
      <w:hyperlink r:id="rId107" w:history="1">
        <w:r w:rsidRPr="00FC6D7F">
          <w:rPr>
            <w:rStyle w:val="Hyperlink"/>
            <w:lang w:val="pl-PL"/>
          </w:rPr>
          <w:t>sprawy połączone C-451/19 i C-532/19</w:t>
        </w:r>
      </w:hyperlink>
      <w:r w:rsidRPr="00FC6D7F">
        <w:rPr>
          <w:lang w:val="pl-PL"/>
        </w:rPr>
        <w:t>, EU:C:2022:354.</w:t>
      </w:r>
    </w:p>
  </w:footnote>
  <w:footnote w:id="119">
    <w:p w14:paraId="1BD019C8" w14:textId="073D330D" w:rsidR="003667F7" w:rsidRPr="00FC6D7F" w:rsidRDefault="003667F7" w:rsidP="0051621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(czwarta izba)</w:t>
      </w:r>
      <w:r w:rsidR="00D55672" w:rsidRPr="00FC6D7F">
        <w:rPr>
          <w:lang w:val="pl-PL"/>
        </w:rPr>
        <w:t xml:space="preserve"> z</w:t>
      </w:r>
      <w:r w:rsidR="00D55672">
        <w:rPr>
          <w:lang w:val="pl-PL"/>
        </w:rPr>
        <w:t> </w:t>
      </w:r>
      <w:r w:rsidR="00D55672" w:rsidRPr="00FC6D7F">
        <w:rPr>
          <w:lang w:val="pl-PL"/>
        </w:rPr>
        <w:t>dni</w:t>
      </w:r>
      <w:r w:rsidRPr="00FC6D7F">
        <w:rPr>
          <w:lang w:val="pl-PL"/>
        </w:rPr>
        <w:t>a 5 maja 20</w:t>
      </w:r>
      <w:r w:rsidRPr="00D55672">
        <w:rPr>
          <w:lang w:val="pl-PL"/>
        </w:rPr>
        <w:t>22</w:t>
      </w:r>
      <w:r w:rsidR="00D55672" w:rsidRPr="00D55672">
        <w:rPr>
          <w:lang w:val="pl-PL"/>
        </w:rPr>
        <w:t> </w:t>
      </w:r>
      <w:r w:rsidRPr="00D55672">
        <w:rPr>
          <w:lang w:val="pl-PL"/>
        </w:rPr>
        <w:t>r.</w:t>
      </w:r>
      <w:r w:rsidRPr="00FC6D7F">
        <w:rPr>
          <w:lang w:val="pl-PL"/>
        </w:rPr>
        <w:t xml:space="preserve">, Subdelegación del Gobierno en Toledo/XU i QP, </w:t>
      </w:r>
      <w:hyperlink r:id="rId108" w:history="1">
        <w:r w:rsidRPr="00FC6D7F">
          <w:rPr>
            <w:rStyle w:val="Hyperlink"/>
            <w:lang w:val="pl-PL"/>
          </w:rPr>
          <w:t>sprawy połączone C-451/19 i C-532/19</w:t>
        </w:r>
      </w:hyperlink>
      <w:r w:rsidRPr="00FC6D7F">
        <w:rPr>
          <w:lang w:val="pl-PL"/>
        </w:rPr>
        <w:t xml:space="preserve">, EU:C:2022:354, </w:t>
      </w:r>
      <w:r w:rsidRPr="00D55672">
        <w:rPr>
          <w:lang w:val="pl-PL"/>
        </w:rPr>
        <w:t>pkt</w:t>
      </w:r>
      <w:r w:rsidR="00D55672" w:rsidRPr="00D55672">
        <w:rPr>
          <w:lang w:val="pl-PL"/>
        </w:rPr>
        <w:t> </w:t>
      </w:r>
      <w:r w:rsidRPr="00D55672">
        <w:rPr>
          <w:lang w:val="pl-PL"/>
        </w:rPr>
        <w:t>4</w:t>
      </w:r>
      <w:r w:rsidRPr="00FC6D7F">
        <w:rPr>
          <w:lang w:val="pl-PL"/>
        </w:rPr>
        <w:t>5–47.</w:t>
      </w:r>
    </w:p>
  </w:footnote>
  <w:footnote w:id="120">
    <w:p w14:paraId="1979BE10" w14:textId="7D1D32FA" w:rsidR="003667F7" w:rsidRPr="00FC6D7F" w:rsidRDefault="003667F7" w:rsidP="0051621F">
      <w:pPr>
        <w:pStyle w:val="FootnoteText"/>
        <w:ind w:left="357" w:hanging="357"/>
        <w:jc w:val="both"/>
        <w:rPr>
          <w:lang w:val="pl-PL"/>
        </w:rPr>
      </w:pPr>
      <w:r>
        <w:rPr>
          <w:rStyle w:val="FootnoteReference"/>
          <w:rFonts w:cs="Times New Roman"/>
        </w:rPr>
        <w:footnoteRef/>
      </w:r>
      <w:r w:rsidRPr="00FC6D7F">
        <w:rPr>
          <w:lang w:val="pl-PL"/>
        </w:rPr>
        <w:t xml:space="preserve"> </w:t>
      </w:r>
      <w:r w:rsidRPr="00FC6D7F">
        <w:rPr>
          <w:lang w:val="pl-PL"/>
        </w:rPr>
        <w:tab/>
        <w:t>Wyrok Trybunału (czwarta izba)</w:t>
      </w:r>
      <w:r w:rsidR="00D55672" w:rsidRPr="00FC6D7F">
        <w:rPr>
          <w:lang w:val="pl-PL"/>
        </w:rPr>
        <w:t xml:space="preserve"> z</w:t>
      </w:r>
      <w:r w:rsidR="00D55672">
        <w:rPr>
          <w:lang w:val="pl-PL"/>
        </w:rPr>
        <w:t> </w:t>
      </w:r>
      <w:r w:rsidR="00D55672" w:rsidRPr="00FC6D7F">
        <w:rPr>
          <w:lang w:val="pl-PL"/>
        </w:rPr>
        <w:t>dni</w:t>
      </w:r>
      <w:r w:rsidRPr="00FC6D7F">
        <w:rPr>
          <w:lang w:val="pl-PL"/>
        </w:rPr>
        <w:t>a 5 maja 20</w:t>
      </w:r>
      <w:r w:rsidRPr="00D55672">
        <w:rPr>
          <w:lang w:val="pl-PL"/>
        </w:rPr>
        <w:t>22</w:t>
      </w:r>
      <w:r w:rsidR="00D55672" w:rsidRPr="00D55672">
        <w:rPr>
          <w:lang w:val="pl-PL"/>
        </w:rPr>
        <w:t> </w:t>
      </w:r>
      <w:r w:rsidRPr="00D55672">
        <w:rPr>
          <w:lang w:val="pl-PL"/>
        </w:rPr>
        <w:t>r.</w:t>
      </w:r>
      <w:r w:rsidRPr="00FC6D7F">
        <w:rPr>
          <w:lang w:val="pl-PL"/>
        </w:rPr>
        <w:t xml:space="preserve">, Subdelegación del Gobierno en Toledo/XU i QP, </w:t>
      </w:r>
      <w:hyperlink r:id="rId109" w:history="1">
        <w:r w:rsidRPr="00FC6D7F">
          <w:rPr>
            <w:rStyle w:val="Hyperlink"/>
            <w:lang w:val="pl-PL"/>
          </w:rPr>
          <w:t>sprawy połączone C-451/19 i C-532/19</w:t>
        </w:r>
      </w:hyperlink>
      <w:r w:rsidRPr="00FC6D7F">
        <w:rPr>
          <w:lang w:val="pl-PL"/>
        </w:rPr>
        <w:t xml:space="preserve">, EU:C:2022:354, </w:t>
      </w:r>
      <w:r w:rsidRPr="00D55672">
        <w:rPr>
          <w:lang w:val="pl-PL"/>
        </w:rPr>
        <w:t>pkt</w:t>
      </w:r>
      <w:r w:rsidR="00D55672" w:rsidRPr="00D55672">
        <w:rPr>
          <w:lang w:val="pl-PL"/>
        </w:rPr>
        <w:t> </w:t>
      </w:r>
      <w:r w:rsidRPr="00D55672">
        <w:rPr>
          <w:lang w:val="pl-PL"/>
        </w:rPr>
        <w:t>6</w:t>
      </w:r>
      <w:r w:rsidRPr="00FC6D7F">
        <w:rPr>
          <w:lang w:val="pl-PL"/>
        </w:rPr>
        <w:t>9.</w:t>
      </w:r>
    </w:p>
  </w:footnote>
  <w:footnote w:id="121">
    <w:p w14:paraId="6E7D2C53" w14:textId="7E045BF8" w:rsidR="003667F7" w:rsidRPr="00FC6D7F" w:rsidRDefault="003667F7" w:rsidP="0051621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(czwarta izba)</w:t>
      </w:r>
      <w:r w:rsidR="00D55672" w:rsidRPr="00FC6D7F">
        <w:rPr>
          <w:lang w:val="pl-PL"/>
        </w:rPr>
        <w:t xml:space="preserve"> z</w:t>
      </w:r>
      <w:r w:rsidR="00D55672">
        <w:rPr>
          <w:lang w:val="pl-PL"/>
        </w:rPr>
        <w:t> </w:t>
      </w:r>
      <w:r w:rsidR="00D55672" w:rsidRPr="00FC6D7F">
        <w:rPr>
          <w:lang w:val="pl-PL"/>
        </w:rPr>
        <w:t>dni</w:t>
      </w:r>
      <w:r w:rsidRPr="00FC6D7F">
        <w:rPr>
          <w:lang w:val="pl-PL"/>
        </w:rPr>
        <w:t>a 5 maja 20</w:t>
      </w:r>
      <w:r w:rsidRPr="00D55672">
        <w:rPr>
          <w:lang w:val="pl-PL"/>
        </w:rPr>
        <w:t>22</w:t>
      </w:r>
      <w:r w:rsidR="00D55672" w:rsidRPr="00D55672">
        <w:rPr>
          <w:lang w:val="pl-PL"/>
        </w:rPr>
        <w:t> </w:t>
      </w:r>
      <w:r w:rsidRPr="00D55672">
        <w:rPr>
          <w:lang w:val="pl-PL"/>
        </w:rPr>
        <w:t>r.</w:t>
      </w:r>
      <w:r w:rsidRPr="00FC6D7F">
        <w:rPr>
          <w:lang w:val="pl-PL"/>
        </w:rPr>
        <w:t xml:space="preserve">, Subdelegación del Gobierno en Toledo/XU i QP, </w:t>
      </w:r>
      <w:hyperlink r:id="rId110" w:history="1">
        <w:r w:rsidRPr="00FC6D7F">
          <w:rPr>
            <w:rStyle w:val="Hyperlink"/>
            <w:lang w:val="pl-PL"/>
          </w:rPr>
          <w:t>sprawy połączone C-451/19 i C-532/19</w:t>
        </w:r>
      </w:hyperlink>
      <w:r w:rsidRPr="00FC6D7F">
        <w:rPr>
          <w:lang w:val="pl-PL"/>
        </w:rPr>
        <w:t xml:space="preserve">, EU:C:2022:354, </w:t>
      </w:r>
      <w:r w:rsidRPr="00D55672">
        <w:rPr>
          <w:lang w:val="pl-PL"/>
        </w:rPr>
        <w:t>pkt</w:t>
      </w:r>
      <w:r w:rsidR="00D55672" w:rsidRPr="00D55672">
        <w:rPr>
          <w:lang w:val="pl-PL"/>
        </w:rPr>
        <w:t> </w:t>
      </w:r>
      <w:r w:rsidRPr="00D55672">
        <w:rPr>
          <w:lang w:val="pl-PL"/>
        </w:rPr>
        <w:t>8</w:t>
      </w:r>
      <w:r w:rsidRPr="00FC6D7F">
        <w:rPr>
          <w:lang w:val="pl-PL"/>
        </w:rPr>
        <w:t>3–86.</w:t>
      </w:r>
    </w:p>
  </w:footnote>
  <w:footnote w:id="122">
    <w:p w14:paraId="531A550D" w14:textId="0FCCECC9" w:rsidR="003667F7" w:rsidRPr="00FC6D7F" w:rsidRDefault="003667F7" w:rsidP="00EA5A5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12 maja 20</w:t>
      </w:r>
      <w:r w:rsidRPr="00D55672">
        <w:rPr>
          <w:lang w:val="pl-PL"/>
        </w:rPr>
        <w:t>21</w:t>
      </w:r>
      <w:r w:rsidR="00D55672" w:rsidRPr="00D55672">
        <w:rPr>
          <w:lang w:val="pl-PL"/>
        </w:rPr>
        <w:t> </w:t>
      </w:r>
      <w:r w:rsidRPr="00D55672">
        <w:rPr>
          <w:lang w:val="pl-PL"/>
        </w:rPr>
        <w:t>r.</w:t>
      </w:r>
      <w:r w:rsidRPr="00FC6D7F">
        <w:rPr>
          <w:lang w:val="pl-PL"/>
        </w:rPr>
        <w:t xml:space="preserve">, WS/Bundesrepublik Deutschland, </w:t>
      </w:r>
      <w:hyperlink r:id="rId111" w:history="1">
        <w:r w:rsidRPr="00FC6D7F">
          <w:rPr>
            <w:rStyle w:val="Hyperlink"/>
            <w:lang w:val="pl-PL"/>
          </w:rPr>
          <w:t>C-505/19</w:t>
        </w:r>
      </w:hyperlink>
      <w:r w:rsidRPr="00FC6D7F">
        <w:rPr>
          <w:lang w:val="pl-PL"/>
        </w:rPr>
        <w:t>, EU: C:2021:376.</w:t>
      </w:r>
    </w:p>
  </w:footnote>
  <w:footnote w:id="123">
    <w:p w14:paraId="343DB8F4" w14:textId="42F183F8" w:rsidR="003667F7" w:rsidRPr="00FC6D7F" w:rsidRDefault="003667F7" w:rsidP="00EA5A5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12 maja 20</w:t>
      </w:r>
      <w:r w:rsidRPr="00D55672">
        <w:rPr>
          <w:lang w:val="pl-PL"/>
        </w:rPr>
        <w:t>21</w:t>
      </w:r>
      <w:r w:rsidR="00D55672" w:rsidRPr="00D55672">
        <w:rPr>
          <w:lang w:val="pl-PL"/>
        </w:rPr>
        <w:t> </w:t>
      </w:r>
      <w:r w:rsidRPr="00D55672">
        <w:rPr>
          <w:lang w:val="pl-PL"/>
        </w:rPr>
        <w:t>r.</w:t>
      </w:r>
      <w:r w:rsidRPr="00FC6D7F">
        <w:rPr>
          <w:lang w:val="pl-PL"/>
        </w:rPr>
        <w:t xml:space="preserve">, WS/Bundesrepublik Deutschland, </w:t>
      </w:r>
      <w:hyperlink r:id="rId112" w:history="1">
        <w:r w:rsidRPr="00FC6D7F">
          <w:rPr>
            <w:rStyle w:val="Hyperlink"/>
            <w:lang w:val="pl-PL"/>
          </w:rPr>
          <w:t>C-505/19</w:t>
        </w:r>
      </w:hyperlink>
      <w:r w:rsidRPr="00FC6D7F">
        <w:rPr>
          <w:lang w:val="pl-PL"/>
        </w:rPr>
        <w:t xml:space="preserve">, EU:C:2021:376, </w:t>
      </w:r>
      <w:r w:rsidRPr="00D55672">
        <w:rPr>
          <w:lang w:val="pl-PL"/>
        </w:rPr>
        <w:t>pkt</w:t>
      </w:r>
      <w:r w:rsidR="00D55672" w:rsidRPr="00D55672">
        <w:rPr>
          <w:lang w:val="pl-PL"/>
        </w:rPr>
        <w:t> </w:t>
      </w:r>
      <w:r w:rsidRPr="00D55672">
        <w:rPr>
          <w:lang w:val="pl-PL"/>
        </w:rPr>
        <w:t>8</w:t>
      </w:r>
      <w:r w:rsidRPr="00FC6D7F">
        <w:rPr>
          <w:lang w:val="pl-PL"/>
        </w:rPr>
        <w:t>4–86.</w:t>
      </w:r>
    </w:p>
  </w:footnote>
  <w:footnote w:id="124">
    <w:p w14:paraId="3EED2B54" w14:textId="2656E8FE"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(czwarta izba)</w:t>
      </w:r>
      <w:r w:rsidR="00D55672" w:rsidRPr="00FC6D7F">
        <w:rPr>
          <w:lang w:val="pl-PL"/>
        </w:rPr>
        <w:t xml:space="preserve"> z</w:t>
      </w:r>
      <w:r w:rsidR="00D55672">
        <w:rPr>
          <w:lang w:val="pl-PL"/>
        </w:rPr>
        <w:t> </w:t>
      </w:r>
      <w:r w:rsidR="00D55672" w:rsidRPr="00FC6D7F">
        <w:rPr>
          <w:lang w:val="pl-PL"/>
        </w:rPr>
        <w:t>dni</w:t>
      </w:r>
      <w:r w:rsidRPr="00FC6D7F">
        <w:rPr>
          <w:lang w:val="pl-PL"/>
        </w:rPr>
        <w:t>a 19 listopada 20</w:t>
      </w:r>
      <w:r w:rsidRPr="00D55672">
        <w:rPr>
          <w:lang w:val="pl-PL"/>
        </w:rPr>
        <w:t>20</w:t>
      </w:r>
      <w:r w:rsidR="00D55672" w:rsidRPr="00D55672">
        <w:rPr>
          <w:lang w:val="pl-PL"/>
        </w:rPr>
        <w:t> </w:t>
      </w:r>
      <w:r w:rsidRPr="00D55672">
        <w:rPr>
          <w:lang w:val="pl-PL"/>
        </w:rPr>
        <w:t>r.</w:t>
      </w:r>
      <w:r w:rsidRPr="00FC6D7F">
        <w:rPr>
          <w:lang w:val="pl-PL"/>
        </w:rPr>
        <w:t xml:space="preserve">, Staatsanwaltschaft Heilbronn/ZW, </w:t>
      </w:r>
      <w:hyperlink r:id="rId113" w:history="1">
        <w:r w:rsidRPr="00FC6D7F">
          <w:rPr>
            <w:rStyle w:val="Hyperlink"/>
            <w:lang w:val="pl-PL"/>
          </w:rPr>
          <w:t>C-454/19</w:t>
        </w:r>
      </w:hyperlink>
      <w:r w:rsidRPr="00FC6D7F">
        <w:rPr>
          <w:lang w:val="pl-PL"/>
        </w:rPr>
        <w:t>, EU:C:2020:947.</w:t>
      </w:r>
    </w:p>
  </w:footnote>
  <w:footnote w:id="125">
    <w:p w14:paraId="2BA40252" w14:textId="48A31CF2" w:rsidR="003667F7" w:rsidRPr="00FC6D7F" w:rsidDel="00B3217A"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(czwarta izba)</w:t>
      </w:r>
      <w:r w:rsidR="00D55672" w:rsidRPr="00FC6D7F">
        <w:rPr>
          <w:lang w:val="pl-PL"/>
        </w:rPr>
        <w:t xml:space="preserve"> z</w:t>
      </w:r>
      <w:r w:rsidR="00D55672">
        <w:rPr>
          <w:lang w:val="pl-PL"/>
        </w:rPr>
        <w:t> </w:t>
      </w:r>
      <w:r w:rsidR="00D55672" w:rsidRPr="00FC6D7F">
        <w:rPr>
          <w:lang w:val="pl-PL"/>
        </w:rPr>
        <w:t>dni</w:t>
      </w:r>
      <w:r w:rsidRPr="00FC6D7F">
        <w:rPr>
          <w:lang w:val="pl-PL"/>
        </w:rPr>
        <w:t>a 19 listopada 20</w:t>
      </w:r>
      <w:r w:rsidRPr="00D55672">
        <w:rPr>
          <w:lang w:val="pl-PL"/>
        </w:rPr>
        <w:t>20</w:t>
      </w:r>
      <w:r w:rsidR="00D55672" w:rsidRPr="00D55672">
        <w:rPr>
          <w:lang w:val="pl-PL"/>
        </w:rPr>
        <w:t> </w:t>
      </w:r>
      <w:r w:rsidRPr="00D55672">
        <w:rPr>
          <w:lang w:val="pl-PL"/>
        </w:rPr>
        <w:t>r.</w:t>
      </w:r>
      <w:r w:rsidRPr="00FC6D7F">
        <w:rPr>
          <w:lang w:val="pl-PL"/>
        </w:rPr>
        <w:t xml:space="preserve">, Staatsanwaltschaft Heilbronn/ZW, </w:t>
      </w:r>
      <w:hyperlink r:id="rId114" w:history="1">
        <w:r w:rsidRPr="00FC6D7F">
          <w:rPr>
            <w:rStyle w:val="Hyperlink"/>
            <w:lang w:val="pl-PL"/>
          </w:rPr>
          <w:t>C-454/19</w:t>
        </w:r>
      </w:hyperlink>
      <w:r w:rsidRPr="00FC6D7F">
        <w:rPr>
          <w:lang w:val="pl-PL"/>
        </w:rPr>
        <w:t xml:space="preserve">, EU:C:2020:947, </w:t>
      </w:r>
      <w:r w:rsidRPr="00D55672">
        <w:rPr>
          <w:lang w:val="pl-PL"/>
        </w:rPr>
        <w:t>pkt</w:t>
      </w:r>
      <w:r w:rsidR="00D55672" w:rsidRPr="00D55672">
        <w:rPr>
          <w:lang w:val="pl-PL"/>
        </w:rPr>
        <w:t> </w:t>
      </w:r>
      <w:r w:rsidRPr="00D55672">
        <w:rPr>
          <w:lang w:val="pl-PL"/>
        </w:rPr>
        <w:t>3</w:t>
      </w:r>
      <w:r w:rsidRPr="00FC6D7F">
        <w:rPr>
          <w:lang w:val="pl-PL"/>
        </w:rPr>
        <w:t xml:space="preserve">1–32. </w:t>
      </w:r>
    </w:p>
  </w:footnote>
  <w:footnote w:id="126">
    <w:p w14:paraId="4DF9BE3C" w14:textId="63587323" w:rsidR="003667F7" w:rsidRPr="00FC6D7F" w:rsidDel="00B3217A"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(czwarta izba)</w:t>
      </w:r>
      <w:r w:rsidR="00D55672" w:rsidRPr="00FC6D7F">
        <w:rPr>
          <w:lang w:val="pl-PL"/>
        </w:rPr>
        <w:t xml:space="preserve"> z</w:t>
      </w:r>
      <w:r w:rsidR="00D55672">
        <w:rPr>
          <w:lang w:val="pl-PL"/>
        </w:rPr>
        <w:t> </w:t>
      </w:r>
      <w:r w:rsidR="00D55672" w:rsidRPr="00FC6D7F">
        <w:rPr>
          <w:lang w:val="pl-PL"/>
        </w:rPr>
        <w:t>dni</w:t>
      </w:r>
      <w:r w:rsidRPr="00FC6D7F">
        <w:rPr>
          <w:lang w:val="pl-PL"/>
        </w:rPr>
        <w:t>a 19 listopada 20</w:t>
      </w:r>
      <w:r w:rsidRPr="00D55672">
        <w:rPr>
          <w:lang w:val="pl-PL"/>
        </w:rPr>
        <w:t>20</w:t>
      </w:r>
      <w:r w:rsidR="00D55672" w:rsidRPr="00D55672">
        <w:rPr>
          <w:lang w:val="pl-PL"/>
        </w:rPr>
        <w:t> </w:t>
      </w:r>
      <w:r w:rsidRPr="00D55672">
        <w:rPr>
          <w:lang w:val="pl-PL"/>
        </w:rPr>
        <w:t>r.</w:t>
      </w:r>
      <w:r w:rsidRPr="00FC6D7F">
        <w:rPr>
          <w:lang w:val="pl-PL"/>
        </w:rPr>
        <w:t xml:space="preserve">, Staatsanwaltschaft Heilbronn/ZW, </w:t>
      </w:r>
      <w:hyperlink r:id="rId115" w:history="1">
        <w:r w:rsidRPr="00FC6D7F">
          <w:rPr>
            <w:rStyle w:val="Hyperlink"/>
            <w:lang w:val="pl-PL"/>
          </w:rPr>
          <w:t>C-454/19</w:t>
        </w:r>
      </w:hyperlink>
      <w:r w:rsidRPr="00FC6D7F">
        <w:rPr>
          <w:lang w:val="pl-PL"/>
        </w:rPr>
        <w:t xml:space="preserve">, EU:C:2020:947, </w:t>
      </w:r>
      <w:r w:rsidRPr="00D55672">
        <w:rPr>
          <w:lang w:val="pl-PL"/>
        </w:rPr>
        <w:t>pkt</w:t>
      </w:r>
      <w:r w:rsidR="00D55672" w:rsidRPr="00D55672">
        <w:rPr>
          <w:lang w:val="pl-PL"/>
        </w:rPr>
        <w:t> </w:t>
      </w:r>
      <w:r w:rsidRPr="00D55672">
        <w:rPr>
          <w:lang w:val="pl-PL"/>
        </w:rPr>
        <w:t>4</w:t>
      </w:r>
      <w:r w:rsidRPr="00FC6D7F">
        <w:rPr>
          <w:lang w:val="pl-PL"/>
        </w:rPr>
        <w:t>0</w:t>
      </w:r>
      <w:r w:rsidR="00D55672" w:rsidRPr="00FC6D7F">
        <w:rPr>
          <w:lang w:val="pl-PL"/>
        </w:rPr>
        <w:t xml:space="preserve"> i</w:t>
      </w:r>
      <w:r w:rsidR="00D55672">
        <w:rPr>
          <w:lang w:val="pl-PL"/>
        </w:rPr>
        <w:t> </w:t>
      </w:r>
      <w:r w:rsidR="00D55672" w:rsidRPr="00FC6D7F">
        <w:rPr>
          <w:lang w:val="pl-PL"/>
        </w:rPr>
        <w:t>5</w:t>
      </w:r>
      <w:r w:rsidRPr="00FC6D7F">
        <w:rPr>
          <w:lang w:val="pl-PL"/>
        </w:rPr>
        <w:t>0.</w:t>
      </w:r>
    </w:p>
  </w:footnote>
  <w:footnote w:id="127">
    <w:p w14:paraId="0103D15A" w14:textId="5B0CB4A4" w:rsidR="003667F7" w:rsidRPr="00FC6D7F" w:rsidRDefault="003667F7" w:rsidP="003667F7">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21 czerwca 20</w:t>
      </w:r>
      <w:r w:rsidRPr="00D55672">
        <w:rPr>
          <w:lang w:val="pl-PL"/>
        </w:rPr>
        <w:t>22</w:t>
      </w:r>
      <w:r w:rsidR="00D55672" w:rsidRPr="00D55672">
        <w:rPr>
          <w:lang w:val="pl-PL"/>
        </w:rPr>
        <w:t> </w:t>
      </w:r>
      <w:r w:rsidRPr="00D55672">
        <w:rPr>
          <w:lang w:val="pl-PL"/>
        </w:rPr>
        <w:t>r.</w:t>
      </w:r>
      <w:r w:rsidRPr="00FC6D7F">
        <w:rPr>
          <w:lang w:val="pl-PL"/>
        </w:rPr>
        <w:t xml:space="preserve">, Ligue des droits humains, </w:t>
      </w:r>
      <w:hyperlink r:id="rId116" w:history="1">
        <w:r w:rsidRPr="00FC6D7F">
          <w:rPr>
            <w:lang w:val="pl-PL"/>
          </w:rPr>
          <w:t>C-817/19</w:t>
        </w:r>
      </w:hyperlink>
      <w:r w:rsidRPr="00FC6D7F">
        <w:rPr>
          <w:lang w:val="pl-PL"/>
        </w:rPr>
        <w:t>, EU:C:2022:491.</w:t>
      </w:r>
    </w:p>
  </w:footnote>
  <w:footnote w:id="128">
    <w:p w14:paraId="53197561" w14:textId="7E599577" w:rsidR="00365390" w:rsidRPr="00FC6D7F" w:rsidRDefault="00365390" w:rsidP="00365390">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Dyrektywa Parlamentu Europejskiego</w:t>
      </w:r>
      <w:r w:rsidR="00D55672" w:rsidRPr="00FC6D7F">
        <w:rPr>
          <w:lang w:val="pl-PL"/>
        </w:rPr>
        <w:t xml:space="preserve"> i</w:t>
      </w:r>
      <w:r w:rsidR="00D55672">
        <w:rPr>
          <w:lang w:val="pl-PL"/>
        </w:rPr>
        <w:t> </w:t>
      </w:r>
      <w:r w:rsidR="00D55672" w:rsidRPr="00FC6D7F">
        <w:rPr>
          <w:lang w:val="pl-PL"/>
        </w:rPr>
        <w:t>Rad</w:t>
      </w:r>
      <w:r w:rsidRPr="00FC6D7F">
        <w:rPr>
          <w:lang w:val="pl-PL"/>
        </w:rPr>
        <w:t>y (UE) 2016/681</w:t>
      </w:r>
      <w:r w:rsidR="00D55672" w:rsidRPr="00FC6D7F">
        <w:rPr>
          <w:lang w:val="pl-PL"/>
        </w:rPr>
        <w:t xml:space="preserve"> z</w:t>
      </w:r>
      <w:r w:rsidR="00D55672">
        <w:rPr>
          <w:lang w:val="pl-PL"/>
        </w:rPr>
        <w:t> </w:t>
      </w:r>
      <w:r w:rsidR="00D55672" w:rsidRPr="00FC6D7F">
        <w:rPr>
          <w:lang w:val="pl-PL"/>
        </w:rPr>
        <w:t>dni</w:t>
      </w:r>
      <w:r w:rsidRPr="00FC6D7F">
        <w:rPr>
          <w:lang w:val="pl-PL"/>
        </w:rPr>
        <w:t>a 27 kwietnia 2016 r.</w:t>
      </w:r>
      <w:r w:rsidR="00D55672" w:rsidRPr="00FC6D7F">
        <w:rPr>
          <w:lang w:val="pl-PL"/>
        </w:rPr>
        <w:t xml:space="preserve"> w</w:t>
      </w:r>
      <w:r w:rsidR="00D55672">
        <w:rPr>
          <w:lang w:val="pl-PL"/>
        </w:rPr>
        <w:t> </w:t>
      </w:r>
      <w:r w:rsidR="00D55672" w:rsidRPr="00FC6D7F">
        <w:rPr>
          <w:lang w:val="pl-PL"/>
        </w:rPr>
        <w:t>spr</w:t>
      </w:r>
      <w:r w:rsidRPr="00FC6D7F">
        <w:rPr>
          <w:lang w:val="pl-PL"/>
        </w:rPr>
        <w:t>awie wykorzystywania danych dotyczących przelotu pasażera (danych PNR)</w:t>
      </w:r>
      <w:r w:rsidR="00D55672" w:rsidRPr="00FC6D7F">
        <w:rPr>
          <w:lang w:val="pl-PL"/>
        </w:rPr>
        <w:t xml:space="preserve"> w</w:t>
      </w:r>
      <w:r w:rsidR="00D55672">
        <w:rPr>
          <w:lang w:val="pl-PL"/>
        </w:rPr>
        <w:t> </w:t>
      </w:r>
      <w:r w:rsidR="00D55672" w:rsidRPr="00FC6D7F">
        <w:rPr>
          <w:lang w:val="pl-PL"/>
        </w:rPr>
        <w:t>cel</w:t>
      </w:r>
      <w:r w:rsidRPr="00FC6D7F">
        <w:rPr>
          <w:lang w:val="pl-PL"/>
        </w:rPr>
        <w:t>u zapobiegania przestępstwom terrorystycznym</w:t>
      </w:r>
      <w:r w:rsidR="00D55672" w:rsidRPr="00FC6D7F">
        <w:rPr>
          <w:lang w:val="pl-PL"/>
        </w:rPr>
        <w:t xml:space="preserve"> i</w:t>
      </w:r>
      <w:r w:rsidR="00D55672">
        <w:rPr>
          <w:lang w:val="pl-PL"/>
        </w:rPr>
        <w:t> </w:t>
      </w:r>
      <w:r w:rsidR="00D55672" w:rsidRPr="00FC6D7F">
        <w:rPr>
          <w:lang w:val="pl-PL"/>
        </w:rPr>
        <w:t>pow</w:t>
      </w:r>
      <w:r w:rsidRPr="00FC6D7F">
        <w:rPr>
          <w:lang w:val="pl-PL"/>
        </w:rPr>
        <w:t>ażnej przestępczości, ich wykrywania, prowadzenia postępowań przygotowawczych</w:t>
      </w:r>
      <w:r w:rsidR="00D55672" w:rsidRPr="00FC6D7F">
        <w:rPr>
          <w:lang w:val="pl-PL"/>
        </w:rPr>
        <w:t xml:space="preserve"> w</w:t>
      </w:r>
      <w:r w:rsidR="00D55672">
        <w:rPr>
          <w:lang w:val="pl-PL"/>
        </w:rPr>
        <w:t> </w:t>
      </w:r>
      <w:r w:rsidR="00D55672" w:rsidRPr="00FC6D7F">
        <w:rPr>
          <w:lang w:val="pl-PL"/>
        </w:rPr>
        <w:t>ich</w:t>
      </w:r>
      <w:r w:rsidRPr="00FC6D7F">
        <w:rPr>
          <w:lang w:val="pl-PL"/>
        </w:rPr>
        <w:t xml:space="preserve"> sprawie</w:t>
      </w:r>
      <w:r w:rsidR="00D55672" w:rsidRPr="00FC6D7F">
        <w:rPr>
          <w:lang w:val="pl-PL"/>
        </w:rPr>
        <w:t xml:space="preserve"> i</w:t>
      </w:r>
      <w:r w:rsidR="00D55672">
        <w:rPr>
          <w:lang w:val="pl-PL"/>
        </w:rPr>
        <w:t> </w:t>
      </w:r>
      <w:r w:rsidR="00D55672" w:rsidRPr="00FC6D7F">
        <w:rPr>
          <w:lang w:val="pl-PL"/>
        </w:rPr>
        <w:t>ich</w:t>
      </w:r>
      <w:r w:rsidRPr="00FC6D7F">
        <w:rPr>
          <w:lang w:val="pl-PL"/>
        </w:rPr>
        <w:t xml:space="preserve"> ścigania, </w:t>
      </w:r>
      <w:r w:rsidRPr="00FC6D7F">
        <w:rPr>
          <w:i/>
          <w:lang w:val="pl-PL"/>
        </w:rPr>
        <w:t>Dz.U. L 119</w:t>
      </w:r>
      <w:r w:rsidR="00D55672" w:rsidRPr="00FC6D7F">
        <w:rPr>
          <w:i/>
          <w:lang w:val="pl-PL"/>
        </w:rPr>
        <w:t xml:space="preserve"> z</w:t>
      </w:r>
      <w:r w:rsidR="00D55672">
        <w:rPr>
          <w:i/>
          <w:lang w:val="pl-PL"/>
        </w:rPr>
        <w:t> </w:t>
      </w:r>
      <w:r w:rsidR="00D55672" w:rsidRPr="00FC6D7F">
        <w:rPr>
          <w:i/>
          <w:lang w:val="pl-PL"/>
        </w:rPr>
        <w:t>4</w:t>
      </w:r>
      <w:r w:rsidRPr="00FC6D7F">
        <w:rPr>
          <w:i/>
          <w:lang w:val="pl-PL"/>
        </w:rPr>
        <w:t>.5.2016, s. 132</w:t>
      </w:r>
      <w:r w:rsidRPr="00FC6D7F">
        <w:rPr>
          <w:lang w:val="pl-PL"/>
        </w:rPr>
        <w:t>.</w:t>
      </w:r>
    </w:p>
  </w:footnote>
  <w:footnote w:id="129">
    <w:p w14:paraId="77457D63" w14:textId="758FC6BF" w:rsidR="00365390" w:rsidRPr="00FC6D7F" w:rsidRDefault="00365390" w:rsidP="0051621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Dyrektywa Rady 2004/82/WE</w:t>
      </w:r>
      <w:r w:rsidR="00D55672" w:rsidRPr="00FC6D7F">
        <w:rPr>
          <w:lang w:val="pl-PL"/>
        </w:rPr>
        <w:t xml:space="preserve"> z</w:t>
      </w:r>
      <w:r w:rsidR="00D55672">
        <w:rPr>
          <w:lang w:val="pl-PL"/>
        </w:rPr>
        <w:t> </w:t>
      </w:r>
      <w:r w:rsidR="00D55672" w:rsidRPr="00FC6D7F">
        <w:rPr>
          <w:lang w:val="pl-PL"/>
        </w:rPr>
        <w:t>dni</w:t>
      </w:r>
      <w:r w:rsidRPr="00FC6D7F">
        <w:rPr>
          <w:lang w:val="pl-PL"/>
        </w:rPr>
        <w:t>a 29 kwietnia 20</w:t>
      </w:r>
      <w:r w:rsidRPr="00D55672">
        <w:rPr>
          <w:lang w:val="pl-PL"/>
        </w:rPr>
        <w:t>04</w:t>
      </w:r>
      <w:r w:rsidR="00D55672" w:rsidRPr="00D55672">
        <w:rPr>
          <w:lang w:val="pl-PL"/>
        </w:rPr>
        <w:t> </w:t>
      </w:r>
      <w:r w:rsidRPr="00D55672">
        <w:rPr>
          <w:lang w:val="pl-PL"/>
        </w:rPr>
        <w:t>r.</w:t>
      </w:r>
      <w:r w:rsidR="00D55672" w:rsidRPr="00FC6D7F">
        <w:rPr>
          <w:lang w:val="pl-PL"/>
        </w:rPr>
        <w:t xml:space="preserve"> w</w:t>
      </w:r>
      <w:r w:rsidR="00D55672">
        <w:rPr>
          <w:lang w:val="pl-PL"/>
        </w:rPr>
        <w:t> </w:t>
      </w:r>
      <w:r w:rsidR="00D55672" w:rsidRPr="00FC6D7F">
        <w:rPr>
          <w:lang w:val="pl-PL"/>
        </w:rPr>
        <w:t>spr</w:t>
      </w:r>
      <w:r w:rsidRPr="00FC6D7F">
        <w:rPr>
          <w:lang w:val="pl-PL"/>
        </w:rPr>
        <w:t xml:space="preserve">awie zobowiązania przewoźników do przekazywania danych pasażerów </w:t>
      </w:r>
      <w:r w:rsidRPr="00FC6D7F">
        <w:rPr>
          <w:i/>
          <w:lang w:val="pl-PL"/>
        </w:rPr>
        <w:t>Dz.U. L 261</w:t>
      </w:r>
      <w:r w:rsidR="00D55672" w:rsidRPr="00FC6D7F">
        <w:rPr>
          <w:i/>
          <w:lang w:val="pl-PL"/>
        </w:rPr>
        <w:t xml:space="preserve"> z</w:t>
      </w:r>
      <w:r w:rsidR="00D55672">
        <w:rPr>
          <w:i/>
          <w:lang w:val="pl-PL"/>
        </w:rPr>
        <w:t> </w:t>
      </w:r>
      <w:r w:rsidR="00D55672" w:rsidRPr="00FC6D7F">
        <w:rPr>
          <w:i/>
          <w:lang w:val="pl-PL"/>
        </w:rPr>
        <w:t>6</w:t>
      </w:r>
      <w:r w:rsidRPr="00FC6D7F">
        <w:rPr>
          <w:i/>
          <w:lang w:val="pl-PL"/>
        </w:rPr>
        <w:t>.8.2004, s. 24</w:t>
      </w:r>
      <w:r w:rsidRPr="00FC6D7F">
        <w:rPr>
          <w:lang w:val="pl-PL"/>
        </w:rPr>
        <w:t>.</w:t>
      </w:r>
    </w:p>
  </w:footnote>
  <w:footnote w:id="130">
    <w:p w14:paraId="0A831D1A" w14:textId="342B9102" w:rsidR="003667F7" w:rsidRPr="00FC6D7F" w:rsidRDefault="003667F7" w:rsidP="0051621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21 czerwca 20</w:t>
      </w:r>
      <w:r w:rsidRPr="00D55672">
        <w:rPr>
          <w:lang w:val="pl-PL"/>
        </w:rPr>
        <w:t>22</w:t>
      </w:r>
      <w:r w:rsidR="00D55672" w:rsidRPr="00D55672">
        <w:rPr>
          <w:lang w:val="pl-PL"/>
        </w:rPr>
        <w:t> </w:t>
      </w:r>
      <w:r w:rsidRPr="00D55672">
        <w:rPr>
          <w:lang w:val="pl-PL"/>
        </w:rPr>
        <w:t>r.</w:t>
      </w:r>
      <w:r w:rsidRPr="00FC6D7F">
        <w:rPr>
          <w:lang w:val="pl-PL"/>
        </w:rPr>
        <w:t xml:space="preserve">, Ligue des droits humains, </w:t>
      </w:r>
      <w:hyperlink r:id="rId117" w:history="1">
        <w:r w:rsidRPr="00FC6D7F">
          <w:rPr>
            <w:lang w:val="pl-PL"/>
          </w:rPr>
          <w:t>C-817/19</w:t>
        </w:r>
      </w:hyperlink>
      <w:r w:rsidRPr="00FC6D7F">
        <w:rPr>
          <w:lang w:val="pl-PL"/>
        </w:rPr>
        <w:t xml:space="preserve">, EU:C:2022:491, </w:t>
      </w:r>
      <w:r w:rsidRPr="00D55672">
        <w:rPr>
          <w:lang w:val="pl-PL"/>
        </w:rPr>
        <w:t>pkt</w:t>
      </w:r>
      <w:r w:rsidR="00D55672" w:rsidRPr="00D55672">
        <w:rPr>
          <w:lang w:val="pl-PL"/>
        </w:rPr>
        <w:t> </w:t>
      </w:r>
      <w:r w:rsidRPr="00D55672">
        <w:rPr>
          <w:lang w:val="pl-PL"/>
        </w:rPr>
        <w:t>2</w:t>
      </w:r>
      <w:r w:rsidRPr="00FC6D7F">
        <w:rPr>
          <w:lang w:val="pl-PL"/>
        </w:rPr>
        <w:t>27–228.</w:t>
      </w:r>
    </w:p>
  </w:footnote>
  <w:footnote w:id="131">
    <w:p w14:paraId="630012C9" w14:textId="7D2F14A7" w:rsidR="003667F7" w:rsidRPr="00FC6D7F" w:rsidRDefault="003667F7" w:rsidP="0051621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21 czerwca 20</w:t>
      </w:r>
      <w:r w:rsidRPr="00D55672">
        <w:rPr>
          <w:lang w:val="pl-PL"/>
        </w:rPr>
        <w:t>22</w:t>
      </w:r>
      <w:r w:rsidR="00D55672" w:rsidRPr="00D55672">
        <w:rPr>
          <w:lang w:val="pl-PL"/>
        </w:rPr>
        <w:t> </w:t>
      </w:r>
      <w:r w:rsidRPr="00D55672">
        <w:rPr>
          <w:lang w:val="pl-PL"/>
        </w:rPr>
        <w:t>r.</w:t>
      </w:r>
      <w:r w:rsidRPr="00FC6D7F">
        <w:rPr>
          <w:lang w:val="pl-PL"/>
        </w:rPr>
        <w:t xml:space="preserve">, Ligue des droits humains, </w:t>
      </w:r>
      <w:hyperlink r:id="rId118" w:history="1">
        <w:r w:rsidRPr="00FC6D7F">
          <w:rPr>
            <w:lang w:val="pl-PL"/>
          </w:rPr>
          <w:t>C-817/19</w:t>
        </w:r>
      </w:hyperlink>
      <w:r w:rsidRPr="00FC6D7F">
        <w:rPr>
          <w:lang w:val="pl-PL"/>
        </w:rPr>
        <w:t xml:space="preserve">, EU:C:2022:491, </w:t>
      </w:r>
      <w:r w:rsidRPr="00D55672">
        <w:rPr>
          <w:lang w:val="pl-PL"/>
        </w:rPr>
        <w:t>pkt</w:t>
      </w:r>
      <w:r w:rsidR="00D55672" w:rsidRPr="00D55672">
        <w:rPr>
          <w:lang w:val="pl-PL"/>
        </w:rPr>
        <w:t> </w:t>
      </w:r>
      <w:r w:rsidRPr="00D55672">
        <w:rPr>
          <w:lang w:val="pl-PL"/>
        </w:rPr>
        <w:t>2</w:t>
      </w:r>
      <w:r w:rsidRPr="00FC6D7F">
        <w:rPr>
          <w:lang w:val="pl-PL"/>
        </w:rPr>
        <w:t>70–291.</w:t>
      </w:r>
    </w:p>
  </w:footnote>
  <w:footnote w:id="132">
    <w:p w14:paraId="14DD9209" w14:textId="321CB28E" w:rsidR="003667F7" w:rsidRPr="00FC6D7F" w:rsidRDefault="003667F7" w:rsidP="0051621F">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r>
      <w:bookmarkStart w:id="10" w:name="_Hlk151034812"/>
      <w:r w:rsidRPr="00FC6D7F">
        <w:rPr>
          <w:lang w:val="pl-PL"/>
        </w:rPr>
        <w:t>Wyrok Trybunału (wielka izba)</w:t>
      </w:r>
      <w:r w:rsidR="00D55672" w:rsidRPr="00FC6D7F">
        <w:rPr>
          <w:lang w:val="pl-PL"/>
        </w:rPr>
        <w:t xml:space="preserve"> z</w:t>
      </w:r>
      <w:r w:rsidR="00D55672">
        <w:rPr>
          <w:lang w:val="pl-PL"/>
        </w:rPr>
        <w:t> </w:t>
      </w:r>
      <w:r w:rsidR="00D55672" w:rsidRPr="00FC6D7F">
        <w:rPr>
          <w:lang w:val="pl-PL"/>
        </w:rPr>
        <w:t>dni</w:t>
      </w:r>
      <w:r w:rsidRPr="00FC6D7F">
        <w:rPr>
          <w:lang w:val="pl-PL"/>
        </w:rPr>
        <w:t>a 21 czerwca 20</w:t>
      </w:r>
      <w:r w:rsidRPr="00D55672">
        <w:rPr>
          <w:lang w:val="pl-PL"/>
        </w:rPr>
        <w:t>22</w:t>
      </w:r>
      <w:r w:rsidR="00D55672" w:rsidRPr="00D55672">
        <w:rPr>
          <w:lang w:val="pl-PL"/>
        </w:rPr>
        <w:t> </w:t>
      </w:r>
      <w:r w:rsidRPr="00D55672">
        <w:rPr>
          <w:lang w:val="pl-PL"/>
        </w:rPr>
        <w:t>r.</w:t>
      </w:r>
      <w:r w:rsidRPr="00FC6D7F">
        <w:rPr>
          <w:lang w:val="pl-PL"/>
        </w:rPr>
        <w:t xml:space="preserve">, Ligue des droits humains, </w:t>
      </w:r>
      <w:hyperlink r:id="rId119" w:history="1">
        <w:r w:rsidRPr="00FC6D7F">
          <w:rPr>
            <w:lang w:val="pl-PL"/>
          </w:rPr>
          <w:t>C-817/19</w:t>
        </w:r>
      </w:hyperlink>
      <w:r w:rsidRPr="00FC6D7F">
        <w:rPr>
          <w:lang w:val="pl-PL"/>
        </w:rPr>
        <w:t xml:space="preserve">, EU:C:2022:491, </w:t>
      </w:r>
      <w:r w:rsidRPr="00D55672">
        <w:rPr>
          <w:lang w:val="pl-PL"/>
        </w:rPr>
        <w:t>pkt</w:t>
      </w:r>
      <w:r w:rsidR="00D55672" w:rsidRPr="00D55672">
        <w:rPr>
          <w:lang w:val="pl-PL"/>
        </w:rPr>
        <w:t> </w:t>
      </w:r>
      <w:r w:rsidRPr="00D55672">
        <w:rPr>
          <w:lang w:val="pl-PL"/>
        </w:rPr>
        <w:t>2</w:t>
      </w:r>
      <w:r w:rsidRPr="00FC6D7F">
        <w:rPr>
          <w:lang w:val="pl-PL"/>
        </w:rPr>
        <w:t>70–291.</w:t>
      </w:r>
    </w:p>
    <w:bookmarkEnd w:id="10"/>
  </w:footnote>
  <w:footnote w:id="133">
    <w:p w14:paraId="1338195F" w14:textId="40EC5E44" w:rsidR="003667F7" w:rsidRPr="00FC6D7F" w:rsidRDefault="003667F7" w:rsidP="003667F7">
      <w:pPr>
        <w:pStyle w:val="FootnoteText"/>
        <w:ind w:left="357" w:hanging="357"/>
        <w:rPr>
          <w:lang w:val="pl-PL"/>
        </w:rPr>
      </w:pPr>
      <w:r>
        <w:rPr>
          <w:rStyle w:val="FootnoteReference"/>
        </w:rPr>
        <w:footnoteRef/>
      </w:r>
      <w:r w:rsidRPr="00FC6D7F">
        <w:rPr>
          <w:lang w:val="pl-PL"/>
        </w:rPr>
        <w:t xml:space="preserve"> </w:t>
      </w:r>
      <w:r w:rsidRPr="00FC6D7F">
        <w:rPr>
          <w:lang w:val="pl-PL"/>
        </w:rPr>
        <w:tab/>
        <w:t>Wyrok Sądu (dziesiąta izba)</w:t>
      </w:r>
      <w:r w:rsidR="00D55672" w:rsidRPr="00FC6D7F">
        <w:rPr>
          <w:lang w:val="pl-PL"/>
        </w:rPr>
        <w:t xml:space="preserve"> z</w:t>
      </w:r>
      <w:r w:rsidR="00D55672">
        <w:rPr>
          <w:lang w:val="pl-PL"/>
        </w:rPr>
        <w:t> </w:t>
      </w:r>
      <w:r w:rsidR="00D55672" w:rsidRPr="00FC6D7F">
        <w:rPr>
          <w:lang w:val="pl-PL"/>
        </w:rPr>
        <w:t>dni</w:t>
      </w:r>
      <w:r w:rsidRPr="00FC6D7F">
        <w:rPr>
          <w:lang w:val="pl-PL"/>
        </w:rPr>
        <w:t>a 10 listopada 20</w:t>
      </w:r>
      <w:r w:rsidRPr="00D55672">
        <w:rPr>
          <w:lang w:val="pl-PL"/>
        </w:rPr>
        <w:t>21</w:t>
      </w:r>
      <w:r w:rsidR="00D55672" w:rsidRPr="00D55672">
        <w:rPr>
          <w:lang w:val="pl-PL"/>
        </w:rPr>
        <w:t> </w:t>
      </w:r>
      <w:r w:rsidRPr="00D55672">
        <w:rPr>
          <w:lang w:val="pl-PL"/>
        </w:rPr>
        <w:t>r.</w:t>
      </w:r>
      <w:r w:rsidRPr="00FC6D7F">
        <w:rPr>
          <w:lang w:val="pl-PL"/>
        </w:rPr>
        <w:t>, Rumunia/Komisja Europejska,</w:t>
      </w:r>
      <w:hyperlink r:id="rId120" w:history="1">
        <w:r w:rsidRPr="00FC6D7F">
          <w:rPr>
            <w:rStyle w:val="Hyperlink"/>
            <w:lang w:val="pl-PL"/>
          </w:rPr>
          <w:t>(T-495/19</w:t>
        </w:r>
      </w:hyperlink>
      <w:r w:rsidRPr="00FC6D7F">
        <w:rPr>
          <w:lang w:val="pl-PL"/>
        </w:rPr>
        <w:t>, odwołanie</w:t>
      </w:r>
      <w:r w:rsidR="00D55672" w:rsidRPr="00FC6D7F">
        <w:rPr>
          <w:lang w:val="pl-PL"/>
        </w:rPr>
        <w:t xml:space="preserve"> w</w:t>
      </w:r>
      <w:r w:rsidR="00D55672">
        <w:rPr>
          <w:lang w:val="pl-PL"/>
        </w:rPr>
        <w:t> </w:t>
      </w:r>
      <w:r w:rsidR="00D55672" w:rsidRPr="00FC6D7F">
        <w:rPr>
          <w:lang w:val="pl-PL"/>
        </w:rPr>
        <w:t>tok</w:t>
      </w:r>
      <w:r w:rsidRPr="00FC6D7F">
        <w:rPr>
          <w:lang w:val="pl-PL"/>
        </w:rPr>
        <w:t>u, EU:T:2021:781).</w:t>
      </w:r>
    </w:p>
  </w:footnote>
  <w:footnote w:id="134">
    <w:p w14:paraId="6A320A88" w14:textId="294F5CB0" w:rsidR="003667F7" w:rsidRPr="00FC6D7F" w:rsidRDefault="003667F7" w:rsidP="003A69F0">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Decyzja Komisji C(2013) 4975 final</w:t>
      </w:r>
      <w:r w:rsidR="00D55672" w:rsidRPr="00FC6D7F">
        <w:rPr>
          <w:lang w:val="pl-PL"/>
        </w:rPr>
        <w:t xml:space="preserve"> z</w:t>
      </w:r>
      <w:r w:rsidR="00D55672">
        <w:rPr>
          <w:lang w:val="pl-PL"/>
        </w:rPr>
        <w:t> </w:t>
      </w:r>
      <w:r w:rsidR="00D55672" w:rsidRPr="00FC6D7F">
        <w:rPr>
          <w:lang w:val="pl-PL"/>
        </w:rPr>
        <w:t>dni</w:t>
      </w:r>
      <w:r w:rsidRPr="00FC6D7F">
        <w:rPr>
          <w:lang w:val="pl-PL"/>
        </w:rPr>
        <w:t>a 25 lipca 20</w:t>
      </w:r>
      <w:r w:rsidRPr="00D55672">
        <w:rPr>
          <w:lang w:val="pl-PL"/>
        </w:rPr>
        <w:t>13</w:t>
      </w:r>
      <w:r w:rsidR="00D55672" w:rsidRPr="00D55672">
        <w:rPr>
          <w:lang w:val="pl-PL"/>
        </w:rPr>
        <w:t> </w:t>
      </w:r>
      <w:r w:rsidRPr="00D55672">
        <w:rPr>
          <w:lang w:val="pl-PL"/>
        </w:rPr>
        <w:t>r.</w:t>
      </w:r>
      <w:r w:rsidR="00D55672" w:rsidRPr="00FC6D7F">
        <w:rPr>
          <w:lang w:val="pl-PL"/>
        </w:rPr>
        <w:t xml:space="preserve"> o</w:t>
      </w:r>
      <w:r w:rsidR="00D55672">
        <w:rPr>
          <w:lang w:val="pl-PL"/>
        </w:rPr>
        <w:t> </w:t>
      </w:r>
      <w:r w:rsidR="00D55672" w:rsidRPr="00FC6D7F">
        <w:rPr>
          <w:lang w:val="pl-PL"/>
        </w:rPr>
        <w:t>odm</w:t>
      </w:r>
      <w:r w:rsidRPr="00FC6D7F">
        <w:rPr>
          <w:lang w:val="pl-PL"/>
        </w:rPr>
        <w:t>owie zarejestrowania proponowanej inicjatywy obywatelskiej „Polityka spójności</w:t>
      </w:r>
      <w:r w:rsidR="00D55672" w:rsidRPr="00FC6D7F">
        <w:rPr>
          <w:lang w:val="pl-PL"/>
        </w:rPr>
        <w:t xml:space="preserve"> w</w:t>
      </w:r>
      <w:r w:rsidR="00D55672">
        <w:rPr>
          <w:lang w:val="pl-PL"/>
        </w:rPr>
        <w:t> </w:t>
      </w:r>
      <w:r w:rsidR="00D55672" w:rsidRPr="00FC6D7F">
        <w:rPr>
          <w:lang w:val="pl-PL"/>
        </w:rPr>
        <w:t>reg</w:t>
      </w:r>
      <w:r w:rsidRPr="00FC6D7F">
        <w:rPr>
          <w:lang w:val="pl-PL"/>
        </w:rPr>
        <w:t>ionie na rzecz równości</w:t>
      </w:r>
      <w:r w:rsidR="00D55672" w:rsidRPr="00FC6D7F">
        <w:rPr>
          <w:lang w:val="pl-PL"/>
        </w:rPr>
        <w:t xml:space="preserve"> i</w:t>
      </w:r>
      <w:r w:rsidR="00D55672">
        <w:rPr>
          <w:lang w:val="pl-PL"/>
        </w:rPr>
        <w:t> </w:t>
      </w:r>
      <w:r w:rsidR="00D55672" w:rsidRPr="00FC6D7F">
        <w:rPr>
          <w:lang w:val="pl-PL"/>
        </w:rPr>
        <w:t>zac</w:t>
      </w:r>
      <w:r w:rsidRPr="00FC6D7F">
        <w:rPr>
          <w:lang w:val="pl-PL"/>
        </w:rPr>
        <w:t>howania kultury regionu”.</w:t>
      </w:r>
    </w:p>
  </w:footnote>
  <w:footnote w:id="135">
    <w:p w14:paraId="1CCAE604" w14:textId="4A20CB94" w:rsidR="003667F7" w:rsidRPr="00FC6D7F" w:rsidRDefault="003667F7" w:rsidP="003A69F0">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w:t>
      </w:r>
      <w:r w:rsidR="00D55672" w:rsidRPr="00FC6D7F">
        <w:rPr>
          <w:lang w:val="pl-PL"/>
        </w:rPr>
        <w:t xml:space="preserve"> z</w:t>
      </w:r>
      <w:r w:rsidR="00D55672">
        <w:rPr>
          <w:lang w:val="pl-PL"/>
        </w:rPr>
        <w:t> </w:t>
      </w:r>
      <w:r w:rsidR="00D55672" w:rsidRPr="00FC6D7F">
        <w:rPr>
          <w:lang w:val="pl-PL"/>
        </w:rPr>
        <w:t>dni</w:t>
      </w:r>
      <w:r w:rsidRPr="00FC6D7F">
        <w:rPr>
          <w:lang w:val="pl-PL"/>
        </w:rPr>
        <w:t>a 10 maja 20</w:t>
      </w:r>
      <w:r w:rsidRPr="00D55672">
        <w:rPr>
          <w:lang w:val="pl-PL"/>
        </w:rPr>
        <w:t>16</w:t>
      </w:r>
      <w:r w:rsidR="00D55672" w:rsidRPr="00D55672">
        <w:rPr>
          <w:lang w:val="pl-PL"/>
        </w:rPr>
        <w:t> </w:t>
      </w:r>
      <w:r w:rsidRPr="00D55672">
        <w:rPr>
          <w:lang w:val="pl-PL"/>
        </w:rPr>
        <w:t>r.</w:t>
      </w:r>
      <w:r w:rsidRPr="00FC6D7F">
        <w:rPr>
          <w:lang w:val="pl-PL"/>
        </w:rPr>
        <w:t>, Izsák</w:t>
      </w:r>
      <w:r w:rsidR="00D55672" w:rsidRPr="00FC6D7F">
        <w:rPr>
          <w:lang w:val="pl-PL"/>
        </w:rPr>
        <w:t xml:space="preserve"> i</w:t>
      </w:r>
      <w:r w:rsidR="00D55672">
        <w:rPr>
          <w:lang w:val="pl-PL"/>
        </w:rPr>
        <w:t> </w:t>
      </w:r>
      <w:r w:rsidR="00D55672" w:rsidRPr="00FC6D7F">
        <w:rPr>
          <w:lang w:val="pl-PL"/>
        </w:rPr>
        <w:t>Dab</w:t>
      </w:r>
      <w:r w:rsidRPr="00FC6D7F">
        <w:rPr>
          <w:lang w:val="pl-PL"/>
        </w:rPr>
        <w:t>is/Komisja (T-529/13, EU:T:2016:282).</w:t>
      </w:r>
    </w:p>
  </w:footnote>
  <w:footnote w:id="136">
    <w:p w14:paraId="2EE6DC6E" w14:textId="1BCDB4BE" w:rsidR="003667F7" w:rsidRPr="00FC6D7F" w:rsidRDefault="003667F7" w:rsidP="003A69F0">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Wyrok</w:t>
      </w:r>
      <w:r w:rsidR="00D55672" w:rsidRPr="00FC6D7F">
        <w:rPr>
          <w:lang w:val="pl-PL"/>
        </w:rPr>
        <w:t xml:space="preserve"> z</w:t>
      </w:r>
      <w:r w:rsidR="00D55672">
        <w:rPr>
          <w:lang w:val="pl-PL"/>
        </w:rPr>
        <w:t> </w:t>
      </w:r>
      <w:r w:rsidR="00D55672" w:rsidRPr="00FC6D7F">
        <w:rPr>
          <w:lang w:val="pl-PL"/>
        </w:rPr>
        <w:t>dni</w:t>
      </w:r>
      <w:r w:rsidRPr="00FC6D7F">
        <w:rPr>
          <w:lang w:val="pl-PL"/>
        </w:rPr>
        <w:t>a 7 marca 20</w:t>
      </w:r>
      <w:r w:rsidRPr="00D55672">
        <w:rPr>
          <w:lang w:val="pl-PL"/>
        </w:rPr>
        <w:t>19</w:t>
      </w:r>
      <w:r w:rsidR="00D55672" w:rsidRPr="00D55672">
        <w:rPr>
          <w:lang w:val="pl-PL"/>
        </w:rPr>
        <w:t> </w:t>
      </w:r>
      <w:r w:rsidRPr="00D55672">
        <w:rPr>
          <w:lang w:val="pl-PL"/>
        </w:rPr>
        <w:t>r.</w:t>
      </w:r>
      <w:r w:rsidRPr="00FC6D7F">
        <w:rPr>
          <w:lang w:val="pl-PL"/>
        </w:rPr>
        <w:t>, Izsák</w:t>
      </w:r>
      <w:r w:rsidR="00D55672" w:rsidRPr="00FC6D7F">
        <w:rPr>
          <w:lang w:val="pl-PL"/>
        </w:rPr>
        <w:t xml:space="preserve"> i</w:t>
      </w:r>
      <w:r w:rsidR="00D55672">
        <w:rPr>
          <w:lang w:val="pl-PL"/>
        </w:rPr>
        <w:t> </w:t>
      </w:r>
      <w:r w:rsidR="00D55672" w:rsidRPr="00FC6D7F">
        <w:rPr>
          <w:lang w:val="pl-PL"/>
        </w:rPr>
        <w:t>Dab</w:t>
      </w:r>
      <w:r w:rsidRPr="00FC6D7F">
        <w:rPr>
          <w:lang w:val="pl-PL"/>
        </w:rPr>
        <w:t>is/Komisja (C-420/16 P, EU:C:2019:177).</w:t>
      </w:r>
    </w:p>
  </w:footnote>
  <w:footnote w:id="137">
    <w:p w14:paraId="69A32B8B" w14:textId="77364271" w:rsidR="003667F7" w:rsidRPr="00FC6D7F" w:rsidRDefault="003667F7" w:rsidP="003A69F0">
      <w:pPr>
        <w:pStyle w:val="FootnoteText"/>
        <w:ind w:left="357" w:hanging="357"/>
        <w:jc w:val="both"/>
        <w:rPr>
          <w:lang w:val="pl-PL"/>
        </w:rPr>
      </w:pPr>
      <w:r>
        <w:rPr>
          <w:rStyle w:val="FootnoteReference"/>
        </w:rPr>
        <w:footnoteRef/>
      </w:r>
      <w:r w:rsidRPr="00FC6D7F">
        <w:rPr>
          <w:lang w:val="pl-PL"/>
        </w:rPr>
        <w:t xml:space="preserve"> </w:t>
      </w:r>
      <w:r w:rsidRPr="00FC6D7F">
        <w:rPr>
          <w:lang w:val="pl-PL"/>
        </w:rPr>
        <w:tab/>
        <w:t>Decyzja Komisji (UE) 2019/721</w:t>
      </w:r>
      <w:r w:rsidR="00D55672" w:rsidRPr="00FC6D7F">
        <w:rPr>
          <w:lang w:val="pl-PL"/>
        </w:rPr>
        <w:t xml:space="preserve"> z</w:t>
      </w:r>
      <w:r w:rsidR="00D55672">
        <w:rPr>
          <w:lang w:val="pl-PL"/>
        </w:rPr>
        <w:t> </w:t>
      </w:r>
      <w:r w:rsidR="00D55672" w:rsidRPr="00FC6D7F">
        <w:rPr>
          <w:lang w:val="pl-PL"/>
        </w:rPr>
        <w:t>dni</w:t>
      </w:r>
      <w:r w:rsidRPr="00FC6D7F">
        <w:rPr>
          <w:lang w:val="pl-PL"/>
        </w:rPr>
        <w:t>a 30 kwietnia 20</w:t>
      </w:r>
      <w:r w:rsidRPr="00D55672">
        <w:rPr>
          <w:lang w:val="pl-PL"/>
        </w:rPr>
        <w:t>19</w:t>
      </w:r>
      <w:r w:rsidR="00D55672" w:rsidRPr="00D55672">
        <w:rPr>
          <w:lang w:val="pl-PL"/>
        </w:rPr>
        <w:t> </w:t>
      </w:r>
      <w:r w:rsidRPr="00D55672">
        <w:rPr>
          <w:lang w:val="pl-PL"/>
        </w:rPr>
        <w:t>r.</w:t>
      </w:r>
      <w:r w:rsidR="00D55672" w:rsidRPr="00FC6D7F">
        <w:rPr>
          <w:lang w:val="pl-PL"/>
        </w:rPr>
        <w:t xml:space="preserve"> w</w:t>
      </w:r>
      <w:r w:rsidR="00D55672">
        <w:rPr>
          <w:lang w:val="pl-PL"/>
        </w:rPr>
        <w:t> </w:t>
      </w:r>
      <w:r w:rsidR="00D55672" w:rsidRPr="00FC6D7F">
        <w:rPr>
          <w:lang w:val="pl-PL"/>
        </w:rPr>
        <w:t>spr</w:t>
      </w:r>
      <w:r w:rsidRPr="00FC6D7F">
        <w:rPr>
          <w:lang w:val="pl-PL"/>
        </w:rPr>
        <w:t>awie proponowanej inicjatywy obywatelskiej „Polityka spójności</w:t>
      </w:r>
      <w:r w:rsidR="00D55672" w:rsidRPr="00FC6D7F">
        <w:rPr>
          <w:lang w:val="pl-PL"/>
        </w:rPr>
        <w:t xml:space="preserve"> w</w:t>
      </w:r>
      <w:r w:rsidR="00D55672">
        <w:rPr>
          <w:lang w:val="pl-PL"/>
        </w:rPr>
        <w:t> </w:t>
      </w:r>
      <w:r w:rsidR="00D55672" w:rsidRPr="00FC6D7F">
        <w:rPr>
          <w:lang w:val="pl-PL"/>
        </w:rPr>
        <w:t>reg</w:t>
      </w:r>
      <w:r w:rsidRPr="00FC6D7F">
        <w:rPr>
          <w:lang w:val="pl-PL"/>
        </w:rPr>
        <w:t>ionie na rzecz równości</w:t>
      </w:r>
      <w:r w:rsidR="00D55672" w:rsidRPr="00FC6D7F">
        <w:rPr>
          <w:lang w:val="pl-PL"/>
        </w:rPr>
        <w:t xml:space="preserve"> i</w:t>
      </w:r>
      <w:r w:rsidR="00D55672">
        <w:rPr>
          <w:lang w:val="pl-PL"/>
        </w:rPr>
        <w:t> </w:t>
      </w:r>
      <w:r w:rsidR="00D55672" w:rsidRPr="00FC6D7F">
        <w:rPr>
          <w:lang w:val="pl-PL"/>
        </w:rPr>
        <w:t>zac</w:t>
      </w:r>
      <w:r w:rsidRPr="00FC6D7F">
        <w:rPr>
          <w:lang w:val="pl-PL"/>
        </w:rPr>
        <w:t>howania kultury regionu” (</w:t>
      </w:r>
      <w:r w:rsidRPr="00FC6D7F">
        <w:rPr>
          <w:i/>
          <w:lang w:val="pl-PL"/>
        </w:rPr>
        <w:t>(Dz.U. 2019, L 122, s. 55</w:t>
      </w:r>
      <w:r w:rsidRPr="00FC6D7F">
        <w:rPr>
          <w:lang w:val="pl-PL"/>
        </w:rPr>
        <w:t>; „zaskarżona decyzja”).</w:t>
      </w:r>
    </w:p>
  </w:footnote>
  <w:footnote w:id="138">
    <w:p w14:paraId="33CA6D8E" w14:textId="546FEDA4" w:rsidR="003667F7" w:rsidRPr="0023008D" w:rsidRDefault="003667F7" w:rsidP="003A69F0">
      <w:pPr>
        <w:pStyle w:val="FootnoteText"/>
        <w:ind w:left="357" w:hanging="357"/>
        <w:jc w:val="both"/>
      </w:pPr>
      <w:r>
        <w:rPr>
          <w:rStyle w:val="FootnoteReference"/>
        </w:rPr>
        <w:footnoteRef/>
      </w:r>
      <w:r>
        <w:t xml:space="preserve"> </w:t>
      </w:r>
      <w:r>
        <w:tab/>
        <w:t>Wyrok Sądu (ósma izba)</w:t>
      </w:r>
      <w:r w:rsidR="00D55672">
        <w:t xml:space="preserve"> z dni</w:t>
      </w:r>
      <w:r>
        <w:t>a 9 listopada 20</w:t>
      </w:r>
      <w:r w:rsidRPr="00D55672">
        <w:rPr>
          <w:lang w:val="pl-PL"/>
        </w:rPr>
        <w:t>22</w:t>
      </w:r>
      <w:r w:rsidR="00D55672" w:rsidRPr="00D55672">
        <w:rPr>
          <w:lang w:val="pl-PL"/>
        </w:rPr>
        <w:t> </w:t>
      </w:r>
      <w:r w:rsidRPr="00D55672">
        <w:rPr>
          <w:lang w:val="pl-PL"/>
        </w:rPr>
        <w:t>r.</w:t>
      </w:r>
      <w:r>
        <w:t xml:space="preserve">, Citizens’ Committee of the European Citizens’ Initiative „Minority SafePack – one million signatures for diversity in Europe”/Komisja Europejska, </w:t>
      </w:r>
      <w:hyperlink r:id="rId121" w:history="1">
        <w:r>
          <w:rPr>
            <w:rStyle w:val="Hyperlink"/>
          </w:rPr>
          <w:t>T-158/21</w:t>
        </w:r>
      </w:hyperlink>
      <w:r>
        <w:t>, odwołanie</w:t>
      </w:r>
      <w:r w:rsidR="00D55672">
        <w:t xml:space="preserve"> w tok</w:t>
      </w:r>
      <w:r>
        <w:t>u, EU:T:2022:696.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BF7A2" w14:textId="77777777" w:rsidR="00ED04BF" w:rsidRPr="00ED04BF" w:rsidRDefault="00ED04BF" w:rsidP="00ED04BF">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B1BD9" w14:textId="77777777" w:rsidR="00ED04BF" w:rsidRPr="00ED04BF" w:rsidRDefault="00ED04BF" w:rsidP="00ED04B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4E94F" w14:textId="77777777" w:rsidR="00ED04BF" w:rsidRPr="00ED04BF" w:rsidRDefault="00ED04BF" w:rsidP="00ED04B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C767" w14:textId="77777777" w:rsidR="00C05C83" w:rsidRDefault="00C05C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D1EF" w14:textId="77777777" w:rsidR="00C05C83" w:rsidRDefault="00C05C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BF59" w14:textId="77777777" w:rsidR="00C05C83" w:rsidRDefault="00C05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01B"/>
    <w:multiLevelType w:val="hybridMultilevel"/>
    <w:tmpl w:val="753CF30C"/>
    <w:lvl w:ilvl="0" w:tplc="1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527460"/>
    <w:multiLevelType w:val="hybridMultilevel"/>
    <w:tmpl w:val="CDE0BA9E"/>
    <w:lvl w:ilvl="0" w:tplc="C010E038">
      <w:start w:val="1"/>
      <w:numFmt w:val="decimal"/>
      <w:lvlText w:val="%1."/>
      <w:lvlJc w:val="left"/>
      <w:pPr>
        <w:ind w:left="1440" w:hanging="360"/>
      </w:pPr>
    </w:lvl>
    <w:lvl w:ilvl="1" w:tplc="62F27650">
      <w:start w:val="1"/>
      <w:numFmt w:val="decimal"/>
      <w:lvlText w:val="%2."/>
      <w:lvlJc w:val="left"/>
      <w:pPr>
        <w:ind w:left="1440" w:hanging="360"/>
      </w:pPr>
    </w:lvl>
    <w:lvl w:ilvl="2" w:tplc="536264EE">
      <w:start w:val="1"/>
      <w:numFmt w:val="decimal"/>
      <w:lvlText w:val="%3."/>
      <w:lvlJc w:val="left"/>
      <w:pPr>
        <w:ind w:left="1440" w:hanging="360"/>
      </w:pPr>
    </w:lvl>
    <w:lvl w:ilvl="3" w:tplc="91E8FB9A">
      <w:start w:val="1"/>
      <w:numFmt w:val="decimal"/>
      <w:lvlText w:val="%4."/>
      <w:lvlJc w:val="left"/>
      <w:pPr>
        <w:ind w:left="1440" w:hanging="360"/>
      </w:pPr>
    </w:lvl>
    <w:lvl w:ilvl="4" w:tplc="E48A0248">
      <w:start w:val="1"/>
      <w:numFmt w:val="decimal"/>
      <w:lvlText w:val="%5."/>
      <w:lvlJc w:val="left"/>
      <w:pPr>
        <w:ind w:left="1440" w:hanging="360"/>
      </w:pPr>
    </w:lvl>
    <w:lvl w:ilvl="5" w:tplc="E886E64C">
      <w:start w:val="1"/>
      <w:numFmt w:val="decimal"/>
      <w:lvlText w:val="%6."/>
      <w:lvlJc w:val="left"/>
      <w:pPr>
        <w:ind w:left="1440" w:hanging="360"/>
      </w:pPr>
    </w:lvl>
    <w:lvl w:ilvl="6" w:tplc="925422EA">
      <w:start w:val="1"/>
      <w:numFmt w:val="decimal"/>
      <w:lvlText w:val="%7."/>
      <w:lvlJc w:val="left"/>
      <w:pPr>
        <w:ind w:left="1440" w:hanging="360"/>
      </w:pPr>
    </w:lvl>
    <w:lvl w:ilvl="7" w:tplc="D9C6184C">
      <w:start w:val="1"/>
      <w:numFmt w:val="decimal"/>
      <w:lvlText w:val="%8."/>
      <w:lvlJc w:val="left"/>
      <w:pPr>
        <w:ind w:left="1440" w:hanging="360"/>
      </w:pPr>
    </w:lvl>
    <w:lvl w:ilvl="8" w:tplc="70D64630">
      <w:start w:val="1"/>
      <w:numFmt w:val="decimal"/>
      <w:lvlText w:val="%9."/>
      <w:lvlJc w:val="left"/>
      <w:pPr>
        <w:ind w:left="1440" w:hanging="360"/>
      </w:pPr>
    </w:lvl>
  </w:abstractNum>
  <w:abstractNum w:abstractNumId="2" w15:restartNumberingAfterBreak="0">
    <w:nsid w:val="0FF56C7A"/>
    <w:multiLevelType w:val="hybridMultilevel"/>
    <w:tmpl w:val="4B0678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F9014C"/>
    <w:multiLevelType w:val="hybridMultilevel"/>
    <w:tmpl w:val="D5EA3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BA46BD"/>
    <w:multiLevelType w:val="hybridMultilevel"/>
    <w:tmpl w:val="14C885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7AE6DC0"/>
    <w:multiLevelType w:val="multilevel"/>
    <w:tmpl w:val="449A158E"/>
    <w:lvl w:ilvl="0">
      <w:start w:val="1"/>
      <w:numFmt w:val="decimal"/>
      <w:pStyle w:val="Heading1"/>
      <w:lvlText w:val="%1."/>
      <w:lvlJc w:val="left"/>
      <w:pPr>
        <w:ind w:left="1294" w:hanging="432"/>
      </w:pPr>
      <w:rPr>
        <w:rFonts w:hint="default"/>
      </w:rPr>
    </w:lvl>
    <w:lvl w:ilvl="1">
      <w:start w:val="1"/>
      <w:numFmt w:val="decimal"/>
      <w:pStyle w:val="Heading2"/>
      <w:lvlText w:val="%1.%2."/>
      <w:lvlJc w:val="left"/>
      <w:pPr>
        <w:ind w:left="3978" w:hanging="576"/>
      </w:pPr>
      <w:rPr>
        <w:rFonts w:hint="default"/>
      </w:rPr>
    </w:lvl>
    <w:lvl w:ilvl="2">
      <w:start w:val="1"/>
      <w:numFmt w:val="decimal"/>
      <w:pStyle w:val="Heading3"/>
      <w:lvlText w:val="%1.%2.%3."/>
      <w:lvlJc w:val="left"/>
      <w:pPr>
        <w:ind w:left="3850" w:hanging="720"/>
      </w:pPr>
      <w:rPr>
        <w:rFonts w:hint="default"/>
      </w:rPr>
    </w:lvl>
    <w:lvl w:ilvl="3">
      <w:start w:val="1"/>
      <w:numFmt w:val="decimal"/>
      <w:pStyle w:val="Heading4"/>
      <w:lvlText w:val="%1.%2.%3.%4."/>
      <w:lvlJc w:val="left"/>
      <w:pPr>
        <w:ind w:left="1726" w:hanging="864"/>
      </w:pPr>
      <w:rPr>
        <w:rFonts w:hint="default"/>
      </w:rPr>
    </w:lvl>
    <w:lvl w:ilvl="4">
      <w:start w:val="1"/>
      <w:numFmt w:val="decimal"/>
      <w:pStyle w:val="Heading5"/>
      <w:lvlText w:val="%1.%2.%3.%4.%5"/>
      <w:lvlJc w:val="left"/>
      <w:pPr>
        <w:ind w:left="1870" w:hanging="1008"/>
      </w:pPr>
      <w:rPr>
        <w:rFonts w:hint="default"/>
      </w:rPr>
    </w:lvl>
    <w:lvl w:ilvl="5">
      <w:start w:val="1"/>
      <w:numFmt w:val="decimal"/>
      <w:pStyle w:val="Heading6"/>
      <w:lvlText w:val="%1.%2.%3.%4.%5.%6"/>
      <w:lvlJc w:val="left"/>
      <w:pPr>
        <w:ind w:left="2014" w:hanging="1152"/>
      </w:pPr>
      <w:rPr>
        <w:rFonts w:hint="default"/>
      </w:rPr>
    </w:lvl>
    <w:lvl w:ilvl="6">
      <w:start w:val="1"/>
      <w:numFmt w:val="decimal"/>
      <w:pStyle w:val="Heading7"/>
      <w:lvlText w:val="%1.%2.%3.%4.%5.%6.%7"/>
      <w:lvlJc w:val="left"/>
      <w:pPr>
        <w:ind w:left="2158" w:hanging="1296"/>
      </w:pPr>
      <w:rPr>
        <w:rFonts w:hint="default"/>
      </w:rPr>
    </w:lvl>
    <w:lvl w:ilvl="7">
      <w:start w:val="1"/>
      <w:numFmt w:val="decimal"/>
      <w:pStyle w:val="Heading8"/>
      <w:lvlText w:val="%1.%2.%3.%4.%5.%6.%7.%8"/>
      <w:lvlJc w:val="left"/>
      <w:pPr>
        <w:ind w:left="2302" w:hanging="1440"/>
      </w:pPr>
      <w:rPr>
        <w:rFonts w:hint="default"/>
      </w:rPr>
    </w:lvl>
    <w:lvl w:ilvl="8">
      <w:start w:val="1"/>
      <w:numFmt w:val="decimal"/>
      <w:pStyle w:val="Heading9"/>
      <w:lvlText w:val="%1.%2.%3.%4.%5.%6.%7.%8.%9"/>
      <w:lvlJc w:val="left"/>
      <w:pPr>
        <w:ind w:left="2446" w:hanging="1584"/>
      </w:pPr>
      <w:rPr>
        <w:rFonts w:hint="default"/>
      </w:rPr>
    </w:lvl>
  </w:abstractNum>
  <w:abstractNum w:abstractNumId="6" w15:restartNumberingAfterBreak="0">
    <w:nsid w:val="315D7082"/>
    <w:multiLevelType w:val="hybridMultilevel"/>
    <w:tmpl w:val="08781E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9D42D01"/>
    <w:multiLevelType w:val="hybridMultilevel"/>
    <w:tmpl w:val="9F949B58"/>
    <w:lvl w:ilvl="0" w:tplc="EC727A88">
      <w:start w:val="2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2E5A92"/>
    <w:multiLevelType w:val="hybridMultilevel"/>
    <w:tmpl w:val="B1B87A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5E522E1"/>
    <w:multiLevelType w:val="hybridMultilevel"/>
    <w:tmpl w:val="89865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F94A0D"/>
    <w:multiLevelType w:val="hybridMultilevel"/>
    <w:tmpl w:val="15BA0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2453651"/>
    <w:multiLevelType w:val="hybridMultilevel"/>
    <w:tmpl w:val="96F82EE2"/>
    <w:lvl w:ilvl="0" w:tplc="E6A62C10">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F2E08AA"/>
    <w:multiLevelType w:val="hybridMultilevel"/>
    <w:tmpl w:val="891EDD6E"/>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3F7BD3"/>
    <w:multiLevelType w:val="hybridMultilevel"/>
    <w:tmpl w:val="2C669A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D305B75"/>
    <w:multiLevelType w:val="hybridMultilevel"/>
    <w:tmpl w:val="C9A66284"/>
    <w:lvl w:ilvl="0" w:tplc="18090001">
      <w:start w:val="1"/>
      <w:numFmt w:val="bullet"/>
      <w:lvlText w:val=""/>
      <w:lvlJc w:val="left"/>
      <w:pPr>
        <w:ind w:left="6" w:hanging="360"/>
      </w:pPr>
      <w:rPr>
        <w:rFonts w:ascii="Symbol" w:hAnsi="Symbol" w:hint="default"/>
      </w:rPr>
    </w:lvl>
    <w:lvl w:ilvl="1" w:tplc="18090003" w:tentative="1">
      <w:start w:val="1"/>
      <w:numFmt w:val="bullet"/>
      <w:lvlText w:val="o"/>
      <w:lvlJc w:val="left"/>
      <w:pPr>
        <w:ind w:left="726" w:hanging="360"/>
      </w:pPr>
      <w:rPr>
        <w:rFonts w:ascii="Courier New" w:hAnsi="Courier New" w:cs="Courier New" w:hint="default"/>
      </w:rPr>
    </w:lvl>
    <w:lvl w:ilvl="2" w:tplc="18090005" w:tentative="1">
      <w:start w:val="1"/>
      <w:numFmt w:val="bullet"/>
      <w:lvlText w:val=""/>
      <w:lvlJc w:val="left"/>
      <w:pPr>
        <w:ind w:left="1446" w:hanging="360"/>
      </w:pPr>
      <w:rPr>
        <w:rFonts w:ascii="Wingdings" w:hAnsi="Wingdings" w:hint="default"/>
      </w:rPr>
    </w:lvl>
    <w:lvl w:ilvl="3" w:tplc="18090001" w:tentative="1">
      <w:start w:val="1"/>
      <w:numFmt w:val="bullet"/>
      <w:lvlText w:val=""/>
      <w:lvlJc w:val="left"/>
      <w:pPr>
        <w:ind w:left="2166" w:hanging="360"/>
      </w:pPr>
      <w:rPr>
        <w:rFonts w:ascii="Symbol" w:hAnsi="Symbol" w:hint="default"/>
      </w:rPr>
    </w:lvl>
    <w:lvl w:ilvl="4" w:tplc="18090003" w:tentative="1">
      <w:start w:val="1"/>
      <w:numFmt w:val="bullet"/>
      <w:lvlText w:val="o"/>
      <w:lvlJc w:val="left"/>
      <w:pPr>
        <w:ind w:left="2886" w:hanging="360"/>
      </w:pPr>
      <w:rPr>
        <w:rFonts w:ascii="Courier New" w:hAnsi="Courier New" w:cs="Courier New" w:hint="default"/>
      </w:rPr>
    </w:lvl>
    <w:lvl w:ilvl="5" w:tplc="18090005" w:tentative="1">
      <w:start w:val="1"/>
      <w:numFmt w:val="bullet"/>
      <w:lvlText w:val=""/>
      <w:lvlJc w:val="left"/>
      <w:pPr>
        <w:ind w:left="3606" w:hanging="360"/>
      </w:pPr>
      <w:rPr>
        <w:rFonts w:ascii="Wingdings" w:hAnsi="Wingdings" w:hint="default"/>
      </w:rPr>
    </w:lvl>
    <w:lvl w:ilvl="6" w:tplc="18090001" w:tentative="1">
      <w:start w:val="1"/>
      <w:numFmt w:val="bullet"/>
      <w:lvlText w:val=""/>
      <w:lvlJc w:val="left"/>
      <w:pPr>
        <w:ind w:left="4326" w:hanging="360"/>
      </w:pPr>
      <w:rPr>
        <w:rFonts w:ascii="Symbol" w:hAnsi="Symbol" w:hint="default"/>
      </w:rPr>
    </w:lvl>
    <w:lvl w:ilvl="7" w:tplc="18090003" w:tentative="1">
      <w:start w:val="1"/>
      <w:numFmt w:val="bullet"/>
      <w:lvlText w:val="o"/>
      <w:lvlJc w:val="left"/>
      <w:pPr>
        <w:ind w:left="5046" w:hanging="360"/>
      </w:pPr>
      <w:rPr>
        <w:rFonts w:ascii="Courier New" w:hAnsi="Courier New" w:cs="Courier New" w:hint="default"/>
      </w:rPr>
    </w:lvl>
    <w:lvl w:ilvl="8" w:tplc="18090005" w:tentative="1">
      <w:start w:val="1"/>
      <w:numFmt w:val="bullet"/>
      <w:lvlText w:val=""/>
      <w:lvlJc w:val="left"/>
      <w:pPr>
        <w:ind w:left="5766" w:hanging="360"/>
      </w:pPr>
      <w:rPr>
        <w:rFonts w:ascii="Wingdings" w:hAnsi="Wingdings" w:hint="default"/>
      </w:rPr>
    </w:lvl>
  </w:abstractNum>
  <w:num w:numId="1">
    <w:abstractNumId w:val="10"/>
  </w:num>
  <w:num w:numId="2">
    <w:abstractNumId w:val="9"/>
  </w:num>
  <w:num w:numId="3">
    <w:abstractNumId w:val="3"/>
  </w:num>
  <w:num w:numId="4">
    <w:abstractNumId w:val="11"/>
  </w:num>
  <w:num w:numId="5">
    <w:abstractNumId w:val="0"/>
  </w:num>
  <w:num w:numId="6">
    <w:abstractNumId w:val="13"/>
  </w:num>
  <w:num w:numId="7">
    <w:abstractNumId w:val="4"/>
  </w:num>
  <w:num w:numId="8">
    <w:abstractNumId w:val="8"/>
  </w:num>
  <w:num w:numId="9">
    <w:abstractNumId w:val="6"/>
  </w:num>
  <w:num w:numId="10">
    <w:abstractNumId w:val="14"/>
  </w:num>
  <w:num w:numId="11">
    <w:abstractNumId w:val="5"/>
  </w:num>
  <w:num w:numId="12">
    <w:abstractNumId w:val="2"/>
  </w:num>
  <w:num w:numId="13">
    <w:abstractNumId w:val="7"/>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do"/>
    <w:docVar w:name="LW_ANNEX_NBR_FIRST" w:val="1"/>
    <w:docVar w:name="LW_ANNEX_NBR_LAST" w:val="2"/>
    <w:docVar w:name="LW_ANNEX_UNIQUE" w:val="0"/>
    <w:docVar w:name="LW_CORRIGENDUM" w:val="&lt;UNUSED&gt;"/>
    <w:docVar w:name="LW_COVERPAGE_EXISTS" w:val="True"/>
    <w:docVar w:name="LW_COVERPAGE_GUID" w:val="A052452E-9B08-4E7C-A7B5-011D3FD96148"/>
    <w:docVar w:name="LW_COVERPAGE_TYPE" w:val="1"/>
    <w:docVar w:name="LW_CROSSREFERENCE" w:val="&lt;UNUSED&gt;"/>
    <w:docVar w:name="LW_DocType" w:val="NORMAL"/>
    <w:docVar w:name="LW_EMISSION" w:val="6.12.2023"/>
    <w:docVar w:name="LW_EMISSION_ISODATE" w:val="2023-12-06"/>
    <w:docVar w:name="LW_EMISSION_LOCATION" w:val="STR"/>
    <w:docVar w:name="LW_EMISSION_PREFIX" w:val="Strasburg, dnia "/>
    <w:docVar w:name="LW_EMISSION_SUFFIX" w:val=" r."/>
    <w:docVar w:name="LW_ID_DOCTYPE_NONLW" w:val="CP-039"/>
    <w:docVar w:name="LW_LANGUE" w:val="PL"/>
    <w:docVar w:name="LW_LEVEL_OF_SENSITIVITY" w:val="Standard treatment"/>
    <w:docVar w:name="LW_NOM.INST" w:val="KOMISJA EUROPEJSKA"/>
    <w:docVar w:name="LW_NOM.INST_JOINTDOC" w:val="&lt;EMPTY&gt;"/>
    <w:docVar w:name="LW_OBJETACTEPRINCIPAL.CP" w:val="NA PODSTAWIE ART. 25 TFUE_x000b__x000b_w sprawie post\u281?pów w skutecznym korzystaniu z obywatelstwa Unii Europejskiej w latach 2020\u8211?2023_x000d__x000b_"/>
    <w:docVar w:name="LW_PART_NBR" w:val="&lt;UNUSED&gt;"/>
    <w:docVar w:name="LW_PART_NBR_TOTAL" w:val="&lt;UNUSED&gt;"/>
    <w:docVar w:name="LW_REF.INST.NEW" w:val="COM"/>
    <w:docVar w:name="LW_REF.INST.NEW_ADOPTED" w:val="final"/>
    <w:docVar w:name="LW_REF.INST.NEW_TEXT" w:val="(2023) 9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ZA\u321?\u260?CZNIKI_x000b_"/>
    <w:docVar w:name="LW_TYPEACTEPRINCIPAL.CP" w:val="SPRAWOZDANIA KOMISJI DLA PARLAMENTU EUROPEJSKIEGO, RADY, EUROPEJSKIEGO KOMITETU EKONOMICZNO-SPO\u321?ECZNEGO I KOMITETU REGIONÓW_x000b_"/>
    <w:docVar w:name="LwApiVersions" w:val="LW4CoDe 1.24.4.0; LW 9.0, Build 20240125"/>
  </w:docVars>
  <w:rsids>
    <w:rsidRoot w:val="00C05C83"/>
    <w:rsid w:val="0000466D"/>
    <w:rsid w:val="00024689"/>
    <w:rsid w:val="00047A16"/>
    <w:rsid w:val="00056C57"/>
    <w:rsid w:val="000817A9"/>
    <w:rsid w:val="00093400"/>
    <w:rsid w:val="000A749D"/>
    <w:rsid w:val="000E0CDD"/>
    <w:rsid w:val="000F5F02"/>
    <w:rsid w:val="000F75A8"/>
    <w:rsid w:val="00145BA9"/>
    <w:rsid w:val="001E6106"/>
    <w:rsid w:val="002272C6"/>
    <w:rsid w:val="002274BC"/>
    <w:rsid w:val="00232C2E"/>
    <w:rsid w:val="0023562B"/>
    <w:rsid w:val="00273E5A"/>
    <w:rsid w:val="002C7A4C"/>
    <w:rsid w:val="002F7569"/>
    <w:rsid w:val="00322D23"/>
    <w:rsid w:val="003266C4"/>
    <w:rsid w:val="00334BDD"/>
    <w:rsid w:val="00342567"/>
    <w:rsid w:val="00345C8C"/>
    <w:rsid w:val="00365390"/>
    <w:rsid w:val="003667F7"/>
    <w:rsid w:val="003A69F0"/>
    <w:rsid w:val="003A74F6"/>
    <w:rsid w:val="003C204E"/>
    <w:rsid w:val="00413B7B"/>
    <w:rsid w:val="00422FD4"/>
    <w:rsid w:val="004621B4"/>
    <w:rsid w:val="0049562E"/>
    <w:rsid w:val="004B0C9E"/>
    <w:rsid w:val="0051621F"/>
    <w:rsid w:val="005218F3"/>
    <w:rsid w:val="00536CE2"/>
    <w:rsid w:val="005A380E"/>
    <w:rsid w:val="005A38A0"/>
    <w:rsid w:val="00647691"/>
    <w:rsid w:val="0066005F"/>
    <w:rsid w:val="00682945"/>
    <w:rsid w:val="006F7685"/>
    <w:rsid w:val="007014B2"/>
    <w:rsid w:val="0072798E"/>
    <w:rsid w:val="007501C3"/>
    <w:rsid w:val="007953FA"/>
    <w:rsid w:val="00795C6F"/>
    <w:rsid w:val="007D4597"/>
    <w:rsid w:val="00812E0C"/>
    <w:rsid w:val="00815ACE"/>
    <w:rsid w:val="00830692"/>
    <w:rsid w:val="00877E43"/>
    <w:rsid w:val="008C579C"/>
    <w:rsid w:val="008D7D7A"/>
    <w:rsid w:val="008E11A7"/>
    <w:rsid w:val="009033D8"/>
    <w:rsid w:val="00931C3D"/>
    <w:rsid w:val="009374B6"/>
    <w:rsid w:val="00980DD9"/>
    <w:rsid w:val="009877CF"/>
    <w:rsid w:val="009F0F9B"/>
    <w:rsid w:val="009F4E55"/>
    <w:rsid w:val="00A01E88"/>
    <w:rsid w:val="00A05A64"/>
    <w:rsid w:val="00A2622B"/>
    <w:rsid w:val="00A338A7"/>
    <w:rsid w:val="00A464E4"/>
    <w:rsid w:val="00A54395"/>
    <w:rsid w:val="00A638CE"/>
    <w:rsid w:val="00A6617F"/>
    <w:rsid w:val="00AC219B"/>
    <w:rsid w:val="00AD46AC"/>
    <w:rsid w:val="00AF3317"/>
    <w:rsid w:val="00B22A06"/>
    <w:rsid w:val="00B4682D"/>
    <w:rsid w:val="00B51549"/>
    <w:rsid w:val="00B662BD"/>
    <w:rsid w:val="00BF2D3B"/>
    <w:rsid w:val="00C05C83"/>
    <w:rsid w:val="00C108E3"/>
    <w:rsid w:val="00C20C0D"/>
    <w:rsid w:val="00C23F6A"/>
    <w:rsid w:val="00C32E33"/>
    <w:rsid w:val="00C33261"/>
    <w:rsid w:val="00C6230F"/>
    <w:rsid w:val="00C82054"/>
    <w:rsid w:val="00C90223"/>
    <w:rsid w:val="00C9310C"/>
    <w:rsid w:val="00C97CED"/>
    <w:rsid w:val="00CA587F"/>
    <w:rsid w:val="00CB3764"/>
    <w:rsid w:val="00CC08BA"/>
    <w:rsid w:val="00CE5A98"/>
    <w:rsid w:val="00D13B62"/>
    <w:rsid w:val="00D13D3C"/>
    <w:rsid w:val="00D26778"/>
    <w:rsid w:val="00D55672"/>
    <w:rsid w:val="00DB2BC8"/>
    <w:rsid w:val="00DB3776"/>
    <w:rsid w:val="00DB4A63"/>
    <w:rsid w:val="00DC0514"/>
    <w:rsid w:val="00E04D46"/>
    <w:rsid w:val="00E54796"/>
    <w:rsid w:val="00E66436"/>
    <w:rsid w:val="00EA5A5F"/>
    <w:rsid w:val="00ED04BF"/>
    <w:rsid w:val="00F042B9"/>
    <w:rsid w:val="00F266F8"/>
    <w:rsid w:val="00F54708"/>
    <w:rsid w:val="00F575FE"/>
    <w:rsid w:val="00F61E20"/>
    <w:rsid w:val="00F97EBA"/>
    <w:rsid w:val="00FA2350"/>
    <w:rsid w:val="00FC63BE"/>
    <w:rsid w:val="00FC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5B24E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67F7"/>
    <w:pPr>
      <w:keepNext/>
      <w:keepLines/>
      <w:numPr>
        <w:numId w:val="11"/>
      </w:numPr>
      <w:spacing w:before="240" w:after="240" w:line="276" w:lineRule="auto"/>
      <w:ind w:left="431" w:hanging="431"/>
      <w:jc w:val="both"/>
      <w:outlineLvl w:val="0"/>
    </w:pPr>
    <w:rPr>
      <w:rFonts w:ascii="Times New Roman" w:eastAsiaTheme="majorEastAsia" w:hAnsi="Times New Roman" w:cstheme="majorBidi"/>
      <w:b/>
      <w:smallCaps/>
      <w:sz w:val="28"/>
    </w:rPr>
  </w:style>
  <w:style w:type="paragraph" w:styleId="Heading2">
    <w:name w:val="heading 2"/>
    <w:basedOn w:val="Normal"/>
    <w:next w:val="Normal"/>
    <w:link w:val="Heading2Char"/>
    <w:uiPriority w:val="9"/>
    <w:unhideWhenUsed/>
    <w:qFormat/>
    <w:rsid w:val="003667F7"/>
    <w:pPr>
      <w:keepNext/>
      <w:keepLines/>
      <w:numPr>
        <w:ilvl w:val="1"/>
        <w:numId w:val="11"/>
      </w:numPr>
      <w:spacing w:before="240" w:after="240" w:line="276" w:lineRule="auto"/>
      <w:ind w:left="578" w:hanging="578"/>
      <w:jc w:val="both"/>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3667F7"/>
    <w:pPr>
      <w:keepNext/>
      <w:keepLines/>
      <w:numPr>
        <w:ilvl w:val="2"/>
        <w:numId w:val="11"/>
      </w:numPr>
      <w:spacing w:after="240" w:line="276" w:lineRule="auto"/>
      <w:ind w:left="720"/>
      <w:jc w:val="both"/>
      <w:outlineLvl w:val="2"/>
    </w:pPr>
    <w:rPr>
      <w:rFonts w:ascii="Times New Roman" w:eastAsiaTheme="minorEastAsia" w:hAnsi="Times New Roman" w:cstheme="majorBidi"/>
      <w:b/>
      <w:sz w:val="24"/>
    </w:rPr>
  </w:style>
  <w:style w:type="paragraph" w:styleId="Heading4">
    <w:name w:val="heading 4"/>
    <w:basedOn w:val="Normal"/>
    <w:next w:val="Normal"/>
    <w:link w:val="Heading4Char"/>
    <w:uiPriority w:val="9"/>
    <w:unhideWhenUsed/>
    <w:qFormat/>
    <w:rsid w:val="003667F7"/>
    <w:pPr>
      <w:keepNext/>
      <w:keepLines/>
      <w:numPr>
        <w:ilvl w:val="3"/>
        <w:numId w:val="11"/>
      </w:numPr>
      <w:spacing w:after="240" w:line="276" w:lineRule="auto"/>
      <w:ind w:left="1724" w:hanging="862"/>
      <w:jc w:val="both"/>
      <w:outlineLvl w:val="3"/>
    </w:pPr>
    <w:rPr>
      <w:rFonts w:ascii="Times New Roman" w:eastAsiaTheme="minorEastAsia" w:hAnsi="Times New Roman" w:cstheme="majorBidi"/>
      <w:b/>
      <w:i/>
      <w:sz w:val="24"/>
    </w:rPr>
  </w:style>
  <w:style w:type="paragraph" w:styleId="Heading5">
    <w:name w:val="heading 5"/>
    <w:basedOn w:val="Normal"/>
    <w:next w:val="Normal"/>
    <w:link w:val="Heading5Char"/>
    <w:uiPriority w:val="9"/>
    <w:unhideWhenUsed/>
    <w:qFormat/>
    <w:rsid w:val="003667F7"/>
    <w:pPr>
      <w:keepNext/>
      <w:keepLines/>
      <w:numPr>
        <w:ilvl w:val="4"/>
        <w:numId w:val="11"/>
      </w:numPr>
      <w:spacing w:after="240" w:line="276" w:lineRule="auto"/>
      <w:ind w:left="2268" w:hanging="1134"/>
      <w:jc w:val="both"/>
      <w:outlineLvl w:val="4"/>
    </w:pPr>
    <w:rPr>
      <w:rFonts w:ascii="Times New Roman" w:eastAsiaTheme="majorEastAsia" w:hAnsi="Times New Roman" w:cstheme="majorBidi"/>
      <w:b/>
    </w:rPr>
  </w:style>
  <w:style w:type="paragraph" w:styleId="Heading6">
    <w:name w:val="heading 6"/>
    <w:basedOn w:val="Normal"/>
    <w:next w:val="Normal"/>
    <w:link w:val="Heading6Char"/>
    <w:uiPriority w:val="9"/>
    <w:semiHidden/>
    <w:unhideWhenUsed/>
    <w:qFormat/>
    <w:rsid w:val="003667F7"/>
    <w:pPr>
      <w:keepNext/>
      <w:keepLines/>
      <w:numPr>
        <w:ilvl w:val="5"/>
        <w:numId w:val="11"/>
      </w:numPr>
      <w:spacing w:before="200" w:after="0" w:line="276" w:lineRule="auto"/>
      <w:jc w:val="both"/>
      <w:outlineLvl w:val="5"/>
    </w:pPr>
    <w:rPr>
      <w:rFonts w:asciiTheme="majorHAnsi" w:eastAsiaTheme="majorEastAsia" w:hAnsiTheme="majorHAnsi" w:cstheme="majorBidi"/>
      <w:i/>
      <w:color w:val="1F3763" w:themeColor="accent1" w:themeShade="7F"/>
      <w:sz w:val="24"/>
    </w:rPr>
  </w:style>
  <w:style w:type="paragraph" w:styleId="Heading7">
    <w:name w:val="heading 7"/>
    <w:basedOn w:val="Normal"/>
    <w:next w:val="Normal"/>
    <w:link w:val="Heading7Char"/>
    <w:uiPriority w:val="9"/>
    <w:semiHidden/>
    <w:unhideWhenUsed/>
    <w:qFormat/>
    <w:rsid w:val="003667F7"/>
    <w:pPr>
      <w:keepNext/>
      <w:keepLines/>
      <w:numPr>
        <w:ilvl w:val="6"/>
        <w:numId w:val="11"/>
      </w:numPr>
      <w:spacing w:before="200" w:after="0" w:line="276" w:lineRule="auto"/>
      <w:jc w:val="both"/>
      <w:outlineLvl w:val="6"/>
    </w:pPr>
    <w:rPr>
      <w:rFonts w:asciiTheme="majorHAnsi" w:eastAsiaTheme="majorEastAsia" w:hAnsiTheme="majorHAnsi" w:cstheme="majorBidi"/>
      <w:i/>
      <w:color w:val="404040" w:themeColor="text1" w:themeTint="BF"/>
      <w:sz w:val="24"/>
    </w:rPr>
  </w:style>
  <w:style w:type="paragraph" w:styleId="Heading8">
    <w:name w:val="heading 8"/>
    <w:basedOn w:val="Normal"/>
    <w:next w:val="Normal"/>
    <w:link w:val="Heading8Char"/>
    <w:uiPriority w:val="9"/>
    <w:semiHidden/>
    <w:unhideWhenUsed/>
    <w:qFormat/>
    <w:rsid w:val="003667F7"/>
    <w:pPr>
      <w:keepNext/>
      <w:keepLines/>
      <w:numPr>
        <w:ilvl w:val="7"/>
        <w:numId w:val="11"/>
      </w:numPr>
      <w:spacing w:before="200" w:after="0" w:line="276" w:lineRule="auto"/>
      <w:jc w:val="both"/>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667F7"/>
    <w:pPr>
      <w:keepNext/>
      <w:keepLines/>
      <w:numPr>
        <w:ilvl w:val="8"/>
        <w:numId w:val="11"/>
      </w:numPr>
      <w:spacing w:before="200" w:after="0" w:line="276" w:lineRule="auto"/>
      <w:jc w:val="both"/>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C05C83"/>
    <w:rPr>
      <w:color w:val="0000FF"/>
      <w:shd w:val="clear" w:color="auto" w:fill="auto"/>
    </w:rPr>
  </w:style>
  <w:style w:type="paragraph" w:styleId="Header">
    <w:name w:val="header"/>
    <w:basedOn w:val="Normal"/>
    <w:link w:val="HeaderChar"/>
    <w:uiPriority w:val="99"/>
    <w:unhideWhenUsed/>
    <w:rsid w:val="00C05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C83"/>
  </w:style>
  <w:style w:type="paragraph" w:styleId="Footer">
    <w:name w:val="footer"/>
    <w:basedOn w:val="Normal"/>
    <w:link w:val="FooterChar"/>
    <w:uiPriority w:val="99"/>
    <w:unhideWhenUsed/>
    <w:rsid w:val="00C05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C83"/>
  </w:style>
  <w:style w:type="paragraph" w:customStyle="1" w:styleId="Pagedecouverture">
    <w:name w:val="Page de couverture"/>
    <w:basedOn w:val="Normal"/>
    <w:next w:val="Normal"/>
    <w:rsid w:val="00C05C83"/>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C05C8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05C83"/>
    <w:rPr>
      <w:rFonts w:ascii="Times New Roman" w:hAnsi="Times New Roman" w:cs="Times New Roman"/>
      <w:sz w:val="24"/>
    </w:rPr>
  </w:style>
  <w:style w:type="paragraph" w:customStyle="1" w:styleId="FooterSensitivity">
    <w:name w:val="Footer Sensitivity"/>
    <w:basedOn w:val="Normal"/>
    <w:link w:val="FooterSensitivityChar"/>
    <w:rsid w:val="00C05C8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C05C83"/>
    <w:rPr>
      <w:rFonts w:ascii="Times New Roman" w:hAnsi="Times New Roman" w:cs="Times New Roman"/>
      <w:b/>
      <w:sz w:val="32"/>
    </w:rPr>
  </w:style>
  <w:style w:type="paragraph" w:customStyle="1" w:styleId="HeaderCoverPage">
    <w:name w:val="Header Cover Page"/>
    <w:basedOn w:val="Normal"/>
    <w:link w:val="HeaderCoverPageChar"/>
    <w:rsid w:val="00C05C8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05C83"/>
    <w:rPr>
      <w:rFonts w:ascii="Times New Roman" w:hAnsi="Times New Roman" w:cs="Times New Roman"/>
      <w:sz w:val="24"/>
    </w:rPr>
  </w:style>
  <w:style w:type="paragraph" w:customStyle="1" w:styleId="HeaderSensitivity">
    <w:name w:val="Header Sensitivity"/>
    <w:basedOn w:val="Normal"/>
    <w:link w:val="HeaderSensitivityChar"/>
    <w:rsid w:val="00C05C8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C05C83"/>
    <w:rPr>
      <w:rFonts w:ascii="Times New Roman" w:hAnsi="Times New Roman" w:cs="Times New Roman"/>
      <w:b/>
      <w:sz w:val="32"/>
    </w:rPr>
  </w:style>
  <w:style w:type="paragraph" w:customStyle="1" w:styleId="HeaderSensitivityRight">
    <w:name w:val="Header Sensitivity Right"/>
    <w:basedOn w:val="Normal"/>
    <w:link w:val="HeaderSensitivityRightChar"/>
    <w:rsid w:val="00C05C83"/>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C05C83"/>
    <w:rPr>
      <w:rFonts w:ascii="Times New Roman" w:hAnsi="Times New Roman" w:cs="Times New Roman"/>
      <w:sz w:val="28"/>
    </w:rPr>
  </w:style>
  <w:style w:type="table" w:customStyle="1" w:styleId="TableGrid1">
    <w:name w:val="Table Grid1"/>
    <w:basedOn w:val="TableNormal"/>
    <w:next w:val="TableGrid"/>
    <w:uiPriority w:val="39"/>
    <w:rsid w:val="00056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6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056C57"/>
    <w:pPr>
      <w:spacing w:after="0" w:line="240" w:lineRule="auto"/>
    </w:pPr>
    <w:rPr>
      <w:rFonts w:ascii="Times New Roman" w:hAnsi="Times New Roman"/>
      <w:sz w:val="20"/>
    </w:rPr>
  </w:style>
  <w:style w:type="character" w:customStyle="1" w:styleId="FootnoteTextChar">
    <w:name w:val="Footnote Text Char"/>
    <w:basedOn w:val="DefaultParagraphFont"/>
    <w:link w:val="FootnoteText"/>
    <w:uiPriority w:val="99"/>
    <w:qFormat/>
    <w:rsid w:val="00056C57"/>
    <w:rPr>
      <w:rFonts w:ascii="Times New Roman" w:hAnsi="Times New Roman"/>
      <w:sz w:val="20"/>
    </w:rPr>
  </w:style>
  <w:style w:type="character" w:styleId="FootnoteReference">
    <w:name w:val="footnote reference"/>
    <w:basedOn w:val="DefaultParagraphFont"/>
    <w:link w:val="BVIfnr"/>
    <w:unhideWhenUsed/>
    <w:qFormat/>
    <w:rsid w:val="00056C57"/>
    <w:rPr>
      <w:vertAlign w:val="superscript"/>
    </w:rPr>
  </w:style>
  <w:style w:type="character" w:styleId="Hyperlink">
    <w:name w:val="Hyperlink"/>
    <w:basedOn w:val="DefaultParagraphFont"/>
    <w:unhideWhenUsed/>
    <w:qFormat/>
    <w:rsid w:val="00056C57"/>
    <w:rPr>
      <w:color w:val="0563C1" w:themeColor="hyperlink"/>
      <w:u w:val="single"/>
    </w:rPr>
  </w:style>
  <w:style w:type="paragraph" w:customStyle="1" w:styleId="BVIfnr">
    <w:name w:val="BVI fnr Знак Знак"/>
    <w:basedOn w:val="Normal"/>
    <w:link w:val="FootnoteReference"/>
    <w:uiPriority w:val="99"/>
    <w:rsid w:val="00056C57"/>
    <w:pPr>
      <w:spacing w:line="240" w:lineRule="exact"/>
    </w:pPr>
    <w:rPr>
      <w:vertAlign w:val="superscript"/>
    </w:rPr>
  </w:style>
  <w:style w:type="paragraph" w:styleId="ListParagraph">
    <w:name w:val="List Paragraph"/>
    <w:basedOn w:val="Normal"/>
    <w:uiPriority w:val="34"/>
    <w:qFormat/>
    <w:rsid w:val="00056C57"/>
    <w:pPr>
      <w:ind w:left="720"/>
      <w:contextualSpacing/>
    </w:pPr>
  </w:style>
  <w:style w:type="character" w:customStyle="1" w:styleId="Heading1Char">
    <w:name w:val="Heading 1 Char"/>
    <w:basedOn w:val="DefaultParagraphFont"/>
    <w:link w:val="Heading1"/>
    <w:uiPriority w:val="9"/>
    <w:rsid w:val="003667F7"/>
    <w:rPr>
      <w:rFonts w:ascii="Times New Roman" w:eastAsiaTheme="majorEastAsia" w:hAnsi="Times New Roman" w:cstheme="majorBidi"/>
      <w:b/>
      <w:smallCaps/>
      <w:sz w:val="28"/>
    </w:rPr>
  </w:style>
  <w:style w:type="character" w:customStyle="1" w:styleId="Heading2Char">
    <w:name w:val="Heading 2 Char"/>
    <w:basedOn w:val="DefaultParagraphFont"/>
    <w:link w:val="Heading2"/>
    <w:uiPriority w:val="9"/>
    <w:rsid w:val="003667F7"/>
    <w:rPr>
      <w:rFonts w:ascii="Times New Roman" w:eastAsiaTheme="majorEastAsia" w:hAnsi="Times New Roman" w:cstheme="majorBidi"/>
      <w:b/>
      <w:sz w:val="28"/>
    </w:rPr>
  </w:style>
  <w:style w:type="character" w:customStyle="1" w:styleId="Heading3Char">
    <w:name w:val="Heading 3 Char"/>
    <w:basedOn w:val="DefaultParagraphFont"/>
    <w:link w:val="Heading3"/>
    <w:uiPriority w:val="9"/>
    <w:rsid w:val="003667F7"/>
    <w:rPr>
      <w:rFonts w:ascii="Times New Roman" w:eastAsiaTheme="minorEastAsia" w:hAnsi="Times New Roman" w:cstheme="majorBidi"/>
      <w:b/>
      <w:sz w:val="24"/>
    </w:rPr>
  </w:style>
  <w:style w:type="character" w:customStyle="1" w:styleId="Heading4Char">
    <w:name w:val="Heading 4 Char"/>
    <w:basedOn w:val="DefaultParagraphFont"/>
    <w:link w:val="Heading4"/>
    <w:uiPriority w:val="9"/>
    <w:rsid w:val="003667F7"/>
    <w:rPr>
      <w:rFonts w:ascii="Times New Roman" w:eastAsiaTheme="minorEastAsia" w:hAnsi="Times New Roman" w:cstheme="majorBidi"/>
      <w:b/>
      <w:i/>
      <w:sz w:val="24"/>
    </w:rPr>
  </w:style>
  <w:style w:type="character" w:customStyle="1" w:styleId="Heading5Char">
    <w:name w:val="Heading 5 Char"/>
    <w:basedOn w:val="DefaultParagraphFont"/>
    <w:link w:val="Heading5"/>
    <w:uiPriority w:val="9"/>
    <w:rsid w:val="003667F7"/>
    <w:rPr>
      <w:rFonts w:ascii="Times New Roman" w:eastAsiaTheme="majorEastAsia" w:hAnsi="Times New Roman" w:cstheme="majorBidi"/>
      <w:b/>
    </w:rPr>
  </w:style>
  <w:style w:type="character" w:customStyle="1" w:styleId="Heading6Char">
    <w:name w:val="Heading 6 Char"/>
    <w:basedOn w:val="DefaultParagraphFont"/>
    <w:link w:val="Heading6"/>
    <w:uiPriority w:val="9"/>
    <w:semiHidden/>
    <w:rsid w:val="003667F7"/>
    <w:rPr>
      <w:rFonts w:asciiTheme="majorHAnsi" w:eastAsiaTheme="majorEastAsia" w:hAnsiTheme="majorHAnsi" w:cstheme="majorBidi"/>
      <w:i/>
      <w:color w:val="1F3763" w:themeColor="accent1" w:themeShade="7F"/>
      <w:sz w:val="24"/>
    </w:rPr>
  </w:style>
  <w:style w:type="character" w:customStyle="1" w:styleId="Heading7Char">
    <w:name w:val="Heading 7 Char"/>
    <w:basedOn w:val="DefaultParagraphFont"/>
    <w:link w:val="Heading7"/>
    <w:uiPriority w:val="9"/>
    <w:semiHidden/>
    <w:rsid w:val="003667F7"/>
    <w:rPr>
      <w:rFonts w:asciiTheme="majorHAnsi" w:eastAsiaTheme="majorEastAsia" w:hAnsiTheme="majorHAnsi" w:cstheme="majorBidi"/>
      <w:i/>
      <w:color w:val="404040" w:themeColor="text1" w:themeTint="BF"/>
      <w:sz w:val="24"/>
    </w:rPr>
  </w:style>
  <w:style w:type="character" w:customStyle="1" w:styleId="Heading8Char">
    <w:name w:val="Heading 8 Char"/>
    <w:basedOn w:val="DefaultParagraphFont"/>
    <w:link w:val="Heading8"/>
    <w:uiPriority w:val="9"/>
    <w:semiHidden/>
    <w:rsid w:val="003667F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3667F7"/>
    <w:rPr>
      <w:rFonts w:asciiTheme="majorHAnsi" w:eastAsiaTheme="majorEastAsia" w:hAnsiTheme="majorHAnsi" w:cstheme="majorBidi"/>
      <w:i/>
      <w:color w:val="404040" w:themeColor="text1" w:themeTint="BF"/>
      <w:sz w:val="20"/>
    </w:rPr>
  </w:style>
  <w:style w:type="character" w:customStyle="1" w:styleId="UnresolvedMention1">
    <w:name w:val="Unresolved Mention1"/>
    <w:basedOn w:val="DefaultParagraphFont"/>
    <w:uiPriority w:val="99"/>
    <w:semiHidden/>
    <w:unhideWhenUsed/>
    <w:rsid w:val="003A69F0"/>
    <w:rPr>
      <w:color w:val="605E5C"/>
      <w:shd w:val="clear" w:color="auto" w:fill="E1DFDD"/>
    </w:rPr>
  </w:style>
  <w:style w:type="paragraph" w:styleId="Revision">
    <w:name w:val="Revision"/>
    <w:hidden/>
    <w:uiPriority w:val="99"/>
    <w:semiHidden/>
    <w:rsid w:val="009374B6"/>
    <w:pPr>
      <w:spacing w:after="0" w:line="240" w:lineRule="auto"/>
    </w:pPr>
  </w:style>
  <w:style w:type="character" w:styleId="CommentReference">
    <w:name w:val="annotation reference"/>
    <w:basedOn w:val="DefaultParagraphFont"/>
    <w:uiPriority w:val="99"/>
    <w:semiHidden/>
    <w:unhideWhenUsed/>
    <w:rsid w:val="00AF3317"/>
    <w:rPr>
      <w:sz w:val="16"/>
    </w:rPr>
  </w:style>
  <w:style w:type="paragraph" w:styleId="CommentText">
    <w:name w:val="annotation text"/>
    <w:basedOn w:val="Normal"/>
    <w:link w:val="CommentTextChar"/>
    <w:uiPriority w:val="99"/>
    <w:unhideWhenUsed/>
    <w:rsid w:val="00AF3317"/>
    <w:pPr>
      <w:spacing w:line="240" w:lineRule="auto"/>
    </w:pPr>
    <w:rPr>
      <w:sz w:val="20"/>
    </w:rPr>
  </w:style>
  <w:style w:type="character" w:customStyle="1" w:styleId="CommentTextChar">
    <w:name w:val="Comment Text Char"/>
    <w:basedOn w:val="DefaultParagraphFont"/>
    <w:link w:val="CommentText"/>
    <w:uiPriority w:val="99"/>
    <w:rsid w:val="00AF3317"/>
    <w:rPr>
      <w:sz w:val="20"/>
    </w:rPr>
  </w:style>
  <w:style w:type="paragraph" w:styleId="CommentSubject">
    <w:name w:val="annotation subject"/>
    <w:basedOn w:val="CommentText"/>
    <w:next w:val="CommentText"/>
    <w:link w:val="CommentSubjectChar"/>
    <w:uiPriority w:val="99"/>
    <w:semiHidden/>
    <w:unhideWhenUsed/>
    <w:rsid w:val="00AF3317"/>
    <w:rPr>
      <w:b/>
    </w:rPr>
  </w:style>
  <w:style w:type="character" w:customStyle="1" w:styleId="CommentSubjectChar">
    <w:name w:val="Comment Subject Char"/>
    <w:basedOn w:val="CommentTextChar"/>
    <w:link w:val="CommentSubject"/>
    <w:uiPriority w:val="99"/>
    <w:semiHidden/>
    <w:rsid w:val="00AF3317"/>
    <w:rPr>
      <w:b/>
      <w:sz w:val="20"/>
    </w:rPr>
  </w:style>
  <w:style w:type="character" w:styleId="FollowedHyperlink">
    <w:name w:val="FollowedHyperlink"/>
    <w:basedOn w:val="DefaultParagraphFont"/>
    <w:uiPriority w:val="99"/>
    <w:semiHidden/>
    <w:unhideWhenUsed/>
    <w:rsid w:val="002274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0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curia.europa.eu/jcms/upload/docs/application/pdf/2023-01/cp230006pl.pdf" TargetMode="External"/><Relationship Id="rId117" Type="http://schemas.openxmlformats.org/officeDocument/2006/relationships/hyperlink" Target="https://curia.europa.eu/juris/document/document.jsf?text=&amp;docid=261282&amp;pageIndex=0&amp;doclang=pl&amp;mode=lst&amp;dir=&amp;occ=first&amp;part=1&amp;cid=2510541" TargetMode="External"/><Relationship Id="rId21" Type="http://schemas.openxmlformats.org/officeDocument/2006/relationships/hyperlink" Target="https://curia.europa.eu/juris/document/document.jsf?text=&amp;docid=260182&amp;pageIndex=0&amp;doclang=pl&amp;mode=lst&amp;dir=&amp;occ=first&amp;part=1&amp;cid=1425556" TargetMode="External"/><Relationship Id="rId42" Type="http://schemas.openxmlformats.org/officeDocument/2006/relationships/hyperlink" Target="https://eur-lex.europa.eu/legal-content/pl/TXT/?uri=CELEX:62021CO0085" TargetMode="External"/><Relationship Id="rId47" Type="http://schemas.openxmlformats.org/officeDocument/2006/relationships/hyperlink" Target="https://curia.europa.eu/juris/document/document.jsf?text=&amp;docid=235716&amp;pageIndex=0&amp;doclang=pl&amp;mode=lst&amp;dir=&amp;occ=first&amp;part=1&amp;cid=1735446" TargetMode="External"/><Relationship Id="rId63" Type="http://schemas.openxmlformats.org/officeDocument/2006/relationships/hyperlink" Target="https://curia.europa.eu/juris/document/document.jsf?text=&amp;docid=251201&amp;pageIndex=0&amp;doclang=pl&amp;mode=req&amp;dir=&amp;occ=first&amp;part=1&amp;cid=105061" TargetMode="External"/><Relationship Id="rId68" Type="http://schemas.openxmlformats.org/officeDocument/2006/relationships/hyperlink" Target="https://curia.europa.eu/juris/document/document.jsf?text=&amp;docid=245533&amp;pageIndex=0&amp;doclang=pl&amp;mode=req&amp;dir=&amp;occ=first&amp;part=1&amp;cid=845882" TargetMode="External"/><Relationship Id="rId84" Type="http://schemas.openxmlformats.org/officeDocument/2006/relationships/hyperlink" Target="https://curia.europa.eu/juris/document/document.jsf?docid=263726&amp;mode=lst&amp;pageIndex=1&amp;dir=&amp;occ=first&amp;part=1&amp;text=&amp;doclang=pl&amp;cid=4388599" TargetMode="External"/><Relationship Id="rId89" Type="http://schemas.openxmlformats.org/officeDocument/2006/relationships/hyperlink" Target="https://curia.europa.eu/juris/document/document.jsf?text=&amp;docid=232081&amp;pageIndex=0&amp;doclang=pl&amp;mode=lst&amp;dir=&amp;occ=first&amp;part=1&amp;cid=6173712" TargetMode="External"/><Relationship Id="rId112" Type="http://schemas.openxmlformats.org/officeDocument/2006/relationships/hyperlink" Target="https://curia.europa.eu/juris/document/document.jsf?text=&amp;docid=241169&amp;pageIndex=0&amp;doclang=pl&amp;mode=req&amp;dir=&amp;occ=first&amp;part=1&amp;cid=241391" TargetMode="External"/><Relationship Id="rId16" Type="http://schemas.openxmlformats.org/officeDocument/2006/relationships/hyperlink" Target="https://curia.europa.eu/juris/document/document.jsf?text=%2522Non-discrimination%2Bon%2Bgrounds%2Bof%2Bnationality%2522&amp;docid=253726&amp;pageIndex=0&amp;doclang=PL&amp;mode=req&amp;dir=&amp;occ=first&amp;part=1&amp;cid=6048896" TargetMode="External"/><Relationship Id="rId107" Type="http://schemas.openxmlformats.org/officeDocument/2006/relationships/hyperlink" Target="https://curia.europa.eu/juris/document/document.jsf?text=&amp;docid=258865&amp;pageIndex=0&amp;doclang=pl&amp;mode=lst&amp;dir=&amp;occ=first&amp;part=1&amp;cid=2177090" TargetMode="External"/><Relationship Id="rId11" Type="http://schemas.openxmlformats.org/officeDocument/2006/relationships/hyperlink" Target="https://curia.europa.eu/juris/document/document.jsf?text=&amp;docid=235710&amp;pageIndex=0&amp;doclang=pl&amp;mode=req&amp;dir=&amp;occ=first&amp;part=1&amp;cid=4498424" TargetMode="External"/><Relationship Id="rId32" Type="http://schemas.openxmlformats.org/officeDocument/2006/relationships/hyperlink" Target="https://curia.europa.eu/juris/document/document.jsf?text=&amp;docid=274657&amp;pageIndex=0&amp;doclang=pl&amp;mode=lst&amp;dir=&amp;occ=first&amp;part=1&amp;cid=2182776" TargetMode="External"/><Relationship Id="rId37" Type="http://schemas.openxmlformats.org/officeDocument/2006/relationships/hyperlink" Target="https://curia.europa.eu/juris/document/document.jsf?text=&amp;docid=211561&amp;pageIndex=0&amp;doclang=pl&amp;mode=lst&amp;dir=&amp;occ=first&amp;part=1&amp;cid=2198693" TargetMode="External"/><Relationship Id="rId53" Type="http://schemas.openxmlformats.org/officeDocument/2006/relationships/hyperlink" Target="https://curia.europa.eu/juris/document/document.jsf?text=&amp;docid=243243&amp;pageIndex=0&amp;doclang=pl&amp;mode=lst&amp;dir=&amp;occ=first&amp;part=1&amp;cid=884422" TargetMode="External"/><Relationship Id="rId58" Type="http://schemas.openxmlformats.org/officeDocument/2006/relationships/hyperlink" Target="https://curia.europa.eu/juris/document/document.jsf?text=&amp;docid=251201&amp;pageIndex=0&amp;doclang=pl&amp;mode=req&amp;dir=&amp;occ=first&amp;part=1&amp;cid=105061" TargetMode="External"/><Relationship Id="rId74" Type="http://schemas.openxmlformats.org/officeDocument/2006/relationships/hyperlink" Target="https://curia.europa.eu/juris/document/document.jsf?text=&amp;docid=244182&amp;pageIndex=0&amp;doclang=pl&amp;mode=lst&amp;dir=&amp;occ=first&amp;part=1&amp;cid=847449" TargetMode="External"/><Relationship Id="rId79" Type="http://schemas.openxmlformats.org/officeDocument/2006/relationships/hyperlink" Target="https://curia.europa.eu/juris/document/document.jsf?text=&amp;docid=265547&amp;pageIndex=0&amp;doclang=pl&amp;mode=lst&amp;dir=&amp;occ=first&amp;part=1&amp;cid=2080078" TargetMode="External"/><Relationship Id="rId102" Type="http://schemas.openxmlformats.org/officeDocument/2006/relationships/hyperlink" Target="https://curia.europa.eu/juris/document/document.jsf?text=&amp;docid=265002&amp;pageIndex=0&amp;doclang=pl&amp;mode=lst&amp;dir=&amp;occ=first&amp;part=1&amp;cid=2160235" TargetMode="External"/><Relationship Id="rId5" Type="http://schemas.openxmlformats.org/officeDocument/2006/relationships/hyperlink" Target="https://curia.europa.eu/juris/document/document.jsf?text=&amp;docid=268789&amp;pageIndex=0&amp;doclang=PL&amp;mode=lst&amp;dir=&amp;occ=first&amp;part=1&amp;cid=4499276" TargetMode="External"/><Relationship Id="rId61" Type="http://schemas.openxmlformats.org/officeDocument/2006/relationships/hyperlink" Target="https://curia.europa.eu/juris/document/document.jsf?text=&amp;docid=251201&amp;pageIndex=0&amp;doclang=pl&amp;mode=req&amp;dir=&amp;occ=first&amp;part=1&amp;cid=105061" TargetMode="External"/><Relationship Id="rId82" Type="http://schemas.openxmlformats.org/officeDocument/2006/relationships/hyperlink" Target="https://curia.europa.eu/juris/document/document.jsf?text=&amp;docid=265547&amp;pageIndex=0&amp;doclang=pl&amp;mode=lst&amp;dir=&amp;occ=first&amp;part=1&amp;cid=2080078" TargetMode="External"/><Relationship Id="rId90" Type="http://schemas.openxmlformats.org/officeDocument/2006/relationships/hyperlink" Target="https://curia.europa.eu/juris/document/document.jsf?text=&amp;docid=244198&amp;pageIndex=0&amp;doclang=pl&amp;mode=lst&amp;dir=&amp;occ=first&amp;part=1&amp;cid=41131" TargetMode="External"/><Relationship Id="rId95" Type="http://schemas.openxmlformats.org/officeDocument/2006/relationships/hyperlink" Target="https://curia.europa.eu/juris/document/document.jsf?text=&amp;docid=272966&amp;pageIndex=0&amp;doclang=pl&amp;mode=lst&amp;dir=&amp;occ=first&amp;part=1&amp;cid=2257971" TargetMode="External"/><Relationship Id="rId19" Type="http://schemas.openxmlformats.org/officeDocument/2006/relationships/hyperlink" Target="https://curia.europa.eu/jcms/upload/docs/application/pdf/2022-10/cp220167pl.pdf" TargetMode="External"/><Relationship Id="rId14" Type="http://schemas.openxmlformats.org/officeDocument/2006/relationships/hyperlink" Target="https://curia.europa.eu/juris/document/document.jsf?text=%2522Non-discrimination%2Bon%2Bgrounds%2Bof%2Bnationality%2522&amp;docid=253726&amp;pageIndex=0&amp;doclang=PL&amp;mode=req&amp;dir=&amp;occ=first&amp;part=1&amp;cid=6048896" TargetMode="External"/><Relationship Id="rId22" Type="http://schemas.openxmlformats.org/officeDocument/2006/relationships/hyperlink" Target="https://curia.europa.eu/juris/document/document.jsf?text=&amp;docid=260182&amp;pageIndex=0&amp;doclang=pl&amp;mode=lst&amp;dir=&amp;occ=first&amp;part=1&amp;cid=1425556" TargetMode="External"/><Relationship Id="rId27" Type="http://schemas.openxmlformats.org/officeDocument/2006/relationships/hyperlink" Target="https://curia.europa.eu/juris/document/document.jsf?text=&amp;docid=269149&amp;pageIndex=0&amp;doclang=pl&amp;mode=lst&amp;dir=&amp;occ=first&amp;part=1&amp;cid=1432718" TargetMode="External"/><Relationship Id="rId30" Type="http://schemas.openxmlformats.org/officeDocument/2006/relationships/hyperlink" Target="https://curia.europa.eu/juris/document/document.jsf?text=&amp;docid=274642&amp;pageIndex=0&amp;doclang=pl&amp;mode=lst&amp;dir=&amp;occ=first&amp;part=1&amp;cid=2183586" TargetMode="External"/><Relationship Id="rId35" Type="http://schemas.openxmlformats.org/officeDocument/2006/relationships/hyperlink" Target="https://curia.europa.eu/juris/document/document.jsf?text=&amp;docid=252341&amp;pageIndex=0&amp;doclang=PL&amp;mode=lst&amp;dir=&amp;occ=first&amp;part=1&amp;cid=2193153" TargetMode="External"/><Relationship Id="rId43" Type="http://schemas.openxmlformats.org/officeDocument/2006/relationships/hyperlink" Target="https://curia.europa.eu/juris/document/document.jsf?text=&amp;docid=267915&amp;pageIndex=0&amp;doclang=pl&amp;mode=lst&amp;dir=&amp;occ=first&amp;part=1&amp;cid=5932376" TargetMode="External"/><Relationship Id="rId48" Type="http://schemas.openxmlformats.org/officeDocument/2006/relationships/hyperlink" Target="https://curia.europa.eu/juris/document/document.jsf?text=&amp;docid=235716&amp;pageIndex=0&amp;doclang=pl&amp;mode=lst&amp;dir=&amp;occ=first&amp;part=1&amp;cid=1735446" TargetMode="External"/><Relationship Id="rId56" Type="http://schemas.openxmlformats.org/officeDocument/2006/relationships/hyperlink" Target="https://curia.europa.eu/juris/document/document.jsf?text=&amp;docid=251201&amp;pageIndex=0&amp;doclang=pl&amp;mode=req&amp;dir=&amp;occ=first&amp;part=1&amp;cid=105061" TargetMode="External"/><Relationship Id="rId64" Type="http://schemas.openxmlformats.org/officeDocument/2006/relationships/hyperlink" Target="https://curia.europa.eu/juris/document/document.jsf?text=&amp;docid=251201&amp;pageIndex=0&amp;doclang=pl&amp;mode=req&amp;dir=&amp;occ=first&amp;part=1&amp;cid=105061" TargetMode="External"/><Relationship Id="rId69" Type="http://schemas.openxmlformats.org/officeDocument/2006/relationships/hyperlink" Target="https://curia.europa.eu/juris/document/document.jsf?docid=181105&amp;doclang=pl" TargetMode="External"/><Relationship Id="rId77" Type="http://schemas.openxmlformats.org/officeDocument/2006/relationships/hyperlink" Target="https://curia.europa.eu/juris/document/document.jsf?text=&amp;docid=255423&amp;pageIndex=0&amp;doclang=pl&amp;mode=req&amp;dir=&amp;occ=first&amp;part=1&amp;cid=91746" TargetMode="External"/><Relationship Id="rId100" Type="http://schemas.openxmlformats.org/officeDocument/2006/relationships/hyperlink" Target="https://curia.europa.eu/juris/document/document.jsf?text=&amp;docid=265002&amp;pageIndex=0&amp;doclang=pl&amp;mode=lst&amp;dir=&amp;occ=first&amp;part=1&amp;cid=2160235" TargetMode="External"/><Relationship Id="rId105" Type="http://schemas.openxmlformats.org/officeDocument/2006/relationships/hyperlink" Target="https://curia.europa.eu/juris/document/document.jsf?text=&amp;docid=274863&amp;pageIndex=0&amp;doclang=PL&amp;mode=lst&amp;dir=&amp;occ=first&amp;part=1&amp;cid=2166686" TargetMode="External"/><Relationship Id="rId113" Type="http://schemas.openxmlformats.org/officeDocument/2006/relationships/hyperlink" Target="https://curia.europa.eu/juris/document/document.jsf?text=&amp;docid=233924&amp;pageIndex=0&amp;doclang=pl&amp;mode=req&amp;dir=&amp;occ=first&amp;part=1&amp;cid=241391" TargetMode="External"/><Relationship Id="rId118" Type="http://schemas.openxmlformats.org/officeDocument/2006/relationships/hyperlink" Target="https://curia.europa.eu/juris/document/document.jsf?text=&amp;docid=261282&amp;pageIndex=0&amp;doclang=pl&amp;mode=lst&amp;dir=&amp;occ=first&amp;part=1&amp;cid=2510541" TargetMode="External"/><Relationship Id="rId8" Type="http://schemas.openxmlformats.org/officeDocument/2006/relationships/hyperlink" Target="https://curia.europa.eu/juris/document/document.jsf?text=&amp;docid=235710&amp;pageIndex=0&amp;doclang=en&amp;mode=req&amp;dir=&amp;occ=first&amp;part=1&amp;cid=4498424" TargetMode="External"/><Relationship Id="rId51" Type="http://schemas.openxmlformats.org/officeDocument/2006/relationships/hyperlink" Target="https://curia.europa.eu/juris/document/document.jsf?text=&amp;docid=243243&amp;pageIndex=0&amp;doclang=pl&amp;mode=lst&amp;dir=&amp;occ=first&amp;part=1&amp;cid=884422" TargetMode="External"/><Relationship Id="rId72" Type="http://schemas.openxmlformats.org/officeDocument/2006/relationships/hyperlink" Target="https://curia.europa.eu/juris/document/document.jsf?text=&amp;docid=244182&amp;pageIndex=0&amp;doclang=pl&amp;mode=lst&amp;dir=&amp;occ=first&amp;part=1&amp;cid=847449" TargetMode="External"/><Relationship Id="rId80" Type="http://schemas.openxmlformats.org/officeDocument/2006/relationships/hyperlink" Target="https://curia.europa.eu/juris/document/document.jsf?text=&amp;docid=265547&amp;pageIndex=0&amp;doclang=pl&amp;mode=lst&amp;dir=&amp;occ=first&amp;part=1&amp;cid=2080078" TargetMode="External"/><Relationship Id="rId85" Type="http://schemas.openxmlformats.org/officeDocument/2006/relationships/hyperlink" Target="https://curia.europa.eu/juris/document/document.jsf?docid=263726&amp;mode=lst&amp;pageIndex=1&amp;dir=&amp;occ=first&amp;part=1&amp;text=&amp;doclang=pl&amp;cid=4388599" TargetMode="External"/><Relationship Id="rId93" Type="http://schemas.openxmlformats.org/officeDocument/2006/relationships/hyperlink" Target="https://curia.europa.eu/juris/document/document.jsf?text=&amp;docid=244198&amp;pageIndex=0&amp;doclang=pl&amp;mode=lst&amp;dir=&amp;occ=first&amp;part=1&amp;cid=41131" TargetMode="External"/><Relationship Id="rId98" Type="http://schemas.openxmlformats.org/officeDocument/2006/relationships/hyperlink" Target="https://curia.europa.eu/juris/document/document.jsf?text=&amp;docid=272966&amp;pageIndex=0&amp;doclang=pl&amp;mode=lst&amp;dir=&amp;occ=first&amp;part=1&amp;cid=2257971" TargetMode="External"/><Relationship Id="rId121" Type="http://schemas.openxmlformats.org/officeDocument/2006/relationships/hyperlink" Target="https://curia.europa.eu/juris/document/document.jsf?text=&amp;docid=267915&amp;pageIndex=0&amp;doclang=pl&amp;mode=lst&amp;dir=&amp;occ=first&amp;part=1&amp;cid=5932376" TargetMode="External"/><Relationship Id="rId3" Type="http://schemas.openxmlformats.org/officeDocument/2006/relationships/hyperlink" Target="https://curia.europa.eu/juris/document/document.jsf?text=&amp;docid=235710&amp;pageIndex=0&amp;doclang=pl&amp;mode=req&amp;dir=&amp;occ=first&amp;part=1&amp;cid=4498424" TargetMode="External"/><Relationship Id="rId12" Type="http://schemas.openxmlformats.org/officeDocument/2006/relationships/hyperlink" Target="https://curia.europa.eu/juris/document/document.jsf?text=&amp;docid=235710&amp;pageIndex=0&amp;doclang=pl&amp;mode=req&amp;dir=&amp;occ=first&amp;part=1&amp;cid=4498424" TargetMode="External"/><Relationship Id="rId17" Type="http://schemas.openxmlformats.org/officeDocument/2006/relationships/hyperlink" Target="https://curia.europa.eu/juris/document/document.jsf?text=&amp;docid=267126&amp;pageIndex=0&amp;doclang=pl&amp;mode=req&amp;dir=&amp;occ=first&amp;part=1&amp;cid=1456655" TargetMode="External"/><Relationship Id="rId25" Type="http://schemas.openxmlformats.org/officeDocument/2006/relationships/hyperlink" Target="https://curia.europa.eu/juris/document/document.jsf?text=&amp;docid=269149&amp;pageIndex=0&amp;doclang=pl&amp;mode=lst&amp;dir=&amp;occ=first&amp;part=1&amp;cid=1432718" TargetMode="External"/><Relationship Id="rId33" Type="http://schemas.openxmlformats.org/officeDocument/2006/relationships/hyperlink" Target="https://curia.europa.eu/juris/document/document.jsf?text=&amp;docid=274642&amp;pageIndex=0&amp;doclang=pl&amp;mode=lst&amp;dir=&amp;occ=first&amp;part=1&amp;cid=2183586" TargetMode="External"/><Relationship Id="rId38" Type="http://schemas.openxmlformats.org/officeDocument/2006/relationships/hyperlink" Target="https://curia.europa.eu/juris/document/document.jsf?text=&amp;docid=252341&amp;pageIndex=0&amp;doclang=PL&amp;mode=lst&amp;dir=&amp;occ=first&amp;part=1&amp;cid=2193153" TargetMode="External"/><Relationship Id="rId46" Type="http://schemas.openxmlformats.org/officeDocument/2006/relationships/hyperlink" Target="https://curia.europa.eu/juris/document/document.jsf?text=&amp;docid=235716&amp;pageIndex=0&amp;doclang=pl&amp;mode=lst&amp;dir=&amp;occ=first&amp;part=1&amp;cid=1735446" TargetMode="External"/><Relationship Id="rId59" Type="http://schemas.openxmlformats.org/officeDocument/2006/relationships/hyperlink" Target="https://curia.europa.eu/juris/document/document.jsf?text=&amp;docid=251201&amp;pageIndex=0&amp;doclang=pl&amp;mode=req&amp;dir=&amp;occ=first&amp;part=1&amp;cid=105061" TargetMode="External"/><Relationship Id="rId67" Type="http://schemas.openxmlformats.org/officeDocument/2006/relationships/hyperlink" Target="https://curia.europa.eu/juris/document/document.jsf?text=&amp;docid=245533&amp;pageIndex=0&amp;doclang=pl&amp;mode=req&amp;dir=&amp;occ=first&amp;part=1&amp;cid=845882" TargetMode="External"/><Relationship Id="rId103" Type="http://schemas.openxmlformats.org/officeDocument/2006/relationships/hyperlink" Target="https://curia.europa.eu/juris/document/document.jsf?text=&amp;docid=274863&amp;pageIndex=0&amp;doclang=PL&amp;mode=lst&amp;dir=&amp;occ=first&amp;part=1&amp;cid=2166686" TargetMode="External"/><Relationship Id="rId108" Type="http://schemas.openxmlformats.org/officeDocument/2006/relationships/hyperlink" Target="https://curia.europa.eu/juris/document/document.jsf?text=&amp;docid=258865&amp;pageIndex=0&amp;doclang=pl&amp;mode=lst&amp;dir=&amp;occ=first&amp;part=1&amp;cid=2177090" TargetMode="External"/><Relationship Id="rId116" Type="http://schemas.openxmlformats.org/officeDocument/2006/relationships/hyperlink" Target="https://curia.europa.eu/juris/document/document.jsf?text=&amp;docid=261282&amp;pageIndex=0&amp;doclang=pl&amp;mode=lst&amp;dir=&amp;occ=first&amp;part=1&amp;cid=2510541" TargetMode="External"/><Relationship Id="rId20" Type="http://schemas.openxmlformats.org/officeDocument/2006/relationships/hyperlink" Target="https://curia.europa.eu/juris/document/document.jsf?text=&amp;docid=244180&amp;pageIndex=0&amp;doclang=PL&amp;mode=lst&amp;dir=&amp;occ=first&amp;part=1&amp;cid=1456599" TargetMode="External"/><Relationship Id="rId41" Type="http://schemas.openxmlformats.org/officeDocument/2006/relationships/hyperlink" Target="https://eur-lex.europa.eu/legal-content/pl/TXT/?uri=CELEX:62021CO0085" TargetMode="External"/><Relationship Id="rId54" Type="http://schemas.openxmlformats.org/officeDocument/2006/relationships/hyperlink" Target="https://curia.europa.eu/juris/document/document.jsf?text=&amp;docid=243243&amp;pageIndex=0&amp;doclang=pl&amp;mode=lst&amp;dir=&amp;occ=first&amp;part=1&amp;cid=884422" TargetMode="External"/><Relationship Id="rId62" Type="http://schemas.openxmlformats.org/officeDocument/2006/relationships/hyperlink" Target="https://curia.europa.eu/juris/document/document.jsf?text=&amp;docid=251201&amp;pageIndex=0&amp;doclang=pl&amp;mode=req&amp;dir=&amp;occ=first&amp;part=1&amp;cid=105061" TargetMode="External"/><Relationship Id="rId70" Type="http://schemas.openxmlformats.org/officeDocument/2006/relationships/hyperlink" Target="https://curia.europa.eu/juris/document/document.jsf?text=&amp;docid=245533&amp;pageIndex=0&amp;doclang=pl&amp;mode=req&amp;dir=&amp;occ=first&amp;part=1&amp;cid=845882" TargetMode="External"/><Relationship Id="rId75" Type="http://schemas.openxmlformats.org/officeDocument/2006/relationships/hyperlink" Target="https://curia.europa.eu/juris/document/document.jsf?text=&amp;docid=244182&amp;pageIndex=0&amp;doclang=pl&amp;mode=lst&amp;dir=&amp;occ=first&amp;part=1&amp;cid=847449" TargetMode="External"/><Relationship Id="rId83" Type="http://schemas.openxmlformats.org/officeDocument/2006/relationships/hyperlink" Target="https://curia.europa.eu/juris/document/document.jsf?text=&amp;docid=265547&amp;pageIndex=0&amp;doclang=pl&amp;mode=lst&amp;dir=&amp;occ=first&amp;part=1&amp;cid=2080078" TargetMode="External"/><Relationship Id="rId88" Type="http://schemas.openxmlformats.org/officeDocument/2006/relationships/hyperlink" Target="https://curia.europa.eu/juris/document/document.jsf?text=&amp;docid=232081&amp;pageIndex=0&amp;doclang=pl&amp;mode=lst&amp;dir=&amp;occ=first&amp;part=1&amp;cid=6173712" TargetMode="External"/><Relationship Id="rId91" Type="http://schemas.openxmlformats.org/officeDocument/2006/relationships/hyperlink" Target="https://curia.europa.eu/juris/document/document.jsf?text=&amp;docid=244198&amp;pageIndex=0&amp;doclang=pl&amp;mode=lst&amp;dir=&amp;occ=first&amp;part=1&amp;cid=41131" TargetMode="External"/><Relationship Id="rId96" Type="http://schemas.openxmlformats.org/officeDocument/2006/relationships/hyperlink" Target="https://curia.europa.eu/juris/document/document.jsf?text=&amp;docid=272966&amp;pageIndex=0&amp;doclang=pl&amp;mode=lst&amp;dir=&amp;occ=first&amp;part=1&amp;cid=2257971" TargetMode="External"/><Relationship Id="rId111" Type="http://schemas.openxmlformats.org/officeDocument/2006/relationships/hyperlink" Target="https://curia.europa.eu/juris/document/document.jsf?text=&amp;docid=241169&amp;pageIndex=0&amp;doclang=pl&amp;mode=req&amp;dir=&amp;occ=first&amp;part=1&amp;cid=241391" TargetMode="External"/><Relationship Id="rId1" Type="http://schemas.openxmlformats.org/officeDocument/2006/relationships/hyperlink" Target="https://eur-lex.europa.eu/legal-content/PL/TXT/PDF/?uri=CELEX:52020DC0730&amp;qid=1682429814881" TargetMode="External"/><Relationship Id="rId6" Type="http://schemas.openxmlformats.org/officeDocument/2006/relationships/hyperlink" Target="https://curia.europa.eu/juris/document/document.jsf?text=&amp;docid=268789&amp;pageIndex=0&amp;doclang=PL&amp;mode=lst&amp;dir=&amp;occ=first&amp;part=1&amp;cid=4499276" TargetMode="External"/><Relationship Id="rId15" Type="http://schemas.openxmlformats.org/officeDocument/2006/relationships/hyperlink" Target="https://curia.europa.eu/juris/document/document.jsf?text=%2522Non-discrimination%2Bon%2Bgrounds%2Bof%2Bnationality%2522&amp;docid=253726&amp;pageIndex=0&amp;doclang=PL&amp;mode=req&amp;dir=&amp;occ=first&amp;part=1&amp;cid=6048896" TargetMode="External"/><Relationship Id="rId23" Type="http://schemas.openxmlformats.org/officeDocument/2006/relationships/hyperlink" Target="https://curia.europa.eu/jcms/upload/docs/application/pdf/2022-06/cp220092pl.pdf" TargetMode="External"/><Relationship Id="rId28" Type="http://schemas.openxmlformats.org/officeDocument/2006/relationships/hyperlink" Target="https://curia.europa.eu/juris/document/document.jsf?text=&amp;docid=269149&amp;pageIndex=0&amp;doclang=pl&amp;mode=lst&amp;dir=&amp;occ=first&amp;part=1&amp;cid=1432718" TargetMode="External"/><Relationship Id="rId36" Type="http://schemas.openxmlformats.org/officeDocument/2006/relationships/hyperlink" Target="https://curia.europa.eu/juris/document/document.jsf?text=&amp;docid=75336&amp;pageIndex=0&amp;doclang=PL&amp;mode=lst&amp;dir=&amp;occ=first&amp;part=1&amp;cid=2198639" TargetMode="External"/><Relationship Id="rId49" Type="http://schemas.openxmlformats.org/officeDocument/2006/relationships/hyperlink" Target="https://curia.europa.eu/juris/document/document.jsf?text=&amp;docid=235716&amp;pageIndex=0&amp;doclang=pl&amp;mode=lst&amp;dir=&amp;occ=first&amp;part=1&amp;cid=1735446" TargetMode="External"/><Relationship Id="rId57" Type="http://schemas.openxmlformats.org/officeDocument/2006/relationships/hyperlink" Target="https://curia.europa.eu/juris/document/document.jsf?text=&amp;docid=251201&amp;pageIndex=0&amp;doclang=pl&amp;mode=req&amp;dir=&amp;occ=first&amp;part=1&amp;cid=105061" TargetMode="External"/><Relationship Id="rId106" Type="http://schemas.openxmlformats.org/officeDocument/2006/relationships/hyperlink" Target="https://curia.europa.eu/juris/document/document.jsf?text=&amp;docid=274863&amp;pageIndex=0&amp;doclang=PL&amp;mode=lst&amp;dir=&amp;occ=first&amp;part=1&amp;cid=2166686" TargetMode="External"/><Relationship Id="rId114" Type="http://schemas.openxmlformats.org/officeDocument/2006/relationships/hyperlink" Target="https://curia.europa.eu/juris/document/document.jsf?text=&amp;docid=233924&amp;pageIndex=0&amp;doclang=pl&amp;mode=req&amp;dir=&amp;occ=first&amp;part=1&amp;cid=241391" TargetMode="External"/><Relationship Id="rId119" Type="http://schemas.openxmlformats.org/officeDocument/2006/relationships/hyperlink" Target="https://curia.europa.eu/juris/document/document.jsf?text=&amp;docid=261282&amp;pageIndex=0&amp;doclang=pl&amp;mode=lst&amp;dir=&amp;occ=first&amp;part=1&amp;cid=2510541" TargetMode="External"/><Relationship Id="rId10" Type="http://schemas.openxmlformats.org/officeDocument/2006/relationships/hyperlink" Target="https://curia.europa.eu/juris/document/document.jsf?text=&amp;docid=183097&amp;pageIndex=0&amp;doclang=pl&amp;mode=lst&amp;dir=&amp;occ=first&amp;part=1&amp;cid=2212768" TargetMode="External"/><Relationship Id="rId31" Type="http://schemas.openxmlformats.org/officeDocument/2006/relationships/hyperlink" Target="https://eur-lex.europa.eu/legal-content/pl/TXT/?uri=CELEX:62021CJ0502" TargetMode="External"/><Relationship Id="rId44" Type="http://schemas.openxmlformats.org/officeDocument/2006/relationships/hyperlink" Target="https://curia.europa.eu/juris/document/document.jsf?text=&amp;docid=235716&amp;pageIndex=0&amp;doclang=pl&amp;mode=lst&amp;dir=&amp;occ=first&amp;part=1&amp;cid=1735446" TargetMode="External"/><Relationship Id="rId52" Type="http://schemas.openxmlformats.org/officeDocument/2006/relationships/hyperlink" Target="https://curia.europa.eu/juris/document/document.jsf?text=&amp;docid=243243&amp;pageIndex=0&amp;doclang=pl&amp;mode=lst&amp;dir=&amp;occ=first&amp;part=1&amp;cid=884422" TargetMode="External"/><Relationship Id="rId60" Type="http://schemas.openxmlformats.org/officeDocument/2006/relationships/hyperlink" Target="https://curia.europa.eu/juris/document/document.jsf?text=&amp;docid=251201&amp;pageIndex=0&amp;doclang=pl&amp;mode=req&amp;dir=&amp;occ=first&amp;part=1&amp;cid=105061" TargetMode="External"/><Relationship Id="rId65" Type="http://schemas.openxmlformats.org/officeDocument/2006/relationships/hyperlink" Target="https://curia.europa.eu/juris/document/document.jsf?text=&amp;docid=262081&amp;pageIndex=0&amp;doclang=pl&amp;mode=lst&amp;dir=&amp;occ=first&amp;part=1&amp;cid=1711192" TargetMode="External"/><Relationship Id="rId73" Type="http://schemas.openxmlformats.org/officeDocument/2006/relationships/hyperlink" Target="https://curia.europa.eu/juris/document/document.jsf?text=&amp;docid=244182&amp;pageIndex=0&amp;doclang=pl&amp;mode=lst&amp;dir=&amp;occ=first&amp;part=1&amp;cid=847449" TargetMode="External"/><Relationship Id="rId78" Type="http://schemas.openxmlformats.org/officeDocument/2006/relationships/hyperlink" Target="https://curia.europa.eu/juris/document/document.jsf?text=&amp;docid=265547&amp;pageIndex=0&amp;doclang=pl&amp;mode=lst&amp;dir=&amp;occ=first&amp;part=1&amp;cid=2080078" TargetMode="External"/><Relationship Id="rId81" Type="http://schemas.openxmlformats.org/officeDocument/2006/relationships/hyperlink" Target="https://curia.europa.eu/juris/document/document.jsf?text=&amp;docid=265547&amp;pageIndex=0&amp;doclang=pl&amp;mode=lst&amp;dir=&amp;occ=first&amp;part=1&amp;cid=2080078" TargetMode="External"/><Relationship Id="rId86" Type="http://schemas.openxmlformats.org/officeDocument/2006/relationships/hyperlink" Target="https://curia.europa.eu/juris/document/document.jsf?text=&amp;docid=232081&amp;pageIndex=0&amp;doclang=pl&amp;mode=lst&amp;dir=&amp;occ=first&amp;part=1&amp;cid=6173712" TargetMode="External"/><Relationship Id="rId94" Type="http://schemas.openxmlformats.org/officeDocument/2006/relationships/hyperlink" Target="https://curia.europa.eu/juris/document/document.jsf?text=&amp;docid=272966&amp;pageIndex=0&amp;doclang=pl&amp;mode=lst&amp;dir=&amp;occ=first&amp;part=1&amp;cid=2257971" TargetMode="External"/><Relationship Id="rId99" Type="http://schemas.openxmlformats.org/officeDocument/2006/relationships/hyperlink" Target="https://curia.europa.eu/juris/document/document.jsf?text=&amp;docid=265002&amp;pageIndex=0&amp;doclang=pl&amp;mode=lst&amp;dir=&amp;occ=first&amp;part=1&amp;cid=2160235" TargetMode="External"/><Relationship Id="rId101" Type="http://schemas.openxmlformats.org/officeDocument/2006/relationships/hyperlink" Target="https://curia.europa.eu/juris/document/document.jsf?text=&amp;docid=265002&amp;pageIndex=0&amp;doclang=pl&amp;mode=lst&amp;dir=&amp;occ=first&amp;part=1&amp;cid=2160235" TargetMode="External"/><Relationship Id="rId4" Type="http://schemas.openxmlformats.org/officeDocument/2006/relationships/hyperlink" Target="https://curia.europa.eu/juris/document/document.jsf?text=&amp;docid=211561&amp;pageIndex=0&amp;doclang=pl&amp;mode=lst&amp;dir=&amp;occ=first&amp;part=1&amp;cid=2198693" TargetMode="External"/><Relationship Id="rId9" Type="http://schemas.openxmlformats.org/officeDocument/2006/relationships/hyperlink" Target="https://curia.europa.eu/juris/document/document.jsf?text=&amp;docid=235710&amp;pageIndex=0&amp;doclang=pl&amp;mode=req&amp;dir=&amp;occ=first&amp;part=1&amp;cid=4498424" TargetMode="External"/><Relationship Id="rId13" Type="http://schemas.openxmlformats.org/officeDocument/2006/relationships/hyperlink" Target="https://curia.europa.eu/juris/document/document.jsf?text=%2522Non-discrimination%2Bon%2Bgrounds%2Bof%2Bnationality%2522&amp;docid=253726&amp;pageIndex=0&amp;doclang=PL&amp;mode=req&amp;dir=&amp;occ=first&amp;part=1&amp;cid=6048896" TargetMode="External"/><Relationship Id="rId18" Type="http://schemas.openxmlformats.org/officeDocument/2006/relationships/hyperlink" Target="https://curia.europa.eu/juris/document/document.jsf?text=&amp;docid=188852&amp;pageIndex=0&amp;doclang=pl&amp;mode=lst&amp;dir=&amp;occ=first&amp;part=1&amp;cid=2050181" TargetMode="External"/><Relationship Id="rId39" Type="http://schemas.openxmlformats.org/officeDocument/2006/relationships/hyperlink" Target="https://curia.europa.eu/juris/document/document.jsf?text=&amp;docid=260522&amp;pageIndex=0&amp;doclang=PL&amp;mode=req&amp;dir=&amp;occ=first&amp;part=1&amp;cid=2204278" TargetMode="External"/><Relationship Id="rId109" Type="http://schemas.openxmlformats.org/officeDocument/2006/relationships/hyperlink" Target="https://curia.europa.eu/juris/document/document.jsf?text=&amp;docid=258865&amp;pageIndex=0&amp;doclang=pl&amp;mode=lst&amp;dir=&amp;occ=first&amp;part=1&amp;cid=2177090" TargetMode="External"/><Relationship Id="rId34" Type="http://schemas.openxmlformats.org/officeDocument/2006/relationships/hyperlink" Target="https://eur-lex.europa.eu/legal-content/pl/TXT/?uri=CELEX:62021CJ0502" TargetMode="External"/><Relationship Id="rId50" Type="http://schemas.openxmlformats.org/officeDocument/2006/relationships/hyperlink" Target="https://curia.europa.eu/juris/document/document.jsf?text=&amp;docid=243243&amp;pageIndex=0&amp;doclang=pl&amp;mode=lst&amp;dir=&amp;occ=first&amp;part=1&amp;cid=884422" TargetMode="External"/><Relationship Id="rId55" Type="http://schemas.openxmlformats.org/officeDocument/2006/relationships/hyperlink" Target="https://curia.europa.eu/juris/document/document.jsf?text=&amp;docid=243243&amp;pageIndex=0&amp;doclang=pl&amp;mode=lst&amp;dir=&amp;occ=first&amp;part=1&amp;cid=884422" TargetMode="External"/><Relationship Id="rId76" Type="http://schemas.openxmlformats.org/officeDocument/2006/relationships/hyperlink" Target="https://curia.europa.eu/juris/document/document.jsf?text=&amp;docid=255423&amp;pageIndex=0&amp;doclang=pl&amp;mode=req&amp;dir=&amp;occ=first&amp;part=1&amp;cid=91746" TargetMode="External"/><Relationship Id="rId97" Type="http://schemas.openxmlformats.org/officeDocument/2006/relationships/hyperlink" Target="https://curia.europa.eu/juris/document/document.jsf?text=&amp;docid=272966&amp;pageIndex=0&amp;doclang=pl&amp;mode=lst&amp;dir=&amp;occ=first&amp;part=1&amp;cid=2257971" TargetMode="External"/><Relationship Id="rId104" Type="http://schemas.openxmlformats.org/officeDocument/2006/relationships/hyperlink" Target="https://curia.europa.eu/juris/document/document.jsf?text=&amp;docid=274863&amp;pageIndex=0&amp;doclang=PL&amp;mode=lst&amp;dir=&amp;occ=first&amp;part=1&amp;cid=2166686" TargetMode="External"/><Relationship Id="rId120" Type="http://schemas.openxmlformats.org/officeDocument/2006/relationships/hyperlink" Target="https://curia.europa.eu/juris/document/document.jsf?text=&amp;docid=249023&amp;pageIndex=0&amp;doclang=pl&amp;mode=req&amp;dir=&amp;occ=first&amp;part=1&amp;cid=5940280" TargetMode="External"/><Relationship Id="rId7" Type="http://schemas.openxmlformats.org/officeDocument/2006/relationships/hyperlink" Target="https://curia.europa.eu/juris/document/document.jsf?text=&amp;docid=224890&amp;pageIndex=0&amp;doclang=PL&amp;mode=lst&amp;dir=&amp;occ=first&amp;part=1&amp;cid=2211699" TargetMode="External"/><Relationship Id="rId71" Type="http://schemas.openxmlformats.org/officeDocument/2006/relationships/hyperlink" Target="https://curia.europa.eu/juris/document/document.jsf?text=&amp;docid=244182&amp;pageIndex=0&amp;doclang=pl&amp;mode=lst&amp;dir=&amp;occ=first&amp;part=1&amp;cid=847449" TargetMode="External"/><Relationship Id="rId92" Type="http://schemas.openxmlformats.org/officeDocument/2006/relationships/hyperlink" Target="https://curia.europa.eu/juris/document/document.jsf?text=&amp;docid=244198&amp;pageIndex=0&amp;doclang=pl&amp;mode=lst&amp;dir=&amp;occ=first&amp;part=1&amp;cid=41131" TargetMode="External"/><Relationship Id="rId2" Type="http://schemas.openxmlformats.org/officeDocument/2006/relationships/hyperlink" Target="https://curia.europa.eu/juris/document/document.jsf?text=&amp;docid=268789&amp;pageIndex=0&amp;doclang=PL&amp;mode=lst&amp;dir=&amp;occ=first&amp;part=1&amp;cid=4499276" TargetMode="External"/><Relationship Id="rId29" Type="http://schemas.openxmlformats.org/officeDocument/2006/relationships/hyperlink" Target="https://curia.europa.eu/juris/document/document.jsf?text=&amp;docid=274657&amp;pageIndex=0&amp;doclang=en&amp;mode=lst&amp;dir=&amp;occ=first&amp;part=1&amp;cid=2182776" TargetMode="External"/><Relationship Id="rId24" Type="http://schemas.openxmlformats.org/officeDocument/2006/relationships/hyperlink" Target="https://curia.europa.eu/juris/document/document.jsf?text=&amp;docid=260182&amp;pageIndex=0&amp;doclang=pl&amp;mode=lst&amp;dir=&amp;occ=first&amp;part=1&amp;cid=1425556" TargetMode="External"/><Relationship Id="rId40" Type="http://schemas.openxmlformats.org/officeDocument/2006/relationships/hyperlink" Target="https://eur-lex.europa.eu/legal-content/pl/TXT/?uri=CELEX:62021CO0085" TargetMode="External"/><Relationship Id="rId45" Type="http://schemas.openxmlformats.org/officeDocument/2006/relationships/hyperlink" Target="https://curia.europa.eu/juris/document/document.jsf?text=&amp;docid=235716&amp;pageIndex=0&amp;doclang=pl&amp;mode=lst&amp;dir=&amp;occ=first&amp;part=1&amp;cid=1735446" TargetMode="External"/><Relationship Id="rId66" Type="http://schemas.openxmlformats.org/officeDocument/2006/relationships/hyperlink" Target="https://curia.europa.eu/juris/document/document.jsf?text=&amp;docid=245533&amp;pageIndex=0&amp;doclang=pl&amp;mode=req&amp;dir=&amp;occ=first&amp;part=1&amp;cid=845882" TargetMode="External"/><Relationship Id="rId87" Type="http://schemas.openxmlformats.org/officeDocument/2006/relationships/hyperlink" Target="https://curia.europa.eu/juris/document/document.jsf?text=&amp;docid=232081&amp;pageIndex=0&amp;doclang=pl&amp;mode=lst&amp;dir=&amp;occ=first&amp;part=1&amp;cid=6173712" TargetMode="External"/><Relationship Id="rId110" Type="http://schemas.openxmlformats.org/officeDocument/2006/relationships/hyperlink" Target="https://curia.europa.eu/juris/document/document.jsf?text=&amp;docid=258865&amp;pageIndex=0&amp;doclang=pl&amp;mode=lst&amp;dir=&amp;occ=first&amp;part=1&amp;cid=2177090" TargetMode="External"/><Relationship Id="rId115" Type="http://schemas.openxmlformats.org/officeDocument/2006/relationships/hyperlink" Target="https://curia.europa.eu/juris/document/document.jsf?text=&amp;docid=233924&amp;pageIndex=0&amp;doclang=pl&amp;mode=req&amp;dir=&amp;occ=first&amp;part=1&amp;cid=241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E101D-C85C-4E9E-AEC4-B1EE9D85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14440</Words>
  <Characters>82314</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2023-12-03T12:14:00Z</dcterms:created>
  <dcterms:modified xsi:type="dcterms:W3CDTF">2024-02-14T14:43:00Z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2023-11-27T11:41:32Z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3c1e0815-0f03-4937-8609-ccd0b6b037e5</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2</vt:lpwstr>
  </property>
  <property fmtid="{D5CDD505-2E9C-101B-9397-08002B2CF9AE}" pid="14" name="Unique annex">
    <vt:lpwstr>0</vt:lpwstr>
  </property>
  <property fmtid="{D5CDD505-2E9C-101B-9397-08002B2CF9AE}" pid="15" name="Part">
    <vt:lpwstr>&lt;UNUSED&gt;</vt:lpwstr>
  </property>
  <property fmtid="{D5CDD505-2E9C-101B-9397-08002B2CF9AE}" pid="16" name="Total parts">
    <vt:lpwstr>&lt;UNUSED&gt;</vt:lpwstr>
  </property>
  <property fmtid="{D5CDD505-2E9C-101B-9397-08002B2CF9AE}" pid="17" name="CPTemplateID">
    <vt:lpwstr>CP-039</vt:lpwstr>
  </property>
</Properties>
</file>