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8A1E" w14:textId="6BC0973A" w:rsidR="00A67869" w:rsidRPr="002C2B4F" w:rsidRDefault="00074DF6" w:rsidP="00B93A77">
      <w:pPr>
        <w:pStyle w:val="Pagedecouverture"/>
        <w:rPr>
          <w:noProof/>
        </w:rPr>
      </w:pPr>
      <w:r>
        <w:rPr>
          <w:noProof/>
        </w:rPr>
        <w:pict w14:anchorId="1D108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13A2AF0-5644-4391-982C-DD23E3F1B9ED" style="width:455.25pt;height:341.25pt">
            <v:imagedata r:id="rId8" o:title=""/>
          </v:shape>
        </w:pict>
      </w:r>
    </w:p>
    <w:p w14:paraId="7AC5A4D8" w14:textId="77777777" w:rsidR="00307A70" w:rsidRPr="002C2B4F" w:rsidRDefault="00307A70" w:rsidP="00307A70">
      <w:pPr>
        <w:pStyle w:val="Pagedecouverture"/>
        <w:rPr>
          <w:noProof/>
          <w:lang w:eastAsia="nl-NL"/>
        </w:rPr>
        <w:sectPr w:rsidR="00307A70" w:rsidRPr="002C2B4F" w:rsidSect="00B93A77">
          <w:footerReference w:type="even" r:id="rId9"/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0B51EDBB" w14:textId="4C9714AE" w:rsidR="007E5093" w:rsidRPr="002C2B4F" w:rsidRDefault="007E5093" w:rsidP="007E5093">
      <w:pPr>
        <w:pStyle w:val="Exposdesmotifstitre"/>
        <w:rPr>
          <w:noProof/>
        </w:rPr>
      </w:pPr>
      <w:r w:rsidRPr="002C2B4F">
        <w:rPr>
          <w:noProof/>
        </w:rPr>
        <w:lastRenderedPageBreak/>
        <w:t xml:space="preserve">DŮVODOVÁ ZPRÁVA </w:t>
      </w:r>
    </w:p>
    <w:p w14:paraId="6119CAC4" w14:textId="6D5DA046" w:rsidR="007E5093" w:rsidRPr="002C2B4F" w:rsidRDefault="007E5093" w:rsidP="007E5093">
      <w:pPr>
        <w:pStyle w:val="ManualHeading1"/>
        <w:rPr>
          <w:noProof/>
        </w:rPr>
      </w:pPr>
      <w:r w:rsidRPr="002C2B4F">
        <w:rPr>
          <w:noProof/>
        </w:rPr>
        <w:t>1.</w:t>
      </w:r>
      <w:r w:rsidRPr="002C2B4F">
        <w:rPr>
          <w:noProof/>
        </w:rPr>
        <w:tab/>
        <w:t>SO</w:t>
      </w:r>
      <w:r w:rsidR="002C2B4F">
        <w:rPr>
          <w:rStyle w:val="Strong"/>
          <w:noProof/>
        </w:rPr>
        <w:t>pro bezpečnost výzkumu</w:t>
      </w:r>
      <w:r w:rsidRPr="002C2B4F">
        <w:rPr>
          <w:noProof/>
        </w:rPr>
        <w:t>UVISLOSTI NÁVRHU</w:t>
      </w:r>
    </w:p>
    <w:p w14:paraId="3584A502" w14:textId="77777777" w:rsidR="007E5093" w:rsidRPr="002C2B4F" w:rsidRDefault="007E5093" w:rsidP="007E5093">
      <w:pPr>
        <w:pStyle w:val="ManualHeading2"/>
        <w:rPr>
          <w:rFonts w:eastAsia="Arial Unicode MS"/>
          <w:noProof/>
        </w:rPr>
      </w:pPr>
      <w:r w:rsidRPr="002C2B4F">
        <w:rPr>
          <w:noProof/>
          <w:color w:val="000000"/>
          <w:u w:color="000000"/>
          <w:bdr w:val="nil"/>
        </w:rPr>
        <w:t>•</w:t>
      </w:r>
      <w:r w:rsidRPr="002C2B4F">
        <w:rPr>
          <w:noProof/>
          <w:color w:val="000000"/>
          <w:u w:color="000000"/>
          <w:bdr w:val="nil"/>
        </w:rPr>
        <w:tab/>
      </w:r>
      <w:r w:rsidRPr="002C2B4F">
        <w:rPr>
          <w:noProof/>
        </w:rPr>
        <w:t>Odůvodnění a cíle návrhu</w:t>
      </w:r>
    </w:p>
    <w:p w14:paraId="3CBB1578" w14:textId="77777777" w:rsidR="003F01A0" w:rsidRPr="002C2B4F" w:rsidRDefault="003F01A0" w:rsidP="007E5093">
      <w:pPr>
        <w:rPr>
          <w:noProof/>
        </w:rPr>
      </w:pPr>
      <w:r w:rsidRPr="002C2B4F">
        <w:rPr>
          <w:noProof/>
        </w:rPr>
        <w:t>Jak je uvedeno v Evropské strategii hospodářské bezpečnosti zveřejněné v červnu 2023</w:t>
      </w:r>
      <w:r w:rsidR="00735A4E" w:rsidRPr="002C2B4F">
        <w:rPr>
          <w:rStyle w:val="FootnoteReference"/>
          <w:noProof/>
        </w:rPr>
        <w:footnoteReference w:id="1"/>
      </w:r>
      <w:r w:rsidRPr="002C2B4F">
        <w:rPr>
          <w:noProof/>
        </w:rPr>
        <w:t>, celosvětově narůstající geopolitické napětí a nepřátelská hospodářská opatření, kybernetické útoky a útoky na kritickou infrastrukturu, zahraniční vměšování a dezinformace odhalily rizika a zranitelná místa v našich společnostech, ekonomikách a podnicích. V některých případech se ukázalo, že Evropa by měla být lépe připravena na vyvíjející se, nová a vznikající rizika, která se objevila v tomto náročnějším geopolitickém kontextu.</w:t>
      </w:r>
    </w:p>
    <w:p w14:paraId="70336AF7" w14:textId="77777777" w:rsidR="002A1184" w:rsidRPr="002C2B4F" w:rsidRDefault="002A1184" w:rsidP="007E5093">
      <w:pPr>
        <w:rPr>
          <w:noProof/>
        </w:rPr>
      </w:pPr>
      <w:r w:rsidRPr="002C2B4F">
        <w:rPr>
          <w:noProof/>
        </w:rPr>
        <w:t xml:space="preserve">Klíčovou roli v tomto kontextu hrají technologie kritického a dvojího užití, přičemž někteří naši konkurenti využívají vznikající a přelomové technologie k posílení svých politických, hospodářských a vojenských pozic. V důsledku toho mohou být evropský výzkum a inovace zasaženy zlovolným vlivem a zneužity způsobem, který postihne naši bezpečnost nebo poruší naše etické normy. </w:t>
      </w:r>
    </w:p>
    <w:p w14:paraId="7F9B85C8" w14:textId="77777777" w:rsidR="000D2400" w:rsidRPr="002C2B4F" w:rsidRDefault="00AD7328" w:rsidP="007E5093">
      <w:pPr>
        <w:rPr>
          <w:noProof/>
        </w:rPr>
      </w:pPr>
      <w:r w:rsidRPr="002C2B4F">
        <w:rPr>
          <w:noProof/>
        </w:rPr>
        <w:t xml:space="preserve">Odvětví výzkumu a inovací je obzvláště zranitelné kvůli své otevřenosti a internacionalizaci, které jsou jeho nedílnou součástí. Zvýšení bezpečnosti výzkumu v odvětví výzkumu a inovací v celé Evropě proto vyžaduje individuální přístup, který bude pevně zakotven v akademické svobodě a institucionální autonomii, což jsou zásady, které jsou pro výzkum a inovace základem. </w:t>
      </w:r>
    </w:p>
    <w:p w14:paraId="0C6833D5" w14:textId="77777777" w:rsidR="004F6787" w:rsidRPr="002C2B4F" w:rsidRDefault="000D2400" w:rsidP="007E5093">
      <w:pPr>
        <w:rPr>
          <w:noProof/>
        </w:rPr>
      </w:pPr>
      <w:r w:rsidRPr="002C2B4F">
        <w:rPr>
          <w:noProof/>
        </w:rPr>
        <w:t xml:space="preserve">Vysokoškolské instituce a organizace provádějící výzkum se musí pohybovat ve stále složitějším a napjatějším mezinárodním prostředí. Evropská unie má povinnost jim při plném respektování akademické svobody a institucionální autonomie pomáhat tento terén odpovědně a bezpečně zdolávat. </w:t>
      </w:r>
    </w:p>
    <w:p w14:paraId="149934B2" w14:textId="77777777" w:rsidR="007E5093" w:rsidRPr="002C2B4F" w:rsidRDefault="007E5093" w:rsidP="007E5093">
      <w:pPr>
        <w:rPr>
          <w:noProof/>
        </w:rPr>
      </w:pPr>
      <w:r w:rsidRPr="002C2B4F">
        <w:rPr>
          <w:noProof/>
        </w:rPr>
        <w:t xml:space="preserve">Navrhované doporučení Rady poprvé předkládá společnou definici problému a sdílený pocit naléhavosti. Poskytuje politické vodítko, jak by mohla vypadat účinná politická reakce, přičemž bere v úvahu, že velká část práce v oblasti bezpečnosti výzkumu se týká hledání cest „šedými zónami“, kde určité formy mezinárodní spolupráce v oblasti výzkumu a inovací sice nejsou zakázány, ale přesto jsou nežádoucí, protože představují riziko pro bezpečnost Unie a jejích členských států nebo jsou neetické. </w:t>
      </w:r>
    </w:p>
    <w:p w14:paraId="54873A9F" w14:textId="77777777" w:rsidR="007E5093" w:rsidRPr="002C2B4F" w:rsidRDefault="007E5093" w:rsidP="007E5093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 w:rsidRPr="002C2B4F">
        <w:rPr>
          <w:noProof/>
          <w:color w:val="000000"/>
          <w:u w:color="000000"/>
          <w:bdr w:val="nil"/>
        </w:rPr>
        <w:t>•</w:t>
      </w:r>
      <w:r w:rsidRPr="002C2B4F">
        <w:rPr>
          <w:noProof/>
          <w:color w:val="000000"/>
          <w:u w:color="000000"/>
          <w:bdr w:val="nil"/>
        </w:rPr>
        <w:tab/>
      </w:r>
      <w:r w:rsidRPr="002C2B4F">
        <w:rPr>
          <w:noProof/>
        </w:rPr>
        <w:t>Soulad s platnými předpisy v této oblasti politiky</w:t>
      </w:r>
    </w:p>
    <w:p w14:paraId="62E0DB2C" w14:textId="77777777" w:rsidR="00CF6DD2" w:rsidRPr="002C2B4F" w:rsidRDefault="00CF6DD2" w:rsidP="007E5093">
      <w:pPr>
        <w:rPr>
          <w:noProof/>
        </w:rPr>
      </w:pPr>
      <w:r w:rsidRPr="002C2B4F">
        <w:rPr>
          <w:noProof/>
        </w:rPr>
        <w:t>Evropská strategie hospodářské bezpečnosti je založena na třípilířovém přístupu: podpora hospodářské základny EU a její konkurenceschopnosti, ochrana před riziky pro hospodářskou bezpečnost a partnerství s co nejširším okruhem zemí za účelem řešení sdílených obav a zájmů. Jejím cílem je poskytnout rámec pro důkladné posouzení a řízení rizik ohrožujících hospodářskou bezpečnost na úrovni EU, členských států a podniků a zároveň zachovat a zvýšit naši hospodářskou dynamiku. </w:t>
      </w:r>
    </w:p>
    <w:p w14:paraId="67451906" w14:textId="77777777" w:rsidR="007E5093" w:rsidRPr="002C2B4F" w:rsidRDefault="007E5093" w:rsidP="007E5093">
      <w:pPr>
        <w:rPr>
          <w:noProof/>
        </w:rPr>
      </w:pPr>
      <w:r w:rsidRPr="002C2B4F">
        <w:rPr>
          <w:noProof/>
        </w:rPr>
        <w:t>Ve strategii se Komise zavázala, že „navrhne opatření ke zlepšení bezpečnosti výzkumu, která zajistí systematické a důsledné prosazování stávajících nástrojů a určí a vyřeší případné zbývající nedostatky, přičemž zachová otevřenost inovačního ekosystému“. Návrh doporučení Rady naplňuje tento závazek tím, že formuluje hlavní zásady odpovědné internacionalizace a klíčová politická opatření na vnitrostátní a odvětvové úrovni s cílem zvýšit bezpečnost výzkumu a uvádí seznam iniciativ na úrovni EU na podporu úsilí členských států a odvětví.</w:t>
      </w:r>
    </w:p>
    <w:p w14:paraId="60DDE68D" w14:textId="77777777" w:rsidR="004469A7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lastRenderedPageBreak/>
        <w:t>Návrh doporučení doplňuje práci probíhající od května 2021, kdy Komise zveřejnila sdělení o globálním přístupu k výzkumu a inovacím, a vychází z ní</w:t>
      </w:r>
      <w:r w:rsidRPr="002C2B4F">
        <w:rPr>
          <w:rStyle w:val="FootnoteReference"/>
          <w:rFonts w:eastAsia="Arial Unicode MS"/>
          <w:noProof/>
        </w:rPr>
        <w:footnoteReference w:id="2"/>
      </w:r>
      <w:r w:rsidRPr="002C2B4F">
        <w:rPr>
          <w:noProof/>
        </w:rPr>
        <w:t xml:space="preserve">. V uvedeném sdělení představila strategii EU zaměřenou na zachování otevřenosti v mezinárodní spolupráci v oblasti výzkumu a inovací a současně prosazovala rovné podmínky a reciprocitu založenou na základních hodnotách. </w:t>
      </w:r>
    </w:p>
    <w:p w14:paraId="3BE2943A" w14:textId="77777777" w:rsidR="007E5093" w:rsidRPr="002C2B4F" w:rsidRDefault="004469A7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>Prostřednictvím svých závěrů ze září 2021 o globálním přístupu udělila Rada mandát k práci na boji proti zahraničnímu vměšování do výzkumu a inovací.</w:t>
      </w:r>
      <w:r w:rsidR="007E5093" w:rsidRPr="002C2B4F">
        <w:rPr>
          <w:rStyle w:val="FootnoteReference"/>
          <w:rFonts w:eastAsia="Arial Unicode MS"/>
          <w:noProof/>
        </w:rPr>
        <w:footnoteReference w:id="3"/>
      </w:r>
      <w:r w:rsidRPr="002C2B4F">
        <w:rPr>
          <w:noProof/>
        </w:rPr>
        <w:t xml:space="preserve"> Na tomto základě byly provedeny důležité následné iniciativy, zejména pracovní dokument útvarů Komise o boji proti zahraničnímu vměšování do výzkumu a inovací, který byl přijat v lednu 2022.</w:t>
      </w:r>
      <w:r w:rsidR="00AC60D3" w:rsidRPr="002C2B4F">
        <w:rPr>
          <w:rStyle w:val="FootnoteReference"/>
          <w:rFonts w:eastAsia="Arial Unicode MS"/>
          <w:noProof/>
        </w:rPr>
        <w:footnoteReference w:id="4"/>
      </w:r>
      <w:r w:rsidRPr="002C2B4F">
        <w:rPr>
          <w:noProof/>
        </w:rPr>
        <w:t xml:space="preserve"> Tento dokument slouží členským státům a zúčastněným stranám v oblasti výzkumu a inovací jako základ pro diskusi o bezpečnosti výzkumu a jako zdroj inspirace pro vypracování vlastních pokynů a nástrojů na míru. Evropský parlament tento dokument uvítal ve svém usnesení ze dne 6. dubna 2022 o globálním přístupu.</w:t>
      </w:r>
      <w:r w:rsidR="00A07510" w:rsidRPr="002C2B4F">
        <w:rPr>
          <w:rStyle w:val="FootnoteReference"/>
          <w:rFonts w:eastAsia="Arial Unicode MS"/>
          <w:noProof/>
        </w:rPr>
        <w:footnoteReference w:id="5"/>
      </w:r>
      <w:r w:rsidRPr="002C2B4F">
        <w:rPr>
          <w:noProof/>
        </w:rPr>
        <w:t xml:space="preserve"> Komise rovněž usnadnila vzájemné učení mezi členskými státy prostřednictvím vzájemné výměny zkušeností a připravuje jednotné kontaktní místo na internetu, které bude shromažďovat všechny příslušné dokumenty, zprávy a nástroje týkající se bezpečnosti výzkumu.</w:t>
      </w:r>
    </w:p>
    <w:p w14:paraId="7E5D4936" w14:textId="77777777" w:rsidR="00AC60D3" w:rsidRPr="002C2B4F" w:rsidRDefault="00AC60D3" w:rsidP="00D53DC6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noProof/>
        </w:rPr>
      </w:pPr>
      <w:r w:rsidRPr="002C2B4F">
        <w:rPr>
          <w:noProof/>
        </w:rPr>
        <w:t>Kromě toho se v květnu 2023 v Radě pro konkurenceschopnost uskutečnila politická rozprava na téma „Bezpečnost znalostí a odpovědná internacionalizace“, která pro návrh poskytla neocenitelné poznatky a vodítka.</w:t>
      </w:r>
    </w:p>
    <w:p w14:paraId="5BCE9C25" w14:textId="77777777" w:rsidR="007E5093" w:rsidRPr="002C2B4F" w:rsidRDefault="007E5093" w:rsidP="007E5093">
      <w:pPr>
        <w:pStyle w:val="ManualHeading2"/>
        <w:rPr>
          <w:rFonts w:eastAsia="Arial Unicode MS"/>
          <w:noProof/>
        </w:rPr>
      </w:pPr>
      <w:r w:rsidRPr="002C2B4F">
        <w:rPr>
          <w:noProof/>
          <w:color w:val="000000"/>
          <w:u w:color="000000"/>
          <w:bdr w:val="nil"/>
        </w:rPr>
        <w:t>•</w:t>
      </w:r>
      <w:r w:rsidRPr="002C2B4F">
        <w:rPr>
          <w:noProof/>
          <w:color w:val="000000"/>
          <w:u w:color="000000"/>
          <w:bdr w:val="nil"/>
        </w:rPr>
        <w:tab/>
      </w:r>
      <w:r w:rsidRPr="002C2B4F">
        <w:rPr>
          <w:noProof/>
        </w:rPr>
        <w:t>Soulad s ostatními politikami Unie</w:t>
      </w:r>
    </w:p>
    <w:p w14:paraId="20491747" w14:textId="2E0DBCCA" w:rsidR="00465292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>Navrhované doporučení je součástí komplexního balíčku opatření navazujících na Evropskou strategii hospodářské bezpečnosti z 20. června 2023. Návrh jako takový je základním kamenem v celkovém úsilí o posílení hospodářské bezpečnosti EU jako celku. Komise přijala dne 3. října 2023 doporučení, ve kterém označila technologické oblasti s kritickým významem pro hospodářskou bezpečnost EU za účelem dalšího posouzení rizik s členskými státy</w:t>
      </w:r>
      <w:r w:rsidR="00465292" w:rsidRPr="002C2B4F">
        <w:rPr>
          <w:rStyle w:val="FootnoteReference"/>
          <w:noProof/>
        </w:rPr>
        <w:footnoteReference w:id="6"/>
      </w:r>
      <w:r w:rsidRPr="002C2B4F">
        <w:rPr>
          <w:noProof/>
        </w:rPr>
        <w:t xml:space="preserve">. Výsledek tohoto posouzení rizik by mohl být podkladem pro další opatření k provádění Evropské strategie hospodářské bezpečnosti, včetně opatření na posílení bezpečnosti výzkumu. </w:t>
      </w:r>
      <w:r w:rsidRPr="00074DF6">
        <w:rPr>
          <w:noProof/>
        </w:rPr>
        <w:t>Bude zohledněna veřejná konzultace zahájená spolu s bílou knihou o zahraničních investicích, zejména pokud jde o prvky relevantní pro výzkum a inovace.</w:t>
      </w:r>
    </w:p>
    <w:p w14:paraId="2F0EBE7C" w14:textId="77777777" w:rsidR="00D53DC6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 xml:space="preserve">Kromě toho navrhované doporučení doplňuje řadu dalších iniciativ EU a je s nimi v souladu, zejména: </w:t>
      </w:r>
    </w:p>
    <w:p w14:paraId="63AE5DA8" w14:textId="77777777" w:rsidR="00D53DC6" w:rsidRPr="002C2B4F" w:rsidRDefault="007E5093" w:rsidP="00E730DC">
      <w:pPr>
        <w:pStyle w:val="Tiret0"/>
        <w:numPr>
          <w:ilvl w:val="0"/>
          <w:numId w:val="5"/>
        </w:numPr>
        <w:rPr>
          <w:noProof/>
        </w:rPr>
      </w:pPr>
      <w:r w:rsidRPr="002C2B4F">
        <w:rPr>
          <w:noProof/>
        </w:rPr>
        <w:t>práci vykonanou v oblasti boje proti hybridním hrozbám v rámci Strategie bezpečnostní unie EU</w:t>
      </w:r>
      <w:r w:rsidRPr="002C2B4F">
        <w:rPr>
          <w:rStyle w:val="FootnoteReference"/>
          <w:noProof/>
        </w:rPr>
        <w:footnoteReference w:id="7"/>
      </w:r>
      <w:r w:rsidRPr="002C2B4F">
        <w:rPr>
          <w:noProof/>
        </w:rPr>
        <w:t xml:space="preserve"> a Strategického kompasu pro bezpečnost a obranu</w:t>
      </w:r>
      <w:r w:rsidRPr="002C2B4F">
        <w:rPr>
          <w:rStyle w:val="FootnoteReference"/>
          <w:noProof/>
        </w:rPr>
        <w:footnoteReference w:id="8"/>
      </w:r>
      <w:r w:rsidRPr="002C2B4F">
        <w:rPr>
          <w:noProof/>
        </w:rPr>
        <w:t xml:space="preserve">, </w:t>
      </w:r>
    </w:p>
    <w:p w14:paraId="334BE23B" w14:textId="77777777" w:rsidR="007E5093" w:rsidRPr="002C2B4F" w:rsidRDefault="007E5093" w:rsidP="00AC4660">
      <w:pPr>
        <w:pStyle w:val="Tiret0"/>
        <w:rPr>
          <w:noProof/>
        </w:rPr>
      </w:pPr>
      <w:r w:rsidRPr="002C2B4F">
        <w:rPr>
          <w:noProof/>
        </w:rPr>
        <w:lastRenderedPageBreak/>
        <w:t>evropská pravidla pro vývoz zboží a technologií dvojího užití mimo EU, jak jsou stanovena v nařízení EU o kontrole vývozu.</w:t>
      </w:r>
      <w:r w:rsidRPr="002C2B4F">
        <w:rPr>
          <w:rStyle w:val="FootnoteReference"/>
          <w:noProof/>
        </w:rPr>
        <w:footnoteReference w:id="9"/>
      </w:r>
      <w:r w:rsidRPr="002C2B4F">
        <w:rPr>
          <w:noProof/>
        </w:rPr>
        <w:t xml:space="preserve"> Na pomoc vysokoškolským institucím a organizacím provádějícím výzkum zveřejnila Komise v září 2021 doporučení o programech dodržování předpisů pro kontroly výzkumu zboží dvojího užití</w:t>
      </w:r>
      <w:r w:rsidRPr="002C2B4F">
        <w:rPr>
          <w:rStyle w:val="FootnoteReference"/>
          <w:noProof/>
        </w:rPr>
        <w:footnoteReference w:id="10"/>
      </w:r>
      <w:r w:rsidRPr="002C2B4F">
        <w:rPr>
          <w:noProof/>
        </w:rPr>
        <w:t>,</w:t>
      </w:r>
    </w:p>
    <w:p w14:paraId="0132B001" w14:textId="77777777" w:rsidR="00D53DC6" w:rsidRPr="002C2B4F" w:rsidRDefault="00FB5883" w:rsidP="00AC4660">
      <w:pPr>
        <w:pStyle w:val="Tiret0"/>
        <w:rPr>
          <w:noProof/>
        </w:rPr>
      </w:pPr>
      <w:r w:rsidRPr="002C2B4F">
        <w:rPr>
          <w:noProof/>
        </w:rPr>
        <w:t>balíček opatření na obranu demokracie, který Komise přijala v prosinci 2023 před volbami do Evropského parlamentu v červnu 2024. Cílem balíčku je řešit hrozby zahraničního vměšování prostřednictvím zvýšené míry transparentnosti činností spojených se zastupováním zájmů a zároveň podpořit občanskou angažovanost a účast občanů v našich demokraciích</w:t>
      </w:r>
      <w:r w:rsidR="00A07510" w:rsidRPr="002C2B4F">
        <w:rPr>
          <w:rStyle w:val="FootnoteReference"/>
          <w:noProof/>
        </w:rPr>
        <w:footnoteReference w:id="11"/>
      </w:r>
      <w:r w:rsidRPr="002C2B4F">
        <w:rPr>
          <w:noProof/>
        </w:rPr>
        <w:t>.</w:t>
      </w:r>
    </w:p>
    <w:p w14:paraId="1096BD2E" w14:textId="77777777" w:rsidR="007E5093" w:rsidRPr="002C2B4F" w:rsidRDefault="007E5093" w:rsidP="007E5093">
      <w:pPr>
        <w:pStyle w:val="ManualHeading1"/>
        <w:rPr>
          <w:noProof/>
        </w:rPr>
      </w:pPr>
      <w:r w:rsidRPr="002C2B4F">
        <w:rPr>
          <w:noProof/>
        </w:rPr>
        <w:t>2.</w:t>
      </w:r>
      <w:r w:rsidRPr="002C2B4F">
        <w:rPr>
          <w:noProof/>
        </w:rPr>
        <w:tab/>
        <w:t>PRÁVNÍ ZÁKLAD, SUBSIDIARITA A PROPORCIONALITA</w:t>
      </w:r>
    </w:p>
    <w:p w14:paraId="01E444A3" w14:textId="77777777" w:rsidR="007E5093" w:rsidRPr="002C2B4F" w:rsidRDefault="007E5093" w:rsidP="007E5093">
      <w:pPr>
        <w:pStyle w:val="ManualHeading2"/>
        <w:rPr>
          <w:rFonts w:eastAsia="Arial Unicode MS"/>
          <w:noProof/>
          <w:u w:color="000000"/>
          <w:bdr w:val="nil"/>
        </w:rPr>
      </w:pPr>
      <w:r w:rsidRPr="002C2B4F">
        <w:rPr>
          <w:noProof/>
          <w:u w:color="000000"/>
          <w:bdr w:val="nil"/>
        </w:rPr>
        <w:t>•</w:t>
      </w:r>
      <w:r w:rsidRPr="002C2B4F">
        <w:rPr>
          <w:noProof/>
          <w:u w:color="000000"/>
          <w:bdr w:val="nil"/>
        </w:rPr>
        <w:tab/>
        <w:t>Právní základ</w:t>
      </w:r>
    </w:p>
    <w:p w14:paraId="2D29E5AA" w14:textId="4B58F2BB" w:rsidR="007E5093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2C2B4F">
        <w:rPr>
          <w:noProof/>
        </w:rPr>
        <w:t>Tato iniciativa spadá do oblasti politiky „výzkum a technologický rozvoj“, v níž EU a její členské státy sdílejí pravomoci v souladu s čl. 4 odst. 3 Smlouvy o fungování Evropské unie (SFEU). Navrhované doporučení Rady je založeno na čl. 182 odst. 5 ve spojení s článkem 292 SFEU.</w:t>
      </w:r>
      <w:r w:rsidRPr="002C2B4F">
        <w:rPr>
          <w:noProof/>
          <w:sz w:val="23"/>
        </w:rPr>
        <w:t xml:space="preserve"> </w:t>
      </w:r>
    </w:p>
    <w:p w14:paraId="3B5C6EAF" w14:textId="424D9F25" w:rsidR="007E5093" w:rsidRPr="00074DF6" w:rsidRDefault="00500F32" w:rsidP="00E730DC">
      <w:pPr>
        <w:rPr>
          <w:noProof/>
        </w:rPr>
      </w:pPr>
      <w:r w:rsidRPr="00074DF6">
        <w:rPr>
          <w:noProof/>
        </w:rPr>
        <w:t>Ustanovení čl. 182 odst. 5 SFEU otevírá možnost doplnit činnosti uvedené ve víceletém rámcovém programu tak, že Evropskému parlamentu a Radě umožní řádným legislativním postupem a po konzultaci s Hospodářským a sociálním výborem přijmout nezbytná opatření k uskutečnění Evropského výzkumného prostoru.</w:t>
      </w:r>
    </w:p>
    <w:p w14:paraId="640F0015" w14:textId="77777777" w:rsidR="007E5093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>Článek 292 SFEU poskytuje právní základ pro to, aby Rada mohla přijímat doporučení na základě návrhu Komise.</w:t>
      </w:r>
    </w:p>
    <w:p w14:paraId="2E831952" w14:textId="77777777" w:rsidR="007E5093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>Iniciativa nenavrhuje žádné rozšíření regulačních pravomocí EU nebo povinných závazků členských států. O způsobu provedení tohoto doporučení Rady rozhodnou členské státy na základě svých vnitrostátních okolností.</w:t>
      </w:r>
    </w:p>
    <w:p w14:paraId="766F23A5" w14:textId="77777777" w:rsidR="007E5093" w:rsidRPr="002C2B4F" w:rsidRDefault="007E5093" w:rsidP="007E5093">
      <w:pPr>
        <w:pStyle w:val="ManualHeading2"/>
        <w:rPr>
          <w:rFonts w:eastAsia="Arial Unicode MS"/>
          <w:noProof/>
          <w:u w:color="000000"/>
          <w:bdr w:val="nil"/>
        </w:rPr>
      </w:pPr>
      <w:r w:rsidRPr="002C2B4F">
        <w:rPr>
          <w:noProof/>
          <w:u w:color="000000"/>
          <w:bdr w:val="nil"/>
        </w:rPr>
        <w:t>•</w:t>
      </w:r>
      <w:r w:rsidRPr="002C2B4F">
        <w:rPr>
          <w:noProof/>
          <w:u w:color="000000"/>
          <w:bdr w:val="nil"/>
        </w:rPr>
        <w:tab/>
        <w:t xml:space="preserve">Subsidiarita (v případě nevýlučné pravomoci) </w:t>
      </w:r>
    </w:p>
    <w:p w14:paraId="20B76E60" w14:textId="77777777" w:rsidR="007E5093" w:rsidRPr="002C2B4F" w:rsidRDefault="007E5093" w:rsidP="007E5093">
      <w:pPr>
        <w:rPr>
          <w:noProof/>
        </w:rPr>
      </w:pPr>
      <w:r w:rsidRPr="002C2B4F">
        <w:rPr>
          <w:noProof/>
        </w:rPr>
        <w:t xml:space="preserve">Tento návrh je v souladu se zásadou subsidiarity stanovenou v čl. 5 odst. 3 Smlouvy o Evropské unii (SEU). </w:t>
      </w:r>
    </w:p>
    <w:p w14:paraId="38120F0D" w14:textId="77777777" w:rsidR="007E5093" w:rsidRPr="002C2B4F" w:rsidRDefault="007E5093" w:rsidP="007E5093">
      <w:pPr>
        <w:rPr>
          <w:noProof/>
        </w:rPr>
      </w:pPr>
      <w:r w:rsidRPr="002C2B4F">
        <w:rPr>
          <w:noProof/>
        </w:rPr>
        <w:t xml:space="preserve">Vlády jednotlivých zemí mohou nejlépe oslovit své univerzity a další organizace provádějící výzkum a podpořit je při přijímání nezbytných opatření, avšak k zajištění řádného fungování Evropského výzkumného prostoru a ke snížení rozdílů způsobených odlišnostmi ve vnitrostátních opatřeních v oblasti bezpečnosti výzkumu je nutná spolupráce a koordinace na úrovni EU. </w:t>
      </w:r>
    </w:p>
    <w:p w14:paraId="27D825B7" w14:textId="77777777" w:rsidR="007E5093" w:rsidRPr="002C2B4F" w:rsidRDefault="007E5093" w:rsidP="007E5093">
      <w:pPr>
        <w:rPr>
          <w:noProof/>
        </w:rPr>
      </w:pPr>
      <w:r w:rsidRPr="002C2B4F">
        <w:rPr>
          <w:noProof/>
        </w:rPr>
        <w:t>V současné době není povědomí o rizicích v EU rozšířeno rovnoměrně. Stále větší počet členských států a aktérů v oblasti výzkumu a inovací vyvíjí a zavádí specializovaná ochranná opatření, zatímco ostatní si toho zřejmě stále nejsou z velké části vědomi, což vytváří zranitelná místa, která by mohla být snadno zneužita. Proto je nezbytné, aby byl přístup v celé EU minimálně konzistentní.</w:t>
      </w:r>
    </w:p>
    <w:p w14:paraId="2A2B959A" w14:textId="77777777" w:rsidR="007E5093" w:rsidRPr="002C2B4F" w:rsidRDefault="007E5093" w:rsidP="007E5093">
      <w:pPr>
        <w:pStyle w:val="ManualHeading2"/>
        <w:rPr>
          <w:rFonts w:eastAsia="Arial Unicode MS"/>
          <w:noProof/>
          <w:u w:color="000000"/>
          <w:bdr w:val="nil"/>
        </w:rPr>
      </w:pPr>
      <w:r w:rsidRPr="002C2B4F">
        <w:rPr>
          <w:noProof/>
          <w:u w:color="000000"/>
          <w:bdr w:val="nil"/>
        </w:rPr>
        <w:t>•</w:t>
      </w:r>
      <w:r w:rsidRPr="002C2B4F">
        <w:rPr>
          <w:noProof/>
          <w:u w:color="000000"/>
          <w:bdr w:val="nil"/>
        </w:rPr>
        <w:tab/>
        <w:t>Proporcionalita</w:t>
      </w:r>
    </w:p>
    <w:p w14:paraId="651710A8" w14:textId="77777777" w:rsidR="007E5093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>Tento návrh je v souladu se zásadou proporcionality stanovenou v čl. 5 odst. 4 SEU. Obsah ani forma tohoto navrhovaného doporučení Rady nepřekračují rámec toho, co je nezbytné k dosažení cíle, kterým je dosažení minimální úrovně jednotnosti přístupu v celé EU.</w:t>
      </w:r>
    </w:p>
    <w:p w14:paraId="40E6E375" w14:textId="77777777" w:rsidR="007E5093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>Právní status této iniciativy by měl zajistit, aby se k ní členské státy přihlásily a podpořily ji. Současně by se měl opírat především o samosprávu v odvětví výzkumu a inovací v souladu s akademickou svobodou a institucionální autonomií.</w:t>
      </w:r>
    </w:p>
    <w:p w14:paraId="74B0E4F4" w14:textId="77777777" w:rsidR="007E5093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 xml:space="preserve">Doporučení pomáhá členským státům a organizacím provádějícím výzkum vypracovat a provádět politiky a opatření, které jsou účinné a přiměřené. Zdůrazňuje význam mezinárodní spolupráce a otevřenosti podle zásady „co nejotevřenější – nepřístupné jen v nezbytné míře“. Ukazuje také, jaká opatření k řízení rizik by mohla být zavedena při plném respektování akademické svobody a institucionální autonomie, přičemž by se zabránilo diskriminaci a stigmatizaci. </w:t>
      </w:r>
    </w:p>
    <w:p w14:paraId="414C6298" w14:textId="77777777" w:rsidR="007E5093" w:rsidRPr="002C2B4F" w:rsidRDefault="007E5093" w:rsidP="007E5093">
      <w:pPr>
        <w:pStyle w:val="ManualHeading2"/>
        <w:rPr>
          <w:rFonts w:eastAsia="Arial Unicode MS"/>
          <w:noProof/>
          <w:u w:color="000000"/>
          <w:bdr w:val="nil"/>
        </w:rPr>
      </w:pPr>
      <w:r w:rsidRPr="002C2B4F">
        <w:rPr>
          <w:noProof/>
          <w:u w:color="000000"/>
          <w:bdr w:val="nil"/>
        </w:rPr>
        <w:t>•</w:t>
      </w:r>
      <w:r w:rsidRPr="002C2B4F">
        <w:rPr>
          <w:noProof/>
          <w:u w:color="000000"/>
          <w:bdr w:val="nil"/>
        </w:rPr>
        <w:tab/>
        <w:t>Volba nástroje</w:t>
      </w:r>
    </w:p>
    <w:p w14:paraId="2A6F4819" w14:textId="77777777" w:rsidR="007E5093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 xml:space="preserve">Navrhované doporučení Rady poskytuje členským státům pokyny, jak účinně identifikovat a řešit rizika týkající se bezpečnosti výzkumu. Doporučuje členským státům, aby podporovaly své odvětví výzkumu a inovací a podnikly příslušné kroky ke zvýšení informovanosti a posílení odolnosti. Na základě pracovního dokumentu útvarů Komise o boji proti zahraničnímu vměšování do výzkumu a inovací by doporučení Rady zajistilo aktivní zapojení a angažovanost všech členských států na politické úrovni. </w:t>
      </w:r>
    </w:p>
    <w:p w14:paraId="0A2DA99F" w14:textId="77777777" w:rsidR="007E5093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 xml:space="preserve">Případně lze zvážit doporučení nebo sdělení Komise. Z hlediska obsahu by se mohla v zásadě týkat stejných otázek jako doporučení Rady. Tyto nástroje však mají společné to, že členské státy aktivně nezapojují ani nezavazují. Není zaručeno, že adresáti sdílejí navrhovaný přístup a pocit naléhavosti. </w:t>
      </w:r>
    </w:p>
    <w:p w14:paraId="14D0F7A1" w14:textId="77777777" w:rsidR="005967C6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>Právně závazná iniciativa, jako je směrnice nebo nařízení, která by upravovala mezinárodní spolupráci v oblasti výzkumu a inovací tak, aby členské státy řádně identifikovaly rizika a řešily je, by zaručila právní soudržnost v celé Unii. Hlavní nevýhodou závazného nástroje v tomto specifickém kontextu je však to, že by bylo velmi obtížné koncipovat jej tak, aby bylo dodrženo rozdělení pravomocí mezi EU a členské státy a zásady akademické svobody a institucionální autonomie.</w:t>
      </w:r>
    </w:p>
    <w:p w14:paraId="2FB89E2D" w14:textId="77777777" w:rsidR="007E5093" w:rsidRPr="002C2B4F" w:rsidRDefault="005967C6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>Z těchto důvodů se za vhodný politický nástroj k řešení daných otázek považuje návrh doporučení Rady.</w:t>
      </w:r>
    </w:p>
    <w:p w14:paraId="5898F126" w14:textId="77777777" w:rsidR="007E5093" w:rsidRPr="002C2B4F" w:rsidRDefault="007E5093" w:rsidP="007E5093">
      <w:pPr>
        <w:pStyle w:val="ManualHeading1"/>
        <w:jc w:val="left"/>
        <w:rPr>
          <w:noProof/>
        </w:rPr>
      </w:pPr>
      <w:r w:rsidRPr="002C2B4F">
        <w:rPr>
          <w:noProof/>
        </w:rPr>
        <w:t>3.</w:t>
      </w:r>
      <w:r w:rsidRPr="002C2B4F">
        <w:rPr>
          <w:noProof/>
        </w:rPr>
        <w:tab/>
        <w:t xml:space="preserve">VÝSLEDKY HODNOCENÍ </w:t>
      </w:r>
      <w:r w:rsidRPr="002C2B4F">
        <w:rPr>
          <w:i/>
          <w:iCs/>
          <w:noProof/>
        </w:rPr>
        <w:t>EX POST</w:t>
      </w:r>
      <w:r w:rsidRPr="002C2B4F">
        <w:rPr>
          <w:noProof/>
        </w:rPr>
        <w:t>, KONZULTACÍ SE ZÚČASTNĚNÝMI STRANAMI A POSOUZENÍ DOPADŮ</w:t>
      </w:r>
    </w:p>
    <w:p w14:paraId="7E681F9C" w14:textId="77777777" w:rsidR="007E5093" w:rsidRPr="002C2B4F" w:rsidRDefault="007E5093" w:rsidP="007E5093">
      <w:pPr>
        <w:pStyle w:val="ManualHeading2"/>
        <w:rPr>
          <w:rFonts w:eastAsia="Arial Unicode MS"/>
          <w:noProof/>
          <w:u w:color="000000"/>
          <w:bdr w:val="nil"/>
        </w:rPr>
      </w:pPr>
      <w:r w:rsidRPr="002C2B4F">
        <w:rPr>
          <w:noProof/>
          <w:u w:color="000000"/>
          <w:bdr w:val="nil"/>
        </w:rPr>
        <w:t>•</w:t>
      </w:r>
      <w:r w:rsidRPr="002C2B4F">
        <w:rPr>
          <w:noProof/>
          <w:u w:color="000000"/>
          <w:bdr w:val="nil"/>
        </w:rPr>
        <w:tab/>
        <w:t xml:space="preserve">Hodnocení </w:t>
      </w:r>
      <w:r w:rsidRPr="002C2B4F">
        <w:rPr>
          <w:i/>
          <w:iCs/>
          <w:noProof/>
          <w:u w:color="000000"/>
          <w:bdr w:val="nil"/>
        </w:rPr>
        <w:t>ex post</w:t>
      </w:r>
      <w:r w:rsidRPr="002C2B4F">
        <w:rPr>
          <w:noProof/>
          <w:u w:color="000000"/>
          <w:bdr w:val="nil"/>
        </w:rPr>
        <w:t xml:space="preserve"> / kontroly účelnosti platných právních předpisů</w:t>
      </w:r>
    </w:p>
    <w:p w14:paraId="7B919795" w14:textId="77777777" w:rsidR="007E5093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2C2B4F">
        <w:rPr>
          <w:noProof/>
        </w:rPr>
        <w:t>Nevztahuje se na tento návrh.</w:t>
      </w:r>
    </w:p>
    <w:p w14:paraId="1B712F55" w14:textId="77777777" w:rsidR="007E5093" w:rsidRPr="002C2B4F" w:rsidRDefault="007E5093" w:rsidP="007E5093">
      <w:pPr>
        <w:pStyle w:val="ManualHeading2"/>
        <w:rPr>
          <w:rFonts w:eastAsia="Arial Unicode MS"/>
          <w:noProof/>
          <w:u w:color="000000"/>
          <w:bdr w:val="nil"/>
        </w:rPr>
      </w:pPr>
      <w:r w:rsidRPr="002C2B4F">
        <w:rPr>
          <w:noProof/>
          <w:u w:color="000000"/>
          <w:bdr w:val="nil"/>
        </w:rPr>
        <w:t>•</w:t>
      </w:r>
      <w:r w:rsidRPr="002C2B4F">
        <w:rPr>
          <w:noProof/>
          <w:u w:color="000000"/>
          <w:bdr w:val="nil"/>
        </w:rPr>
        <w:tab/>
        <w:t>Konzultace se zúčastněnými stranami</w:t>
      </w:r>
    </w:p>
    <w:p w14:paraId="6031A1A0" w14:textId="77777777" w:rsidR="007E5093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 xml:space="preserve">Navrhované doporučení Rady vychází z pracovního dokumentu útvarů Komise o boji proti zahraničnímu vměšování v oblasti výzkumu a inovací z ledna 2022. Po celý rok 2023 probíhalo vzájemné učení o boji proti zahraničnímu v oblasti výzkumu a inovací, v jehož rámci si odborníci ze třinácti členských států vyměňovali zkušenosti a odborné znalosti. Kromě toho se v rámci sítě znalostí EU o Číně (EU-KNOC) uskutečnila tři specializovaná setkání s odborníky z členských států na téma bezpečnosti výzkumu. </w:t>
      </w:r>
    </w:p>
    <w:p w14:paraId="6B12577B" w14:textId="77777777" w:rsidR="001F784B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>Při přípravě návrhu se rovněž vycházelo z výzvy k předložení faktických podkladů, která byla veřejnosti otevřena pro zpětnou vazbu na internetových stránkách „Podělte se o svůj názor“ od 6. prosince 2023 do 3. ledna 2024. Komise obdržela 56 příspěvků, z nichž téměř 40 % pocházelo z akademických nebo výzkumných institucí. Kromě výzvy k předložení faktických podkladů se 15. prosince 2023 uskutečnilo cílené konzultační setkání za účasti zástupců hlavních organizací zúčastněných stran na úrovni EU v oblasti výzkumu a inovací.</w:t>
      </w:r>
    </w:p>
    <w:p w14:paraId="39B2FA27" w14:textId="77777777" w:rsidR="007E5093" w:rsidRPr="002C2B4F" w:rsidRDefault="007E5093" w:rsidP="007E5093">
      <w:pPr>
        <w:pStyle w:val="ManualHeading2"/>
        <w:rPr>
          <w:rFonts w:eastAsia="Arial Unicode MS"/>
          <w:noProof/>
          <w:u w:color="000000"/>
          <w:bdr w:val="nil"/>
        </w:rPr>
      </w:pPr>
      <w:r w:rsidRPr="002C2B4F">
        <w:rPr>
          <w:noProof/>
          <w:u w:color="000000"/>
          <w:bdr w:val="nil"/>
        </w:rPr>
        <w:t>•</w:t>
      </w:r>
      <w:r w:rsidRPr="002C2B4F">
        <w:rPr>
          <w:noProof/>
          <w:u w:color="000000"/>
          <w:bdr w:val="nil"/>
        </w:rPr>
        <w:tab/>
        <w:t>Sběr a využití výsledků odborných konzultací</w:t>
      </w:r>
    </w:p>
    <w:p w14:paraId="2233765F" w14:textId="77777777" w:rsidR="005C0B9A" w:rsidRPr="002C2B4F" w:rsidRDefault="007E5093" w:rsidP="001F784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>Kromě podnětů získaných během konzultačního procesu je návrh podložen rozsáhlými důkazy, zprávami a studiemi shromážděnými v posledních letech. Mezi klíčové zdroje důkazů patří rozsáhlý a stále rostoucí soubor metodických dokumentů k bezpečnosti výzkumu vypracovaných členskými státy a odvětvovými organizacemi</w:t>
      </w:r>
      <w:r w:rsidR="001F784B" w:rsidRPr="002C2B4F">
        <w:rPr>
          <w:rStyle w:val="FootnoteReference"/>
          <w:rFonts w:eastAsia="Arial Unicode MS"/>
          <w:noProof/>
        </w:rPr>
        <w:footnoteReference w:id="12"/>
      </w:r>
      <w:r w:rsidRPr="002C2B4F">
        <w:rPr>
          <w:noProof/>
        </w:rPr>
        <w:t xml:space="preserve">, jakož i zprávy o této problematice vypracované analytickými středisky, organizacemi zúčastněných stran a poradními sbory. </w:t>
      </w:r>
    </w:p>
    <w:p w14:paraId="2B50E9F0" w14:textId="77777777" w:rsidR="007E5093" w:rsidRPr="002C2B4F" w:rsidRDefault="005C0B9A" w:rsidP="001F784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>Náležitá pozornost byla věnována také politikám bezpečnosti výzkumu, které někteří naši mezinárodní partneři zavedli v uplynulých letech, a poznatkům a zkušenostem, které při tom získali. Patří sem politiky zemí, jako jsou Spojené státy, Velká Británie, Austrálie a Kanada</w:t>
      </w:r>
      <w:r w:rsidRPr="002C2B4F">
        <w:rPr>
          <w:rStyle w:val="FootnoteReference"/>
          <w:noProof/>
        </w:rPr>
        <w:footnoteReference w:id="13"/>
      </w:r>
      <w:r w:rsidRPr="002C2B4F">
        <w:rPr>
          <w:noProof/>
        </w:rPr>
        <w:t>. V rámci mnohostranného dialogu o hodnotách a zásadách</w:t>
      </w:r>
      <w:r w:rsidR="00AC60D3" w:rsidRPr="002C2B4F">
        <w:rPr>
          <w:rStyle w:val="FootnoteReference"/>
          <w:noProof/>
        </w:rPr>
        <w:footnoteReference w:id="14"/>
      </w:r>
      <w:r w:rsidRPr="002C2B4F">
        <w:rPr>
          <w:noProof/>
        </w:rPr>
        <w:t xml:space="preserve"> se v prosinci 2023 uskutečnil seminář o bezpečnosti výzkumu, kterého se aktivně účastnili mezinárodní partneři.</w:t>
      </w:r>
    </w:p>
    <w:p w14:paraId="5A2B6458" w14:textId="77777777" w:rsidR="007E5093" w:rsidRPr="002C2B4F" w:rsidRDefault="007E5093" w:rsidP="007E5093">
      <w:pPr>
        <w:pStyle w:val="ManualHeading2"/>
        <w:rPr>
          <w:rFonts w:eastAsia="Arial Unicode MS"/>
          <w:noProof/>
          <w:u w:color="000000"/>
          <w:bdr w:val="nil"/>
        </w:rPr>
      </w:pPr>
      <w:r w:rsidRPr="002C2B4F">
        <w:rPr>
          <w:noProof/>
          <w:u w:color="000000"/>
          <w:bdr w:val="nil"/>
        </w:rPr>
        <w:t>•</w:t>
      </w:r>
      <w:r w:rsidRPr="002C2B4F">
        <w:rPr>
          <w:noProof/>
          <w:u w:color="000000"/>
          <w:bdr w:val="nil"/>
        </w:rPr>
        <w:tab/>
        <w:t>Posouzení dopadů</w:t>
      </w:r>
    </w:p>
    <w:p w14:paraId="4DB55ABC" w14:textId="77777777" w:rsidR="007E5093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 xml:space="preserve">Posouzení dopadů nebylo provedeno vzhledem k doplňkovému přístupu uvedených činností k iniciativám členských států a nezávazné a dobrovolné povaze navrhovaných činností. </w:t>
      </w:r>
    </w:p>
    <w:p w14:paraId="4166C52C" w14:textId="77777777" w:rsidR="007E5093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>Dopad doporučení do značné míry závisí na zapojení a připravenosti členských států a odvětvových organizací jednat, a proto jej nelze předem odhadnout. Za předpokladu, že Rada návrh přijme a členské státy se zavážou k provádění jejího doporučení s podporou tohoto odvětví, má návrh potenciál posílit výzkum zvyšováním povědomí a budováním odolnosti v celé Evropě.</w:t>
      </w:r>
    </w:p>
    <w:p w14:paraId="1EA711E3" w14:textId="77777777" w:rsidR="007E5093" w:rsidRPr="002C2B4F" w:rsidRDefault="007E5093" w:rsidP="007E5093">
      <w:pPr>
        <w:pStyle w:val="ManualHeading2"/>
        <w:rPr>
          <w:rFonts w:eastAsia="Arial Unicode MS"/>
          <w:noProof/>
          <w:u w:color="000000"/>
          <w:bdr w:val="nil"/>
        </w:rPr>
      </w:pPr>
      <w:r w:rsidRPr="002C2B4F">
        <w:rPr>
          <w:noProof/>
          <w:u w:color="000000"/>
          <w:bdr w:val="nil"/>
        </w:rPr>
        <w:t>•</w:t>
      </w:r>
      <w:r w:rsidRPr="002C2B4F">
        <w:rPr>
          <w:noProof/>
          <w:u w:color="000000"/>
          <w:bdr w:val="nil"/>
        </w:rPr>
        <w:tab/>
        <w:t>Účelnost právních předpisů a zjednodušení</w:t>
      </w:r>
    </w:p>
    <w:p w14:paraId="0A65F055" w14:textId="77777777" w:rsidR="007E5093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2C2B4F">
        <w:rPr>
          <w:noProof/>
        </w:rPr>
        <w:t xml:space="preserve">Návrh není spojen s programem Komise pro zjednodušení právních předpisů REFIT. Přesto je vyvíjeno veškeré úsilí o účinné využití omezených zdrojů, včetně využití stávajících struktur řízení Evropského výzkumného prostoru a stávajících struktur podávání zpráv. Navrhované doporučení rovněž zdůrazňuje, že při zavádění ochranných opatření by se mělo zabránit zbytečné administrativní zátěži pro odvětví a že v souvislosti s financováním výzkumu by se neměla zbytečně prodlužovat lhůta pro udělení grantu. </w:t>
      </w:r>
    </w:p>
    <w:p w14:paraId="03C1AF92" w14:textId="77777777" w:rsidR="007E5093" w:rsidRPr="002C2B4F" w:rsidRDefault="007E5093" w:rsidP="0060614D">
      <w:pPr>
        <w:pStyle w:val="ManualHeading2"/>
        <w:keepNext w:val="0"/>
        <w:widowControl w:val="0"/>
        <w:rPr>
          <w:rFonts w:eastAsia="Arial Unicode MS"/>
          <w:noProof/>
          <w:u w:color="000000"/>
          <w:bdr w:val="nil"/>
        </w:rPr>
      </w:pPr>
      <w:r w:rsidRPr="002C2B4F">
        <w:rPr>
          <w:noProof/>
          <w:u w:color="000000"/>
          <w:bdr w:val="nil"/>
        </w:rPr>
        <w:t>•</w:t>
      </w:r>
      <w:r w:rsidRPr="002C2B4F">
        <w:rPr>
          <w:noProof/>
          <w:u w:color="000000"/>
          <w:bdr w:val="nil"/>
        </w:rPr>
        <w:tab/>
        <w:t>Základní práva</w:t>
      </w:r>
    </w:p>
    <w:p w14:paraId="38791A7A" w14:textId="77777777" w:rsidR="007E5093" w:rsidRPr="002C2B4F" w:rsidRDefault="007E5093" w:rsidP="006061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2C2B4F">
        <w:rPr>
          <w:noProof/>
        </w:rPr>
        <w:t xml:space="preserve">Jedním z hlavních cílů návrhu je podpořit členské státy a organizace provádějící výzkum při zajišťování toho, aby mezinárodní spolupráce v oblasti výzkumu a inovací neporušovala základní hodnoty a lidská práva. Jádrem doporučení je ochrana základních akademických hodnot, zejména akademické svobody a integrity výzkumu. </w:t>
      </w:r>
    </w:p>
    <w:p w14:paraId="18F99B21" w14:textId="77777777" w:rsidR="007E5093" w:rsidRPr="002C2B4F" w:rsidRDefault="007E5093" w:rsidP="0060614D">
      <w:pPr>
        <w:pStyle w:val="ManualHeading1"/>
        <w:keepNext w:val="0"/>
        <w:widowControl w:val="0"/>
        <w:rPr>
          <w:noProof/>
        </w:rPr>
      </w:pPr>
      <w:r w:rsidRPr="002C2B4F">
        <w:rPr>
          <w:noProof/>
        </w:rPr>
        <w:t>4.</w:t>
      </w:r>
      <w:r w:rsidRPr="002C2B4F">
        <w:rPr>
          <w:noProof/>
        </w:rPr>
        <w:tab/>
        <w:t>ROZPOČTOVÉ DŮSLEDKY</w:t>
      </w:r>
    </w:p>
    <w:p w14:paraId="3AC10E8A" w14:textId="77777777" w:rsidR="007E5093" w:rsidRPr="002C2B4F" w:rsidRDefault="007E5093" w:rsidP="0060614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>Ačkoli si tato iniciativa nevyžádá další zdroje z rozpočtu EU, opatření uvedená v tomto doporučení budou mobilizovat zdroje financování na unijní, vnitrostátní a odvětvové úrovni.</w:t>
      </w:r>
    </w:p>
    <w:p w14:paraId="6C6F8410" w14:textId="2A8A5477" w:rsidR="00500F32" w:rsidRPr="00074DF6" w:rsidRDefault="00500F32" w:rsidP="00074DF6">
      <w:pPr>
        <w:rPr>
          <w:noProof/>
        </w:rPr>
      </w:pPr>
      <w:r w:rsidRPr="00074DF6">
        <w:rPr>
          <w:noProof/>
        </w:rPr>
        <w:t>Pro „Evropské odborné centrum pro bezpečnost výzkumu“, které má Komise v úmyslu zřídit,</w:t>
      </w:r>
      <w:r w:rsidRPr="002C2B4F">
        <w:rPr>
          <w:noProof/>
        </w:rPr>
        <w:t xml:space="preserve"> by byl využit stávající rozpočet programu Horizont Evropa.</w:t>
      </w:r>
      <w:r w:rsidRPr="00074DF6">
        <w:rPr>
          <w:noProof/>
        </w:rPr>
        <w:t xml:space="preserve"> Pokud jde o organizační uspořádání, zvažuje se několik možností, které Komise dále prozkoumá s přihlédnutím k preferencím členských států a zúčastněných stran, pokud jde o jeho funkce.</w:t>
      </w:r>
    </w:p>
    <w:p w14:paraId="1B579DE6" w14:textId="77777777" w:rsidR="007E5093" w:rsidRPr="002C2B4F" w:rsidRDefault="007E5093" w:rsidP="007E5093">
      <w:pPr>
        <w:pStyle w:val="ManualHeading1"/>
        <w:rPr>
          <w:noProof/>
        </w:rPr>
      </w:pPr>
      <w:r w:rsidRPr="002C2B4F">
        <w:rPr>
          <w:noProof/>
        </w:rPr>
        <w:t>5.</w:t>
      </w:r>
      <w:r w:rsidRPr="002C2B4F">
        <w:rPr>
          <w:noProof/>
        </w:rPr>
        <w:tab/>
        <w:t>OSTATNÍ PRVKY</w:t>
      </w:r>
    </w:p>
    <w:p w14:paraId="0B514B43" w14:textId="77777777" w:rsidR="007E5093" w:rsidRPr="002C2B4F" w:rsidRDefault="007E5093" w:rsidP="007E5093">
      <w:pPr>
        <w:pStyle w:val="ManualHeading2"/>
        <w:rPr>
          <w:rFonts w:eastAsia="Arial Unicode MS"/>
          <w:noProof/>
          <w:u w:color="000000"/>
          <w:bdr w:val="nil"/>
        </w:rPr>
      </w:pPr>
      <w:r w:rsidRPr="002C2B4F">
        <w:rPr>
          <w:noProof/>
          <w:u w:color="000000"/>
          <w:bdr w:val="nil"/>
        </w:rPr>
        <w:t>•</w:t>
      </w:r>
      <w:r w:rsidRPr="002C2B4F">
        <w:rPr>
          <w:noProof/>
          <w:u w:color="000000"/>
          <w:bdr w:val="nil"/>
        </w:rPr>
        <w:tab/>
        <w:t>Plány provádění a způsoby monitorování, hodnocení a podávání zpráv</w:t>
      </w:r>
    </w:p>
    <w:p w14:paraId="48C1007D" w14:textId="77777777" w:rsidR="007E5093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2C2B4F">
        <w:rPr>
          <w:noProof/>
        </w:rPr>
        <w:t xml:space="preserve">Na podporu členských států a zúčastněných stran při provádění doporučení budou plně využity stávající struktury řízení Evropského výzkumného prostoru. Očekává se, že bezpečnost výzkumu bude zohledněna v příštím politickém programu pro Evropský výzkumný prostor na období 2025–2027, který se v současné době připravuje v dialogu s členskými státy a zúčastněnými stranami. </w:t>
      </w:r>
    </w:p>
    <w:p w14:paraId="2F3C8943" w14:textId="77777777" w:rsidR="007E5093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 xml:space="preserve">Zprávy Komise budou vycházet z již existujících dvouletých zpráv o globálním přístupu k výzkumu a inovacím. Příští zpráva je naplánována na polovinu roku 2025. Členské státy se vyzývají, aby do devíti měsíců od přijetí doporučení předložily národní akční plány týkající se způsobu jeho předpokládaného provádění. </w:t>
      </w:r>
    </w:p>
    <w:p w14:paraId="406A9E9D" w14:textId="77777777" w:rsidR="007E5093" w:rsidRPr="002C2B4F" w:rsidRDefault="007E5093" w:rsidP="007E5093">
      <w:pPr>
        <w:pStyle w:val="ManualHeading2"/>
        <w:rPr>
          <w:rFonts w:eastAsia="Arial Unicode MS"/>
          <w:noProof/>
          <w:u w:color="000000"/>
          <w:bdr w:val="nil"/>
        </w:rPr>
      </w:pPr>
      <w:r w:rsidRPr="002C2B4F">
        <w:rPr>
          <w:noProof/>
          <w:u w:color="000000"/>
          <w:bdr w:val="nil"/>
        </w:rPr>
        <w:t>•</w:t>
      </w:r>
      <w:r w:rsidRPr="002C2B4F">
        <w:rPr>
          <w:noProof/>
          <w:u w:color="000000"/>
          <w:bdr w:val="nil"/>
        </w:rPr>
        <w:tab/>
        <w:t>Informativní dokumenty (u směrnic)</w:t>
      </w:r>
    </w:p>
    <w:p w14:paraId="5553CD9E" w14:textId="77777777" w:rsidR="007E5093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2C2B4F">
        <w:rPr>
          <w:noProof/>
        </w:rPr>
        <w:t>Nevztahuje se na tento návrh.</w:t>
      </w:r>
    </w:p>
    <w:p w14:paraId="0B040569" w14:textId="77777777" w:rsidR="007E5093" w:rsidRPr="002C2B4F" w:rsidRDefault="007E5093" w:rsidP="007E5093">
      <w:pPr>
        <w:pStyle w:val="ManualHeading2"/>
        <w:rPr>
          <w:rFonts w:eastAsia="Arial Unicode MS"/>
          <w:noProof/>
          <w:u w:color="000000"/>
          <w:bdr w:val="nil"/>
        </w:rPr>
      </w:pPr>
      <w:r w:rsidRPr="002C2B4F">
        <w:rPr>
          <w:noProof/>
          <w:u w:color="000000"/>
          <w:bdr w:val="nil"/>
        </w:rPr>
        <w:t>•</w:t>
      </w:r>
      <w:r w:rsidRPr="002C2B4F">
        <w:rPr>
          <w:noProof/>
          <w:u w:color="000000"/>
          <w:bdr w:val="nil"/>
        </w:rPr>
        <w:tab/>
        <w:t>Podrobné vysvětlení konkrétních ustanovení návrhu</w:t>
      </w:r>
    </w:p>
    <w:p w14:paraId="34504CE9" w14:textId="77777777" w:rsidR="002876FF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2C2B4F">
        <w:rPr>
          <w:noProof/>
        </w:rPr>
        <w:t>Celkovým cílem iniciativy je pomoci členským státům, vysokoškolským institucím a výzkumným organizacím, jak veřejným, tak soukromým, řešit rizika týkající se bezpečnosti výzkumu. Tím se zajistí, že činnosti v oblasti výzkumu, inovací a vysokoškolského vzdělávání nebudou zneužívány ani ovládnuty způsobem, který by ovlivňoval bezpečnost EU a jejích členských států nebo byl neetický. Za tímto účelem obsahuje navrhované doporučení Rady tyto oddíly:</w:t>
      </w:r>
    </w:p>
    <w:p w14:paraId="07A3503A" w14:textId="77777777" w:rsidR="004823DA" w:rsidRPr="002C2B4F" w:rsidRDefault="004823DA" w:rsidP="00972698">
      <w:pPr>
        <w:pStyle w:val="Tiret0"/>
        <w:rPr>
          <w:noProof/>
        </w:rPr>
      </w:pPr>
      <w:r w:rsidRPr="002C2B4F">
        <w:rPr>
          <w:noProof/>
        </w:rPr>
        <w:t>Poté, co je v bodech odůvodnění představena dotčená problematika a politické souvislosti návrhu, je vysvětlena jeho oblast působnosti. Je navržena definice „bezpečnosti výzkumu“, která vychází z hlavních prvků různých definic používaných na mezinárodní úrovni. Rovněž je vyjasněno, kterých organizací a zúčastněných stran se doporučení ve svých souvislostech v první řadě týká.</w:t>
      </w:r>
    </w:p>
    <w:p w14:paraId="1F4982C9" w14:textId="77777777" w:rsidR="003C2791" w:rsidRPr="002C2B4F" w:rsidRDefault="003C2791" w:rsidP="00972698">
      <w:pPr>
        <w:pStyle w:val="Tiret0"/>
        <w:rPr>
          <w:noProof/>
        </w:rPr>
      </w:pPr>
      <w:r w:rsidRPr="002C2B4F">
        <w:rPr>
          <w:noProof/>
        </w:rPr>
        <w:t xml:space="preserve">Dále jsou navrženy zásady odpovědné internacionalizace. Tyto zásady jsou koncipovány tak, aby mohly být použity jako základ pro formulaci a návrh politické reakce v oblasti bezpečnosti výzkumu na jakékoli úrovni (na úrovni EU, vnitrostátní úrovni nebo na úrovni jednotlivých organizací provádějících výzkum). Zásady vycházejí z přístupů, které jsou obsaženy ve vnitrostátních a odvětvových pokynech pro odpovědnou internacionalizaci. Z reakcí na výzvu k předložení faktických podkladů lze vyvodit závěr, že tyto zásady s komunitou zúčastněných stran zjevně rezonují. </w:t>
      </w:r>
    </w:p>
    <w:p w14:paraId="622B17F5" w14:textId="478F18FD" w:rsidR="000A69FA" w:rsidRPr="002C2B4F" w:rsidRDefault="000A69FA" w:rsidP="00972698">
      <w:pPr>
        <w:pStyle w:val="Tiret0"/>
        <w:rPr>
          <w:noProof/>
        </w:rPr>
      </w:pPr>
      <w:r w:rsidRPr="002C2B4F">
        <w:rPr>
          <w:noProof/>
        </w:rPr>
        <w:t>Následující oddíl obsahuje samotná doporučení členským státům. Je rozdělen do čtyř pododdílů: V prvním pododdíle je formulováno, co se orgánům veřejné správy doporučuje udělat ve vztahu k odvětví výzkumu a inovací, pokud jde o vytvoření podpůrné struktury a poskytování poradenství. Druhý pododdíl se zabývá klíčovou úlohou, kterou při zvyšování bezpečnosti výzkumu hrají vnitrostátní financující organizace. V třetím pododdíle je uvedeno, co se členským státům doporučuje udělat na podporu vysokoškolských institucí a organizací provádějících výzkum při zavádění ochranných opatření a politik.</w:t>
      </w:r>
    </w:p>
    <w:p w14:paraId="2A430206" w14:textId="43F00B9D" w:rsidR="00465196" w:rsidRPr="002C2B4F" w:rsidRDefault="00441182" w:rsidP="00972698">
      <w:pPr>
        <w:pStyle w:val="Tiret0"/>
        <w:rPr>
          <w:noProof/>
        </w:rPr>
      </w:pPr>
      <w:r w:rsidRPr="002C2B4F">
        <w:rPr>
          <w:noProof/>
        </w:rPr>
        <w:t xml:space="preserve">V posledním pododdíle je uvedena řada podpůrných opatření a iniciativ Komise, pro něž je zapotřebí pomoci členských států. </w:t>
      </w:r>
    </w:p>
    <w:p w14:paraId="67B168DC" w14:textId="77777777" w:rsidR="007E5093" w:rsidRPr="002C2B4F" w:rsidRDefault="00465196" w:rsidP="00972698">
      <w:pPr>
        <w:pStyle w:val="Tiret0"/>
        <w:rPr>
          <w:noProof/>
        </w:rPr>
      </w:pPr>
      <w:r w:rsidRPr="002C2B4F">
        <w:rPr>
          <w:noProof/>
        </w:rPr>
        <w:t xml:space="preserve">V závěrečné části je uvedeno, jakým způsobem se usnadňuje a sleduje plnění doporučení. </w:t>
      </w:r>
    </w:p>
    <w:p w14:paraId="1C10A11B" w14:textId="77777777" w:rsidR="007E5093" w:rsidRPr="002C2B4F" w:rsidRDefault="007E5093" w:rsidP="007E509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8000"/>
        </w:rPr>
        <w:sectPr w:rsidR="007E5093" w:rsidRPr="002C2B4F" w:rsidSect="00B93A77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2C2010AC" w14:textId="64D6088C" w:rsidR="00103CEE" w:rsidRPr="002C2B4F" w:rsidRDefault="002C2B4F" w:rsidP="002C2B4F">
      <w:pPr>
        <w:pStyle w:val="Rfrenceinterinstitutionnelle"/>
        <w:rPr>
          <w:noProof/>
        </w:rPr>
      </w:pPr>
      <w:r>
        <w:rPr>
          <w:noProof/>
        </w:rPr>
        <w:t>2024/0012 (NLE)</w:t>
      </w:r>
    </w:p>
    <w:p w14:paraId="450152D6" w14:textId="26451506" w:rsidR="007353BF" w:rsidRPr="002C2B4F" w:rsidRDefault="002C2B4F" w:rsidP="002C2B4F">
      <w:pPr>
        <w:pStyle w:val="Statut"/>
        <w:rPr>
          <w:noProof/>
        </w:rPr>
      </w:pPr>
      <w:r w:rsidRPr="002C2B4F">
        <w:rPr>
          <w:noProof/>
        </w:rPr>
        <w:t>Návrh</w:t>
      </w:r>
    </w:p>
    <w:p w14:paraId="5ED3C743" w14:textId="314AE57E" w:rsidR="007353BF" w:rsidRPr="002C2B4F" w:rsidRDefault="002C2B4F" w:rsidP="002C2B4F">
      <w:pPr>
        <w:pStyle w:val="Typedudocument"/>
        <w:rPr>
          <w:noProof/>
        </w:rPr>
      </w:pPr>
      <w:r w:rsidRPr="002C2B4F">
        <w:rPr>
          <w:noProof/>
        </w:rPr>
        <w:t>DOPORUČENÍ RADY</w:t>
      </w:r>
    </w:p>
    <w:p w14:paraId="7D904847" w14:textId="03DF0523" w:rsidR="007353BF" w:rsidRPr="002C2B4F" w:rsidRDefault="002C2B4F" w:rsidP="002C2B4F">
      <w:pPr>
        <w:pStyle w:val="Titreobjet"/>
        <w:rPr>
          <w:noProof/>
        </w:rPr>
      </w:pPr>
      <w:r w:rsidRPr="002C2B4F">
        <w:rPr>
          <w:noProof/>
        </w:rPr>
        <w:t>o posílení bezpečnosti výzkumu</w:t>
      </w:r>
    </w:p>
    <w:p w14:paraId="2331BE10" w14:textId="77777777" w:rsidR="007353BF" w:rsidRPr="002C2B4F" w:rsidRDefault="007353BF" w:rsidP="007353BF">
      <w:pPr>
        <w:pStyle w:val="Institutionquiagit"/>
        <w:rPr>
          <w:noProof/>
        </w:rPr>
      </w:pPr>
      <w:r w:rsidRPr="002C2B4F">
        <w:rPr>
          <w:noProof/>
        </w:rPr>
        <w:t>RADA EVROPSKÉ UNIE,</w:t>
      </w:r>
    </w:p>
    <w:p w14:paraId="46551F70" w14:textId="4551932E" w:rsidR="007353BF" w:rsidRPr="002C2B4F" w:rsidRDefault="007353BF" w:rsidP="007353BF">
      <w:pPr>
        <w:rPr>
          <w:noProof/>
          <w:szCs w:val="24"/>
        </w:rPr>
      </w:pPr>
      <w:r w:rsidRPr="002C2B4F">
        <w:rPr>
          <w:noProof/>
        </w:rPr>
        <w:t>s ohledem na Smlouvu o fungování Evropské unie, a zejména na článek 292 první a druhou větu ve spojení čl. 182 odst. 5 této smlouvy,</w:t>
      </w:r>
    </w:p>
    <w:p w14:paraId="4AA3EB4C" w14:textId="77777777" w:rsidR="007353BF" w:rsidRPr="002C2B4F" w:rsidRDefault="007353BF" w:rsidP="007353BF">
      <w:pPr>
        <w:rPr>
          <w:noProof/>
          <w:szCs w:val="24"/>
        </w:rPr>
      </w:pPr>
    </w:p>
    <w:p w14:paraId="0D8693C3" w14:textId="77777777" w:rsidR="007353BF" w:rsidRPr="002C2B4F" w:rsidRDefault="007353BF" w:rsidP="007353BF">
      <w:pPr>
        <w:rPr>
          <w:noProof/>
          <w:szCs w:val="24"/>
        </w:rPr>
      </w:pPr>
      <w:r w:rsidRPr="002C2B4F">
        <w:rPr>
          <w:noProof/>
        </w:rPr>
        <w:t>s ohledem na návrh Evropské komise,</w:t>
      </w:r>
    </w:p>
    <w:p w14:paraId="7EDF4873" w14:textId="77777777" w:rsidR="007353BF" w:rsidRPr="002C2B4F" w:rsidRDefault="007353BF" w:rsidP="007353BF">
      <w:pPr>
        <w:rPr>
          <w:noProof/>
          <w:szCs w:val="24"/>
        </w:rPr>
      </w:pPr>
      <w:r w:rsidRPr="002C2B4F">
        <w:rPr>
          <w:noProof/>
        </w:rPr>
        <w:t>vzhledem k těmto důvodům:</w:t>
      </w:r>
    </w:p>
    <w:p w14:paraId="56EB4ED9" w14:textId="77777777" w:rsidR="007353BF" w:rsidRPr="002C2B4F" w:rsidRDefault="007353BF" w:rsidP="001D0503">
      <w:pPr>
        <w:pStyle w:val="ManualConsidrant"/>
        <w:rPr>
          <w:noProof/>
        </w:rPr>
      </w:pPr>
      <w:r w:rsidRPr="002C2B4F">
        <w:rPr>
          <w:noProof/>
        </w:rPr>
        <w:t>(1)</w:t>
      </w:r>
      <w:r w:rsidRPr="002C2B4F">
        <w:rPr>
          <w:noProof/>
        </w:rPr>
        <w:tab/>
        <w:t>Otevřenost, mezinárodní spolupráce a akademická svoboda jsou základem výzkumu a inovací na světové úrovni. S rostoucím mezinárodním napětím a zvyšujícím se geopolitickým významem výzkumu a inovací jsou však naši výzkumní a akademičtí pracovníci při mezinárodní spolupráci stále častěji konfrontováni s riziky ohrožujícími bezpečnost výzkumu, což vede k tomu, že evropský výzkum a inovace jsou ovlivňovány zlovolnými vlivy a zneužívány způsobem, který ovlivňuje naši bezpečnost nebo porušuje naše etické normy. Je proto nezbytné, aby evropské vysokoškolské instituce a organizace provádějící výzkum, a to jak veřejné, tak soukromé, byly podporovány a měly možnost tato rizika řešit. Pro zachování otevřené a bezpečné mezinárodní spolupráce jsou nutná přesná a přiměřená ochranná opatření.</w:t>
      </w:r>
    </w:p>
    <w:p w14:paraId="1C3CCA67" w14:textId="77777777" w:rsidR="007353BF" w:rsidRPr="002C2B4F" w:rsidRDefault="007353BF" w:rsidP="007353BF">
      <w:pPr>
        <w:pStyle w:val="ManualConsidrant"/>
        <w:rPr>
          <w:noProof/>
        </w:rPr>
      </w:pPr>
      <w:r w:rsidRPr="002C2B4F">
        <w:rPr>
          <w:noProof/>
        </w:rPr>
        <w:t>(2)</w:t>
      </w:r>
      <w:r w:rsidRPr="002C2B4F">
        <w:rPr>
          <w:noProof/>
        </w:rPr>
        <w:tab/>
        <w:t>Otevřená věda zajišťuje co největší zpřístupnění vědy ve prospěch vědy, hospodářství a společnosti jako celku, zatímco mezinárodní spolupráce přispívá k účinnému řešení globálních výzev. Akademická svoboda znamená, že výzkumní pracovníci mohou svobodně provádět svůj výzkum a vybírat si výzkumné metody i své výzkumné partnery z celého světa, zatímco mezinárodní mobilita talentovaných výzkumných pracovníků obohacuje vědecké bádání a je nezbytná pro podporu inovací a dosažení vědeckých objevů.</w:t>
      </w:r>
    </w:p>
    <w:p w14:paraId="632D96A6" w14:textId="77777777" w:rsidR="007353BF" w:rsidRPr="002C2B4F" w:rsidRDefault="007353BF" w:rsidP="007E5093">
      <w:pPr>
        <w:pStyle w:val="ManualConsidrant"/>
        <w:rPr>
          <w:noProof/>
        </w:rPr>
      </w:pPr>
      <w:r w:rsidRPr="002C2B4F">
        <w:rPr>
          <w:noProof/>
        </w:rPr>
        <w:t>(3)</w:t>
      </w:r>
      <w:r w:rsidRPr="002C2B4F">
        <w:rPr>
          <w:noProof/>
        </w:rPr>
        <w:tab/>
        <w:t>Rostoucí strategické soupeření a návrat k mocenské politice vedou ke vztahům mezi státy, které jsou stále více založeny na transakcích. Výsledkem tohoto posunu jsou hrozby, které jsou rozmanitější, nepředvídatelné a často hybridní</w:t>
      </w:r>
      <w:r w:rsidRPr="002C2B4F">
        <w:rPr>
          <w:rStyle w:val="FootnoteReference"/>
          <w:noProof/>
        </w:rPr>
        <w:footnoteReference w:id="15"/>
      </w:r>
      <w:r w:rsidRPr="002C2B4F">
        <w:rPr>
          <w:noProof/>
        </w:rPr>
        <w:t>. Vzhledem k tomu, že technologie hrají klíčovou roli pro politickou, hospodářskou a vojenskou převahu, někteří konkurenti EU usilují o globální prvenství v oblasti vznikajících a přelomových technologií, aby posílili své vojenské a zpravodajské schopnosti a zároveň aktivně prosazují strategie fúze civilního a vojenského sektoru.</w:t>
      </w:r>
    </w:p>
    <w:p w14:paraId="66F95836" w14:textId="77777777" w:rsidR="007353BF" w:rsidRPr="002C2B4F" w:rsidRDefault="007353BF" w:rsidP="007353BF">
      <w:pPr>
        <w:pStyle w:val="ManualConsidrant"/>
        <w:rPr>
          <w:noProof/>
        </w:rPr>
      </w:pPr>
      <w:r w:rsidRPr="002C2B4F">
        <w:rPr>
          <w:noProof/>
        </w:rPr>
        <w:t>(4)</w:t>
      </w:r>
      <w:r w:rsidRPr="002C2B4F">
        <w:rPr>
          <w:noProof/>
        </w:rPr>
        <w:tab/>
        <w:t>Hybridní hrozby se mohou týkat všech relevantních odvětví, nicméně vzhledem ke své otevřenosti, akademické svobodě, institucionální autonomii a celosvětové spolupráci je odvětví výzkumu a inovací obzvláště zranitelné. Výzkumní pracovníci a inovátoři usazení v EU se zaměřují na získávání nejmodernějších poznatků a technologií, někdy s využitím podvodných a skrytých metod nebo přímých krádeží, častěji však s využitím zdánlivě seriózní mezinárodní akademické spolupráce. Kromě ohrožení naší bezpečnosti by tyto hybridní hrozby mohly ovlivnit akademickou svobodu v Evropě.</w:t>
      </w:r>
    </w:p>
    <w:p w14:paraId="06B9FDC4" w14:textId="77777777" w:rsidR="007353BF" w:rsidRPr="002C2B4F" w:rsidRDefault="007353BF" w:rsidP="007353BF">
      <w:pPr>
        <w:pStyle w:val="ManualConsidrant"/>
        <w:rPr>
          <w:noProof/>
        </w:rPr>
      </w:pPr>
      <w:r w:rsidRPr="002C2B4F">
        <w:rPr>
          <w:noProof/>
        </w:rPr>
        <w:t>(5)</w:t>
      </w:r>
      <w:r w:rsidRPr="002C2B4F">
        <w:rPr>
          <w:noProof/>
        </w:rPr>
        <w:tab/>
        <w:t>Vysokoškolské instituce a další organizace provádějící výzkum se tak pohybují ve stále náročnějším mezinárodním kontextu s riziky nežádoucího přenosu kritických znalostí a technologií do problémových zemí, kde mohou být využity k posílení jejich vojenského potenciálu nebo k účelům, které jsou v rozporu se základními hodnotami. Ačkoli tato spolupráce není vždy zakázána zákonem, je nežádoucí, protože představuje významné bezpečnostní a etické problémy.</w:t>
      </w:r>
    </w:p>
    <w:p w14:paraId="2848FC21" w14:textId="77777777" w:rsidR="007353BF" w:rsidRPr="002C2B4F" w:rsidRDefault="007353BF" w:rsidP="007353BF">
      <w:pPr>
        <w:pStyle w:val="ManualConsidrant"/>
        <w:rPr>
          <w:noProof/>
        </w:rPr>
      </w:pPr>
      <w:r w:rsidRPr="002C2B4F">
        <w:rPr>
          <w:noProof/>
        </w:rPr>
        <w:t>(6)</w:t>
      </w:r>
      <w:r w:rsidRPr="002C2B4F">
        <w:rPr>
          <w:noProof/>
        </w:rPr>
        <w:tab/>
        <w:t>V souladu s institucionální autonomií a akademickou svobodou jsou vysokoškolské instituce a další organizace provádějící výzkum primárně odpovědné za rozvoj a řízení své mezinárodní spolupráce. Veřejné orgány na všech úrovních by jim měly poskytovat pomoc a podporu a umožnit jim přijímat informovaná rozhodnutí a zvládat související rizika pro bezpečnost výzkumu a zajistit, aby mezinárodní spolupráce v oblasti výzkumu, inovací a vysokoškolského vzdělávání zůstala otevřená a bezpečná.</w:t>
      </w:r>
    </w:p>
    <w:p w14:paraId="12FD531C" w14:textId="77777777" w:rsidR="007353BF" w:rsidRPr="002C2B4F" w:rsidRDefault="007353BF" w:rsidP="007353BF">
      <w:pPr>
        <w:pStyle w:val="ManualConsidrant"/>
        <w:rPr>
          <w:noProof/>
        </w:rPr>
      </w:pPr>
      <w:r w:rsidRPr="002C2B4F">
        <w:rPr>
          <w:noProof/>
        </w:rPr>
        <w:t>(7)</w:t>
      </w:r>
      <w:r w:rsidRPr="002C2B4F">
        <w:rPr>
          <w:noProof/>
        </w:rPr>
        <w:tab/>
        <w:t>V posledních letech probíhají diskuse o posílení bezpečnosti výzkumu na úrovni EU, kde bylo rovněž podniknuto několik iniciativ:</w:t>
      </w:r>
    </w:p>
    <w:p w14:paraId="1B6A19D6" w14:textId="77777777" w:rsidR="007353BF" w:rsidRPr="002C2B4F" w:rsidRDefault="007353BF" w:rsidP="00E730DC">
      <w:pPr>
        <w:pStyle w:val="Tiret1"/>
        <w:numPr>
          <w:ilvl w:val="0"/>
          <w:numId w:val="7"/>
        </w:numPr>
        <w:rPr>
          <w:noProof/>
        </w:rPr>
      </w:pPr>
      <w:r w:rsidRPr="002C2B4F">
        <w:rPr>
          <w:noProof/>
        </w:rPr>
        <w:t>V květnu 2021 zveřejnila Komise sdělení o globálním přístupu k výzkumu a inovacím</w:t>
      </w:r>
      <w:r w:rsidRPr="002C2B4F">
        <w:rPr>
          <w:rStyle w:val="FootnoteReference"/>
          <w:noProof/>
        </w:rPr>
        <w:footnoteReference w:id="16"/>
      </w:r>
      <w:r w:rsidRPr="002C2B4F">
        <w:rPr>
          <w:noProof/>
        </w:rPr>
        <w:t>, v němž nastínila novou evropskou strategii pro mezinárodní politiku v oblasti výzkumu a inovací. Rada na to reagovala v září 2021 přijetím závěrů Rady</w:t>
      </w:r>
      <w:r w:rsidRPr="002C2B4F">
        <w:rPr>
          <w:rStyle w:val="FootnoteReference"/>
          <w:noProof/>
        </w:rPr>
        <w:footnoteReference w:id="17"/>
      </w:r>
      <w:r w:rsidRPr="002C2B4F">
        <w:rPr>
          <w:noProof/>
        </w:rPr>
        <w:t xml:space="preserve">, v nichž udělila politický mandát ke společné práci v oblasti bezpečnosti výzkumu. </w:t>
      </w:r>
    </w:p>
    <w:p w14:paraId="506DF737" w14:textId="77777777" w:rsidR="007353BF" w:rsidRPr="002C2B4F" w:rsidRDefault="007353BF" w:rsidP="006A068B">
      <w:pPr>
        <w:pStyle w:val="Tiret1"/>
        <w:rPr>
          <w:noProof/>
        </w:rPr>
      </w:pPr>
      <w:r w:rsidRPr="002C2B4F">
        <w:rPr>
          <w:noProof/>
        </w:rPr>
        <w:t>V rámcovém programu EU pro výzkum a inovace na období 2021–2027, Horizont Evropa</w:t>
      </w:r>
      <w:r w:rsidRPr="002C2B4F">
        <w:rPr>
          <w:rStyle w:val="FootnoteReference"/>
          <w:noProof/>
        </w:rPr>
        <w:footnoteReference w:id="18"/>
      </w:r>
      <w:r w:rsidRPr="002C2B4F">
        <w:rPr>
          <w:noProof/>
        </w:rPr>
        <w:t xml:space="preserve">, bylo zavedeno několik ochranných opatření, která uvádějí v platnost výraznou odpovědnost EU jako jednoho z největších evropských poskytovatelů finančních prostředků na výzkum. </w:t>
      </w:r>
    </w:p>
    <w:p w14:paraId="25B1D5F8" w14:textId="77777777" w:rsidR="007353BF" w:rsidRPr="002C2B4F" w:rsidRDefault="007353BF" w:rsidP="006A068B">
      <w:pPr>
        <w:pStyle w:val="Tiret1"/>
        <w:rPr>
          <w:noProof/>
        </w:rPr>
      </w:pPr>
      <w:r w:rsidRPr="002C2B4F">
        <w:rPr>
          <w:noProof/>
        </w:rPr>
        <w:t>Rada přijala v listopadu 2021 politický program pro Evropský výzkumný prostor (EVP) na období 2022–2024 jako součást svých závěrů o řízení Evropského výzkumného prostoru v budoucnosti</w:t>
      </w:r>
      <w:r w:rsidRPr="002C2B4F">
        <w:rPr>
          <w:rStyle w:val="FootnoteReference"/>
          <w:noProof/>
        </w:rPr>
        <w:footnoteReference w:id="19"/>
      </w:r>
      <w:r w:rsidRPr="002C2B4F">
        <w:rPr>
          <w:noProof/>
        </w:rPr>
        <w:t>, v němž je boj proti zahraničnímu vměšování zařazen mezi prioritní opatření.</w:t>
      </w:r>
    </w:p>
    <w:p w14:paraId="326A4E88" w14:textId="77777777" w:rsidR="007353BF" w:rsidRPr="002C2B4F" w:rsidRDefault="007353BF" w:rsidP="006A068B">
      <w:pPr>
        <w:pStyle w:val="Tiret1"/>
        <w:rPr>
          <w:noProof/>
        </w:rPr>
      </w:pPr>
      <w:r w:rsidRPr="002C2B4F">
        <w:rPr>
          <w:noProof/>
        </w:rPr>
        <w:t>V lednu 2022 Komise v návaznosti na své závazky vyplývající z globálního přístupu i z politického programu EVP zveřejnila pracovní dokument svých útvarů o boji proti zahraničnímu vměšování do výzkumu a inovací</w:t>
      </w:r>
      <w:r w:rsidRPr="002C2B4F">
        <w:rPr>
          <w:rStyle w:val="FootnoteReference"/>
          <w:noProof/>
        </w:rPr>
        <w:footnoteReference w:id="20"/>
      </w:r>
      <w:r w:rsidRPr="002C2B4F">
        <w:rPr>
          <w:noProof/>
        </w:rPr>
        <w:t>. Kromě toho se v průběhu roku 2023 uskutečnil program vzájemného učení mezi členskými státy, aby se umožnilo vzájemné předávání zkušeností.</w:t>
      </w:r>
    </w:p>
    <w:p w14:paraId="33537D2A" w14:textId="77777777" w:rsidR="00BA09CF" w:rsidRPr="002C2B4F" w:rsidRDefault="00BA09CF" w:rsidP="006A068B">
      <w:pPr>
        <w:pStyle w:val="Tiret1"/>
        <w:rPr>
          <w:noProof/>
        </w:rPr>
      </w:pPr>
      <w:r w:rsidRPr="002C2B4F">
        <w:rPr>
          <w:noProof/>
        </w:rPr>
        <w:t>Sdělení Komise „Evropská strategie pro univerzity“</w:t>
      </w:r>
      <w:r w:rsidRPr="002C2B4F">
        <w:rPr>
          <w:rStyle w:val="FootnoteReference"/>
          <w:noProof/>
        </w:rPr>
        <w:footnoteReference w:id="21"/>
      </w:r>
      <w:r w:rsidRPr="002C2B4F">
        <w:rPr>
          <w:noProof/>
        </w:rPr>
        <w:t xml:space="preserve"> připomíná, že vysokoškolské instituce mají jedinečné postavení na křižovatce vzdělávání, výzkumu a inovací, a hrají tak zásadní úlohu při vytváření Evropského prostoru vzdělávání</w:t>
      </w:r>
      <w:r w:rsidRPr="002C2B4F">
        <w:rPr>
          <w:rStyle w:val="FootnoteReference"/>
          <w:noProof/>
        </w:rPr>
        <w:footnoteReference w:id="22"/>
      </w:r>
      <w:r w:rsidRPr="002C2B4F">
        <w:rPr>
          <w:noProof/>
        </w:rPr>
        <w:t xml:space="preserve"> a Evropského výzkumného prostoru, označuje zahraniční vměšování do vysokoškolských institucí za hrozbu a podporuje provádění pokynů týkajících se zahraničního vměšování. Úloha vysokoškolských institucí při ochraně evropských demokratických hodnot je jádrem strategie.</w:t>
      </w:r>
    </w:p>
    <w:p w14:paraId="24F59238" w14:textId="77777777" w:rsidR="00E445CF" w:rsidRPr="002C2B4F" w:rsidRDefault="00E445CF" w:rsidP="006A068B">
      <w:pPr>
        <w:pStyle w:val="Tiret1"/>
        <w:rPr>
          <w:noProof/>
        </w:rPr>
      </w:pPr>
      <w:r w:rsidRPr="002C2B4F">
        <w:rPr>
          <w:noProof/>
        </w:rPr>
        <w:t>Evropský parlament přijal dne 9. března 2022 usnesení o „zahraničním vměšování do všech demokratických procesů v Evropské unii, včetně dezinformací“, v němž vyzývá k posílení akademické svobody, zlepšení transparentnosti zahraničního financování a také k mapování a monitorování zahraničního vměšování do kulturní, akademické a náboženské oblasti</w:t>
      </w:r>
      <w:r w:rsidRPr="002C2B4F">
        <w:rPr>
          <w:rStyle w:val="FootnoteReference"/>
          <w:noProof/>
        </w:rPr>
        <w:footnoteReference w:id="23"/>
      </w:r>
      <w:r w:rsidRPr="002C2B4F">
        <w:rPr>
          <w:noProof/>
        </w:rPr>
        <w:t xml:space="preserve">. </w:t>
      </w:r>
    </w:p>
    <w:p w14:paraId="7BF73FA3" w14:textId="77777777" w:rsidR="007353BF" w:rsidRPr="002C2B4F" w:rsidRDefault="007353BF" w:rsidP="006A068B">
      <w:pPr>
        <w:pStyle w:val="Tiret1"/>
        <w:rPr>
          <w:noProof/>
        </w:rPr>
      </w:pPr>
      <w:r w:rsidRPr="002C2B4F">
        <w:rPr>
          <w:noProof/>
        </w:rPr>
        <w:t>Z širšího hlediska bezpečnosti a obrany probíhají práce v rámci Strategie bezpečnostní unie EU</w:t>
      </w:r>
      <w:r w:rsidRPr="002C2B4F">
        <w:rPr>
          <w:rStyle w:val="FootnoteReference"/>
          <w:noProof/>
        </w:rPr>
        <w:footnoteReference w:id="24"/>
      </w:r>
      <w:r w:rsidRPr="002C2B4F">
        <w:rPr>
          <w:noProof/>
        </w:rPr>
        <w:t xml:space="preserve"> a Strategického kompasu pro bezpečnost a obranu</w:t>
      </w:r>
      <w:r w:rsidRPr="002C2B4F">
        <w:rPr>
          <w:rStyle w:val="FootnoteReference"/>
          <w:noProof/>
        </w:rPr>
        <w:footnoteReference w:id="25"/>
      </w:r>
      <w:r w:rsidRPr="002C2B4F">
        <w:rPr>
          <w:noProof/>
        </w:rPr>
        <w:t xml:space="preserve">, jejichž cílem je společné hodnocení hrozeb a výzev a větší soudržnost opatření v oblasti bezpečnosti a obrany, mimo jiné prostřednictvím různých nástrojů pro odhalování hybridních hrozeb a reakci na ně v rámci souboru hybridních nástrojů EU.  </w:t>
      </w:r>
    </w:p>
    <w:p w14:paraId="5751537D" w14:textId="77777777" w:rsidR="007353BF" w:rsidRPr="002C2B4F" w:rsidRDefault="007353BF" w:rsidP="006A068B">
      <w:pPr>
        <w:pStyle w:val="Tiret1"/>
        <w:rPr>
          <w:noProof/>
        </w:rPr>
      </w:pPr>
      <w:r w:rsidRPr="002C2B4F">
        <w:rPr>
          <w:noProof/>
        </w:rPr>
        <w:t>V oblasti pravidel EU pro kontrolu vývozu zboží a technologií dvojího užití má pro bezpečnost výzkumu velký význam nařízení EU o kontrole vývozu</w:t>
      </w:r>
      <w:r w:rsidRPr="002C2B4F">
        <w:rPr>
          <w:rStyle w:val="FootnoteReference"/>
          <w:noProof/>
        </w:rPr>
        <w:footnoteReference w:id="26"/>
      </w:r>
      <w:r w:rsidRPr="002C2B4F">
        <w:rPr>
          <w:noProof/>
        </w:rPr>
        <w:t>. Na pomoc vysokoškolským institucím a organizacím provádějícím výzkum zveřejnila Komise v září 2021 doporučení o programech dodržování předpisů pro výzkum zahrnující zboží dvojího užití</w:t>
      </w:r>
      <w:r w:rsidRPr="002C2B4F">
        <w:rPr>
          <w:rStyle w:val="FootnoteReference"/>
          <w:noProof/>
        </w:rPr>
        <w:footnoteReference w:id="27"/>
      </w:r>
      <w:r w:rsidRPr="002C2B4F">
        <w:rPr>
          <w:noProof/>
        </w:rPr>
        <w:t>.</w:t>
      </w:r>
    </w:p>
    <w:p w14:paraId="65FCC53D" w14:textId="77777777" w:rsidR="007353BF" w:rsidRPr="002C2B4F" w:rsidRDefault="007353BF" w:rsidP="006A068B">
      <w:pPr>
        <w:pStyle w:val="ManualConsidrant"/>
        <w:rPr>
          <w:noProof/>
        </w:rPr>
      </w:pPr>
      <w:r w:rsidRPr="002C2B4F">
        <w:rPr>
          <w:noProof/>
        </w:rPr>
        <w:t>(8)</w:t>
      </w:r>
      <w:r w:rsidRPr="002C2B4F">
        <w:rPr>
          <w:noProof/>
        </w:rPr>
        <w:tab/>
        <w:t>Komise a vysoký představitel přijali společné sdělení o Strategii evropské hospodářské bezpečnosti</w:t>
      </w:r>
      <w:r w:rsidRPr="002C2B4F">
        <w:rPr>
          <w:rStyle w:val="FootnoteReference"/>
          <w:rFonts w:eastAsia="Times New Roman"/>
          <w:noProof/>
          <w:szCs w:val="24"/>
        </w:rPr>
        <w:footnoteReference w:id="28"/>
      </w:r>
      <w:r w:rsidRPr="002C2B4F">
        <w:rPr>
          <w:noProof/>
        </w:rPr>
        <w:t xml:space="preserve">, jehož cílem je zajistit, aby Unie i nadále využívala výhod hospodářské otevřenosti a zároveň minimalizovala rizika pro svou hospodářskou bezpečnost. Strategie navrhuje přístup založený na třech pilířích podpora hospodářské základny EU a její konkurenceschopnosti, ochrana před riziky a partnerství s co nejširším okruhem zemí za účelem řešení sdílených obav a zájmů. V každém z pilířů hrají klíčovou roli výzkum a inovace. </w:t>
      </w:r>
    </w:p>
    <w:p w14:paraId="2D27A567" w14:textId="77777777" w:rsidR="007353BF" w:rsidRPr="002C2B4F" w:rsidRDefault="007353BF" w:rsidP="006A068B">
      <w:pPr>
        <w:pStyle w:val="ManualConsidrant"/>
        <w:rPr>
          <w:noProof/>
        </w:rPr>
      </w:pPr>
      <w:r w:rsidRPr="002C2B4F">
        <w:rPr>
          <w:noProof/>
        </w:rPr>
        <w:t>(9)</w:t>
      </w:r>
      <w:r w:rsidRPr="002C2B4F">
        <w:rPr>
          <w:noProof/>
        </w:rPr>
        <w:tab/>
        <w:t>V návaznosti na toto společné sdělení Komise ve svém doporučení ze dne 3. října 2023 určila technologické oblasti s kritickým významem pro hospodářskou bezpečnost EU za účelem dalšího posouzení rizik s členskými státy</w:t>
      </w:r>
      <w:r w:rsidRPr="002C2B4F">
        <w:rPr>
          <w:rStyle w:val="FootnoteReference"/>
          <w:noProof/>
        </w:rPr>
        <w:footnoteReference w:id="29"/>
      </w:r>
      <w:r w:rsidRPr="002C2B4F">
        <w:rPr>
          <w:noProof/>
        </w:rPr>
        <w:t>. Hodnocení rizik již bylo prioritně zahájeno ve čtyřech z deseti určených technologických oblastí s kritickým významem, a to v oblasti pokročilých polovodičů, umělé inteligence, kvantových technologií a biotechnologií. Výsledek tohoto posouzení rizik by po dokončení mohl být podkladem pro další opatření k provádění Strategie evropské hospodářské bezpečnosti, včetně opatření na posílení bezpečnosti výzkumu.</w:t>
      </w:r>
    </w:p>
    <w:p w14:paraId="65013E00" w14:textId="77777777" w:rsidR="007353BF" w:rsidRPr="002C2B4F" w:rsidRDefault="00A44C8F" w:rsidP="006A068B">
      <w:pPr>
        <w:pStyle w:val="ManualConsidrant"/>
        <w:rPr>
          <w:noProof/>
        </w:rPr>
      </w:pPr>
      <w:r w:rsidRPr="002C2B4F">
        <w:rPr>
          <w:noProof/>
        </w:rPr>
        <w:t>(10)</w:t>
      </w:r>
      <w:r w:rsidRPr="002C2B4F">
        <w:rPr>
          <w:noProof/>
        </w:rPr>
        <w:tab/>
        <w:t>Ve společném sdělení o Strategii evropské hospodářské bezpečnosti bylo dále oznámeno, že Komise navrhne opatření ke zvýšení bezpečnosti výzkumu tím, že zajistí využívání stávajících nástrojů a určí a vyřeší případné zbývající nedostatky, přičemž zachová otevřenost výzkumného a inovačního ekosystému.</w:t>
      </w:r>
    </w:p>
    <w:p w14:paraId="7BB4812E" w14:textId="77777777" w:rsidR="007353BF" w:rsidRPr="002C2B4F" w:rsidRDefault="007353BF" w:rsidP="006A068B">
      <w:pPr>
        <w:pStyle w:val="ManualConsidrant"/>
        <w:rPr>
          <w:noProof/>
        </w:rPr>
      </w:pPr>
      <w:r w:rsidRPr="002C2B4F">
        <w:rPr>
          <w:noProof/>
        </w:rPr>
        <w:t>(11)</w:t>
      </w:r>
      <w:r w:rsidRPr="002C2B4F">
        <w:rPr>
          <w:noProof/>
        </w:rPr>
        <w:tab/>
        <w:t xml:space="preserve">Pokud jde o určení nedostatků uvedených v předchozím bodě, diskuse s členskými státy a organizacemi zúčastněných stran ukazují, že tvůrci politik a odborníci z praxe naléhavě potřebují větší koncepční jasnost, společné chápání daných otázek a také toho, co představuje politickou reakci, která je přiměřená a účinná. </w:t>
      </w:r>
    </w:p>
    <w:p w14:paraId="56CCB33A" w14:textId="77777777" w:rsidR="007353BF" w:rsidRPr="002C2B4F" w:rsidRDefault="007353BF" w:rsidP="006A068B">
      <w:pPr>
        <w:pStyle w:val="ManualConsidrant"/>
        <w:rPr>
          <w:noProof/>
        </w:rPr>
      </w:pPr>
      <w:r w:rsidRPr="002C2B4F">
        <w:rPr>
          <w:noProof/>
        </w:rPr>
        <w:t>(12)</w:t>
      </w:r>
      <w:r w:rsidRPr="002C2B4F">
        <w:rPr>
          <w:noProof/>
        </w:rPr>
        <w:tab/>
        <w:t xml:space="preserve">Stále více členských států vypracovalo nebo právě vypracovává politiky zaměřené na posílení bezpečnosti výzkumu. Toto úsilí obecně přispívá ke zvyšování povědomí a posilování odolnosti, avšak nekoordinovaný nárůst počtu vnitrostátních opatření by vedl k nesourodosti vnitrostátních politik, rozdílům mezi členskými státy, a tím k roztříštěnosti Evropského výzkumného prostoru. Koordinace na úrovni EU je proto nutná k zajištění rovných podmínek a k ochraně integrity Evropského výzkumného prostoru. </w:t>
      </w:r>
    </w:p>
    <w:p w14:paraId="0604991B" w14:textId="77777777" w:rsidR="007353BF" w:rsidRPr="002C2B4F" w:rsidRDefault="007353BF" w:rsidP="006A068B">
      <w:pPr>
        <w:pStyle w:val="ManualConsidrant"/>
        <w:rPr>
          <w:noProof/>
        </w:rPr>
      </w:pPr>
      <w:r w:rsidRPr="002C2B4F">
        <w:rPr>
          <w:noProof/>
        </w:rPr>
        <w:t>(13)</w:t>
      </w:r>
      <w:r w:rsidRPr="002C2B4F">
        <w:rPr>
          <w:noProof/>
        </w:rPr>
        <w:tab/>
        <w:t>Je třeba zdůraznit, že bezpečnostní opatření v oblasti výzkumu mohou být skutečně účinná pouze tehdy, jsou-li důsledně uplatňována na všech úrovních, včetně úrovně EU a vnitrostátní a regionální úrovně, jakož i na úrovni jednotlivých veřejných a soukromých organizací provádějících výzkum, aby se zabránilo vzniku mezer a obcházení.</w:t>
      </w:r>
    </w:p>
    <w:p w14:paraId="79725CE6" w14:textId="77777777" w:rsidR="00051D5E" w:rsidRPr="002C2B4F" w:rsidRDefault="0078010B" w:rsidP="006A068B">
      <w:pPr>
        <w:pStyle w:val="ManualConsidrant"/>
        <w:rPr>
          <w:noProof/>
        </w:rPr>
      </w:pPr>
      <w:r w:rsidRPr="002C2B4F">
        <w:rPr>
          <w:noProof/>
        </w:rPr>
        <w:t>(14)</w:t>
      </w:r>
      <w:r w:rsidRPr="002C2B4F">
        <w:rPr>
          <w:noProof/>
        </w:rPr>
        <w:tab/>
        <w:t>V konkrétních případech by dodržování příslušných právních předpisů a pravidel EU mohlo být podpořeno pokyny k výkladu. To se týká zejména pravidel kontroly vývozu, zvláště nehmotných převodů technologií, vízové povinnosti pro zahraniční výzkumné pracovníky</w:t>
      </w:r>
      <w:r w:rsidR="00051D5E" w:rsidRPr="002C2B4F">
        <w:rPr>
          <w:rStyle w:val="FootnoteReference"/>
          <w:noProof/>
        </w:rPr>
        <w:footnoteReference w:id="30"/>
      </w:r>
      <w:r w:rsidRPr="002C2B4F">
        <w:rPr>
          <w:noProof/>
        </w:rPr>
        <w:t>, jakož i výkladu některých požadavků na otevřenou vědu a řízení duševního vlastnictví z hlediska bezpečnosti výzkumu.</w:t>
      </w:r>
    </w:p>
    <w:p w14:paraId="3362D752" w14:textId="77777777" w:rsidR="004D5C18" w:rsidRPr="002C2B4F" w:rsidRDefault="004D5C18" w:rsidP="006A068B">
      <w:pPr>
        <w:pStyle w:val="ManualConsidrant"/>
        <w:rPr>
          <w:noProof/>
        </w:rPr>
      </w:pPr>
      <w:r w:rsidRPr="002C2B4F">
        <w:rPr>
          <w:noProof/>
        </w:rPr>
        <w:t>(15)</w:t>
      </w:r>
      <w:r w:rsidRPr="002C2B4F">
        <w:rPr>
          <w:noProof/>
        </w:rPr>
        <w:tab/>
        <w:t>Je důležité, aby hybridní hrozby, které ovlivňují výzkumný a inovační ekosystém, byly strukturovaně vyhodnocovány, což zvýší poznatky tvůrců politik o situaci tím, že se budou opírat o společnou zpravodajsko-analytickou složku (SIAC), zejména o Středisko EU pro hybridní hrozby, práci Evropského střediska pro boj proti hybridním hrozbám</w:t>
      </w:r>
      <w:r w:rsidRPr="002C2B4F">
        <w:rPr>
          <w:rStyle w:val="FootnoteReference"/>
          <w:noProof/>
        </w:rPr>
        <w:footnoteReference w:id="31"/>
      </w:r>
      <w:r w:rsidRPr="002C2B4F">
        <w:rPr>
          <w:noProof/>
        </w:rPr>
        <w:t>, jakož i o agenturu ENISA v souvislosti s hrozbami pro kybernetickou bezpečnost</w:t>
      </w:r>
      <w:r w:rsidRPr="002C2B4F">
        <w:rPr>
          <w:rStyle w:val="FootnoteReference"/>
          <w:noProof/>
        </w:rPr>
        <w:footnoteReference w:id="32"/>
      </w:r>
    </w:p>
    <w:p w14:paraId="71EB30B0" w14:textId="77777777" w:rsidR="007353BF" w:rsidRPr="002C2B4F" w:rsidRDefault="007353BF" w:rsidP="006A068B">
      <w:pPr>
        <w:pStyle w:val="ManualConsidrant"/>
        <w:rPr>
          <w:noProof/>
        </w:rPr>
      </w:pPr>
      <w:r w:rsidRPr="002C2B4F">
        <w:rPr>
          <w:noProof/>
        </w:rPr>
        <w:t>(16)</w:t>
      </w:r>
      <w:r w:rsidRPr="002C2B4F">
        <w:rPr>
          <w:noProof/>
        </w:rPr>
        <w:tab/>
        <w:t>Vzhledem k tomu, že významný podíl výzkumu a inovací se uskutečňuje v soukromém sektoru, je klíčové vypracovat cílené pokyny a nástroje pro podniky, zejména pro začínající výzkumné podniky s intenzivním výzkumem a malé a střední podniky. Ačkoli rizika, kterým jsou společnosti vystaveny, mohou být podobná, jejich situace se liší od situace vysokoškolských institucí a organizací provádějících výzkum. V této souvislosti je třeba upozornit na stávající pravidla, včetně pravidel pro kontrolu vývozu zboží dvojího užití, prověřování zahraničních investic a probíhající práce na sledování investic do zahraničí.</w:t>
      </w:r>
    </w:p>
    <w:p w14:paraId="66B7D036" w14:textId="77777777" w:rsidR="007353BF" w:rsidRPr="002C2B4F" w:rsidRDefault="007353BF" w:rsidP="006A068B">
      <w:pPr>
        <w:pStyle w:val="ManualConsidrant"/>
        <w:rPr>
          <w:noProof/>
        </w:rPr>
      </w:pPr>
      <w:r w:rsidRPr="002C2B4F">
        <w:rPr>
          <w:noProof/>
        </w:rPr>
        <w:t>(17)</w:t>
      </w:r>
      <w:r w:rsidRPr="002C2B4F">
        <w:rPr>
          <w:noProof/>
        </w:rPr>
        <w:tab/>
        <w:t>Při přípravě tohoto doporučení byla věnována náležitá pozornost zkušenostem členských států i partnerů EU, a to jak v bilaterálním, tak v multilaterálním prostředí. Zohledňuje politické zkušenosti klíčových partnerů a zároveň zdůrazňuje, že je třeba formulovat přístup, který odpovídá jedinečnému evropskému kontextu. S našimi partnery pokračujeme v úsilí o výměnu informací a zkušeností, sdílení osvědčených postupů a hledání způsobů, jak sladit ochranná opatření, a to i prostřednictvím mnohostranného dialogu o hodnotách a zásadách, v rámci jednání o přidružení a zasedání společného řídícího výboru pro vědu a techniku v kontextu mezinárodních dohod o vědě a technice, jakož i na mnohostranných fórech, jako jsou G7, OECD a NATO, a v rámci příslušných mnohostranných ujednání o kontrole vývozu.</w:t>
      </w:r>
    </w:p>
    <w:p w14:paraId="34BBA69F" w14:textId="77777777" w:rsidR="007353BF" w:rsidRPr="002C2B4F" w:rsidRDefault="007353BF" w:rsidP="006A068B">
      <w:pPr>
        <w:pStyle w:val="ManualConsidrant"/>
        <w:rPr>
          <w:noProof/>
        </w:rPr>
      </w:pPr>
      <w:r w:rsidRPr="002C2B4F">
        <w:rPr>
          <w:noProof/>
        </w:rPr>
        <w:t>(18)</w:t>
      </w:r>
      <w:r w:rsidRPr="002C2B4F">
        <w:rPr>
          <w:noProof/>
        </w:rPr>
        <w:tab/>
        <w:t xml:space="preserve">Bezpečnost výzkumu je problémem, kterému se věnuje stále větší pozornost, a probíhající debata o souvisejících rizicích a o tom, jak je nejlépe zvládnout, se zintenzivňuje. Proto je třeba dále zvyšovat informovanost, usnadňovat vzájemné učení mezi členskými státy a příslušnými organizacemi zúčastněných stran a přispívat k pružnému a agilnímu přístupu k učení.  </w:t>
      </w:r>
    </w:p>
    <w:p w14:paraId="1DF3F708" w14:textId="77777777" w:rsidR="007353BF" w:rsidRPr="002C2B4F" w:rsidRDefault="007353BF" w:rsidP="00AC4660">
      <w:pPr>
        <w:rPr>
          <w:b/>
          <w:bCs/>
          <w:noProof/>
        </w:rPr>
      </w:pPr>
      <w:r w:rsidRPr="002C2B4F">
        <w:rPr>
          <w:b/>
          <w:noProof/>
        </w:rPr>
        <w:t>OBLAST PŮSOBNOSTI</w:t>
      </w:r>
    </w:p>
    <w:p w14:paraId="3358BC82" w14:textId="77777777" w:rsidR="007353BF" w:rsidRPr="002C2B4F" w:rsidRDefault="007353BF" w:rsidP="001D0503">
      <w:pPr>
        <w:pStyle w:val="ManualNumPar1"/>
        <w:rPr>
          <w:noProof/>
        </w:rPr>
      </w:pPr>
      <w:r w:rsidRPr="002C2B4F">
        <w:rPr>
          <w:noProof/>
        </w:rPr>
        <w:t>1.</w:t>
      </w:r>
      <w:r w:rsidRPr="002C2B4F">
        <w:rPr>
          <w:noProof/>
        </w:rPr>
        <w:tab/>
        <w:t>Pro účely tohoto doporučení se „bezpečností výzkumu“ rozumí řízení rizik souvisejících s:</w:t>
      </w:r>
    </w:p>
    <w:p w14:paraId="6E448F74" w14:textId="77777777" w:rsidR="007353BF" w:rsidRPr="002C2B4F" w:rsidRDefault="007353BF" w:rsidP="001D0503">
      <w:pPr>
        <w:pStyle w:val="Point1"/>
        <w:rPr>
          <w:noProof/>
        </w:rPr>
      </w:pPr>
      <w:r w:rsidRPr="002C2B4F">
        <w:rPr>
          <w:noProof/>
        </w:rPr>
        <w:t>a)</w:t>
      </w:r>
      <w:r w:rsidRPr="002C2B4F">
        <w:rPr>
          <w:noProof/>
        </w:rPr>
        <w:tab/>
        <w:t>nežádoucím přenosem kritických znalostí, know-how a technologií, které mohou ovlivnit bezpečnost EU a jejích členských států, například pokud by byly použity pro vojenské účely ve třetích zemích;</w:t>
      </w:r>
    </w:p>
    <w:p w14:paraId="5740593D" w14:textId="77777777" w:rsidR="007353BF" w:rsidRPr="002C2B4F" w:rsidRDefault="007353BF" w:rsidP="00972698">
      <w:pPr>
        <w:pStyle w:val="Point1"/>
        <w:rPr>
          <w:noProof/>
        </w:rPr>
      </w:pPr>
      <w:r w:rsidRPr="002C2B4F">
        <w:rPr>
          <w:noProof/>
        </w:rPr>
        <w:t>b)</w:t>
      </w:r>
      <w:r w:rsidRPr="002C2B4F">
        <w:rPr>
          <w:noProof/>
        </w:rPr>
        <w:tab/>
        <w:t>zlovolným vlivem na výzkum, kdy může dojít k jeho zneužívání třetími zeměmi nebo ze třetích zemí k šíření určitých narativů nebo k podněcování autocenzury mezi studenty a výzkumnými pracovníky, což porušuje akademickou svobodu a integritu výzkumu v EU;</w:t>
      </w:r>
    </w:p>
    <w:p w14:paraId="5AAC5BFD" w14:textId="77777777" w:rsidR="007353BF" w:rsidRPr="002C2B4F" w:rsidRDefault="007353BF" w:rsidP="00972698">
      <w:pPr>
        <w:pStyle w:val="Point1"/>
        <w:rPr>
          <w:noProof/>
        </w:rPr>
      </w:pPr>
      <w:r w:rsidRPr="002C2B4F">
        <w:rPr>
          <w:noProof/>
        </w:rPr>
        <w:t>c)</w:t>
      </w:r>
      <w:r w:rsidRPr="002C2B4F">
        <w:rPr>
          <w:noProof/>
        </w:rPr>
        <w:tab/>
        <w:t>porušováním etiky nebo integrity, kdy jsou znalosti a technologie využívány k potlačování nebo podkopávání základních hodnot, ať už v EU nebo jinde.</w:t>
      </w:r>
    </w:p>
    <w:p w14:paraId="2151E928" w14:textId="77777777" w:rsidR="00C44F1C" w:rsidRPr="002C2B4F" w:rsidRDefault="00C44F1C" w:rsidP="00972698">
      <w:pPr>
        <w:pStyle w:val="ManualNumPar1"/>
        <w:rPr>
          <w:noProof/>
        </w:rPr>
      </w:pPr>
      <w:r w:rsidRPr="002C2B4F">
        <w:rPr>
          <w:noProof/>
        </w:rPr>
        <w:t>2.</w:t>
      </w:r>
      <w:r w:rsidRPr="002C2B4F">
        <w:rPr>
          <w:noProof/>
        </w:rPr>
        <w:tab/>
        <w:t>Pro účely tohoto doporučení by se „mezinárodní spoluprací“ měla rozumět spolupráce veřejných a soukromých výzkumných organizací a vysokoškolských institucí s výzkumnými a inovačními organizacemi a společnostmi se sídlem mimo EU. Výzkumné a inovační organizace a společnosti se sídlem v EU, ale vlastněné nebo řízené ze zemí mimo EU, by měly být posuzovány na základě posouzení rizik.</w:t>
      </w:r>
    </w:p>
    <w:p w14:paraId="5E6A5AC0" w14:textId="77777777" w:rsidR="00512D4C" w:rsidRPr="002C2B4F" w:rsidRDefault="009161E0" w:rsidP="00972698">
      <w:pPr>
        <w:pStyle w:val="ManualNumPar1"/>
        <w:rPr>
          <w:noProof/>
        </w:rPr>
      </w:pPr>
      <w:r w:rsidRPr="002C2B4F">
        <w:rPr>
          <w:noProof/>
        </w:rPr>
        <w:t>3.</w:t>
      </w:r>
      <w:r w:rsidRPr="002C2B4F">
        <w:rPr>
          <w:noProof/>
        </w:rPr>
        <w:tab/>
        <w:t xml:space="preserve">V kontextu tohoto doporučení se „posouzením rizik“ rozumí proces v souvislosti s mezinárodní spoluprací v oblasti výzkumu a inovací, při němž se bere v úvahu kombinace hlavních rizikových faktorů. Kombinace těchto faktorů určuje míru rizika. Klíčové prvky, které je třeba posoudit, lze rozdělit do čtyř kategorií: </w:t>
      </w:r>
    </w:p>
    <w:p w14:paraId="312872EF" w14:textId="77777777" w:rsidR="00512D4C" w:rsidRPr="002C2B4F" w:rsidRDefault="00512D4C" w:rsidP="00E730DC">
      <w:pPr>
        <w:pStyle w:val="Tiret1"/>
        <w:numPr>
          <w:ilvl w:val="0"/>
          <w:numId w:val="6"/>
        </w:numPr>
        <w:rPr>
          <w:noProof/>
        </w:rPr>
      </w:pPr>
      <w:r w:rsidRPr="002C2B4F">
        <w:rPr>
          <w:noProof/>
        </w:rPr>
        <w:t>rizikový profil organizace se sídlem v EU, která vstupuje do mezinárodní spolupráce: zvážení silných stránek a zranitelností organizace, včetně finančních závislostí, které jsou relevantní pro výzkumný projekt,</w:t>
      </w:r>
    </w:p>
    <w:p w14:paraId="77CE05F9" w14:textId="77777777" w:rsidR="00512D4C" w:rsidRPr="002C2B4F" w:rsidRDefault="00512D4C" w:rsidP="00972698">
      <w:pPr>
        <w:pStyle w:val="Tiret1"/>
        <w:rPr>
          <w:noProof/>
        </w:rPr>
      </w:pPr>
      <w:r w:rsidRPr="002C2B4F">
        <w:rPr>
          <w:noProof/>
        </w:rPr>
        <w:t>oblast výzkumu a inovací, v níž má probíhat mezinárodní spolupráce: zvážení, zda se projekt zaměřuje na oblast výzkumu, např. na technickou oblast technologií s kritickým významem, nebo zda zahrnuje metodiku či výzkumnou infrastrukturu, která je považována za obzvláště citlivou z hlediska bezpečnosti nebo etiky / lidských práv,</w:t>
      </w:r>
    </w:p>
    <w:p w14:paraId="35C828C7" w14:textId="7958BDA9" w:rsidR="00512D4C" w:rsidRPr="002C2B4F" w:rsidRDefault="00512D4C" w:rsidP="00972698">
      <w:pPr>
        <w:pStyle w:val="Tiret1"/>
        <w:rPr>
          <w:noProof/>
        </w:rPr>
      </w:pPr>
      <w:bookmarkStart w:id="1" w:name="_Hlk156500811"/>
      <w:r w:rsidRPr="002C2B4F">
        <w:rPr>
          <w:noProof/>
        </w:rPr>
        <w:t>rizikový profil třetí země, kde má mezinárodní partner sídlo nebo odkud je vlastněn či kontrolován (např.: zda se na danou zemi vztahují sankce, zda má špatné výsledky v oblasti právního státu nebo ochrany lidských práv, agresivní strategii slučování civilních a vojenských sil nebo omezenou akademickou svobodu),</w:t>
      </w:r>
    </w:p>
    <w:bookmarkEnd w:id="1"/>
    <w:p w14:paraId="5AD135EE" w14:textId="77777777" w:rsidR="0031702E" w:rsidRPr="002C2B4F" w:rsidRDefault="00512D4C" w:rsidP="00972698">
      <w:pPr>
        <w:pStyle w:val="Tiret1"/>
        <w:rPr>
          <w:noProof/>
        </w:rPr>
      </w:pPr>
      <w:r w:rsidRPr="002C2B4F">
        <w:rPr>
          <w:noProof/>
        </w:rPr>
        <w:t>rizikový profil mezinárodní partnerské organizace: provedení hloubkové kontroly organizace, se kterou má být navázána spolupráce, a určení toho, zda má vazby na vládu nebo armádu, příslušnost zúčastněných výzkumných pracovníků a zaměstnanců a také záměry partnera týkající se konečného využití nebo aplikace výsledků výzkumu.</w:t>
      </w:r>
    </w:p>
    <w:p w14:paraId="270ECAEC" w14:textId="77777777" w:rsidR="0031702E" w:rsidRPr="002C2B4F" w:rsidRDefault="002939F2" w:rsidP="007353BF">
      <w:pPr>
        <w:pStyle w:val="ManualNumPar1"/>
        <w:rPr>
          <w:noProof/>
        </w:rPr>
      </w:pPr>
      <w:r w:rsidRPr="002C2B4F">
        <w:rPr>
          <w:noProof/>
        </w:rPr>
        <w:t>4.</w:t>
      </w:r>
      <w:r w:rsidRPr="002C2B4F">
        <w:rPr>
          <w:noProof/>
        </w:rPr>
        <w:tab/>
        <w:t>Pro účely tohoto doporučení zahrnuje „odvětví výzkumu a inovací“ všechny výzkumné organizace a vysokoškolské instituce v celé Unii, a to jak veřejné, tak soukromé. Vzhledem k významu dalších zúčastněných stran, jako jsou úřady pro převod technologií, agentury pro internacionalizaci, obchodní komory a podniky s intenzivním výzkumem, může být toto doporučení stejně důležité pro všechny ostatní aktéry v ekosystému výzkumu a inovací v EU. V relevantních případech by bylo možné zvážit i mezinárodní spolupráci v oblasti vzdělávání.</w:t>
      </w:r>
    </w:p>
    <w:p w14:paraId="7D8B82F1" w14:textId="77777777" w:rsidR="007353BF" w:rsidRPr="002C2B4F" w:rsidRDefault="007353BF" w:rsidP="00AC4660">
      <w:pPr>
        <w:rPr>
          <w:b/>
          <w:bCs/>
          <w:noProof/>
        </w:rPr>
      </w:pPr>
      <w:r w:rsidRPr="002C2B4F">
        <w:rPr>
          <w:b/>
          <w:noProof/>
        </w:rPr>
        <w:t>ZÁSADY ODPOVĚDNÉ INTERNACIONALIZACE</w:t>
      </w:r>
    </w:p>
    <w:p w14:paraId="6C2B5521" w14:textId="77777777" w:rsidR="00066F3E" w:rsidRPr="002C2B4F" w:rsidRDefault="00066F3E" w:rsidP="001D0503">
      <w:pPr>
        <w:pStyle w:val="ManualNumPar1"/>
        <w:rPr>
          <w:noProof/>
        </w:rPr>
      </w:pPr>
      <w:r w:rsidRPr="002C2B4F">
        <w:rPr>
          <w:noProof/>
        </w:rPr>
        <w:t>1.</w:t>
      </w:r>
      <w:r w:rsidRPr="002C2B4F">
        <w:rPr>
          <w:noProof/>
        </w:rPr>
        <w:tab/>
        <w:t xml:space="preserve">Nadále podporovat a hájit akademickou svobodu a institucionální autonomii s ohledem na to, že odpovědnost za mezinárodní spolupráci v oblasti výzkumu a inovací leží především na vysokoškolských institucích a dalších organizacích provádějících výzkum. </w:t>
      </w:r>
    </w:p>
    <w:p w14:paraId="556DBD50" w14:textId="77777777" w:rsidR="007353BF" w:rsidRPr="002C2B4F" w:rsidRDefault="007353BF" w:rsidP="00A67869">
      <w:pPr>
        <w:pStyle w:val="ManualNumPar1"/>
        <w:rPr>
          <w:noProof/>
        </w:rPr>
      </w:pPr>
      <w:r w:rsidRPr="002C2B4F">
        <w:rPr>
          <w:noProof/>
        </w:rPr>
        <w:t>2.</w:t>
      </w:r>
      <w:r w:rsidRPr="002C2B4F">
        <w:rPr>
          <w:noProof/>
        </w:rPr>
        <w:tab/>
        <w:t>Nadále podporovat a povzbuzovat mezinárodní spolupráci ve výzkumu a inovacích s partnery ve třetích zemích, která je otevřená a bezpečná v souladu se zásadou „co nejotevřenější – nepřístupné jen v nezbytné míře“, přičemž je třeba zajistit, aby výstupy výzkumu byly dohledatelné, přístupné, interoperabilní a opakovaně použitelné, s náležitým ohledem na platná omezení, včetně bezpečnostních otázek.</w:t>
      </w:r>
    </w:p>
    <w:p w14:paraId="6E04764F" w14:textId="77777777" w:rsidR="007353BF" w:rsidRPr="002C2B4F" w:rsidRDefault="007353BF" w:rsidP="00A67869">
      <w:pPr>
        <w:pStyle w:val="ManualNumPar1"/>
        <w:rPr>
          <w:noProof/>
        </w:rPr>
      </w:pPr>
      <w:r w:rsidRPr="002C2B4F">
        <w:rPr>
          <w:noProof/>
        </w:rPr>
        <w:t>3.</w:t>
      </w:r>
      <w:r w:rsidRPr="002C2B4F">
        <w:rPr>
          <w:noProof/>
        </w:rPr>
        <w:tab/>
        <w:t>Zajistit přiměřenost opatření: pokud jsou zavedena ochranná opatření, neměla by jít nad rámec toho, co je nezbytně nutné pro zmírnění rizik, a měla by zamezit zbytečné administrativní zátěži. Cílem je snížit riziko, nikoliv provést oddělení.</w:t>
      </w:r>
    </w:p>
    <w:p w14:paraId="3C3BA325" w14:textId="77777777" w:rsidR="007353BF" w:rsidRPr="002C2B4F" w:rsidRDefault="007353BF" w:rsidP="00A67869">
      <w:pPr>
        <w:pStyle w:val="ManualNumPar1"/>
        <w:rPr>
          <w:noProof/>
        </w:rPr>
      </w:pPr>
      <w:r w:rsidRPr="002C2B4F">
        <w:rPr>
          <w:noProof/>
        </w:rPr>
        <w:t>4.</w:t>
      </w:r>
      <w:r w:rsidRPr="002C2B4F">
        <w:rPr>
          <w:noProof/>
        </w:rPr>
        <w:tab/>
        <w:t>Zaměřit opatření na bezpečnost výzkumu na zajištění hospodářské bezpečnosti, včetně bezpečnosti Unie a národní bezpečnosti, a na ochranu společných hodnot, včetně akademické svobody, a zároveň se vyhnout protekcionismu a neoprávněné politické instrumentalizaci výzkumu a inovací.</w:t>
      </w:r>
    </w:p>
    <w:p w14:paraId="56EE9264" w14:textId="77777777" w:rsidR="007353BF" w:rsidRPr="002C2B4F" w:rsidRDefault="007353BF" w:rsidP="00A67869">
      <w:pPr>
        <w:pStyle w:val="ManualNumPar1"/>
        <w:rPr>
          <w:noProof/>
        </w:rPr>
      </w:pPr>
      <w:r w:rsidRPr="002C2B4F">
        <w:rPr>
          <w:noProof/>
        </w:rPr>
        <w:t>5.</w:t>
      </w:r>
      <w:r w:rsidRPr="002C2B4F">
        <w:rPr>
          <w:noProof/>
        </w:rPr>
        <w:tab/>
        <w:t xml:space="preserve">Podporovat samosprávu v rámci odvětví, umožnit výzkumným pracovníkům a inovátorům přijímat informovaná rozhodnutí, zdůraznit společenskou odpovědnost vysokoškolských institucí a dalších organizací provádějících výzkum a vycházet ze zásady, že „s akademickou svobodou přichází i akademická odpovědnost“.  </w:t>
      </w:r>
    </w:p>
    <w:p w14:paraId="1972D8E7" w14:textId="6EDA70C9" w:rsidR="007353BF" w:rsidRPr="002C2B4F" w:rsidRDefault="007353BF" w:rsidP="00A67869">
      <w:pPr>
        <w:pStyle w:val="ManualNumPar1"/>
        <w:rPr>
          <w:noProof/>
        </w:rPr>
      </w:pPr>
      <w:r w:rsidRPr="002C2B4F">
        <w:rPr>
          <w:noProof/>
        </w:rPr>
        <w:t>6.</w:t>
      </w:r>
      <w:r w:rsidRPr="002C2B4F">
        <w:rPr>
          <w:noProof/>
        </w:rPr>
        <w:tab/>
        <w:t>Přijmout přístup mezirezortní spolupráce, který spojuje příslušné odborné znalosti a dovednosti, zajišťuje komplexní přístup k bezpečnosti výzkumu a podporuje soudržnost vládních opatření a sdělení vůči odvětví výzkumu a inovací, včetně konkrétních kroků zaměřených na změnu kvalifikace a prohlubování dovedností příslušné pracovní síly.</w:t>
      </w:r>
    </w:p>
    <w:p w14:paraId="65F7CFD6" w14:textId="77777777" w:rsidR="007353BF" w:rsidRPr="002C2B4F" w:rsidRDefault="00400742" w:rsidP="00A67869">
      <w:pPr>
        <w:pStyle w:val="ManualNumPar1"/>
        <w:rPr>
          <w:noProof/>
        </w:rPr>
      </w:pPr>
      <w:r w:rsidRPr="002C2B4F">
        <w:rPr>
          <w:noProof/>
        </w:rPr>
        <w:t>7.</w:t>
      </w:r>
      <w:r w:rsidRPr="002C2B4F">
        <w:rPr>
          <w:noProof/>
        </w:rPr>
        <w:tab/>
        <w:t>Při uplatňování přístupu založeného na rizicích přijmout politiky, které jsou nezávislé na jednotlivých zemích a identifikují a řeší rizika pro bezpečnost výzkumu bez ohledu na to, odkud pocházejí, neboť to je nejlepší zárukou, že bude zachován vyvážený přístup k příležitostem a rizikům v rámci spolupráce v oblasti výzkumu a inovací a že nebude přehlížen vývoj v oblasti hrozeb, včetně vzniku nových aktérů ohrožení.</w:t>
      </w:r>
    </w:p>
    <w:p w14:paraId="6EED2E3D" w14:textId="77777777" w:rsidR="007353BF" w:rsidRPr="002C2B4F" w:rsidRDefault="007353BF" w:rsidP="00A67869">
      <w:pPr>
        <w:pStyle w:val="ManualNumPar1"/>
        <w:rPr>
          <w:noProof/>
        </w:rPr>
      </w:pPr>
      <w:r w:rsidRPr="002C2B4F">
        <w:rPr>
          <w:noProof/>
        </w:rPr>
        <w:t>8.</w:t>
      </w:r>
      <w:r w:rsidRPr="002C2B4F">
        <w:rPr>
          <w:noProof/>
        </w:rPr>
        <w:tab/>
        <w:t xml:space="preserve">Zajistit, aby bylo vynaloženo veškeré úsilí k zamezení všech forem diskriminace a stigmatizace, přímé i nepřímé, které by mohly vzniknout jako nezamýšlené vedlejší účinky ochranných opatření, a zajistit plné dodržování základních práv a sdílených hodnot. </w:t>
      </w:r>
    </w:p>
    <w:p w14:paraId="1C13D0C6" w14:textId="77777777" w:rsidR="007353BF" w:rsidRPr="002C2B4F" w:rsidRDefault="007353BF" w:rsidP="00A67869">
      <w:pPr>
        <w:pStyle w:val="ManualNumPar1"/>
        <w:rPr>
          <w:noProof/>
        </w:rPr>
      </w:pPr>
      <w:r w:rsidRPr="002C2B4F">
        <w:rPr>
          <w:noProof/>
        </w:rPr>
        <w:t>9.</w:t>
      </w:r>
      <w:r w:rsidRPr="002C2B4F">
        <w:rPr>
          <w:noProof/>
        </w:rPr>
        <w:tab/>
        <w:t>Uznat dynamickou povahu bezpečnosti výzkumu, která se utváří na základě vyvíjejících se rizik, nových poznatků a geopolitických souvislostí, což vyžaduje přístup založený na učení se a pravidelném přezkoumávání, aby se zajistilo, že politiky bezpečnosti výzkumu zůstanou aktuální, účinné a přiměřené.</w:t>
      </w:r>
    </w:p>
    <w:p w14:paraId="3F3D0416" w14:textId="77777777" w:rsidR="007353BF" w:rsidRPr="002C2B4F" w:rsidRDefault="007353BF" w:rsidP="007353BF">
      <w:pPr>
        <w:pStyle w:val="Formuledadoption"/>
        <w:keepNext w:val="0"/>
        <w:widowControl w:val="0"/>
        <w:rPr>
          <w:b/>
          <w:bCs/>
          <w:noProof/>
        </w:rPr>
      </w:pPr>
      <w:r w:rsidRPr="002C2B4F">
        <w:rPr>
          <w:b/>
          <w:noProof/>
        </w:rPr>
        <w:t>DOPORUČUJE ČLENSKÝM STÁTŮM</w:t>
      </w:r>
    </w:p>
    <w:p w14:paraId="22D296C3" w14:textId="77777777" w:rsidR="007353BF" w:rsidRPr="002C2B4F" w:rsidRDefault="007353BF" w:rsidP="00EA7E61">
      <w:pPr>
        <w:rPr>
          <w:noProof/>
        </w:rPr>
      </w:pPr>
      <w:r w:rsidRPr="002C2B4F">
        <w:rPr>
          <w:noProof/>
        </w:rPr>
        <w:t>s plným ohledem na institucionální autonomii a akademickou svobodu a v souladu s vnitrostátními podmínkami a odpovědností za národní bezpečnost</w:t>
      </w:r>
      <w:r w:rsidRPr="002C2B4F">
        <w:rPr>
          <w:rFonts w:ascii="TimesNewRomanPSMT" w:hAnsi="TimesNewRomanPSMT"/>
          <w:noProof/>
        </w:rPr>
        <w:t xml:space="preserve">: </w:t>
      </w:r>
    </w:p>
    <w:p w14:paraId="03EE775B" w14:textId="77777777" w:rsidR="007353BF" w:rsidRPr="002C2B4F" w:rsidRDefault="007353BF" w:rsidP="001D0503">
      <w:pPr>
        <w:pStyle w:val="ManualNumPar1"/>
        <w:rPr>
          <w:noProof/>
        </w:rPr>
      </w:pPr>
      <w:r w:rsidRPr="002C2B4F">
        <w:rPr>
          <w:noProof/>
        </w:rPr>
        <w:t>1.</w:t>
      </w:r>
      <w:r w:rsidRPr="002C2B4F">
        <w:rPr>
          <w:noProof/>
        </w:rPr>
        <w:tab/>
        <w:t xml:space="preserve">Pracovat na vytvoření a provádění uceleného souboru politických opatření s cílem posílit bezpečnost výzkumu, a to s co nejlepším využitím prvků uvedených v tomto oddíle a s přihlédnutím k výše uvedeným zásadám odpovědné internacionalizace. </w:t>
      </w:r>
    </w:p>
    <w:p w14:paraId="6E65A098" w14:textId="77777777" w:rsidR="007353BF" w:rsidRPr="002C2B4F" w:rsidRDefault="007353BF" w:rsidP="001D0503">
      <w:pPr>
        <w:pStyle w:val="ManualNumPar1"/>
        <w:rPr>
          <w:noProof/>
        </w:rPr>
      </w:pPr>
      <w:r w:rsidRPr="002C2B4F">
        <w:rPr>
          <w:noProof/>
        </w:rPr>
        <w:t>2.</w:t>
      </w:r>
      <w:r w:rsidRPr="002C2B4F">
        <w:rPr>
          <w:noProof/>
        </w:rPr>
        <w:tab/>
        <w:t xml:space="preserve">Zapojit se do dialogu se zúčastněnými stranami v oblasti výzkumu a inovací s cílem vymezit odpovědnosti a role a vypracovat národní akční plán, případně formulovat národní pokyny a uvést příslušná opatření a iniciativy na podporu bezpečnosti výzkumu spolu s harmonogramem jejich provádění. </w:t>
      </w:r>
    </w:p>
    <w:p w14:paraId="4BCECC72" w14:textId="77777777" w:rsidR="007353BF" w:rsidRPr="002C2B4F" w:rsidRDefault="007353BF" w:rsidP="001D0503">
      <w:pPr>
        <w:pStyle w:val="ManualNumPar1"/>
        <w:rPr>
          <w:noProof/>
        </w:rPr>
      </w:pPr>
      <w:r w:rsidRPr="002C2B4F">
        <w:rPr>
          <w:noProof/>
        </w:rPr>
        <w:t>3.</w:t>
      </w:r>
      <w:r w:rsidRPr="002C2B4F">
        <w:rPr>
          <w:noProof/>
        </w:rPr>
        <w:tab/>
        <w:t>Vytvořit podpůrnou strukturu, např.: Poradenské centrum pro bezpečnost výzkumu, které by pomáhalo výzkumným pracovníkům a inovátorům řešit rizika spojená s mezinárodní spoluprací v oblasti výzkumu a inovací. Tato podpůrná struktura by sdružovala odborné znalosti a dovednosti napříč odvětvími, a měla by tedy poskytovat informace a poradenství, které mohou organizace provádějící výzkum využít k přijímání informovaných rozhodnutí při zvážení příležitostí a rizik budoucí mezinárodní spolupráce, jakož i další služby, které odvětví výzkumu a inovací jednoznačně potřebuje, včetně činností na zvyšování povědomí a školení.</w:t>
      </w:r>
    </w:p>
    <w:p w14:paraId="57861A8A" w14:textId="77777777" w:rsidR="007353BF" w:rsidRPr="002C2B4F" w:rsidRDefault="00400742" w:rsidP="001D0503">
      <w:pPr>
        <w:pStyle w:val="ManualNumPar1"/>
        <w:rPr>
          <w:noProof/>
        </w:rPr>
      </w:pPr>
      <w:r w:rsidRPr="002C2B4F">
        <w:rPr>
          <w:noProof/>
        </w:rPr>
        <w:t>4.</w:t>
      </w:r>
      <w:r w:rsidRPr="002C2B4F">
        <w:rPr>
          <w:noProof/>
        </w:rPr>
        <w:tab/>
        <w:t>Posílit datovou základnu pro tvorbu politik v oblasti bezpečnosti výzkumu prostřednictvím analýzy oblasti hrozeb, a to i z hlediska kybernetické bezpečnosti, a také prováděním nebo zadáváním výzkumu souvisejícího s těmito politikami.</w:t>
      </w:r>
    </w:p>
    <w:p w14:paraId="4EB4F3E7" w14:textId="77777777" w:rsidR="00400742" w:rsidRPr="002C2B4F" w:rsidRDefault="00400742" w:rsidP="001D0503">
      <w:pPr>
        <w:pStyle w:val="ManualNumPar1"/>
        <w:widowControl w:val="0"/>
        <w:rPr>
          <w:noProof/>
        </w:rPr>
      </w:pPr>
      <w:r w:rsidRPr="002C2B4F">
        <w:rPr>
          <w:noProof/>
        </w:rPr>
        <w:t>5.</w:t>
      </w:r>
      <w:r w:rsidRPr="002C2B4F">
        <w:rPr>
          <w:noProof/>
        </w:rPr>
        <w:tab/>
        <w:t>Věnovat zvláštní pozornost kritickým technologiím, které byly určeny v doporučení Komise o technologických oblastech s kritickým významem pro hospodářskou bezpečnost EU za účelem dalšího posouzení rizik s členskými státy</w:t>
      </w:r>
      <w:r w:rsidR="007D0407" w:rsidRPr="002C2B4F">
        <w:rPr>
          <w:rStyle w:val="FootnoteReference"/>
          <w:noProof/>
        </w:rPr>
        <w:footnoteReference w:id="33"/>
      </w:r>
      <w:r w:rsidRPr="002C2B4F">
        <w:rPr>
          <w:noProof/>
        </w:rPr>
        <w:t xml:space="preserve">, a výsledkům těchto společných posouzení rizik. </w:t>
      </w:r>
    </w:p>
    <w:p w14:paraId="0EFDC19C" w14:textId="77777777" w:rsidR="00876D77" w:rsidRPr="002C2B4F" w:rsidRDefault="00876D77" w:rsidP="001D0503">
      <w:pPr>
        <w:pStyle w:val="ManualNumPar1"/>
        <w:rPr>
          <w:noProof/>
        </w:rPr>
      </w:pPr>
      <w:r w:rsidRPr="002C2B4F">
        <w:rPr>
          <w:noProof/>
        </w:rPr>
        <w:t>6.</w:t>
      </w:r>
      <w:r w:rsidRPr="002C2B4F">
        <w:rPr>
          <w:noProof/>
        </w:rPr>
        <w:tab/>
        <w:t xml:space="preserve">Posílit meziodvětvovou spolupráci v rámci vlády, zejména spojit tvůrce politik odpovědné za vysokoškolské vzdělávání, výzkum a inovace, zahraniční věci a zpravodajské služby a bezpečnost. </w:t>
      </w:r>
    </w:p>
    <w:p w14:paraId="37F9253C" w14:textId="77777777" w:rsidR="007353BF" w:rsidRPr="002C2B4F" w:rsidRDefault="007353BF" w:rsidP="001D0503">
      <w:pPr>
        <w:pStyle w:val="ManualNumPar1"/>
        <w:rPr>
          <w:noProof/>
        </w:rPr>
      </w:pPr>
      <w:r w:rsidRPr="002C2B4F">
        <w:rPr>
          <w:noProof/>
        </w:rPr>
        <w:t>7.</w:t>
      </w:r>
      <w:r w:rsidRPr="002C2B4F">
        <w:rPr>
          <w:noProof/>
        </w:rPr>
        <w:tab/>
        <w:t>Usnadnit výměnu informací o výše uvedených analýzách a výzkumech s veřejnými a soukromými výzkumnými organizacemi, a to i prostřednictvím utajovaných a neutajovaných brífinků nebo specializovaných styčných úředníků.</w:t>
      </w:r>
    </w:p>
    <w:p w14:paraId="6C164509" w14:textId="77777777" w:rsidR="007353BF" w:rsidRPr="002C2B4F" w:rsidRDefault="007353BF" w:rsidP="001D0503">
      <w:pPr>
        <w:pStyle w:val="ManualNumPar1"/>
        <w:rPr>
          <w:noProof/>
        </w:rPr>
      </w:pPr>
      <w:r w:rsidRPr="002C2B4F">
        <w:rPr>
          <w:noProof/>
        </w:rPr>
        <w:t>8.</w:t>
      </w:r>
      <w:r w:rsidRPr="002C2B4F">
        <w:rPr>
          <w:noProof/>
        </w:rPr>
        <w:tab/>
        <w:t xml:space="preserve">Získat přehled o odolnosti odvětví a o účinnosti a přiměřenosti platných politik bezpečnosti výzkumu, případně i prostřednictvím pravidelného testování odolnosti a simulací incidentů. </w:t>
      </w:r>
    </w:p>
    <w:p w14:paraId="2D636D19" w14:textId="77777777" w:rsidR="007353BF" w:rsidRPr="002C2B4F" w:rsidRDefault="003560C5" w:rsidP="001D0503">
      <w:pPr>
        <w:pStyle w:val="ManualNumPar1"/>
        <w:rPr>
          <w:noProof/>
        </w:rPr>
      </w:pPr>
      <w:r w:rsidRPr="002C2B4F">
        <w:rPr>
          <w:noProof/>
        </w:rPr>
        <w:t>9.</w:t>
      </w:r>
      <w:r w:rsidRPr="002C2B4F">
        <w:rPr>
          <w:noProof/>
        </w:rPr>
        <w:tab/>
        <w:t>S cílem zajistit dodržování platných pravidel EU pro kontrolu vývozu zboží dvojího užití a sankcí přijatých podle článku 29 SEU a článku 215 Smlouvy o fungování EU přijmout vnitrostátní opatření zejména v oblasti převodu nehmotných technologií, jakož i posílit provádění a prosazování sankčních režimů, které se týkají výzkumu a inovací, například režimů zakazujících převod určitých technologií.</w:t>
      </w:r>
    </w:p>
    <w:p w14:paraId="5A5D1140" w14:textId="77777777" w:rsidR="007353BF" w:rsidRPr="002C2B4F" w:rsidRDefault="007353BF" w:rsidP="001D0503">
      <w:pPr>
        <w:pStyle w:val="ManualNumPar1"/>
        <w:rPr>
          <w:noProof/>
        </w:rPr>
      </w:pPr>
      <w:r w:rsidRPr="002C2B4F">
        <w:rPr>
          <w:noProof/>
        </w:rPr>
        <w:t>10.</w:t>
      </w:r>
      <w:r w:rsidRPr="002C2B4F">
        <w:rPr>
          <w:noProof/>
        </w:rPr>
        <w:tab/>
        <w:t>Aktivně přispívat k platformě EU pro boj proti zahraničnímu vměšování do výzkumu a inovací, která funguje jako jednotné kontaktní místo, a to sdílením nástrojů a zdrojů vyvinutých prostřednictvím veřejného financování s cílem usnadnit přeshraniční využívání těchto nástrojů a zdrojů a poskytovat je uživatelsky přívětivým a přístupným způsobem.</w:t>
      </w:r>
    </w:p>
    <w:p w14:paraId="3F6BB4CB" w14:textId="77777777" w:rsidR="00634B70" w:rsidRPr="002C2B4F" w:rsidRDefault="007353BF" w:rsidP="001D0503">
      <w:pPr>
        <w:pStyle w:val="ManualNumPar1"/>
        <w:rPr>
          <w:noProof/>
        </w:rPr>
      </w:pPr>
      <w:r w:rsidRPr="002C2B4F">
        <w:rPr>
          <w:noProof/>
        </w:rPr>
        <w:t>11.</w:t>
      </w:r>
      <w:r w:rsidRPr="002C2B4F">
        <w:rPr>
          <w:noProof/>
        </w:rPr>
        <w:tab/>
        <w:t>Společně se soukromým sektorem vypracovat cílené informace a pokyny pro podniky zapojené do soukromého výzkumu a inovací, včetně začínajících podniků a malých a středních podniků, které se intenzivně věnují výzkumu.</w:t>
      </w:r>
    </w:p>
    <w:p w14:paraId="2203A2D8" w14:textId="77777777" w:rsidR="004A1F14" w:rsidRPr="002C2B4F" w:rsidRDefault="00DC509E" w:rsidP="001D0503">
      <w:pPr>
        <w:pStyle w:val="ManualNumPar1"/>
        <w:rPr>
          <w:noProof/>
        </w:rPr>
      </w:pPr>
      <w:r w:rsidRPr="002C2B4F">
        <w:rPr>
          <w:noProof/>
        </w:rPr>
        <w:t>12.</w:t>
      </w:r>
      <w:r w:rsidRPr="002C2B4F">
        <w:rPr>
          <w:noProof/>
        </w:rPr>
        <w:tab/>
        <w:t xml:space="preserve">V případě potřeby a na základě posouzení rizik zvážit uplatnění opatření obsažených v tomto doporučení na činnosti mezinárodní spolupráce v oblasti vysokoškolského vzdělávání, včetně činností v oblasti mobility studentů a zaměstnanců. </w:t>
      </w:r>
    </w:p>
    <w:p w14:paraId="008AFCCF" w14:textId="77777777" w:rsidR="007353BF" w:rsidRPr="002C2B4F" w:rsidRDefault="007353BF" w:rsidP="00A67869">
      <w:pPr>
        <w:rPr>
          <w:i/>
          <w:iCs/>
          <w:noProof/>
        </w:rPr>
      </w:pPr>
      <w:r w:rsidRPr="002C2B4F">
        <w:rPr>
          <w:i/>
          <w:noProof/>
        </w:rPr>
        <w:t>Úloha organizací financujících výzkum</w:t>
      </w:r>
    </w:p>
    <w:p w14:paraId="6F11377C" w14:textId="77777777" w:rsidR="007353BF" w:rsidRPr="002C2B4F" w:rsidRDefault="007353BF" w:rsidP="00A67869">
      <w:pPr>
        <w:pStyle w:val="ManualNumPar1"/>
        <w:rPr>
          <w:noProof/>
        </w:rPr>
      </w:pPr>
      <w:r w:rsidRPr="002C2B4F">
        <w:rPr>
          <w:noProof/>
        </w:rPr>
        <w:t>13.</w:t>
      </w:r>
      <w:r w:rsidRPr="002C2B4F">
        <w:rPr>
          <w:noProof/>
        </w:rPr>
        <w:tab/>
        <w:t xml:space="preserve">Spolupracovat s organizacemi financujícími výzkum s cílem zajistit, že: </w:t>
      </w:r>
    </w:p>
    <w:p w14:paraId="028A8949" w14:textId="77777777" w:rsidR="007353BF" w:rsidRPr="002C2B4F" w:rsidRDefault="007353BF" w:rsidP="001D0503">
      <w:pPr>
        <w:pStyle w:val="Point1"/>
        <w:rPr>
          <w:noProof/>
        </w:rPr>
      </w:pPr>
      <w:r w:rsidRPr="002C2B4F">
        <w:rPr>
          <w:noProof/>
        </w:rPr>
        <w:t>a)</w:t>
      </w:r>
      <w:r w:rsidRPr="002C2B4F">
        <w:rPr>
          <w:noProof/>
        </w:rPr>
        <w:tab/>
        <w:t xml:space="preserve">bezpečnost výzkumu je nedílnou součástí procesu podávání žádostí, která zohledňuje různé faktory, jež ve svém souhrnu určují rizikový profil projektu. Cílem je podnítit příjemce k tomu, aby si promysleli kontext, v němž spolupráce v oblasti výzkumu a inovací probíhá, a jaké motivace a (skryté) záměry by mohly hrát roli, a zajistit, aby byla potenciální rizika a hrozby identifikovány předem s cílem co nejvíce se vyhnout problémům v pozdější fázi; </w:t>
      </w:r>
    </w:p>
    <w:p w14:paraId="17C1707E" w14:textId="77777777" w:rsidR="007353BF" w:rsidRPr="002C2B4F" w:rsidRDefault="0000288B" w:rsidP="00A67869">
      <w:pPr>
        <w:pStyle w:val="Point1"/>
        <w:rPr>
          <w:noProof/>
        </w:rPr>
      </w:pPr>
      <w:r w:rsidRPr="002C2B4F">
        <w:rPr>
          <w:noProof/>
        </w:rPr>
        <w:t>b)</w:t>
      </w:r>
      <w:r w:rsidRPr="002C2B4F">
        <w:rPr>
          <w:noProof/>
        </w:rPr>
        <w:tab/>
        <w:t>výzkumné projekty vybrané k financování, které vzbuzují obavy („varovné signály“), procházejí posouzením rizik úměrným jejich rizikovému profilu, jehož výsledkem je dohoda o vhodných ochranných opatřeních, která řeší zjištěná rizika a zároveň zajišťují, aby se doba pro udělení grantu zbytečně neprodlužovala a aby se zabránilo zbytečné administrativní zátěži;</w:t>
      </w:r>
    </w:p>
    <w:p w14:paraId="73054360" w14:textId="77777777" w:rsidR="00B46835" w:rsidRPr="002C2B4F" w:rsidRDefault="00B46835" w:rsidP="00A67869">
      <w:pPr>
        <w:pStyle w:val="Point1"/>
        <w:rPr>
          <w:noProof/>
        </w:rPr>
      </w:pPr>
      <w:r w:rsidRPr="002C2B4F">
        <w:rPr>
          <w:noProof/>
        </w:rPr>
        <w:t>c)</w:t>
      </w:r>
      <w:r w:rsidRPr="002C2B4F">
        <w:rPr>
          <w:noProof/>
        </w:rPr>
        <w:tab/>
        <w:t xml:space="preserve">při uplatňování ochranných opatření ve vnitrostátních programech financování se zohledňují opatření uplatňovaná v příslušných programech financování EU; </w:t>
      </w:r>
    </w:p>
    <w:p w14:paraId="2BF6B429" w14:textId="77777777" w:rsidR="007353BF" w:rsidRPr="002C2B4F" w:rsidRDefault="00524F0D" w:rsidP="00A67869">
      <w:pPr>
        <w:pStyle w:val="Point1"/>
        <w:rPr>
          <w:noProof/>
        </w:rPr>
      </w:pPr>
      <w:r w:rsidRPr="002C2B4F">
        <w:rPr>
          <w:noProof/>
        </w:rPr>
        <w:t>d)</w:t>
      </w:r>
      <w:r w:rsidRPr="002C2B4F">
        <w:rPr>
          <w:noProof/>
        </w:rPr>
        <w:tab/>
        <w:t xml:space="preserve">u projektů s vysokým rizikem žadatelé požadují od potenciálních partnerů záruky, například prostřednictvím dohody o partnerství, že výsledky výzkumu budou využity způsobem, který dodržuje základní hodnoty, včetně dodržování lidských práv; </w:t>
      </w:r>
    </w:p>
    <w:p w14:paraId="326A4D28" w14:textId="77777777" w:rsidR="007353BF" w:rsidRPr="002C2B4F" w:rsidRDefault="0000288B" w:rsidP="00A67869">
      <w:pPr>
        <w:pStyle w:val="Point1"/>
        <w:rPr>
          <w:noProof/>
        </w:rPr>
      </w:pPr>
      <w:r w:rsidRPr="002C2B4F">
        <w:rPr>
          <w:noProof/>
        </w:rPr>
        <w:t>e)</w:t>
      </w:r>
      <w:r w:rsidRPr="002C2B4F">
        <w:rPr>
          <w:noProof/>
        </w:rPr>
        <w:tab/>
        <w:t xml:space="preserve">v rámci financující organizace jsou k dispozici dostatečné odborné znalosti a dovednosti, aby bylo možné řešit otázky bezpečnosti výzkumu a aby byla zavedena odpovídající monitorovací a hodnotící opatření pro dohled nad projekty v různých fázích, včetně sledování incidentů a přijímání věrohodných opatření v případě nedodržení předpisů. </w:t>
      </w:r>
    </w:p>
    <w:p w14:paraId="331EBD37" w14:textId="77777777" w:rsidR="005227D0" w:rsidRPr="002C2B4F" w:rsidRDefault="005227D0" w:rsidP="00A67869">
      <w:pPr>
        <w:rPr>
          <w:i/>
          <w:iCs/>
          <w:noProof/>
        </w:rPr>
      </w:pPr>
    </w:p>
    <w:p w14:paraId="3D4DBDF9" w14:textId="77777777" w:rsidR="005227D0" w:rsidRPr="002C2B4F" w:rsidRDefault="005227D0" w:rsidP="00A67869">
      <w:pPr>
        <w:rPr>
          <w:i/>
          <w:iCs/>
          <w:noProof/>
        </w:rPr>
      </w:pPr>
    </w:p>
    <w:p w14:paraId="6A7DCEDF" w14:textId="77777777" w:rsidR="007353BF" w:rsidRPr="002C2B4F" w:rsidRDefault="007353BF" w:rsidP="00A67869">
      <w:pPr>
        <w:rPr>
          <w:i/>
          <w:iCs/>
          <w:noProof/>
        </w:rPr>
      </w:pPr>
      <w:r w:rsidRPr="002C2B4F">
        <w:rPr>
          <w:i/>
          <w:noProof/>
        </w:rPr>
        <w:t>Podpora vysokoškolských institucí a dalších organizací provádějících výzkum</w:t>
      </w:r>
    </w:p>
    <w:p w14:paraId="777643E9" w14:textId="77777777" w:rsidR="007353BF" w:rsidRPr="002C2B4F" w:rsidRDefault="007353BF" w:rsidP="00A67869">
      <w:pPr>
        <w:pStyle w:val="ManualNumPar1"/>
        <w:rPr>
          <w:noProof/>
        </w:rPr>
      </w:pPr>
      <w:r w:rsidRPr="002C2B4F">
        <w:rPr>
          <w:noProof/>
        </w:rPr>
        <w:t>14.</w:t>
      </w:r>
      <w:r w:rsidRPr="002C2B4F">
        <w:rPr>
          <w:noProof/>
        </w:rPr>
        <w:tab/>
        <w:t xml:space="preserve">Povzbuzovat a podporovat vysokoškolské instituce a další organizace provádějící výzkum, aby: </w:t>
      </w:r>
    </w:p>
    <w:p w14:paraId="0F182800" w14:textId="77777777" w:rsidR="007353BF" w:rsidRPr="002C2B4F" w:rsidRDefault="007353BF" w:rsidP="00F86A76">
      <w:pPr>
        <w:pStyle w:val="Point1"/>
        <w:rPr>
          <w:noProof/>
        </w:rPr>
      </w:pPr>
      <w:r w:rsidRPr="002C2B4F">
        <w:rPr>
          <w:noProof/>
        </w:rPr>
        <w:t>a)</w:t>
      </w:r>
      <w:r w:rsidRPr="002C2B4F">
        <w:rPr>
          <w:noProof/>
        </w:rPr>
        <w:tab/>
        <w:t>vytvořily celoodvětvovou platformu zúčastněných stran s cílem usnadnit výměnu informací, vzájemné učení, vývoj nástrojů a pokynů a hlášení incidentů. Zvážily sdružování zdrojů s cílem co nejlépe využít omezené a rozptýlené zdroje a odborné znalosti;</w:t>
      </w:r>
    </w:p>
    <w:p w14:paraId="2CC34046" w14:textId="77777777" w:rsidR="007353BF" w:rsidRPr="002C2B4F" w:rsidRDefault="007353BF" w:rsidP="00A67869">
      <w:pPr>
        <w:pStyle w:val="Point1"/>
        <w:rPr>
          <w:noProof/>
        </w:rPr>
      </w:pPr>
      <w:r w:rsidRPr="002C2B4F">
        <w:rPr>
          <w:noProof/>
        </w:rPr>
        <w:t>b)</w:t>
      </w:r>
      <w:r w:rsidRPr="002C2B4F">
        <w:rPr>
          <w:noProof/>
        </w:rPr>
        <w:tab/>
        <w:t>zaváděly interní postupy řízení rizik strukturovaným způsobem, včetně využití hodnocení rizik, hloubkové kontroly potenciálních partnerů a eskalace na vyšší úrovně interního rozhodování v případě prvků, které vzbuzují obavy („varovné signály“), přičemž je třeba se vyhnout zbytečné administrativní zátěži;</w:t>
      </w:r>
    </w:p>
    <w:p w14:paraId="598580B7" w14:textId="77777777" w:rsidR="007353BF" w:rsidRPr="002C2B4F" w:rsidRDefault="0000288B" w:rsidP="00A67869">
      <w:pPr>
        <w:pStyle w:val="Point1"/>
        <w:rPr>
          <w:noProof/>
        </w:rPr>
      </w:pPr>
      <w:r w:rsidRPr="002C2B4F">
        <w:rPr>
          <w:noProof/>
        </w:rPr>
        <w:t>c)</w:t>
      </w:r>
      <w:r w:rsidRPr="002C2B4F">
        <w:rPr>
          <w:noProof/>
        </w:rPr>
        <w:tab/>
        <w:t xml:space="preserve">při uzavírání dohod o partnerství v oblasti výzkumu se zahraničními subjekty, a to i prostřednictvím memorand o porozumění, trvaly na zahrnutí klíčových rámcových podmínek, jako je respektování základních hodnot, akademická svoboda, reciprocita a ujednání o správě duševního vlastnictví, včetně šíření a zhodnocování výsledků, udělování licencí nebo převodu výsledků a vytváření odštěpených společností, a zajistily, aby existovala strategie pro ukončení smluvního vztahu pro případ, že podmínky dohod nebudou dodržovány;  </w:t>
      </w:r>
    </w:p>
    <w:p w14:paraId="71A7CAAA" w14:textId="77777777" w:rsidR="007353BF" w:rsidRPr="002C2B4F" w:rsidRDefault="007353BF" w:rsidP="00A67869">
      <w:pPr>
        <w:pStyle w:val="Point1"/>
        <w:rPr>
          <w:noProof/>
        </w:rPr>
      </w:pPr>
      <w:r w:rsidRPr="002C2B4F">
        <w:rPr>
          <w:noProof/>
        </w:rPr>
        <w:t>d)</w:t>
      </w:r>
      <w:r w:rsidRPr="002C2B4F">
        <w:rPr>
          <w:noProof/>
        </w:rPr>
        <w:tab/>
        <w:t>posoudily rizika spojená s programy pro talenty v oblasti vysokoškolského vzdělávání a výzkumu, které jsou financovány zahraničními vládami, se zaměřením zejména na případné nežádoucí povinnosti uložené jejich příjemcům, a zaručily, že zahraniční poskytovatelé kurzů a školení, kteří jsou financováni zahraničními vládami, dodržují poslání a pravidla hostitelské instituce;</w:t>
      </w:r>
    </w:p>
    <w:p w14:paraId="4D16C1F6" w14:textId="77777777" w:rsidR="007353BF" w:rsidRPr="002C2B4F" w:rsidRDefault="007353BF" w:rsidP="00A67869">
      <w:pPr>
        <w:pStyle w:val="Point1"/>
        <w:rPr>
          <w:noProof/>
        </w:rPr>
      </w:pPr>
      <w:r w:rsidRPr="002C2B4F">
        <w:rPr>
          <w:noProof/>
        </w:rPr>
        <w:t>e)</w:t>
      </w:r>
      <w:r w:rsidRPr="002C2B4F">
        <w:rPr>
          <w:noProof/>
        </w:rPr>
        <w:tab/>
        <w:t>investovaly do specializovaných interních odborných znalostí a dovedností v oblasti bezpečnosti výzkumu, přidělily odpovědnost za bezpečnost výzkumu na příslušných organizačních úrovních a investovaly do kybernetické hygieny a do vytváření kultury, v níž jsou otevřenost a bezpečnost v rovnováze;</w:t>
      </w:r>
    </w:p>
    <w:p w14:paraId="7D1BCAE9" w14:textId="77777777" w:rsidR="007353BF" w:rsidRPr="002C2B4F" w:rsidRDefault="007353BF" w:rsidP="00A67869">
      <w:pPr>
        <w:pStyle w:val="Point1"/>
        <w:rPr>
          <w:noProof/>
        </w:rPr>
      </w:pPr>
      <w:r w:rsidRPr="002C2B4F">
        <w:rPr>
          <w:noProof/>
        </w:rPr>
        <w:t>f)</w:t>
      </w:r>
      <w:r w:rsidRPr="002C2B4F">
        <w:rPr>
          <w:noProof/>
        </w:rPr>
        <w:tab/>
        <w:t xml:space="preserve">vypracovaly školicí programy, včetně online kurzů, pro odborníky z praxe a nové zaměstnance v rámci jejich nástupu do zaměstnání, jakož i učební osnovy zaměřené na školení nové generace bezpečnostních poradců a tvůrců politik. Vyškolily náborové pracovníky, aby v žádostech o místa ve výzkumu, zejména v kritických oblastech výzkumu, v rámci strukturovaného prověřování kontrolovali a zjišťovali prvky, které vzbuzují obavy („varovné signály“); </w:t>
      </w:r>
    </w:p>
    <w:p w14:paraId="2E4456F7" w14:textId="77777777" w:rsidR="007353BF" w:rsidRPr="002C2B4F" w:rsidRDefault="007353BF" w:rsidP="00A67869">
      <w:pPr>
        <w:pStyle w:val="Point1"/>
        <w:rPr>
          <w:noProof/>
        </w:rPr>
      </w:pPr>
      <w:r w:rsidRPr="002C2B4F">
        <w:rPr>
          <w:noProof/>
        </w:rPr>
        <w:t>g)</w:t>
      </w:r>
      <w:r w:rsidRPr="002C2B4F">
        <w:rPr>
          <w:noProof/>
        </w:rPr>
        <w:tab/>
        <w:t>ve vědeckých publikacích a všech ostatních formách šíření výsledků výzkumu zajistily plnou transparentnost zdrojů financování a příslušností výzkumných pracovníků, aby se zabránilo tomu, že závislosti na zahraničí a střety zájmů nebo závazky ovlivní kvalitu a obsah výzkumu;</w:t>
      </w:r>
    </w:p>
    <w:p w14:paraId="0EC90133" w14:textId="77777777" w:rsidR="007353BF" w:rsidRPr="002C2B4F" w:rsidRDefault="007353BF" w:rsidP="00A67869">
      <w:pPr>
        <w:pStyle w:val="Point1"/>
        <w:rPr>
          <w:noProof/>
        </w:rPr>
      </w:pPr>
      <w:r w:rsidRPr="002C2B4F">
        <w:rPr>
          <w:noProof/>
        </w:rPr>
        <w:t>h)</w:t>
      </w:r>
      <w:r w:rsidRPr="002C2B4F">
        <w:rPr>
          <w:noProof/>
        </w:rPr>
        <w:tab/>
        <w:t xml:space="preserve">zavedly rozdělení do fyzických i virtuálních jednotek, které zaručí, že do oblastí, jako jsou laboratoře a výzkumná infrastruktura, údaje a systémy, které jsou obzvláště citlivé, bude přístup povolen v přísně omezeném rozsahu podle potřeby znát a že pro online systémy budou zavedena důkladná opatření v oblasti kybernetické bezpečnosti; </w:t>
      </w:r>
    </w:p>
    <w:p w14:paraId="503FAF3C" w14:textId="77777777" w:rsidR="008224D3" w:rsidRPr="002C2B4F" w:rsidRDefault="007353BF" w:rsidP="00A67869">
      <w:pPr>
        <w:pStyle w:val="Point1"/>
        <w:rPr>
          <w:noProof/>
        </w:rPr>
      </w:pPr>
      <w:r w:rsidRPr="002C2B4F">
        <w:rPr>
          <w:noProof/>
        </w:rPr>
        <w:t>i)</w:t>
      </w:r>
      <w:r w:rsidRPr="002C2B4F">
        <w:rPr>
          <w:noProof/>
        </w:rPr>
        <w:tab/>
        <w:t>zajistily, aby se předcházelo všem formám přímé i nepřímé diskriminace a stigmatizace, aby byla zaručena bezpečnost jednotlivců, se zvláštním zřetelem na nátlak na diasporu ze strany státu původu a jiné formy škodlivého vlivu, které by mohly vést k autocenzuře a mohly by mít bezpečnostní důsledky pro zúčastněné zahraniční výzkumné pracovníky, doktorandy a studenty, a aby byly incidenty hlášeny.</w:t>
      </w:r>
    </w:p>
    <w:p w14:paraId="363262FE" w14:textId="77777777" w:rsidR="007353BF" w:rsidRPr="002C2B4F" w:rsidRDefault="00E55ED5" w:rsidP="00E55ED5">
      <w:pPr>
        <w:rPr>
          <w:i/>
          <w:iCs/>
          <w:noProof/>
        </w:rPr>
      </w:pPr>
      <w:r w:rsidRPr="002C2B4F">
        <w:rPr>
          <w:i/>
          <w:noProof/>
        </w:rPr>
        <w:t>Podpůrné akce na úrovni odborů</w:t>
      </w:r>
    </w:p>
    <w:p w14:paraId="460C8E14" w14:textId="65882686" w:rsidR="003A0CF4" w:rsidRPr="002C2B4F" w:rsidRDefault="002203CB" w:rsidP="002F38BC">
      <w:pPr>
        <w:pStyle w:val="ManualNumPar1"/>
        <w:rPr>
          <w:noProof/>
        </w:rPr>
      </w:pPr>
      <w:r w:rsidRPr="002C2B4F">
        <w:rPr>
          <w:noProof/>
        </w:rPr>
        <w:t>15.</w:t>
      </w:r>
      <w:r w:rsidRPr="002C2B4F">
        <w:rPr>
          <w:noProof/>
        </w:rPr>
        <w:tab/>
        <w:t xml:space="preserve">Plně spolupracovat s cílem usnadnit opatření, která Komise přijala nebo hodlá přijmout na podporu provádění tohoto doporučení, a zejména: </w:t>
      </w:r>
    </w:p>
    <w:p w14:paraId="6AB36D01" w14:textId="77777777" w:rsidR="007353BF" w:rsidRPr="002C2B4F" w:rsidRDefault="003A0CF4" w:rsidP="001D0503">
      <w:pPr>
        <w:pStyle w:val="Point1"/>
        <w:rPr>
          <w:noProof/>
        </w:rPr>
      </w:pPr>
      <w:r w:rsidRPr="002C2B4F">
        <w:rPr>
          <w:noProof/>
        </w:rPr>
        <w:t>a)</w:t>
      </w:r>
      <w:r w:rsidRPr="002C2B4F">
        <w:rPr>
          <w:noProof/>
        </w:rPr>
        <w:tab/>
        <w:t xml:space="preserve">plně využívat otevřené metody koordinace, zejména struktur řízení EVP, ke zvýšení informovanosti, usnadnění vzájemného učení a také k usnadnění konzistentnosti politik; </w:t>
      </w:r>
    </w:p>
    <w:p w14:paraId="0069B41B" w14:textId="77777777" w:rsidR="00F44008" w:rsidRPr="002C2B4F" w:rsidRDefault="004D5C18" w:rsidP="002F38BC">
      <w:pPr>
        <w:pStyle w:val="Point1"/>
        <w:rPr>
          <w:noProof/>
        </w:rPr>
      </w:pPr>
      <w:r w:rsidRPr="002C2B4F">
        <w:rPr>
          <w:noProof/>
        </w:rPr>
        <w:t>b)</w:t>
      </w:r>
      <w:r w:rsidRPr="002C2B4F">
        <w:rPr>
          <w:noProof/>
        </w:rPr>
        <w:tab/>
        <w:t>zřídit Evropské odborné centrum pro bezpečnost výzkumu jako kontaktní místo, které bude propojeno s platformou Komise pro boj proti zahraničnímu vměšování do výzkumu a inovací fungující jako jednotné kontaktní místo, přispěje k vytvoření celoevropského společenství odborníků a k udržování strukturálního dialogu s organizacemi zúčastněných stran, jakož i k výzkumu bezpečnosti výzkumu, který má politický význam, a k analýze trendů a vzorců v celé Unii;</w:t>
      </w:r>
    </w:p>
    <w:p w14:paraId="722F2322" w14:textId="77777777" w:rsidR="004D5C18" w:rsidRPr="002C2B4F" w:rsidRDefault="003A0CF4">
      <w:pPr>
        <w:pStyle w:val="Point1"/>
        <w:rPr>
          <w:noProof/>
        </w:rPr>
      </w:pPr>
      <w:r w:rsidRPr="002C2B4F">
        <w:rPr>
          <w:noProof/>
        </w:rPr>
        <w:t>c)</w:t>
      </w:r>
      <w:r w:rsidRPr="002C2B4F">
        <w:rPr>
          <w:noProof/>
        </w:rPr>
        <w:tab/>
        <w:t xml:space="preserve">ve spolupráci s vysokým představitelem zvyšovat poznatky tvůrců politik o situaci prostřednictvím strukturovaného hodnocení hybridních hrozeb, které ovlivňují ekosystém výzkumu a inovací; </w:t>
      </w:r>
    </w:p>
    <w:p w14:paraId="1563B974" w14:textId="77777777" w:rsidR="007353BF" w:rsidRPr="002C2B4F" w:rsidRDefault="002203CB" w:rsidP="002F38BC">
      <w:pPr>
        <w:pStyle w:val="Point1"/>
        <w:rPr>
          <w:noProof/>
        </w:rPr>
      </w:pPr>
      <w:r w:rsidRPr="002C2B4F">
        <w:rPr>
          <w:noProof/>
        </w:rPr>
        <w:t>d)</w:t>
      </w:r>
      <w:r w:rsidRPr="002C2B4F">
        <w:rPr>
          <w:noProof/>
        </w:rPr>
        <w:tab/>
        <w:t>vypracovat metodiku testování odolnosti, kterou mohou na národní úrovni dobrovolně používat vysokoškolské instituce a veřejné i soukromé organizace provádějící výzkum;</w:t>
      </w:r>
    </w:p>
    <w:p w14:paraId="2DCE60CC" w14:textId="77777777" w:rsidR="007353BF" w:rsidRPr="002C2B4F" w:rsidRDefault="007353BF" w:rsidP="002F38BC">
      <w:pPr>
        <w:pStyle w:val="Point1"/>
        <w:rPr>
          <w:noProof/>
        </w:rPr>
      </w:pPr>
      <w:r w:rsidRPr="002C2B4F">
        <w:rPr>
          <w:noProof/>
        </w:rPr>
        <w:t>e)</w:t>
      </w:r>
      <w:r w:rsidRPr="002C2B4F">
        <w:rPr>
          <w:noProof/>
        </w:rPr>
        <w:tab/>
        <w:t>ve spolupráci s členskými státy a se zapojením zúčastněných stran pokračovat v práci na hodnocení rizik kritických technologií</w:t>
      </w:r>
      <w:r w:rsidRPr="002C2B4F">
        <w:rPr>
          <w:rStyle w:val="FootnoteReference"/>
          <w:noProof/>
        </w:rPr>
        <w:footnoteReference w:id="34"/>
      </w:r>
      <w:r w:rsidRPr="002C2B4F">
        <w:rPr>
          <w:noProof/>
        </w:rPr>
        <w:t xml:space="preserve">, jakož i v zapojování do dialogu s cílem zajistit sdílení informací a jednotný přístup, pokud jde o hodnocení rizik a záruky bezpečnosti výzkumu ve vnitrostátních programech financování a v příslušných programech financování EU; </w:t>
      </w:r>
    </w:p>
    <w:p w14:paraId="61643ACA" w14:textId="333AC237" w:rsidR="007353BF" w:rsidRPr="002C2B4F" w:rsidRDefault="007353BF" w:rsidP="002F38BC">
      <w:pPr>
        <w:pStyle w:val="Point1"/>
        <w:rPr>
          <w:noProof/>
        </w:rPr>
      </w:pPr>
      <w:r w:rsidRPr="002C2B4F">
        <w:rPr>
          <w:noProof/>
        </w:rPr>
        <w:t>f)</w:t>
      </w:r>
      <w:r w:rsidRPr="002C2B4F">
        <w:rPr>
          <w:noProof/>
        </w:rPr>
        <w:tab/>
        <w:t>vypracovat nástroje a zdroje, a to jak ty, které budou nezávislé na jednotlivých zemích, tak ty, které budou určeny pro jednotlivé země, na podporu vysokoškolských institucí a veřejných a soukromých organizací provádějících výzkum, aby mohly provádět hloubkovou kontrolu potenciálních partnerů. Spolu s organizacemi zúčastněných stran na úrovni EU pořádat každé dva roky fórum zúčastněných stran o bezpečnosti výzkumu;</w:t>
      </w:r>
    </w:p>
    <w:p w14:paraId="5D303890" w14:textId="77777777" w:rsidR="007353BF" w:rsidRPr="002C2B4F" w:rsidRDefault="007353BF" w:rsidP="002F38BC">
      <w:pPr>
        <w:pStyle w:val="Point1"/>
        <w:rPr>
          <w:noProof/>
        </w:rPr>
      </w:pPr>
      <w:r w:rsidRPr="002C2B4F">
        <w:rPr>
          <w:noProof/>
        </w:rPr>
        <w:t>g)</w:t>
      </w:r>
      <w:r w:rsidRPr="002C2B4F">
        <w:rPr>
          <w:noProof/>
        </w:rPr>
        <w:tab/>
        <w:t xml:space="preserve">v případě potřeby připravit výkladové pokyny k vytváření postupů hodnocení rizik a k uplatňování příslušných právních předpisů EU; </w:t>
      </w:r>
    </w:p>
    <w:p w14:paraId="1DF6DCB5" w14:textId="77777777" w:rsidR="007353BF" w:rsidRPr="002C2B4F" w:rsidRDefault="007353BF" w:rsidP="002F38BC">
      <w:pPr>
        <w:pStyle w:val="Point1"/>
        <w:rPr>
          <w:noProof/>
        </w:rPr>
      </w:pPr>
      <w:r w:rsidRPr="002C2B4F">
        <w:rPr>
          <w:noProof/>
        </w:rPr>
        <w:t>h)</w:t>
      </w:r>
      <w:r w:rsidRPr="002C2B4F">
        <w:rPr>
          <w:noProof/>
        </w:rPr>
        <w:tab/>
        <w:t>spolupracovat s odvětvím výzkumu a inovací s cílem posoudit, jak nejlépe zvýšit transparentnost zdrojů financování výzkumu a příslušností výzkumných pracovníků;</w:t>
      </w:r>
    </w:p>
    <w:p w14:paraId="227DD0EA" w14:textId="77777777" w:rsidR="007353BF" w:rsidRPr="002C2B4F" w:rsidRDefault="007353BF" w:rsidP="002F38BC">
      <w:pPr>
        <w:pStyle w:val="Point1"/>
        <w:rPr>
          <w:noProof/>
        </w:rPr>
      </w:pPr>
      <w:r w:rsidRPr="002C2B4F">
        <w:rPr>
          <w:noProof/>
        </w:rPr>
        <w:t>i)</w:t>
      </w:r>
      <w:r w:rsidRPr="002C2B4F">
        <w:rPr>
          <w:noProof/>
        </w:rPr>
        <w:tab/>
        <w:t xml:space="preserve">posílit dialog s mezinárodními partnery o bezpečnosti výzkumu, jakož i iniciativy k dosažení společného stanoviska EU k tomuto tématu na mnohostranných fórech. </w:t>
      </w:r>
    </w:p>
    <w:p w14:paraId="286126AD" w14:textId="77777777" w:rsidR="005572ED" w:rsidRPr="002C2B4F" w:rsidRDefault="005572ED" w:rsidP="002F38BC">
      <w:pPr>
        <w:pStyle w:val="Point1"/>
        <w:rPr>
          <w:noProof/>
        </w:rPr>
      </w:pPr>
    </w:p>
    <w:p w14:paraId="4FC46D95" w14:textId="77777777" w:rsidR="007353BF" w:rsidRPr="002C2B4F" w:rsidRDefault="007353BF" w:rsidP="00DC7CED">
      <w:pPr>
        <w:spacing w:after="200" w:line="276" w:lineRule="auto"/>
        <w:rPr>
          <w:rFonts w:ascii="TimesNewRomanPS" w:hAnsi="TimesNewRomanPS"/>
          <w:b/>
          <w:bCs/>
          <w:noProof/>
        </w:rPr>
      </w:pPr>
      <w:r w:rsidRPr="002C2B4F">
        <w:rPr>
          <w:rFonts w:ascii="TimesNewRomanPS" w:hAnsi="TimesNewRomanPS"/>
          <w:b/>
          <w:noProof/>
        </w:rPr>
        <w:t xml:space="preserve">PODÁVÁNÍ ZPRÁV </w:t>
      </w:r>
    </w:p>
    <w:p w14:paraId="3DACDF65" w14:textId="77777777" w:rsidR="007353BF" w:rsidRPr="002C2B4F" w:rsidRDefault="007353BF" w:rsidP="001D0503">
      <w:pPr>
        <w:pStyle w:val="ManualNumPar1"/>
        <w:rPr>
          <w:noProof/>
        </w:rPr>
      </w:pPr>
      <w:r w:rsidRPr="002C2B4F">
        <w:rPr>
          <w:noProof/>
        </w:rPr>
        <w:t>1.</w:t>
      </w:r>
      <w:r w:rsidRPr="002C2B4F">
        <w:rPr>
          <w:noProof/>
        </w:rPr>
        <w:tab/>
        <w:t>Doporučuje se, aby členské státy toto doporučení provedly co nejdříve. Vyzývají se, aby do [vložit datum 9 měsíců po přijetí Radou] sdělily Komisi svůj akční plán (uvedený v bodě 2 doporučení členským státům), v němž uvedou odpovídající opatření, která mají být přijata ke zvýšení bezpečnosti výzkumu, s přihlédnutím ke svým výchozím pozicím.</w:t>
      </w:r>
    </w:p>
    <w:p w14:paraId="2C02FF9B" w14:textId="694331FD" w:rsidR="007353BF" w:rsidRPr="002C2B4F" w:rsidRDefault="007353BF" w:rsidP="001D0503">
      <w:pPr>
        <w:pStyle w:val="ManualNumPar1"/>
        <w:rPr>
          <w:noProof/>
        </w:rPr>
      </w:pPr>
      <w:r w:rsidRPr="002C2B4F">
        <w:rPr>
          <w:noProof/>
        </w:rPr>
        <w:t>2.</w:t>
      </w:r>
      <w:r w:rsidRPr="002C2B4F">
        <w:rPr>
          <w:noProof/>
        </w:rPr>
        <w:tab/>
        <w:t xml:space="preserve"> Pokrok dosažený při provádění tohoto doporučení bude Komise ve spolupráci s členskými státy a po konzultaci s dotčenými zúčastněnými stranami sledovat s využitím rámců EVP pro správu, sledování a podávání zpráv a každé dva roky podá Radě zprávu v rámci dvouleté zprávy o globálním přístupu k výzkumu a inovacím. Po důkladném posouzení a s ohledem na budoucí vývoj geopolitické situace lze navrhnout další kroky a opatření.</w:t>
      </w:r>
    </w:p>
    <w:p w14:paraId="0A14B5F4" w14:textId="1839E09F" w:rsidR="007353BF" w:rsidRPr="002C2B4F" w:rsidRDefault="002C2B4F" w:rsidP="00CE4D3F">
      <w:pPr>
        <w:pStyle w:val="Fait"/>
        <w:rPr>
          <w:noProof/>
        </w:rPr>
      </w:pPr>
      <w:r>
        <w:rPr>
          <w:noProof/>
        </w:rPr>
        <w:t>V Bruselu dne</w:t>
      </w:r>
    </w:p>
    <w:p w14:paraId="5795008B" w14:textId="77777777" w:rsidR="007353BF" w:rsidRPr="002C2B4F" w:rsidRDefault="007353BF" w:rsidP="00CE4D3F">
      <w:pPr>
        <w:pStyle w:val="Institutionquisigne"/>
        <w:rPr>
          <w:noProof/>
        </w:rPr>
      </w:pPr>
      <w:r w:rsidRPr="002C2B4F">
        <w:rPr>
          <w:noProof/>
        </w:rPr>
        <w:tab/>
        <w:t>Za Radu</w:t>
      </w:r>
    </w:p>
    <w:p w14:paraId="0A42C976" w14:textId="77777777" w:rsidR="007353BF" w:rsidRPr="002C2B4F" w:rsidRDefault="007353BF" w:rsidP="007353BF">
      <w:pPr>
        <w:pStyle w:val="Personnequisigne"/>
        <w:rPr>
          <w:noProof/>
        </w:rPr>
      </w:pPr>
      <w:r w:rsidRPr="002C2B4F">
        <w:rPr>
          <w:noProof/>
        </w:rPr>
        <w:tab/>
        <w:t>předseda/předsedkyně</w:t>
      </w:r>
    </w:p>
    <w:sectPr w:rsidR="007353BF" w:rsidRPr="002C2B4F" w:rsidSect="00B93A77"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748A" w14:textId="77777777" w:rsidR="00202782" w:rsidRDefault="00202782" w:rsidP="00E701ED">
      <w:pPr>
        <w:spacing w:before="0" w:after="0"/>
      </w:pPr>
      <w:r>
        <w:separator/>
      </w:r>
    </w:p>
  </w:endnote>
  <w:endnote w:type="continuationSeparator" w:id="0">
    <w:p w14:paraId="15DB950C" w14:textId="77777777" w:rsidR="00202782" w:rsidRDefault="00202782" w:rsidP="00E701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E8D6" w14:textId="643DBC5D" w:rsidR="00B93A77" w:rsidRPr="00B93A77" w:rsidRDefault="00B93A77" w:rsidP="00B93A77">
    <w:pPr>
      <w:pStyle w:val="Footer"/>
      <w:rPr>
        <w:rFonts w:ascii="Arial" w:hAnsi="Arial" w:cs="Arial"/>
        <w:b/>
        <w:sz w:val="48"/>
      </w:rPr>
    </w:pPr>
    <w:r w:rsidRPr="00B93A77">
      <w:rPr>
        <w:rFonts w:ascii="Arial" w:hAnsi="Arial" w:cs="Arial"/>
        <w:b/>
        <w:sz w:val="48"/>
      </w:rPr>
      <w:t>CS</w:t>
    </w:r>
    <w:r w:rsidRPr="00B93A77">
      <w:rPr>
        <w:rFonts w:ascii="Arial" w:hAnsi="Arial" w:cs="Arial"/>
        <w:b/>
        <w:sz w:val="48"/>
      </w:rPr>
      <w:tab/>
    </w:r>
    <w:r w:rsidRPr="00B93A77">
      <w:rPr>
        <w:rFonts w:ascii="Arial" w:hAnsi="Arial" w:cs="Arial"/>
        <w:b/>
        <w:sz w:val="48"/>
      </w:rPr>
      <w:tab/>
    </w:r>
    <w:r w:rsidRPr="00B93A77">
      <w:tab/>
    </w:r>
    <w:r w:rsidRPr="00B93A77">
      <w:rPr>
        <w:rFonts w:ascii="Arial" w:hAnsi="Arial" w:cs="Arial"/>
        <w:b/>
        <w:sz w:val="48"/>
      </w:rPr>
      <w:t>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6A88" w14:textId="14B78DA7" w:rsidR="00B93A77" w:rsidRPr="00B93A77" w:rsidRDefault="00B93A77" w:rsidP="00B93A77">
    <w:pPr>
      <w:pStyle w:val="Footer"/>
      <w:rPr>
        <w:rFonts w:ascii="Arial" w:hAnsi="Arial" w:cs="Arial"/>
        <w:b/>
        <w:sz w:val="48"/>
      </w:rPr>
    </w:pPr>
    <w:r w:rsidRPr="00B93A77">
      <w:rPr>
        <w:rFonts w:ascii="Arial" w:hAnsi="Arial" w:cs="Arial"/>
        <w:b/>
        <w:sz w:val="48"/>
      </w:rPr>
      <w:t>CS</w:t>
    </w:r>
    <w:r w:rsidRPr="00B93A77">
      <w:rPr>
        <w:rFonts w:ascii="Arial" w:hAnsi="Arial" w:cs="Arial"/>
        <w:b/>
        <w:sz w:val="48"/>
      </w:rPr>
      <w:tab/>
    </w:r>
    <w:r w:rsidRPr="00B93A77">
      <w:rPr>
        <w:rFonts w:ascii="Arial" w:hAnsi="Arial" w:cs="Arial"/>
        <w:b/>
        <w:sz w:val="48"/>
      </w:rPr>
      <w:tab/>
    </w:r>
    <w:r w:rsidRPr="00B93A77">
      <w:tab/>
    </w:r>
    <w:r w:rsidRPr="00B93A77">
      <w:rPr>
        <w:rFonts w:ascii="Arial" w:hAnsi="Arial" w:cs="Arial"/>
        <w:b/>
        <w:sz w:val="48"/>
      </w:rPr>
      <w:t>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F887" w14:textId="77777777" w:rsidR="00B93A77" w:rsidRDefault="00B93A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344C" w14:textId="5861C321" w:rsidR="00B93A77" w:rsidRPr="00B93A77" w:rsidRDefault="00B93A77" w:rsidP="00B93A77">
    <w:pPr>
      <w:pStyle w:val="Footer"/>
      <w:rPr>
        <w:rFonts w:ascii="Arial" w:hAnsi="Arial" w:cs="Arial"/>
        <w:b/>
        <w:sz w:val="48"/>
      </w:rPr>
    </w:pPr>
    <w:r w:rsidRPr="00B93A77">
      <w:rPr>
        <w:rFonts w:ascii="Arial" w:hAnsi="Arial" w:cs="Arial"/>
        <w:b/>
        <w:sz w:val="48"/>
      </w:rPr>
      <w:t>CS</w:t>
    </w:r>
    <w:r w:rsidRPr="00B93A77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CE4D3F">
      <w:rPr>
        <w:noProof/>
      </w:rPr>
      <w:t>18</w:t>
    </w:r>
    <w:r>
      <w:fldChar w:fldCharType="end"/>
    </w:r>
    <w:r>
      <w:tab/>
    </w:r>
    <w:r w:rsidRPr="00B93A77">
      <w:tab/>
    </w:r>
    <w:r w:rsidRPr="00B93A77">
      <w:rPr>
        <w:rFonts w:ascii="Arial" w:hAnsi="Arial" w:cs="Arial"/>
        <w:b/>
        <w:sz w:val="48"/>
      </w:rPr>
      <w:t>CS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6307" w14:textId="77777777" w:rsidR="00B93A77" w:rsidRDefault="00B93A77" w:rsidP="00B93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F891" w14:textId="77777777" w:rsidR="00202782" w:rsidRDefault="00202782" w:rsidP="00E701ED">
      <w:pPr>
        <w:spacing w:before="0" w:after="0"/>
      </w:pPr>
      <w:r>
        <w:separator/>
      </w:r>
    </w:p>
  </w:footnote>
  <w:footnote w:type="continuationSeparator" w:id="0">
    <w:p w14:paraId="2895C4D0" w14:textId="77777777" w:rsidR="00202782" w:rsidRDefault="00202782" w:rsidP="00E701ED">
      <w:pPr>
        <w:spacing w:before="0" w:after="0"/>
      </w:pPr>
      <w:r>
        <w:continuationSeparator/>
      </w:r>
    </w:p>
  </w:footnote>
  <w:footnote w:id="1">
    <w:p w14:paraId="2F8A2D4A" w14:textId="77777777" w:rsidR="00735A4E" w:rsidRDefault="00735A4E" w:rsidP="00735A4E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Společné sdělení Komise a vysokého představitele o Strategii evropské hospodářské bezpečnosti, JOIN(2023) 20 ze dne 20. června 2023 (</w:t>
      </w:r>
      <w:hyperlink r:id="rId1" w:history="1">
        <w:r>
          <w:rPr>
            <w:rStyle w:val="Hyperlink"/>
          </w:rPr>
          <w:t>odkaz</w:t>
        </w:r>
      </w:hyperlink>
      <w:r>
        <w:t>).</w:t>
      </w:r>
    </w:p>
  </w:footnote>
  <w:footnote w:id="2">
    <w:p w14:paraId="62F83C4F" w14:textId="77777777" w:rsidR="007E5093" w:rsidRDefault="007E5093" w:rsidP="008224D3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Sdělení Komise o globálním přístupu k výzkumu a inovacím: Evropská strategie mezinárodní spolupráce v měnícím se světě, COM(2021) 252 ze dne 18. května 2021 (</w:t>
      </w:r>
      <w:hyperlink r:id="rId2" w:history="1">
        <w:r>
          <w:rPr>
            <w:rStyle w:val="Hyperlink"/>
          </w:rPr>
          <w:t>odkaz</w:t>
        </w:r>
      </w:hyperlink>
      <w:r>
        <w:t>).</w:t>
      </w:r>
    </w:p>
  </w:footnote>
  <w:footnote w:id="3">
    <w:p w14:paraId="682E8707" w14:textId="77777777" w:rsidR="007E5093" w:rsidRDefault="007E5093" w:rsidP="008224D3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Závěry Rady o globálním přístupu k výzkumu a inovacím ze dne 28. září 2021 (</w:t>
      </w:r>
      <w:hyperlink r:id="rId3" w:history="1">
        <w:r>
          <w:rPr>
            <w:rStyle w:val="Hyperlink"/>
          </w:rPr>
          <w:t>odkaz</w:t>
        </w:r>
      </w:hyperlink>
      <w:r>
        <w:t>), zejména body 3, 11 a 23.</w:t>
      </w:r>
    </w:p>
  </w:footnote>
  <w:footnote w:id="4">
    <w:p w14:paraId="5BFEF9B3" w14:textId="77777777" w:rsidR="00AC60D3" w:rsidRDefault="00AC60D3" w:rsidP="00AC60D3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</w:r>
      <w:r>
        <w:rPr>
          <w:shd w:val="clear" w:color="auto" w:fill="FFFFFF"/>
        </w:rPr>
        <w:t>Evropská komise, Generální ředitelství pro výzkum a inovace, Boj proti zahraničnímu vměšování do výzkumu a inovací – pracovní dokument, Úřad pro publikace Evropské unie, 2022 (</w:t>
      </w:r>
      <w:hyperlink r:id="rId4" w:history="1">
        <w:r>
          <w:rPr>
            <w:rStyle w:val="Hyperlink"/>
            <w:shd w:val="clear" w:color="auto" w:fill="FFFFFF"/>
          </w:rPr>
          <w:t>odkaz</w:t>
        </w:r>
      </w:hyperlink>
      <w:r>
        <w:rPr>
          <w:shd w:val="clear" w:color="auto" w:fill="FFFFFF"/>
        </w:rPr>
        <w:t>).</w:t>
      </w:r>
    </w:p>
  </w:footnote>
  <w:footnote w:id="5">
    <w:p w14:paraId="5FBE1FEB" w14:textId="77777777" w:rsidR="00A07510" w:rsidRDefault="00A07510" w:rsidP="00405D01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Usnesení Evropského parlamentu o globálním přístupu k výzkumu a inovacím, P9_TA(2022)0112 ze dne 6. dubna 2022 (</w:t>
      </w:r>
      <w:hyperlink r:id="rId5" w:history="1">
        <w:r>
          <w:rPr>
            <w:rStyle w:val="Hyperlink"/>
          </w:rPr>
          <w:t>odkaz</w:t>
        </w:r>
      </w:hyperlink>
      <w:r>
        <w:t>).</w:t>
      </w:r>
    </w:p>
  </w:footnote>
  <w:footnote w:id="6">
    <w:p w14:paraId="1BDB56AF" w14:textId="77777777" w:rsidR="00465292" w:rsidRPr="00E144B1" w:rsidRDefault="00465292" w:rsidP="00465292">
      <w:pPr>
        <w:pStyle w:val="FootnoteText"/>
        <w:tabs>
          <w:tab w:val="left" w:pos="720"/>
          <w:tab w:val="left" w:pos="1440"/>
          <w:tab w:val="left" w:pos="2367"/>
        </w:tabs>
        <w:ind w:left="284" w:hanging="284"/>
      </w:pPr>
      <w:r>
        <w:rPr>
          <w:rStyle w:val="FootnoteReference"/>
        </w:rPr>
        <w:footnoteRef/>
      </w:r>
      <w:r>
        <w:tab/>
        <w:t>Doporučení Komise o technologických oblastech s kritickým významem pro hospodářskou bezpečnost EU za účelem dalšího posouzení rizik s členskými státy, C(2023) 6689 ze dne 3. října 2023 (</w:t>
      </w:r>
      <w:hyperlink r:id="rId6" w:history="1">
        <w:r>
          <w:rPr>
            <w:rStyle w:val="Hyperlink"/>
          </w:rPr>
          <w:t>odkaz</w:t>
        </w:r>
      </w:hyperlink>
      <w:r>
        <w:t>).</w:t>
      </w:r>
      <w:r>
        <w:tab/>
      </w:r>
    </w:p>
  </w:footnote>
  <w:footnote w:id="7">
    <w:p w14:paraId="48994905" w14:textId="77777777" w:rsidR="007E5093" w:rsidRDefault="007E5093" w:rsidP="008224D3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Sdělení Komise o Strategii bezpečnostní unie EU, COM(2020) 605 ze dne 24. července 2020 (</w:t>
      </w:r>
      <w:hyperlink r:id="rId7" w:history="1">
        <w:r>
          <w:rPr>
            <w:rStyle w:val="Hyperlink"/>
          </w:rPr>
          <w:t>odkaz</w:t>
        </w:r>
      </w:hyperlink>
      <w:r>
        <w:t>).</w:t>
      </w:r>
    </w:p>
  </w:footnote>
  <w:footnote w:id="8">
    <w:p w14:paraId="3B932FAA" w14:textId="77777777" w:rsidR="007E5093" w:rsidRPr="002C2B4F" w:rsidRDefault="007E5093" w:rsidP="008224D3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Rada EU: Strategický kompas pro bezpečnost a obranu, ST 7371/22 ze dne 21. března 2022 (</w:t>
      </w:r>
      <w:hyperlink r:id="rId8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).</w:t>
      </w:r>
    </w:p>
  </w:footnote>
  <w:footnote w:id="9">
    <w:p w14:paraId="18986759" w14:textId="77777777" w:rsidR="007E5093" w:rsidRPr="002C2B4F" w:rsidRDefault="007E5093" w:rsidP="008224D3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</w:r>
      <w:r w:rsidRPr="002C2B4F">
        <w:rPr>
          <w:shd w:val="clear" w:color="auto" w:fill="FFFFFF"/>
          <w:lang w:val="de-DE"/>
        </w:rPr>
        <w:t>Nařízení (EU) 2021/821, kterým se zavádí režim Unie pro kontrolu vývozu, zprostředkování, technické pomoci, tranzitu a přepravy zboží dvojího užití (</w:t>
      </w:r>
      <w:hyperlink r:id="rId9" w:history="1">
        <w:r w:rsidRPr="002C2B4F">
          <w:rPr>
            <w:rStyle w:val="Hyperlink"/>
            <w:shd w:val="clear" w:color="auto" w:fill="FFFFFF"/>
            <w:lang w:val="de-DE"/>
          </w:rPr>
          <w:t>odkaz</w:t>
        </w:r>
      </w:hyperlink>
      <w:r w:rsidRPr="002C2B4F">
        <w:rPr>
          <w:shd w:val="clear" w:color="auto" w:fill="FFFFFF"/>
          <w:lang w:val="de-DE"/>
        </w:rPr>
        <w:t>).</w:t>
      </w:r>
    </w:p>
  </w:footnote>
  <w:footnote w:id="10">
    <w:p w14:paraId="29C18BF6" w14:textId="77777777" w:rsidR="007E5093" w:rsidRPr="002C2B4F" w:rsidRDefault="007E5093" w:rsidP="008224D3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Doporučení Komise o interních programech dodržování předpisů pro kontroly výzkumu zboží dvojího užití […], 2021/1700 ze dne 15. září 2021 (</w:t>
      </w:r>
      <w:hyperlink r:id="rId10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 xml:space="preserve">). </w:t>
      </w:r>
    </w:p>
  </w:footnote>
  <w:footnote w:id="11">
    <w:p w14:paraId="012332EA" w14:textId="77777777" w:rsidR="00A07510" w:rsidRPr="002C2B4F" w:rsidRDefault="00A07510" w:rsidP="00405D01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Sdělení Komise o obraně demokracie, COM(2023) 630 ze dne 12. prosince 2023 (</w:t>
      </w:r>
      <w:hyperlink r:id="rId11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).</w:t>
      </w:r>
    </w:p>
  </w:footnote>
  <w:footnote w:id="12">
    <w:p w14:paraId="3E64E69E" w14:textId="77777777" w:rsidR="001F784B" w:rsidRPr="002C2B4F" w:rsidRDefault="001F784B" w:rsidP="001F784B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Viz například „anotovaný soubor pokynů pro bezpečnou a úspěšnou spolupráci v oblasti výzkumu a inovací“ (2022), který na žádost Komise sestavila organizace DLR-PT (</w:t>
      </w:r>
      <w:hyperlink r:id="rId12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).</w:t>
      </w:r>
    </w:p>
  </w:footnote>
  <w:footnote w:id="13">
    <w:p w14:paraId="3FF00A4D" w14:textId="77777777" w:rsidR="005C0B9A" w:rsidRPr="002C2B4F" w:rsidRDefault="005C0B9A" w:rsidP="005C0B9A">
      <w:pPr>
        <w:pStyle w:val="FootnoteText"/>
        <w:ind w:left="284" w:hanging="284"/>
        <w:rPr>
          <w:rStyle w:val="FootnoteReference"/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Více informací naleznete například na těchto internetových stránkách: pro USA (</w:t>
      </w:r>
      <w:hyperlink r:id="rId13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), pro Spojené království (</w:t>
      </w:r>
      <w:hyperlink r:id="rId14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), pro Austrálii (</w:t>
      </w:r>
      <w:hyperlink r:id="rId15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 a pro Kanadu (</w:t>
      </w:r>
      <w:hyperlink r:id="rId16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 xml:space="preserve">). </w:t>
      </w:r>
    </w:p>
  </w:footnote>
  <w:footnote w:id="14">
    <w:p w14:paraId="76C7F52D" w14:textId="77777777" w:rsidR="00AC60D3" w:rsidRPr="002C2B4F" w:rsidRDefault="00AC60D3" w:rsidP="00AC60D3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 xml:space="preserve">Více informací o mnohostranném dialogu o hodnotách a zásadách naleznete zde: </w:t>
      </w:r>
      <w:hyperlink r:id="rId17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.</w:t>
      </w:r>
    </w:p>
  </w:footnote>
  <w:footnote w:id="15">
    <w:p w14:paraId="7015AAF1" w14:textId="77777777" w:rsidR="007353BF" w:rsidRPr="002C2B4F" w:rsidRDefault="007353BF" w:rsidP="008224D3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Hybridní hrozby se týkají případů, kdy se státní či nestátní aktéři snaží zneužít zranitelnosti EU ve svůj prospěch tím, že koordinovaně využívají kombinaci opatření (např. diplomatických, vojenských, ekonomických a technologických), aniž by formálně vedli válku (</w:t>
      </w:r>
      <w:hyperlink r:id="rId18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).</w:t>
      </w:r>
    </w:p>
  </w:footnote>
  <w:footnote w:id="16">
    <w:p w14:paraId="0A4BD976" w14:textId="77777777" w:rsidR="007353BF" w:rsidRPr="002C2B4F" w:rsidRDefault="007353BF" w:rsidP="008224D3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Sdělení Komise o globálním přístupu k výzkumu a inovacím: Evropská strategie mezinárodní spolupráce v měnícím se světě, COM(2021) 252 ze dne 18. května 2021 (</w:t>
      </w:r>
      <w:hyperlink r:id="rId19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).</w:t>
      </w:r>
    </w:p>
  </w:footnote>
  <w:footnote w:id="17">
    <w:p w14:paraId="1AE24BBA" w14:textId="77777777" w:rsidR="007353BF" w:rsidRPr="002C2B4F" w:rsidRDefault="007353BF" w:rsidP="008224D3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Závěry Rady o globálním přístupu k výzkumu a inovacím ze dne 28. září 2021 (</w:t>
      </w:r>
      <w:hyperlink r:id="rId20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), zejména body 3, 11 a 23.</w:t>
      </w:r>
    </w:p>
  </w:footnote>
  <w:footnote w:id="18">
    <w:p w14:paraId="767FD976" w14:textId="77777777" w:rsidR="007353BF" w:rsidRPr="002C2B4F" w:rsidRDefault="007353BF" w:rsidP="008224D3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Nařízení o programu Horizont Evropa, (EU) 2021/695 ze dne 28. dubna 2021 (</w:t>
      </w:r>
      <w:hyperlink r:id="rId21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), stanoví mimo jiné bezpečnostní hodnocení všech projektů způsobilých pro financování (článek 20), možnost vyloučit z některých výzev subjekty usazené ve třetích zemích nebo jimi kontrolované (čl. 22 odst. 5), jakož i doplnit kritéria způsobilosti ke kritériím stanoveným v odstavcích 2 až 5, aby se zohlednily zvláštní politické požadavky nebo povaha a cíle akce (čl. 22 odst. 6), a právo Komise nebo příslušného financujícího subjektu vznést námitky proti převodu vlastnictví výsledků nebo proti udělení výhradní licence týkající se výsledků (čl. 40 odst. 4). Podobná ustanovení jsou obsažena v Evropském obranném fondu a Evropském kosmickém programu.</w:t>
      </w:r>
    </w:p>
  </w:footnote>
  <w:footnote w:id="19">
    <w:p w14:paraId="21C67B3B" w14:textId="77777777" w:rsidR="007353BF" w:rsidRPr="002C2B4F" w:rsidRDefault="007353BF" w:rsidP="008224D3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Závěry Rady o řízení Evropského výzkumného prostoru v budoucnosti ze dne 26. listopadu 2021 (</w:t>
      </w:r>
      <w:hyperlink r:id="rId22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</w:t>
      </w:r>
    </w:p>
  </w:footnote>
  <w:footnote w:id="20">
    <w:p w14:paraId="5672478C" w14:textId="77777777" w:rsidR="007353BF" w:rsidRPr="002C2B4F" w:rsidRDefault="007353BF" w:rsidP="008224D3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</w:r>
      <w:r w:rsidRPr="002C2B4F">
        <w:rPr>
          <w:shd w:val="clear" w:color="auto" w:fill="FFFFFF"/>
          <w:lang w:val="de-DE"/>
        </w:rPr>
        <w:t>Evropská komise, Generální ředitelství pro výzkum a inovace, Boj proti zahraničnímu vměšování do výzkumu a inovací – pracovní dokument, Úřad pro publikace Evropské unie, 2022 (</w:t>
      </w:r>
      <w:hyperlink r:id="rId23" w:history="1">
        <w:r w:rsidRPr="002C2B4F">
          <w:rPr>
            <w:rStyle w:val="Hyperlink"/>
            <w:shd w:val="clear" w:color="auto" w:fill="FFFFFF"/>
            <w:lang w:val="de-DE"/>
          </w:rPr>
          <w:t>odkaz</w:t>
        </w:r>
      </w:hyperlink>
      <w:r w:rsidRPr="002C2B4F">
        <w:rPr>
          <w:shd w:val="clear" w:color="auto" w:fill="FFFFFF"/>
          <w:lang w:val="de-DE"/>
        </w:rPr>
        <w:t xml:space="preserve">). </w:t>
      </w:r>
    </w:p>
  </w:footnote>
  <w:footnote w:id="21">
    <w:p w14:paraId="792F99C7" w14:textId="77777777" w:rsidR="00BA09CF" w:rsidRPr="002C2B4F" w:rsidRDefault="00BA09CF" w:rsidP="00BA09CF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Sdělení Komise o Evropské strategii pro univerzity, COM(2022) 16 ze dne 18. ledna 2022 (</w:t>
      </w:r>
      <w:hyperlink r:id="rId24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).</w:t>
      </w:r>
    </w:p>
  </w:footnote>
  <w:footnote w:id="22">
    <w:p w14:paraId="322B51EB" w14:textId="77777777" w:rsidR="00BA09CF" w:rsidRPr="002C2B4F" w:rsidRDefault="00BA09CF" w:rsidP="00BA09CF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</w:r>
      <w:bookmarkStart w:id="0" w:name="_Hlk155630585"/>
      <w:r w:rsidRPr="002C2B4F">
        <w:rPr>
          <w:lang w:val="de-DE"/>
        </w:rPr>
        <w:t>Sdělení Komise o vytvoření Evropského prostoru vzdělávání do roku 2025, COM(2020) 625 ze dne 30. září 2020 (</w:t>
      </w:r>
      <w:hyperlink r:id="rId25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</w:t>
      </w:r>
      <w:bookmarkEnd w:id="0"/>
      <w:r w:rsidRPr="002C2B4F">
        <w:rPr>
          <w:lang w:val="de-DE"/>
        </w:rPr>
        <w:t>.</w:t>
      </w:r>
    </w:p>
  </w:footnote>
  <w:footnote w:id="23">
    <w:p w14:paraId="42F26A21" w14:textId="77777777" w:rsidR="00E445CF" w:rsidRPr="002C2B4F" w:rsidRDefault="00E445CF" w:rsidP="00693698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Usnesení Evropského parlamentu o zahraničním vměšování do všech demokratických procesů v Evropské unii, včetně dezinformací, P9_TA(2022)0064 ze dne 9. března 2022 (</w:t>
      </w:r>
      <w:hyperlink r:id="rId26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).</w:t>
      </w:r>
    </w:p>
  </w:footnote>
  <w:footnote w:id="24">
    <w:p w14:paraId="68DE51F2" w14:textId="77777777" w:rsidR="007353BF" w:rsidRPr="002C2B4F" w:rsidRDefault="007353BF" w:rsidP="008224D3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Sdělení Komise o Strategii bezpečnostní unie EU, COM(2020) 605 ze dne 24. července 2020 (</w:t>
      </w:r>
      <w:hyperlink r:id="rId27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).</w:t>
      </w:r>
    </w:p>
  </w:footnote>
  <w:footnote w:id="25">
    <w:p w14:paraId="33FAA893" w14:textId="77777777" w:rsidR="007353BF" w:rsidRPr="002C2B4F" w:rsidRDefault="007353BF" w:rsidP="008224D3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Rada Evropské unie: Strategický kompas pro bezpečnost a obranu, ST 7371/22 ze dne 21. března 2022 (</w:t>
      </w:r>
      <w:hyperlink r:id="rId28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).</w:t>
      </w:r>
    </w:p>
  </w:footnote>
  <w:footnote w:id="26">
    <w:p w14:paraId="3221EC51" w14:textId="77777777" w:rsidR="007353BF" w:rsidRPr="002C2B4F" w:rsidRDefault="007353BF" w:rsidP="008224D3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</w:r>
      <w:r w:rsidRPr="002C2B4F">
        <w:rPr>
          <w:shd w:val="clear" w:color="auto" w:fill="FFFFFF"/>
          <w:lang w:val="de-DE"/>
        </w:rPr>
        <w:t>Nařízení (EU) 2021/821, kterým se zavádí režim Unie pro kontrolu vývozu, zprostředkování, technické pomoci, tranzitu a přepravy zboží dvojího užití (</w:t>
      </w:r>
      <w:hyperlink r:id="rId29" w:history="1">
        <w:r w:rsidRPr="002C2B4F">
          <w:rPr>
            <w:rStyle w:val="Hyperlink"/>
            <w:shd w:val="clear" w:color="auto" w:fill="FFFFFF"/>
            <w:lang w:val="de-DE"/>
          </w:rPr>
          <w:t>odkaz</w:t>
        </w:r>
      </w:hyperlink>
      <w:r w:rsidRPr="002C2B4F">
        <w:rPr>
          <w:shd w:val="clear" w:color="auto" w:fill="FFFFFF"/>
          <w:lang w:val="de-DE"/>
        </w:rPr>
        <w:t>).</w:t>
      </w:r>
    </w:p>
  </w:footnote>
  <w:footnote w:id="27">
    <w:p w14:paraId="5A739BE4" w14:textId="77777777" w:rsidR="007353BF" w:rsidRPr="002C2B4F" w:rsidRDefault="007353BF" w:rsidP="008224D3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Doporučení Komise o interních programech dodržování předpisů pro kontroly výzkumu zboží dvojího užití […], 2021/1700 ze dne 15. září 2021 (</w:t>
      </w:r>
      <w:hyperlink r:id="rId30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 xml:space="preserve">). </w:t>
      </w:r>
    </w:p>
  </w:footnote>
  <w:footnote w:id="28">
    <w:p w14:paraId="20306A13" w14:textId="77777777" w:rsidR="007353BF" w:rsidRPr="002C2B4F" w:rsidRDefault="007353BF" w:rsidP="008224D3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Společné sdělení o Strategii evropské hospodářské bezpečnosti, JOIN(2023) 20 ze dne 20. června 2023 (</w:t>
      </w:r>
      <w:hyperlink r:id="rId31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).</w:t>
      </w:r>
    </w:p>
  </w:footnote>
  <w:footnote w:id="29">
    <w:p w14:paraId="7C62121F" w14:textId="77777777" w:rsidR="007353BF" w:rsidRPr="002C2B4F" w:rsidRDefault="007353BF" w:rsidP="000D0F76">
      <w:pPr>
        <w:pStyle w:val="FootnoteText"/>
        <w:tabs>
          <w:tab w:val="left" w:pos="720"/>
          <w:tab w:val="left" w:pos="1440"/>
          <w:tab w:val="left" w:pos="2367"/>
        </w:tabs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Doporučení Komise o technologických oblastech s kritickým významem pro hospodářskou bezpečnost EU za účelem dalšího posouzení rizik s členskými státy, C(2023) 6689 ze dne 3. října 2023 (</w:t>
      </w:r>
      <w:hyperlink r:id="rId32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).</w:t>
      </w:r>
      <w:r w:rsidRPr="002C2B4F">
        <w:rPr>
          <w:lang w:val="de-DE"/>
        </w:rPr>
        <w:tab/>
      </w:r>
    </w:p>
  </w:footnote>
  <w:footnote w:id="30">
    <w:p w14:paraId="595E2A71" w14:textId="77777777" w:rsidR="00051D5E" w:rsidRPr="002C2B4F" w:rsidRDefault="00051D5E" w:rsidP="00051D5E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Směrnice Evropského parlamentu a Rady (EU) 2016/801 ze dne 11. května 2016 o podmínkách vstupu a pobytu státních příslušníků třetích zemí za účelem výzkumu, studia, stáže, dobrovolnické služby, programů výměnných pobytů žáků či vzdělávacích projektů a činnosti au-pair (</w:t>
      </w:r>
      <w:hyperlink r:id="rId33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).</w:t>
      </w:r>
    </w:p>
  </w:footnote>
  <w:footnote w:id="31">
    <w:p w14:paraId="0C8F2292" w14:textId="77777777" w:rsidR="004D5C18" w:rsidRPr="002C2B4F" w:rsidRDefault="004D5C18" w:rsidP="004D5C18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</w:r>
      <w:r w:rsidRPr="002C2B4F">
        <w:rPr>
          <w:color w:val="000000"/>
          <w:shd w:val="clear" w:color="auto" w:fill="FFFFFF"/>
          <w:lang w:val="de-DE"/>
        </w:rPr>
        <w:t>Evropské středisko pro boj proti hybridním hrozbám je autonomní mezinárodní organizace pro boj proti hybridním hrozbám založená na využívání sítí, která byla založena v roce 2017 a sídlí v Helsinkách (</w:t>
      </w:r>
      <w:hyperlink r:id="rId34" w:history="1">
        <w:r w:rsidRPr="002C2B4F">
          <w:rPr>
            <w:rStyle w:val="Hyperlink"/>
            <w:shd w:val="clear" w:color="auto" w:fill="FFFFFF"/>
            <w:lang w:val="de-DE"/>
          </w:rPr>
          <w:t>odkaz</w:t>
        </w:r>
      </w:hyperlink>
      <w:r w:rsidRPr="002C2B4F">
        <w:rPr>
          <w:color w:val="000000"/>
          <w:shd w:val="clear" w:color="auto" w:fill="FFFFFF"/>
          <w:lang w:val="de-DE"/>
        </w:rPr>
        <w:t>).</w:t>
      </w:r>
    </w:p>
  </w:footnote>
  <w:footnote w:id="32">
    <w:p w14:paraId="6A2DF5A1" w14:textId="77777777" w:rsidR="004D5C18" w:rsidRPr="002C2B4F" w:rsidRDefault="004D5C18" w:rsidP="004D5C18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</w:r>
      <w:r w:rsidRPr="002C2B4F">
        <w:rPr>
          <w:color w:val="000000"/>
          <w:shd w:val="clear" w:color="auto" w:fill="FFFFFF"/>
          <w:lang w:val="de-DE"/>
        </w:rPr>
        <w:t>Agentura Evropské unie pro kybernetickou bezpečnost (ENISA) je agenturou Unie, jejímž úkolem je dosáhnout vysoké společné úrovně kybernetické bezpečnosti v celé Evropě (</w:t>
      </w:r>
      <w:hyperlink r:id="rId35" w:history="1">
        <w:r w:rsidRPr="002C2B4F">
          <w:rPr>
            <w:rStyle w:val="Hyperlink"/>
            <w:shd w:val="clear" w:color="auto" w:fill="FFFFFF"/>
            <w:lang w:val="de-DE"/>
          </w:rPr>
          <w:t>odkaz</w:t>
        </w:r>
      </w:hyperlink>
      <w:r w:rsidRPr="002C2B4F">
        <w:rPr>
          <w:color w:val="000000"/>
          <w:shd w:val="clear" w:color="auto" w:fill="FFFFFF"/>
          <w:lang w:val="de-DE"/>
        </w:rPr>
        <w:t>).</w:t>
      </w:r>
    </w:p>
  </w:footnote>
  <w:footnote w:id="33">
    <w:p w14:paraId="00352358" w14:textId="2A53A597" w:rsidR="007D0407" w:rsidRPr="002C2B4F" w:rsidRDefault="007D0407" w:rsidP="002F38BC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Doporučení Komise o technologických oblastech s kritickým významem pro hospodářskou bezpečnost EU za účelem dalšího posouzení rizik s členskými státy ze dne 3. října 2023 (</w:t>
      </w:r>
      <w:hyperlink r:id="rId36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).</w:t>
      </w:r>
    </w:p>
  </w:footnote>
  <w:footnote w:id="34">
    <w:p w14:paraId="11999221" w14:textId="77777777" w:rsidR="007353BF" w:rsidRPr="002C2B4F" w:rsidRDefault="007353BF" w:rsidP="007E5093">
      <w:pPr>
        <w:pStyle w:val="FootnoteText"/>
        <w:ind w:left="284" w:hanging="284"/>
        <w:rPr>
          <w:lang w:val="de-DE"/>
        </w:rPr>
      </w:pPr>
      <w:r>
        <w:rPr>
          <w:rStyle w:val="FootnoteReference"/>
        </w:rPr>
        <w:footnoteRef/>
      </w:r>
      <w:r w:rsidRPr="002C2B4F">
        <w:rPr>
          <w:lang w:val="de-DE"/>
        </w:rPr>
        <w:tab/>
        <w:t>Doporučení Komise o technologických oblastech s kritickým významem pro hospodářskou bezpečnost EU za účelem dalšího posouzení rizik s členskými státy ze dne 3. října 2023 (</w:t>
      </w:r>
      <w:hyperlink r:id="rId37" w:history="1">
        <w:r w:rsidRPr="002C2B4F">
          <w:rPr>
            <w:rStyle w:val="Hyperlink"/>
            <w:lang w:val="de-DE"/>
          </w:rPr>
          <w:t>odkaz</w:t>
        </w:r>
      </w:hyperlink>
      <w:r w:rsidRPr="002C2B4F">
        <w:rPr>
          <w:lang w:val="de-DE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645C" w14:textId="77777777" w:rsidR="00B93A77" w:rsidRDefault="00B93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346A" w14:textId="77777777" w:rsidR="00B93A77" w:rsidRDefault="00B93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2DC92B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4DA43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2D442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958A1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2003467711">
    <w:abstractNumId w:val="3"/>
  </w:num>
  <w:num w:numId="2" w16cid:durableId="1891989547">
    <w:abstractNumId w:val="2"/>
  </w:num>
  <w:num w:numId="3" w16cid:durableId="1833981193">
    <w:abstractNumId w:val="1"/>
  </w:num>
  <w:num w:numId="4" w16cid:durableId="172499969">
    <w:abstractNumId w:val="0"/>
  </w:num>
  <w:num w:numId="5" w16cid:durableId="470751022">
    <w:abstractNumId w:val="15"/>
    <w:lvlOverride w:ilvl="0">
      <w:startOverride w:val="1"/>
    </w:lvlOverride>
  </w:num>
  <w:num w:numId="6" w16cid:durableId="1618638978">
    <w:abstractNumId w:val="8"/>
    <w:lvlOverride w:ilvl="0">
      <w:startOverride w:val="1"/>
    </w:lvlOverride>
  </w:num>
  <w:num w:numId="7" w16cid:durableId="1971742340">
    <w:abstractNumId w:val="8"/>
    <w:lvlOverride w:ilvl="0">
      <w:startOverride w:val="1"/>
    </w:lvlOverride>
  </w:num>
  <w:num w:numId="8" w16cid:durableId="1164129148">
    <w:abstractNumId w:val="15"/>
  </w:num>
  <w:num w:numId="9" w16cid:durableId="1165242303">
    <w:abstractNumId w:val="8"/>
  </w:num>
  <w:num w:numId="10" w16cid:durableId="1088188756">
    <w:abstractNumId w:val="17"/>
  </w:num>
  <w:num w:numId="11" w16cid:durableId="117571586">
    <w:abstractNumId w:val="7"/>
  </w:num>
  <w:num w:numId="12" w16cid:durableId="2039970141">
    <w:abstractNumId w:val="9"/>
  </w:num>
  <w:num w:numId="13" w16cid:durableId="1445346129">
    <w:abstractNumId w:val="10"/>
  </w:num>
  <w:num w:numId="14" w16cid:durableId="1312098803">
    <w:abstractNumId w:val="5"/>
  </w:num>
  <w:num w:numId="15" w16cid:durableId="1987010023">
    <w:abstractNumId w:val="16"/>
  </w:num>
  <w:num w:numId="16" w16cid:durableId="1814835201">
    <w:abstractNumId w:val="4"/>
  </w:num>
  <w:num w:numId="17" w16cid:durableId="778988625">
    <w:abstractNumId w:val="11"/>
  </w:num>
  <w:num w:numId="18" w16cid:durableId="2095857733">
    <w:abstractNumId w:val="13"/>
  </w:num>
  <w:num w:numId="19" w16cid:durableId="622804519">
    <w:abstractNumId w:val="14"/>
  </w:num>
  <w:num w:numId="20" w16cid:durableId="247466147">
    <w:abstractNumId w:val="6"/>
  </w:num>
  <w:num w:numId="21" w16cid:durableId="485437008">
    <w:abstractNumId w:val="12"/>
  </w:num>
  <w:num w:numId="22" w16cid:durableId="1393504504">
    <w:abstractNumId w:val="18"/>
  </w:num>
  <w:num w:numId="23" w16cid:durableId="1318075840">
    <w:abstractNumId w:val="15"/>
  </w:num>
  <w:num w:numId="24" w16cid:durableId="1161458948">
    <w:abstractNumId w:val="8"/>
  </w:num>
  <w:num w:numId="25" w16cid:durableId="1248661104">
    <w:abstractNumId w:val="17"/>
  </w:num>
  <w:num w:numId="26" w16cid:durableId="51972599">
    <w:abstractNumId w:val="7"/>
  </w:num>
  <w:num w:numId="27" w16cid:durableId="1386176902">
    <w:abstractNumId w:val="9"/>
  </w:num>
  <w:num w:numId="28" w16cid:durableId="1899128517">
    <w:abstractNumId w:val="10"/>
  </w:num>
  <w:num w:numId="29" w16cid:durableId="1651128889">
    <w:abstractNumId w:val="5"/>
  </w:num>
  <w:num w:numId="30" w16cid:durableId="609508978">
    <w:abstractNumId w:val="16"/>
  </w:num>
  <w:num w:numId="31" w16cid:durableId="777725995">
    <w:abstractNumId w:val="4"/>
  </w:num>
  <w:num w:numId="32" w16cid:durableId="1250651003">
    <w:abstractNumId w:val="11"/>
  </w:num>
  <w:num w:numId="33" w16cid:durableId="1185708749">
    <w:abstractNumId w:val="13"/>
  </w:num>
  <w:num w:numId="34" w16cid:durableId="1293319119">
    <w:abstractNumId w:val="14"/>
  </w:num>
  <w:num w:numId="35" w16cid:durableId="820004328">
    <w:abstractNumId w:val="6"/>
  </w:num>
  <w:num w:numId="36" w16cid:durableId="980773106">
    <w:abstractNumId w:val="12"/>
  </w:num>
  <w:num w:numId="37" w16cid:durableId="1927884234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R_RefLast" w:val="0"/>
    <w:docVar w:name="DQCDateTime" w:val="2024-02-16 17:04:26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913A2AF0-5644-4391-982C-DD23E3F1B9ED"/>
    <w:docVar w:name="LW_COVERPAGE_TYPE" w:val="1"/>
    <w:docVar w:name="LW_CROSSREFERENCE" w:val="&lt;UNUSED&gt;"/>
    <w:docVar w:name="LW_DocType" w:val="COM"/>
    <w:docVar w:name="LW_EMISSION" w:val="24.1.2024"/>
    <w:docVar w:name="LW_EMISSION_ISODATE" w:val="2024-01-24"/>
    <w:docVar w:name="LW_EMISSION_LOCATION" w:val="BRX"/>
    <w:docVar w:name="LW_EMISSION_PREFIX" w:val="V Bruselu dne "/>
    <w:docVar w:name="LW_EMISSION_SUFFIX" w:val=" "/>
    <w:docVar w:name="LW_ID_DOCMODEL" w:val="SJ-022"/>
    <w:docVar w:name="LW_ID_DOCSIGNATURE" w:val="SJ-022"/>
    <w:docVar w:name="LW_ID_DOCSTRUCTURE" w:val="COM/PL/ORG"/>
    <w:docVar w:name="LW_ID_DOCTYPE" w:val="SJ-022"/>
    <w:docVar w:name="LW_ID_STATUT" w:val="SJ-022"/>
    <w:docVar w:name="LW_INSERT_EXP.MOTIFS.NEW" w:val="1"/>
    <w:docVar w:name="LW_INTERETEEE.CP" w:val="&lt;UNUSED&gt;"/>
    <w:docVar w:name="LW_LANGUE" w:val="CS"/>
    <w:docVar w:name="LW_LEVEL_OF_SENSITIVITY" w:val="Standard treatment"/>
    <w:docVar w:name="LW_NOM.INST" w:val="EVROPSKÁ KOMISE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12"/>
    <w:docVar w:name="LW_REF.II.NEW.CP_YEAR" w:val="2024"/>
    <w:docVar w:name="LW_REF.INST.NEW" w:val="COM"/>
    <w:docVar w:name="LW_REF.INST.NEW_ADOPTED" w:val="final"/>
    <w:docVar w:name="LW_REF.INST.NEW_TEXT" w:val="(2024) 2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Návrh"/>
    <w:docVar w:name="LW_SUPERTITRE" w:val="&lt;UNUSED&gt;"/>
    <w:docVar w:name="LW_TITRE.OBJ.CP" w:val="o posílení bezpe\u269?nosti výzkumu"/>
    <w:docVar w:name="LW_TYPE.DOC.CP" w:val="DOPORU\u268?ENÍ RADY"/>
    <w:docVar w:name="LwApiVersions" w:val="LW4CoDe 1.24.4.0; LW 9.0, Build 20240125"/>
  </w:docVars>
  <w:rsids>
    <w:rsidRoot w:val="00E701ED"/>
    <w:rsid w:val="0000288B"/>
    <w:rsid w:val="00012AF0"/>
    <w:rsid w:val="00016FEB"/>
    <w:rsid w:val="0002483F"/>
    <w:rsid w:val="000260E6"/>
    <w:rsid w:val="000411DF"/>
    <w:rsid w:val="00044B3B"/>
    <w:rsid w:val="00051D5E"/>
    <w:rsid w:val="00056CA7"/>
    <w:rsid w:val="00064F7B"/>
    <w:rsid w:val="00066F3E"/>
    <w:rsid w:val="00073628"/>
    <w:rsid w:val="00074DF6"/>
    <w:rsid w:val="00082241"/>
    <w:rsid w:val="000846CE"/>
    <w:rsid w:val="00086955"/>
    <w:rsid w:val="00097257"/>
    <w:rsid w:val="000A45F5"/>
    <w:rsid w:val="000A69FA"/>
    <w:rsid w:val="000B3DEA"/>
    <w:rsid w:val="000B4CFE"/>
    <w:rsid w:val="000B6061"/>
    <w:rsid w:val="000C1393"/>
    <w:rsid w:val="000C13DC"/>
    <w:rsid w:val="000C26DE"/>
    <w:rsid w:val="000C2829"/>
    <w:rsid w:val="000C317E"/>
    <w:rsid w:val="000C3B3D"/>
    <w:rsid w:val="000C5386"/>
    <w:rsid w:val="000C5919"/>
    <w:rsid w:val="000C77B1"/>
    <w:rsid w:val="000D0F76"/>
    <w:rsid w:val="000D199D"/>
    <w:rsid w:val="000D2400"/>
    <w:rsid w:val="000D2754"/>
    <w:rsid w:val="000D37F6"/>
    <w:rsid w:val="000D73AE"/>
    <w:rsid w:val="000D7887"/>
    <w:rsid w:val="000E0B99"/>
    <w:rsid w:val="000E1473"/>
    <w:rsid w:val="00103CEE"/>
    <w:rsid w:val="001065F5"/>
    <w:rsid w:val="00107438"/>
    <w:rsid w:val="0011314D"/>
    <w:rsid w:val="00114D18"/>
    <w:rsid w:val="001238EF"/>
    <w:rsid w:val="00123EA1"/>
    <w:rsid w:val="00125D96"/>
    <w:rsid w:val="001322C0"/>
    <w:rsid w:val="00133FC8"/>
    <w:rsid w:val="00135BEA"/>
    <w:rsid w:val="001470E2"/>
    <w:rsid w:val="001550DA"/>
    <w:rsid w:val="00172BBB"/>
    <w:rsid w:val="00190578"/>
    <w:rsid w:val="00195D83"/>
    <w:rsid w:val="00197613"/>
    <w:rsid w:val="001A1724"/>
    <w:rsid w:val="001C41A2"/>
    <w:rsid w:val="001D021D"/>
    <w:rsid w:val="001D0503"/>
    <w:rsid w:val="001D7B5A"/>
    <w:rsid w:val="001E3938"/>
    <w:rsid w:val="001E77FE"/>
    <w:rsid w:val="001F120F"/>
    <w:rsid w:val="001F784B"/>
    <w:rsid w:val="00202782"/>
    <w:rsid w:val="00215457"/>
    <w:rsid w:val="002179A5"/>
    <w:rsid w:val="00217B06"/>
    <w:rsid w:val="00220052"/>
    <w:rsid w:val="002203CB"/>
    <w:rsid w:val="00223204"/>
    <w:rsid w:val="0023336F"/>
    <w:rsid w:val="00233DC7"/>
    <w:rsid w:val="0024416D"/>
    <w:rsid w:val="0024666A"/>
    <w:rsid w:val="00247779"/>
    <w:rsid w:val="0025747C"/>
    <w:rsid w:val="00266A33"/>
    <w:rsid w:val="0027108B"/>
    <w:rsid w:val="00271EA8"/>
    <w:rsid w:val="0027627E"/>
    <w:rsid w:val="0028458A"/>
    <w:rsid w:val="00285852"/>
    <w:rsid w:val="00285BEE"/>
    <w:rsid w:val="002876FF"/>
    <w:rsid w:val="00292201"/>
    <w:rsid w:val="002939F2"/>
    <w:rsid w:val="0029533F"/>
    <w:rsid w:val="002A1184"/>
    <w:rsid w:val="002B30AF"/>
    <w:rsid w:val="002B4CCE"/>
    <w:rsid w:val="002C2B4F"/>
    <w:rsid w:val="002C2BA6"/>
    <w:rsid w:val="002D1D5B"/>
    <w:rsid w:val="002D6C3A"/>
    <w:rsid w:val="002E1476"/>
    <w:rsid w:val="002F2FAF"/>
    <w:rsid w:val="002F38BC"/>
    <w:rsid w:val="002F4704"/>
    <w:rsid w:val="002F5831"/>
    <w:rsid w:val="002F6315"/>
    <w:rsid w:val="002F6593"/>
    <w:rsid w:val="002F7D1D"/>
    <w:rsid w:val="003059F2"/>
    <w:rsid w:val="00307A70"/>
    <w:rsid w:val="0031702E"/>
    <w:rsid w:val="00327EE1"/>
    <w:rsid w:val="0033344A"/>
    <w:rsid w:val="00341CA2"/>
    <w:rsid w:val="00343749"/>
    <w:rsid w:val="003438B6"/>
    <w:rsid w:val="00343D9B"/>
    <w:rsid w:val="00344876"/>
    <w:rsid w:val="003560C5"/>
    <w:rsid w:val="00365015"/>
    <w:rsid w:val="0037037B"/>
    <w:rsid w:val="0037420E"/>
    <w:rsid w:val="003742DA"/>
    <w:rsid w:val="00381BF0"/>
    <w:rsid w:val="00386777"/>
    <w:rsid w:val="003A0CF4"/>
    <w:rsid w:val="003A1E31"/>
    <w:rsid w:val="003A37FD"/>
    <w:rsid w:val="003A3E1C"/>
    <w:rsid w:val="003A7D27"/>
    <w:rsid w:val="003C2791"/>
    <w:rsid w:val="003C37A0"/>
    <w:rsid w:val="003C7D38"/>
    <w:rsid w:val="003E0448"/>
    <w:rsid w:val="003E2532"/>
    <w:rsid w:val="003E31B9"/>
    <w:rsid w:val="003E39AC"/>
    <w:rsid w:val="003F01A0"/>
    <w:rsid w:val="003F0A6D"/>
    <w:rsid w:val="003F15EE"/>
    <w:rsid w:val="003F236F"/>
    <w:rsid w:val="003F2551"/>
    <w:rsid w:val="00400742"/>
    <w:rsid w:val="00402BE4"/>
    <w:rsid w:val="00405D01"/>
    <w:rsid w:val="00412D04"/>
    <w:rsid w:val="0041316A"/>
    <w:rsid w:val="00421805"/>
    <w:rsid w:val="0042296F"/>
    <w:rsid w:val="0042648E"/>
    <w:rsid w:val="00427168"/>
    <w:rsid w:val="004306D7"/>
    <w:rsid w:val="00437480"/>
    <w:rsid w:val="00441182"/>
    <w:rsid w:val="00446612"/>
    <w:rsid w:val="004469A7"/>
    <w:rsid w:val="00447548"/>
    <w:rsid w:val="0045289A"/>
    <w:rsid w:val="00457ECD"/>
    <w:rsid w:val="004645F6"/>
    <w:rsid w:val="00465196"/>
    <w:rsid w:val="00465292"/>
    <w:rsid w:val="004823DA"/>
    <w:rsid w:val="00491D78"/>
    <w:rsid w:val="004936D2"/>
    <w:rsid w:val="00495706"/>
    <w:rsid w:val="004A1F14"/>
    <w:rsid w:val="004A3D71"/>
    <w:rsid w:val="004B295F"/>
    <w:rsid w:val="004C461E"/>
    <w:rsid w:val="004D3492"/>
    <w:rsid w:val="004D5C18"/>
    <w:rsid w:val="004D66BB"/>
    <w:rsid w:val="004D683F"/>
    <w:rsid w:val="004D7695"/>
    <w:rsid w:val="004D7F84"/>
    <w:rsid w:val="004E5B32"/>
    <w:rsid w:val="004F0E17"/>
    <w:rsid w:val="004F551D"/>
    <w:rsid w:val="004F6787"/>
    <w:rsid w:val="004F68B7"/>
    <w:rsid w:val="004F79B9"/>
    <w:rsid w:val="00500F32"/>
    <w:rsid w:val="0050701F"/>
    <w:rsid w:val="00507105"/>
    <w:rsid w:val="005072FB"/>
    <w:rsid w:val="00512D4C"/>
    <w:rsid w:val="00521212"/>
    <w:rsid w:val="005227D0"/>
    <w:rsid w:val="00523BD5"/>
    <w:rsid w:val="00524F0D"/>
    <w:rsid w:val="00531E29"/>
    <w:rsid w:val="005322F3"/>
    <w:rsid w:val="005452B1"/>
    <w:rsid w:val="00547A94"/>
    <w:rsid w:val="00550AC7"/>
    <w:rsid w:val="00552598"/>
    <w:rsid w:val="005572ED"/>
    <w:rsid w:val="00585963"/>
    <w:rsid w:val="00594423"/>
    <w:rsid w:val="005967C6"/>
    <w:rsid w:val="00597DFE"/>
    <w:rsid w:val="005A289A"/>
    <w:rsid w:val="005A5F6D"/>
    <w:rsid w:val="005A68BF"/>
    <w:rsid w:val="005B095A"/>
    <w:rsid w:val="005B1EB6"/>
    <w:rsid w:val="005B2381"/>
    <w:rsid w:val="005C0A63"/>
    <w:rsid w:val="005C0B9A"/>
    <w:rsid w:val="005D5C67"/>
    <w:rsid w:val="005D7CEE"/>
    <w:rsid w:val="005E3710"/>
    <w:rsid w:val="0060614D"/>
    <w:rsid w:val="00610F4A"/>
    <w:rsid w:val="0061713D"/>
    <w:rsid w:val="00617AAF"/>
    <w:rsid w:val="00627974"/>
    <w:rsid w:val="00634B70"/>
    <w:rsid w:val="006350C8"/>
    <w:rsid w:val="00666415"/>
    <w:rsid w:val="0067418B"/>
    <w:rsid w:val="00687587"/>
    <w:rsid w:val="00687E0B"/>
    <w:rsid w:val="0069096E"/>
    <w:rsid w:val="0069171B"/>
    <w:rsid w:val="00693698"/>
    <w:rsid w:val="00695CEC"/>
    <w:rsid w:val="006A068B"/>
    <w:rsid w:val="006A5A0A"/>
    <w:rsid w:val="006B32B9"/>
    <w:rsid w:val="006B51C0"/>
    <w:rsid w:val="006B79A5"/>
    <w:rsid w:val="006B7E51"/>
    <w:rsid w:val="006C2C30"/>
    <w:rsid w:val="006C5793"/>
    <w:rsid w:val="006D2B34"/>
    <w:rsid w:val="006D2E0F"/>
    <w:rsid w:val="006F7354"/>
    <w:rsid w:val="00702523"/>
    <w:rsid w:val="0070314A"/>
    <w:rsid w:val="0070570C"/>
    <w:rsid w:val="00706106"/>
    <w:rsid w:val="00714AD7"/>
    <w:rsid w:val="00720D83"/>
    <w:rsid w:val="00725D92"/>
    <w:rsid w:val="007326C0"/>
    <w:rsid w:val="007353BF"/>
    <w:rsid w:val="00735A4E"/>
    <w:rsid w:val="00742071"/>
    <w:rsid w:val="00754577"/>
    <w:rsid w:val="00756900"/>
    <w:rsid w:val="0077252C"/>
    <w:rsid w:val="00773331"/>
    <w:rsid w:val="0078010B"/>
    <w:rsid w:val="00786346"/>
    <w:rsid w:val="00790D03"/>
    <w:rsid w:val="007932EF"/>
    <w:rsid w:val="007A6545"/>
    <w:rsid w:val="007B106C"/>
    <w:rsid w:val="007C0CFE"/>
    <w:rsid w:val="007C17E9"/>
    <w:rsid w:val="007D0407"/>
    <w:rsid w:val="007D0955"/>
    <w:rsid w:val="007D6C09"/>
    <w:rsid w:val="007D735D"/>
    <w:rsid w:val="007E05B0"/>
    <w:rsid w:val="007E4458"/>
    <w:rsid w:val="007E5093"/>
    <w:rsid w:val="007E5243"/>
    <w:rsid w:val="00805FAF"/>
    <w:rsid w:val="00807D9F"/>
    <w:rsid w:val="008153C7"/>
    <w:rsid w:val="00820A33"/>
    <w:rsid w:val="00820CAD"/>
    <w:rsid w:val="00821662"/>
    <w:rsid w:val="008224D3"/>
    <w:rsid w:val="00830AF1"/>
    <w:rsid w:val="00830B10"/>
    <w:rsid w:val="00833480"/>
    <w:rsid w:val="0083394E"/>
    <w:rsid w:val="00833BB3"/>
    <w:rsid w:val="0083468D"/>
    <w:rsid w:val="0084308E"/>
    <w:rsid w:val="00850BE3"/>
    <w:rsid w:val="0086194F"/>
    <w:rsid w:val="0086757A"/>
    <w:rsid w:val="00874D22"/>
    <w:rsid w:val="00876D77"/>
    <w:rsid w:val="00881B10"/>
    <w:rsid w:val="00882DEC"/>
    <w:rsid w:val="00886A43"/>
    <w:rsid w:val="0089631F"/>
    <w:rsid w:val="008A0D1A"/>
    <w:rsid w:val="008A2914"/>
    <w:rsid w:val="008B0995"/>
    <w:rsid w:val="008B0C9A"/>
    <w:rsid w:val="008B12DA"/>
    <w:rsid w:val="008B1392"/>
    <w:rsid w:val="008B5A0E"/>
    <w:rsid w:val="008B63E2"/>
    <w:rsid w:val="008B6AB2"/>
    <w:rsid w:val="008C0F43"/>
    <w:rsid w:val="008C4908"/>
    <w:rsid w:val="008C4D85"/>
    <w:rsid w:val="008D2392"/>
    <w:rsid w:val="008D6BA2"/>
    <w:rsid w:val="008E0035"/>
    <w:rsid w:val="008E4D8E"/>
    <w:rsid w:val="00903E1D"/>
    <w:rsid w:val="0090428B"/>
    <w:rsid w:val="009161E0"/>
    <w:rsid w:val="00923415"/>
    <w:rsid w:val="009679D4"/>
    <w:rsid w:val="009722C0"/>
    <w:rsid w:val="00972698"/>
    <w:rsid w:val="00973411"/>
    <w:rsid w:val="00974862"/>
    <w:rsid w:val="00984336"/>
    <w:rsid w:val="00984EDA"/>
    <w:rsid w:val="00985116"/>
    <w:rsid w:val="009A2444"/>
    <w:rsid w:val="009A401D"/>
    <w:rsid w:val="009A65D9"/>
    <w:rsid w:val="009A7D01"/>
    <w:rsid w:val="009B0785"/>
    <w:rsid w:val="009B194B"/>
    <w:rsid w:val="009C54BA"/>
    <w:rsid w:val="009E3479"/>
    <w:rsid w:val="009E594C"/>
    <w:rsid w:val="009E6B2E"/>
    <w:rsid w:val="009F735C"/>
    <w:rsid w:val="00A07510"/>
    <w:rsid w:val="00A07F41"/>
    <w:rsid w:val="00A138B4"/>
    <w:rsid w:val="00A17263"/>
    <w:rsid w:val="00A20F46"/>
    <w:rsid w:val="00A2302D"/>
    <w:rsid w:val="00A372B4"/>
    <w:rsid w:val="00A40F11"/>
    <w:rsid w:val="00A4277F"/>
    <w:rsid w:val="00A43DE7"/>
    <w:rsid w:val="00A44C8F"/>
    <w:rsid w:val="00A452D6"/>
    <w:rsid w:val="00A463BA"/>
    <w:rsid w:val="00A52E20"/>
    <w:rsid w:val="00A5364E"/>
    <w:rsid w:val="00A65940"/>
    <w:rsid w:val="00A67869"/>
    <w:rsid w:val="00A71A09"/>
    <w:rsid w:val="00A72214"/>
    <w:rsid w:val="00A9229E"/>
    <w:rsid w:val="00A94173"/>
    <w:rsid w:val="00AB4886"/>
    <w:rsid w:val="00AB76F8"/>
    <w:rsid w:val="00AC0632"/>
    <w:rsid w:val="00AC366F"/>
    <w:rsid w:val="00AC4660"/>
    <w:rsid w:val="00AC60D3"/>
    <w:rsid w:val="00AD7328"/>
    <w:rsid w:val="00AD7D2E"/>
    <w:rsid w:val="00AE2C37"/>
    <w:rsid w:val="00AF7376"/>
    <w:rsid w:val="00B0197E"/>
    <w:rsid w:val="00B03A89"/>
    <w:rsid w:val="00B15E87"/>
    <w:rsid w:val="00B21A93"/>
    <w:rsid w:val="00B246E3"/>
    <w:rsid w:val="00B429E9"/>
    <w:rsid w:val="00B42ACE"/>
    <w:rsid w:val="00B46835"/>
    <w:rsid w:val="00B54863"/>
    <w:rsid w:val="00B570B5"/>
    <w:rsid w:val="00B7504A"/>
    <w:rsid w:val="00B81479"/>
    <w:rsid w:val="00B93A77"/>
    <w:rsid w:val="00BA09CF"/>
    <w:rsid w:val="00BA5A14"/>
    <w:rsid w:val="00BA6207"/>
    <w:rsid w:val="00BB4078"/>
    <w:rsid w:val="00BB67A4"/>
    <w:rsid w:val="00BB6F15"/>
    <w:rsid w:val="00BC13BA"/>
    <w:rsid w:val="00BC63CD"/>
    <w:rsid w:val="00BE17B7"/>
    <w:rsid w:val="00BE4C16"/>
    <w:rsid w:val="00BF28E4"/>
    <w:rsid w:val="00BF3505"/>
    <w:rsid w:val="00BF4369"/>
    <w:rsid w:val="00C0549F"/>
    <w:rsid w:val="00C12301"/>
    <w:rsid w:val="00C3020A"/>
    <w:rsid w:val="00C30FD0"/>
    <w:rsid w:val="00C34A9C"/>
    <w:rsid w:val="00C44F1C"/>
    <w:rsid w:val="00C4656B"/>
    <w:rsid w:val="00C4676C"/>
    <w:rsid w:val="00C5156E"/>
    <w:rsid w:val="00C5543C"/>
    <w:rsid w:val="00C6167D"/>
    <w:rsid w:val="00C64C24"/>
    <w:rsid w:val="00C6792C"/>
    <w:rsid w:val="00C72BC4"/>
    <w:rsid w:val="00C855BB"/>
    <w:rsid w:val="00C934AB"/>
    <w:rsid w:val="00C94B26"/>
    <w:rsid w:val="00C96912"/>
    <w:rsid w:val="00CC5957"/>
    <w:rsid w:val="00CC6873"/>
    <w:rsid w:val="00CD1DE1"/>
    <w:rsid w:val="00CD4FDC"/>
    <w:rsid w:val="00CD7288"/>
    <w:rsid w:val="00CE4D3F"/>
    <w:rsid w:val="00CE7986"/>
    <w:rsid w:val="00CF5BCE"/>
    <w:rsid w:val="00CF6DD2"/>
    <w:rsid w:val="00D0114F"/>
    <w:rsid w:val="00D036B5"/>
    <w:rsid w:val="00D03ECF"/>
    <w:rsid w:val="00D16FE4"/>
    <w:rsid w:val="00D17AAC"/>
    <w:rsid w:val="00D200F6"/>
    <w:rsid w:val="00D20381"/>
    <w:rsid w:val="00D24E49"/>
    <w:rsid w:val="00D30E08"/>
    <w:rsid w:val="00D42972"/>
    <w:rsid w:val="00D474B9"/>
    <w:rsid w:val="00D53DC6"/>
    <w:rsid w:val="00D54070"/>
    <w:rsid w:val="00D66F07"/>
    <w:rsid w:val="00D808A6"/>
    <w:rsid w:val="00D82585"/>
    <w:rsid w:val="00D854A1"/>
    <w:rsid w:val="00D85FEB"/>
    <w:rsid w:val="00D96490"/>
    <w:rsid w:val="00DA1C24"/>
    <w:rsid w:val="00DB096B"/>
    <w:rsid w:val="00DC0CF0"/>
    <w:rsid w:val="00DC1775"/>
    <w:rsid w:val="00DC3797"/>
    <w:rsid w:val="00DC509E"/>
    <w:rsid w:val="00DC7CED"/>
    <w:rsid w:val="00DF1E08"/>
    <w:rsid w:val="00E00DEB"/>
    <w:rsid w:val="00E047C2"/>
    <w:rsid w:val="00E05E44"/>
    <w:rsid w:val="00E13429"/>
    <w:rsid w:val="00E13DF8"/>
    <w:rsid w:val="00E14D51"/>
    <w:rsid w:val="00E17AA7"/>
    <w:rsid w:val="00E225DC"/>
    <w:rsid w:val="00E22D03"/>
    <w:rsid w:val="00E25034"/>
    <w:rsid w:val="00E26B8A"/>
    <w:rsid w:val="00E3492D"/>
    <w:rsid w:val="00E35F18"/>
    <w:rsid w:val="00E36E65"/>
    <w:rsid w:val="00E428AB"/>
    <w:rsid w:val="00E445CF"/>
    <w:rsid w:val="00E451C4"/>
    <w:rsid w:val="00E516FB"/>
    <w:rsid w:val="00E556DA"/>
    <w:rsid w:val="00E55ED5"/>
    <w:rsid w:val="00E55FD7"/>
    <w:rsid w:val="00E57F54"/>
    <w:rsid w:val="00E60185"/>
    <w:rsid w:val="00E60739"/>
    <w:rsid w:val="00E67D2F"/>
    <w:rsid w:val="00E701ED"/>
    <w:rsid w:val="00E7030D"/>
    <w:rsid w:val="00E730DC"/>
    <w:rsid w:val="00E763B4"/>
    <w:rsid w:val="00E763B9"/>
    <w:rsid w:val="00E7694D"/>
    <w:rsid w:val="00E845C7"/>
    <w:rsid w:val="00EA7E61"/>
    <w:rsid w:val="00EB3F84"/>
    <w:rsid w:val="00EC1D57"/>
    <w:rsid w:val="00EC4AC2"/>
    <w:rsid w:val="00EC5E9B"/>
    <w:rsid w:val="00ED21C1"/>
    <w:rsid w:val="00ED4DBD"/>
    <w:rsid w:val="00EE0102"/>
    <w:rsid w:val="00EE266B"/>
    <w:rsid w:val="00EE3F3F"/>
    <w:rsid w:val="00EF7377"/>
    <w:rsid w:val="00F00EC8"/>
    <w:rsid w:val="00F05B27"/>
    <w:rsid w:val="00F126BA"/>
    <w:rsid w:val="00F23445"/>
    <w:rsid w:val="00F44008"/>
    <w:rsid w:val="00F47C02"/>
    <w:rsid w:val="00F53E79"/>
    <w:rsid w:val="00F669F6"/>
    <w:rsid w:val="00F66A33"/>
    <w:rsid w:val="00F751D7"/>
    <w:rsid w:val="00F86A76"/>
    <w:rsid w:val="00FA381D"/>
    <w:rsid w:val="00FA7DCF"/>
    <w:rsid w:val="00FB5883"/>
    <w:rsid w:val="00FC0DE0"/>
    <w:rsid w:val="00FC38F8"/>
    <w:rsid w:val="00FC6094"/>
    <w:rsid w:val="00FD0979"/>
    <w:rsid w:val="00FD3029"/>
    <w:rsid w:val="00FE203D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11B5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cs-CZ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30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30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30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627E"/>
    <w:pPr>
      <w:spacing w:before="100" w:beforeAutospacing="1" w:after="100" w:afterAutospacing="1"/>
      <w:jc w:val="left"/>
    </w:pPr>
    <w:rPr>
      <w:rFonts w:eastAsia="Times New Roman"/>
      <w:szCs w:val="24"/>
      <w:lang w:eastAsia="nl-NL"/>
    </w:rPr>
  </w:style>
  <w:style w:type="paragraph" w:styleId="ListParagraph">
    <w:name w:val="List Paragraph"/>
    <w:aliases w:val="No TOC,Dot pt,F5 List Paragraph,List Paragraph1,Paragraphe EI,Paragraphe de liste1,EC,Paragraphe de liste2,Colorful List Accent 1,Issue Action POC,3,POCG Table Text,List Paragraph Char Char Char,Indicator Text,Colorful List - Accent 11,L"/>
    <w:basedOn w:val="Normal"/>
    <w:link w:val="ListParagraphChar"/>
    <w:uiPriority w:val="34"/>
    <w:qFormat/>
    <w:rsid w:val="008C4908"/>
    <w:pPr>
      <w:spacing w:before="0" w:after="0"/>
      <w:ind w:left="720"/>
      <w:contextualSpacing/>
      <w:jc w:val="left"/>
    </w:pPr>
    <w:rPr>
      <w:rFonts w:asciiTheme="minorHAnsi" w:hAnsiTheme="minorHAnsi" w:cstheme="minorBidi"/>
      <w:kern w:val="2"/>
      <w:szCs w:val="24"/>
      <w14:ligatures w14:val="standardContextual"/>
    </w:rPr>
  </w:style>
  <w:style w:type="character" w:styleId="Hyperlink">
    <w:name w:val="Hyperlink"/>
    <w:uiPriority w:val="99"/>
    <w:unhideWhenUsed/>
    <w:rsid w:val="00064F7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9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2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BBB"/>
    <w:rPr>
      <w:rFonts w:ascii="Times New Roman" w:hAnsi="Times New Roman"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BBB"/>
    <w:rPr>
      <w:rFonts w:ascii="Times New Roman" w:hAnsi="Times New Roman" w:cs="Times New Roman"/>
      <w:b/>
      <w:bCs/>
      <w:sz w:val="20"/>
      <w:szCs w:val="20"/>
      <w:lang w:val="cs-CZ"/>
    </w:rPr>
  </w:style>
  <w:style w:type="paragraph" w:styleId="Revision">
    <w:name w:val="Revision"/>
    <w:hidden/>
    <w:uiPriority w:val="99"/>
    <w:semiHidden/>
    <w:rsid w:val="00172BB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cf01">
    <w:name w:val="cf01"/>
    <w:basedOn w:val="DefaultParagraphFont"/>
    <w:rsid w:val="008D6BA2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No TOC Char,Dot pt Char,F5 List Paragraph Char,List Paragraph1 Char,Paragraphe EI Char,Paragraphe de liste1 Char,EC Char,Paragraphe de liste2 Char,Colorful List Accent 1 Char,Issue Action POC Char,3 Char,POCG Table Text Char,L Char"/>
    <w:basedOn w:val="DefaultParagraphFont"/>
    <w:link w:val="ListParagraph"/>
    <w:uiPriority w:val="34"/>
    <w:qFormat/>
    <w:locked/>
    <w:rsid w:val="007353BF"/>
    <w:rPr>
      <w:kern w:val="2"/>
      <w:sz w:val="24"/>
      <w:szCs w:val="24"/>
      <w:lang w:val="cs-CZ"/>
      <w14:ligatures w14:val="standardContextual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qFormat/>
    <w:rsid w:val="007353BF"/>
    <w:pPr>
      <w:spacing w:before="0" w:afterLines="80" w:after="192" w:line="240" w:lineRule="exact"/>
    </w:pPr>
    <w:rPr>
      <w:rFonts w:asciiTheme="minorHAnsi" w:hAnsiTheme="minorHAnsi" w:cstheme="minorBidi"/>
      <w:sz w:val="22"/>
      <w:vertAlign w:val="superscript"/>
    </w:rPr>
  </w:style>
  <w:style w:type="paragraph" w:customStyle="1" w:styleId="pf0">
    <w:name w:val="pf0"/>
    <w:basedOn w:val="Normal"/>
    <w:rsid w:val="007353BF"/>
    <w:pPr>
      <w:spacing w:before="100" w:beforeAutospacing="1" w:after="100" w:afterAutospacing="1"/>
      <w:jc w:val="left"/>
    </w:pPr>
    <w:rPr>
      <w:rFonts w:eastAsia="Times New Roman"/>
      <w:szCs w:val="24"/>
      <w:lang w:eastAsia="en-IE"/>
    </w:rPr>
  </w:style>
  <w:style w:type="paragraph" w:styleId="ListBullet">
    <w:name w:val="List Bullet"/>
    <w:basedOn w:val="Normal"/>
    <w:uiPriority w:val="99"/>
    <w:semiHidden/>
    <w:unhideWhenUsed/>
    <w:rsid w:val="00A6786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6786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6786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67869"/>
    <w:pPr>
      <w:numPr>
        <w:numId w:val="4"/>
      </w:numPr>
      <w:contextualSpacing/>
    </w:pPr>
  </w:style>
  <w:style w:type="character" w:styleId="Strong">
    <w:name w:val="Strong"/>
    <w:basedOn w:val="DefaultParagraphFont"/>
    <w:uiPriority w:val="22"/>
    <w:qFormat/>
    <w:rsid w:val="002C2B4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B93A77"/>
    <w:rPr>
      <w:rFonts w:ascii="Times New Roman" w:hAnsi="Times New Roman" w:cs="Times New Roman"/>
      <w:sz w:val="24"/>
      <w:lang w:val="cs-CZ"/>
    </w:rPr>
  </w:style>
  <w:style w:type="character" w:customStyle="1" w:styleId="FooterChar">
    <w:name w:val="Footer Char"/>
    <w:basedOn w:val="DefaultParagraphFont"/>
    <w:link w:val="Footer"/>
    <w:uiPriority w:val="99"/>
    <w:rsid w:val="00B93A77"/>
    <w:rPr>
      <w:rFonts w:ascii="Times New Roman" w:hAnsi="Times New Roman" w:cs="Times New Roman"/>
      <w:sz w:val="24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link w:val="FootnotesymbolCarZchn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B93A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B93A77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B93A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Tiret5">
    <w:name w:val="Tiret 5"/>
    <w:basedOn w:val="Point5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29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29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93A77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B93A77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B93A77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B93A77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5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5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nsf.gov/research-security" TargetMode="External"/><Relationship Id="rId18" Type="http://schemas.openxmlformats.org/officeDocument/2006/relationships/hyperlink" Target="https://eur-lex.europa.eu/legal-content/CS/TXT/?uri=CELEX:52016JC0018" TargetMode="External"/><Relationship Id="rId26" Type="http://schemas.openxmlformats.org/officeDocument/2006/relationships/hyperlink" Target="https://www.europarl.europa.eu/doceo/document/TA-9-2022-0064_CS.pdf" TargetMode="External"/><Relationship Id="rId21" Type="http://schemas.openxmlformats.org/officeDocument/2006/relationships/hyperlink" Target="https://eur-lex.europa.eu/eli/reg/2021/695/oj" TargetMode="External"/><Relationship Id="rId34" Type="http://schemas.openxmlformats.org/officeDocument/2006/relationships/hyperlink" Target="https://www.hybridcoe.fi/" TargetMode="External"/><Relationship Id="rId7" Type="http://schemas.openxmlformats.org/officeDocument/2006/relationships/hyperlink" Target="https://eur-lex.europa.eu/legal-content/CS/TXT/?uri=CELEX:52020DC0605" TargetMode="External"/><Relationship Id="rId12" Type="http://schemas.openxmlformats.org/officeDocument/2006/relationships/hyperlink" Target="https://www.science-diplomacy.eu/wp-content/uploads/2022/09/annotated-collection-2022.pdf" TargetMode="External"/><Relationship Id="rId17" Type="http://schemas.openxmlformats.org/officeDocument/2006/relationships/hyperlink" Target="https://research-and-innovation.ec.europa.eu/strategy/strategy-2020-2024/europe-world/international-cooperation/multilateral-dialogue-values-and-principles_en" TargetMode="External"/><Relationship Id="rId25" Type="http://schemas.openxmlformats.org/officeDocument/2006/relationships/hyperlink" Target="https://eur-lex.europa.eu/legal-content/CS/TXT/?uri=CELEX%3A52020DC0625" TargetMode="External"/><Relationship Id="rId33" Type="http://schemas.openxmlformats.org/officeDocument/2006/relationships/hyperlink" Target="https://eur-lex.europa.eu/eli/dir/2016/801/oj" TargetMode="External"/><Relationship Id="rId2" Type="http://schemas.openxmlformats.org/officeDocument/2006/relationships/hyperlink" Target="https://eur-lex.europa.eu/legal-content/CS/TXT/?uri=CELEX:52021DC0252" TargetMode="External"/><Relationship Id="rId16" Type="http://schemas.openxmlformats.org/officeDocument/2006/relationships/hyperlink" Target="https://science.gc.ca/site/science/en/safeguarding-your-research" TargetMode="External"/><Relationship Id="rId20" Type="http://schemas.openxmlformats.org/officeDocument/2006/relationships/hyperlink" Target="https://data.consilium.europa.eu/doc/document/ST-12301-2021-INIT/cs/pdf" TargetMode="External"/><Relationship Id="rId29" Type="http://schemas.openxmlformats.org/officeDocument/2006/relationships/hyperlink" Target="https://eur-lex.europa.eu/CS/legal-content/summary/dual-use-export-controls.html" TargetMode="External"/><Relationship Id="rId1" Type="http://schemas.openxmlformats.org/officeDocument/2006/relationships/hyperlink" Target="https://eur-lex.europa.eu/legal-content/CS/TXT/?uri=CELEX:52023JC0020" TargetMode="External"/><Relationship Id="rId6" Type="http://schemas.openxmlformats.org/officeDocument/2006/relationships/hyperlink" Target="https://defence-industry-space.ec.europa.eu/system/files/2023-10/C_2023_6689_1_EN_ACT_part1_v8.pdf" TargetMode="External"/><Relationship Id="rId11" Type="http://schemas.openxmlformats.org/officeDocument/2006/relationships/hyperlink" Target="https://eur-lex.europa.eu/legal-content/CS/TXT/?uri=CELEX:52023DC0630" TargetMode="External"/><Relationship Id="rId24" Type="http://schemas.openxmlformats.org/officeDocument/2006/relationships/hyperlink" Target="https://eur-lex.europa.eu/legal-content/CS/TXT/?uri=COM:2022:16:FIN" TargetMode="External"/><Relationship Id="rId32" Type="http://schemas.openxmlformats.org/officeDocument/2006/relationships/hyperlink" Target="https://defence-industry-space.ec.europa.eu/system/files/2023-10/C_2023_6689_1_EN_ACT_part1_v8.pdf" TargetMode="External"/><Relationship Id="rId37" Type="http://schemas.openxmlformats.org/officeDocument/2006/relationships/hyperlink" Target="https://defence-industry-space.ec.europa.eu/commission-recommendation-03-october-2023-critical-technology-areas-eus-economic-security-further_en" TargetMode="External"/><Relationship Id="rId5" Type="http://schemas.openxmlformats.org/officeDocument/2006/relationships/hyperlink" Target="https://www.europarl.europa.eu/doceo/document/TA-9-2022-0112_CS.html" TargetMode="External"/><Relationship Id="rId15" Type="http://schemas.openxmlformats.org/officeDocument/2006/relationships/hyperlink" Target="https://www.education.gov.au/guidelines-counter-foreign-interference-australian-university-sector" TargetMode="External"/><Relationship Id="rId23" Type="http://schemas.openxmlformats.org/officeDocument/2006/relationships/hyperlink" Target="https://data.europa.eu/doi/10.2777/513746" TargetMode="External"/><Relationship Id="rId28" Type="http://schemas.openxmlformats.org/officeDocument/2006/relationships/hyperlink" Target="https://data.consilium.europa.eu/doc/document/ST-7371-2022-INIT/cs/pdf" TargetMode="External"/><Relationship Id="rId36" Type="http://schemas.openxmlformats.org/officeDocument/2006/relationships/hyperlink" Target="https://defence-industry-space.ec.europa.eu/commission-recommendation-03-october-2023-critical-technology-areas-eus-economic-security-further_en" TargetMode="External"/><Relationship Id="rId10" Type="http://schemas.openxmlformats.org/officeDocument/2006/relationships/hyperlink" Target="https://eur-lex.europa.eu/legal-content/CS/TXT/PDF/?uri=CELEX:32021H1700" TargetMode="External"/><Relationship Id="rId19" Type="http://schemas.openxmlformats.org/officeDocument/2006/relationships/hyperlink" Target="https://eur-lex.europa.eu/legal-content/CS/TXT/?uri=CELEX:52021DC0252" TargetMode="External"/><Relationship Id="rId31" Type="http://schemas.openxmlformats.org/officeDocument/2006/relationships/hyperlink" Target="https://eur-lex.europa.eu/legal-content/CS/TXT/?uri=CELEX:52023JC0020" TargetMode="External"/><Relationship Id="rId4" Type="http://schemas.openxmlformats.org/officeDocument/2006/relationships/hyperlink" Target="https://data.europa.eu/doi/10.2777/513746" TargetMode="External"/><Relationship Id="rId9" Type="http://schemas.openxmlformats.org/officeDocument/2006/relationships/hyperlink" Target="https://eur-lex.europa.eu/CS/legal-content/summary/dual-use-export-controls.html" TargetMode="External"/><Relationship Id="rId14" Type="http://schemas.openxmlformats.org/officeDocument/2006/relationships/hyperlink" Target="https://www.ukri.org/manage-your-award/good-research-resource-hub/trusted-research-and-innovation/" TargetMode="External"/><Relationship Id="rId22" Type="http://schemas.openxmlformats.org/officeDocument/2006/relationships/hyperlink" Target="https://data.consilium.europa.eu/doc/document/ST-14308-2021-INIT/cs/pdf" TargetMode="External"/><Relationship Id="rId27" Type="http://schemas.openxmlformats.org/officeDocument/2006/relationships/hyperlink" Target="https://eur-lex.europa.eu/legal-content/CS/TXT/?uri=CELEX:52020DC0605" TargetMode="External"/><Relationship Id="rId30" Type="http://schemas.openxmlformats.org/officeDocument/2006/relationships/hyperlink" Target="https://eur-lex.europa.eu/legal-content/CS/TXT/PDF/?uri=CELEX:32021H1700" TargetMode="External"/><Relationship Id="rId35" Type="http://schemas.openxmlformats.org/officeDocument/2006/relationships/hyperlink" Target="https://www.enisa.europa.eu/" TargetMode="External"/><Relationship Id="rId8" Type="http://schemas.openxmlformats.org/officeDocument/2006/relationships/hyperlink" Target="https://data.consilium.europa.eu/doc/document/ST-7371-2022-INIT/cs/pdf" TargetMode="External"/><Relationship Id="rId3" Type="http://schemas.openxmlformats.org/officeDocument/2006/relationships/hyperlink" Target="https://data.consilium.europa.eu/doc/document/ST-12301-2021-INIT/cs/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162E80-6CF0-406E-8ED6-14D696CB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19</Pages>
  <Words>6634</Words>
  <Characters>41065</Characters>
  <Application>Microsoft Office Word</Application>
  <DocSecurity>0</DocSecurity>
  <Lines>684</Lines>
  <Paragraphs>203</Paragraphs>
  <ScaleCrop>false</ScaleCrop>
  <Manager/>
  <Company/>
  <LinksUpToDate>false</LinksUpToDate>
  <CharactersWithSpaces>47496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2024-01-21T21:21:00Z</dcterms:created>
  <dcterms:modified xsi:type="dcterms:W3CDTF">2024-02-16T16:41:00Z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2024-01-19T14:33:11Z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6b5b6a7b-1932-4426-be0d-e27ca5fba334</vt:lpwstr>
  </property>
  <property fmtid="{D5CDD505-2E9C-101B-9397-08002B2CF9AE}" pid="8" name="MSIP_Label_6bd9ddd1-4d20-43f6-abfa-fc3c07406f94_ContentBits">
    <vt:lpwstr>0</vt:lpwstr>
  </property>
  <property fmtid="{D5CDD505-2E9C-101B-9397-08002B2CF9AE}" pid="9" name="Level of sensitivity">
    <vt:lpwstr>Standard treatment</vt:lpwstr>
  </property>
  <property fmtid="{D5CDD505-2E9C-101B-9397-08002B2CF9AE}" pid="10" name="Category">
    <vt:lpwstr>COM/PL/ORG</vt:lpwstr>
  </property>
  <property fmtid="{D5CDD505-2E9C-101B-9397-08002B2CF9AE}" pid="11" name="Last edited using">
    <vt:lpwstr>LW 9.0, Build 20230317</vt:lpwstr>
  </property>
  <property fmtid="{D5CDD505-2E9C-101B-9397-08002B2CF9AE}" pid="12" name="Part">
    <vt:lpwstr>1</vt:lpwstr>
  </property>
  <property fmtid="{D5CDD505-2E9C-101B-9397-08002B2CF9AE}" pid="13" name="Total parts">
    <vt:lpwstr>1</vt:lpwstr>
  </property>
  <property fmtid="{D5CDD505-2E9C-101B-9397-08002B2CF9AE}" pid="14" name="LWTemplateID">
    <vt:lpwstr>SJ-022</vt:lpwstr>
  </property>
  <property fmtid="{D5CDD505-2E9C-101B-9397-08002B2CF9AE}" pid="15" name="DQCStatus">
    <vt:lpwstr>Yellow (DQC version 03)</vt:lpwstr>
  </property>
</Properties>
</file>