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30" w:rsidRPr="005A513C" w:rsidRDefault="00A06F64" w:rsidP="00A06F64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FA38A145-F8A8-43A2-B79F-9482E5BEC29D" style="width:455.25pt;height:355.5pt">
            <v:imagedata r:id="rId7" o:title=""/>
          </v:shape>
        </w:pict>
      </w:r>
    </w:p>
    <w:p w:rsidR="00C04A30" w:rsidRPr="005A513C" w:rsidRDefault="00C04A30" w:rsidP="00C04A30">
      <w:pPr>
        <w:rPr>
          <w:noProof/>
        </w:rPr>
        <w:sectPr w:rsidR="00C04A30" w:rsidRPr="005A513C" w:rsidSect="00A06F64">
          <w:footerReference w:type="even" r:id="rId8"/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04A30" w:rsidRPr="005A513C" w:rsidRDefault="00C04A30" w:rsidP="00906AF2">
      <w:pPr>
        <w:pStyle w:val="Exposdesmotifstitre"/>
        <w:rPr>
          <w:noProof/>
        </w:rPr>
      </w:pPr>
      <w:bookmarkStart w:id="0" w:name="_GoBack"/>
      <w:bookmarkEnd w:id="0"/>
      <w:r w:rsidRPr="005A513C">
        <w:rPr>
          <w:noProof/>
        </w:rPr>
        <w:lastRenderedPageBreak/>
        <w:t>RELAZIONE</w:t>
      </w:r>
    </w:p>
    <w:p w:rsidR="00906AF2" w:rsidRPr="005A513C" w:rsidRDefault="00906AF2" w:rsidP="00E52E2E"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5A513C">
        <w:rPr>
          <w:noProof/>
        </w:rPr>
        <w:t>Il regolamento (CE) n.</w:t>
      </w:r>
      <w:r w:rsidR="00421EF9">
        <w:rPr>
          <w:noProof/>
        </w:rPr>
        <w:t> </w:t>
      </w:r>
      <w:r w:rsidRPr="005A513C">
        <w:rPr>
          <w:noProof/>
        </w:rPr>
        <w:t>147/2003 del Consiglio relativo a talune misure restrittive nei</w:t>
      </w:r>
      <w:r w:rsidR="00421EF9">
        <w:rPr>
          <w:noProof/>
        </w:rPr>
        <w:t> </w:t>
      </w:r>
      <w:r w:rsidRPr="005A513C">
        <w:rPr>
          <w:noProof/>
        </w:rPr>
        <w:t>confronti della Somalia limita la fornitura di finanziamenti, assistenza finanziaria e assistenza tecnica connessi con attività militari in relazione a beni e tecnologie che</w:t>
      </w:r>
      <w:r w:rsidR="00421EF9">
        <w:rPr>
          <w:noProof/>
        </w:rPr>
        <w:t> </w:t>
      </w:r>
      <w:r w:rsidRPr="005A513C">
        <w:rPr>
          <w:noProof/>
        </w:rPr>
        <w:t>figurano nell</w:t>
      </w:r>
      <w:r w:rsidR="00421EF9">
        <w:rPr>
          <w:noProof/>
        </w:rPr>
        <w:t>'</w:t>
      </w:r>
      <w:r w:rsidRPr="005A513C">
        <w:rPr>
          <w:noProof/>
        </w:rPr>
        <w:t>elenco comune delle attrezzature militari dell</w:t>
      </w:r>
      <w:r w:rsidR="00421EF9">
        <w:rPr>
          <w:noProof/>
        </w:rPr>
        <w:t>'</w:t>
      </w:r>
      <w:r w:rsidRPr="005A513C">
        <w:rPr>
          <w:noProof/>
        </w:rPr>
        <w:t>Unione europea a qualsiasi persona, entità od organismo della Somalia. Limita inoltre la fornitura alla Somalia di beni che possono contribuire alla fabbricazione di ordigni esplosivi improvvisati.</w:t>
      </w:r>
    </w:p>
    <w:p w:rsidR="00D5799A" w:rsidRPr="005A513C" w:rsidRDefault="00D5799A" w:rsidP="00E52E2E"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5A513C">
        <w:rPr>
          <w:noProof/>
        </w:rPr>
        <w:t>Il 1</w:t>
      </w:r>
      <w:r w:rsidRPr="005A513C">
        <w:rPr>
          <w:noProof/>
          <w:vertAlign w:val="superscript"/>
        </w:rPr>
        <w:t>o</w:t>
      </w:r>
      <w:r w:rsidR="00421EF9">
        <w:rPr>
          <w:noProof/>
        </w:rPr>
        <w:t> </w:t>
      </w:r>
      <w:r w:rsidRPr="005A513C">
        <w:rPr>
          <w:noProof/>
        </w:rPr>
        <w:t>dicembre</w:t>
      </w:r>
      <w:r w:rsidR="00421EF9">
        <w:rPr>
          <w:noProof/>
        </w:rPr>
        <w:t> </w:t>
      </w:r>
      <w:r w:rsidRPr="005A513C">
        <w:rPr>
          <w:noProof/>
        </w:rPr>
        <w:t>2023 il Consiglio di sicurezza delle Nazioni Unite ha adottato la risoluzione 2713</w:t>
      </w:r>
      <w:r w:rsidR="00421EF9">
        <w:rPr>
          <w:noProof/>
        </w:rPr>
        <w:t> </w:t>
      </w:r>
      <w:r w:rsidRPr="005A513C">
        <w:rPr>
          <w:noProof/>
        </w:rPr>
        <w:t>(2023). La risoluzione decreta l</w:t>
      </w:r>
      <w:r w:rsidR="00421EF9">
        <w:rPr>
          <w:noProof/>
        </w:rPr>
        <w:t>'</w:t>
      </w:r>
      <w:r w:rsidRPr="005A513C">
        <w:rPr>
          <w:noProof/>
        </w:rPr>
        <w:t>embargo generale e totale su tutte le</w:t>
      </w:r>
      <w:r w:rsidR="00421EF9">
        <w:rPr>
          <w:noProof/>
        </w:rPr>
        <w:t> </w:t>
      </w:r>
      <w:r w:rsidRPr="005A513C">
        <w:rPr>
          <w:noProof/>
        </w:rPr>
        <w:t>forniture di armi e materiale militare ad Al-Shabaab in Somalia, ridefinisce il</w:t>
      </w:r>
      <w:r w:rsidR="00421EF9">
        <w:rPr>
          <w:noProof/>
        </w:rPr>
        <w:t> </w:t>
      </w:r>
      <w:r w:rsidRPr="005A513C">
        <w:rPr>
          <w:noProof/>
        </w:rPr>
        <w:t>comitato delle sanzioni, modifica l</w:t>
      </w:r>
      <w:r w:rsidR="00421EF9">
        <w:rPr>
          <w:noProof/>
        </w:rPr>
        <w:t>'</w:t>
      </w:r>
      <w:r w:rsidRPr="005A513C">
        <w:rPr>
          <w:noProof/>
        </w:rPr>
        <w:t>ambito di applicazione delle esenzioni dall</w:t>
      </w:r>
      <w:r w:rsidR="00421EF9">
        <w:rPr>
          <w:noProof/>
        </w:rPr>
        <w:t>'</w:t>
      </w:r>
      <w:r w:rsidRPr="005A513C">
        <w:rPr>
          <w:noProof/>
        </w:rPr>
        <w:t>embargo sulle armi e sui finanziamenti, assistenza finanziaria e assistenza tecnica connessi nei confronti di determinati beneficiari in Somalia e ritocca il divieto dei componenti di ordigni esplosivi improvvisati.</w:t>
      </w:r>
    </w:p>
    <w:p w:rsidR="00D5799A" w:rsidRPr="005A513C" w:rsidRDefault="00D5799A" w:rsidP="00E52E2E"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5A513C">
        <w:rPr>
          <w:noProof/>
        </w:rPr>
        <w:t>Il 1º</w:t>
      </w:r>
      <w:r w:rsidR="00421EF9">
        <w:rPr>
          <w:noProof/>
        </w:rPr>
        <w:t> </w:t>
      </w:r>
      <w:r w:rsidRPr="005A513C">
        <w:rPr>
          <w:noProof/>
        </w:rPr>
        <w:t>dicembre</w:t>
      </w:r>
      <w:r w:rsidR="00421EF9">
        <w:rPr>
          <w:noProof/>
        </w:rPr>
        <w:t> </w:t>
      </w:r>
      <w:r w:rsidRPr="005A513C">
        <w:rPr>
          <w:noProof/>
        </w:rPr>
        <w:t>2023 il Consiglio di sicurezza delle Nazioni Unite ha adottato la risoluzione 2714</w:t>
      </w:r>
      <w:r w:rsidR="00421EF9">
        <w:rPr>
          <w:noProof/>
        </w:rPr>
        <w:t> </w:t>
      </w:r>
      <w:r w:rsidRPr="005A513C">
        <w:rPr>
          <w:noProof/>
        </w:rPr>
        <w:t>(2023). La risoluzione revoca l</w:t>
      </w:r>
      <w:r w:rsidR="00421EF9">
        <w:rPr>
          <w:noProof/>
        </w:rPr>
        <w:t>'</w:t>
      </w:r>
      <w:r w:rsidRPr="005A513C">
        <w:rPr>
          <w:noProof/>
        </w:rPr>
        <w:t>embargo sulle armi varato nei confronti della Repubblica federale di Somalia in forza della risoluzione 733 (1992) del Consiglio di sicurezza delle Nazioni Unite e successive modifiche.</w:t>
      </w:r>
    </w:p>
    <w:p w:rsidR="00906AF2" w:rsidRPr="005A513C" w:rsidRDefault="00906AF2" w:rsidP="00906AF2"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5A513C">
        <w:rPr>
          <w:noProof/>
        </w:rPr>
        <w:t>Il Consiglio si accinge a adottare una decisione recante modifica della decisione 2010/231/PESC per recepirvi le modifiche apportate con le risoluzioni.</w:t>
      </w:r>
    </w:p>
    <w:p w:rsidR="002C5B52" w:rsidRPr="005A513C" w:rsidRDefault="002C5B52" w:rsidP="00906AF2"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5A513C">
        <w:rPr>
          <w:noProof/>
        </w:rPr>
        <w:t>La decisione (PESC)</w:t>
      </w:r>
      <w:r w:rsidR="00421EF9">
        <w:rPr>
          <w:noProof/>
        </w:rPr>
        <w:t> </w:t>
      </w:r>
      <w:r w:rsidRPr="005A513C">
        <w:rPr>
          <w:noProof/>
        </w:rPr>
        <w:t>2024/XXX modifica parimenti il titolo della decisione 2010/231/PESC.</w:t>
      </w:r>
    </w:p>
    <w:p w:rsidR="00906AF2" w:rsidRPr="005A513C" w:rsidRDefault="00906AF2" w:rsidP="002C5B52">
      <w:pPr>
        <w:pStyle w:val="Point0"/>
        <w:rPr>
          <w:noProof/>
        </w:rPr>
      </w:pPr>
      <w:r>
        <w:rPr>
          <w:noProof/>
        </w:rPr>
        <w:t>(6)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attuazione di tali misure presuppone un</w:t>
      </w:r>
      <w:r w:rsidR="00421EF9">
        <w:rPr>
          <w:noProof/>
        </w:rPr>
        <w:t>'</w:t>
      </w:r>
      <w:r w:rsidRPr="005A513C">
        <w:rPr>
          <w:noProof/>
        </w:rPr>
        <w:t>azione ulteriore dell</w:t>
      </w:r>
      <w:r w:rsidR="00421EF9">
        <w:rPr>
          <w:noProof/>
        </w:rPr>
        <w:t>'</w:t>
      </w:r>
      <w:r w:rsidRPr="005A513C">
        <w:rPr>
          <w:noProof/>
        </w:rPr>
        <w:t>Unione. È necessaria pertanto un</w:t>
      </w:r>
      <w:r w:rsidR="00421EF9">
        <w:rPr>
          <w:noProof/>
        </w:rPr>
        <w:t>'</w:t>
      </w:r>
      <w:r w:rsidRPr="005A513C">
        <w:rPr>
          <w:noProof/>
        </w:rPr>
        <w:t>azione normativa a livello dell</w:t>
      </w:r>
      <w:r w:rsidR="00421EF9">
        <w:rPr>
          <w:noProof/>
        </w:rPr>
        <w:t>'</w:t>
      </w:r>
      <w:r w:rsidRPr="005A513C">
        <w:rPr>
          <w:noProof/>
        </w:rPr>
        <w:t>Unione per attuare la decisione (PESC) 2024/XXX, in particolare al fine di garantirne l</w:t>
      </w:r>
      <w:r w:rsidR="00421EF9">
        <w:rPr>
          <w:noProof/>
        </w:rPr>
        <w:t>'</w:t>
      </w:r>
      <w:r w:rsidRPr="005A513C">
        <w:rPr>
          <w:noProof/>
        </w:rPr>
        <w:t>applicazione uniforme da parte degli operatori economici di tutti gli Stati membri.</w:t>
      </w:r>
    </w:p>
    <w:p w:rsidR="00906AF2" w:rsidRPr="005A513C" w:rsidRDefault="00906AF2" w:rsidP="00906AF2">
      <w:pPr>
        <w:pStyle w:val="Point0"/>
        <w:rPr>
          <w:noProof/>
        </w:rPr>
      </w:pPr>
      <w:r>
        <w:rPr>
          <w:noProof/>
        </w:rPr>
        <w:t>(7)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alto rappresentante dell</w:t>
      </w:r>
      <w:r w:rsidR="00421EF9">
        <w:rPr>
          <w:noProof/>
        </w:rPr>
        <w:t>'</w:t>
      </w:r>
      <w:r w:rsidRPr="005A513C">
        <w:rPr>
          <w:noProof/>
        </w:rPr>
        <w:t>Unione per gli affari esteri e la politica di sicurezza e la Commissione europea propongono di modificare di conseguenza il regolamento (CE) n.</w:t>
      </w:r>
      <w:r w:rsidR="00421EF9">
        <w:rPr>
          <w:noProof/>
        </w:rPr>
        <w:t> </w:t>
      </w:r>
      <w:r w:rsidRPr="005A513C">
        <w:rPr>
          <w:noProof/>
        </w:rPr>
        <w:t>147/2003 del Consiglio.</w:t>
      </w:r>
    </w:p>
    <w:p w:rsidR="00C04A30" w:rsidRPr="005A513C" w:rsidRDefault="00C04A30" w:rsidP="004C78E7">
      <w:pPr>
        <w:rPr>
          <w:noProof/>
        </w:rPr>
        <w:sectPr w:rsidR="00C04A30" w:rsidRPr="005A513C" w:rsidSect="00A06F64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2745F" w:rsidRDefault="007561F5">
      <w:pPr>
        <w:pStyle w:val="Rfrenceinterinstitutionnelle"/>
        <w:rPr>
          <w:noProof/>
        </w:rPr>
      </w:pPr>
      <w:r>
        <w:rPr>
          <w:noProof/>
        </w:rPr>
        <w:lastRenderedPageBreak/>
        <w:t xml:space="preserve">2024/0045 </w:t>
      </w:r>
      <w:r>
        <w:rPr>
          <w:noProof/>
        </w:rPr>
        <w:t>(NLE)</w:t>
      </w:r>
    </w:p>
    <w:p w:rsidR="00C04A30" w:rsidRPr="005A513C" w:rsidRDefault="009E34B2" w:rsidP="009E34B2">
      <w:pPr>
        <w:pStyle w:val="Statut"/>
        <w:rPr>
          <w:noProof/>
        </w:rPr>
      </w:pPr>
      <w:r w:rsidRPr="009E34B2">
        <w:rPr>
          <w:noProof/>
        </w:rPr>
        <w:t>Proposta congiunta di</w:t>
      </w:r>
    </w:p>
    <w:p w:rsidR="00C04A30" w:rsidRPr="005A513C" w:rsidRDefault="009E34B2" w:rsidP="009E34B2">
      <w:pPr>
        <w:pStyle w:val="Typedudocument"/>
        <w:rPr>
          <w:noProof/>
        </w:rPr>
      </w:pPr>
      <w:r w:rsidRPr="009E34B2">
        <w:rPr>
          <w:noProof/>
        </w:rPr>
        <w:t>REGOLAMENTO DEL CONSIGLIO</w:t>
      </w:r>
    </w:p>
    <w:p w:rsidR="00C04A30" w:rsidRPr="005A513C" w:rsidRDefault="009E34B2" w:rsidP="009E34B2">
      <w:pPr>
        <w:pStyle w:val="Titreobjet"/>
        <w:rPr>
          <w:noProof/>
        </w:rPr>
      </w:pPr>
      <w:r w:rsidRPr="009E34B2">
        <w:rPr>
          <w:noProof/>
        </w:rPr>
        <w:t>che modifica il regolamento (CE) n. 147/2003 relativo a talune misure restrittive nei confronti della Somalia</w:t>
      </w:r>
    </w:p>
    <w:p w:rsidR="00C04A30" w:rsidRPr="005A513C" w:rsidRDefault="00C04A30" w:rsidP="00CE48A5">
      <w:pPr>
        <w:pStyle w:val="Institutionquiagit"/>
        <w:rPr>
          <w:noProof/>
        </w:rPr>
      </w:pPr>
      <w:r w:rsidRPr="005A513C">
        <w:rPr>
          <w:noProof/>
        </w:rPr>
        <w:t>IL CONSIGLIO DELL</w:t>
      </w:r>
      <w:r w:rsidR="00421EF9">
        <w:rPr>
          <w:noProof/>
        </w:rPr>
        <w:t>'</w:t>
      </w:r>
      <w:r w:rsidRPr="005A513C">
        <w:rPr>
          <w:noProof/>
        </w:rPr>
        <w:t>UNIONE EUROPEA,</w:t>
      </w:r>
    </w:p>
    <w:p w:rsidR="00C04A30" w:rsidRPr="005A513C" w:rsidRDefault="00C04A30" w:rsidP="00CE48A5">
      <w:pPr>
        <w:rPr>
          <w:noProof/>
        </w:rPr>
      </w:pPr>
      <w:r w:rsidRPr="005A513C">
        <w:rPr>
          <w:noProof/>
        </w:rPr>
        <w:t>visto il trattato sul funzionamento dell</w:t>
      </w:r>
      <w:r w:rsidR="00421EF9">
        <w:rPr>
          <w:noProof/>
        </w:rPr>
        <w:t>'</w:t>
      </w:r>
      <w:r w:rsidRPr="005A513C">
        <w:rPr>
          <w:noProof/>
        </w:rPr>
        <w:t>Unione europea, in particolare l</w:t>
      </w:r>
      <w:r w:rsidR="00421EF9">
        <w:rPr>
          <w:noProof/>
        </w:rPr>
        <w:t>'</w:t>
      </w:r>
      <w:r w:rsidRPr="005A513C">
        <w:rPr>
          <w:noProof/>
        </w:rPr>
        <w:t>articolo 215,</w:t>
      </w:r>
    </w:p>
    <w:p w:rsidR="00C04A30" w:rsidRPr="005A513C" w:rsidRDefault="00C04A30" w:rsidP="00CE48A5">
      <w:pPr>
        <w:rPr>
          <w:noProof/>
        </w:rPr>
      </w:pPr>
      <w:r w:rsidRPr="005A513C">
        <w:rPr>
          <w:noProof/>
        </w:rPr>
        <w:t>vista la decisione (PESC)</w:t>
      </w:r>
      <w:r w:rsidR="00421EF9">
        <w:rPr>
          <w:noProof/>
        </w:rPr>
        <w:t> </w:t>
      </w:r>
      <w:r w:rsidRPr="005A513C">
        <w:rPr>
          <w:noProof/>
        </w:rPr>
        <w:t>2024/XXX del Consiglio, del XXX</w:t>
      </w:r>
      <w:r w:rsidRPr="005A513C">
        <w:rPr>
          <w:rStyle w:val="FootnoteReference"/>
          <w:noProof/>
        </w:rPr>
        <w:footnoteReference w:id="1"/>
      </w:r>
      <w:r w:rsidR="00421EF9">
        <w:rPr>
          <w:noProof/>
        </w:rPr>
        <w:t>,</w:t>
      </w:r>
      <w:r w:rsidRPr="005A513C">
        <w:rPr>
          <w:noProof/>
        </w:rPr>
        <w:t xml:space="preserve"> che modifica la decisione 2010/231/PESC, del 26 aprile 2010, concernente misure restrittive nei confronti della Somalia e che abroga la posizione comune 2009/138/PESC</w:t>
      </w:r>
      <w:r w:rsidRPr="005A513C">
        <w:rPr>
          <w:rStyle w:val="FootnoteReference"/>
          <w:noProof/>
        </w:rPr>
        <w:footnoteReference w:id="2"/>
      </w:r>
      <w:r w:rsidRPr="005A513C">
        <w:rPr>
          <w:noProof/>
        </w:rPr>
        <w:t>,</w:t>
      </w:r>
    </w:p>
    <w:p w:rsidR="00C04A30" w:rsidRPr="005A513C" w:rsidRDefault="00C04A30" w:rsidP="00CE48A5">
      <w:pPr>
        <w:rPr>
          <w:noProof/>
        </w:rPr>
      </w:pPr>
      <w:r w:rsidRPr="005A513C">
        <w:rPr>
          <w:noProof/>
        </w:rPr>
        <w:t>vista la proposta congiunta dell</w:t>
      </w:r>
      <w:r w:rsidR="00421EF9">
        <w:rPr>
          <w:noProof/>
        </w:rPr>
        <w:t>'</w:t>
      </w:r>
      <w:r w:rsidRPr="005A513C">
        <w:rPr>
          <w:noProof/>
        </w:rPr>
        <w:t>alto rappresentante dell</w:t>
      </w:r>
      <w:r w:rsidR="00421EF9">
        <w:rPr>
          <w:noProof/>
        </w:rPr>
        <w:t>'</w:t>
      </w:r>
      <w:r w:rsidRPr="005A513C">
        <w:rPr>
          <w:noProof/>
        </w:rPr>
        <w:t>Unione per gli affari esteri e la politica di sicurezza e della Commissione europea,</w:t>
      </w:r>
    </w:p>
    <w:p w:rsidR="00C04A30" w:rsidRPr="005A513C" w:rsidRDefault="00C04A30" w:rsidP="00CE48A5">
      <w:pPr>
        <w:rPr>
          <w:noProof/>
        </w:rPr>
      </w:pPr>
      <w:r w:rsidRPr="005A513C">
        <w:rPr>
          <w:noProof/>
        </w:rPr>
        <w:t>considerando quanto segue:</w:t>
      </w:r>
    </w:p>
    <w:p w:rsidR="00FE4ECB" w:rsidRPr="005A513C" w:rsidRDefault="00FE4ECB" w:rsidP="001D23CF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5A513C">
        <w:rPr>
          <w:noProof/>
        </w:rPr>
        <w:t>Il regolamento (CE) n.</w:t>
      </w:r>
      <w:r w:rsidR="00421EF9">
        <w:rPr>
          <w:noProof/>
        </w:rPr>
        <w:t> </w:t>
      </w:r>
      <w:r w:rsidRPr="005A513C">
        <w:rPr>
          <w:noProof/>
        </w:rPr>
        <w:t>147/2003 del Consiglio relativo a talune misure restrittive nei confronti della Somalia limita la fornitura di finanziamenti, assistenza finanziaria e assistenza tecnica connessi con attività militari in relazione a beni e tecnologie che figurano nell</w:t>
      </w:r>
      <w:r w:rsidR="00421EF9">
        <w:rPr>
          <w:noProof/>
        </w:rPr>
        <w:t>'</w:t>
      </w:r>
      <w:r w:rsidRPr="005A513C">
        <w:rPr>
          <w:noProof/>
        </w:rPr>
        <w:t>elenco comune delle attrezzature militari dell</w:t>
      </w:r>
      <w:r w:rsidR="00421EF9">
        <w:rPr>
          <w:noProof/>
        </w:rPr>
        <w:t>'</w:t>
      </w:r>
      <w:r w:rsidRPr="005A513C">
        <w:rPr>
          <w:noProof/>
        </w:rPr>
        <w:t>Unione europea a qualsiasi persona, entità od organismo della Somalia. Limita inoltre la fornitura alla Somalia di</w:t>
      </w:r>
      <w:r w:rsidR="00421EF9">
        <w:rPr>
          <w:noProof/>
        </w:rPr>
        <w:t> </w:t>
      </w:r>
      <w:r w:rsidRPr="005A513C">
        <w:rPr>
          <w:noProof/>
        </w:rPr>
        <w:t>beni che possono contribuire alla fabbricazione di ordigni esplosivi improvvisati.</w:t>
      </w:r>
    </w:p>
    <w:p w:rsidR="00873219" w:rsidRPr="005A513C" w:rsidRDefault="00873219" w:rsidP="00FE4ECB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5A513C">
        <w:rPr>
          <w:noProof/>
        </w:rPr>
        <w:t>Il 1</w:t>
      </w:r>
      <w:r w:rsidRPr="005A513C">
        <w:rPr>
          <w:noProof/>
          <w:vertAlign w:val="superscript"/>
        </w:rPr>
        <w:t>o</w:t>
      </w:r>
      <w:r w:rsidR="00421EF9">
        <w:rPr>
          <w:noProof/>
        </w:rPr>
        <w:t> </w:t>
      </w:r>
      <w:r w:rsidRPr="005A513C">
        <w:rPr>
          <w:noProof/>
        </w:rPr>
        <w:t>dicembre</w:t>
      </w:r>
      <w:r w:rsidR="00421EF9">
        <w:rPr>
          <w:noProof/>
        </w:rPr>
        <w:t> </w:t>
      </w:r>
      <w:r w:rsidRPr="005A513C">
        <w:rPr>
          <w:noProof/>
        </w:rPr>
        <w:t>2023 il Consiglio di sicurezza delle Nazioni Unite ha adottato la risoluzione 2713 (2023). La risoluzione decreta l</w:t>
      </w:r>
      <w:r w:rsidR="00421EF9">
        <w:rPr>
          <w:noProof/>
        </w:rPr>
        <w:t>'</w:t>
      </w:r>
      <w:r w:rsidRPr="005A513C">
        <w:rPr>
          <w:noProof/>
        </w:rPr>
        <w:t>embargo generale e totale su tutte le forniture di armi e materiale militare ad Al-Shabaab in Somalia, ridefinisce il comitato delle sanzioni, modifica l</w:t>
      </w:r>
      <w:r w:rsidR="00421EF9">
        <w:rPr>
          <w:noProof/>
        </w:rPr>
        <w:t>'</w:t>
      </w:r>
      <w:r w:rsidRPr="005A513C">
        <w:rPr>
          <w:noProof/>
        </w:rPr>
        <w:t>ambito di applicazione delle esenzioni dall</w:t>
      </w:r>
      <w:r w:rsidR="00421EF9">
        <w:rPr>
          <w:noProof/>
        </w:rPr>
        <w:t>'</w:t>
      </w:r>
      <w:r w:rsidRPr="005A513C">
        <w:rPr>
          <w:noProof/>
        </w:rPr>
        <w:t>embargo sulle armi e sui finanziamenti, assistenza finanziaria e assistenza tecnica connessi nei confronti di determinati beneficiari in Somalia e ritocca il divieto dei componenti di ordigni esplosivi improvvisati.</w:t>
      </w:r>
    </w:p>
    <w:p w:rsidR="00912F0F" w:rsidRPr="005A513C" w:rsidRDefault="00912F0F" w:rsidP="00FE4ECB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5A513C">
        <w:rPr>
          <w:noProof/>
        </w:rPr>
        <w:t>Il 1º</w:t>
      </w:r>
      <w:r w:rsidR="00421EF9">
        <w:rPr>
          <w:noProof/>
        </w:rPr>
        <w:t> </w:t>
      </w:r>
      <w:r w:rsidRPr="005A513C">
        <w:rPr>
          <w:noProof/>
        </w:rPr>
        <w:t>dicembre</w:t>
      </w:r>
      <w:r w:rsidR="00421EF9">
        <w:rPr>
          <w:noProof/>
        </w:rPr>
        <w:t> </w:t>
      </w:r>
      <w:r w:rsidRPr="005A513C">
        <w:rPr>
          <w:noProof/>
        </w:rPr>
        <w:t>2023 il Consiglio di sicurezza delle Nazioni Unite ha adottato la risoluzione 2714</w:t>
      </w:r>
      <w:r w:rsidR="00421EF9">
        <w:rPr>
          <w:noProof/>
        </w:rPr>
        <w:t> </w:t>
      </w:r>
      <w:r w:rsidRPr="005A513C">
        <w:rPr>
          <w:noProof/>
        </w:rPr>
        <w:t>(2023). La risoluzione revoca l</w:t>
      </w:r>
      <w:r w:rsidR="00421EF9">
        <w:rPr>
          <w:noProof/>
        </w:rPr>
        <w:t>'</w:t>
      </w:r>
      <w:r w:rsidRPr="005A513C">
        <w:rPr>
          <w:noProof/>
        </w:rPr>
        <w:t>embargo sulle armi varato nei confronti della Repubblica federale di Somalia in forza della risoluzione 733</w:t>
      </w:r>
      <w:r w:rsidR="00421EF9">
        <w:rPr>
          <w:noProof/>
        </w:rPr>
        <w:t> </w:t>
      </w:r>
      <w:r w:rsidRPr="005A513C">
        <w:rPr>
          <w:noProof/>
        </w:rPr>
        <w:t>(1992) del Consiglio di sicurezza delle Nazioni Unite e successive modifiche.</w:t>
      </w:r>
    </w:p>
    <w:p w:rsidR="00C04A30" w:rsidRPr="005A513C" w:rsidRDefault="00FE4ECB" w:rsidP="00FE4ECB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5A513C">
        <w:rPr>
          <w:noProof/>
        </w:rPr>
        <w:t>Il XX il Consiglio ha adottato la decisione (PESC)</w:t>
      </w:r>
      <w:r w:rsidR="00421EF9">
        <w:rPr>
          <w:noProof/>
        </w:rPr>
        <w:t> </w:t>
      </w:r>
      <w:r w:rsidRPr="005A513C">
        <w:rPr>
          <w:noProof/>
        </w:rPr>
        <w:t>2024/XXX, che modifica la decisione 2010/231/PESC per allinearla alle risoluzioni 2713 (2023) e 2714 (2023) del Consiglio di sicurezza delle Nazioni Unite.</w:t>
      </w:r>
    </w:p>
    <w:p w:rsidR="00FC1937" w:rsidRPr="005A513C" w:rsidRDefault="00FC1937" w:rsidP="00FC1937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5A513C">
        <w:rPr>
          <w:noProof/>
        </w:rPr>
        <w:t>La decisione (PESC)</w:t>
      </w:r>
      <w:r w:rsidR="00421EF9">
        <w:rPr>
          <w:noProof/>
        </w:rPr>
        <w:t> </w:t>
      </w:r>
      <w:r w:rsidRPr="005A513C">
        <w:rPr>
          <w:noProof/>
        </w:rPr>
        <w:t>2024/XXX modifica parimenti il titolo della decisione 2010/231/PESC.</w:t>
      </w:r>
    </w:p>
    <w:p w:rsidR="00FE4ECB" w:rsidRPr="005A513C" w:rsidRDefault="00FE4ECB" w:rsidP="00FE4ECB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</w:r>
      <w:r w:rsidRPr="005A513C">
        <w:rPr>
          <w:noProof/>
        </w:rPr>
        <w:t>Poiché alcune delle modifiche in questione rientrano nell</w:t>
      </w:r>
      <w:r w:rsidR="00421EF9">
        <w:rPr>
          <w:noProof/>
        </w:rPr>
        <w:t>'</w:t>
      </w:r>
      <w:r w:rsidRPr="005A513C">
        <w:rPr>
          <w:noProof/>
        </w:rPr>
        <w:t>ambito di applicazione del trattato sul funzionamento dell</w:t>
      </w:r>
      <w:r w:rsidR="00421EF9">
        <w:rPr>
          <w:noProof/>
        </w:rPr>
        <w:t>'</w:t>
      </w:r>
      <w:r w:rsidRPr="005A513C">
        <w:rPr>
          <w:noProof/>
        </w:rPr>
        <w:t>Unione europea, la loro attuazione richiede un</w:t>
      </w:r>
      <w:r w:rsidR="00421EF9">
        <w:rPr>
          <w:noProof/>
        </w:rPr>
        <w:t>'</w:t>
      </w:r>
      <w:r w:rsidRPr="005A513C">
        <w:rPr>
          <w:noProof/>
        </w:rPr>
        <w:t xml:space="preserve">azione </w:t>
      </w:r>
      <w:r w:rsidRPr="005A513C">
        <w:rPr>
          <w:noProof/>
        </w:rPr>
        <w:lastRenderedPageBreak/>
        <w:t>normativa a livello dell</w:t>
      </w:r>
      <w:r w:rsidR="00421EF9">
        <w:rPr>
          <w:noProof/>
        </w:rPr>
        <w:t>'</w:t>
      </w:r>
      <w:r w:rsidRPr="005A513C">
        <w:rPr>
          <w:noProof/>
        </w:rPr>
        <w:t>Unione, in particolare al fine di garantirne l</w:t>
      </w:r>
      <w:r w:rsidR="00421EF9">
        <w:rPr>
          <w:noProof/>
        </w:rPr>
        <w:t>'</w:t>
      </w:r>
      <w:r w:rsidRPr="005A513C">
        <w:rPr>
          <w:noProof/>
        </w:rPr>
        <w:t>applicazione uniforme da parte degli operatori economici di tutti gli Stati membri.</w:t>
      </w:r>
    </w:p>
    <w:p w:rsidR="00C04A30" w:rsidRPr="005A513C" w:rsidRDefault="00FE4ECB" w:rsidP="00FE4ECB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</w:r>
      <w:r w:rsidRPr="005A513C">
        <w:rPr>
          <w:noProof/>
        </w:rPr>
        <w:t>È pertanto opportuno modificare di conseguenza il regolamento (CE) n.</w:t>
      </w:r>
      <w:r w:rsidR="00421EF9">
        <w:rPr>
          <w:noProof/>
        </w:rPr>
        <w:t> </w:t>
      </w:r>
      <w:r w:rsidRPr="005A513C">
        <w:rPr>
          <w:noProof/>
        </w:rPr>
        <w:t>147/2003,</w:t>
      </w:r>
    </w:p>
    <w:p w:rsidR="00C04A30" w:rsidRPr="005A513C" w:rsidRDefault="00C04A30" w:rsidP="00CE48A5">
      <w:pPr>
        <w:pStyle w:val="Formuledadoption"/>
        <w:rPr>
          <w:noProof/>
        </w:rPr>
      </w:pPr>
      <w:r w:rsidRPr="005A513C">
        <w:rPr>
          <w:noProof/>
        </w:rPr>
        <w:t>HA ADOTTATO IL PRESENTE REGOLAMENTO:</w:t>
      </w:r>
    </w:p>
    <w:p w:rsidR="00C04A30" w:rsidRPr="005A513C" w:rsidRDefault="00C04A30" w:rsidP="00CE48A5">
      <w:pPr>
        <w:pStyle w:val="Titrearticle"/>
        <w:rPr>
          <w:noProof/>
        </w:rPr>
      </w:pPr>
      <w:r w:rsidRPr="005A513C">
        <w:rPr>
          <w:noProof/>
        </w:rPr>
        <w:t>Articolo 1</w:t>
      </w:r>
    </w:p>
    <w:p w:rsidR="002C5B52" w:rsidRPr="005A513C" w:rsidRDefault="002C5B52" w:rsidP="002C5B52">
      <w:pPr>
        <w:rPr>
          <w:noProof/>
        </w:rPr>
      </w:pPr>
      <w:r w:rsidRPr="005A513C">
        <w:rPr>
          <w:noProof/>
        </w:rPr>
        <w:t>Il regolamento (CE) n.</w:t>
      </w:r>
      <w:r w:rsidR="00421EF9">
        <w:rPr>
          <w:noProof/>
        </w:rPr>
        <w:t> </w:t>
      </w:r>
      <w:r w:rsidRPr="005A513C">
        <w:rPr>
          <w:noProof/>
        </w:rPr>
        <w:t>147/2003 del Consiglio è così modificato:</w:t>
      </w:r>
    </w:p>
    <w:p w:rsidR="0052501F" w:rsidRPr="005A513C" w:rsidRDefault="0052501F" w:rsidP="001D23CF"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5A513C">
        <w:rPr>
          <w:noProof/>
        </w:rPr>
        <w:t xml:space="preserve">il titolo è sostituito dal seguente: </w:t>
      </w:r>
      <w:r w:rsidR="00421EF9">
        <w:rPr>
          <w:noProof/>
        </w:rPr>
        <w:t>"</w:t>
      </w:r>
      <w:r w:rsidRPr="005A513C">
        <w:rPr>
          <w:noProof/>
        </w:rPr>
        <w:t>Regolamento (CE) n.</w:t>
      </w:r>
      <w:r w:rsidR="00421EF9">
        <w:rPr>
          <w:noProof/>
        </w:rPr>
        <w:t> </w:t>
      </w:r>
      <w:r w:rsidRPr="005A513C">
        <w:rPr>
          <w:noProof/>
        </w:rPr>
        <w:t>147/2003 del Consiglio concernente misure restrittive in considerazione della situazione in Somalia</w:t>
      </w:r>
      <w:r w:rsidR="00421EF9">
        <w:rPr>
          <w:noProof/>
        </w:rPr>
        <w:t>"</w:t>
      </w:r>
      <w:r w:rsidRPr="005A513C">
        <w:rPr>
          <w:noProof/>
        </w:rPr>
        <w:t>;</w:t>
      </w:r>
    </w:p>
    <w:p w:rsidR="0032050B" w:rsidRPr="005A513C" w:rsidRDefault="0032050B" w:rsidP="001D23CF"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5A513C">
        <w:rPr>
          <w:noProof/>
        </w:rPr>
        <w:t>all</w:t>
      </w:r>
      <w:r w:rsidR="00421EF9">
        <w:rPr>
          <w:noProof/>
        </w:rPr>
        <w:t>'</w:t>
      </w:r>
      <w:r w:rsidRPr="005A513C">
        <w:rPr>
          <w:noProof/>
        </w:rPr>
        <w:t>articolo 1 bis, la lettera c) è sostituita dalla seguente:</w:t>
      </w:r>
    </w:p>
    <w:p w:rsidR="0032050B" w:rsidRPr="005A513C" w:rsidRDefault="00421EF9" w:rsidP="00E36D94">
      <w:pPr>
        <w:pStyle w:val="ManualNumPar1"/>
        <w:ind w:firstLine="0"/>
        <w:rPr>
          <w:noProof/>
        </w:rPr>
      </w:pPr>
      <w:r>
        <w:rPr>
          <w:noProof/>
        </w:rPr>
        <w:t>"</w:t>
      </w:r>
      <w:r w:rsidR="0032050B" w:rsidRPr="005A513C">
        <w:rPr>
          <w:noProof/>
        </w:rPr>
        <w:t xml:space="preserve">c) </w:t>
      </w:r>
      <w:r>
        <w:rPr>
          <w:noProof/>
        </w:rPr>
        <w:t>"</w:t>
      </w:r>
      <w:r w:rsidR="0032050B" w:rsidRPr="005A513C">
        <w:rPr>
          <w:noProof/>
        </w:rPr>
        <w:t>comitato delle sanzioni</w:t>
      </w:r>
      <w:r>
        <w:rPr>
          <w:noProof/>
        </w:rPr>
        <w:t>"</w:t>
      </w:r>
      <w:r w:rsidR="0032050B" w:rsidRPr="005A513C">
        <w:rPr>
          <w:noProof/>
        </w:rPr>
        <w:t>: il comitato del Consiglio di sicurezza delle Nazioni Unite istituito in forza della risoluzione 2713 (2023);</w:t>
      </w:r>
      <w:r>
        <w:rPr>
          <w:noProof/>
        </w:rPr>
        <w:t>"</w:t>
      </w:r>
      <w:r w:rsidR="0032050B" w:rsidRPr="005A513C">
        <w:rPr>
          <w:noProof/>
        </w:rPr>
        <w:t>;</w:t>
      </w:r>
    </w:p>
    <w:p w:rsidR="00FE4ECB" w:rsidRPr="005A513C" w:rsidRDefault="00FE4ECB" w:rsidP="001D23CF"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articolo 3 è sostituito dal seguente:</w:t>
      </w:r>
    </w:p>
    <w:p w:rsidR="000F61E9" w:rsidRPr="005A513C" w:rsidRDefault="00421EF9" w:rsidP="00B42409">
      <w:pPr>
        <w:jc w:val="center"/>
        <w:rPr>
          <w:i/>
          <w:iCs/>
          <w:noProof/>
        </w:rPr>
      </w:pPr>
      <w:r>
        <w:rPr>
          <w:i/>
          <w:noProof/>
        </w:rPr>
        <w:t>"</w:t>
      </w:r>
      <w:r w:rsidR="000F61E9" w:rsidRPr="005A513C">
        <w:rPr>
          <w:i/>
          <w:noProof/>
        </w:rPr>
        <w:t>Articolo 3</w:t>
      </w:r>
    </w:p>
    <w:p w:rsidR="000F61E9" w:rsidRPr="005A513C" w:rsidRDefault="000F61E9" w:rsidP="00E36D94">
      <w:pPr>
        <w:pStyle w:val="Point1"/>
        <w:rPr>
          <w:noProof/>
        </w:rPr>
      </w:pPr>
      <w:r w:rsidRPr="005A513C">
        <w:rPr>
          <w:noProof/>
        </w:rPr>
        <w:t xml:space="preserve">1.   </w:t>
      </w:r>
      <w:r w:rsidRPr="005A513C">
        <w:rPr>
          <w:noProof/>
        </w:rPr>
        <w:tab/>
        <w:t>L</w:t>
      </w:r>
      <w:r w:rsidR="00421EF9">
        <w:rPr>
          <w:noProof/>
        </w:rPr>
        <w:t>'</w:t>
      </w:r>
      <w:r w:rsidRPr="005A513C">
        <w:rPr>
          <w:noProof/>
        </w:rPr>
        <w:t>articolo 1 non si applica alla fornitura di finanziamenti o assistenza finanziaria connessi con attività militari, finalizzata alla vendita, alla fornitura, al trasferimento o all</w:t>
      </w:r>
      <w:r w:rsidR="00421EF9">
        <w:rPr>
          <w:noProof/>
        </w:rPr>
        <w:t>'</w:t>
      </w:r>
      <w:r w:rsidRPr="005A513C">
        <w:rPr>
          <w:noProof/>
        </w:rPr>
        <w:t>esportazione di beni e tecnologie che figurano nell</w:t>
      </w:r>
      <w:r w:rsidR="00421EF9">
        <w:rPr>
          <w:noProof/>
        </w:rPr>
        <w:t>'</w:t>
      </w:r>
      <w:r w:rsidRPr="005A513C">
        <w:rPr>
          <w:noProof/>
        </w:rPr>
        <w:t>elenco comune delle attrezzature militari dell</w:t>
      </w:r>
      <w:r w:rsidR="00421EF9">
        <w:rPr>
          <w:noProof/>
        </w:rPr>
        <w:t>'</w:t>
      </w:r>
      <w:r w:rsidRPr="005A513C">
        <w:rPr>
          <w:noProof/>
        </w:rPr>
        <w:t>Unione europea, né di assistenza tecnica connessa con attività militari in relazione a tali beni e tecnologie, se la fornitura è destinata unicamente al sostegno dei soggetti seguenti o all</w:t>
      </w:r>
      <w:r w:rsidR="00421EF9">
        <w:rPr>
          <w:noProof/>
        </w:rPr>
        <w:t>'</w:t>
      </w:r>
      <w:r w:rsidRPr="005A513C">
        <w:rPr>
          <w:noProof/>
        </w:rPr>
        <w:t>uso da parte loro:</w:t>
      </w:r>
    </w:p>
    <w:p w:rsidR="003A2AA7" w:rsidRPr="005A513C" w:rsidRDefault="003A2AA7" w:rsidP="00E36D94">
      <w:pPr>
        <w:pStyle w:val="Point2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Pr="005A513C">
        <w:rPr>
          <w:noProof/>
        </w:rPr>
        <w:t>governo della Repubblica federale di Somalia (</w:t>
      </w:r>
      <w:r w:rsidR="00421EF9">
        <w:rPr>
          <w:noProof/>
        </w:rPr>
        <w:t>"</w:t>
      </w:r>
      <w:r w:rsidRPr="005A513C">
        <w:rPr>
          <w:noProof/>
        </w:rPr>
        <w:t>governo somalo</w:t>
      </w:r>
      <w:r w:rsidR="00421EF9">
        <w:rPr>
          <w:noProof/>
        </w:rPr>
        <w:t>"</w:t>
      </w:r>
      <w:r w:rsidRPr="005A513C">
        <w:rPr>
          <w:noProof/>
        </w:rPr>
        <w:t>), esercito nazionale somalo, agenzia nazionale di intelligence e sicurezza, polizia nazionale somala, corpo somalo degli agenti di custodia;</w:t>
      </w:r>
    </w:p>
    <w:p w:rsidR="000F61E9" w:rsidRPr="005A513C" w:rsidRDefault="000F61E9" w:rsidP="00E36D94">
      <w:pPr>
        <w:pStyle w:val="Point2"/>
        <w:rPr>
          <w:noProof/>
        </w:rPr>
      </w:pPr>
      <w:r>
        <w:rPr>
          <w:noProof/>
        </w:rPr>
        <w:t>(b)</w:t>
      </w:r>
      <w:r>
        <w:rPr>
          <w:noProof/>
        </w:rPr>
        <w:tab/>
      </w:r>
      <w:r w:rsidRPr="005A513C">
        <w:rPr>
          <w:noProof/>
        </w:rPr>
        <w:t>personale dell</w:t>
      </w:r>
      <w:r w:rsidR="00421EF9">
        <w:rPr>
          <w:noProof/>
        </w:rPr>
        <w:t>'</w:t>
      </w:r>
      <w:r w:rsidRPr="005A513C">
        <w:rPr>
          <w:noProof/>
        </w:rPr>
        <w:t>Organizzazione delle Nazioni Unite, compresi la missione di assistenza delle Nazioni Unite in Somalia (UNSOM) e l</w:t>
      </w:r>
      <w:r w:rsidR="00421EF9">
        <w:rPr>
          <w:noProof/>
        </w:rPr>
        <w:t>'</w:t>
      </w:r>
      <w:r w:rsidRPr="005A513C">
        <w:rPr>
          <w:noProof/>
        </w:rPr>
        <w:t>ufficio di sostegno delle Nazioni Unite in Somalia (UNSOS);</w:t>
      </w:r>
    </w:p>
    <w:p w:rsidR="000F61E9" w:rsidRPr="005A513C" w:rsidRDefault="000F61E9" w:rsidP="00E36D94">
      <w:pPr>
        <w:pStyle w:val="Point2"/>
        <w:rPr>
          <w:noProof/>
        </w:rPr>
      </w:pPr>
      <w:r>
        <w:rPr>
          <w:noProof/>
        </w:rPr>
        <w:t>(c)</w:t>
      </w:r>
      <w:r>
        <w:rPr>
          <w:noProof/>
        </w:rPr>
        <w:tab/>
      </w:r>
      <w:r w:rsidRPr="005A513C">
        <w:rPr>
          <w:noProof/>
        </w:rPr>
        <w:t>missione di transizione dell</w:t>
      </w:r>
      <w:r w:rsidR="00421EF9">
        <w:rPr>
          <w:noProof/>
        </w:rPr>
        <w:t>'</w:t>
      </w:r>
      <w:r w:rsidRPr="005A513C">
        <w:rPr>
          <w:noProof/>
        </w:rPr>
        <w:t>Unione africana in Somalia (ATMIS), paesi che vi contribuiscono con truppe e operatori di polizia e relativi partner strategici, operanti unicamente nell</w:t>
      </w:r>
      <w:r w:rsidR="00421EF9">
        <w:rPr>
          <w:noProof/>
        </w:rPr>
        <w:t>'</w:t>
      </w:r>
      <w:r w:rsidRPr="005A513C">
        <w:rPr>
          <w:noProof/>
        </w:rPr>
        <w:t>ambito del più recente concetto operativo strategico dell</w:t>
      </w:r>
      <w:r w:rsidR="00421EF9">
        <w:rPr>
          <w:noProof/>
        </w:rPr>
        <w:t>'</w:t>
      </w:r>
      <w:r w:rsidRPr="005A513C">
        <w:rPr>
          <w:noProof/>
        </w:rPr>
        <w:t>Unione africana e in cooperazione e coordinamento con l</w:t>
      </w:r>
      <w:r w:rsidR="00421EF9">
        <w:rPr>
          <w:noProof/>
        </w:rPr>
        <w:t>'</w:t>
      </w:r>
      <w:r w:rsidRPr="005A513C">
        <w:rPr>
          <w:noProof/>
        </w:rPr>
        <w:t>ATMIS</w:t>
      </w:r>
    </w:p>
    <w:p w:rsidR="000F61E9" w:rsidRPr="005A513C" w:rsidRDefault="00365A7D" w:rsidP="00E36D94">
      <w:pPr>
        <w:pStyle w:val="Point2"/>
        <w:rPr>
          <w:noProof/>
        </w:rPr>
      </w:pPr>
      <w:r>
        <w:rPr>
          <w:noProof/>
        </w:rPr>
        <w:t>(d)</w:t>
      </w:r>
      <w:r>
        <w:rPr>
          <w:noProof/>
        </w:rPr>
        <w:tab/>
      </w:r>
      <w:r w:rsidRPr="005A513C">
        <w:rPr>
          <w:noProof/>
        </w:rPr>
        <w:t>attività di formazione e sostegno dell</w:t>
      </w:r>
      <w:r w:rsidR="00421EF9">
        <w:rPr>
          <w:noProof/>
        </w:rPr>
        <w:t>'</w:t>
      </w:r>
      <w:r w:rsidRPr="005A513C">
        <w:rPr>
          <w:noProof/>
        </w:rPr>
        <w:t>Unione europea, della Turchia, del Regno Unito di Gran Bretagna e Irlanda del Nord e degli Stati Uniti d</w:t>
      </w:r>
      <w:r w:rsidR="00421EF9">
        <w:rPr>
          <w:noProof/>
        </w:rPr>
        <w:t>'</w:t>
      </w:r>
      <w:r w:rsidRPr="005A513C">
        <w:rPr>
          <w:noProof/>
        </w:rPr>
        <w:t>America, così come di qualsiasi altra forza statale che ha con il governo somalo un accordo sullo status delle forze o un protocollo d</w:t>
      </w:r>
      <w:r w:rsidR="00421EF9">
        <w:rPr>
          <w:noProof/>
        </w:rPr>
        <w:t>'</w:t>
      </w:r>
      <w:r w:rsidRPr="005A513C">
        <w:rPr>
          <w:noProof/>
        </w:rPr>
        <w:t>intesa, a condizione che informi il comitato delle sanzioni dell</w:t>
      </w:r>
      <w:r w:rsidR="00421EF9">
        <w:rPr>
          <w:noProof/>
        </w:rPr>
        <w:t>'</w:t>
      </w:r>
      <w:r w:rsidRPr="005A513C">
        <w:rPr>
          <w:noProof/>
        </w:rPr>
        <w:t>esistenza di siffatto accordo o protocollo.</w:t>
      </w:r>
    </w:p>
    <w:p w:rsidR="000F61E9" w:rsidRPr="005A513C" w:rsidRDefault="000F61E9" w:rsidP="00E36D94">
      <w:pPr>
        <w:pStyle w:val="Point1"/>
        <w:rPr>
          <w:noProof/>
        </w:rPr>
      </w:pPr>
      <w:r w:rsidRPr="005A513C">
        <w:rPr>
          <w:noProof/>
        </w:rPr>
        <w:t xml:space="preserve">2.   </w:t>
      </w:r>
      <w:r w:rsidRPr="005A513C">
        <w:rPr>
          <w:noProof/>
        </w:rPr>
        <w:tab/>
        <w:t>In deroga all</w:t>
      </w:r>
      <w:r w:rsidR="00421EF9">
        <w:rPr>
          <w:noProof/>
        </w:rPr>
        <w:t>'</w:t>
      </w:r>
      <w:r w:rsidRPr="005A513C">
        <w:rPr>
          <w:noProof/>
        </w:rPr>
        <w:t>articolo</w:t>
      </w:r>
      <w:r w:rsidR="00421EF9">
        <w:rPr>
          <w:noProof/>
        </w:rPr>
        <w:t> </w:t>
      </w:r>
      <w:r w:rsidRPr="005A513C">
        <w:rPr>
          <w:noProof/>
        </w:rPr>
        <w:t>1, le autorità competenti degli Stati membri possono autorizzare la fornitura di finanziamenti o assistenza finanziaria connessi con attività militari, finalizzata alla vendita, alla fornitura, al trasferimento o all</w:t>
      </w:r>
      <w:r w:rsidR="00421EF9">
        <w:rPr>
          <w:noProof/>
        </w:rPr>
        <w:t>'</w:t>
      </w:r>
      <w:r w:rsidRPr="005A513C">
        <w:rPr>
          <w:noProof/>
        </w:rPr>
        <w:t>esportazione di beni e tecnologie che figurano nell</w:t>
      </w:r>
      <w:r w:rsidR="00421EF9">
        <w:rPr>
          <w:noProof/>
        </w:rPr>
        <w:t>'</w:t>
      </w:r>
      <w:r w:rsidRPr="005A513C">
        <w:rPr>
          <w:noProof/>
        </w:rPr>
        <w:t>elenco comune delle attrezzature militari dell</w:t>
      </w:r>
      <w:r w:rsidR="00421EF9">
        <w:rPr>
          <w:noProof/>
        </w:rPr>
        <w:t>'</w:t>
      </w:r>
      <w:r w:rsidRPr="005A513C">
        <w:rPr>
          <w:noProof/>
        </w:rPr>
        <w:t xml:space="preserve">Unione europea, o la fornitura di assistenza tecnica connessa con attività militari in relazione a tali beni e tecnologie, se la fornitura è destinata unicamente al sostegno degli Stati federati e governi regionali della </w:t>
      </w:r>
      <w:r w:rsidRPr="005A513C">
        <w:rPr>
          <w:noProof/>
        </w:rPr>
        <w:lastRenderedPageBreak/>
        <w:t>Somalia o delle imprese di sicurezza private con licenza di operare in Somalia, o all</w:t>
      </w:r>
      <w:r w:rsidR="00421EF9">
        <w:rPr>
          <w:noProof/>
        </w:rPr>
        <w:t>'</w:t>
      </w:r>
      <w:r w:rsidRPr="005A513C">
        <w:rPr>
          <w:noProof/>
        </w:rPr>
        <w:t>uso da parte loro, e purché siano soddisfatte le condizioni seguenti: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Pr="005A513C">
        <w:rPr>
          <w:noProof/>
        </w:rPr>
        <w:t>per i beni e le tecnologie di cui all</w:t>
      </w:r>
      <w:r w:rsidR="00421EF9">
        <w:rPr>
          <w:noProof/>
        </w:rPr>
        <w:t>'</w:t>
      </w:r>
      <w:r w:rsidRPr="005A513C">
        <w:rPr>
          <w:noProof/>
        </w:rPr>
        <w:t>allegato IV, il comitato delle sanzioni ha ricevuto dal governo somalo la notifica dell</w:t>
      </w:r>
      <w:r w:rsidR="00421EF9">
        <w:rPr>
          <w:noProof/>
        </w:rPr>
        <w:t>'</w:t>
      </w:r>
      <w:r w:rsidRPr="005A513C">
        <w:rPr>
          <w:noProof/>
        </w:rPr>
        <w:t>operazione e non vi ha obiettato entro il termine di cinque giorni lavorativi;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(b)</w:t>
      </w:r>
      <w:r>
        <w:rPr>
          <w:noProof/>
        </w:rPr>
        <w:tab/>
      </w:r>
      <w:bookmarkStart w:id="1" w:name="_Hlk158983961"/>
      <w:r w:rsidRPr="005A513C">
        <w:rPr>
          <w:noProof/>
        </w:rPr>
        <w:t>per i beni e le tecnologie di cui all</w:t>
      </w:r>
      <w:r w:rsidR="00421EF9">
        <w:rPr>
          <w:noProof/>
        </w:rPr>
        <w:t>'</w:t>
      </w:r>
      <w:r w:rsidRPr="005A513C">
        <w:rPr>
          <w:noProof/>
        </w:rPr>
        <w:t>allegato V, il comitato delle sanzioni ha ricevuto per informazione dal governo somalo, con un anticipo di cinque giorni lavorativi, una notifica preliminare.</w:t>
      </w:r>
    </w:p>
    <w:bookmarkEnd w:id="1"/>
    <w:p w:rsidR="000F61E9" w:rsidRPr="005A513C" w:rsidRDefault="000F61E9" w:rsidP="00E36D94">
      <w:pPr>
        <w:pStyle w:val="Point1"/>
        <w:rPr>
          <w:noProof/>
        </w:rPr>
      </w:pPr>
      <w:r w:rsidRPr="005A513C">
        <w:rPr>
          <w:noProof/>
        </w:rPr>
        <w:t xml:space="preserve">3.   </w:t>
      </w:r>
      <w:r w:rsidRPr="005A513C">
        <w:rPr>
          <w:noProof/>
        </w:rPr>
        <w:tab/>
        <w:t>La notifica a norma del paragrafo 2, lettere a) e b), riporta: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Pr="005A513C">
        <w:rPr>
          <w:noProof/>
        </w:rPr>
        <w:t xml:space="preserve">gli estremi del fabbricante e del fornitore </w:t>
      </w:r>
      <w:bookmarkStart w:id="2" w:name="_Hlk156215513"/>
      <w:r w:rsidRPr="005A513C">
        <w:rPr>
          <w:noProof/>
        </w:rPr>
        <w:t>delle armi, delle munizioni e del materiale militare, con indicazione di tipo, numero di partita/lotto e numero di matricola</w:t>
      </w:r>
      <w:bookmarkEnd w:id="2"/>
      <w:r w:rsidRPr="005A513C">
        <w:rPr>
          <w:noProof/>
        </w:rPr>
        <w:t>;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(b)</w:t>
      </w:r>
      <w:r>
        <w:rPr>
          <w:noProof/>
        </w:rPr>
        <w:tab/>
      </w:r>
      <w:r w:rsidRPr="005A513C">
        <w:rPr>
          <w:noProof/>
        </w:rPr>
        <w:t>una descrizione delle armi e delle munizioni, inclusi il tipo, il calibro e la</w:t>
      </w:r>
      <w:r w:rsidR="00421EF9">
        <w:rPr>
          <w:noProof/>
        </w:rPr>
        <w:t> </w:t>
      </w:r>
      <w:r w:rsidRPr="005A513C">
        <w:rPr>
          <w:noProof/>
        </w:rPr>
        <w:t>quantità;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(c)</w:t>
      </w:r>
      <w:r>
        <w:rPr>
          <w:noProof/>
        </w:rPr>
        <w:tab/>
      </w:r>
      <w:r w:rsidRPr="005A513C">
        <w:rPr>
          <w:noProof/>
        </w:rPr>
        <w:t>data e luogo di consegna proposti; e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(d)</w:t>
      </w:r>
      <w:r>
        <w:rPr>
          <w:noProof/>
        </w:rPr>
        <w:tab/>
      </w:r>
      <w:r w:rsidRPr="005A513C">
        <w:rPr>
          <w:noProof/>
        </w:rPr>
        <w:t>tutte le informazioni d</w:t>
      </w:r>
      <w:r w:rsidR="00421EF9">
        <w:rPr>
          <w:noProof/>
        </w:rPr>
        <w:t>'</w:t>
      </w:r>
      <w:r w:rsidRPr="005A513C">
        <w:rPr>
          <w:noProof/>
        </w:rPr>
        <w:t>interesse sulla prevista unità destinataria o sul luogo di stoccaggio previsto.</w:t>
      </w:r>
    </w:p>
    <w:p w:rsidR="000F61E9" w:rsidRPr="005A513C" w:rsidRDefault="00D93459" w:rsidP="00E36D94">
      <w:pPr>
        <w:pStyle w:val="Point1"/>
        <w:rPr>
          <w:noProof/>
        </w:rPr>
      </w:pPr>
      <w:r w:rsidRPr="005A513C">
        <w:rPr>
          <w:noProof/>
        </w:rPr>
        <w:t xml:space="preserve">4.   </w:t>
      </w:r>
      <w:r w:rsidRPr="005A513C">
        <w:rPr>
          <w:noProof/>
        </w:rPr>
        <w:tab/>
        <w:t>L</w:t>
      </w:r>
      <w:r w:rsidR="00421EF9">
        <w:rPr>
          <w:noProof/>
        </w:rPr>
        <w:t>'</w:t>
      </w:r>
      <w:r w:rsidRPr="005A513C">
        <w:rPr>
          <w:noProof/>
        </w:rPr>
        <w:t>articolo 1 non si applica alla fornitura di finanziamenti, assistenza finanziaria o assistenza tecnica connessi: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Pr="005A513C">
        <w:rPr>
          <w:noProof/>
        </w:rPr>
        <w:t>alla vendita, alla fornitura, al trasferimento o all</w:t>
      </w:r>
      <w:r w:rsidR="00421EF9">
        <w:rPr>
          <w:noProof/>
        </w:rPr>
        <w:t>'</w:t>
      </w:r>
      <w:r w:rsidRPr="005A513C">
        <w:rPr>
          <w:noProof/>
        </w:rPr>
        <w:t>esportazione di abbigliamento protettivo, compresi i giubbotti antiproiettile e gli elmetti militari, temporaneamente esportato in Somalia da personale delle Nazioni Unite, da rappresentanti dei mezzi di comunicazione, da operatori di imprese di sicurezza private e da operatori umanitari o dello sviluppo, e personale associato, per loro esclusivo uso personale;</w:t>
      </w:r>
    </w:p>
    <w:p w:rsidR="000F61E9" w:rsidRPr="005A513C" w:rsidRDefault="000F61E9" w:rsidP="001D23CF">
      <w:pPr>
        <w:pStyle w:val="Point2"/>
        <w:rPr>
          <w:noProof/>
        </w:rPr>
      </w:pPr>
      <w:r>
        <w:rPr>
          <w:noProof/>
        </w:rPr>
        <w:t>(b)</w:t>
      </w:r>
      <w:r>
        <w:rPr>
          <w:noProof/>
        </w:rPr>
        <w:tab/>
      </w:r>
      <w:r w:rsidRPr="005A513C">
        <w:rPr>
          <w:noProof/>
        </w:rPr>
        <w:t>alla vendita, alla fornitura, al trasferimento o all</w:t>
      </w:r>
      <w:r w:rsidR="00421EF9">
        <w:rPr>
          <w:noProof/>
        </w:rPr>
        <w:t>'</w:t>
      </w:r>
      <w:r w:rsidRPr="005A513C">
        <w:rPr>
          <w:noProof/>
        </w:rPr>
        <w:t>esportazione di materiale militare non letale, a uso esclusivamente umanitario o protettivo, da parte di uno Stato membro o un</w:t>
      </w:r>
      <w:r w:rsidR="00421EF9">
        <w:rPr>
          <w:noProof/>
        </w:rPr>
        <w:t>'</w:t>
      </w:r>
      <w:r w:rsidRPr="005A513C">
        <w:rPr>
          <w:noProof/>
        </w:rPr>
        <w:t>organizzazione internazionale, regionale o subregionale;</w:t>
      </w:r>
    </w:p>
    <w:p w:rsidR="00073D8C" w:rsidRPr="005A513C" w:rsidRDefault="00073D8C" w:rsidP="001D23CF">
      <w:pPr>
        <w:pStyle w:val="Point2"/>
        <w:rPr>
          <w:noProof/>
        </w:rPr>
      </w:pPr>
      <w:r>
        <w:rPr>
          <w:noProof/>
        </w:rPr>
        <w:t>(c)</w:t>
      </w:r>
      <w:r>
        <w:rPr>
          <w:noProof/>
        </w:rPr>
        <w:tab/>
      </w:r>
      <w:r w:rsidRPr="005A513C">
        <w:rPr>
          <w:noProof/>
        </w:rPr>
        <w:t>all</w:t>
      </w:r>
      <w:r w:rsidR="00421EF9">
        <w:rPr>
          <w:noProof/>
        </w:rPr>
        <w:t>'</w:t>
      </w:r>
      <w:r w:rsidRPr="005A513C">
        <w:rPr>
          <w:noProof/>
        </w:rPr>
        <w:t>ingresso nei porti somali, per scalo temporaneo, di navi che trasportano armi e materiale militare a scopi difensivi, a condizione che armi e materiale rimangano sempre a bordo della nave.</w:t>
      </w:r>
      <w:r w:rsidR="00421EF9">
        <w:rPr>
          <w:noProof/>
        </w:rPr>
        <w:t>"</w:t>
      </w:r>
      <w:r w:rsidRPr="005A513C">
        <w:rPr>
          <w:noProof/>
        </w:rPr>
        <w:t>;</w:t>
      </w:r>
    </w:p>
    <w:p w:rsidR="00A35C37" w:rsidRPr="005A513C" w:rsidRDefault="00A35C37" w:rsidP="001D23CF"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5A513C">
        <w:rPr>
          <w:noProof/>
        </w:rPr>
        <w:t>all</w:t>
      </w:r>
      <w:r w:rsidR="00421EF9">
        <w:rPr>
          <w:noProof/>
        </w:rPr>
        <w:t>'</w:t>
      </w:r>
      <w:r w:rsidRPr="005A513C">
        <w:rPr>
          <w:noProof/>
        </w:rPr>
        <w:t>articolo 3 quater sono aggiunti i paragrafi 3 e 4 seguenti:</w:t>
      </w:r>
    </w:p>
    <w:p w:rsidR="008D51BD" w:rsidRPr="005A513C" w:rsidRDefault="00421EF9" w:rsidP="00B42409">
      <w:pPr>
        <w:pStyle w:val="Text2"/>
        <w:rPr>
          <w:noProof/>
        </w:rPr>
      </w:pPr>
      <w:r>
        <w:rPr>
          <w:noProof/>
        </w:rPr>
        <w:t>"</w:t>
      </w:r>
      <w:r w:rsidR="00A823C7" w:rsidRPr="005A513C">
        <w:rPr>
          <w:noProof/>
        </w:rPr>
        <w:t>3. Prima di vendere, esportare, fornire o trasferire alla Somalia prodotti di cui all</w:t>
      </w:r>
      <w:r>
        <w:rPr>
          <w:noProof/>
        </w:rPr>
        <w:t>'</w:t>
      </w:r>
      <w:r w:rsidR="00A823C7" w:rsidRPr="005A513C">
        <w:rPr>
          <w:noProof/>
        </w:rPr>
        <w:t>allegato</w:t>
      </w:r>
      <w:r w:rsidR="00093CE0">
        <w:rPr>
          <w:noProof/>
        </w:rPr>
        <w:t> </w:t>
      </w:r>
      <w:r w:rsidR="00A823C7" w:rsidRPr="005A513C">
        <w:rPr>
          <w:noProof/>
        </w:rPr>
        <w:t>III, lo Stato membro dovrebbe informare il governo somalo affinché sia a conoscenza della prevista operazione. Successivamente notifica al governo somalo e al comitato delle sanzioni la vendita, la fornitura o il</w:t>
      </w:r>
      <w:r w:rsidR="00093CE0">
        <w:rPr>
          <w:noProof/>
        </w:rPr>
        <w:t> </w:t>
      </w:r>
      <w:r w:rsidR="00A823C7" w:rsidRPr="005A513C">
        <w:rPr>
          <w:noProof/>
        </w:rPr>
        <w:t>trasferimento entro 15</w:t>
      </w:r>
      <w:r w:rsidR="00093CE0">
        <w:rPr>
          <w:noProof/>
        </w:rPr>
        <w:t> </w:t>
      </w:r>
      <w:r w:rsidR="00A823C7" w:rsidRPr="005A513C">
        <w:rPr>
          <w:noProof/>
        </w:rPr>
        <w:t>giorni lavorativi dalla data di vendita, fornitura o trasferimento.</w:t>
      </w:r>
    </w:p>
    <w:p w:rsidR="008D51BD" w:rsidRPr="005A513C" w:rsidRDefault="00B42409" w:rsidP="00B42409">
      <w:pPr>
        <w:pStyle w:val="Point3"/>
        <w:ind w:left="1418" w:firstLine="0"/>
        <w:rPr>
          <w:noProof/>
        </w:rPr>
      </w:pPr>
      <w:r w:rsidRPr="005A513C">
        <w:rPr>
          <w:noProof/>
        </w:rPr>
        <w:t>4. La notifica a norma del paragrafo 3 riporta tutte le informazioni d</w:t>
      </w:r>
      <w:r w:rsidR="00421EF9">
        <w:rPr>
          <w:noProof/>
        </w:rPr>
        <w:t>'</w:t>
      </w:r>
      <w:r w:rsidRPr="005A513C">
        <w:rPr>
          <w:noProof/>
        </w:rPr>
        <w:t>interesse:</w:t>
      </w:r>
    </w:p>
    <w:p w:rsidR="008D51BD" w:rsidRPr="005A513C" w:rsidRDefault="008D51BD" w:rsidP="00A108E9">
      <w:pPr>
        <w:pStyle w:val="Point2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Pr="005A513C">
        <w:rPr>
          <w:noProof/>
        </w:rPr>
        <w:t>destinazione d</w:t>
      </w:r>
      <w:r w:rsidR="00421EF9">
        <w:rPr>
          <w:noProof/>
        </w:rPr>
        <w:t>'</w:t>
      </w:r>
      <w:r w:rsidRPr="005A513C">
        <w:rPr>
          <w:noProof/>
        </w:rPr>
        <w:t>uso del prodotto o dei prodotti;</w:t>
      </w:r>
    </w:p>
    <w:p w:rsidR="008D51BD" w:rsidRPr="005A513C" w:rsidRDefault="008D51BD" w:rsidP="00A108E9">
      <w:pPr>
        <w:pStyle w:val="Point2"/>
        <w:rPr>
          <w:noProof/>
        </w:rPr>
      </w:pPr>
      <w:r>
        <w:rPr>
          <w:noProof/>
        </w:rPr>
        <w:t>(b)</w:t>
      </w:r>
      <w:r>
        <w:rPr>
          <w:noProof/>
        </w:rPr>
        <w:tab/>
      </w:r>
      <w:r w:rsidRPr="005A513C">
        <w:rPr>
          <w:noProof/>
        </w:rPr>
        <w:t>utilizzatore finale;</w:t>
      </w:r>
    </w:p>
    <w:p w:rsidR="008D51BD" w:rsidRPr="005A513C" w:rsidRDefault="008D51BD" w:rsidP="00A108E9">
      <w:pPr>
        <w:pStyle w:val="Point2"/>
        <w:rPr>
          <w:noProof/>
        </w:rPr>
      </w:pPr>
      <w:r>
        <w:rPr>
          <w:noProof/>
        </w:rPr>
        <w:t>(c)</w:t>
      </w:r>
      <w:r>
        <w:rPr>
          <w:noProof/>
        </w:rPr>
        <w:tab/>
      </w:r>
      <w:r w:rsidRPr="005A513C">
        <w:rPr>
          <w:noProof/>
        </w:rPr>
        <w:t>specifiche tecniche;</w:t>
      </w:r>
    </w:p>
    <w:p w:rsidR="008D51BD" w:rsidRPr="005A513C" w:rsidRDefault="008D51BD" w:rsidP="00A108E9">
      <w:pPr>
        <w:pStyle w:val="Point2"/>
        <w:rPr>
          <w:noProof/>
        </w:rPr>
      </w:pPr>
      <w:r>
        <w:rPr>
          <w:noProof/>
        </w:rPr>
        <w:lastRenderedPageBreak/>
        <w:t>(d)</w:t>
      </w:r>
      <w:r>
        <w:rPr>
          <w:noProof/>
        </w:rPr>
        <w:tab/>
      </w:r>
      <w:r w:rsidRPr="005A513C">
        <w:rPr>
          <w:noProof/>
        </w:rPr>
        <w:t>quantità del prodotto o dei prodotti; e</w:t>
      </w:r>
    </w:p>
    <w:p w:rsidR="000F61E9" w:rsidRPr="005A513C" w:rsidRDefault="008D51BD" w:rsidP="00A108E9">
      <w:pPr>
        <w:pStyle w:val="Point2"/>
        <w:rPr>
          <w:noProof/>
        </w:rPr>
      </w:pPr>
      <w:r>
        <w:rPr>
          <w:noProof/>
        </w:rPr>
        <w:t>(e)</w:t>
      </w:r>
      <w:r>
        <w:rPr>
          <w:noProof/>
        </w:rPr>
        <w:tab/>
      </w:r>
      <w:r w:rsidRPr="005A513C">
        <w:rPr>
          <w:noProof/>
        </w:rPr>
        <w:t>luogo di stoccaggio previsto.</w:t>
      </w:r>
      <w:r w:rsidR="00421EF9">
        <w:rPr>
          <w:noProof/>
        </w:rPr>
        <w:t>"</w:t>
      </w:r>
      <w:r w:rsidRPr="005A513C">
        <w:rPr>
          <w:noProof/>
        </w:rPr>
        <w:t>;</w:t>
      </w:r>
    </w:p>
    <w:p w:rsidR="00C30CCE" w:rsidRPr="005A513C" w:rsidRDefault="00FE4ECB" w:rsidP="002644F7"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allegato III è sostituito dal testo che figura nell</w:t>
      </w:r>
      <w:r w:rsidR="00421EF9">
        <w:rPr>
          <w:noProof/>
        </w:rPr>
        <w:t>'</w:t>
      </w:r>
      <w:r w:rsidRPr="005A513C">
        <w:rPr>
          <w:noProof/>
        </w:rPr>
        <w:t>allegato I del presente regolamento;</w:t>
      </w:r>
    </w:p>
    <w:p w:rsidR="00FE4ECB" w:rsidRPr="005A513C" w:rsidRDefault="00FE4ECB" w:rsidP="002644F7">
      <w:pPr>
        <w:pStyle w:val="Point0"/>
        <w:rPr>
          <w:noProof/>
        </w:rPr>
      </w:pPr>
      <w:r>
        <w:rPr>
          <w:noProof/>
        </w:rPr>
        <w:t>(6)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allegato IV è sostituito dal testo che figura nell</w:t>
      </w:r>
      <w:r w:rsidR="00421EF9">
        <w:rPr>
          <w:noProof/>
        </w:rPr>
        <w:t>'</w:t>
      </w:r>
      <w:r w:rsidRPr="005A513C">
        <w:rPr>
          <w:noProof/>
        </w:rPr>
        <w:t>allegato II del presente regolamento;</w:t>
      </w:r>
    </w:p>
    <w:p w:rsidR="00841F96" w:rsidRPr="005A513C" w:rsidRDefault="00841F96" w:rsidP="002644F7">
      <w:pPr>
        <w:pStyle w:val="Point0"/>
        <w:rPr>
          <w:noProof/>
        </w:rPr>
      </w:pPr>
      <w:r>
        <w:rPr>
          <w:noProof/>
        </w:rPr>
        <w:t>(7)</w:t>
      </w:r>
      <w:r>
        <w:rPr>
          <w:noProof/>
        </w:rPr>
        <w:tab/>
      </w:r>
      <w:r w:rsidRPr="005A513C">
        <w:rPr>
          <w:noProof/>
        </w:rPr>
        <w:t>l</w:t>
      </w:r>
      <w:r w:rsidR="00421EF9">
        <w:rPr>
          <w:noProof/>
        </w:rPr>
        <w:t>'</w:t>
      </w:r>
      <w:r w:rsidRPr="005A513C">
        <w:rPr>
          <w:noProof/>
        </w:rPr>
        <w:t>allegato V è sostituito dal testo che figura nell</w:t>
      </w:r>
      <w:r w:rsidR="00421EF9">
        <w:rPr>
          <w:noProof/>
        </w:rPr>
        <w:t>'</w:t>
      </w:r>
      <w:r w:rsidRPr="005A513C">
        <w:rPr>
          <w:noProof/>
        </w:rPr>
        <w:t>allegato III del presente regolamento.</w:t>
      </w:r>
    </w:p>
    <w:p w:rsidR="002C5B52" w:rsidRPr="005A513C" w:rsidRDefault="002C5B52" w:rsidP="002C5B52">
      <w:pPr>
        <w:rPr>
          <w:noProof/>
        </w:rPr>
      </w:pPr>
    </w:p>
    <w:p w:rsidR="002C5B52" w:rsidRPr="005A513C" w:rsidRDefault="002C5B52" w:rsidP="002C5B52">
      <w:pPr>
        <w:pStyle w:val="Titrearticle"/>
        <w:rPr>
          <w:noProof/>
        </w:rPr>
      </w:pPr>
      <w:r w:rsidRPr="005A513C">
        <w:rPr>
          <w:noProof/>
        </w:rPr>
        <w:t>Articolo 2</w:t>
      </w:r>
    </w:p>
    <w:p w:rsidR="00C04A30" w:rsidRPr="005A513C" w:rsidRDefault="00C04A30" w:rsidP="00CE48A5">
      <w:pPr>
        <w:rPr>
          <w:noProof/>
        </w:rPr>
      </w:pPr>
      <w:r w:rsidRPr="005A513C">
        <w:rPr>
          <w:noProof/>
        </w:rPr>
        <w:t xml:space="preserve">Il presente regolamento entra in vigore il giorno successivo alla pubblicazione nella </w:t>
      </w:r>
      <w:r w:rsidRPr="005A513C">
        <w:rPr>
          <w:i/>
          <w:noProof/>
        </w:rPr>
        <w:t>Gazzetta ufficiale dell</w:t>
      </w:r>
      <w:r w:rsidR="00421EF9">
        <w:rPr>
          <w:i/>
          <w:noProof/>
        </w:rPr>
        <w:t>'</w:t>
      </w:r>
      <w:r w:rsidRPr="005A513C">
        <w:rPr>
          <w:i/>
          <w:noProof/>
        </w:rPr>
        <w:t>Unione europea</w:t>
      </w:r>
      <w:r w:rsidRPr="005A513C">
        <w:rPr>
          <w:noProof/>
        </w:rPr>
        <w:t>.</w:t>
      </w:r>
    </w:p>
    <w:p w:rsidR="00C04A30" w:rsidRPr="005A513C" w:rsidRDefault="00C04A30" w:rsidP="00CE48A5">
      <w:pPr>
        <w:pStyle w:val="Applicationdirecte"/>
        <w:rPr>
          <w:noProof/>
        </w:rPr>
      </w:pPr>
      <w:r w:rsidRPr="005A513C">
        <w:rPr>
          <w:noProof/>
        </w:rPr>
        <w:t>Il presente regolamento è obbligatorio in tutti i suoi elementi e direttamente applicabile in</w:t>
      </w:r>
      <w:r w:rsidR="00093CE0">
        <w:rPr>
          <w:noProof/>
        </w:rPr>
        <w:t> </w:t>
      </w:r>
      <w:r w:rsidRPr="005A513C">
        <w:rPr>
          <w:noProof/>
        </w:rPr>
        <w:t>ciascuno degli Stati membri.</w:t>
      </w:r>
    </w:p>
    <w:p w:rsidR="00C04A30" w:rsidRPr="005A513C" w:rsidRDefault="009E34B2" w:rsidP="00A701F9">
      <w:pPr>
        <w:pStyle w:val="Fait"/>
        <w:rPr>
          <w:noProof/>
        </w:rPr>
      </w:pPr>
      <w:r>
        <w:rPr>
          <w:noProof/>
        </w:rPr>
        <w:t>Fatto a Bruxelles, il</w:t>
      </w:r>
    </w:p>
    <w:p w:rsidR="00C04A30" w:rsidRPr="005A513C" w:rsidRDefault="00C04A30" w:rsidP="00A701F9">
      <w:pPr>
        <w:pStyle w:val="Institutionquisigne"/>
        <w:rPr>
          <w:noProof/>
        </w:rPr>
      </w:pPr>
      <w:r w:rsidRPr="005A513C">
        <w:rPr>
          <w:noProof/>
        </w:rPr>
        <w:tab/>
        <w:t>Per il Consiglio</w:t>
      </w:r>
    </w:p>
    <w:p w:rsidR="00C04A30" w:rsidRPr="005A513C" w:rsidRDefault="00C04A30" w:rsidP="00C04A30">
      <w:pPr>
        <w:pStyle w:val="Personnequisigne"/>
        <w:rPr>
          <w:noProof/>
        </w:rPr>
      </w:pPr>
      <w:r w:rsidRPr="005A513C">
        <w:rPr>
          <w:noProof/>
        </w:rPr>
        <w:tab/>
        <w:t>Il presidente</w:t>
      </w:r>
    </w:p>
    <w:sectPr w:rsidR="00C04A30" w:rsidRPr="005A513C" w:rsidSect="00A06F64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30" w:rsidRDefault="00C04A30" w:rsidP="00C04A30">
      <w:pPr>
        <w:spacing w:before="0" w:after="0"/>
      </w:pPr>
      <w:r>
        <w:separator/>
      </w:r>
    </w:p>
  </w:endnote>
  <w:endnote w:type="continuationSeparator" w:id="0">
    <w:p w:rsidR="00C04A30" w:rsidRDefault="00C04A30" w:rsidP="00C04A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Pr="00A06F64" w:rsidRDefault="00A06F64" w:rsidP="00A06F64">
    <w:pPr>
      <w:pStyle w:val="Footer"/>
      <w:rPr>
        <w:rFonts w:ascii="Arial" w:hAnsi="Arial" w:cs="Arial"/>
        <w:b/>
        <w:sz w:val="48"/>
      </w:rPr>
    </w:pPr>
    <w:r w:rsidRPr="00A06F64">
      <w:rPr>
        <w:rFonts w:ascii="Arial" w:hAnsi="Arial" w:cs="Arial"/>
        <w:b/>
        <w:sz w:val="48"/>
      </w:rPr>
      <w:t>IT</w:t>
    </w:r>
    <w:r w:rsidRPr="00A06F64">
      <w:rPr>
        <w:rFonts w:ascii="Arial" w:hAnsi="Arial" w:cs="Arial"/>
        <w:b/>
        <w:sz w:val="48"/>
      </w:rPr>
      <w:tab/>
    </w:r>
    <w:r w:rsidRPr="00A06F64">
      <w:rPr>
        <w:rFonts w:ascii="Arial" w:hAnsi="Arial" w:cs="Arial"/>
        <w:b/>
        <w:sz w:val="48"/>
      </w:rPr>
      <w:tab/>
    </w:r>
    <w:r w:rsidRPr="00A06F64">
      <w:tab/>
    </w:r>
    <w:r w:rsidRPr="00A06F64">
      <w:rPr>
        <w:rFonts w:ascii="Arial" w:hAnsi="Arial" w:cs="Arial"/>
        <w:b/>
        <w:sz w:val="48"/>
      </w:rPr>
      <w:t>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Pr="00A06F64" w:rsidRDefault="00A06F64" w:rsidP="00A06F64">
    <w:pPr>
      <w:pStyle w:val="Footer"/>
      <w:rPr>
        <w:rFonts w:ascii="Arial" w:hAnsi="Arial" w:cs="Arial"/>
        <w:b/>
        <w:sz w:val="48"/>
      </w:rPr>
    </w:pPr>
    <w:r w:rsidRPr="00A06F64">
      <w:rPr>
        <w:rFonts w:ascii="Arial" w:hAnsi="Arial" w:cs="Arial"/>
        <w:b/>
        <w:sz w:val="48"/>
      </w:rPr>
      <w:t>IT</w:t>
    </w:r>
    <w:r w:rsidRPr="00A06F64">
      <w:rPr>
        <w:rFonts w:ascii="Arial" w:hAnsi="Arial" w:cs="Arial"/>
        <w:b/>
        <w:sz w:val="48"/>
      </w:rPr>
      <w:tab/>
    </w:r>
    <w:r w:rsidRPr="00A06F64">
      <w:rPr>
        <w:rFonts w:ascii="Arial" w:hAnsi="Arial" w:cs="Arial"/>
        <w:b/>
        <w:sz w:val="48"/>
      </w:rPr>
      <w:tab/>
    </w:r>
    <w:r w:rsidRPr="00A06F64">
      <w:tab/>
    </w:r>
    <w:r w:rsidRPr="00A06F64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Default="00A06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Pr="00A06F64" w:rsidRDefault="00A06F64" w:rsidP="00A06F64">
    <w:pPr>
      <w:pStyle w:val="Footer"/>
      <w:rPr>
        <w:rFonts w:ascii="Arial" w:hAnsi="Arial" w:cs="Arial"/>
        <w:b/>
        <w:sz w:val="48"/>
      </w:rPr>
    </w:pPr>
    <w:r w:rsidRPr="00A06F64">
      <w:rPr>
        <w:rFonts w:ascii="Arial" w:hAnsi="Arial" w:cs="Arial"/>
        <w:b/>
        <w:sz w:val="48"/>
      </w:rPr>
      <w:t>IT</w:t>
    </w:r>
    <w:r w:rsidRPr="00A06F6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701F9">
      <w:rPr>
        <w:noProof/>
      </w:rPr>
      <w:t>5</w:t>
    </w:r>
    <w:r>
      <w:fldChar w:fldCharType="end"/>
    </w:r>
    <w:r>
      <w:tab/>
    </w:r>
    <w:r w:rsidRPr="00A06F64">
      <w:tab/>
    </w:r>
    <w:r w:rsidRPr="00A06F64">
      <w:rPr>
        <w:rFonts w:ascii="Arial" w:hAnsi="Arial" w:cs="Arial"/>
        <w:b/>
        <w:sz w:val="48"/>
      </w:rPr>
      <w:t>IT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Default="00A06F64" w:rsidP="00A0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30" w:rsidRDefault="00C04A30" w:rsidP="00C04A30">
      <w:pPr>
        <w:spacing w:before="0" w:after="0"/>
      </w:pPr>
      <w:r>
        <w:separator/>
      </w:r>
    </w:p>
  </w:footnote>
  <w:footnote w:type="continuationSeparator" w:id="0">
    <w:p w:rsidR="00C04A30" w:rsidRDefault="00C04A30" w:rsidP="00C04A30">
      <w:pPr>
        <w:spacing w:before="0" w:after="0"/>
      </w:pPr>
      <w:r>
        <w:continuationSeparator/>
      </w:r>
    </w:p>
  </w:footnote>
  <w:footnote w:id="1">
    <w:p w:rsidR="00A108E9" w:rsidRPr="00E36D94" w:rsidRDefault="00A108E9">
      <w:pPr>
        <w:pStyle w:val="FootnoteText"/>
      </w:pPr>
      <w:r>
        <w:rPr>
          <w:rStyle w:val="FootnoteReference"/>
        </w:rPr>
        <w:footnoteRef/>
      </w:r>
      <w:r>
        <w:tab/>
        <w:t>GU […]</w:t>
      </w:r>
    </w:p>
  </w:footnote>
  <w:footnote w:id="2">
    <w:p w:rsidR="00A108E9" w:rsidRPr="004B4693" w:rsidRDefault="00A108E9" w:rsidP="00A108E9">
      <w:pPr>
        <w:pStyle w:val="FootnoteText"/>
      </w:pPr>
      <w:r>
        <w:rPr>
          <w:rStyle w:val="FootnoteReference"/>
        </w:rPr>
        <w:footnoteRef/>
      </w:r>
      <w:r>
        <w:tab/>
        <w:t>GU L</w:t>
      </w:r>
      <w:r w:rsidR="00421EF9">
        <w:t> </w:t>
      </w:r>
      <w:r>
        <w:t>105 del 27.4.2010, pag.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Default="00A0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64" w:rsidRDefault="00A0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6AA14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786BF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C90AB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AF47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  <w:lvlOverride w:ilvl="0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5"/>
  </w:num>
  <w:num w:numId="19">
    <w:abstractNumId w:val="16"/>
  </w:num>
  <w:num w:numId="20">
    <w:abstractNumId w:val="4"/>
  </w:num>
  <w:num w:numId="21">
    <w:abstractNumId w:val="11"/>
  </w:num>
  <w:num w:numId="22">
    <w:abstractNumId w:val="13"/>
  </w:num>
  <w:num w:numId="23">
    <w:abstractNumId w:val="14"/>
  </w:num>
  <w:num w:numId="24">
    <w:abstractNumId w:val="6"/>
  </w:num>
  <w:num w:numId="25">
    <w:abstractNumId w:val="12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2-20 09:57:5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A38A145-F8A8-43A2-B79F-9482E5BEC29D"/>
    <w:docVar w:name="LW_COVERPAGE_TYPE" w:val="1"/>
    <w:docVar w:name="LW_CROSSREFERENCE" w:val="&lt;UNUSED&gt;"/>
    <w:docVar w:name="LW_DocType" w:val="COM"/>
    <w:docVar w:name="LW_EMISSION" w:val="20.2.2024"/>
    <w:docVar w:name="LW_EMISSION_ISODATE" w:val="2024-02-20"/>
    <w:docVar w:name="LW_EMISSION_LOCATION" w:val="BRX"/>
    <w:docVar w:name="LW_EMISSION_PREFIX" w:val="Bruxelles, "/>
    <w:docVar w:name="LW_EMISSION_SUFFIX" w:val=" "/>
    <w:docVar w:name="LW_ID_DOCMODEL" w:val="SG-057"/>
    <w:docVar w:name="LW_ID_DOCSIGNATURE" w:val="SJ-016"/>
    <w:docVar w:name="LW_ID_DOCSTRUCTURE" w:val="COM/PL/ORG"/>
    <w:docVar w:name="LW_ID_DOCTYPE" w:val="SG-057"/>
    <w:docVar w:name="LW_ID_STATUT" w:val="SG-057"/>
    <w:docVar w:name="LW_INSERT_EXP.MOTIFS.NEW" w:val="1"/>
    <w:docVar w:name="LW_INTERETEEE.CP" w:val="&lt;UNUSED&gt;"/>
    <w:docVar w:name="LW_LANGUE" w:val="IT"/>
    <w:docVar w:name="LW_LEVEL_OF_SENSITIVITY" w:val="Standard treatment"/>
    <w:docVar w:name="LW_NOM.INST" w:val="COMMISSIONE EUROPEA"/>
    <w:docVar w:name="LW_NOM.INST_JOINTDOC" w:val="ALTO RAPPRESENTANTE_x000b_DELL'UNIONE PER _x000b_ GLI AFFARI ESTERI E_x000b_ LA POLITICA DI SICUREZZA"/>
    <w:docVar w:name="LW_PART_NBR" w:val="1"/>
    <w:docVar w:name="LW_PART_NBR_TOTAL" w:val="1"/>
    <w:docVar w:name="LW_REF.II.NEW.CP" w:val="NLE"/>
    <w:docVar w:name="LW_REF.II.NEW.CP_NUMBER" w:val="0045"/>
    <w:docVar w:name="LW_REF.II.NEW.CP_YEAR" w:val="2024"/>
    <w:docVar w:name="LW_REF.INST.NEW" w:val="JOIN"/>
    <w:docVar w:name="LW_REF.INST.NEW_ADOPTED" w:val="final"/>
    <w:docVar w:name="LW_REF.INST.NEW_TEXT" w:val="(2024) 4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congiunta di"/>
    <w:docVar w:name="LW_SUPERTITRE" w:val="&lt;UNUSED&gt;"/>
    <w:docVar w:name="LW_TITRE.OBJ.CP" w:val="che modifica il regolamento (CE) n. 147/2003 relativo a talune misure restrittive nei confronti della Somalia"/>
    <w:docVar w:name="LW_TYPE.DOC.CP" w:val="REGOLAMENTO DEL CONSIGLIO"/>
    <w:docVar w:name="LwApiVersions" w:val="LW4CoDe 1.24.4.0; LW 9.0, Build 20240125"/>
  </w:docVars>
  <w:rsids>
    <w:rsidRoot w:val="00C04A30"/>
    <w:rsid w:val="00065795"/>
    <w:rsid w:val="0007006D"/>
    <w:rsid w:val="00073D8C"/>
    <w:rsid w:val="00093CE0"/>
    <w:rsid w:val="00095E69"/>
    <w:rsid w:val="000F61E9"/>
    <w:rsid w:val="00103E39"/>
    <w:rsid w:val="00105E83"/>
    <w:rsid w:val="001065F5"/>
    <w:rsid w:val="001238EF"/>
    <w:rsid w:val="00197613"/>
    <w:rsid w:val="001A60A4"/>
    <w:rsid w:val="001B5A4C"/>
    <w:rsid w:val="001D23CF"/>
    <w:rsid w:val="00200BAF"/>
    <w:rsid w:val="00233DC7"/>
    <w:rsid w:val="00237CEB"/>
    <w:rsid w:val="00245937"/>
    <w:rsid w:val="00247779"/>
    <w:rsid w:val="002644F7"/>
    <w:rsid w:val="00264E3F"/>
    <w:rsid w:val="0026730F"/>
    <w:rsid w:val="00285BEE"/>
    <w:rsid w:val="002906E7"/>
    <w:rsid w:val="00294141"/>
    <w:rsid w:val="0029533F"/>
    <w:rsid w:val="002B30AF"/>
    <w:rsid w:val="002C35C4"/>
    <w:rsid w:val="002C5B52"/>
    <w:rsid w:val="002F0BA6"/>
    <w:rsid w:val="0032050B"/>
    <w:rsid w:val="0032116C"/>
    <w:rsid w:val="0033344A"/>
    <w:rsid w:val="00353E70"/>
    <w:rsid w:val="00363DB2"/>
    <w:rsid w:val="00365A7D"/>
    <w:rsid w:val="0038226E"/>
    <w:rsid w:val="0039364A"/>
    <w:rsid w:val="003A2AA7"/>
    <w:rsid w:val="003C1144"/>
    <w:rsid w:val="003D7E65"/>
    <w:rsid w:val="003F4468"/>
    <w:rsid w:val="004052F9"/>
    <w:rsid w:val="00421EF9"/>
    <w:rsid w:val="0042648E"/>
    <w:rsid w:val="00454CD3"/>
    <w:rsid w:val="004779E6"/>
    <w:rsid w:val="004825A6"/>
    <w:rsid w:val="00484EB0"/>
    <w:rsid w:val="0049002A"/>
    <w:rsid w:val="004936D2"/>
    <w:rsid w:val="0049641B"/>
    <w:rsid w:val="00501962"/>
    <w:rsid w:val="0052501F"/>
    <w:rsid w:val="00532F21"/>
    <w:rsid w:val="00535E3A"/>
    <w:rsid w:val="0057043D"/>
    <w:rsid w:val="005A0A47"/>
    <w:rsid w:val="005A513C"/>
    <w:rsid w:val="005A74CD"/>
    <w:rsid w:val="005B0758"/>
    <w:rsid w:val="005B1EB6"/>
    <w:rsid w:val="005B4C48"/>
    <w:rsid w:val="005C2332"/>
    <w:rsid w:val="005E5FB1"/>
    <w:rsid w:val="00643FF5"/>
    <w:rsid w:val="00664876"/>
    <w:rsid w:val="006C230A"/>
    <w:rsid w:val="006D7622"/>
    <w:rsid w:val="006E1CF0"/>
    <w:rsid w:val="00743BA0"/>
    <w:rsid w:val="00746688"/>
    <w:rsid w:val="00751CBE"/>
    <w:rsid w:val="00773331"/>
    <w:rsid w:val="00792BA5"/>
    <w:rsid w:val="007932EF"/>
    <w:rsid w:val="007A3CDF"/>
    <w:rsid w:val="007C7C09"/>
    <w:rsid w:val="007E05B0"/>
    <w:rsid w:val="007F0557"/>
    <w:rsid w:val="008074AA"/>
    <w:rsid w:val="00822E65"/>
    <w:rsid w:val="00824A34"/>
    <w:rsid w:val="008353B7"/>
    <w:rsid w:val="00841F96"/>
    <w:rsid w:val="00860174"/>
    <w:rsid w:val="00872399"/>
    <w:rsid w:val="00873219"/>
    <w:rsid w:val="00874D22"/>
    <w:rsid w:val="00892561"/>
    <w:rsid w:val="008A2914"/>
    <w:rsid w:val="008A35D5"/>
    <w:rsid w:val="008C5BE0"/>
    <w:rsid w:val="008D1771"/>
    <w:rsid w:val="008D51BD"/>
    <w:rsid w:val="008E4D8E"/>
    <w:rsid w:val="00902853"/>
    <w:rsid w:val="00906AF2"/>
    <w:rsid w:val="00912F0F"/>
    <w:rsid w:val="00947BC9"/>
    <w:rsid w:val="00971912"/>
    <w:rsid w:val="009E34B2"/>
    <w:rsid w:val="009E3ACB"/>
    <w:rsid w:val="009E43D6"/>
    <w:rsid w:val="00A0476C"/>
    <w:rsid w:val="00A06F64"/>
    <w:rsid w:val="00A07488"/>
    <w:rsid w:val="00A108E9"/>
    <w:rsid w:val="00A13CF6"/>
    <w:rsid w:val="00A35C37"/>
    <w:rsid w:val="00A571E4"/>
    <w:rsid w:val="00A701F9"/>
    <w:rsid w:val="00A823C7"/>
    <w:rsid w:val="00AB1666"/>
    <w:rsid w:val="00AB5254"/>
    <w:rsid w:val="00AD5962"/>
    <w:rsid w:val="00AE0B81"/>
    <w:rsid w:val="00AE280C"/>
    <w:rsid w:val="00B33D29"/>
    <w:rsid w:val="00B41B04"/>
    <w:rsid w:val="00B42409"/>
    <w:rsid w:val="00B56C69"/>
    <w:rsid w:val="00B6587D"/>
    <w:rsid w:val="00B84178"/>
    <w:rsid w:val="00BF4FA9"/>
    <w:rsid w:val="00C04A30"/>
    <w:rsid w:val="00C12301"/>
    <w:rsid w:val="00C2235E"/>
    <w:rsid w:val="00C265C6"/>
    <w:rsid w:val="00C30CCE"/>
    <w:rsid w:val="00C57BD7"/>
    <w:rsid w:val="00CD3709"/>
    <w:rsid w:val="00CE07F1"/>
    <w:rsid w:val="00CF1232"/>
    <w:rsid w:val="00D20381"/>
    <w:rsid w:val="00D5799A"/>
    <w:rsid w:val="00D74EF3"/>
    <w:rsid w:val="00D93459"/>
    <w:rsid w:val="00D95295"/>
    <w:rsid w:val="00DC580F"/>
    <w:rsid w:val="00DE1D3A"/>
    <w:rsid w:val="00E01FA4"/>
    <w:rsid w:val="00E06AA9"/>
    <w:rsid w:val="00E2745F"/>
    <w:rsid w:val="00E36D94"/>
    <w:rsid w:val="00E52E2E"/>
    <w:rsid w:val="00ED2B79"/>
    <w:rsid w:val="00ED2BB4"/>
    <w:rsid w:val="00ED2F8E"/>
    <w:rsid w:val="00EE780A"/>
    <w:rsid w:val="00F137F5"/>
    <w:rsid w:val="00F57925"/>
    <w:rsid w:val="00FA4B19"/>
    <w:rsid w:val="00FC1937"/>
    <w:rsid w:val="00FC38F8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74E807C1-8991-4D96-AB64-6DB8F5BB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9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9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9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01F"/>
    <w:rPr>
      <w:rFonts w:ascii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1F"/>
    <w:rPr>
      <w:rFonts w:ascii="Times New Roman" w:hAnsi="Times New Roman" w:cs="Times New Roman"/>
      <w:b/>
      <w:bCs/>
      <w:sz w:val="20"/>
      <w:szCs w:val="20"/>
      <w:lang w:val="it-IT"/>
    </w:rPr>
  </w:style>
  <w:style w:type="paragraph" w:customStyle="1" w:styleId="title-article-norm">
    <w:name w:val="title-article-norm"/>
    <w:basedOn w:val="Normal"/>
    <w:rsid w:val="000F61E9"/>
    <w:pPr>
      <w:spacing w:before="100" w:beforeAutospacing="1" w:after="100" w:afterAutospacing="1"/>
      <w:jc w:val="left"/>
    </w:pPr>
    <w:rPr>
      <w:rFonts w:eastAsia="Times New Roman"/>
      <w:szCs w:val="24"/>
      <w:lang w:eastAsia="zh-CN"/>
    </w:rPr>
  </w:style>
  <w:style w:type="character" w:customStyle="1" w:styleId="no-parag">
    <w:name w:val="no-parag"/>
    <w:basedOn w:val="DefaultParagraphFont"/>
    <w:rsid w:val="000F61E9"/>
  </w:style>
  <w:style w:type="paragraph" w:customStyle="1" w:styleId="norm">
    <w:name w:val="norm"/>
    <w:basedOn w:val="Normal"/>
    <w:rsid w:val="000F61E9"/>
    <w:pPr>
      <w:spacing w:before="100" w:beforeAutospacing="1" w:after="100" w:afterAutospacing="1"/>
      <w:jc w:val="left"/>
    </w:pPr>
    <w:rPr>
      <w:rFonts w:eastAsia="Times New Roman"/>
      <w:szCs w:val="24"/>
      <w:lang w:eastAsia="zh-CN"/>
    </w:rPr>
  </w:style>
  <w:style w:type="paragraph" w:styleId="ListBullet">
    <w:name w:val="List Bullet"/>
    <w:basedOn w:val="Normal"/>
    <w:uiPriority w:val="99"/>
    <w:semiHidden/>
    <w:unhideWhenUsed/>
    <w:rsid w:val="00A0476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47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47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476C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A047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9641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F64"/>
    <w:rPr>
      <w:rFonts w:ascii="Times New Roman" w:hAnsi="Times New Roman" w:cs="Times New Roman"/>
      <w:sz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A06F64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06F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06F64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06F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Tiret5">
    <w:name w:val="Tiret 5"/>
    <w:basedOn w:val="Point5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8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8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06F64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A06F64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A06F64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A06F64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84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29</cp:revision>
  <dcterms:created xsi:type="dcterms:W3CDTF">2024-02-16T09:46:00Z</dcterms:created>
  <dcterms:modified xsi:type="dcterms:W3CDTF">2024-02-20T08:57:00Z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2024-01-11T11:56:39Z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317f442a-2ece-49a9-baee-c8d4e6b0adfc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Level of sensitivity">
    <vt:lpwstr>Standard treatment</vt:lpwstr>
  </property>
  <property fmtid="{D5CDD505-2E9C-101B-9397-08002B2CF9AE}" pid="16" name="LWTemplateID">
    <vt:lpwstr>SG-057</vt:lpwstr>
  </property>
  <property fmtid="{D5CDD505-2E9C-101B-9397-08002B2CF9AE}" pid="17" name="DQCStatus">
    <vt:lpwstr>Green (DQC version 03)</vt:lpwstr>
  </property>
</Properties>
</file>