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E5E0" w14:textId="24A33ADD" w:rsidR="008B6253" w:rsidRPr="00D3648A" w:rsidRDefault="001067A2" w:rsidP="001067A2">
      <w:pPr>
        <w:pStyle w:val="Pagedecouverture"/>
        <w:rPr>
          <w:noProof/>
        </w:rPr>
      </w:pPr>
      <w:bookmarkStart w:id="0" w:name="LW_BM_COVERPAGE"/>
      <w:r>
        <w:rPr>
          <w:noProof/>
        </w:rPr>
        <w:pict w14:anchorId="765CE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79A7AF3-F7B6-43EE-8A6A-B18554ACFB03" style="width:455.25pt;height:420.75pt">
            <v:imagedata r:id="rId11" o:title=""/>
          </v:shape>
        </w:pict>
      </w:r>
    </w:p>
    <w:bookmarkEnd w:id="0"/>
    <w:p w14:paraId="01AEB2FF" w14:textId="77777777" w:rsidR="008B6253" w:rsidRPr="00D3648A" w:rsidRDefault="008B6253" w:rsidP="008B6253">
      <w:pPr>
        <w:rPr>
          <w:noProof/>
        </w:rPr>
        <w:sectPr w:rsidR="008B6253" w:rsidRPr="00D3648A" w:rsidSect="001067A2">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6159457" w14:textId="77777777" w:rsidR="008B6253" w:rsidRPr="00D3648A" w:rsidRDefault="008B6253" w:rsidP="008B6253">
      <w:pPr>
        <w:pStyle w:val="TOCHeading"/>
        <w:rPr>
          <w:rFonts w:eastAsiaTheme="minorHAnsi"/>
          <w:b w:val="0"/>
          <w:noProof/>
          <w:sz w:val="24"/>
          <w:lang w:val="en-IE"/>
        </w:rPr>
      </w:pPr>
      <w:bookmarkStart w:id="1" w:name="_GoBack"/>
      <w:bookmarkEnd w:id="1"/>
    </w:p>
    <w:sdt>
      <w:sdtPr>
        <w:rPr>
          <w:rFonts w:eastAsiaTheme="minorHAnsi"/>
          <w:b w:val="0"/>
          <w:noProof/>
          <w:sz w:val="24"/>
          <w:lang w:val="en-IE"/>
        </w:rPr>
        <w:id w:val="-874687748"/>
        <w:docPartObj>
          <w:docPartGallery w:val="Table of Contents"/>
          <w:docPartUnique/>
        </w:docPartObj>
      </w:sdtPr>
      <w:sdtEndPr>
        <w:rPr>
          <w:bCs/>
          <w:sz w:val="22"/>
        </w:rPr>
      </w:sdtEndPr>
      <w:sdtContent>
        <w:p w14:paraId="24E88DD3" w14:textId="77777777" w:rsidR="008B6253" w:rsidRPr="004E4B5D" w:rsidRDefault="008B6253" w:rsidP="008B6253">
          <w:pPr>
            <w:pStyle w:val="TOCHeading"/>
            <w:rPr>
              <w:noProof/>
              <w:color w:val="034EA2" w:themeColor="accent1"/>
            </w:rPr>
          </w:pPr>
          <w:r w:rsidRPr="004E4B5D">
            <w:rPr>
              <w:noProof/>
              <w:color w:val="034EA2" w:themeColor="accent1"/>
            </w:rPr>
            <w:t>Table of Contents</w:t>
          </w:r>
        </w:p>
        <w:p w14:paraId="6A30833D" w14:textId="45BFABEC" w:rsidR="00F13D4C" w:rsidRPr="004E4B5D" w:rsidRDefault="008B6253" w:rsidP="004E4B5D">
          <w:pPr>
            <w:pStyle w:val="TOC1"/>
            <w:ind w:left="426" w:hanging="426"/>
            <w:rPr>
              <w:rFonts w:asciiTheme="minorHAnsi" w:eastAsiaTheme="minorEastAsia" w:hAnsiTheme="minorHAnsi" w:cstheme="minorBidi"/>
              <w:noProof/>
              <w:color w:val="034EA2" w:themeColor="accent1"/>
              <w:kern w:val="2"/>
              <w:szCs w:val="22"/>
              <w:lang w:val="en-IE" w:eastAsia="en-IE"/>
            </w:rPr>
          </w:pPr>
          <w:r w:rsidRPr="00D3648A">
            <w:rPr>
              <w:noProof/>
            </w:rPr>
            <w:fldChar w:fldCharType="begin"/>
          </w:r>
          <w:r w:rsidRPr="00D3648A">
            <w:rPr>
              <w:noProof/>
            </w:rPr>
            <w:instrText xml:space="preserve"> TOC \o "1-3" \h \z \u </w:instrText>
          </w:r>
          <w:r w:rsidRPr="00D3648A">
            <w:rPr>
              <w:noProof/>
            </w:rPr>
            <w:fldChar w:fldCharType="separate"/>
          </w:r>
          <w:hyperlink w:anchor="_Toc158284853" w:history="1">
            <w:r w:rsidR="00F13D4C" w:rsidRPr="004E4B5D">
              <w:rPr>
                <w:rStyle w:val="Hyperlink"/>
                <w:noProof/>
                <w:color w:val="034EA2" w:themeColor="accent1"/>
              </w:rPr>
              <w:t>1.</w:t>
            </w:r>
            <w:r w:rsidR="00F13D4C" w:rsidRPr="004E4B5D">
              <w:rPr>
                <w:rFonts w:asciiTheme="minorHAnsi" w:eastAsiaTheme="minorEastAsia" w:hAnsiTheme="minorHAnsi" w:cstheme="minorBidi"/>
                <w:noProof/>
                <w:color w:val="034EA2" w:themeColor="accent1"/>
                <w:kern w:val="2"/>
                <w:szCs w:val="22"/>
                <w:lang w:val="en-IE" w:eastAsia="en-IE"/>
              </w:rPr>
              <w:tab/>
            </w:r>
            <w:r w:rsidR="00F13D4C" w:rsidRPr="004E4B5D">
              <w:rPr>
                <w:rStyle w:val="Hyperlink"/>
                <w:noProof/>
                <w:color w:val="034EA2" w:themeColor="accent1"/>
              </w:rPr>
              <w:t>Summary</w:t>
            </w:r>
            <w:r w:rsidR="00F13D4C" w:rsidRPr="004E4B5D">
              <w:rPr>
                <w:noProof/>
                <w:webHidden/>
                <w:color w:val="034EA2" w:themeColor="accent1"/>
              </w:rPr>
              <w:tab/>
            </w:r>
            <w:r w:rsidR="00F13D4C" w:rsidRPr="004E4B5D">
              <w:rPr>
                <w:noProof/>
                <w:webHidden/>
                <w:color w:val="034EA2" w:themeColor="accent1"/>
              </w:rPr>
              <w:fldChar w:fldCharType="begin"/>
            </w:r>
            <w:r w:rsidR="00F13D4C" w:rsidRPr="004E4B5D">
              <w:rPr>
                <w:noProof/>
                <w:webHidden/>
                <w:color w:val="034EA2" w:themeColor="accent1"/>
              </w:rPr>
              <w:instrText xml:space="preserve"> PAGEREF _Toc158284853 \h </w:instrText>
            </w:r>
            <w:r w:rsidR="00F13D4C" w:rsidRPr="004E4B5D">
              <w:rPr>
                <w:noProof/>
                <w:webHidden/>
                <w:color w:val="034EA2" w:themeColor="accent1"/>
              </w:rPr>
            </w:r>
            <w:r w:rsidR="00F13D4C" w:rsidRPr="004E4B5D">
              <w:rPr>
                <w:noProof/>
                <w:webHidden/>
                <w:color w:val="034EA2" w:themeColor="accent1"/>
              </w:rPr>
              <w:fldChar w:fldCharType="separate"/>
            </w:r>
            <w:r w:rsidR="005D30E4">
              <w:rPr>
                <w:noProof/>
                <w:webHidden/>
                <w:color w:val="034EA2" w:themeColor="accent1"/>
              </w:rPr>
              <w:t>3</w:t>
            </w:r>
            <w:r w:rsidR="00F13D4C" w:rsidRPr="004E4B5D">
              <w:rPr>
                <w:noProof/>
                <w:webHidden/>
                <w:color w:val="034EA2" w:themeColor="accent1"/>
              </w:rPr>
              <w:fldChar w:fldCharType="end"/>
            </w:r>
          </w:hyperlink>
        </w:p>
        <w:p w14:paraId="6227B691" w14:textId="04D1AA99" w:rsidR="00F13D4C" w:rsidRPr="004E4B5D" w:rsidRDefault="001067A2" w:rsidP="004E4B5D">
          <w:pPr>
            <w:pStyle w:val="TOC1"/>
            <w:ind w:left="426" w:hanging="426"/>
            <w:rPr>
              <w:rFonts w:asciiTheme="minorHAnsi" w:eastAsiaTheme="minorEastAsia" w:hAnsiTheme="minorHAnsi" w:cstheme="minorBidi"/>
              <w:noProof/>
              <w:color w:val="034EA2" w:themeColor="accent1"/>
              <w:kern w:val="2"/>
              <w:szCs w:val="22"/>
              <w:lang w:val="en-IE" w:eastAsia="en-IE"/>
            </w:rPr>
          </w:pPr>
          <w:hyperlink w:anchor="_Toc158284854" w:history="1">
            <w:r w:rsidR="00F13D4C" w:rsidRPr="004E4B5D">
              <w:rPr>
                <w:rStyle w:val="Hyperlink"/>
                <w:noProof/>
                <w:color w:val="034EA2" w:themeColor="accent1"/>
              </w:rPr>
              <w:t>2.</w:t>
            </w:r>
            <w:r w:rsidR="00F13D4C" w:rsidRPr="004E4B5D">
              <w:rPr>
                <w:rFonts w:asciiTheme="minorHAnsi" w:eastAsiaTheme="minorEastAsia" w:hAnsiTheme="minorHAnsi" w:cstheme="minorBidi"/>
                <w:noProof/>
                <w:color w:val="034EA2" w:themeColor="accent1"/>
                <w:kern w:val="2"/>
                <w:szCs w:val="22"/>
                <w:lang w:val="en-IE" w:eastAsia="en-IE"/>
              </w:rPr>
              <w:tab/>
            </w:r>
            <w:r w:rsidR="00F13D4C" w:rsidRPr="004E4B5D">
              <w:rPr>
                <w:rStyle w:val="Hyperlink"/>
                <w:noProof/>
                <w:color w:val="034EA2" w:themeColor="accent1"/>
              </w:rPr>
              <w:t>Introduction</w:t>
            </w:r>
            <w:r w:rsidR="00F13D4C" w:rsidRPr="004E4B5D">
              <w:rPr>
                <w:noProof/>
                <w:webHidden/>
                <w:color w:val="034EA2" w:themeColor="accent1"/>
              </w:rPr>
              <w:tab/>
            </w:r>
            <w:r w:rsidR="00F13D4C" w:rsidRPr="004E4B5D">
              <w:rPr>
                <w:noProof/>
                <w:webHidden/>
                <w:color w:val="034EA2" w:themeColor="accent1"/>
              </w:rPr>
              <w:fldChar w:fldCharType="begin"/>
            </w:r>
            <w:r w:rsidR="00F13D4C" w:rsidRPr="004E4B5D">
              <w:rPr>
                <w:noProof/>
                <w:webHidden/>
                <w:color w:val="034EA2" w:themeColor="accent1"/>
              </w:rPr>
              <w:instrText xml:space="preserve"> PAGEREF _Toc158284854 \h </w:instrText>
            </w:r>
            <w:r w:rsidR="00F13D4C" w:rsidRPr="004E4B5D">
              <w:rPr>
                <w:noProof/>
                <w:webHidden/>
                <w:color w:val="034EA2" w:themeColor="accent1"/>
              </w:rPr>
            </w:r>
            <w:r w:rsidR="00F13D4C" w:rsidRPr="004E4B5D">
              <w:rPr>
                <w:noProof/>
                <w:webHidden/>
                <w:color w:val="034EA2" w:themeColor="accent1"/>
              </w:rPr>
              <w:fldChar w:fldCharType="separate"/>
            </w:r>
            <w:r w:rsidR="005D30E4">
              <w:rPr>
                <w:noProof/>
                <w:webHidden/>
                <w:color w:val="034EA2" w:themeColor="accent1"/>
              </w:rPr>
              <w:t>3</w:t>
            </w:r>
            <w:r w:rsidR="00F13D4C" w:rsidRPr="004E4B5D">
              <w:rPr>
                <w:noProof/>
                <w:webHidden/>
                <w:color w:val="034EA2" w:themeColor="accent1"/>
              </w:rPr>
              <w:fldChar w:fldCharType="end"/>
            </w:r>
          </w:hyperlink>
        </w:p>
        <w:p w14:paraId="2893B8BC" w14:textId="522AE58C" w:rsidR="00F13D4C" w:rsidRPr="004E4B5D" w:rsidRDefault="001067A2" w:rsidP="004E4B5D">
          <w:pPr>
            <w:pStyle w:val="TOC1"/>
            <w:ind w:left="426" w:hanging="426"/>
            <w:rPr>
              <w:rFonts w:asciiTheme="minorHAnsi" w:eastAsiaTheme="minorEastAsia" w:hAnsiTheme="minorHAnsi" w:cstheme="minorBidi"/>
              <w:noProof/>
              <w:color w:val="034EA2" w:themeColor="accent1"/>
              <w:kern w:val="2"/>
              <w:szCs w:val="22"/>
              <w:lang w:val="en-IE" w:eastAsia="en-IE"/>
            </w:rPr>
          </w:pPr>
          <w:hyperlink w:anchor="_Toc158284855" w:history="1">
            <w:r w:rsidR="00F13D4C" w:rsidRPr="004E4B5D">
              <w:rPr>
                <w:rStyle w:val="Hyperlink"/>
                <w:noProof/>
                <w:color w:val="034EA2" w:themeColor="accent1"/>
              </w:rPr>
              <w:t>3.</w:t>
            </w:r>
            <w:r w:rsidR="00F13D4C" w:rsidRPr="004E4B5D">
              <w:rPr>
                <w:rFonts w:asciiTheme="minorHAnsi" w:eastAsiaTheme="minorEastAsia" w:hAnsiTheme="minorHAnsi" w:cstheme="minorBidi"/>
                <w:noProof/>
                <w:color w:val="034EA2" w:themeColor="accent1"/>
                <w:kern w:val="2"/>
                <w:szCs w:val="22"/>
                <w:lang w:val="en-IE" w:eastAsia="en-IE"/>
              </w:rPr>
              <w:tab/>
            </w:r>
            <w:r w:rsidR="00F13D4C" w:rsidRPr="004E4B5D">
              <w:rPr>
                <w:rStyle w:val="Hyperlink"/>
                <w:noProof/>
                <w:color w:val="034EA2" w:themeColor="accent1"/>
              </w:rPr>
              <w:t>Implementation of borrowing operations in the second half of 2023</w:t>
            </w:r>
            <w:r w:rsidR="00F13D4C" w:rsidRPr="004E4B5D">
              <w:rPr>
                <w:noProof/>
                <w:webHidden/>
                <w:color w:val="034EA2" w:themeColor="accent1"/>
              </w:rPr>
              <w:tab/>
            </w:r>
            <w:r w:rsidR="00F13D4C" w:rsidRPr="004E4B5D">
              <w:rPr>
                <w:noProof/>
                <w:webHidden/>
                <w:color w:val="034EA2" w:themeColor="accent1"/>
              </w:rPr>
              <w:fldChar w:fldCharType="begin"/>
            </w:r>
            <w:r w:rsidR="00F13D4C" w:rsidRPr="004E4B5D">
              <w:rPr>
                <w:noProof/>
                <w:webHidden/>
                <w:color w:val="034EA2" w:themeColor="accent1"/>
              </w:rPr>
              <w:instrText xml:space="preserve"> PAGEREF _Toc158284855 \h </w:instrText>
            </w:r>
            <w:r w:rsidR="00F13D4C" w:rsidRPr="004E4B5D">
              <w:rPr>
                <w:noProof/>
                <w:webHidden/>
                <w:color w:val="034EA2" w:themeColor="accent1"/>
              </w:rPr>
            </w:r>
            <w:r w:rsidR="00F13D4C" w:rsidRPr="004E4B5D">
              <w:rPr>
                <w:noProof/>
                <w:webHidden/>
                <w:color w:val="034EA2" w:themeColor="accent1"/>
              </w:rPr>
              <w:fldChar w:fldCharType="separate"/>
            </w:r>
            <w:r w:rsidR="005D30E4">
              <w:rPr>
                <w:noProof/>
                <w:webHidden/>
                <w:color w:val="034EA2" w:themeColor="accent1"/>
              </w:rPr>
              <w:t>4</w:t>
            </w:r>
            <w:r w:rsidR="00F13D4C" w:rsidRPr="004E4B5D">
              <w:rPr>
                <w:noProof/>
                <w:webHidden/>
                <w:color w:val="034EA2" w:themeColor="accent1"/>
              </w:rPr>
              <w:fldChar w:fldCharType="end"/>
            </w:r>
          </w:hyperlink>
        </w:p>
        <w:p w14:paraId="4622D8E4" w14:textId="701A8FB0" w:rsidR="00F13D4C" w:rsidRPr="004E4B5D" w:rsidRDefault="001067A2" w:rsidP="004E4B5D">
          <w:pPr>
            <w:pStyle w:val="TOC1"/>
            <w:ind w:left="426" w:hanging="426"/>
            <w:rPr>
              <w:rFonts w:asciiTheme="minorHAnsi" w:eastAsiaTheme="minorEastAsia" w:hAnsiTheme="minorHAnsi" w:cstheme="minorBidi"/>
              <w:noProof/>
              <w:color w:val="034EA2" w:themeColor="accent1"/>
              <w:kern w:val="2"/>
              <w:szCs w:val="22"/>
              <w:lang w:val="en-IE" w:eastAsia="en-IE"/>
            </w:rPr>
          </w:pPr>
          <w:hyperlink w:anchor="_Toc158284856" w:history="1">
            <w:r w:rsidR="00F13D4C" w:rsidRPr="004E4B5D">
              <w:rPr>
                <w:rStyle w:val="Hyperlink"/>
                <w:bCs/>
                <w:noProof/>
                <w:color w:val="034EA2" w:themeColor="accent1"/>
              </w:rPr>
              <w:t>4.</w:t>
            </w:r>
            <w:r w:rsidR="00F13D4C" w:rsidRPr="004E4B5D">
              <w:rPr>
                <w:rFonts w:asciiTheme="minorHAnsi" w:eastAsiaTheme="minorEastAsia" w:hAnsiTheme="minorHAnsi" w:cstheme="minorBidi"/>
                <w:noProof/>
                <w:color w:val="034EA2" w:themeColor="accent1"/>
                <w:kern w:val="2"/>
                <w:szCs w:val="22"/>
                <w:lang w:val="en-IE" w:eastAsia="en-IE"/>
              </w:rPr>
              <w:tab/>
            </w:r>
            <w:r w:rsidR="00F13D4C" w:rsidRPr="004E4B5D">
              <w:rPr>
                <w:rStyle w:val="Hyperlink"/>
                <w:bCs/>
                <w:noProof/>
                <w:color w:val="034EA2" w:themeColor="accent1"/>
              </w:rPr>
              <w:t>Cost of funding and liquidity balances</w:t>
            </w:r>
            <w:r w:rsidR="00F13D4C" w:rsidRPr="004E4B5D">
              <w:rPr>
                <w:noProof/>
                <w:webHidden/>
                <w:color w:val="034EA2" w:themeColor="accent1"/>
              </w:rPr>
              <w:tab/>
            </w:r>
            <w:r w:rsidR="00F13D4C" w:rsidRPr="004E4B5D">
              <w:rPr>
                <w:noProof/>
                <w:webHidden/>
                <w:color w:val="034EA2" w:themeColor="accent1"/>
              </w:rPr>
              <w:fldChar w:fldCharType="begin"/>
            </w:r>
            <w:r w:rsidR="00F13D4C" w:rsidRPr="004E4B5D">
              <w:rPr>
                <w:noProof/>
                <w:webHidden/>
                <w:color w:val="034EA2" w:themeColor="accent1"/>
              </w:rPr>
              <w:instrText xml:space="preserve"> PAGEREF _Toc158284856 \h </w:instrText>
            </w:r>
            <w:r w:rsidR="00F13D4C" w:rsidRPr="004E4B5D">
              <w:rPr>
                <w:noProof/>
                <w:webHidden/>
                <w:color w:val="034EA2" w:themeColor="accent1"/>
              </w:rPr>
            </w:r>
            <w:r w:rsidR="00F13D4C" w:rsidRPr="004E4B5D">
              <w:rPr>
                <w:noProof/>
                <w:webHidden/>
                <w:color w:val="034EA2" w:themeColor="accent1"/>
              </w:rPr>
              <w:fldChar w:fldCharType="separate"/>
            </w:r>
            <w:r w:rsidR="005D30E4">
              <w:rPr>
                <w:noProof/>
                <w:webHidden/>
                <w:color w:val="034EA2" w:themeColor="accent1"/>
              </w:rPr>
              <w:t>8</w:t>
            </w:r>
            <w:r w:rsidR="00F13D4C" w:rsidRPr="004E4B5D">
              <w:rPr>
                <w:noProof/>
                <w:webHidden/>
                <w:color w:val="034EA2" w:themeColor="accent1"/>
              </w:rPr>
              <w:fldChar w:fldCharType="end"/>
            </w:r>
          </w:hyperlink>
        </w:p>
        <w:p w14:paraId="41E77F71" w14:textId="5C32F222" w:rsidR="00F13D4C" w:rsidRPr="004E4B5D" w:rsidRDefault="001067A2" w:rsidP="004E4B5D">
          <w:pPr>
            <w:pStyle w:val="TOC1"/>
            <w:ind w:left="426" w:hanging="426"/>
            <w:rPr>
              <w:rFonts w:asciiTheme="minorHAnsi" w:eastAsiaTheme="minorEastAsia" w:hAnsiTheme="minorHAnsi" w:cstheme="minorBidi"/>
              <w:noProof/>
              <w:color w:val="034EA2" w:themeColor="accent1"/>
              <w:kern w:val="2"/>
              <w:szCs w:val="22"/>
              <w:lang w:val="en-IE" w:eastAsia="en-IE"/>
            </w:rPr>
          </w:pPr>
          <w:hyperlink w:anchor="_Toc158284857" w:history="1">
            <w:r w:rsidR="00F13D4C" w:rsidRPr="004E4B5D">
              <w:rPr>
                <w:rStyle w:val="Hyperlink"/>
                <w:bCs/>
                <w:noProof/>
                <w:color w:val="034EA2" w:themeColor="accent1"/>
              </w:rPr>
              <w:t>5.</w:t>
            </w:r>
            <w:r w:rsidR="00F13D4C" w:rsidRPr="004E4B5D">
              <w:rPr>
                <w:rFonts w:asciiTheme="minorHAnsi" w:eastAsiaTheme="minorEastAsia" w:hAnsiTheme="minorHAnsi" w:cstheme="minorBidi"/>
                <w:noProof/>
                <w:color w:val="034EA2" w:themeColor="accent1"/>
                <w:kern w:val="2"/>
                <w:szCs w:val="22"/>
                <w:lang w:val="en-IE" w:eastAsia="en-IE"/>
              </w:rPr>
              <w:tab/>
            </w:r>
            <w:r w:rsidR="00F13D4C" w:rsidRPr="004E4B5D">
              <w:rPr>
                <w:rStyle w:val="Hyperlink"/>
                <w:bCs/>
                <w:noProof/>
                <w:color w:val="034EA2" w:themeColor="accent1"/>
              </w:rPr>
              <w:t>Steps to further develop the ecosystem of EU-Bonds</w:t>
            </w:r>
            <w:r w:rsidR="00F13D4C" w:rsidRPr="004E4B5D">
              <w:rPr>
                <w:noProof/>
                <w:webHidden/>
                <w:color w:val="034EA2" w:themeColor="accent1"/>
              </w:rPr>
              <w:tab/>
            </w:r>
            <w:r w:rsidR="00F13D4C" w:rsidRPr="004E4B5D">
              <w:rPr>
                <w:noProof/>
                <w:webHidden/>
                <w:color w:val="034EA2" w:themeColor="accent1"/>
              </w:rPr>
              <w:fldChar w:fldCharType="begin"/>
            </w:r>
            <w:r w:rsidR="00F13D4C" w:rsidRPr="004E4B5D">
              <w:rPr>
                <w:noProof/>
                <w:webHidden/>
                <w:color w:val="034EA2" w:themeColor="accent1"/>
              </w:rPr>
              <w:instrText xml:space="preserve"> PAGEREF _Toc158284857 \h </w:instrText>
            </w:r>
            <w:r w:rsidR="00F13D4C" w:rsidRPr="004E4B5D">
              <w:rPr>
                <w:noProof/>
                <w:webHidden/>
                <w:color w:val="034EA2" w:themeColor="accent1"/>
              </w:rPr>
            </w:r>
            <w:r w:rsidR="00F13D4C" w:rsidRPr="004E4B5D">
              <w:rPr>
                <w:noProof/>
                <w:webHidden/>
                <w:color w:val="034EA2" w:themeColor="accent1"/>
              </w:rPr>
              <w:fldChar w:fldCharType="separate"/>
            </w:r>
            <w:r w:rsidR="005D30E4">
              <w:rPr>
                <w:noProof/>
                <w:webHidden/>
                <w:color w:val="034EA2" w:themeColor="accent1"/>
              </w:rPr>
              <w:t>9</w:t>
            </w:r>
            <w:r w:rsidR="00F13D4C" w:rsidRPr="004E4B5D">
              <w:rPr>
                <w:noProof/>
                <w:webHidden/>
                <w:color w:val="034EA2" w:themeColor="accent1"/>
              </w:rPr>
              <w:fldChar w:fldCharType="end"/>
            </w:r>
          </w:hyperlink>
        </w:p>
        <w:p w14:paraId="6910D901" w14:textId="1FD1ACF2" w:rsidR="00F13D4C" w:rsidRPr="004E4B5D" w:rsidRDefault="001067A2" w:rsidP="004E4B5D">
          <w:pPr>
            <w:pStyle w:val="TOC1"/>
            <w:ind w:left="426" w:hanging="426"/>
            <w:rPr>
              <w:rFonts w:asciiTheme="minorHAnsi" w:eastAsiaTheme="minorEastAsia" w:hAnsiTheme="minorHAnsi" w:cstheme="minorBidi"/>
              <w:noProof/>
              <w:color w:val="034EA2" w:themeColor="accent1"/>
              <w:kern w:val="2"/>
              <w:szCs w:val="22"/>
              <w:lang w:val="en-IE" w:eastAsia="en-IE"/>
            </w:rPr>
          </w:pPr>
          <w:hyperlink w:anchor="_Toc158284858" w:history="1">
            <w:r w:rsidR="00F13D4C" w:rsidRPr="004E4B5D">
              <w:rPr>
                <w:rStyle w:val="Hyperlink"/>
                <w:bCs/>
                <w:noProof/>
                <w:color w:val="034EA2" w:themeColor="accent1"/>
              </w:rPr>
              <w:t>6.</w:t>
            </w:r>
            <w:r w:rsidR="00F13D4C" w:rsidRPr="004E4B5D">
              <w:rPr>
                <w:rFonts w:asciiTheme="minorHAnsi" w:eastAsiaTheme="minorEastAsia" w:hAnsiTheme="minorHAnsi" w:cstheme="minorBidi"/>
                <w:noProof/>
                <w:color w:val="034EA2" w:themeColor="accent1"/>
                <w:kern w:val="2"/>
                <w:szCs w:val="22"/>
                <w:lang w:val="en-IE" w:eastAsia="en-IE"/>
              </w:rPr>
              <w:tab/>
            </w:r>
            <w:r w:rsidR="00F13D4C" w:rsidRPr="004E4B5D">
              <w:rPr>
                <w:rStyle w:val="Hyperlink"/>
                <w:bCs/>
                <w:noProof/>
                <w:color w:val="034EA2" w:themeColor="accent1"/>
              </w:rPr>
              <w:t>Other milestones in the second half of 2023</w:t>
            </w:r>
            <w:r w:rsidR="00F13D4C" w:rsidRPr="004E4B5D">
              <w:rPr>
                <w:noProof/>
                <w:webHidden/>
                <w:color w:val="034EA2" w:themeColor="accent1"/>
              </w:rPr>
              <w:tab/>
            </w:r>
            <w:r w:rsidR="00F13D4C" w:rsidRPr="004E4B5D">
              <w:rPr>
                <w:noProof/>
                <w:webHidden/>
                <w:color w:val="034EA2" w:themeColor="accent1"/>
              </w:rPr>
              <w:fldChar w:fldCharType="begin"/>
            </w:r>
            <w:r w:rsidR="00F13D4C" w:rsidRPr="004E4B5D">
              <w:rPr>
                <w:noProof/>
                <w:webHidden/>
                <w:color w:val="034EA2" w:themeColor="accent1"/>
              </w:rPr>
              <w:instrText xml:space="preserve"> PAGEREF _Toc158284858 \h </w:instrText>
            </w:r>
            <w:r w:rsidR="00F13D4C" w:rsidRPr="004E4B5D">
              <w:rPr>
                <w:noProof/>
                <w:webHidden/>
                <w:color w:val="034EA2" w:themeColor="accent1"/>
              </w:rPr>
            </w:r>
            <w:r w:rsidR="00F13D4C" w:rsidRPr="004E4B5D">
              <w:rPr>
                <w:noProof/>
                <w:webHidden/>
                <w:color w:val="034EA2" w:themeColor="accent1"/>
              </w:rPr>
              <w:fldChar w:fldCharType="separate"/>
            </w:r>
            <w:r w:rsidR="005D30E4">
              <w:rPr>
                <w:noProof/>
                <w:webHidden/>
                <w:color w:val="034EA2" w:themeColor="accent1"/>
              </w:rPr>
              <w:t>10</w:t>
            </w:r>
            <w:r w:rsidR="00F13D4C" w:rsidRPr="004E4B5D">
              <w:rPr>
                <w:noProof/>
                <w:webHidden/>
                <w:color w:val="034EA2" w:themeColor="accent1"/>
              </w:rPr>
              <w:fldChar w:fldCharType="end"/>
            </w:r>
          </w:hyperlink>
        </w:p>
        <w:p w14:paraId="4661FC17" w14:textId="3472EDA9" w:rsidR="00F13D4C" w:rsidRPr="004E4B5D" w:rsidRDefault="001067A2" w:rsidP="004E4B5D">
          <w:pPr>
            <w:pStyle w:val="TOC1"/>
            <w:ind w:left="426" w:hanging="426"/>
            <w:rPr>
              <w:rFonts w:asciiTheme="minorHAnsi" w:eastAsiaTheme="minorEastAsia" w:hAnsiTheme="minorHAnsi" w:cstheme="minorBidi"/>
              <w:noProof/>
              <w:color w:val="034EA2" w:themeColor="accent1"/>
              <w:kern w:val="2"/>
              <w:szCs w:val="22"/>
              <w:lang w:val="en-IE" w:eastAsia="en-IE"/>
            </w:rPr>
          </w:pPr>
          <w:hyperlink w:anchor="_Toc158284859" w:history="1">
            <w:r w:rsidR="00F13D4C" w:rsidRPr="004E4B5D">
              <w:rPr>
                <w:rStyle w:val="Hyperlink"/>
                <w:noProof/>
                <w:color w:val="034EA2" w:themeColor="accent1"/>
              </w:rPr>
              <w:t>7.</w:t>
            </w:r>
            <w:r w:rsidR="00F13D4C" w:rsidRPr="004E4B5D">
              <w:rPr>
                <w:rFonts w:asciiTheme="minorHAnsi" w:eastAsiaTheme="minorEastAsia" w:hAnsiTheme="minorHAnsi" w:cstheme="minorBidi"/>
                <w:noProof/>
                <w:color w:val="034EA2" w:themeColor="accent1"/>
                <w:kern w:val="2"/>
                <w:szCs w:val="22"/>
                <w:lang w:val="en-IE" w:eastAsia="en-IE"/>
              </w:rPr>
              <w:tab/>
            </w:r>
            <w:r w:rsidR="00F13D4C" w:rsidRPr="004E4B5D">
              <w:rPr>
                <w:rStyle w:val="Hyperlink"/>
                <w:noProof/>
                <w:color w:val="034EA2" w:themeColor="accent1"/>
              </w:rPr>
              <w:t>Issuance outlook for the first half of 2024</w:t>
            </w:r>
            <w:r w:rsidR="00F13D4C" w:rsidRPr="004E4B5D">
              <w:rPr>
                <w:noProof/>
                <w:webHidden/>
                <w:color w:val="034EA2" w:themeColor="accent1"/>
              </w:rPr>
              <w:tab/>
            </w:r>
            <w:r w:rsidR="00F13D4C" w:rsidRPr="004E4B5D">
              <w:rPr>
                <w:noProof/>
                <w:webHidden/>
                <w:color w:val="034EA2" w:themeColor="accent1"/>
              </w:rPr>
              <w:fldChar w:fldCharType="begin"/>
            </w:r>
            <w:r w:rsidR="00F13D4C" w:rsidRPr="004E4B5D">
              <w:rPr>
                <w:noProof/>
                <w:webHidden/>
                <w:color w:val="034EA2" w:themeColor="accent1"/>
              </w:rPr>
              <w:instrText xml:space="preserve"> PAGEREF _Toc158284859 \h </w:instrText>
            </w:r>
            <w:r w:rsidR="00F13D4C" w:rsidRPr="004E4B5D">
              <w:rPr>
                <w:noProof/>
                <w:webHidden/>
                <w:color w:val="034EA2" w:themeColor="accent1"/>
              </w:rPr>
            </w:r>
            <w:r w:rsidR="00F13D4C" w:rsidRPr="004E4B5D">
              <w:rPr>
                <w:noProof/>
                <w:webHidden/>
                <w:color w:val="034EA2" w:themeColor="accent1"/>
              </w:rPr>
              <w:fldChar w:fldCharType="separate"/>
            </w:r>
            <w:r w:rsidR="005D30E4">
              <w:rPr>
                <w:noProof/>
                <w:webHidden/>
                <w:color w:val="034EA2" w:themeColor="accent1"/>
              </w:rPr>
              <w:t>10</w:t>
            </w:r>
            <w:r w:rsidR="00F13D4C" w:rsidRPr="004E4B5D">
              <w:rPr>
                <w:noProof/>
                <w:webHidden/>
                <w:color w:val="034EA2" w:themeColor="accent1"/>
              </w:rPr>
              <w:fldChar w:fldCharType="end"/>
            </w:r>
          </w:hyperlink>
        </w:p>
        <w:p w14:paraId="33097789" w14:textId="3810DA71" w:rsidR="008B6253" w:rsidRPr="00D3648A" w:rsidRDefault="008B6253" w:rsidP="008B6253">
          <w:pPr>
            <w:rPr>
              <w:noProof/>
            </w:rPr>
          </w:pPr>
          <w:r w:rsidRPr="00D3648A">
            <w:rPr>
              <w:b/>
              <w:bCs/>
              <w:noProof/>
            </w:rPr>
            <w:fldChar w:fldCharType="end"/>
          </w:r>
        </w:p>
      </w:sdtContent>
    </w:sdt>
    <w:p w14:paraId="0D3B81B7" w14:textId="77777777" w:rsidR="008B6253" w:rsidRPr="00D3648A" w:rsidRDefault="008B6253" w:rsidP="008B6253">
      <w:pPr>
        <w:rPr>
          <w:noProof/>
        </w:rPr>
      </w:pPr>
    </w:p>
    <w:p w14:paraId="3EEBF846" w14:textId="77777777" w:rsidR="008B6253" w:rsidRPr="00D3648A" w:rsidRDefault="008B6253" w:rsidP="008B6253">
      <w:pPr>
        <w:rPr>
          <w:noProof/>
          <w:u w:val="single"/>
        </w:rPr>
        <w:sectPr w:rsidR="008B6253" w:rsidRPr="00D3648A" w:rsidSect="008B6253">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60"/>
        </w:sectPr>
      </w:pPr>
    </w:p>
    <w:p w14:paraId="6BD4CF5E" w14:textId="065A4C31" w:rsidR="0097648B" w:rsidRDefault="0097648B" w:rsidP="0097648B">
      <w:pPr>
        <w:spacing w:line="259" w:lineRule="auto"/>
        <w:jc w:val="center"/>
        <w:rPr>
          <w:rFonts w:cstheme="minorBidi"/>
          <w:b/>
          <w:bCs/>
          <w:noProof/>
          <w:color w:val="44546A" w:themeColor="text2"/>
          <w:sz w:val="28"/>
          <w:szCs w:val="28"/>
          <w:lang w:val="en-GB"/>
        </w:rPr>
      </w:pPr>
      <w:r w:rsidRPr="0097648B">
        <w:rPr>
          <w:rFonts w:cstheme="minorBidi"/>
          <w:b/>
          <w:bCs/>
          <w:noProof/>
          <w:color w:val="44546A" w:themeColor="text2"/>
          <w:sz w:val="28"/>
          <w:szCs w:val="28"/>
          <w:lang w:val="en-GB"/>
        </w:rPr>
        <w:t>FUNDING RAISED H2 2023</w:t>
      </w:r>
    </w:p>
    <w:p w14:paraId="60691224" w14:textId="67EAC0F9" w:rsidR="001A6BA5" w:rsidRPr="0097648B" w:rsidRDefault="0063321B" w:rsidP="0097648B">
      <w:pPr>
        <w:spacing w:line="259" w:lineRule="auto"/>
        <w:jc w:val="center"/>
        <w:rPr>
          <w:rFonts w:cstheme="minorBidi"/>
          <w:b/>
          <w:bCs/>
          <w:noProof/>
          <w:color w:val="44546A" w:themeColor="text2"/>
          <w:sz w:val="28"/>
          <w:szCs w:val="28"/>
          <w:lang w:val="en-GB"/>
        </w:rPr>
      </w:pPr>
      <w:r>
        <w:rPr>
          <w:rFonts w:cstheme="minorBidi"/>
          <w:b/>
          <w:bCs/>
          <w:noProof/>
          <w:color w:val="44546A" w:themeColor="text2"/>
          <w:sz w:val="28"/>
          <w:szCs w:val="28"/>
          <w:lang w:val="en-GB" w:eastAsia="en-GB"/>
        </w:rPr>
        <w:drawing>
          <wp:inline distT="0" distB="0" distL="0" distR="0" wp14:anchorId="33F9FCCE" wp14:editId="581FCF8F">
            <wp:extent cx="5731510" cy="1422400"/>
            <wp:effectExtent l="0" t="0" r="0" b="0"/>
            <wp:docPr id="11" name="Picture 11" descr="A close-up of a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white card&#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731510" cy="1422400"/>
                    </a:xfrm>
                    <a:prstGeom prst="rect">
                      <a:avLst/>
                    </a:prstGeom>
                  </pic:spPr>
                </pic:pic>
              </a:graphicData>
            </a:graphic>
          </wp:inline>
        </w:drawing>
      </w:r>
    </w:p>
    <w:p w14:paraId="0E09A041" w14:textId="4342810F" w:rsidR="00F97153" w:rsidRPr="00F97153" w:rsidRDefault="00E06416" w:rsidP="00E14B07">
      <w:pPr>
        <w:spacing w:before="360" w:after="0"/>
        <w:jc w:val="center"/>
        <w:rPr>
          <w:b/>
          <w:bCs/>
          <w:noProof/>
          <w:color w:val="44546A" w:themeColor="text2"/>
          <w:sz w:val="28"/>
          <w:szCs w:val="28"/>
        </w:rPr>
      </w:pPr>
      <w:bookmarkStart w:id="2" w:name="_Hlk158640053"/>
      <w:bookmarkEnd w:id="2"/>
      <w:r>
        <w:rPr>
          <w:b/>
          <w:bCs/>
          <w:noProof/>
          <w:color w:val="44546A" w:themeColor="text2"/>
          <w:sz w:val="28"/>
          <w:szCs w:val="28"/>
        </w:rPr>
        <w:t>D</w:t>
      </w:r>
      <w:r w:rsidRPr="008B3399">
        <w:rPr>
          <w:b/>
          <w:bCs/>
          <w:noProof/>
          <w:color w:val="44546A" w:themeColor="text2"/>
          <w:sz w:val="28"/>
          <w:szCs w:val="28"/>
        </w:rPr>
        <w:t>ISBURSEMENTS</w:t>
      </w:r>
    </w:p>
    <w:p w14:paraId="046EBA02" w14:textId="1ED4B378" w:rsidR="0068501F" w:rsidRDefault="0063321B" w:rsidP="0063321B">
      <w:pPr>
        <w:jc w:val="left"/>
        <w:rPr>
          <w:i/>
          <w:iCs/>
          <w:noProof/>
          <w:color w:val="808080" w:themeColor="background1" w:themeShade="80"/>
          <w:sz w:val="20"/>
          <w:szCs w:val="20"/>
        </w:rPr>
      </w:pPr>
      <w:r>
        <w:rPr>
          <w:i/>
          <w:iCs/>
          <w:noProof/>
          <w:color w:val="808080" w:themeColor="background1" w:themeShade="80"/>
          <w:sz w:val="20"/>
          <w:szCs w:val="20"/>
          <w:lang w:val="en-GB" w:eastAsia="en-GB"/>
        </w:rPr>
        <w:drawing>
          <wp:inline distT="0" distB="0" distL="0" distR="0" wp14:anchorId="60F5B565" wp14:editId="557A36FD">
            <wp:extent cx="5730393" cy="29324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5">
                      <a:extLst>
                        <a:ext uri="{28A0092B-C50C-407E-A947-70E740481C1C}">
                          <a14:useLocalDpi xmlns:a14="http://schemas.microsoft.com/office/drawing/2010/main" val="0"/>
                        </a:ext>
                      </a:extLst>
                    </a:blip>
                    <a:stretch>
                      <a:fillRect/>
                    </a:stretch>
                  </pic:blipFill>
                  <pic:spPr>
                    <a:xfrm>
                      <a:off x="0" y="0"/>
                      <a:ext cx="5730393" cy="2932430"/>
                    </a:xfrm>
                    <a:prstGeom prst="rect">
                      <a:avLst/>
                    </a:prstGeom>
                  </pic:spPr>
                </pic:pic>
              </a:graphicData>
            </a:graphic>
          </wp:inline>
        </w:drawing>
      </w:r>
    </w:p>
    <w:p w14:paraId="5FC801F8" w14:textId="05EC72FB" w:rsidR="0063321B" w:rsidRDefault="0063321B" w:rsidP="0063321B">
      <w:pPr>
        <w:jc w:val="left"/>
        <w:rPr>
          <w:i/>
          <w:iCs/>
          <w:noProof/>
          <w:color w:val="808080" w:themeColor="background1" w:themeShade="80"/>
          <w:sz w:val="20"/>
          <w:szCs w:val="20"/>
        </w:rPr>
      </w:pPr>
      <w:r>
        <w:rPr>
          <w:i/>
          <w:iCs/>
          <w:noProof/>
          <w:color w:val="808080" w:themeColor="background1" w:themeShade="80"/>
          <w:sz w:val="20"/>
          <w:szCs w:val="20"/>
          <w:lang w:val="en-GB" w:eastAsia="en-GB"/>
        </w:rPr>
        <w:drawing>
          <wp:inline distT="0" distB="0" distL="0" distR="0" wp14:anchorId="5B03BE68" wp14:editId="2A9A83AB">
            <wp:extent cx="5705357" cy="28346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6">
                      <a:extLst>
                        <a:ext uri="{28A0092B-C50C-407E-A947-70E740481C1C}">
                          <a14:useLocalDpi xmlns:a14="http://schemas.microsoft.com/office/drawing/2010/main" val="0"/>
                        </a:ext>
                      </a:extLst>
                    </a:blip>
                    <a:stretch>
                      <a:fillRect/>
                    </a:stretch>
                  </pic:blipFill>
                  <pic:spPr>
                    <a:xfrm>
                      <a:off x="0" y="0"/>
                      <a:ext cx="5705357" cy="2834640"/>
                    </a:xfrm>
                    <a:prstGeom prst="rect">
                      <a:avLst/>
                    </a:prstGeom>
                  </pic:spPr>
                </pic:pic>
              </a:graphicData>
            </a:graphic>
          </wp:inline>
        </w:drawing>
      </w:r>
    </w:p>
    <w:p w14:paraId="0D8F5E58" w14:textId="77777777" w:rsidR="0068501F" w:rsidRDefault="0068501F" w:rsidP="0068501F">
      <w:pPr>
        <w:jc w:val="right"/>
        <w:rPr>
          <w:i/>
          <w:iCs/>
          <w:noProof/>
          <w:color w:val="808080" w:themeColor="background1" w:themeShade="80"/>
          <w:sz w:val="20"/>
          <w:szCs w:val="20"/>
        </w:rPr>
      </w:pPr>
    </w:p>
    <w:p w14:paraId="06FA7222" w14:textId="31CE3FAD" w:rsidR="00767241" w:rsidRPr="0068501F" w:rsidRDefault="0068501F" w:rsidP="0068501F">
      <w:pPr>
        <w:jc w:val="right"/>
        <w:rPr>
          <w:noProof/>
        </w:rPr>
      </w:pPr>
      <w:r w:rsidRPr="005A527C">
        <w:rPr>
          <w:i/>
          <w:iCs/>
          <w:noProof/>
          <w:color w:val="808080" w:themeColor="background1" w:themeShade="80"/>
          <w:sz w:val="20"/>
          <w:szCs w:val="20"/>
        </w:rPr>
        <w:t>All amounts in EUR billion</w:t>
      </w:r>
    </w:p>
    <w:p w14:paraId="03005769" w14:textId="240A14CA" w:rsidR="00A11F51" w:rsidRPr="0063321B" w:rsidRDefault="00A11F51" w:rsidP="00A11F51">
      <w:pPr>
        <w:spacing w:line="259" w:lineRule="auto"/>
        <w:jc w:val="left"/>
        <w:rPr>
          <w:rFonts w:cstheme="minorBidi"/>
          <w:b/>
          <w:bCs/>
          <w:noProof/>
          <w:color w:val="44546A" w:themeColor="text2"/>
          <w:szCs w:val="22"/>
          <w:lang w:val="en-GB"/>
        </w:rPr>
      </w:pPr>
      <w:r w:rsidRPr="00A11F51">
        <w:rPr>
          <w:rFonts w:cstheme="minorBidi"/>
          <w:b/>
          <w:bCs/>
          <w:noProof/>
          <w:color w:val="44546A" w:themeColor="text2"/>
          <w:sz w:val="28"/>
          <w:szCs w:val="28"/>
          <w:lang w:val="en-GB"/>
        </w:rPr>
        <w:t xml:space="preserve">OUTSTANDING EU-BONDS </w:t>
      </w:r>
      <w:r w:rsidRPr="00A11F51">
        <w:rPr>
          <w:rFonts w:cstheme="minorBidi"/>
          <w:b/>
          <w:bCs/>
          <w:noProof/>
          <w:color w:val="44546A" w:themeColor="text2"/>
          <w:sz w:val="28"/>
          <w:szCs w:val="28"/>
          <w:lang w:val="en-GB"/>
        </w:rPr>
        <w:br/>
      </w:r>
      <w:r w:rsidRPr="00A11F51">
        <w:rPr>
          <w:rFonts w:cstheme="minorBidi"/>
          <w:noProof/>
          <w:color w:val="44546A" w:themeColor="text2"/>
          <w:szCs w:val="22"/>
          <w:lang w:val="en-GB"/>
        </w:rPr>
        <w:t>at 31/12/2023</w:t>
      </w:r>
      <w:r w:rsidRPr="00A11F51">
        <w:rPr>
          <w:rFonts w:cstheme="minorBidi"/>
          <w:b/>
          <w:bCs/>
          <w:noProof/>
          <w:color w:val="44546A" w:themeColor="text2"/>
          <w:szCs w:val="22"/>
          <w:lang w:val="en-GB"/>
        </w:rPr>
        <w:t xml:space="preserve"> </w:t>
      </w:r>
      <w:r w:rsidR="0063321B">
        <w:rPr>
          <w:rFonts w:asciiTheme="minorHAnsi" w:hAnsiTheme="minorHAnsi" w:cstheme="minorBidi"/>
          <w:noProof/>
          <w:szCs w:val="22"/>
          <w:lang w:val="en-GB" w:eastAsia="en-GB"/>
        </w:rPr>
        <w:drawing>
          <wp:inline distT="0" distB="0" distL="0" distR="0" wp14:anchorId="31CC500B" wp14:editId="171BAF8F">
            <wp:extent cx="5693410" cy="11078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27">
                      <a:extLst>
                        <a:ext uri="{28A0092B-C50C-407E-A947-70E740481C1C}">
                          <a14:useLocalDpi xmlns:a14="http://schemas.microsoft.com/office/drawing/2010/main" val="0"/>
                        </a:ext>
                      </a:extLst>
                    </a:blip>
                    <a:srcRect l="645" t="1" r="879" b="-5586"/>
                    <a:stretch/>
                  </pic:blipFill>
                  <pic:spPr bwMode="auto">
                    <a:xfrm>
                      <a:off x="0" y="0"/>
                      <a:ext cx="5693410" cy="1107831"/>
                    </a:xfrm>
                    <a:prstGeom prst="rect">
                      <a:avLst/>
                    </a:prstGeom>
                    <a:ln>
                      <a:noFill/>
                    </a:ln>
                    <a:extLst>
                      <a:ext uri="{53640926-AAD7-44D8-BBD7-CCE9431645EC}">
                        <a14:shadowObscured xmlns:a14="http://schemas.microsoft.com/office/drawing/2010/main"/>
                      </a:ext>
                    </a:extLst>
                  </pic:spPr>
                </pic:pic>
              </a:graphicData>
            </a:graphic>
          </wp:inline>
        </w:drawing>
      </w:r>
    </w:p>
    <w:p w14:paraId="3F260D3E" w14:textId="521C2D8E" w:rsidR="00A11F51" w:rsidRPr="00A11F51" w:rsidRDefault="00A11F51" w:rsidP="00A11F51">
      <w:pPr>
        <w:spacing w:line="259" w:lineRule="auto"/>
        <w:jc w:val="left"/>
        <w:rPr>
          <w:rFonts w:asciiTheme="minorHAnsi" w:hAnsiTheme="minorHAnsi" w:cstheme="minorBidi"/>
          <w:noProof/>
          <w:sz w:val="6"/>
          <w:szCs w:val="6"/>
          <w:lang w:val="en-GB"/>
        </w:rPr>
      </w:pP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blCellMar>
          <w:top w:w="113" w:type="dxa"/>
          <w:bottom w:w="113" w:type="dxa"/>
        </w:tblCellMar>
        <w:tblLook w:val="04A0" w:firstRow="1" w:lastRow="0" w:firstColumn="1" w:lastColumn="0" w:noHBand="0" w:noVBand="1"/>
      </w:tblPr>
      <w:tblGrid>
        <w:gridCol w:w="9076"/>
      </w:tblGrid>
      <w:tr w:rsidR="00A11F51" w:rsidRPr="00A11F51" w14:paraId="0FE367EE" w14:textId="77777777" w:rsidTr="008A34F5">
        <w:trPr>
          <w:trHeight w:val="1943"/>
        </w:trPr>
        <w:tc>
          <w:tcPr>
            <w:tcW w:w="9076" w:type="dxa"/>
            <w:shd w:val="clear" w:color="auto" w:fill="F5F5F5"/>
          </w:tcPr>
          <w:p w14:paraId="31D6E2E9" w14:textId="77777777" w:rsidR="00A11F51" w:rsidRPr="00A11F51" w:rsidRDefault="00A11F51" w:rsidP="00A11F51">
            <w:pPr>
              <w:spacing w:after="120"/>
              <w:jc w:val="left"/>
              <w:rPr>
                <w:rFonts w:cstheme="minorBidi"/>
                <w:b/>
                <w:bCs/>
                <w:noProof/>
                <w:color w:val="034EA2"/>
                <w:lang w:val="en-GB"/>
              </w:rPr>
            </w:pPr>
            <w:r w:rsidRPr="00A11F51">
              <w:rPr>
                <w:rFonts w:cstheme="minorBidi"/>
                <w:b/>
                <w:bCs/>
                <w:noProof/>
                <w:color w:val="034EA2"/>
                <w:lang w:val="en-GB"/>
              </w:rPr>
              <w:t>KEY FACTS</w:t>
            </w:r>
          </w:p>
          <w:p w14:paraId="1BCBD7E4" w14:textId="77777777" w:rsidR="00A11F51" w:rsidRPr="00A11F51" w:rsidRDefault="00A11F51" w:rsidP="00A11F51">
            <w:pPr>
              <w:numPr>
                <w:ilvl w:val="0"/>
                <w:numId w:val="29"/>
              </w:numPr>
              <w:spacing w:after="60"/>
              <w:ind w:left="340" w:hanging="170"/>
              <w:contextualSpacing/>
              <w:jc w:val="left"/>
              <w:rPr>
                <w:rFonts w:cstheme="minorBidi"/>
                <w:noProof/>
                <w:color w:val="034EA2"/>
                <w:lang w:val="en-GB"/>
              </w:rPr>
            </w:pPr>
            <w:r w:rsidRPr="00A11F51">
              <w:rPr>
                <w:rFonts w:cstheme="minorBidi"/>
                <w:noProof/>
                <w:color w:val="034EA2"/>
                <w:lang w:val="en-GB"/>
              </w:rPr>
              <w:t>EUR 115.9 billion was raised in 2023.</w:t>
            </w:r>
          </w:p>
          <w:p w14:paraId="76261819" w14:textId="77777777" w:rsidR="00A11F51" w:rsidRPr="00A11F51" w:rsidRDefault="00A11F51" w:rsidP="00A11F51">
            <w:pPr>
              <w:numPr>
                <w:ilvl w:val="0"/>
                <w:numId w:val="29"/>
              </w:numPr>
              <w:spacing w:after="60"/>
              <w:ind w:left="340" w:hanging="170"/>
              <w:contextualSpacing/>
              <w:jc w:val="left"/>
              <w:rPr>
                <w:rFonts w:cstheme="minorBidi"/>
                <w:noProof/>
                <w:color w:val="034EA2"/>
                <w:lang w:val="en-GB"/>
              </w:rPr>
            </w:pPr>
            <w:r w:rsidRPr="00A11F51">
              <w:rPr>
                <w:rFonts w:cstheme="minorBidi"/>
                <w:noProof/>
                <w:color w:val="034EA2"/>
                <w:lang w:val="en-GB"/>
              </w:rPr>
              <w:t>Cost of funding was 3.2% in the first half of 2023 and 3.6% in the second half of 2023.</w:t>
            </w:r>
          </w:p>
          <w:p w14:paraId="2E7761DB" w14:textId="77777777" w:rsidR="00A11F51" w:rsidRPr="00A11F51" w:rsidRDefault="00A11F51" w:rsidP="00A11F51">
            <w:pPr>
              <w:numPr>
                <w:ilvl w:val="0"/>
                <w:numId w:val="29"/>
              </w:numPr>
              <w:spacing w:after="60"/>
              <w:ind w:left="340" w:hanging="170"/>
              <w:contextualSpacing/>
              <w:jc w:val="left"/>
              <w:rPr>
                <w:rFonts w:cstheme="minorBidi"/>
                <w:noProof/>
                <w:color w:val="034EA2"/>
                <w:lang w:val="en-GB"/>
              </w:rPr>
            </w:pPr>
            <w:r w:rsidRPr="00A11F51">
              <w:rPr>
                <w:rFonts w:cstheme="minorBidi"/>
                <w:noProof/>
                <w:color w:val="034EA2"/>
                <w:lang w:val="en-GB"/>
              </w:rPr>
              <w:t xml:space="preserve">The raised funds were mainly used to finance NextGenerationEU (including RePowerEU) and MFA+ loans for Ukraine. </w:t>
            </w:r>
          </w:p>
          <w:p w14:paraId="34F1E241" w14:textId="77777777" w:rsidR="00A11F51" w:rsidRPr="00A11F51" w:rsidRDefault="00A11F51" w:rsidP="00A11F51">
            <w:pPr>
              <w:numPr>
                <w:ilvl w:val="0"/>
                <w:numId w:val="29"/>
              </w:numPr>
              <w:spacing w:after="60"/>
              <w:ind w:left="340" w:hanging="170"/>
              <w:contextualSpacing/>
              <w:jc w:val="left"/>
              <w:rPr>
                <w:rFonts w:cstheme="minorBidi"/>
                <w:noProof/>
                <w:color w:val="034EA2"/>
                <w:lang w:val="en-GB"/>
              </w:rPr>
            </w:pPr>
            <w:r w:rsidRPr="00A11F51">
              <w:rPr>
                <w:rFonts w:cstheme="minorBidi"/>
                <w:noProof/>
                <w:color w:val="034EA2"/>
                <w:lang w:val="en-GB"/>
              </w:rPr>
              <w:t>NextGenerationEU makes the EU economy greener, more digital, and more diversified in its energy supply.</w:t>
            </w:r>
          </w:p>
          <w:p w14:paraId="3E81AD55" w14:textId="77777777" w:rsidR="00A11F51" w:rsidRPr="00A11F51" w:rsidRDefault="00A11F51" w:rsidP="00A11F51">
            <w:pPr>
              <w:numPr>
                <w:ilvl w:val="0"/>
                <w:numId w:val="29"/>
              </w:numPr>
              <w:spacing w:after="60"/>
              <w:ind w:left="340" w:hanging="170"/>
              <w:jc w:val="left"/>
              <w:rPr>
                <w:rFonts w:cstheme="minorBidi"/>
                <w:noProof/>
                <w:lang w:val="en-GB"/>
              </w:rPr>
            </w:pPr>
            <w:r w:rsidRPr="00A11F51">
              <w:rPr>
                <w:rFonts w:cstheme="minorBidi"/>
                <w:noProof/>
                <w:color w:val="034EA2"/>
                <w:lang w:val="en-GB"/>
              </w:rPr>
              <w:t>MFA+ loans covered a large part of Ukraine’s short-term funding needs in 2023.</w:t>
            </w:r>
          </w:p>
        </w:tc>
      </w:tr>
    </w:tbl>
    <w:p w14:paraId="155CDCD6" w14:textId="77777777" w:rsidR="00252C49" w:rsidRPr="004E1A9B" w:rsidRDefault="00252C49">
      <w:pPr>
        <w:spacing w:line="259" w:lineRule="auto"/>
        <w:rPr>
          <w:noProof/>
          <w:lang w:val="en-GB"/>
        </w:rPr>
      </w:pPr>
    </w:p>
    <w:p w14:paraId="34E6C602" w14:textId="10BBF2C3" w:rsidR="00BA3133" w:rsidRDefault="00BA3133">
      <w:pPr>
        <w:spacing w:line="259" w:lineRule="auto"/>
        <w:rPr>
          <w:rFonts w:eastAsiaTheme="majorEastAsia"/>
          <w:b/>
          <w:noProof/>
        </w:rPr>
      </w:pPr>
      <w:r>
        <w:rPr>
          <w:noProof/>
        </w:rPr>
        <w:br w:type="page"/>
      </w:r>
    </w:p>
    <w:p w14:paraId="263DA02E" w14:textId="03E4299B" w:rsidR="00F13D4C" w:rsidRPr="00BE145B" w:rsidRDefault="00F13D4C" w:rsidP="00BE145B">
      <w:pPr>
        <w:pStyle w:val="Heading1"/>
        <w:rPr>
          <w:noProof/>
        </w:rPr>
      </w:pPr>
      <w:bookmarkStart w:id="3" w:name="_Toc158284853"/>
      <w:r w:rsidRPr="00BE145B">
        <w:rPr>
          <w:noProof/>
        </w:rPr>
        <w:t>Summary</w:t>
      </w:r>
      <w:bookmarkEnd w:id="3"/>
    </w:p>
    <w:p w14:paraId="306C1EDA" w14:textId="77777777" w:rsidR="00512207" w:rsidRDefault="00F13D4C" w:rsidP="00512207">
      <w:pPr>
        <w:rPr>
          <w:iCs/>
          <w:noProof/>
        </w:rPr>
      </w:pPr>
      <w:bookmarkStart w:id="4" w:name="_Hlk156385433"/>
      <w:r w:rsidRPr="00977E2D">
        <w:rPr>
          <w:iCs/>
          <w:noProof/>
        </w:rPr>
        <w:t>In the second half of 2023, the Commission raised EUR 37.7 billion, bringing the total raised over 2023 to</w:t>
      </w:r>
      <w:r w:rsidR="006E3BF2">
        <w:rPr>
          <w:iCs/>
          <w:noProof/>
        </w:rPr>
        <w:t xml:space="preserve"> EUR</w:t>
      </w:r>
      <w:r w:rsidRPr="00977E2D">
        <w:rPr>
          <w:iCs/>
          <w:noProof/>
        </w:rPr>
        <w:t xml:space="preserve"> 115.</w:t>
      </w:r>
      <w:r>
        <w:rPr>
          <w:iCs/>
          <w:noProof/>
        </w:rPr>
        <w:t>9</w:t>
      </w:r>
      <w:r w:rsidRPr="00977E2D">
        <w:rPr>
          <w:iCs/>
          <w:noProof/>
        </w:rPr>
        <w:t xml:space="preserve"> billion. </w:t>
      </w:r>
      <w:r w:rsidRPr="0079106F">
        <w:rPr>
          <w:noProof/>
        </w:rPr>
        <w:t xml:space="preserve">In 2023, </w:t>
      </w:r>
      <w:r>
        <w:rPr>
          <w:noProof/>
        </w:rPr>
        <w:t xml:space="preserve">EUR </w:t>
      </w:r>
      <w:r w:rsidR="00A07697">
        <w:rPr>
          <w:noProof/>
        </w:rPr>
        <w:t>99</w:t>
      </w:r>
      <w:r>
        <w:rPr>
          <w:noProof/>
        </w:rPr>
        <w:t>.1</w:t>
      </w:r>
      <w:r w:rsidRPr="0079106F">
        <w:rPr>
          <w:noProof/>
        </w:rPr>
        <w:t xml:space="preserve"> billion was disbursed und</w:t>
      </w:r>
      <w:r w:rsidRPr="00520896">
        <w:rPr>
          <w:noProof/>
        </w:rPr>
        <w:t>er Ne</w:t>
      </w:r>
      <w:r>
        <w:rPr>
          <w:noProof/>
        </w:rPr>
        <w:t xml:space="preserve">xtGenerationEU, making </w:t>
      </w:r>
      <w:r w:rsidRPr="00D940BF">
        <w:rPr>
          <w:noProof/>
        </w:rPr>
        <w:t>the EU e</w:t>
      </w:r>
      <w:r>
        <w:rPr>
          <w:noProof/>
        </w:rPr>
        <w:t xml:space="preserve">conomy greener, more digital, and more diversified in </w:t>
      </w:r>
      <w:r w:rsidRPr="0079106F">
        <w:rPr>
          <w:noProof/>
        </w:rPr>
        <w:t>its energy supply</w:t>
      </w:r>
      <w:r>
        <w:rPr>
          <w:noProof/>
        </w:rPr>
        <w:t xml:space="preserve">. </w:t>
      </w:r>
      <w:r w:rsidR="006E3BF2">
        <w:rPr>
          <w:noProof/>
        </w:rPr>
        <w:t xml:space="preserve">In 2023, </w:t>
      </w:r>
      <w:r>
        <w:rPr>
          <w:noProof/>
        </w:rPr>
        <w:t>Ukraine received EUR 18 billion in highly concessional loans via MFA+, covering a large part of Ukraine’s short-term funding needs for 2023.</w:t>
      </w:r>
      <w:bookmarkStart w:id="5" w:name="_Hlk156380977"/>
    </w:p>
    <w:p w14:paraId="79311FC5" w14:textId="517694CC" w:rsidR="00F13D4C" w:rsidRPr="00512207" w:rsidRDefault="00F13D4C" w:rsidP="00512207">
      <w:pPr>
        <w:rPr>
          <w:iCs/>
          <w:noProof/>
        </w:rPr>
      </w:pPr>
      <w:r>
        <w:rPr>
          <w:noProof/>
          <w:lang w:val="en-GB"/>
        </w:rPr>
        <w:t xml:space="preserve">The EU’s cost of funding during continued to increase in the second half of 2023 in line with market conditions </w:t>
      </w:r>
      <w:r w:rsidR="006E3BF2">
        <w:rPr>
          <w:noProof/>
          <w:lang w:val="en-GB"/>
        </w:rPr>
        <w:t>-</w:t>
      </w:r>
      <w:r>
        <w:rPr>
          <w:noProof/>
          <w:lang w:val="en-GB"/>
        </w:rPr>
        <w:t xml:space="preserve"> from 3.2% in the first half of 2023 to 3.6%</w:t>
      </w:r>
      <w:r w:rsidR="006E3BF2">
        <w:rPr>
          <w:noProof/>
          <w:lang w:val="en-GB"/>
        </w:rPr>
        <w:t xml:space="preserve"> in the second half</w:t>
      </w:r>
      <w:r>
        <w:rPr>
          <w:noProof/>
          <w:lang w:val="en-GB"/>
        </w:rPr>
        <w:t>.</w:t>
      </w:r>
      <w:r>
        <w:rPr>
          <w:iCs/>
          <w:noProof/>
        </w:rPr>
        <w:t xml:space="preserve"> </w:t>
      </w:r>
      <w:r w:rsidRPr="004C2992">
        <w:rPr>
          <w:noProof/>
          <w:lang w:val="en-GB"/>
        </w:rPr>
        <w:t xml:space="preserve">The spread </w:t>
      </w:r>
      <w:r w:rsidR="006E3BF2">
        <w:rPr>
          <w:noProof/>
          <w:lang w:val="en-GB"/>
        </w:rPr>
        <w:t>between</w:t>
      </w:r>
      <w:r w:rsidRPr="004C2992">
        <w:rPr>
          <w:noProof/>
          <w:lang w:val="en-GB"/>
        </w:rPr>
        <w:t xml:space="preserve"> 10-year EU-Bonds </w:t>
      </w:r>
      <w:r w:rsidR="006E3BF2">
        <w:rPr>
          <w:noProof/>
          <w:lang w:val="en-GB"/>
        </w:rPr>
        <w:t>and</w:t>
      </w:r>
      <w:r w:rsidRPr="004C2992">
        <w:rPr>
          <w:noProof/>
          <w:lang w:val="en-GB"/>
        </w:rPr>
        <w:t xml:space="preserve"> 10-year German b</w:t>
      </w:r>
      <w:r>
        <w:rPr>
          <w:noProof/>
          <w:lang w:val="en-GB"/>
        </w:rPr>
        <w:t>o</w:t>
      </w:r>
      <w:r w:rsidRPr="004C2992">
        <w:rPr>
          <w:noProof/>
          <w:lang w:val="en-GB"/>
        </w:rPr>
        <w:t>nds remained relatively stable, ending the year close to 73 basis points</w:t>
      </w:r>
      <w:r w:rsidRPr="007B6993">
        <w:rPr>
          <w:noProof/>
          <w:lang w:val="en-GB"/>
        </w:rPr>
        <w:t xml:space="preserve"> (compared to </w:t>
      </w:r>
      <w:r w:rsidRPr="004C2992">
        <w:rPr>
          <w:noProof/>
          <w:lang w:val="en-GB"/>
        </w:rPr>
        <w:t>68 basis points at 30 July 2023</w:t>
      </w:r>
      <w:r w:rsidRPr="007B6993">
        <w:rPr>
          <w:noProof/>
          <w:lang w:val="en-GB"/>
        </w:rPr>
        <w:t>)</w:t>
      </w:r>
      <w:r>
        <w:rPr>
          <w:noProof/>
          <w:lang w:val="en-GB"/>
        </w:rPr>
        <w:t xml:space="preserve">. However, the </w:t>
      </w:r>
      <w:r w:rsidRPr="004C2992">
        <w:rPr>
          <w:noProof/>
          <w:lang w:val="en-GB"/>
        </w:rPr>
        <w:t>peak of 81 basis points</w:t>
      </w:r>
      <w:r w:rsidR="006E3BF2">
        <w:rPr>
          <w:noProof/>
          <w:lang w:val="en-GB"/>
        </w:rPr>
        <w:t xml:space="preserve"> reached</w:t>
      </w:r>
      <w:r w:rsidRPr="004C2992">
        <w:rPr>
          <w:noProof/>
          <w:lang w:val="en-GB"/>
        </w:rPr>
        <w:t xml:space="preserve"> in October 2023</w:t>
      </w:r>
      <w:r>
        <w:rPr>
          <w:noProof/>
          <w:lang w:val="en-GB"/>
        </w:rPr>
        <w:t xml:space="preserve"> underlined </w:t>
      </w:r>
      <w:r w:rsidR="00C12EBD">
        <w:rPr>
          <w:noProof/>
          <w:lang w:val="en-GB"/>
        </w:rPr>
        <w:t>that since</w:t>
      </w:r>
      <w:r w:rsidRPr="001B5135">
        <w:rPr>
          <w:noProof/>
          <w:lang w:val="en-GB"/>
        </w:rPr>
        <w:t xml:space="preserve"> EU</w:t>
      </w:r>
      <w:r>
        <w:rPr>
          <w:noProof/>
          <w:lang w:val="en-GB"/>
        </w:rPr>
        <w:t>-Bonds</w:t>
      </w:r>
      <w:r w:rsidR="00C12EBD">
        <w:rPr>
          <w:noProof/>
          <w:lang w:val="en-GB"/>
        </w:rPr>
        <w:t xml:space="preserve"> are</w:t>
      </w:r>
      <w:r w:rsidRPr="001B5135">
        <w:rPr>
          <w:noProof/>
          <w:lang w:val="en-GB"/>
        </w:rPr>
        <w:t xml:space="preserve"> being priced </w:t>
      </w:r>
      <w:r>
        <w:rPr>
          <w:noProof/>
          <w:lang w:val="en-GB"/>
        </w:rPr>
        <w:t xml:space="preserve">against the </w:t>
      </w:r>
      <w:r w:rsidRPr="001B5135">
        <w:rPr>
          <w:noProof/>
          <w:lang w:val="en-GB"/>
        </w:rPr>
        <w:t>swap</w:t>
      </w:r>
      <w:r>
        <w:rPr>
          <w:noProof/>
          <w:lang w:val="en-GB"/>
        </w:rPr>
        <w:t xml:space="preserve"> curve</w:t>
      </w:r>
      <w:r w:rsidRPr="001B5135">
        <w:rPr>
          <w:noProof/>
          <w:lang w:val="en-GB"/>
        </w:rPr>
        <w:t>,</w:t>
      </w:r>
      <w:r>
        <w:rPr>
          <w:noProof/>
          <w:lang w:val="en-GB"/>
        </w:rPr>
        <w:t xml:space="preserve"> </w:t>
      </w:r>
      <w:r w:rsidR="00C12EBD">
        <w:rPr>
          <w:noProof/>
          <w:lang w:val="en-GB"/>
        </w:rPr>
        <w:t>they have</w:t>
      </w:r>
      <w:r>
        <w:rPr>
          <w:noProof/>
          <w:lang w:val="en-GB"/>
        </w:rPr>
        <w:t xml:space="preserve"> higher yields co</w:t>
      </w:r>
      <w:r w:rsidRPr="006C67C1">
        <w:rPr>
          <w:noProof/>
          <w:lang w:val="en-GB"/>
        </w:rPr>
        <w:t xml:space="preserve">mpared to </w:t>
      </w:r>
      <w:r w:rsidR="00C12EBD" w:rsidRPr="006565E0">
        <w:rPr>
          <w:noProof/>
        </w:rPr>
        <w:t>European government bonds</w:t>
      </w:r>
      <w:r w:rsidR="00C12EBD">
        <w:rPr>
          <w:noProof/>
        </w:rPr>
        <w:t xml:space="preserve"> (EGBs)</w:t>
      </w:r>
      <w:r w:rsidRPr="006C67C1">
        <w:rPr>
          <w:noProof/>
          <w:lang w:val="en-GB"/>
        </w:rPr>
        <w:t xml:space="preserve"> whenever a risk-averse sentiment takes hold. The end-of-year saw market pricing of EU debt fall sharply (from 3.7% in October to 2.8% at year-end for 10-year EU-Bonds)</w:t>
      </w:r>
      <w:r>
        <w:rPr>
          <w:noProof/>
          <w:lang w:val="en-GB"/>
        </w:rPr>
        <w:t xml:space="preserve"> as expectations now favour lower interest rates at some stage in 2024.</w:t>
      </w:r>
      <w:bookmarkEnd w:id="5"/>
    </w:p>
    <w:p w14:paraId="539B98A9" w14:textId="04F65009" w:rsidR="00F13D4C" w:rsidRPr="00512207" w:rsidRDefault="00F13D4C" w:rsidP="00512207">
      <w:pPr>
        <w:rPr>
          <w:rFonts w:eastAsia="Times New Roman"/>
          <w:iCs/>
          <w:noProof/>
        </w:rPr>
      </w:pPr>
      <w:r>
        <w:rPr>
          <w:noProof/>
        </w:rPr>
        <w:t xml:space="preserve">During the second half of </w:t>
      </w:r>
      <w:r w:rsidRPr="00B16275">
        <w:rPr>
          <w:noProof/>
        </w:rPr>
        <w:t xml:space="preserve">2023 the Commission </w:t>
      </w:r>
      <w:r>
        <w:rPr>
          <w:noProof/>
        </w:rPr>
        <w:t>made further progress in strengthening the architecture underpinning its</w:t>
      </w:r>
      <w:r w:rsidRPr="00B16275">
        <w:rPr>
          <w:noProof/>
        </w:rPr>
        <w:t xml:space="preserve"> </w:t>
      </w:r>
      <w:r>
        <w:rPr>
          <w:noProof/>
        </w:rPr>
        <w:t>issuance programme</w:t>
      </w:r>
      <w:r w:rsidRPr="00B16275">
        <w:rPr>
          <w:noProof/>
        </w:rPr>
        <w:t xml:space="preserve">. In addition to introducing a unified funding approach in </w:t>
      </w:r>
      <w:r>
        <w:rPr>
          <w:noProof/>
        </w:rPr>
        <w:t>January</w:t>
      </w:r>
      <w:r w:rsidRPr="00B16275">
        <w:rPr>
          <w:noProof/>
        </w:rPr>
        <w:t xml:space="preserve"> 2023, the Commission launched</w:t>
      </w:r>
      <w:r w:rsidR="006E3BF2">
        <w:rPr>
          <w:noProof/>
        </w:rPr>
        <w:t xml:space="preserve"> a</w:t>
      </w:r>
      <w:r w:rsidRPr="00B16275">
        <w:rPr>
          <w:noProof/>
        </w:rPr>
        <w:t xml:space="preserve"> quot</w:t>
      </w:r>
      <w:r>
        <w:rPr>
          <w:noProof/>
        </w:rPr>
        <w:t>ing</w:t>
      </w:r>
      <w:r w:rsidRPr="00B16275">
        <w:rPr>
          <w:noProof/>
        </w:rPr>
        <w:t xml:space="preserve"> </w:t>
      </w:r>
      <w:r>
        <w:rPr>
          <w:noProof/>
        </w:rPr>
        <w:t xml:space="preserve">arrangement </w:t>
      </w:r>
      <w:r w:rsidRPr="00B16275">
        <w:rPr>
          <w:noProof/>
        </w:rPr>
        <w:t>system in November 2023</w:t>
      </w:r>
      <w:r w:rsidR="006E3BF2">
        <w:rPr>
          <w:noProof/>
        </w:rPr>
        <w:t>,</w:t>
      </w:r>
      <w:r w:rsidRPr="00B16275">
        <w:rPr>
          <w:noProof/>
        </w:rPr>
        <w:t xml:space="preserve"> and </w:t>
      </w:r>
      <w:r>
        <w:rPr>
          <w:noProof/>
        </w:rPr>
        <w:t xml:space="preserve">completed the </w:t>
      </w:r>
      <w:r w:rsidRPr="00B16275">
        <w:rPr>
          <w:noProof/>
        </w:rPr>
        <w:t>EU issuance service</w:t>
      </w:r>
      <w:r w:rsidR="006E3BF2">
        <w:rPr>
          <w:noProof/>
        </w:rPr>
        <w:t xml:space="preserve"> (EIS)</w:t>
      </w:r>
      <w:r w:rsidRPr="00B16275">
        <w:rPr>
          <w:noProof/>
        </w:rPr>
        <w:t xml:space="preserve"> at the start of 2024.</w:t>
      </w:r>
      <w:r>
        <w:rPr>
          <w:noProof/>
        </w:rPr>
        <w:t xml:space="preserve"> </w:t>
      </w:r>
      <w:r>
        <w:rPr>
          <w:rFonts w:eastAsia="Times New Roman"/>
          <w:iCs/>
          <w:noProof/>
        </w:rPr>
        <w:t>The completion of the EIS reflects the</w:t>
      </w:r>
      <w:r w:rsidRPr="006C67C1">
        <w:rPr>
          <w:rFonts w:eastAsia="Times New Roman"/>
          <w:iCs/>
          <w:noProof/>
        </w:rPr>
        <w:t xml:space="preserve"> partnership between the Commission, </w:t>
      </w:r>
      <w:r>
        <w:rPr>
          <w:rFonts w:eastAsia="Times New Roman"/>
          <w:iCs/>
          <w:noProof/>
        </w:rPr>
        <w:t xml:space="preserve">the </w:t>
      </w:r>
      <w:r w:rsidRPr="006C67C1">
        <w:rPr>
          <w:rFonts w:eastAsia="Times New Roman"/>
          <w:iCs/>
          <w:noProof/>
        </w:rPr>
        <w:t xml:space="preserve">ECB and other national and EU official sector institutions in building </w:t>
      </w:r>
      <w:r>
        <w:rPr>
          <w:rFonts w:eastAsia="Times New Roman"/>
          <w:iCs/>
          <w:noProof/>
        </w:rPr>
        <w:t>the</w:t>
      </w:r>
      <w:r w:rsidRPr="006C67C1">
        <w:rPr>
          <w:rFonts w:eastAsia="Times New Roman"/>
          <w:iCs/>
          <w:noProof/>
        </w:rPr>
        <w:t xml:space="preserve"> EU debt issuance programme.</w:t>
      </w:r>
      <w:r>
        <w:rPr>
          <w:rFonts w:eastAsia="Times New Roman"/>
          <w:iCs/>
          <w:noProof/>
        </w:rPr>
        <w:t xml:space="preserve"> The Commission also published </w:t>
      </w:r>
      <w:r>
        <w:rPr>
          <w:noProof/>
        </w:rPr>
        <w:t>its</w:t>
      </w:r>
      <w:r w:rsidRPr="00977E2D">
        <w:rPr>
          <w:noProof/>
        </w:rPr>
        <w:t xml:space="preserve"> first comprehensive NGEU </w:t>
      </w:r>
      <w:r w:rsidR="003247A7">
        <w:rPr>
          <w:noProof/>
        </w:rPr>
        <w:t>g</w:t>
      </w:r>
      <w:r w:rsidRPr="00977E2D">
        <w:rPr>
          <w:noProof/>
        </w:rPr>
        <w:t xml:space="preserve">reen </w:t>
      </w:r>
      <w:r w:rsidR="003247A7">
        <w:rPr>
          <w:noProof/>
        </w:rPr>
        <w:t>b</w:t>
      </w:r>
      <w:r w:rsidRPr="00977E2D">
        <w:rPr>
          <w:noProof/>
        </w:rPr>
        <w:t xml:space="preserve">onds </w:t>
      </w:r>
      <w:r w:rsidR="003247A7">
        <w:rPr>
          <w:noProof/>
        </w:rPr>
        <w:t>a</w:t>
      </w:r>
      <w:r w:rsidRPr="00977E2D">
        <w:rPr>
          <w:noProof/>
        </w:rPr>
        <w:t xml:space="preserve">llocation and </w:t>
      </w:r>
      <w:r w:rsidR="003247A7">
        <w:rPr>
          <w:noProof/>
        </w:rPr>
        <w:t>i</w:t>
      </w:r>
      <w:r w:rsidRPr="00977E2D">
        <w:rPr>
          <w:noProof/>
        </w:rPr>
        <w:t>mpact report</w:t>
      </w:r>
      <w:r>
        <w:rPr>
          <w:noProof/>
        </w:rPr>
        <w:t xml:space="preserve"> which </w:t>
      </w:r>
      <w:r w:rsidRPr="00977E2D">
        <w:rPr>
          <w:noProof/>
        </w:rPr>
        <w:t>shows how NextGenerationEU green bond issuances are supported by a pool of planned eligible expenditure</w:t>
      </w:r>
      <w:r w:rsidR="003247A7">
        <w:rPr>
          <w:noProof/>
        </w:rPr>
        <w:t>s</w:t>
      </w:r>
      <w:r w:rsidRPr="00977E2D">
        <w:rPr>
          <w:noProof/>
        </w:rPr>
        <w:t xml:space="preserve"> across Member States </w:t>
      </w:r>
      <w:r>
        <w:rPr>
          <w:noProof/>
        </w:rPr>
        <w:t xml:space="preserve">and how these expenditures </w:t>
      </w:r>
      <w:r w:rsidR="003247A7">
        <w:rPr>
          <w:noProof/>
        </w:rPr>
        <w:t>are helping to reduce</w:t>
      </w:r>
      <w:r>
        <w:rPr>
          <w:noProof/>
        </w:rPr>
        <w:t xml:space="preserve"> EU </w:t>
      </w:r>
      <w:r w:rsidRPr="00977E2D">
        <w:rPr>
          <w:noProof/>
        </w:rPr>
        <w:t>greenhouse</w:t>
      </w:r>
      <w:r w:rsidR="003247A7">
        <w:rPr>
          <w:noProof/>
        </w:rPr>
        <w:t>-</w:t>
      </w:r>
      <w:r w:rsidRPr="00977E2D">
        <w:rPr>
          <w:noProof/>
        </w:rPr>
        <w:t>gas emissions.</w:t>
      </w:r>
    </w:p>
    <w:p w14:paraId="30941CB7" w14:textId="207A91BC" w:rsidR="00F13D4C" w:rsidRPr="00512207" w:rsidRDefault="00F13D4C" w:rsidP="00512207">
      <w:pPr>
        <w:rPr>
          <w:noProof/>
          <w:color w:val="000000" w:themeColor="text1"/>
        </w:rPr>
      </w:pPr>
      <w:r>
        <w:rPr>
          <w:noProof/>
        </w:rPr>
        <w:t xml:space="preserve">Further steps to increase liquidity will be taken in 2024, with the launch of the repurchase facility </w:t>
      </w:r>
      <w:r w:rsidR="003247A7">
        <w:rPr>
          <w:noProof/>
        </w:rPr>
        <w:t>planned</w:t>
      </w:r>
      <w:r>
        <w:rPr>
          <w:noProof/>
        </w:rPr>
        <w:t xml:space="preserve"> for the second half of 2024. </w:t>
      </w:r>
      <w:r>
        <w:rPr>
          <w:noProof/>
          <w:color w:val="000000" w:themeColor="text1"/>
        </w:rPr>
        <w:t xml:space="preserve">Furthermore, the Commission has </w:t>
      </w:r>
      <w:r w:rsidRPr="00422A17">
        <w:rPr>
          <w:noProof/>
          <w:color w:val="000000" w:themeColor="text1"/>
        </w:rPr>
        <w:t xml:space="preserve">started to </w:t>
      </w:r>
      <w:r>
        <w:rPr>
          <w:noProof/>
          <w:color w:val="000000" w:themeColor="text1"/>
        </w:rPr>
        <w:t>liaise with</w:t>
      </w:r>
      <w:r w:rsidRPr="00422A17">
        <w:rPr>
          <w:noProof/>
          <w:color w:val="000000" w:themeColor="text1"/>
        </w:rPr>
        <w:t xml:space="preserve"> index providers on </w:t>
      </w:r>
      <w:r w:rsidR="003247A7">
        <w:rPr>
          <w:noProof/>
          <w:color w:val="000000" w:themeColor="text1"/>
        </w:rPr>
        <w:t xml:space="preserve">how to </w:t>
      </w:r>
      <w:r w:rsidRPr="00422A17">
        <w:rPr>
          <w:noProof/>
          <w:color w:val="000000" w:themeColor="text1"/>
        </w:rPr>
        <w:t>classif</w:t>
      </w:r>
      <w:r w:rsidR="003247A7">
        <w:rPr>
          <w:noProof/>
          <w:color w:val="000000" w:themeColor="text1"/>
        </w:rPr>
        <w:t>y</w:t>
      </w:r>
      <w:r w:rsidRPr="00422A17">
        <w:rPr>
          <w:noProof/>
          <w:color w:val="000000" w:themeColor="text1"/>
        </w:rPr>
        <w:t xml:space="preserve"> EU securities in their indices</w:t>
      </w:r>
      <w:r>
        <w:rPr>
          <w:noProof/>
          <w:color w:val="000000" w:themeColor="text1"/>
        </w:rPr>
        <w:t xml:space="preserve"> and </w:t>
      </w:r>
      <w:r w:rsidRPr="00422A17">
        <w:rPr>
          <w:noProof/>
          <w:color w:val="000000" w:themeColor="text1"/>
        </w:rPr>
        <w:t xml:space="preserve">will </w:t>
      </w:r>
      <w:r>
        <w:rPr>
          <w:noProof/>
          <w:color w:val="000000" w:themeColor="text1"/>
        </w:rPr>
        <w:t>c</w:t>
      </w:r>
      <w:r w:rsidRPr="00422A17">
        <w:rPr>
          <w:noProof/>
          <w:color w:val="000000" w:themeColor="text1"/>
        </w:rPr>
        <w:t xml:space="preserve">ontinue to encourage market counterparties to provide to EU-Bonds the same quality of collateral treatment in bilateral secured transactions </w:t>
      </w:r>
      <w:r w:rsidR="003247A7">
        <w:rPr>
          <w:noProof/>
          <w:color w:val="000000" w:themeColor="text1"/>
        </w:rPr>
        <w:t>that they provide</w:t>
      </w:r>
      <w:r w:rsidRPr="00422A17">
        <w:rPr>
          <w:noProof/>
          <w:color w:val="000000" w:themeColor="text1"/>
        </w:rPr>
        <w:t xml:space="preserve"> to sovereign bonds.</w:t>
      </w:r>
      <w:bookmarkEnd w:id="4"/>
    </w:p>
    <w:p w14:paraId="6054F437" w14:textId="13C27636" w:rsidR="001401DA" w:rsidRPr="00BE145B" w:rsidRDefault="008B6253" w:rsidP="00BE145B">
      <w:pPr>
        <w:pStyle w:val="Heading1"/>
        <w:rPr>
          <w:noProof/>
        </w:rPr>
      </w:pPr>
      <w:bookmarkStart w:id="6" w:name="_Toc158284854"/>
      <w:r w:rsidRPr="00BE145B">
        <w:rPr>
          <w:noProof/>
        </w:rPr>
        <w:t>Introduction</w:t>
      </w:r>
      <w:bookmarkEnd w:id="6"/>
    </w:p>
    <w:p w14:paraId="7DA5330C" w14:textId="1A808044" w:rsidR="004A61C9" w:rsidRPr="000123E4" w:rsidRDefault="0091353C" w:rsidP="008D4780">
      <w:pPr>
        <w:rPr>
          <w:noProof/>
          <w:lang w:val="en-GB"/>
        </w:rPr>
      </w:pPr>
      <w:r>
        <w:rPr>
          <w:noProof/>
          <w:lang w:val="en-GB"/>
        </w:rPr>
        <w:t>T</w:t>
      </w:r>
      <w:r w:rsidR="001401DA" w:rsidRPr="000123E4">
        <w:rPr>
          <w:noProof/>
          <w:lang w:val="en-GB"/>
        </w:rPr>
        <w:t xml:space="preserve">he Commission has been borrowing funds on behalf of the </w:t>
      </w:r>
      <w:r>
        <w:rPr>
          <w:noProof/>
          <w:lang w:val="en-GB"/>
        </w:rPr>
        <w:t xml:space="preserve">European </w:t>
      </w:r>
      <w:r w:rsidR="001401DA" w:rsidRPr="000123E4">
        <w:rPr>
          <w:noProof/>
          <w:lang w:val="en-GB"/>
        </w:rPr>
        <w:t>Union for over 40 years</w:t>
      </w:r>
      <w:r w:rsidR="000830C3" w:rsidRPr="000123E4">
        <w:rPr>
          <w:noProof/>
          <w:lang w:val="en-GB"/>
        </w:rPr>
        <w:t xml:space="preserve">. </w:t>
      </w:r>
      <w:r w:rsidR="001574CF">
        <w:rPr>
          <w:noProof/>
          <w:lang w:val="en-GB"/>
        </w:rPr>
        <w:t>T</w:t>
      </w:r>
      <w:r w:rsidR="001401DA" w:rsidRPr="000123E4">
        <w:rPr>
          <w:noProof/>
          <w:lang w:val="en-GB"/>
        </w:rPr>
        <w:t xml:space="preserve">he past </w:t>
      </w:r>
      <w:r>
        <w:rPr>
          <w:noProof/>
          <w:lang w:val="en-GB"/>
        </w:rPr>
        <w:t>3</w:t>
      </w:r>
      <w:r w:rsidR="001401DA" w:rsidRPr="000123E4">
        <w:rPr>
          <w:noProof/>
          <w:lang w:val="en-GB"/>
        </w:rPr>
        <w:t xml:space="preserve"> years</w:t>
      </w:r>
      <w:r w:rsidR="001574CF">
        <w:rPr>
          <w:noProof/>
          <w:lang w:val="en-GB"/>
        </w:rPr>
        <w:t xml:space="preserve"> have</w:t>
      </w:r>
      <w:r w:rsidR="001401DA" w:rsidRPr="000123E4">
        <w:rPr>
          <w:noProof/>
          <w:lang w:val="en-GB"/>
        </w:rPr>
        <w:t xml:space="preserve"> seen a </w:t>
      </w:r>
      <w:r w:rsidR="001574CF">
        <w:rPr>
          <w:noProof/>
          <w:lang w:val="en-GB"/>
        </w:rPr>
        <w:t>marked</w:t>
      </w:r>
      <w:r w:rsidR="00AA24D5">
        <w:rPr>
          <w:noProof/>
          <w:lang w:val="en-GB"/>
        </w:rPr>
        <w:t xml:space="preserve"> increase </w:t>
      </w:r>
      <w:r w:rsidR="001574CF">
        <w:rPr>
          <w:noProof/>
          <w:lang w:val="en-GB"/>
        </w:rPr>
        <w:t>in the EU’s bond issuance as</w:t>
      </w:r>
      <w:r w:rsidR="001401DA" w:rsidRPr="000123E4">
        <w:rPr>
          <w:noProof/>
          <w:lang w:val="en-GB"/>
        </w:rPr>
        <w:t xml:space="preserve"> it </w:t>
      </w:r>
      <w:r w:rsidR="001574CF">
        <w:rPr>
          <w:noProof/>
          <w:lang w:val="en-GB"/>
        </w:rPr>
        <w:t xml:space="preserve">relies on capital markets to finance </w:t>
      </w:r>
      <w:r w:rsidR="001401DA" w:rsidRPr="000123E4">
        <w:rPr>
          <w:noProof/>
          <w:lang w:val="en-GB"/>
        </w:rPr>
        <w:t>large programmes such as SURE</w:t>
      </w:r>
      <w:r>
        <w:rPr>
          <w:rStyle w:val="FootnoteReference"/>
          <w:noProof/>
          <w:lang w:val="en-GB"/>
        </w:rPr>
        <w:footnoteReference w:id="2"/>
      </w:r>
      <w:r w:rsidR="001401DA" w:rsidRPr="000123E4">
        <w:rPr>
          <w:noProof/>
          <w:lang w:val="en-GB"/>
        </w:rPr>
        <w:t>, NextGenerationEU</w:t>
      </w:r>
      <w:r w:rsidR="00AA24D5">
        <w:rPr>
          <w:noProof/>
          <w:lang w:val="en-GB"/>
        </w:rPr>
        <w:t xml:space="preserve"> (NGEU)</w:t>
      </w:r>
      <w:r w:rsidR="001401DA" w:rsidRPr="000123E4">
        <w:rPr>
          <w:noProof/>
          <w:lang w:val="en-GB"/>
        </w:rPr>
        <w:t xml:space="preserve">, and </w:t>
      </w:r>
      <w:r w:rsidRPr="0091353C">
        <w:rPr>
          <w:noProof/>
          <w:lang w:val="en-GB"/>
        </w:rPr>
        <w:t xml:space="preserve">Macro-Financial Assistance </w:t>
      </w:r>
      <w:r w:rsidR="00AA24D5">
        <w:rPr>
          <w:noProof/>
          <w:lang w:val="en-GB"/>
        </w:rPr>
        <w:t xml:space="preserve">+ </w:t>
      </w:r>
      <w:r>
        <w:rPr>
          <w:noProof/>
          <w:lang w:val="en-GB"/>
        </w:rPr>
        <w:t>(M</w:t>
      </w:r>
      <w:r w:rsidR="001401DA" w:rsidRPr="000123E4">
        <w:rPr>
          <w:noProof/>
          <w:lang w:val="en-GB"/>
        </w:rPr>
        <w:t>FA+</w:t>
      </w:r>
      <w:r w:rsidR="00AA24D5">
        <w:rPr>
          <w:noProof/>
          <w:lang w:val="en-GB"/>
        </w:rPr>
        <w:t>)</w:t>
      </w:r>
      <w:r w:rsidR="001401DA" w:rsidRPr="000123E4">
        <w:rPr>
          <w:noProof/>
          <w:lang w:val="en-GB"/>
        </w:rPr>
        <w:t xml:space="preserve"> for Ukraine. </w:t>
      </w:r>
      <w:bookmarkStart w:id="7" w:name="_Hlk139454430"/>
      <w:r w:rsidR="001574CF">
        <w:rPr>
          <w:noProof/>
          <w:lang w:val="en-GB"/>
        </w:rPr>
        <w:t>By end-2023 t</w:t>
      </w:r>
      <w:r w:rsidR="001401DA" w:rsidRPr="000123E4">
        <w:rPr>
          <w:noProof/>
          <w:lang w:val="en-GB"/>
        </w:rPr>
        <w:t>he EU ha</w:t>
      </w:r>
      <w:r w:rsidR="001574CF">
        <w:rPr>
          <w:noProof/>
          <w:lang w:val="en-GB"/>
        </w:rPr>
        <w:t>d</w:t>
      </w:r>
      <w:r w:rsidR="001401DA" w:rsidRPr="000123E4">
        <w:rPr>
          <w:noProof/>
          <w:lang w:val="en-GB"/>
        </w:rPr>
        <w:t xml:space="preserve"> </w:t>
      </w:r>
      <w:r w:rsidR="00084648">
        <w:rPr>
          <w:noProof/>
          <w:lang w:val="en-GB"/>
        </w:rPr>
        <w:t xml:space="preserve">just </w:t>
      </w:r>
      <w:r w:rsidR="00084648" w:rsidRPr="00C30FD5">
        <w:rPr>
          <w:noProof/>
          <w:lang w:val="en-GB"/>
        </w:rPr>
        <w:t>over</w:t>
      </w:r>
      <w:r w:rsidR="001401DA" w:rsidRPr="00C30FD5">
        <w:rPr>
          <w:noProof/>
          <w:lang w:val="en-GB"/>
        </w:rPr>
        <w:t xml:space="preserve"> EUR 4</w:t>
      </w:r>
      <w:r w:rsidR="006C66D8" w:rsidRPr="00C30FD5">
        <w:rPr>
          <w:noProof/>
          <w:lang w:val="en-GB"/>
        </w:rPr>
        <w:t>4</w:t>
      </w:r>
      <w:r w:rsidR="001401DA" w:rsidRPr="00C30FD5">
        <w:rPr>
          <w:noProof/>
          <w:lang w:val="en-GB"/>
        </w:rPr>
        <w:t xml:space="preserve">0 billion in outstanding liabilities resulting from its bond issuance, of which </w:t>
      </w:r>
      <w:r w:rsidR="00084648" w:rsidRPr="00C30FD5">
        <w:rPr>
          <w:noProof/>
          <w:lang w:val="en-GB"/>
        </w:rPr>
        <w:t>about</w:t>
      </w:r>
      <w:r w:rsidR="001401DA" w:rsidRPr="00C30FD5">
        <w:rPr>
          <w:noProof/>
          <w:lang w:val="en-GB"/>
        </w:rPr>
        <w:t xml:space="preserve"> EUR </w:t>
      </w:r>
      <w:r w:rsidR="006C66D8" w:rsidRPr="00C30FD5">
        <w:rPr>
          <w:noProof/>
          <w:lang w:val="en-GB"/>
        </w:rPr>
        <w:t>4</w:t>
      </w:r>
      <w:r w:rsidR="00C30FD5" w:rsidRPr="00C30FD5">
        <w:rPr>
          <w:noProof/>
          <w:lang w:val="en-GB"/>
        </w:rPr>
        <w:t>05</w:t>
      </w:r>
      <w:r w:rsidR="001401DA" w:rsidRPr="00C30FD5">
        <w:rPr>
          <w:noProof/>
          <w:lang w:val="en-GB"/>
        </w:rPr>
        <w:t xml:space="preserve"> billion have been</w:t>
      </w:r>
      <w:r w:rsidR="001401DA" w:rsidRPr="000123E4">
        <w:rPr>
          <w:noProof/>
          <w:lang w:val="en-GB"/>
        </w:rPr>
        <w:t xml:space="preserve"> issued since 2020.</w:t>
      </w:r>
      <w:bookmarkEnd w:id="7"/>
      <w:r w:rsidR="001574CF">
        <w:rPr>
          <w:noProof/>
          <w:lang w:val="en-GB"/>
        </w:rPr>
        <w:t xml:space="preserve"> </w:t>
      </w:r>
    </w:p>
    <w:p w14:paraId="7F7E0F75" w14:textId="7E38AE12" w:rsidR="001F3746" w:rsidRPr="000123E4" w:rsidRDefault="004261C9" w:rsidP="008D4780">
      <w:pPr>
        <w:rPr>
          <w:noProof/>
          <w:lang w:val="en-GB"/>
        </w:rPr>
      </w:pPr>
      <w:r>
        <w:rPr>
          <w:noProof/>
          <w:lang w:val="en-GB"/>
        </w:rPr>
        <w:t>I</w:t>
      </w:r>
      <w:r w:rsidR="0069582D">
        <w:rPr>
          <w:noProof/>
          <w:lang w:val="en-GB"/>
        </w:rPr>
        <w:t>n line with</w:t>
      </w:r>
      <w:r w:rsidR="00E91029" w:rsidRPr="000123E4">
        <w:rPr>
          <w:noProof/>
          <w:lang w:val="en-GB"/>
        </w:rPr>
        <w:t xml:space="preserve"> Article</w:t>
      </w:r>
      <w:r w:rsidR="0069582D">
        <w:rPr>
          <w:noProof/>
          <w:lang w:val="en-GB"/>
        </w:rPr>
        <w:t xml:space="preserve"> </w:t>
      </w:r>
      <w:r w:rsidR="00E91029" w:rsidRPr="000123E4">
        <w:rPr>
          <w:noProof/>
          <w:lang w:val="en-GB"/>
        </w:rPr>
        <w:t>12 of Commission Implementing Decision C(2022)9700</w:t>
      </w:r>
      <w:r>
        <w:rPr>
          <w:noProof/>
          <w:lang w:val="en-GB"/>
        </w:rPr>
        <w:t xml:space="preserve">, which </w:t>
      </w:r>
      <w:r w:rsidR="00AA24D5">
        <w:rPr>
          <w:noProof/>
          <w:lang w:val="en-GB"/>
        </w:rPr>
        <w:t>lays down</w:t>
      </w:r>
      <w:r w:rsidRPr="004261C9">
        <w:rPr>
          <w:noProof/>
          <w:lang w:val="en-GB"/>
        </w:rPr>
        <w:t xml:space="preserve"> the arrangements for the implementation of the </w:t>
      </w:r>
      <w:r w:rsidR="00FE7980">
        <w:rPr>
          <w:noProof/>
          <w:lang w:val="en-GB"/>
        </w:rPr>
        <w:t xml:space="preserve">unified funding approach </w:t>
      </w:r>
      <w:r w:rsidRPr="004261C9">
        <w:rPr>
          <w:noProof/>
          <w:lang w:val="en-GB"/>
        </w:rPr>
        <w:t>for borrowing and debt management operations</w:t>
      </w:r>
      <w:r w:rsidR="000659B4">
        <w:rPr>
          <w:rStyle w:val="FootnoteReference"/>
          <w:noProof/>
          <w:lang w:val="en-GB"/>
        </w:rPr>
        <w:footnoteReference w:id="3"/>
      </w:r>
      <w:r>
        <w:rPr>
          <w:noProof/>
          <w:lang w:val="en-GB"/>
        </w:rPr>
        <w:t xml:space="preserve">, this half-yearly report </w:t>
      </w:r>
      <w:r w:rsidR="006F7559" w:rsidRPr="000123E4">
        <w:rPr>
          <w:noProof/>
          <w:lang w:val="en-GB"/>
        </w:rPr>
        <w:t xml:space="preserve">reviews </w:t>
      </w:r>
      <w:r w:rsidR="004432DE">
        <w:rPr>
          <w:noProof/>
          <w:lang w:val="en-GB"/>
        </w:rPr>
        <w:t xml:space="preserve">the </w:t>
      </w:r>
      <w:r w:rsidR="0069582D">
        <w:rPr>
          <w:noProof/>
          <w:lang w:val="en-GB"/>
        </w:rPr>
        <w:t xml:space="preserve">implementation of </w:t>
      </w:r>
      <w:r>
        <w:rPr>
          <w:noProof/>
          <w:lang w:val="en-GB"/>
        </w:rPr>
        <w:t>borrowing operations</w:t>
      </w:r>
      <w:r w:rsidR="004432DE">
        <w:rPr>
          <w:noProof/>
          <w:lang w:val="en-GB"/>
        </w:rPr>
        <w:t xml:space="preserve"> between 1 July 2023 and 31 December 2023</w:t>
      </w:r>
      <w:r>
        <w:rPr>
          <w:noProof/>
          <w:lang w:val="en-GB"/>
        </w:rPr>
        <w:t xml:space="preserve">. </w:t>
      </w:r>
      <w:r w:rsidR="006F7559" w:rsidRPr="000123E4">
        <w:rPr>
          <w:noProof/>
          <w:lang w:val="en-GB"/>
        </w:rPr>
        <w:t xml:space="preserve">It also </w:t>
      </w:r>
      <w:r w:rsidR="000659B4">
        <w:rPr>
          <w:noProof/>
          <w:lang w:val="en-GB"/>
        </w:rPr>
        <w:t xml:space="preserve">presents </w:t>
      </w:r>
      <w:r w:rsidR="006F7559" w:rsidRPr="000123E4">
        <w:rPr>
          <w:noProof/>
          <w:lang w:val="en-GB"/>
        </w:rPr>
        <w:t xml:space="preserve">the steps that the Commission is taking to further develop the </w:t>
      </w:r>
      <w:r w:rsidR="0069582D">
        <w:rPr>
          <w:noProof/>
          <w:lang w:val="en-GB"/>
        </w:rPr>
        <w:t>ecosystem</w:t>
      </w:r>
      <w:r w:rsidR="00AA24D5">
        <w:rPr>
          <w:noProof/>
          <w:lang w:val="en-GB"/>
        </w:rPr>
        <w:t xml:space="preserve"> for </w:t>
      </w:r>
      <w:r w:rsidR="00AA24D5" w:rsidRPr="000123E4">
        <w:rPr>
          <w:noProof/>
          <w:lang w:val="en-GB"/>
        </w:rPr>
        <w:t>EU-Bonds</w:t>
      </w:r>
      <w:r w:rsidR="0069582D">
        <w:rPr>
          <w:noProof/>
          <w:lang w:val="en-GB"/>
        </w:rPr>
        <w:t xml:space="preserve"> – with the aim of increasing </w:t>
      </w:r>
      <w:r w:rsidR="006F7559" w:rsidRPr="000123E4">
        <w:rPr>
          <w:noProof/>
          <w:lang w:val="en-GB"/>
        </w:rPr>
        <w:t>the liquidity of EU-Bonds and facilitat</w:t>
      </w:r>
      <w:r w:rsidR="0069582D">
        <w:rPr>
          <w:noProof/>
          <w:lang w:val="en-GB"/>
        </w:rPr>
        <w:t>ing</w:t>
      </w:r>
      <w:r w:rsidR="006F7559" w:rsidRPr="000123E4">
        <w:rPr>
          <w:noProof/>
          <w:lang w:val="en-GB"/>
        </w:rPr>
        <w:t xml:space="preserve"> a market </w:t>
      </w:r>
      <w:r w:rsidR="000659B4">
        <w:rPr>
          <w:noProof/>
          <w:lang w:val="en-GB"/>
        </w:rPr>
        <w:t xml:space="preserve">standing </w:t>
      </w:r>
      <w:r w:rsidR="006F7559" w:rsidRPr="000123E4">
        <w:rPr>
          <w:noProof/>
          <w:lang w:val="en-GB"/>
        </w:rPr>
        <w:t>that reflects the EU’s issuance volumes and credit strength</w:t>
      </w:r>
      <w:r w:rsidR="009B2063">
        <w:rPr>
          <w:noProof/>
          <w:lang w:val="en-GB"/>
        </w:rPr>
        <w:t xml:space="preserve"> for the benefit of the Member States</w:t>
      </w:r>
      <w:r w:rsidR="006F7559" w:rsidRPr="000123E4">
        <w:rPr>
          <w:noProof/>
          <w:lang w:val="en-GB"/>
        </w:rPr>
        <w:t xml:space="preserve">. Finally, it provides an outlook for EU-Bond issuance in the </w:t>
      </w:r>
      <w:r w:rsidR="00C602C6">
        <w:rPr>
          <w:noProof/>
          <w:lang w:val="en-GB"/>
        </w:rPr>
        <w:t>first</w:t>
      </w:r>
      <w:r w:rsidR="006F7559" w:rsidRPr="000123E4">
        <w:rPr>
          <w:noProof/>
          <w:lang w:val="en-GB"/>
        </w:rPr>
        <w:t xml:space="preserve"> half of 202</w:t>
      </w:r>
      <w:r w:rsidR="00C602C6">
        <w:rPr>
          <w:noProof/>
          <w:lang w:val="en-GB"/>
        </w:rPr>
        <w:t>4</w:t>
      </w:r>
      <w:r w:rsidR="006F7559" w:rsidRPr="000123E4">
        <w:rPr>
          <w:noProof/>
          <w:lang w:val="en-GB"/>
        </w:rPr>
        <w:t>.</w:t>
      </w:r>
      <w:r w:rsidR="005B2E28" w:rsidRPr="005B2E28">
        <w:rPr>
          <w:noProof/>
          <w:lang w:val="en-GB"/>
        </w:rPr>
        <w:t xml:space="preserve"> </w:t>
      </w:r>
      <w:r w:rsidR="005B2E28">
        <w:rPr>
          <w:noProof/>
          <w:lang w:val="en-GB"/>
        </w:rPr>
        <w:t>This report</w:t>
      </w:r>
      <w:r w:rsidR="005B2E28" w:rsidRPr="000123E4">
        <w:rPr>
          <w:noProof/>
          <w:lang w:val="en-GB"/>
        </w:rPr>
        <w:t xml:space="preserve"> does not evaluate how the proceeds </w:t>
      </w:r>
      <w:r w:rsidR="005B2E28">
        <w:rPr>
          <w:noProof/>
          <w:lang w:val="en-GB"/>
        </w:rPr>
        <w:t>from EU-Bond issuances are u</w:t>
      </w:r>
      <w:r w:rsidR="005B2E28" w:rsidRPr="000123E4">
        <w:rPr>
          <w:noProof/>
          <w:lang w:val="en-GB"/>
        </w:rPr>
        <w:t xml:space="preserve">sed, including for green expenditure, as </w:t>
      </w:r>
      <w:r w:rsidR="005B2E28">
        <w:rPr>
          <w:noProof/>
          <w:lang w:val="en-GB"/>
        </w:rPr>
        <w:t>this</w:t>
      </w:r>
      <w:r w:rsidR="005B2E28" w:rsidRPr="000123E4">
        <w:rPr>
          <w:noProof/>
          <w:lang w:val="en-GB"/>
        </w:rPr>
        <w:t xml:space="preserve"> </w:t>
      </w:r>
      <w:r w:rsidR="005B2E28">
        <w:rPr>
          <w:noProof/>
          <w:lang w:val="en-GB"/>
        </w:rPr>
        <w:t>is</w:t>
      </w:r>
      <w:r w:rsidR="005B2E28" w:rsidRPr="000123E4">
        <w:rPr>
          <w:noProof/>
          <w:lang w:val="en-GB"/>
        </w:rPr>
        <w:t xml:space="preserve"> covered in separate reports </w:t>
      </w:r>
      <w:r w:rsidR="005B2E28">
        <w:rPr>
          <w:noProof/>
          <w:lang w:val="en-GB"/>
        </w:rPr>
        <w:t>under</w:t>
      </w:r>
      <w:r w:rsidR="005B2E28" w:rsidRPr="000123E4">
        <w:rPr>
          <w:noProof/>
          <w:lang w:val="en-GB"/>
        </w:rPr>
        <w:t xml:space="preserve"> the </w:t>
      </w:r>
      <w:r w:rsidR="00F60F12">
        <w:rPr>
          <w:noProof/>
          <w:lang w:val="en-GB"/>
        </w:rPr>
        <w:t>r</w:t>
      </w:r>
      <w:r w:rsidR="005B2E28" w:rsidRPr="000123E4">
        <w:rPr>
          <w:noProof/>
          <w:lang w:val="en-GB"/>
        </w:rPr>
        <w:t xml:space="preserve">egulations </w:t>
      </w:r>
      <w:r w:rsidR="005B2E28">
        <w:rPr>
          <w:noProof/>
          <w:lang w:val="en-GB"/>
        </w:rPr>
        <w:t>for</w:t>
      </w:r>
      <w:r w:rsidR="005B2E28" w:rsidRPr="000123E4">
        <w:rPr>
          <w:noProof/>
          <w:lang w:val="en-GB"/>
        </w:rPr>
        <w:t xml:space="preserve"> each instrument</w:t>
      </w:r>
      <w:r w:rsidR="005341C2">
        <w:rPr>
          <w:rStyle w:val="FootnoteReference"/>
          <w:noProof/>
          <w:lang w:val="en-GB"/>
        </w:rPr>
        <w:footnoteReference w:id="4"/>
      </w:r>
      <w:r w:rsidR="00AA24D5">
        <w:rPr>
          <w:noProof/>
          <w:lang w:val="en-GB"/>
        </w:rPr>
        <w:t>.</w:t>
      </w:r>
    </w:p>
    <w:p w14:paraId="749A4933" w14:textId="509EDB6B" w:rsidR="00F13D4C" w:rsidRDefault="000659B4" w:rsidP="008D4780">
      <w:pPr>
        <w:rPr>
          <w:noProof/>
          <w:lang w:val="en-GB"/>
        </w:rPr>
      </w:pPr>
      <w:r>
        <w:rPr>
          <w:noProof/>
          <w:lang w:val="en-GB"/>
        </w:rPr>
        <w:t>Further to the recommendation of the European Court of Auditors</w:t>
      </w:r>
      <w:r>
        <w:rPr>
          <w:rStyle w:val="FootnoteReference"/>
          <w:noProof/>
          <w:lang w:val="en-GB"/>
        </w:rPr>
        <w:footnoteReference w:id="5"/>
      </w:r>
      <w:r>
        <w:rPr>
          <w:noProof/>
          <w:lang w:val="en-GB"/>
        </w:rPr>
        <w:t>, t</w:t>
      </w:r>
      <w:r w:rsidR="00E91029" w:rsidRPr="000123E4">
        <w:rPr>
          <w:noProof/>
          <w:lang w:val="en-GB"/>
        </w:rPr>
        <w:t>h</w:t>
      </w:r>
      <w:r w:rsidR="0069582D">
        <w:rPr>
          <w:noProof/>
          <w:lang w:val="en-GB"/>
        </w:rPr>
        <w:t>e annex to this</w:t>
      </w:r>
      <w:r w:rsidR="00E91029" w:rsidRPr="000123E4">
        <w:rPr>
          <w:noProof/>
          <w:lang w:val="en-GB"/>
        </w:rPr>
        <w:t xml:space="preserve"> report </w:t>
      </w:r>
      <w:r w:rsidR="00C602C6">
        <w:rPr>
          <w:noProof/>
          <w:lang w:val="en-GB"/>
        </w:rPr>
        <w:t xml:space="preserve">presents </w:t>
      </w:r>
      <w:r w:rsidR="00E91029" w:rsidRPr="000123E4">
        <w:rPr>
          <w:noProof/>
          <w:lang w:val="en-GB"/>
        </w:rPr>
        <w:t xml:space="preserve">indicators that can be used </w:t>
      </w:r>
      <w:r w:rsidR="00C602C6">
        <w:rPr>
          <w:noProof/>
          <w:lang w:val="en-GB"/>
        </w:rPr>
        <w:t xml:space="preserve">to monitor </w:t>
      </w:r>
      <w:r w:rsidR="00C602C6" w:rsidRPr="000123E4">
        <w:rPr>
          <w:noProof/>
          <w:lang w:val="en-GB"/>
        </w:rPr>
        <w:t>the</w:t>
      </w:r>
      <w:r w:rsidR="00C602C6">
        <w:rPr>
          <w:noProof/>
          <w:lang w:val="en-GB"/>
        </w:rPr>
        <w:t xml:space="preserve"> implementation of the</w:t>
      </w:r>
      <w:r w:rsidR="00C602C6" w:rsidRPr="000123E4">
        <w:rPr>
          <w:noProof/>
          <w:lang w:val="en-GB"/>
        </w:rPr>
        <w:t xml:space="preserve"> overarching debt management strategy </w:t>
      </w:r>
      <w:r w:rsidR="00C602C6">
        <w:rPr>
          <w:noProof/>
          <w:lang w:val="en-GB"/>
        </w:rPr>
        <w:t>guiding</w:t>
      </w:r>
      <w:r w:rsidR="00C602C6" w:rsidRPr="000123E4">
        <w:rPr>
          <w:noProof/>
          <w:lang w:val="en-GB"/>
        </w:rPr>
        <w:t xml:space="preserve"> the Commission</w:t>
      </w:r>
      <w:r w:rsidR="00C602C6">
        <w:rPr>
          <w:noProof/>
          <w:lang w:val="en-GB"/>
        </w:rPr>
        <w:t>’s</w:t>
      </w:r>
      <w:r w:rsidR="00C602C6" w:rsidRPr="000123E4">
        <w:rPr>
          <w:noProof/>
          <w:lang w:val="en-GB"/>
        </w:rPr>
        <w:t xml:space="preserve"> unified funding </w:t>
      </w:r>
      <w:r w:rsidR="00C602C6">
        <w:rPr>
          <w:noProof/>
          <w:lang w:val="en-GB"/>
        </w:rPr>
        <w:t>approach</w:t>
      </w:r>
      <w:r w:rsidR="00C602C6" w:rsidRPr="00D742B5">
        <w:rPr>
          <w:rStyle w:val="FootnoteReference"/>
          <w:noProof/>
          <w:spacing w:val="-6"/>
        </w:rPr>
        <w:footnoteReference w:id="6"/>
      </w:r>
      <w:r w:rsidR="00F60F12">
        <w:rPr>
          <w:noProof/>
          <w:lang w:val="en-GB"/>
        </w:rPr>
        <w:t>.</w:t>
      </w:r>
      <w:r w:rsidR="00C602C6">
        <w:rPr>
          <w:noProof/>
          <w:lang w:val="en-GB"/>
        </w:rPr>
        <w:t xml:space="preserve">  </w:t>
      </w:r>
    </w:p>
    <w:p w14:paraId="4FD8F240" w14:textId="423190CB" w:rsidR="008B6253" w:rsidRPr="00BE145B" w:rsidRDefault="00BD5F9F" w:rsidP="00BE145B">
      <w:pPr>
        <w:pStyle w:val="Heading1"/>
        <w:rPr>
          <w:noProof/>
        </w:rPr>
      </w:pPr>
      <w:bookmarkStart w:id="8" w:name="_Ref155883558"/>
      <w:bookmarkStart w:id="9" w:name="_Toc158284855"/>
      <w:r w:rsidRPr="00BE145B">
        <w:rPr>
          <w:noProof/>
        </w:rPr>
        <w:t xml:space="preserve">Implementation of </w:t>
      </w:r>
      <w:r w:rsidR="001401DA" w:rsidRPr="00BE145B">
        <w:rPr>
          <w:noProof/>
        </w:rPr>
        <w:t>borrowing operations</w:t>
      </w:r>
      <w:r w:rsidR="00936D60" w:rsidRPr="00BE145B">
        <w:rPr>
          <w:noProof/>
        </w:rPr>
        <w:t xml:space="preserve"> in </w:t>
      </w:r>
      <w:r w:rsidR="000659B4" w:rsidRPr="00BE145B">
        <w:rPr>
          <w:noProof/>
        </w:rPr>
        <w:t xml:space="preserve">the </w:t>
      </w:r>
      <w:r w:rsidR="00176299" w:rsidRPr="00BE145B">
        <w:rPr>
          <w:noProof/>
        </w:rPr>
        <w:t>second</w:t>
      </w:r>
      <w:r w:rsidR="004D0EB0" w:rsidRPr="00BE145B">
        <w:rPr>
          <w:noProof/>
        </w:rPr>
        <w:t xml:space="preserve"> </w:t>
      </w:r>
      <w:r w:rsidR="001401DA" w:rsidRPr="00BE145B">
        <w:rPr>
          <w:noProof/>
        </w:rPr>
        <w:t>half</w:t>
      </w:r>
      <w:r w:rsidR="004D0EB0" w:rsidRPr="00BE145B">
        <w:rPr>
          <w:noProof/>
        </w:rPr>
        <w:t xml:space="preserve"> of</w:t>
      </w:r>
      <w:r w:rsidRPr="00BE145B">
        <w:rPr>
          <w:noProof/>
        </w:rPr>
        <w:t xml:space="preserve"> </w:t>
      </w:r>
      <w:bookmarkEnd w:id="8"/>
      <w:r w:rsidR="006429A5" w:rsidRPr="00BE145B">
        <w:rPr>
          <w:noProof/>
        </w:rPr>
        <w:t>2023</w:t>
      </w:r>
      <w:bookmarkEnd w:id="9"/>
    </w:p>
    <w:p w14:paraId="3ED8C977" w14:textId="34AE7048" w:rsidR="005D6F11" w:rsidRPr="000123E4" w:rsidRDefault="005D6F11" w:rsidP="005D6F11">
      <w:pPr>
        <w:rPr>
          <w:noProof/>
          <w:lang w:val="en-GB"/>
        </w:rPr>
      </w:pPr>
      <w:r w:rsidRPr="000123E4">
        <w:rPr>
          <w:noProof/>
          <w:lang w:val="en-GB"/>
        </w:rPr>
        <w:t xml:space="preserve">In the </w:t>
      </w:r>
      <w:r w:rsidR="00EB218C">
        <w:rPr>
          <w:noProof/>
          <w:lang w:val="en-GB"/>
        </w:rPr>
        <w:t>second</w:t>
      </w:r>
      <w:r w:rsidRPr="000123E4">
        <w:rPr>
          <w:noProof/>
          <w:lang w:val="en-GB"/>
        </w:rPr>
        <w:t xml:space="preserve"> half of 202</w:t>
      </w:r>
      <w:r w:rsidR="00746CFD">
        <w:rPr>
          <w:noProof/>
          <w:lang w:val="en-GB"/>
        </w:rPr>
        <w:t>3</w:t>
      </w:r>
      <w:r w:rsidR="000659B4">
        <w:rPr>
          <w:noProof/>
          <w:lang w:val="en-GB"/>
        </w:rPr>
        <w:t>,</w:t>
      </w:r>
      <w:r w:rsidRPr="000123E4">
        <w:rPr>
          <w:noProof/>
          <w:lang w:val="en-GB"/>
        </w:rPr>
        <w:t xml:space="preserve"> the Commission continued to rais</w:t>
      </w:r>
      <w:r w:rsidR="000659B4">
        <w:rPr>
          <w:noProof/>
          <w:lang w:val="en-GB"/>
        </w:rPr>
        <w:t>e</w:t>
      </w:r>
      <w:r w:rsidRPr="000123E4">
        <w:rPr>
          <w:noProof/>
          <w:lang w:val="en-GB"/>
        </w:rPr>
        <w:t xml:space="preserve"> funds in the markets </w:t>
      </w:r>
      <w:r w:rsidR="000659B4">
        <w:rPr>
          <w:noProof/>
          <w:lang w:val="en-GB"/>
        </w:rPr>
        <w:t xml:space="preserve">through </w:t>
      </w:r>
      <w:r w:rsidRPr="000123E4">
        <w:rPr>
          <w:noProof/>
          <w:lang w:val="en-GB"/>
        </w:rPr>
        <w:t xml:space="preserve">its unified funding approach. In </w:t>
      </w:r>
      <w:r w:rsidR="001D2A9E">
        <w:rPr>
          <w:noProof/>
          <w:lang w:val="en-GB"/>
        </w:rPr>
        <w:t>addition to meeting all the</w:t>
      </w:r>
      <w:r w:rsidR="00E24082" w:rsidRPr="000123E4">
        <w:rPr>
          <w:noProof/>
          <w:lang w:val="en-GB"/>
        </w:rPr>
        <w:t xml:space="preserve"> disbursement </w:t>
      </w:r>
      <w:r w:rsidRPr="000123E4">
        <w:rPr>
          <w:noProof/>
          <w:lang w:val="en-GB"/>
        </w:rPr>
        <w:t>commitments under NextGenerationEU and MFA+</w:t>
      </w:r>
      <w:r w:rsidR="00D00934">
        <w:rPr>
          <w:noProof/>
          <w:lang w:val="en-GB"/>
        </w:rPr>
        <w:t xml:space="preserve"> on </w:t>
      </w:r>
      <w:r w:rsidR="00D00934" w:rsidRPr="00C853A3">
        <w:rPr>
          <w:noProof/>
          <w:lang w:val="en-GB"/>
        </w:rPr>
        <w:t>time</w:t>
      </w:r>
      <w:r w:rsidR="001D2A9E">
        <w:rPr>
          <w:noProof/>
          <w:lang w:val="en-GB"/>
        </w:rPr>
        <w:t xml:space="preserve">, </w:t>
      </w:r>
      <w:r w:rsidR="00D8633C" w:rsidRPr="00C853A3">
        <w:rPr>
          <w:noProof/>
          <w:lang w:val="en-GB"/>
        </w:rPr>
        <w:t xml:space="preserve">issuance amounts and maturities </w:t>
      </w:r>
      <w:r w:rsidR="00E24082" w:rsidRPr="00C853A3">
        <w:rPr>
          <w:noProof/>
          <w:lang w:val="en-GB"/>
        </w:rPr>
        <w:t>remain</w:t>
      </w:r>
      <w:r w:rsidR="000830C3" w:rsidRPr="00C853A3">
        <w:rPr>
          <w:noProof/>
          <w:lang w:val="en-GB"/>
        </w:rPr>
        <w:t>ed</w:t>
      </w:r>
      <w:r w:rsidR="00E24082" w:rsidRPr="00C853A3">
        <w:rPr>
          <w:noProof/>
          <w:lang w:val="en-GB"/>
        </w:rPr>
        <w:t xml:space="preserve"> within the</w:t>
      </w:r>
      <w:r w:rsidRPr="00C853A3">
        <w:rPr>
          <w:noProof/>
          <w:lang w:val="en-GB"/>
        </w:rPr>
        <w:t xml:space="preserve"> </w:t>
      </w:r>
      <w:r w:rsidR="00D8633C" w:rsidRPr="00C853A3">
        <w:rPr>
          <w:noProof/>
          <w:lang w:val="en-GB"/>
        </w:rPr>
        <w:t>pre-</w:t>
      </w:r>
      <w:r w:rsidR="00D00934" w:rsidRPr="00C853A3">
        <w:rPr>
          <w:noProof/>
          <w:lang w:val="en-GB"/>
        </w:rPr>
        <w:t>set</w:t>
      </w:r>
      <w:r w:rsidR="00E24082" w:rsidRPr="00C853A3">
        <w:rPr>
          <w:noProof/>
          <w:lang w:val="en-GB"/>
        </w:rPr>
        <w:t xml:space="preserve"> parameters</w:t>
      </w:r>
      <w:r w:rsidR="00D8633C" w:rsidRPr="00C853A3">
        <w:rPr>
          <w:noProof/>
          <w:lang w:val="en-GB"/>
        </w:rPr>
        <w:t>,</w:t>
      </w:r>
      <w:r w:rsidR="00E24082" w:rsidRPr="00C853A3">
        <w:rPr>
          <w:noProof/>
          <w:lang w:val="en-GB"/>
        </w:rPr>
        <w:t xml:space="preserve"> </w:t>
      </w:r>
      <w:r w:rsidRPr="00C853A3">
        <w:rPr>
          <w:noProof/>
          <w:lang w:val="en-GB"/>
        </w:rPr>
        <w:t>and financing terms</w:t>
      </w:r>
      <w:r w:rsidR="00E24082" w:rsidRPr="00C853A3">
        <w:rPr>
          <w:noProof/>
          <w:lang w:val="en-GB"/>
        </w:rPr>
        <w:t xml:space="preserve"> </w:t>
      </w:r>
      <w:r w:rsidR="00D8633C" w:rsidRPr="00C853A3">
        <w:rPr>
          <w:noProof/>
          <w:lang w:val="en-GB"/>
        </w:rPr>
        <w:t xml:space="preserve">were in line with those of an issuer of the EU’s size and rating. </w:t>
      </w:r>
      <w:r w:rsidRPr="00C853A3">
        <w:rPr>
          <w:noProof/>
          <w:lang w:val="en-GB"/>
        </w:rPr>
        <w:t>The</w:t>
      </w:r>
      <w:r w:rsidRPr="000123E4">
        <w:rPr>
          <w:noProof/>
          <w:lang w:val="en-GB"/>
        </w:rPr>
        <w:t xml:space="preserve"> sections below present some of the key </w:t>
      </w:r>
      <w:r w:rsidR="00D00934">
        <w:rPr>
          <w:noProof/>
          <w:lang w:val="en-GB"/>
        </w:rPr>
        <w:t>component</w:t>
      </w:r>
      <w:r w:rsidRPr="000123E4">
        <w:rPr>
          <w:noProof/>
          <w:lang w:val="en-GB"/>
        </w:rPr>
        <w:t xml:space="preserve">s of the Commission’s borrowing and lending operations in the </w:t>
      </w:r>
      <w:r w:rsidR="00EB218C">
        <w:rPr>
          <w:noProof/>
          <w:lang w:val="en-GB"/>
        </w:rPr>
        <w:t>second</w:t>
      </w:r>
      <w:r w:rsidRPr="000123E4">
        <w:rPr>
          <w:noProof/>
          <w:lang w:val="en-GB"/>
        </w:rPr>
        <w:t xml:space="preserve"> half of 2023. Further </w:t>
      </w:r>
      <w:r w:rsidR="00412F6D">
        <w:rPr>
          <w:noProof/>
          <w:lang w:val="en-GB"/>
        </w:rPr>
        <w:t>indicators</w:t>
      </w:r>
      <w:r w:rsidRPr="000123E4">
        <w:rPr>
          <w:noProof/>
          <w:lang w:val="en-GB"/>
        </w:rPr>
        <w:t xml:space="preserve"> </w:t>
      </w:r>
      <w:r w:rsidR="00F60F12">
        <w:rPr>
          <w:noProof/>
          <w:lang w:val="en-GB"/>
        </w:rPr>
        <w:t>used to</w:t>
      </w:r>
      <w:r w:rsidR="00412F6D">
        <w:rPr>
          <w:noProof/>
          <w:lang w:val="en-GB"/>
        </w:rPr>
        <w:t xml:space="preserve"> monitor t</w:t>
      </w:r>
      <w:r w:rsidRPr="000123E4">
        <w:rPr>
          <w:noProof/>
          <w:lang w:val="en-GB"/>
        </w:rPr>
        <w:t xml:space="preserve">he </w:t>
      </w:r>
      <w:r w:rsidR="00EB218C">
        <w:rPr>
          <w:noProof/>
          <w:lang w:val="en-GB"/>
        </w:rPr>
        <w:t>implementation</w:t>
      </w:r>
      <w:r w:rsidRPr="000123E4">
        <w:rPr>
          <w:noProof/>
          <w:lang w:val="en-GB"/>
        </w:rPr>
        <w:t xml:space="preserve"> of the Commission’s funding strategy are </w:t>
      </w:r>
      <w:r w:rsidR="00901F98">
        <w:rPr>
          <w:noProof/>
          <w:lang w:val="en-GB"/>
        </w:rPr>
        <w:t>discussed</w:t>
      </w:r>
      <w:r w:rsidRPr="000123E4">
        <w:rPr>
          <w:noProof/>
          <w:lang w:val="en-GB"/>
        </w:rPr>
        <w:t xml:space="preserve"> in</w:t>
      </w:r>
      <w:r w:rsidR="00D00934">
        <w:rPr>
          <w:noProof/>
          <w:lang w:val="en-GB"/>
        </w:rPr>
        <w:t xml:space="preserve"> the</w:t>
      </w:r>
      <w:r w:rsidRPr="000123E4">
        <w:rPr>
          <w:noProof/>
          <w:lang w:val="en-GB"/>
        </w:rPr>
        <w:t xml:space="preserve"> </w:t>
      </w:r>
      <w:r w:rsidR="00EB218C">
        <w:rPr>
          <w:noProof/>
          <w:lang w:val="en-GB"/>
        </w:rPr>
        <w:t>a</w:t>
      </w:r>
      <w:r w:rsidRPr="000123E4">
        <w:rPr>
          <w:noProof/>
          <w:lang w:val="en-GB"/>
        </w:rPr>
        <w:t>nnex</w:t>
      </w:r>
      <w:r w:rsidR="00EB218C">
        <w:rPr>
          <w:noProof/>
          <w:lang w:val="en-GB"/>
        </w:rPr>
        <w:t xml:space="preserve"> to this report</w:t>
      </w:r>
      <w:r w:rsidRPr="000123E4">
        <w:rPr>
          <w:noProof/>
          <w:lang w:val="en-GB"/>
        </w:rPr>
        <w:t>.</w:t>
      </w:r>
    </w:p>
    <w:p w14:paraId="0C7AA257" w14:textId="54D768B9" w:rsidR="005D6F11" w:rsidRPr="000123E4" w:rsidRDefault="003926DF" w:rsidP="002703F1">
      <w:pPr>
        <w:pStyle w:val="Heading2"/>
        <w:rPr>
          <w:noProof/>
          <w:lang w:val="en-GB"/>
        </w:rPr>
      </w:pPr>
      <w:r w:rsidRPr="000123E4">
        <w:rPr>
          <w:noProof/>
          <w:lang w:val="en-GB"/>
        </w:rPr>
        <w:t xml:space="preserve">Execution of funding </w:t>
      </w:r>
      <w:r w:rsidR="00374646">
        <w:rPr>
          <w:noProof/>
          <w:lang w:val="en-GB"/>
        </w:rPr>
        <w:t>operations</w:t>
      </w:r>
      <w:r w:rsidR="00471D64">
        <w:rPr>
          <w:noProof/>
          <w:lang w:val="en-GB"/>
        </w:rPr>
        <w:t xml:space="preserve"> in</w:t>
      </w:r>
      <w:r w:rsidR="00471D64" w:rsidRPr="000123E4">
        <w:rPr>
          <w:noProof/>
          <w:lang w:val="en-GB"/>
        </w:rPr>
        <w:t xml:space="preserve"> </w:t>
      </w:r>
      <w:r w:rsidR="005D6F11" w:rsidRPr="000123E4">
        <w:rPr>
          <w:noProof/>
          <w:lang w:val="en-GB"/>
        </w:rPr>
        <w:t xml:space="preserve">the </w:t>
      </w:r>
      <w:r w:rsidR="00EB218C">
        <w:rPr>
          <w:noProof/>
          <w:lang w:val="en-GB"/>
        </w:rPr>
        <w:t>second</w:t>
      </w:r>
      <w:r w:rsidR="005D6F11" w:rsidRPr="000123E4">
        <w:rPr>
          <w:noProof/>
          <w:lang w:val="en-GB"/>
        </w:rPr>
        <w:t xml:space="preserve"> half of 2023</w:t>
      </w:r>
    </w:p>
    <w:p w14:paraId="7A9E0D70" w14:textId="4B59F34B" w:rsidR="001F3746" w:rsidRDefault="005D6F11" w:rsidP="007F2DED">
      <w:pPr>
        <w:rPr>
          <w:noProof/>
        </w:rPr>
      </w:pPr>
      <w:bookmarkStart w:id="10" w:name="_Hlk138161421"/>
      <w:r w:rsidRPr="000123E4">
        <w:rPr>
          <w:noProof/>
          <w:lang w:val="en-GB"/>
        </w:rPr>
        <w:t xml:space="preserve">In </w:t>
      </w:r>
      <w:r w:rsidR="00EB218C">
        <w:rPr>
          <w:noProof/>
          <w:lang w:val="en-GB"/>
        </w:rPr>
        <w:t>June</w:t>
      </w:r>
      <w:r w:rsidRPr="000123E4">
        <w:rPr>
          <w:noProof/>
          <w:lang w:val="en-GB"/>
        </w:rPr>
        <w:t xml:space="preserve"> 202</w:t>
      </w:r>
      <w:r w:rsidR="00EB218C">
        <w:rPr>
          <w:noProof/>
          <w:lang w:val="en-GB"/>
        </w:rPr>
        <w:t>3</w:t>
      </w:r>
      <w:r w:rsidRPr="000123E4">
        <w:rPr>
          <w:noProof/>
          <w:lang w:val="en-GB"/>
        </w:rPr>
        <w:t xml:space="preserve">, the Commission announced </w:t>
      </w:r>
      <w:r w:rsidR="00A512A6">
        <w:rPr>
          <w:noProof/>
          <w:lang w:val="en-GB"/>
        </w:rPr>
        <w:t>i</w:t>
      </w:r>
      <w:r w:rsidR="00471D64">
        <w:rPr>
          <w:noProof/>
          <w:lang w:val="en-GB"/>
        </w:rPr>
        <w:t xml:space="preserve">ts intention to issue </w:t>
      </w:r>
      <w:r w:rsidR="00471D64" w:rsidRPr="000123E4">
        <w:rPr>
          <w:noProof/>
        </w:rPr>
        <w:t>EUR 40 billion in EU-Bonds</w:t>
      </w:r>
      <w:r w:rsidR="00471D64">
        <w:rPr>
          <w:noProof/>
        </w:rPr>
        <w:t xml:space="preserve"> </w:t>
      </w:r>
      <w:r w:rsidR="00471D64">
        <w:rPr>
          <w:noProof/>
          <w:lang w:val="en-GB"/>
        </w:rPr>
        <w:t>over the period</w:t>
      </w:r>
      <w:r w:rsidR="00F60F12">
        <w:rPr>
          <w:noProof/>
          <w:lang w:val="en-GB"/>
        </w:rPr>
        <w:t xml:space="preserve"> from</w:t>
      </w:r>
      <w:r w:rsidR="00471D64">
        <w:rPr>
          <w:noProof/>
          <w:lang w:val="en-GB"/>
        </w:rPr>
        <w:t xml:space="preserve"> </w:t>
      </w:r>
      <w:r w:rsidRPr="000123E4">
        <w:rPr>
          <w:noProof/>
          <w:lang w:val="en-GB"/>
        </w:rPr>
        <w:t>J</w:t>
      </w:r>
      <w:r w:rsidR="00D7754F">
        <w:rPr>
          <w:noProof/>
          <w:lang w:val="en-GB"/>
        </w:rPr>
        <w:t>uly</w:t>
      </w:r>
      <w:r w:rsidRPr="000123E4">
        <w:rPr>
          <w:noProof/>
          <w:lang w:val="en-GB"/>
        </w:rPr>
        <w:t xml:space="preserve"> to end-</w:t>
      </w:r>
      <w:r w:rsidR="00D7754F">
        <w:rPr>
          <w:noProof/>
          <w:lang w:val="en-GB"/>
        </w:rPr>
        <w:t>December</w:t>
      </w:r>
      <w:r w:rsidRPr="000123E4">
        <w:rPr>
          <w:noProof/>
          <w:lang w:val="en-GB"/>
        </w:rPr>
        <w:t xml:space="preserve"> 2023</w:t>
      </w:r>
      <w:r w:rsidR="00A512A6">
        <w:rPr>
          <w:noProof/>
          <w:lang w:val="en-GB"/>
        </w:rPr>
        <w:t xml:space="preserve"> </w:t>
      </w:r>
      <w:r w:rsidR="00A512A6">
        <w:rPr>
          <w:noProof/>
        </w:rPr>
        <w:t>to finance</w:t>
      </w:r>
      <w:r w:rsidR="004650A2">
        <w:rPr>
          <w:noProof/>
        </w:rPr>
        <w:t xml:space="preserve"> in particular</w:t>
      </w:r>
      <w:r w:rsidR="00A512A6">
        <w:rPr>
          <w:noProof/>
        </w:rPr>
        <w:t xml:space="preserve"> </w:t>
      </w:r>
      <w:r w:rsidR="00A512A6" w:rsidRPr="000123E4">
        <w:rPr>
          <w:noProof/>
        </w:rPr>
        <w:t>NextGenerationEU and MFA+ for Ukraine</w:t>
      </w:r>
      <w:r w:rsidR="00632AD6">
        <w:rPr>
          <w:noProof/>
        </w:rPr>
        <w:t xml:space="preserve"> (complementing its EUR 80</w:t>
      </w:r>
      <w:r w:rsidR="00412F6D">
        <w:rPr>
          <w:noProof/>
        </w:rPr>
        <w:t xml:space="preserve"> </w:t>
      </w:r>
      <w:r w:rsidR="00632AD6">
        <w:rPr>
          <w:noProof/>
        </w:rPr>
        <w:t>b</w:t>
      </w:r>
      <w:r w:rsidR="00412F6D">
        <w:rPr>
          <w:noProof/>
        </w:rPr>
        <w:t>illio</w:t>
      </w:r>
      <w:r w:rsidR="00632AD6">
        <w:rPr>
          <w:noProof/>
        </w:rPr>
        <w:t xml:space="preserve">n funding plan from </w:t>
      </w:r>
      <w:r w:rsidR="00374646">
        <w:rPr>
          <w:noProof/>
        </w:rPr>
        <w:t>the first half of</w:t>
      </w:r>
      <w:r w:rsidR="00632AD6">
        <w:rPr>
          <w:noProof/>
        </w:rPr>
        <w:t xml:space="preserve"> 2023)</w:t>
      </w:r>
      <w:r w:rsidR="007F2DED">
        <w:rPr>
          <w:noProof/>
        </w:rPr>
        <w:t>.</w:t>
      </w:r>
      <w:r w:rsidR="00471D64">
        <w:rPr>
          <w:noProof/>
        </w:rPr>
        <w:t xml:space="preserve"> Th</w:t>
      </w:r>
      <w:r w:rsidR="00632AD6">
        <w:rPr>
          <w:noProof/>
        </w:rPr>
        <w:t>e</w:t>
      </w:r>
      <w:r w:rsidR="00471D64">
        <w:rPr>
          <w:noProof/>
        </w:rPr>
        <w:t xml:space="preserve"> funding </w:t>
      </w:r>
      <w:r w:rsidR="00632AD6">
        <w:rPr>
          <w:noProof/>
        </w:rPr>
        <w:t>plan</w:t>
      </w:r>
      <w:r w:rsidR="00471D64">
        <w:rPr>
          <w:noProof/>
        </w:rPr>
        <w:t xml:space="preserve"> reflected expected </w:t>
      </w:r>
      <w:r w:rsidR="00632AD6">
        <w:rPr>
          <w:noProof/>
        </w:rPr>
        <w:t>disbursements</w:t>
      </w:r>
      <w:r w:rsidR="00471D64">
        <w:rPr>
          <w:noProof/>
        </w:rPr>
        <w:t xml:space="preserve"> needs for the remain</w:t>
      </w:r>
      <w:r w:rsidR="00412F6D">
        <w:rPr>
          <w:noProof/>
        </w:rPr>
        <w:t>der</w:t>
      </w:r>
      <w:r w:rsidR="00471D64">
        <w:rPr>
          <w:noProof/>
        </w:rPr>
        <w:t xml:space="preserve"> of 2023 </w:t>
      </w:r>
      <w:r w:rsidR="00632AD6">
        <w:rPr>
          <w:noProof/>
        </w:rPr>
        <w:t xml:space="preserve">as well as </w:t>
      </w:r>
      <w:r w:rsidR="007C36D5">
        <w:rPr>
          <w:noProof/>
        </w:rPr>
        <w:t xml:space="preserve">the </w:t>
      </w:r>
      <w:r w:rsidR="00632AD6">
        <w:rPr>
          <w:noProof/>
        </w:rPr>
        <w:t xml:space="preserve">liquidity holdings at the </w:t>
      </w:r>
      <w:r w:rsidR="007C36D5">
        <w:rPr>
          <w:noProof/>
        </w:rPr>
        <w:t>start of the semester.</w:t>
      </w:r>
    </w:p>
    <w:p w14:paraId="7EB0ECF0" w14:textId="3EF7FF1E" w:rsidR="00BA3133" w:rsidRDefault="00471D64" w:rsidP="007F2DED">
      <w:pPr>
        <w:rPr>
          <w:noProof/>
          <w:lang w:val="en-GB"/>
        </w:rPr>
      </w:pPr>
      <w:r w:rsidRPr="00471D64">
        <w:rPr>
          <w:noProof/>
        </w:rPr>
        <w:t xml:space="preserve">The </w:t>
      </w:r>
      <w:r w:rsidRPr="00BC2B00">
        <w:rPr>
          <w:noProof/>
        </w:rPr>
        <w:t xml:space="preserve">Commission </w:t>
      </w:r>
      <w:r w:rsidR="007C36D5">
        <w:rPr>
          <w:noProof/>
        </w:rPr>
        <w:t xml:space="preserve">completed </w:t>
      </w:r>
      <w:r w:rsidRPr="00BC2B00">
        <w:rPr>
          <w:noProof/>
        </w:rPr>
        <w:t xml:space="preserve">its funding </w:t>
      </w:r>
      <w:r w:rsidR="007C36D5">
        <w:rPr>
          <w:noProof/>
        </w:rPr>
        <w:t xml:space="preserve">programme </w:t>
      </w:r>
      <w:r w:rsidRPr="00BC2B00">
        <w:rPr>
          <w:noProof/>
        </w:rPr>
        <w:t>for 2023 by the end of November</w:t>
      </w:r>
      <w:r w:rsidR="00681F32">
        <w:rPr>
          <w:rStyle w:val="FootnoteReference"/>
          <w:noProof/>
        </w:rPr>
        <w:footnoteReference w:id="7"/>
      </w:r>
      <w:r w:rsidRPr="00BC2B00">
        <w:rPr>
          <w:noProof/>
        </w:rPr>
        <w:t xml:space="preserve">, raising a total of </w:t>
      </w:r>
      <w:r w:rsidR="00901F98" w:rsidRPr="00BC2B00">
        <w:rPr>
          <w:noProof/>
        </w:rPr>
        <w:t xml:space="preserve">EUR </w:t>
      </w:r>
      <w:r w:rsidRPr="00BC2B00">
        <w:rPr>
          <w:noProof/>
        </w:rPr>
        <w:t>115.</w:t>
      </w:r>
      <w:r w:rsidR="00BC2B00" w:rsidRPr="00BC2B00">
        <w:rPr>
          <w:noProof/>
        </w:rPr>
        <w:t>9</w:t>
      </w:r>
      <w:r w:rsidRPr="00BC2B00">
        <w:rPr>
          <w:noProof/>
        </w:rPr>
        <w:t xml:space="preserve"> billion over the course</w:t>
      </w:r>
      <w:r w:rsidRPr="00471D64">
        <w:rPr>
          <w:noProof/>
        </w:rPr>
        <w:t xml:space="preserve"> of the year. </w:t>
      </w:r>
      <w:r w:rsidR="00A512A6">
        <w:rPr>
          <w:noProof/>
          <w:lang w:val="en-GB"/>
        </w:rPr>
        <w:t xml:space="preserve">EUR </w:t>
      </w:r>
      <w:r w:rsidR="00C51AB6">
        <w:rPr>
          <w:noProof/>
          <w:lang w:val="en-GB"/>
        </w:rPr>
        <w:t>37.</w:t>
      </w:r>
      <w:r w:rsidR="004650A2">
        <w:rPr>
          <w:noProof/>
          <w:lang w:val="en-GB"/>
        </w:rPr>
        <w:t>7</w:t>
      </w:r>
      <w:r w:rsidR="00A512A6">
        <w:rPr>
          <w:noProof/>
          <w:lang w:val="en-GB"/>
        </w:rPr>
        <w:t xml:space="preserve"> billion</w:t>
      </w:r>
      <w:r w:rsidR="00810A51">
        <w:rPr>
          <w:noProof/>
          <w:lang w:val="en-GB"/>
        </w:rPr>
        <w:t xml:space="preserve"> </w:t>
      </w:r>
      <w:r w:rsidR="007F2DED">
        <w:rPr>
          <w:noProof/>
          <w:lang w:val="en-GB"/>
        </w:rPr>
        <w:t xml:space="preserve">of this funding was raised in the second half of the year </w:t>
      </w:r>
      <w:r w:rsidR="00810A51">
        <w:rPr>
          <w:noProof/>
          <w:lang w:val="en-GB"/>
        </w:rPr>
        <w:t>with an average maturity of 13 years</w:t>
      </w:r>
      <w:r w:rsidR="00BD21E3">
        <w:rPr>
          <w:noProof/>
          <w:lang w:val="en-GB"/>
        </w:rPr>
        <w:t xml:space="preserve"> (compared to around 14 years </w:t>
      </w:r>
      <w:r w:rsidR="00F60F12">
        <w:rPr>
          <w:noProof/>
          <w:lang w:val="en-GB"/>
        </w:rPr>
        <w:t xml:space="preserve">for the funding raised </w:t>
      </w:r>
      <w:r w:rsidR="00BD21E3">
        <w:rPr>
          <w:noProof/>
          <w:lang w:val="en-GB"/>
        </w:rPr>
        <w:t>in the first half of 2023)</w:t>
      </w:r>
      <w:r w:rsidR="00810A51">
        <w:rPr>
          <w:noProof/>
          <w:lang w:val="en-GB"/>
        </w:rPr>
        <w:t xml:space="preserve">. </w:t>
      </w:r>
    </w:p>
    <w:p w14:paraId="257613FB" w14:textId="61EEDB05" w:rsidR="008E1C79" w:rsidRDefault="00810A51" w:rsidP="00810A51">
      <w:pPr>
        <w:rPr>
          <w:noProof/>
          <w:lang w:val="en-GB"/>
        </w:rPr>
      </w:pPr>
      <w:r>
        <w:rPr>
          <w:noProof/>
          <w:lang w:val="en-GB"/>
        </w:rPr>
        <w:t>The Commission used</w:t>
      </w:r>
      <w:r w:rsidR="001D446D" w:rsidRPr="000123E4">
        <w:rPr>
          <w:noProof/>
          <w:lang w:val="en-GB"/>
        </w:rPr>
        <w:t xml:space="preserve"> </w:t>
      </w:r>
      <w:r w:rsidR="005D6F11" w:rsidRPr="000123E4">
        <w:rPr>
          <w:noProof/>
          <w:lang w:val="en-GB"/>
        </w:rPr>
        <w:t>a mix of syndic</w:t>
      </w:r>
      <w:r w:rsidR="001D446D" w:rsidRPr="000123E4">
        <w:rPr>
          <w:noProof/>
          <w:lang w:val="en-GB"/>
        </w:rPr>
        <w:t>ations</w:t>
      </w:r>
      <w:r w:rsidR="005D6F11" w:rsidRPr="000123E4">
        <w:rPr>
          <w:noProof/>
          <w:lang w:val="en-GB"/>
        </w:rPr>
        <w:t xml:space="preserve"> (6</w:t>
      </w:r>
      <w:r w:rsidR="0048700A">
        <w:rPr>
          <w:noProof/>
          <w:lang w:val="en-GB"/>
        </w:rPr>
        <w:t>4</w:t>
      </w:r>
      <w:r w:rsidR="005D6F11" w:rsidRPr="000123E4">
        <w:rPr>
          <w:noProof/>
          <w:lang w:val="en-GB"/>
        </w:rPr>
        <w:t>%) and auctions (</w:t>
      </w:r>
      <w:r w:rsidR="0048700A">
        <w:rPr>
          <w:noProof/>
          <w:lang w:val="en-GB"/>
        </w:rPr>
        <w:t>36</w:t>
      </w:r>
      <w:r w:rsidR="005D6F11" w:rsidRPr="000123E4">
        <w:rPr>
          <w:noProof/>
          <w:lang w:val="en-GB"/>
        </w:rPr>
        <w:t>%)</w:t>
      </w:r>
      <w:r w:rsidR="008619D4">
        <w:rPr>
          <w:noProof/>
          <w:lang w:val="en-GB"/>
        </w:rPr>
        <w:t xml:space="preserve">, </w:t>
      </w:r>
      <w:r w:rsidR="007C36D5">
        <w:rPr>
          <w:noProof/>
          <w:lang w:val="en-GB"/>
        </w:rPr>
        <w:t xml:space="preserve">in keeping with </w:t>
      </w:r>
      <w:r w:rsidR="008619D4">
        <w:rPr>
          <w:noProof/>
          <w:lang w:val="en-GB"/>
        </w:rPr>
        <w:t xml:space="preserve">the ratio </w:t>
      </w:r>
      <w:r w:rsidR="007C36D5">
        <w:rPr>
          <w:noProof/>
          <w:lang w:val="en-GB"/>
        </w:rPr>
        <w:t xml:space="preserve">achieved in </w:t>
      </w:r>
      <w:r w:rsidR="00901F98">
        <w:rPr>
          <w:noProof/>
          <w:lang w:val="en-GB"/>
        </w:rPr>
        <w:t>the first half of 2023</w:t>
      </w:r>
      <w:r w:rsidR="005D6F11" w:rsidRPr="000123E4">
        <w:rPr>
          <w:noProof/>
          <w:lang w:val="en-GB"/>
        </w:rPr>
        <w:t>.</w:t>
      </w:r>
      <w:r w:rsidR="009A7D29" w:rsidRPr="000123E4">
        <w:rPr>
          <w:noProof/>
          <w:lang w:val="en-GB"/>
        </w:rPr>
        <w:t xml:space="preserve"> </w:t>
      </w:r>
      <w:r w:rsidRPr="000123E4">
        <w:rPr>
          <w:noProof/>
        </w:rPr>
        <w:t xml:space="preserve">The </w:t>
      </w:r>
      <w:r w:rsidR="001C2621">
        <w:rPr>
          <w:noProof/>
        </w:rPr>
        <w:t xml:space="preserve">EU-Bond </w:t>
      </w:r>
      <w:r w:rsidR="005866B3">
        <w:rPr>
          <w:noProof/>
        </w:rPr>
        <w:t>issuance</w:t>
      </w:r>
      <w:r w:rsidRPr="000123E4">
        <w:rPr>
          <w:noProof/>
        </w:rPr>
        <w:t xml:space="preserve">s were spread over the </w:t>
      </w:r>
      <w:r w:rsidR="00BD21E3">
        <w:rPr>
          <w:noProof/>
        </w:rPr>
        <w:t>semester</w:t>
      </w:r>
      <w:r w:rsidR="00901F98">
        <w:rPr>
          <w:noProof/>
        </w:rPr>
        <w:t>,</w:t>
      </w:r>
      <w:r w:rsidRPr="000123E4">
        <w:rPr>
          <w:noProof/>
        </w:rPr>
        <w:t xml:space="preserve"> </w:t>
      </w:r>
      <w:r w:rsidR="001C2621">
        <w:rPr>
          <w:noProof/>
        </w:rPr>
        <w:t xml:space="preserve">taking into account market liquidity conditions while ensuring </w:t>
      </w:r>
      <w:r w:rsidRPr="000123E4">
        <w:rPr>
          <w:noProof/>
        </w:rPr>
        <w:t xml:space="preserve">regular presence in the market. </w:t>
      </w:r>
      <w:r w:rsidR="001C2621">
        <w:rPr>
          <w:noProof/>
          <w:lang w:val="en-GB"/>
        </w:rPr>
        <w:t xml:space="preserve">These transactions included the </w:t>
      </w:r>
      <w:r w:rsidR="001C2621" w:rsidRPr="000123E4">
        <w:rPr>
          <w:noProof/>
          <w:lang w:val="en-GB"/>
        </w:rPr>
        <w:t xml:space="preserve">tapping </w:t>
      </w:r>
      <w:r w:rsidR="001C2621">
        <w:rPr>
          <w:noProof/>
          <w:lang w:val="en-GB"/>
        </w:rPr>
        <w:t xml:space="preserve">of </w:t>
      </w:r>
      <w:r w:rsidR="001C2621" w:rsidRPr="000123E4">
        <w:rPr>
          <w:noProof/>
          <w:lang w:val="en-GB"/>
        </w:rPr>
        <w:t xml:space="preserve">two existing </w:t>
      </w:r>
      <w:r w:rsidR="001C2621">
        <w:rPr>
          <w:noProof/>
          <w:lang w:val="en-GB"/>
        </w:rPr>
        <w:t>N</w:t>
      </w:r>
      <w:r w:rsidR="00901F98">
        <w:rPr>
          <w:noProof/>
          <w:lang w:val="en-GB"/>
        </w:rPr>
        <w:t>ext</w:t>
      </w:r>
      <w:r w:rsidR="001C2621">
        <w:rPr>
          <w:noProof/>
          <w:lang w:val="en-GB"/>
        </w:rPr>
        <w:t>G</w:t>
      </w:r>
      <w:r w:rsidR="00901F98">
        <w:rPr>
          <w:noProof/>
          <w:lang w:val="en-GB"/>
        </w:rPr>
        <w:t>eneration</w:t>
      </w:r>
      <w:r w:rsidR="001C2621">
        <w:rPr>
          <w:noProof/>
          <w:lang w:val="en-GB"/>
        </w:rPr>
        <w:t xml:space="preserve">EU </w:t>
      </w:r>
      <w:r w:rsidR="00901F98">
        <w:rPr>
          <w:noProof/>
          <w:lang w:val="en-GB"/>
        </w:rPr>
        <w:t>g</w:t>
      </w:r>
      <w:r w:rsidR="001C2621">
        <w:rPr>
          <w:noProof/>
          <w:lang w:val="en-GB"/>
        </w:rPr>
        <w:t xml:space="preserve">reen </w:t>
      </w:r>
      <w:r w:rsidR="00901F98">
        <w:rPr>
          <w:noProof/>
          <w:lang w:val="en-GB"/>
        </w:rPr>
        <w:t>b</w:t>
      </w:r>
      <w:r w:rsidR="001C2621" w:rsidRPr="000123E4">
        <w:rPr>
          <w:noProof/>
          <w:lang w:val="en-GB"/>
        </w:rPr>
        <w:t>ond</w:t>
      </w:r>
      <w:r w:rsidR="001C2621">
        <w:rPr>
          <w:noProof/>
          <w:lang w:val="en-GB"/>
        </w:rPr>
        <w:t xml:space="preserve"> lines </w:t>
      </w:r>
      <w:r w:rsidR="007C36D5">
        <w:rPr>
          <w:noProof/>
          <w:lang w:val="en-GB"/>
        </w:rPr>
        <w:t>for</w:t>
      </w:r>
      <w:r w:rsidR="001C2621">
        <w:rPr>
          <w:noProof/>
          <w:lang w:val="en-GB"/>
        </w:rPr>
        <w:t xml:space="preserve"> a total </w:t>
      </w:r>
      <w:r w:rsidR="008A34F5">
        <w:rPr>
          <w:noProof/>
          <w:lang w:val="en-GB"/>
        </w:rPr>
        <w:br/>
      </w:r>
      <w:r w:rsidR="001C2621" w:rsidRPr="005515C3">
        <w:rPr>
          <w:noProof/>
          <w:lang w:val="en-GB"/>
        </w:rPr>
        <w:t>of EUR 4.7 billion.</w:t>
      </w:r>
      <w:r w:rsidR="008A6A46" w:rsidRPr="005515C3">
        <w:rPr>
          <w:noProof/>
          <w:lang w:val="en-GB"/>
        </w:rPr>
        <w:t xml:space="preserve"> These</w:t>
      </w:r>
      <w:r w:rsidR="007C36D5">
        <w:rPr>
          <w:noProof/>
          <w:lang w:val="en-GB"/>
        </w:rPr>
        <w:t xml:space="preserve"> additional </w:t>
      </w:r>
      <w:r w:rsidR="001F3746">
        <w:rPr>
          <w:noProof/>
          <w:lang w:val="en-GB"/>
        </w:rPr>
        <w:t>g</w:t>
      </w:r>
      <w:r w:rsidR="007C36D5">
        <w:rPr>
          <w:noProof/>
          <w:lang w:val="en-GB"/>
        </w:rPr>
        <w:t xml:space="preserve">reen </w:t>
      </w:r>
      <w:r w:rsidR="001F3746">
        <w:rPr>
          <w:noProof/>
          <w:lang w:val="en-GB"/>
        </w:rPr>
        <w:t>b</w:t>
      </w:r>
      <w:r w:rsidR="007C36D5">
        <w:rPr>
          <w:noProof/>
          <w:lang w:val="en-GB"/>
        </w:rPr>
        <w:t>ond</w:t>
      </w:r>
      <w:r w:rsidR="008A6A46" w:rsidRPr="00901F98">
        <w:rPr>
          <w:noProof/>
          <w:lang w:val="en-GB"/>
        </w:rPr>
        <w:t xml:space="preserve"> issuances </w:t>
      </w:r>
      <w:r w:rsidR="007C36D5">
        <w:rPr>
          <w:noProof/>
          <w:lang w:val="en-GB"/>
        </w:rPr>
        <w:t xml:space="preserve">were undertaken following the </w:t>
      </w:r>
      <w:r w:rsidR="008A6A46" w:rsidRPr="00901F98">
        <w:rPr>
          <w:noProof/>
          <w:lang w:val="en-GB"/>
        </w:rPr>
        <w:t>report</w:t>
      </w:r>
      <w:r w:rsidR="007C36D5">
        <w:rPr>
          <w:noProof/>
          <w:lang w:val="en-GB"/>
        </w:rPr>
        <w:t xml:space="preserve">ing of additional </w:t>
      </w:r>
      <w:r w:rsidR="008A6A46" w:rsidRPr="00901F98">
        <w:rPr>
          <w:noProof/>
          <w:lang w:val="en-GB"/>
        </w:rPr>
        <w:t>climate-relevant</w:t>
      </w:r>
      <w:r w:rsidR="00F60F12">
        <w:rPr>
          <w:noProof/>
          <w:lang w:val="en-GB"/>
        </w:rPr>
        <w:t xml:space="preserve"> </w:t>
      </w:r>
      <w:r w:rsidR="00F60F12" w:rsidRPr="00901F98">
        <w:rPr>
          <w:noProof/>
          <w:lang w:val="en-GB"/>
        </w:rPr>
        <w:t>expenditures by Member States</w:t>
      </w:r>
      <w:r w:rsidR="00F60F12">
        <w:rPr>
          <w:noProof/>
          <w:lang w:val="en-GB"/>
        </w:rPr>
        <w:t xml:space="preserve"> under the</w:t>
      </w:r>
      <w:r w:rsidR="008A6A46" w:rsidRPr="00901F98">
        <w:rPr>
          <w:noProof/>
          <w:lang w:val="en-GB"/>
        </w:rPr>
        <w:t xml:space="preserve"> </w:t>
      </w:r>
      <w:r w:rsidR="007C36D5">
        <w:rPr>
          <w:noProof/>
          <w:lang w:val="en-GB"/>
        </w:rPr>
        <w:t>R</w:t>
      </w:r>
      <w:r w:rsidR="001F3746">
        <w:rPr>
          <w:noProof/>
          <w:lang w:val="en-GB"/>
        </w:rPr>
        <w:t xml:space="preserve">ecovery and </w:t>
      </w:r>
      <w:r w:rsidR="007C36D5">
        <w:rPr>
          <w:noProof/>
          <w:lang w:val="en-GB"/>
        </w:rPr>
        <w:t>R</w:t>
      </w:r>
      <w:r w:rsidR="001F3746">
        <w:rPr>
          <w:noProof/>
          <w:lang w:val="en-GB"/>
        </w:rPr>
        <w:t xml:space="preserve">esilience </w:t>
      </w:r>
      <w:r w:rsidR="007C36D5">
        <w:rPr>
          <w:noProof/>
          <w:lang w:val="en-GB"/>
        </w:rPr>
        <w:t>F</w:t>
      </w:r>
      <w:r w:rsidR="007057CC">
        <w:rPr>
          <w:noProof/>
          <w:lang w:val="en-GB"/>
        </w:rPr>
        <w:t>acility</w:t>
      </w:r>
      <w:r w:rsidR="001F3746">
        <w:rPr>
          <w:noProof/>
          <w:lang w:val="en-GB"/>
        </w:rPr>
        <w:t xml:space="preserve"> (RRF)</w:t>
      </w:r>
      <w:r w:rsidR="008A6A46" w:rsidRPr="00901F98">
        <w:rPr>
          <w:noProof/>
          <w:lang w:val="en-GB"/>
        </w:rPr>
        <w:t>.</w:t>
      </w:r>
      <w:r w:rsidR="008E1C79">
        <w:rPr>
          <w:noProof/>
          <w:lang w:val="en-GB"/>
        </w:rPr>
        <w:br w:type="page"/>
      </w:r>
    </w:p>
    <w:p w14:paraId="5C86CE36" w14:textId="29158955" w:rsidR="00BA3133" w:rsidRDefault="00BA3133" w:rsidP="00810A51">
      <w:pPr>
        <w:rPr>
          <w:b/>
          <w:bCs/>
          <w:noProof/>
          <w:color w:val="034EA2" w:themeColor="accent1"/>
          <w:lang w:val="en-GB"/>
        </w:rPr>
      </w:pPr>
      <w:r w:rsidRPr="00423091">
        <w:rPr>
          <w:b/>
          <w:bCs/>
          <w:noProof/>
          <w:color w:val="034EA2" w:themeColor="accent1"/>
          <w:lang w:val="en-GB"/>
        </w:rPr>
        <w:t xml:space="preserve">Chart 2: </w:t>
      </w:r>
      <w:r w:rsidR="00423091" w:rsidRPr="00423091">
        <w:rPr>
          <w:b/>
          <w:bCs/>
          <w:noProof/>
          <w:color w:val="034EA2" w:themeColor="accent1"/>
          <w:lang w:val="en-GB"/>
        </w:rPr>
        <w:t>Funding raised under the unified funding approach</w:t>
      </w:r>
    </w:p>
    <w:p w14:paraId="6E3B40CA" w14:textId="7103FB7B" w:rsidR="0063321B" w:rsidRPr="009428DB" w:rsidRDefault="0063321B" w:rsidP="00810A51">
      <w:pPr>
        <w:rPr>
          <w:b/>
          <w:bCs/>
          <w:noProof/>
          <w:color w:val="034EA2" w:themeColor="accent1"/>
          <w:lang w:val="en-GB"/>
        </w:rPr>
      </w:pPr>
      <w:r>
        <w:rPr>
          <w:b/>
          <w:bCs/>
          <w:noProof/>
          <w:color w:val="034EA2" w:themeColor="accent1"/>
          <w:lang w:val="en-GB" w:eastAsia="en-GB"/>
        </w:rPr>
        <w:drawing>
          <wp:inline distT="0" distB="0" distL="0" distR="0" wp14:anchorId="40D38E4D" wp14:editId="463DBD89">
            <wp:extent cx="5731510" cy="2164080"/>
            <wp:effectExtent l="0" t="0" r="0" b="0"/>
            <wp:docPr id="18" name="Picture 18" descr="A graph of sales and au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of sales and auctions&#10;&#10;Description automatically generated"/>
                    <pic:cNvPicPr/>
                  </pic:nvPicPr>
                  <pic:blipFill rotWithShape="1">
                    <a:blip r:embed="rId28">
                      <a:extLst>
                        <a:ext uri="{28A0092B-C50C-407E-A947-70E740481C1C}">
                          <a14:useLocalDpi xmlns:a14="http://schemas.microsoft.com/office/drawing/2010/main" val="0"/>
                        </a:ext>
                      </a:extLst>
                    </a:blip>
                    <a:srcRect t="13850" b="4209"/>
                    <a:stretch/>
                  </pic:blipFill>
                  <pic:spPr bwMode="auto">
                    <a:xfrm>
                      <a:off x="0" y="0"/>
                      <a:ext cx="5731510" cy="2164080"/>
                    </a:xfrm>
                    <a:prstGeom prst="rect">
                      <a:avLst/>
                    </a:prstGeom>
                    <a:ln>
                      <a:noFill/>
                    </a:ln>
                    <a:extLst>
                      <a:ext uri="{53640926-AAD7-44D8-BBD7-CCE9431645EC}">
                        <a14:shadowObscured xmlns:a14="http://schemas.microsoft.com/office/drawing/2010/main"/>
                      </a:ext>
                    </a:extLst>
                  </pic:spPr>
                </pic:pic>
              </a:graphicData>
            </a:graphic>
          </wp:inline>
        </w:drawing>
      </w:r>
    </w:p>
    <w:p w14:paraId="480514B6" w14:textId="43DD6E53" w:rsidR="009428DB" w:rsidRPr="009428DB" w:rsidRDefault="009428DB" w:rsidP="009428DB">
      <w:pPr>
        <w:rPr>
          <w:noProof/>
          <w:color w:val="3B3838" w:themeColor="background2" w:themeShade="40"/>
          <w:sz w:val="18"/>
          <w:szCs w:val="18"/>
        </w:rPr>
      </w:pPr>
      <w:r w:rsidRPr="0035604F">
        <w:rPr>
          <w:noProof/>
          <w:color w:val="3B3838" w:themeColor="background2" w:themeShade="40"/>
          <w:sz w:val="18"/>
          <w:szCs w:val="18"/>
        </w:rPr>
        <w:t>* The first two NextGenerationEU transactions took place in June 2021. These have been included in the number for H2 2021 as they were part of the same Funding Plan as the transactions that took place in H2 2021.</w:t>
      </w:r>
    </w:p>
    <w:p w14:paraId="05F85E31" w14:textId="77777777" w:rsidR="009428DB" w:rsidRPr="0035604F" w:rsidRDefault="009428DB" w:rsidP="009428DB">
      <w:pPr>
        <w:jc w:val="right"/>
        <w:rPr>
          <w:noProof/>
          <w:color w:val="3B3838" w:themeColor="background2" w:themeShade="40"/>
          <w:sz w:val="18"/>
          <w:szCs w:val="18"/>
        </w:rPr>
      </w:pPr>
      <w:r w:rsidRPr="003E6A7C">
        <w:rPr>
          <w:i/>
          <w:iCs/>
          <w:noProof/>
          <w:color w:val="808080" w:themeColor="background1" w:themeShade="80"/>
          <w:sz w:val="18"/>
          <w:szCs w:val="18"/>
        </w:rPr>
        <w:t>All amounts in EUR billion</w:t>
      </w:r>
    </w:p>
    <w:p w14:paraId="1E9B8443" w14:textId="2264133B" w:rsidR="007C36D5" w:rsidRPr="000123E4" w:rsidRDefault="005D6F11" w:rsidP="007C36D5">
      <w:pPr>
        <w:rPr>
          <w:noProof/>
          <w:lang w:val="en-GB"/>
        </w:rPr>
      </w:pPr>
      <w:bookmarkStart w:id="11" w:name="_Hlk156564741"/>
      <w:bookmarkStart w:id="12" w:name="_Hlk155181535"/>
      <w:bookmarkStart w:id="13" w:name="_Hlk139454398"/>
      <w:r w:rsidRPr="000123E4">
        <w:rPr>
          <w:noProof/>
          <w:lang w:val="en-GB"/>
        </w:rPr>
        <w:t xml:space="preserve">The </w:t>
      </w:r>
      <w:r w:rsidRPr="00C30FD5">
        <w:rPr>
          <w:noProof/>
          <w:lang w:val="en-GB"/>
        </w:rPr>
        <w:t xml:space="preserve">transactions in the </w:t>
      </w:r>
      <w:r w:rsidR="00810A51" w:rsidRPr="00C30FD5">
        <w:rPr>
          <w:noProof/>
          <w:lang w:val="en-GB"/>
        </w:rPr>
        <w:t xml:space="preserve">second half of </w:t>
      </w:r>
      <w:r w:rsidRPr="00C30FD5">
        <w:rPr>
          <w:noProof/>
          <w:lang w:val="en-GB"/>
        </w:rPr>
        <w:t xml:space="preserve">2023 </w:t>
      </w:r>
      <w:r w:rsidRPr="00B7513E">
        <w:rPr>
          <w:noProof/>
          <w:lang w:val="en-GB"/>
        </w:rPr>
        <w:t>brought the total outstanding amount of EU-Bonds to</w:t>
      </w:r>
      <w:r w:rsidR="00084648" w:rsidRPr="00B7513E">
        <w:rPr>
          <w:noProof/>
          <w:lang w:val="en-GB"/>
        </w:rPr>
        <w:t xml:space="preserve"> just over</w:t>
      </w:r>
      <w:r w:rsidRPr="00B7513E">
        <w:rPr>
          <w:noProof/>
          <w:lang w:val="en-GB"/>
        </w:rPr>
        <w:t xml:space="preserve"> EUR 4</w:t>
      </w:r>
      <w:r w:rsidR="004650A2" w:rsidRPr="00B7513E">
        <w:rPr>
          <w:noProof/>
          <w:lang w:val="en-GB"/>
        </w:rPr>
        <w:t>4</w:t>
      </w:r>
      <w:r w:rsidRPr="00B7513E">
        <w:rPr>
          <w:noProof/>
          <w:lang w:val="en-GB"/>
        </w:rPr>
        <w:t>0 billion</w:t>
      </w:r>
      <w:r w:rsidR="007C36D5" w:rsidRPr="00B7513E">
        <w:rPr>
          <w:noProof/>
          <w:lang w:val="en-GB"/>
        </w:rPr>
        <w:t xml:space="preserve"> by end</w:t>
      </w:r>
      <w:r w:rsidR="00F60F12">
        <w:rPr>
          <w:noProof/>
          <w:lang w:val="en-GB"/>
        </w:rPr>
        <w:t>-</w:t>
      </w:r>
      <w:r w:rsidR="007C36D5" w:rsidRPr="00B7513E">
        <w:rPr>
          <w:noProof/>
          <w:lang w:val="en-GB"/>
        </w:rPr>
        <w:t xml:space="preserve">2023. Of this amount, EUR 405 billion has been issued since </w:t>
      </w:r>
      <w:r w:rsidR="00BD21E3">
        <w:rPr>
          <w:noProof/>
          <w:lang w:val="en-GB"/>
        </w:rPr>
        <w:t xml:space="preserve">the start of the SURE programme in </w:t>
      </w:r>
      <w:r w:rsidR="007C36D5" w:rsidRPr="00B7513E">
        <w:rPr>
          <w:noProof/>
          <w:lang w:val="en-GB"/>
        </w:rPr>
        <w:t>2020 with EUR 28</w:t>
      </w:r>
      <w:r w:rsidR="008B287B">
        <w:rPr>
          <w:noProof/>
          <w:lang w:val="en-GB"/>
        </w:rPr>
        <w:t>6</w:t>
      </w:r>
      <w:r w:rsidR="007C36D5" w:rsidRPr="00B7513E">
        <w:rPr>
          <w:noProof/>
          <w:lang w:val="en-GB"/>
        </w:rPr>
        <w:t xml:space="preserve"> billion issued as EU-Bonds under the EU’s unified funding approach.</w:t>
      </w:r>
      <w:bookmarkEnd w:id="11"/>
      <w:r w:rsidR="007C36D5" w:rsidRPr="00B7513E">
        <w:rPr>
          <w:noProof/>
          <w:lang w:val="en-GB"/>
        </w:rPr>
        <w:t xml:space="preserve"> The remainder</w:t>
      </w:r>
      <w:r w:rsidR="001F3746" w:rsidRPr="00B7513E">
        <w:rPr>
          <w:noProof/>
          <w:lang w:val="en-GB"/>
        </w:rPr>
        <w:t xml:space="preserve"> of the outstanding bonds</w:t>
      </w:r>
      <w:r w:rsidR="007C36D5" w:rsidRPr="00B7513E">
        <w:rPr>
          <w:noProof/>
          <w:lang w:val="en-GB"/>
        </w:rPr>
        <w:t xml:space="preserve"> w</w:t>
      </w:r>
      <w:r w:rsidR="00F60F12">
        <w:rPr>
          <w:noProof/>
          <w:lang w:val="en-GB"/>
        </w:rPr>
        <w:t>ere</w:t>
      </w:r>
      <w:r w:rsidR="007C36D5" w:rsidRPr="00B7513E">
        <w:rPr>
          <w:noProof/>
          <w:lang w:val="en-GB"/>
        </w:rPr>
        <w:t xml:space="preserve"> issued under designated policies</w:t>
      </w:r>
      <w:r w:rsidR="007C36D5">
        <w:rPr>
          <w:noProof/>
          <w:lang w:val="en-GB"/>
        </w:rPr>
        <w:t xml:space="preserve"> to finance loans with a matching duration (</w:t>
      </w:r>
      <w:r w:rsidR="001F3746">
        <w:rPr>
          <w:noProof/>
          <w:lang w:val="en-GB"/>
        </w:rPr>
        <w:t>for example</w:t>
      </w:r>
      <w:r w:rsidR="007C36D5">
        <w:rPr>
          <w:noProof/>
          <w:lang w:val="en-GB"/>
        </w:rPr>
        <w:t>, SURE loans</w:t>
      </w:r>
      <w:r w:rsidR="001F3746">
        <w:rPr>
          <w:noProof/>
          <w:lang w:val="en-GB"/>
        </w:rPr>
        <w:t xml:space="preserve"> and </w:t>
      </w:r>
      <w:r w:rsidR="007C36D5">
        <w:rPr>
          <w:noProof/>
          <w:lang w:val="en-GB"/>
        </w:rPr>
        <w:t>MFA loans to Ukraine granted in 2022 are financed using this ‘back-to-back’ approach).</w:t>
      </w:r>
    </w:p>
    <w:p w14:paraId="71BA18D7" w14:textId="2B4D8782" w:rsidR="005D6F11" w:rsidRPr="000123E4" w:rsidRDefault="007C36D5" w:rsidP="005D6F11">
      <w:pPr>
        <w:rPr>
          <w:noProof/>
          <w:lang w:val="en-GB"/>
        </w:rPr>
      </w:pPr>
      <w:bookmarkStart w:id="14" w:name="_Hlk158104850"/>
      <w:r>
        <w:rPr>
          <w:noProof/>
          <w:lang w:val="en-GB"/>
        </w:rPr>
        <w:t>O</w:t>
      </w:r>
      <w:r w:rsidR="005D6F11" w:rsidRPr="00C30FD5">
        <w:rPr>
          <w:noProof/>
          <w:lang w:val="en-GB"/>
        </w:rPr>
        <w:t>f</w:t>
      </w:r>
      <w:r w:rsidR="005D6F11" w:rsidRPr="000123E4">
        <w:rPr>
          <w:noProof/>
          <w:lang w:val="en-GB"/>
        </w:rPr>
        <w:t xml:space="preserve"> </w:t>
      </w:r>
      <w:r>
        <w:rPr>
          <w:noProof/>
          <w:lang w:val="en-GB"/>
        </w:rPr>
        <w:t>the EUR 28</w:t>
      </w:r>
      <w:r w:rsidR="008B287B">
        <w:rPr>
          <w:noProof/>
          <w:lang w:val="en-GB"/>
        </w:rPr>
        <w:t>6</w:t>
      </w:r>
      <w:r>
        <w:rPr>
          <w:noProof/>
          <w:lang w:val="en-GB"/>
        </w:rPr>
        <w:t xml:space="preserve"> billion issued under the EU’s unified funding approach, </w:t>
      </w:r>
      <w:r w:rsidR="005D6F11" w:rsidRPr="0040010E">
        <w:rPr>
          <w:noProof/>
          <w:lang w:val="en-GB"/>
        </w:rPr>
        <w:t>EUR 4</w:t>
      </w:r>
      <w:r w:rsidR="0040010E" w:rsidRPr="0040010E">
        <w:rPr>
          <w:noProof/>
          <w:lang w:val="en-GB"/>
        </w:rPr>
        <w:t>8.9</w:t>
      </w:r>
      <w:r w:rsidR="005D6F11" w:rsidRPr="0040010E">
        <w:rPr>
          <w:noProof/>
          <w:lang w:val="en-GB"/>
        </w:rPr>
        <w:t xml:space="preserve"> billion </w:t>
      </w:r>
      <w:r w:rsidR="00F60F12">
        <w:rPr>
          <w:noProof/>
          <w:lang w:val="en-GB"/>
        </w:rPr>
        <w:t xml:space="preserve">was </w:t>
      </w:r>
      <w:r>
        <w:rPr>
          <w:noProof/>
          <w:lang w:val="en-GB"/>
        </w:rPr>
        <w:t xml:space="preserve">issued </w:t>
      </w:r>
      <w:r w:rsidR="001C2621">
        <w:rPr>
          <w:noProof/>
          <w:lang w:val="en-GB"/>
        </w:rPr>
        <w:t>in th</w:t>
      </w:r>
      <w:r w:rsidR="008A6A46">
        <w:rPr>
          <w:noProof/>
          <w:lang w:val="en-GB"/>
        </w:rPr>
        <w:t>e</w:t>
      </w:r>
      <w:r w:rsidR="001C2621">
        <w:rPr>
          <w:noProof/>
          <w:lang w:val="en-GB"/>
        </w:rPr>
        <w:t xml:space="preserve"> form of</w:t>
      </w:r>
      <w:r w:rsidR="005D6F11" w:rsidRPr="000123E4">
        <w:rPr>
          <w:noProof/>
          <w:lang w:val="en-GB"/>
        </w:rPr>
        <w:t xml:space="preserve"> </w:t>
      </w:r>
      <w:r w:rsidR="00D8633C" w:rsidRPr="000123E4">
        <w:rPr>
          <w:noProof/>
          <w:lang w:val="en-GB"/>
        </w:rPr>
        <w:t>N</w:t>
      </w:r>
      <w:r w:rsidR="00901F98">
        <w:rPr>
          <w:noProof/>
          <w:lang w:val="en-GB"/>
        </w:rPr>
        <w:t>ext</w:t>
      </w:r>
      <w:r w:rsidR="00D8633C" w:rsidRPr="000123E4">
        <w:rPr>
          <w:noProof/>
          <w:lang w:val="en-GB"/>
        </w:rPr>
        <w:t>G</w:t>
      </w:r>
      <w:r w:rsidR="00901F98">
        <w:rPr>
          <w:noProof/>
          <w:lang w:val="en-GB"/>
        </w:rPr>
        <w:t>eneration</w:t>
      </w:r>
      <w:r w:rsidR="00D8633C" w:rsidRPr="000123E4">
        <w:rPr>
          <w:noProof/>
          <w:lang w:val="en-GB"/>
        </w:rPr>
        <w:t xml:space="preserve">EU </w:t>
      </w:r>
      <w:r w:rsidR="00901F98">
        <w:rPr>
          <w:noProof/>
          <w:lang w:val="en-GB"/>
        </w:rPr>
        <w:t>g</w:t>
      </w:r>
      <w:r w:rsidR="005D6F11" w:rsidRPr="000123E4">
        <w:rPr>
          <w:noProof/>
          <w:lang w:val="en-GB"/>
        </w:rPr>
        <w:t xml:space="preserve">reen </w:t>
      </w:r>
      <w:r w:rsidR="00901F98">
        <w:rPr>
          <w:noProof/>
          <w:lang w:val="en-GB"/>
        </w:rPr>
        <w:t>b</w:t>
      </w:r>
      <w:r w:rsidR="005D6F11" w:rsidRPr="000123E4">
        <w:rPr>
          <w:noProof/>
          <w:lang w:val="en-GB"/>
        </w:rPr>
        <w:t>onds.</w:t>
      </w:r>
      <w:bookmarkEnd w:id="12"/>
      <w:r w:rsidR="005D6F11" w:rsidRPr="000123E4">
        <w:rPr>
          <w:noProof/>
          <w:lang w:val="en-GB"/>
        </w:rPr>
        <w:t xml:space="preserve"> </w:t>
      </w:r>
    </w:p>
    <w:bookmarkEnd w:id="14"/>
    <w:p w14:paraId="737E3432" w14:textId="49347A88" w:rsidR="009A7D29" w:rsidRPr="000123E4" w:rsidRDefault="005D6F11" w:rsidP="005D6F11">
      <w:pPr>
        <w:rPr>
          <w:noProof/>
          <w:lang w:val="en-GB"/>
        </w:rPr>
      </w:pPr>
      <w:r w:rsidRPr="000123E4">
        <w:rPr>
          <w:noProof/>
          <w:lang w:val="en-GB"/>
        </w:rPr>
        <w:t xml:space="preserve">In the </w:t>
      </w:r>
      <w:r w:rsidR="0040010E">
        <w:rPr>
          <w:noProof/>
          <w:lang w:val="en-GB"/>
        </w:rPr>
        <w:t>second</w:t>
      </w:r>
      <w:r w:rsidRPr="000123E4">
        <w:rPr>
          <w:noProof/>
          <w:lang w:val="en-GB"/>
        </w:rPr>
        <w:t xml:space="preserve"> half of 2023, the Commission also issued 3-month and 6-month EU-Bills through bi-</w:t>
      </w:r>
      <w:r w:rsidRPr="00FB27C3">
        <w:rPr>
          <w:noProof/>
          <w:lang w:val="en-GB"/>
        </w:rPr>
        <w:t>monthly auctions to meet short-term funding needs</w:t>
      </w:r>
      <w:r w:rsidR="007C36D5">
        <w:rPr>
          <w:noProof/>
          <w:lang w:val="en-GB"/>
        </w:rPr>
        <w:t xml:space="preserve">. The EU had </w:t>
      </w:r>
      <w:r w:rsidRPr="00FB27C3">
        <w:rPr>
          <w:noProof/>
          <w:lang w:val="en-GB"/>
        </w:rPr>
        <w:t>EUR 1</w:t>
      </w:r>
      <w:r w:rsidR="0040010E" w:rsidRPr="00FB27C3">
        <w:rPr>
          <w:noProof/>
          <w:lang w:val="en-GB"/>
        </w:rPr>
        <w:t>5</w:t>
      </w:r>
      <w:r w:rsidRPr="00FB27C3">
        <w:rPr>
          <w:noProof/>
          <w:lang w:val="en-GB"/>
        </w:rPr>
        <w:t>.</w:t>
      </w:r>
      <w:r w:rsidR="0040010E" w:rsidRPr="00FB27C3">
        <w:rPr>
          <w:noProof/>
          <w:lang w:val="en-GB"/>
        </w:rPr>
        <w:t>2</w:t>
      </w:r>
      <w:r w:rsidRPr="00FB27C3">
        <w:rPr>
          <w:noProof/>
          <w:lang w:val="en-GB"/>
        </w:rPr>
        <w:t xml:space="preserve"> billion in </w:t>
      </w:r>
      <w:r w:rsidR="0002126B">
        <w:rPr>
          <w:noProof/>
          <w:lang w:val="en-GB"/>
        </w:rPr>
        <w:t xml:space="preserve">credit </w:t>
      </w:r>
      <w:r w:rsidRPr="00FB27C3">
        <w:rPr>
          <w:noProof/>
          <w:lang w:val="en-GB"/>
        </w:rPr>
        <w:t>outstanding</w:t>
      </w:r>
      <w:r w:rsidR="0002126B">
        <w:rPr>
          <w:noProof/>
          <w:lang w:val="en-GB"/>
        </w:rPr>
        <w:t xml:space="preserve"> through EU-Bills </w:t>
      </w:r>
      <w:r w:rsidRPr="00FB27C3">
        <w:rPr>
          <w:noProof/>
          <w:lang w:val="en-GB"/>
        </w:rPr>
        <w:t xml:space="preserve">at the end of </w:t>
      </w:r>
      <w:r w:rsidR="0040010E" w:rsidRPr="00FB27C3">
        <w:rPr>
          <w:noProof/>
          <w:lang w:val="en-GB"/>
        </w:rPr>
        <w:t>December</w:t>
      </w:r>
      <w:r w:rsidRPr="00FB27C3">
        <w:rPr>
          <w:noProof/>
          <w:lang w:val="en-GB"/>
        </w:rPr>
        <w:t xml:space="preserve"> 2023.</w:t>
      </w:r>
      <w:r w:rsidR="009A7D29" w:rsidRPr="00FB27C3">
        <w:rPr>
          <w:noProof/>
          <w:lang w:val="en-GB"/>
        </w:rPr>
        <w:t xml:space="preserve"> </w:t>
      </w:r>
      <w:bookmarkEnd w:id="13"/>
      <w:r w:rsidR="0002126B">
        <w:rPr>
          <w:noProof/>
          <w:lang w:val="en-GB"/>
        </w:rPr>
        <w:t xml:space="preserve">The </w:t>
      </w:r>
      <w:r w:rsidR="00374646" w:rsidRPr="00FB27C3">
        <w:rPr>
          <w:bCs/>
          <w:noProof/>
        </w:rPr>
        <w:t>Commission maintain</w:t>
      </w:r>
      <w:r w:rsidR="0002126B">
        <w:rPr>
          <w:bCs/>
          <w:noProof/>
        </w:rPr>
        <w:t>ed</w:t>
      </w:r>
      <w:r w:rsidR="00374646" w:rsidRPr="00FB27C3">
        <w:rPr>
          <w:bCs/>
          <w:noProof/>
        </w:rPr>
        <w:t xml:space="preserve"> issuance under the EU-Bill programme at a minimum level in light of low </w:t>
      </w:r>
      <w:r w:rsidR="0002126B">
        <w:rPr>
          <w:bCs/>
          <w:noProof/>
        </w:rPr>
        <w:t xml:space="preserve">short-term funding </w:t>
      </w:r>
      <w:r w:rsidR="00374646" w:rsidRPr="00FB27C3">
        <w:rPr>
          <w:bCs/>
          <w:noProof/>
        </w:rPr>
        <w:t>needs.</w:t>
      </w:r>
    </w:p>
    <w:bookmarkEnd w:id="10"/>
    <w:p w14:paraId="1BBD1ABF" w14:textId="66D9714C" w:rsidR="003926DF" w:rsidRPr="000123E4" w:rsidRDefault="003926DF" w:rsidP="005971A7">
      <w:pPr>
        <w:pStyle w:val="Heading2"/>
        <w:rPr>
          <w:noProof/>
          <w:lang w:val="en-GB"/>
        </w:rPr>
      </w:pPr>
      <w:r w:rsidRPr="0013341B">
        <w:rPr>
          <w:noProof/>
          <w:lang w:val="en-GB"/>
        </w:rPr>
        <w:t>Disbursements</w:t>
      </w:r>
    </w:p>
    <w:p w14:paraId="69EA4DF0" w14:textId="4BCB8E6B" w:rsidR="00DC2305" w:rsidRPr="000123E4" w:rsidRDefault="00DC2305" w:rsidP="00DC2305">
      <w:pPr>
        <w:rPr>
          <w:noProof/>
          <w:lang w:val="en-GB"/>
        </w:rPr>
      </w:pPr>
      <w:r w:rsidRPr="000123E4">
        <w:rPr>
          <w:noProof/>
          <w:lang w:val="en-GB"/>
        </w:rPr>
        <w:t xml:space="preserve">On the back of these transactions, the </w:t>
      </w:r>
      <w:r w:rsidR="00C80D0B">
        <w:rPr>
          <w:noProof/>
          <w:lang w:val="en-GB"/>
        </w:rPr>
        <w:t>Commission</w:t>
      </w:r>
      <w:r w:rsidRPr="000123E4">
        <w:rPr>
          <w:noProof/>
          <w:lang w:val="en-GB"/>
        </w:rPr>
        <w:t xml:space="preserve"> continue</w:t>
      </w:r>
      <w:r w:rsidR="00901F98">
        <w:rPr>
          <w:noProof/>
          <w:lang w:val="en-GB"/>
        </w:rPr>
        <w:t>d</w:t>
      </w:r>
      <w:r w:rsidRPr="000123E4">
        <w:rPr>
          <w:noProof/>
          <w:lang w:val="en-GB"/>
        </w:rPr>
        <w:t xml:space="preserve"> the funding of Member States’ recovery</w:t>
      </w:r>
      <w:r w:rsidR="00E02208">
        <w:rPr>
          <w:noProof/>
          <w:lang w:val="en-GB"/>
        </w:rPr>
        <w:t xml:space="preserve"> and resilience</w:t>
      </w:r>
      <w:r w:rsidRPr="000123E4">
        <w:rPr>
          <w:noProof/>
          <w:lang w:val="en-GB"/>
        </w:rPr>
        <w:t xml:space="preserve"> plans through</w:t>
      </w:r>
      <w:r w:rsidR="0052611C">
        <w:rPr>
          <w:noProof/>
          <w:lang w:val="en-GB"/>
        </w:rPr>
        <w:t xml:space="preserve"> the</w:t>
      </w:r>
      <w:r w:rsidRPr="000123E4">
        <w:rPr>
          <w:noProof/>
          <w:lang w:val="en-GB"/>
        </w:rPr>
        <w:t xml:space="preserve"> timely disbursement of proceeds. </w:t>
      </w:r>
      <w:bookmarkStart w:id="15" w:name="_Hlk155186535"/>
      <w:r w:rsidRPr="000123E4">
        <w:rPr>
          <w:noProof/>
          <w:lang w:val="en-GB"/>
        </w:rPr>
        <w:t xml:space="preserve">The Commission made all disbursements </w:t>
      </w:r>
      <w:r w:rsidRPr="005515C3">
        <w:rPr>
          <w:noProof/>
          <w:lang w:val="en-GB"/>
        </w:rPr>
        <w:t>to Member States under the R</w:t>
      </w:r>
      <w:r w:rsidR="007057CC">
        <w:rPr>
          <w:noProof/>
          <w:lang w:val="en-GB"/>
        </w:rPr>
        <w:t>RF</w:t>
      </w:r>
      <w:r w:rsidRPr="005515C3">
        <w:rPr>
          <w:noProof/>
          <w:lang w:val="en-GB"/>
        </w:rPr>
        <w:t>, on average within 6 working days</w:t>
      </w:r>
      <w:r w:rsidRPr="000123E4">
        <w:rPr>
          <w:noProof/>
          <w:lang w:val="en-GB"/>
        </w:rPr>
        <w:t xml:space="preserve"> </w:t>
      </w:r>
      <w:r w:rsidR="00D8633C" w:rsidRPr="000123E4">
        <w:rPr>
          <w:noProof/>
          <w:lang w:val="en-GB"/>
        </w:rPr>
        <w:t xml:space="preserve">of </w:t>
      </w:r>
      <w:r w:rsidRPr="000123E4">
        <w:rPr>
          <w:noProof/>
          <w:lang w:val="en-GB"/>
        </w:rPr>
        <w:t>authorisation of the disbursement.</w:t>
      </w:r>
      <w:bookmarkEnd w:id="15"/>
    </w:p>
    <w:p w14:paraId="5B16C6A9" w14:textId="7BD74EB4" w:rsidR="00030B16" w:rsidRPr="000123E4" w:rsidRDefault="00DC2305" w:rsidP="00DC2305">
      <w:pPr>
        <w:rPr>
          <w:noProof/>
          <w:lang w:val="en-GB"/>
        </w:rPr>
      </w:pPr>
      <w:bookmarkStart w:id="16" w:name="_Hlk138163778"/>
      <w:r w:rsidRPr="000123E4">
        <w:rPr>
          <w:noProof/>
          <w:lang w:val="en-GB"/>
        </w:rPr>
        <w:t xml:space="preserve">In the </w:t>
      </w:r>
      <w:r w:rsidR="00CE3769">
        <w:rPr>
          <w:noProof/>
          <w:lang w:val="en-GB"/>
        </w:rPr>
        <w:t>second</w:t>
      </w:r>
      <w:r w:rsidRPr="000123E4">
        <w:rPr>
          <w:noProof/>
          <w:lang w:val="en-GB"/>
        </w:rPr>
        <w:t xml:space="preserve"> half of 2023, the Commission disbursed EUR </w:t>
      </w:r>
      <w:r w:rsidR="000D213D">
        <w:rPr>
          <w:noProof/>
          <w:lang w:val="en-GB"/>
        </w:rPr>
        <w:t>6</w:t>
      </w:r>
      <w:r w:rsidR="00F923A5">
        <w:rPr>
          <w:noProof/>
          <w:lang w:val="en-GB"/>
        </w:rPr>
        <w:t>7</w:t>
      </w:r>
      <w:r w:rsidRPr="000123E4">
        <w:rPr>
          <w:noProof/>
          <w:lang w:val="en-GB"/>
        </w:rPr>
        <w:t>.</w:t>
      </w:r>
      <w:r w:rsidR="00F923A5">
        <w:rPr>
          <w:noProof/>
          <w:lang w:val="en-GB"/>
        </w:rPr>
        <w:t>4</w:t>
      </w:r>
      <w:r w:rsidRPr="000123E4">
        <w:rPr>
          <w:noProof/>
          <w:lang w:val="en-GB"/>
        </w:rPr>
        <w:t xml:space="preserve"> billion to</w:t>
      </w:r>
      <w:r w:rsidR="00DC4494">
        <w:rPr>
          <w:noProof/>
          <w:lang w:val="en-GB"/>
        </w:rPr>
        <w:t xml:space="preserve"> </w:t>
      </w:r>
      <w:r w:rsidR="000D213D">
        <w:rPr>
          <w:noProof/>
          <w:lang w:val="en-GB"/>
        </w:rPr>
        <w:t>1</w:t>
      </w:r>
      <w:r w:rsidR="00F923A5">
        <w:rPr>
          <w:noProof/>
          <w:lang w:val="en-GB"/>
        </w:rPr>
        <w:t>8</w:t>
      </w:r>
      <w:r w:rsidRPr="000123E4">
        <w:rPr>
          <w:noProof/>
          <w:lang w:val="en-GB"/>
        </w:rPr>
        <w:t xml:space="preserve"> Member States under the R</w:t>
      </w:r>
      <w:r w:rsidR="00030B16" w:rsidRPr="000123E4">
        <w:rPr>
          <w:noProof/>
          <w:lang w:val="en-GB"/>
        </w:rPr>
        <w:t>RF</w:t>
      </w:r>
      <w:r w:rsidR="001B31F3">
        <w:rPr>
          <w:noProof/>
          <w:lang w:val="en-GB"/>
        </w:rPr>
        <w:t xml:space="preserve">, of which EUR 1.7 billion were </w:t>
      </w:r>
      <w:r w:rsidR="001B31F3" w:rsidRPr="001B31F3">
        <w:rPr>
          <w:noProof/>
          <w:lang w:val="en-GB"/>
        </w:rPr>
        <w:t>pre-financing payments for REPowerEU chapters</w:t>
      </w:r>
      <w:r w:rsidRPr="000123E4">
        <w:rPr>
          <w:noProof/>
          <w:lang w:val="en-GB"/>
        </w:rPr>
        <w:t xml:space="preserve">. Of this, EUR </w:t>
      </w:r>
      <w:r w:rsidR="000D213D">
        <w:rPr>
          <w:noProof/>
          <w:lang w:val="en-GB"/>
        </w:rPr>
        <w:t>3</w:t>
      </w:r>
      <w:r w:rsidR="00F923A5">
        <w:rPr>
          <w:noProof/>
          <w:lang w:val="en-GB"/>
        </w:rPr>
        <w:t>5</w:t>
      </w:r>
      <w:r w:rsidRPr="000123E4">
        <w:rPr>
          <w:noProof/>
          <w:lang w:val="en-GB"/>
        </w:rPr>
        <w:t>.</w:t>
      </w:r>
      <w:r w:rsidR="00F923A5">
        <w:rPr>
          <w:noProof/>
          <w:lang w:val="en-GB"/>
        </w:rPr>
        <w:t>3</w:t>
      </w:r>
      <w:r w:rsidRPr="000123E4">
        <w:rPr>
          <w:noProof/>
          <w:lang w:val="en-GB"/>
        </w:rPr>
        <w:t xml:space="preserve"> billion was in the form of </w:t>
      </w:r>
      <w:r w:rsidR="00CD50EA" w:rsidRPr="00CD50EA">
        <w:rPr>
          <w:noProof/>
          <w:lang w:val="en-GB"/>
        </w:rPr>
        <w:t>non-reimbursable support</w:t>
      </w:r>
      <w:r w:rsidRPr="000123E4">
        <w:rPr>
          <w:noProof/>
          <w:lang w:val="en-GB"/>
        </w:rPr>
        <w:t xml:space="preserve"> and EUR </w:t>
      </w:r>
      <w:r w:rsidR="000D213D">
        <w:rPr>
          <w:noProof/>
          <w:lang w:val="en-GB"/>
        </w:rPr>
        <w:t>32</w:t>
      </w:r>
      <w:r w:rsidRPr="000123E4">
        <w:rPr>
          <w:noProof/>
          <w:lang w:val="en-GB"/>
        </w:rPr>
        <w:t>.</w:t>
      </w:r>
      <w:r w:rsidR="000D213D">
        <w:rPr>
          <w:noProof/>
          <w:lang w:val="en-GB"/>
        </w:rPr>
        <w:t>1</w:t>
      </w:r>
      <w:r w:rsidRPr="000123E4">
        <w:rPr>
          <w:noProof/>
          <w:lang w:val="en-GB"/>
        </w:rPr>
        <w:t xml:space="preserve"> billion</w:t>
      </w:r>
      <w:r w:rsidR="0052611C">
        <w:rPr>
          <w:noProof/>
          <w:lang w:val="en-GB"/>
        </w:rPr>
        <w:t xml:space="preserve"> was</w:t>
      </w:r>
      <w:r w:rsidRPr="000123E4">
        <w:rPr>
          <w:noProof/>
          <w:lang w:val="en-GB"/>
        </w:rPr>
        <w:t xml:space="preserve"> in the form of loans.</w:t>
      </w:r>
      <w:r w:rsidR="00C809F9" w:rsidRPr="000123E4">
        <w:rPr>
          <w:noProof/>
          <w:lang w:val="en-GB"/>
        </w:rPr>
        <w:t xml:space="preserve"> </w:t>
      </w:r>
      <w:r w:rsidR="0052611C">
        <w:rPr>
          <w:noProof/>
          <w:lang w:val="en-GB"/>
        </w:rPr>
        <w:t>As part of NextGenerationEU, t</w:t>
      </w:r>
      <w:r w:rsidR="00030B16" w:rsidRPr="000123E4">
        <w:rPr>
          <w:noProof/>
          <w:lang w:val="en-GB"/>
        </w:rPr>
        <w:t>he Commission also transferred</w:t>
      </w:r>
      <w:r w:rsidR="0052611C">
        <w:rPr>
          <w:noProof/>
          <w:lang w:val="en-GB"/>
        </w:rPr>
        <w:t xml:space="preserve"> </w:t>
      </w:r>
      <w:r w:rsidR="00030B16" w:rsidRPr="000123E4">
        <w:rPr>
          <w:noProof/>
          <w:lang w:val="en-GB"/>
        </w:rPr>
        <w:t xml:space="preserve">EUR </w:t>
      </w:r>
      <w:r w:rsidR="00DC4494">
        <w:rPr>
          <w:noProof/>
          <w:lang w:val="en-GB"/>
        </w:rPr>
        <w:t>10</w:t>
      </w:r>
      <w:r w:rsidR="00030B16" w:rsidRPr="000123E4">
        <w:rPr>
          <w:noProof/>
          <w:lang w:val="en-GB"/>
        </w:rPr>
        <w:t xml:space="preserve"> billion to the EU budget</w:t>
      </w:r>
      <w:r w:rsidR="0052611C">
        <w:rPr>
          <w:noProof/>
          <w:lang w:val="en-GB"/>
        </w:rPr>
        <w:t xml:space="preserve"> in the second half of 2023</w:t>
      </w:r>
      <w:r w:rsidR="00030B16" w:rsidRPr="000123E4">
        <w:rPr>
          <w:noProof/>
          <w:lang w:val="en-GB"/>
        </w:rPr>
        <w:t xml:space="preserve"> to contribute to programmes such as </w:t>
      </w:r>
      <w:bookmarkStart w:id="17" w:name="_Hlk156916411"/>
      <w:r w:rsidR="00030B16" w:rsidRPr="000123E4">
        <w:rPr>
          <w:noProof/>
          <w:lang w:val="en-GB"/>
        </w:rPr>
        <w:t xml:space="preserve">Horizon Europe, </w:t>
      </w:r>
      <w:r w:rsidR="0052611C">
        <w:rPr>
          <w:noProof/>
          <w:lang w:val="en-GB"/>
        </w:rPr>
        <w:t xml:space="preserve">the </w:t>
      </w:r>
      <w:r w:rsidR="00030B16" w:rsidRPr="000123E4">
        <w:rPr>
          <w:noProof/>
          <w:lang w:val="en-GB"/>
        </w:rPr>
        <w:t xml:space="preserve">InvestEU Fund, ReactEU, the </w:t>
      </w:r>
      <w:r w:rsidR="00711B9E">
        <w:rPr>
          <w:noProof/>
          <w:lang w:val="en-GB"/>
        </w:rPr>
        <w:t>EU</w:t>
      </w:r>
      <w:r w:rsidR="00030B16" w:rsidRPr="000123E4">
        <w:rPr>
          <w:noProof/>
          <w:lang w:val="en-GB"/>
        </w:rPr>
        <w:t xml:space="preserve"> Civil Protection Mechanism (RescEU), the European Agricultural Fund for Rural Development (EAFRD), and the Just Transition Fund.</w:t>
      </w:r>
    </w:p>
    <w:bookmarkEnd w:id="17"/>
    <w:p w14:paraId="77BA0D3A" w14:textId="73B846F9" w:rsidR="00030B16" w:rsidRPr="000123E4" w:rsidRDefault="00030B16" w:rsidP="00D8633C">
      <w:pPr>
        <w:rPr>
          <w:noProof/>
          <w:lang w:val="en-GB"/>
        </w:rPr>
      </w:pPr>
      <w:r w:rsidRPr="00FB27C3">
        <w:rPr>
          <w:noProof/>
          <w:lang w:val="en-GB"/>
        </w:rPr>
        <w:t xml:space="preserve">Overall, since the start of NextGenerationEU in the summer of 2021, the Commission has </w:t>
      </w:r>
      <w:r w:rsidR="0002126B">
        <w:rPr>
          <w:noProof/>
          <w:lang w:val="en-GB"/>
        </w:rPr>
        <w:t>disbursed</w:t>
      </w:r>
      <w:r w:rsidRPr="00FB27C3">
        <w:rPr>
          <w:noProof/>
          <w:lang w:val="en-GB"/>
        </w:rPr>
        <w:t xml:space="preserve"> EUR </w:t>
      </w:r>
      <w:r w:rsidR="00DC4494" w:rsidRPr="00FB27C3">
        <w:rPr>
          <w:noProof/>
          <w:lang w:val="en-GB"/>
        </w:rPr>
        <w:t>2</w:t>
      </w:r>
      <w:r w:rsidR="000D213D" w:rsidRPr="00FB27C3">
        <w:rPr>
          <w:noProof/>
          <w:lang w:val="en-GB"/>
        </w:rPr>
        <w:t>6</w:t>
      </w:r>
      <w:r w:rsidR="00456822" w:rsidRPr="00FB27C3">
        <w:rPr>
          <w:noProof/>
          <w:lang w:val="en-GB"/>
        </w:rPr>
        <w:t>1.7</w:t>
      </w:r>
      <w:r w:rsidRPr="00FB27C3">
        <w:rPr>
          <w:noProof/>
          <w:lang w:val="en-GB"/>
        </w:rPr>
        <w:t xml:space="preserve"> billion</w:t>
      </w:r>
      <w:r w:rsidR="0002126B">
        <w:rPr>
          <w:noProof/>
          <w:lang w:val="en-GB"/>
        </w:rPr>
        <w:t>:</w:t>
      </w:r>
      <w:r w:rsidR="0002126B" w:rsidRPr="00FB27C3" w:rsidDel="0002126B">
        <w:rPr>
          <w:noProof/>
          <w:lang w:val="en-GB"/>
        </w:rPr>
        <w:t xml:space="preserve"> </w:t>
      </w:r>
      <w:r w:rsidR="0052611C">
        <w:rPr>
          <w:noProof/>
          <w:lang w:val="en-GB"/>
        </w:rPr>
        <w:t xml:space="preserve">(i) </w:t>
      </w:r>
      <w:r w:rsidRPr="00FB27C3">
        <w:rPr>
          <w:noProof/>
          <w:lang w:val="en-GB"/>
        </w:rPr>
        <w:t>EUR 1</w:t>
      </w:r>
      <w:r w:rsidR="00456822" w:rsidRPr="00FB27C3">
        <w:rPr>
          <w:noProof/>
          <w:lang w:val="en-GB"/>
        </w:rPr>
        <w:t>41</w:t>
      </w:r>
      <w:r w:rsidRPr="00FB27C3">
        <w:rPr>
          <w:noProof/>
          <w:lang w:val="en-GB"/>
        </w:rPr>
        <w:t>.</w:t>
      </w:r>
      <w:r w:rsidR="00FB27C3" w:rsidRPr="00FB27C3">
        <w:rPr>
          <w:noProof/>
          <w:lang w:val="en-GB"/>
        </w:rPr>
        <w:t>6</w:t>
      </w:r>
      <w:r w:rsidRPr="00FB27C3">
        <w:rPr>
          <w:noProof/>
          <w:lang w:val="en-GB"/>
        </w:rPr>
        <w:t xml:space="preserve"> billion in </w:t>
      </w:r>
      <w:r w:rsidR="00CD50EA" w:rsidRPr="00FB27C3">
        <w:rPr>
          <w:noProof/>
          <w:lang w:val="en-GB"/>
        </w:rPr>
        <w:t>non-reimbursable support</w:t>
      </w:r>
      <w:r w:rsidRPr="00FB27C3">
        <w:rPr>
          <w:noProof/>
          <w:lang w:val="en-GB"/>
        </w:rPr>
        <w:t xml:space="preserve"> and</w:t>
      </w:r>
      <w:r w:rsidR="0052611C">
        <w:rPr>
          <w:noProof/>
          <w:lang w:val="en-GB"/>
        </w:rPr>
        <w:t xml:space="preserve"> </w:t>
      </w:r>
      <w:r w:rsidRPr="00FB27C3">
        <w:rPr>
          <w:noProof/>
          <w:lang w:val="en-GB"/>
        </w:rPr>
        <w:t xml:space="preserve">EUR </w:t>
      </w:r>
      <w:r w:rsidR="000D213D" w:rsidRPr="00FB27C3">
        <w:rPr>
          <w:noProof/>
          <w:lang w:val="en-GB"/>
        </w:rPr>
        <w:t>79</w:t>
      </w:r>
      <w:r w:rsidRPr="00FB27C3">
        <w:rPr>
          <w:noProof/>
          <w:lang w:val="en-GB"/>
        </w:rPr>
        <w:t>.</w:t>
      </w:r>
      <w:r w:rsidR="000D213D" w:rsidRPr="00FB27C3">
        <w:rPr>
          <w:noProof/>
          <w:lang w:val="en-GB"/>
        </w:rPr>
        <w:t>2</w:t>
      </w:r>
      <w:r w:rsidRPr="00FB27C3">
        <w:rPr>
          <w:noProof/>
          <w:lang w:val="en-GB"/>
        </w:rPr>
        <w:t xml:space="preserve"> billion in loans</w:t>
      </w:r>
      <w:r w:rsidR="0002126B">
        <w:rPr>
          <w:noProof/>
          <w:lang w:val="en-GB"/>
        </w:rPr>
        <w:t xml:space="preserve"> to Member States </w:t>
      </w:r>
      <w:r w:rsidR="000830C3" w:rsidRPr="00FB27C3">
        <w:rPr>
          <w:noProof/>
          <w:lang w:val="en-GB"/>
        </w:rPr>
        <w:t>under the R</w:t>
      </w:r>
      <w:r w:rsidR="007057CC">
        <w:rPr>
          <w:noProof/>
          <w:lang w:val="en-GB"/>
        </w:rPr>
        <w:t>RF</w:t>
      </w:r>
      <w:r w:rsidR="0052611C">
        <w:rPr>
          <w:noProof/>
          <w:lang w:val="en-GB"/>
        </w:rPr>
        <w:t>;</w:t>
      </w:r>
      <w:r w:rsidRPr="00FB27C3">
        <w:rPr>
          <w:noProof/>
          <w:lang w:val="en-GB"/>
        </w:rPr>
        <w:t xml:space="preserve"> and </w:t>
      </w:r>
      <w:r w:rsidR="0052611C">
        <w:rPr>
          <w:noProof/>
          <w:lang w:val="en-GB"/>
        </w:rPr>
        <w:t xml:space="preserve">(ii) </w:t>
      </w:r>
      <w:r w:rsidRPr="00FB27C3">
        <w:rPr>
          <w:noProof/>
          <w:lang w:val="en-GB"/>
        </w:rPr>
        <w:t xml:space="preserve">EUR </w:t>
      </w:r>
      <w:r w:rsidR="00DC4494" w:rsidRPr="00FB27C3">
        <w:rPr>
          <w:noProof/>
          <w:lang w:val="en-GB"/>
        </w:rPr>
        <w:t>40</w:t>
      </w:r>
      <w:r w:rsidRPr="00FB27C3">
        <w:rPr>
          <w:noProof/>
          <w:lang w:val="en-GB"/>
        </w:rPr>
        <w:t>.</w:t>
      </w:r>
      <w:r w:rsidR="00A1683B" w:rsidRPr="00FB27C3">
        <w:rPr>
          <w:noProof/>
          <w:lang w:val="en-GB"/>
        </w:rPr>
        <w:t>9</w:t>
      </w:r>
      <w:r w:rsidRPr="00FB27C3">
        <w:rPr>
          <w:noProof/>
          <w:lang w:val="en-GB"/>
        </w:rPr>
        <w:t xml:space="preserve"> billion </w:t>
      </w:r>
      <w:r w:rsidR="000830C3" w:rsidRPr="00FB27C3">
        <w:rPr>
          <w:noProof/>
          <w:lang w:val="en-GB"/>
        </w:rPr>
        <w:t>for</w:t>
      </w:r>
      <w:r w:rsidRPr="00FB27C3">
        <w:rPr>
          <w:noProof/>
          <w:lang w:val="en-GB"/>
        </w:rPr>
        <w:t xml:space="preserve"> </w:t>
      </w:r>
      <w:r w:rsidR="000830C3" w:rsidRPr="00FB27C3">
        <w:rPr>
          <w:noProof/>
          <w:lang w:val="en-GB"/>
        </w:rPr>
        <w:t xml:space="preserve">the other </w:t>
      </w:r>
      <w:r w:rsidRPr="00FB27C3">
        <w:rPr>
          <w:noProof/>
          <w:lang w:val="en-GB"/>
        </w:rPr>
        <w:t>NextGenerationEU-funded spending programmes.</w:t>
      </w:r>
      <w:r w:rsidR="006B12D9" w:rsidRPr="00FB27C3">
        <w:rPr>
          <w:noProof/>
          <w:lang w:val="en-GB"/>
        </w:rPr>
        <w:t xml:space="preserve"> So far, EUR </w:t>
      </w:r>
      <w:r w:rsidR="00456822" w:rsidRPr="00FB27C3">
        <w:rPr>
          <w:noProof/>
          <w:lang w:val="en-GB"/>
        </w:rPr>
        <w:t>260</w:t>
      </w:r>
      <w:r w:rsidR="006B12D9" w:rsidRPr="00FB27C3">
        <w:rPr>
          <w:noProof/>
          <w:lang w:val="en-GB"/>
        </w:rPr>
        <w:t xml:space="preserve"> billion of NextGenerationEU has been financed through borrowing</w:t>
      </w:r>
      <w:r w:rsidR="008B0676">
        <w:rPr>
          <w:noProof/>
          <w:lang w:val="en-GB"/>
        </w:rPr>
        <w:t xml:space="preserve"> </w:t>
      </w:r>
      <w:r w:rsidR="008B0676" w:rsidRPr="00F923A5">
        <w:rPr>
          <w:noProof/>
          <w:spacing w:val="-6"/>
          <w:lang w:val="en-GB"/>
        </w:rPr>
        <w:t>and EUR 1.7 billion has been financed by other sources (i.e.</w:t>
      </w:r>
      <w:r w:rsidR="00BD21E3">
        <w:rPr>
          <w:noProof/>
          <w:spacing w:val="-6"/>
          <w:lang w:val="en-GB"/>
        </w:rPr>
        <w:t>,</w:t>
      </w:r>
      <w:r w:rsidR="008B0676" w:rsidRPr="00F923A5">
        <w:rPr>
          <w:noProof/>
          <w:spacing w:val="-6"/>
          <w:lang w:val="en-GB"/>
        </w:rPr>
        <w:t xml:space="preserve"> </w:t>
      </w:r>
      <w:r w:rsidR="0052611C">
        <w:rPr>
          <w:noProof/>
          <w:spacing w:val="-6"/>
          <w:lang w:val="en-GB"/>
        </w:rPr>
        <w:t xml:space="preserve">the </w:t>
      </w:r>
      <w:r w:rsidR="008B0676" w:rsidRPr="00F923A5">
        <w:rPr>
          <w:noProof/>
          <w:spacing w:val="-6"/>
          <w:lang w:val="en-GB"/>
        </w:rPr>
        <w:t xml:space="preserve">Emission Trading Scheme (ETS) and </w:t>
      </w:r>
      <w:r w:rsidR="0052611C">
        <w:rPr>
          <w:noProof/>
          <w:spacing w:val="-6"/>
          <w:lang w:val="en-GB"/>
        </w:rPr>
        <w:t xml:space="preserve">the </w:t>
      </w:r>
      <w:r w:rsidR="008B0676" w:rsidRPr="00F923A5">
        <w:rPr>
          <w:noProof/>
          <w:spacing w:val="-6"/>
          <w:lang w:val="en-GB"/>
        </w:rPr>
        <w:t>Brexit adjustment reserve (BAR))</w:t>
      </w:r>
      <w:r w:rsidR="006B12D9" w:rsidRPr="00FB27C3">
        <w:rPr>
          <w:noProof/>
          <w:lang w:val="en-GB"/>
        </w:rPr>
        <w:t>.</w:t>
      </w:r>
    </w:p>
    <w:p w14:paraId="7E1F765F" w14:textId="3B641470" w:rsidR="00240156" w:rsidRPr="000123E4" w:rsidRDefault="00DC2305" w:rsidP="00240156">
      <w:pPr>
        <w:rPr>
          <w:noProof/>
          <w:spacing w:val="-6"/>
          <w:lang w:val="en-GB"/>
        </w:rPr>
      </w:pPr>
      <w:r w:rsidRPr="000123E4">
        <w:rPr>
          <w:noProof/>
        </w:rPr>
        <w:t xml:space="preserve">In addition to </w:t>
      </w:r>
      <w:r w:rsidR="0002126B">
        <w:rPr>
          <w:noProof/>
        </w:rPr>
        <w:t>N</w:t>
      </w:r>
      <w:r w:rsidR="007057CC">
        <w:rPr>
          <w:noProof/>
        </w:rPr>
        <w:t>ext</w:t>
      </w:r>
      <w:r w:rsidR="0002126B">
        <w:rPr>
          <w:noProof/>
        </w:rPr>
        <w:t>G</w:t>
      </w:r>
      <w:r w:rsidR="007057CC">
        <w:rPr>
          <w:noProof/>
        </w:rPr>
        <w:t>eneration</w:t>
      </w:r>
      <w:r w:rsidR="0002126B">
        <w:rPr>
          <w:noProof/>
        </w:rPr>
        <w:t xml:space="preserve">EU </w:t>
      </w:r>
      <w:r w:rsidRPr="000123E4">
        <w:rPr>
          <w:noProof/>
        </w:rPr>
        <w:t xml:space="preserve">disbursements, </w:t>
      </w:r>
      <w:r w:rsidR="00711B9E" w:rsidRPr="00855953">
        <w:rPr>
          <w:noProof/>
        </w:rPr>
        <w:t xml:space="preserve">in the </w:t>
      </w:r>
      <w:r w:rsidR="00DC4494">
        <w:rPr>
          <w:noProof/>
        </w:rPr>
        <w:t>second</w:t>
      </w:r>
      <w:r w:rsidR="00711B9E" w:rsidRPr="00855953">
        <w:rPr>
          <w:noProof/>
        </w:rPr>
        <w:t xml:space="preserve"> half of 2023</w:t>
      </w:r>
      <w:r w:rsidR="00711B9E">
        <w:rPr>
          <w:noProof/>
        </w:rPr>
        <w:t xml:space="preserve">, </w:t>
      </w:r>
      <w:r w:rsidRPr="00855953">
        <w:rPr>
          <w:noProof/>
        </w:rPr>
        <w:t xml:space="preserve">the Commission disbursed EUR 9 billion </w:t>
      </w:r>
      <w:r w:rsidR="0002126B">
        <w:rPr>
          <w:noProof/>
        </w:rPr>
        <w:t xml:space="preserve">in loans </w:t>
      </w:r>
      <w:r w:rsidRPr="00855953">
        <w:rPr>
          <w:noProof/>
        </w:rPr>
        <w:t>to Ukraine under the MFA+ programme</w:t>
      </w:r>
      <w:r w:rsidR="00030B16" w:rsidRPr="00855953">
        <w:rPr>
          <w:noProof/>
        </w:rPr>
        <w:t>,</w:t>
      </w:r>
      <w:r w:rsidRPr="00855953">
        <w:rPr>
          <w:noProof/>
        </w:rPr>
        <w:t xml:space="preserve"> fund</w:t>
      </w:r>
      <w:r w:rsidR="00030B16" w:rsidRPr="00855953">
        <w:rPr>
          <w:noProof/>
        </w:rPr>
        <w:t>ed</w:t>
      </w:r>
      <w:r w:rsidRPr="00855953">
        <w:rPr>
          <w:noProof/>
        </w:rPr>
        <w:t xml:space="preserve"> by bond issuance under the </w:t>
      </w:r>
      <w:r w:rsidR="00030B16" w:rsidRPr="00855953">
        <w:rPr>
          <w:noProof/>
        </w:rPr>
        <w:t>unified funding approach</w:t>
      </w:r>
      <w:r w:rsidR="0052611C">
        <w:rPr>
          <w:noProof/>
        </w:rPr>
        <w:t xml:space="preserve">. This </w:t>
      </w:r>
      <w:r w:rsidR="00BD21E3">
        <w:rPr>
          <w:noProof/>
        </w:rPr>
        <w:t>brings the total amount</w:t>
      </w:r>
      <w:r w:rsidR="0052611C">
        <w:rPr>
          <w:noProof/>
        </w:rPr>
        <w:t xml:space="preserve"> of funding disbursed to Ukraine under the MFA+ programme</w:t>
      </w:r>
      <w:r w:rsidR="00BD21E3">
        <w:rPr>
          <w:noProof/>
        </w:rPr>
        <w:t xml:space="preserve"> to EUR 18 billion for 2023</w:t>
      </w:r>
      <w:r w:rsidRPr="00855953">
        <w:rPr>
          <w:noProof/>
        </w:rPr>
        <w:t>.</w:t>
      </w:r>
      <w:r w:rsidR="0052611C">
        <w:rPr>
          <w:noProof/>
        </w:rPr>
        <w:t xml:space="preserve"> </w:t>
      </w:r>
      <w:r w:rsidR="00171240" w:rsidRPr="00855953">
        <w:rPr>
          <w:noProof/>
        </w:rPr>
        <w:t>Overall</w:t>
      </w:r>
      <w:r w:rsidR="00EA7361">
        <w:rPr>
          <w:noProof/>
        </w:rPr>
        <w:t>,</w:t>
      </w:r>
      <w:r w:rsidR="00171240" w:rsidRPr="00855953">
        <w:rPr>
          <w:noProof/>
        </w:rPr>
        <w:t xml:space="preserve"> in the </w:t>
      </w:r>
      <w:r w:rsidR="00DC4494">
        <w:rPr>
          <w:noProof/>
        </w:rPr>
        <w:t>second</w:t>
      </w:r>
      <w:r w:rsidR="00171240" w:rsidRPr="00855953">
        <w:rPr>
          <w:noProof/>
        </w:rPr>
        <w:t xml:space="preserve"> half of 2023 the Commission disbursed</w:t>
      </w:r>
      <w:r w:rsidRPr="00855953">
        <w:rPr>
          <w:noProof/>
        </w:rPr>
        <w:t xml:space="preserve"> a total of EUR </w:t>
      </w:r>
      <w:r w:rsidR="000D213D">
        <w:rPr>
          <w:noProof/>
        </w:rPr>
        <w:t>8</w:t>
      </w:r>
      <w:r w:rsidR="00D940BF">
        <w:rPr>
          <w:noProof/>
        </w:rPr>
        <w:t>6</w:t>
      </w:r>
      <w:r w:rsidR="00DC4494">
        <w:rPr>
          <w:noProof/>
        </w:rPr>
        <w:t>.</w:t>
      </w:r>
      <w:r w:rsidR="00D940BF">
        <w:rPr>
          <w:noProof/>
        </w:rPr>
        <w:t>4</w:t>
      </w:r>
      <w:r w:rsidR="00030B16" w:rsidRPr="00855953">
        <w:rPr>
          <w:noProof/>
        </w:rPr>
        <w:t xml:space="preserve"> </w:t>
      </w:r>
      <w:r w:rsidRPr="00855953">
        <w:rPr>
          <w:noProof/>
        </w:rPr>
        <w:t>b</w:t>
      </w:r>
      <w:r w:rsidR="00030B16" w:rsidRPr="00855953">
        <w:rPr>
          <w:noProof/>
        </w:rPr>
        <w:t>illio</w:t>
      </w:r>
      <w:r w:rsidRPr="00855953">
        <w:rPr>
          <w:noProof/>
        </w:rPr>
        <w:t>n</w:t>
      </w:r>
      <w:r w:rsidR="007F10A6" w:rsidRPr="00855953">
        <w:rPr>
          <w:noProof/>
        </w:rPr>
        <w:t xml:space="preserve"> for N</w:t>
      </w:r>
      <w:r w:rsidR="00DC4494">
        <w:rPr>
          <w:noProof/>
        </w:rPr>
        <w:t>ext</w:t>
      </w:r>
      <w:r w:rsidR="007F10A6" w:rsidRPr="00855953">
        <w:rPr>
          <w:noProof/>
        </w:rPr>
        <w:t>G</w:t>
      </w:r>
      <w:r w:rsidR="00DC4494">
        <w:rPr>
          <w:noProof/>
        </w:rPr>
        <w:t>eneration</w:t>
      </w:r>
      <w:r w:rsidR="007F10A6" w:rsidRPr="00855953">
        <w:rPr>
          <w:noProof/>
        </w:rPr>
        <w:t>EU</w:t>
      </w:r>
      <w:r w:rsidR="00977E2D">
        <w:rPr>
          <w:noProof/>
        </w:rPr>
        <w:t xml:space="preserve"> (including R</w:t>
      </w:r>
      <w:r w:rsidR="00C47826">
        <w:rPr>
          <w:noProof/>
        </w:rPr>
        <w:t>E</w:t>
      </w:r>
      <w:r w:rsidR="00977E2D">
        <w:rPr>
          <w:noProof/>
        </w:rPr>
        <w:t>PowerEU)</w:t>
      </w:r>
      <w:r w:rsidR="007F10A6" w:rsidRPr="00855953">
        <w:rPr>
          <w:noProof/>
        </w:rPr>
        <w:t xml:space="preserve"> and MFA+ combined.</w:t>
      </w:r>
      <w:bookmarkEnd w:id="16"/>
      <w:r w:rsidR="00240156">
        <w:rPr>
          <w:noProof/>
        </w:rPr>
        <w:t xml:space="preserve"> This is higher than the disbursements in the first half of 2023 (around EUR 30 billion)</w:t>
      </w:r>
      <w:r w:rsidR="0002126B">
        <w:rPr>
          <w:noProof/>
        </w:rPr>
        <w:t xml:space="preserve"> when the pace of outflows during the first half of the year </w:t>
      </w:r>
      <w:r w:rsidR="001672C7">
        <w:rPr>
          <w:noProof/>
        </w:rPr>
        <w:t>was</w:t>
      </w:r>
      <w:r w:rsidR="0002126B">
        <w:rPr>
          <w:noProof/>
        </w:rPr>
        <w:t xml:space="preserve"> temporarily impacted by the need to </w:t>
      </w:r>
      <w:bookmarkStart w:id="18" w:name="_Hlk138838334"/>
      <w:r w:rsidR="00240156">
        <w:rPr>
          <w:noProof/>
        </w:rPr>
        <w:t>revis</w:t>
      </w:r>
      <w:r w:rsidR="0002126B">
        <w:rPr>
          <w:noProof/>
        </w:rPr>
        <w:t xml:space="preserve">e national </w:t>
      </w:r>
      <w:r w:rsidR="00240156" w:rsidRPr="00855953">
        <w:rPr>
          <w:noProof/>
        </w:rPr>
        <w:t xml:space="preserve">recovery and resilience plans </w:t>
      </w:r>
      <w:r w:rsidR="00BF7E10">
        <w:rPr>
          <w:noProof/>
        </w:rPr>
        <w:t xml:space="preserve">(among others, </w:t>
      </w:r>
      <w:r w:rsidR="006429A5">
        <w:rPr>
          <w:noProof/>
        </w:rPr>
        <w:t>for</w:t>
      </w:r>
      <w:r w:rsidR="00BF7E10">
        <w:rPr>
          <w:noProof/>
        </w:rPr>
        <w:t xml:space="preserve"> adding</w:t>
      </w:r>
      <w:r w:rsidR="006429A5">
        <w:rPr>
          <w:noProof/>
        </w:rPr>
        <w:t xml:space="preserve"> </w:t>
      </w:r>
      <w:r w:rsidR="00240156" w:rsidRPr="007B08DA">
        <w:rPr>
          <w:noProof/>
          <w:spacing w:val="-6"/>
          <w:lang w:val="en-GB"/>
        </w:rPr>
        <w:t>REPowerEU</w:t>
      </w:r>
      <w:r w:rsidR="00BF7E10">
        <w:rPr>
          <w:noProof/>
          <w:spacing w:val="-6"/>
          <w:lang w:val="en-GB"/>
        </w:rPr>
        <w:t xml:space="preserve"> chapters)</w:t>
      </w:r>
      <w:r w:rsidR="00240156" w:rsidRPr="00855953">
        <w:rPr>
          <w:noProof/>
        </w:rPr>
        <w:t>.</w:t>
      </w:r>
      <w:bookmarkEnd w:id="18"/>
    </w:p>
    <w:p w14:paraId="53F3E1A0" w14:textId="3EDC669F" w:rsidR="003926DF" w:rsidRPr="000123E4" w:rsidRDefault="00352DCC" w:rsidP="00A87F59">
      <w:pPr>
        <w:pStyle w:val="Heading2"/>
        <w:rPr>
          <w:noProof/>
          <w:lang w:val="en-GB"/>
        </w:rPr>
      </w:pPr>
      <w:r w:rsidRPr="000123E4">
        <w:rPr>
          <w:noProof/>
          <w:lang w:val="en-GB"/>
        </w:rPr>
        <w:t>Investor demand and</w:t>
      </w:r>
      <w:r w:rsidR="001D0900" w:rsidRPr="000123E4">
        <w:rPr>
          <w:noProof/>
          <w:lang w:val="en-GB"/>
        </w:rPr>
        <w:t xml:space="preserve"> secondary market liquidity</w:t>
      </w:r>
    </w:p>
    <w:p w14:paraId="15738A70" w14:textId="48183F71" w:rsidR="00216746" w:rsidRDefault="00216746" w:rsidP="00216746">
      <w:pPr>
        <w:rPr>
          <w:noProof/>
          <w:lang w:val="en-GB"/>
        </w:rPr>
      </w:pPr>
      <w:bookmarkStart w:id="19" w:name="_Hlk139454867"/>
      <w:r w:rsidRPr="000123E4">
        <w:rPr>
          <w:noProof/>
          <w:lang w:val="en-GB"/>
        </w:rPr>
        <w:t xml:space="preserve">Despite the volatility in rates observed over the period, </w:t>
      </w:r>
      <w:r w:rsidR="00556A0B">
        <w:rPr>
          <w:noProof/>
          <w:lang w:val="en-GB"/>
        </w:rPr>
        <w:t>EU-Bond issuance</w:t>
      </w:r>
      <w:r w:rsidRPr="000123E4">
        <w:rPr>
          <w:noProof/>
          <w:lang w:val="en-GB"/>
        </w:rPr>
        <w:t xml:space="preserve">s continued to enjoy </w:t>
      </w:r>
      <w:r w:rsidR="008C2215">
        <w:rPr>
          <w:noProof/>
          <w:lang w:val="en-GB"/>
        </w:rPr>
        <w:t>demand</w:t>
      </w:r>
      <w:r w:rsidRPr="000123E4">
        <w:rPr>
          <w:noProof/>
          <w:lang w:val="en-GB"/>
        </w:rPr>
        <w:t xml:space="preserve"> from a well-balanced and diversified investor base with different types of investors from all across the world</w:t>
      </w:r>
      <w:r w:rsidRPr="000123E4">
        <w:rPr>
          <w:noProof/>
          <w:vertAlign w:val="superscript"/>
          <w:lang w:val="en-GB"/>
        </w:rPr>
        <w:footnoteReference w:id="8"/>
      </w:r>
      <w:r w:rsidR="001672C7">
        <w:rPr>
          <w:noProof/>
          <w:lang w:val="en-GB"/>
        </w:rPr>
        <w:t>.</w:t>
      </w:r>
    </w:p>
    <w:p w14:paraId="41A81828" w14:textId="45DF181D" w:rsidR="00EF6F31" w:rsidRDefault="00EF6F31" w:rsidP="00216746">
      <w:pPr>
        <w:rPr>
          <w:b/>
          <w:bCs/>
          <w:noProof/>
          <w:color w:val="034EA2" w:themeColor="accent1"/>
          <w:lang w:val="en-GB"/>
        </w:rPr>
      </w:pPr>
      <w:r w:rsidRPr="00391716">
        <w:rPr>
          <w:b/>
          <w:bCs/>
          <w:noProof/>
          <w:color w:val="034EA2" w:themeColor="accent1"/>
          <w:lang w:val="en-GB"/>
        </w:rPr>
        <w:t xml:space="preserve">Chart 3: </w:t>
      </w:r>
      <w:r w:rsidR="0080768A" w:rsidRPr="00391716">
        <w:rPr>
          <w:b/>
          <w:bCs/>
          <w:noProof/>
          <w:color w:val="034EA2" w:themeColor="accent1"/>
          <w:lang w:val="en-GB"/>
        </w:rPr>
        <w:t>I</w:t>
      </w:r>
      <w:r w:rsidRPr="00391716">
        <w:rPr>
          <w:b/>
          <w:bCs/>
          <w:noProof/>
          <w:color w:val="034EA2" w:themeColor="accent1"/>
          <w:lang w:val="en-GB"/>
        </w:rPr>
        <w:t>nvestor split</w:t>
      </w:r>
    </w:p>
    <w:p w14:paraId="738B6835" w14:textId="65D0B1F6" w:rsidR="00D85820" w:rsidRDefault="0063321B" w:rsidP="00FF2D54">
      <w:pPr>
        <w:spacing w:after="0"/>
        <w:rPr>
          <w:b/>
          <w:bCs/>
          <w:noProof/>
          <w:color w:val="034EA2" w:themeColor="accent1"/>
          <w:lang w:val="en-GB"/>
        </w:rPr>
      </w:pPr>
      <w:r>
        <w:rPr>
          <w:b/>
          <w:bCs/>
          <w:noProof/>
          <w:color w:val="034EA2" w:themeColor="accent1"/>
          <w:lang w:val="en-GB" w:eastAsia="en-GB"/>
        </w:rPr>
        <w:drawing>
          <wp:inline distT="0" distB="0" distL="0" distR="0" wp14:anchorId="42B1899A" wp14:editId="1B1704BB">
            <wp:extent cx="5731510" cy="1671955"/>
            <wp:effectExtent l="0" t="0" r="0" b="0"/>
            <wp:docPr id="19" name="Picture 19" descr="A graph of distribution by investor ty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aph of distribution by investor type&#10;&#10;Description automatically generated"/>
                    <pic:cNvPicPr/>
                  </pic:nvPicPr>
                  <pic:blipFill rotWithShape="1">
                    <a:blip r:embed="rId29">
                      <a:extLst>
                        <a:ext uri="{28A0092B-C50C-407E-A947-70E740481C1C}">
                          <a14:useLocalDpi xmlns:a14="http://schemas.microsoft.com/office/drawing/2010/main" val="0"/>
                        </a:ext>
                      </a:extLst>
                    </a:blip>
                    <a:srcRect t="12728"/>
                    <a:stretch/>
                  </pic:blipFill>
                  <pic:spPr bwMode="auto">
                    <a:xfrm>
                      <a:off x="0" y="0"/>
                      <a:ext cx="5731510" cy="1671955"/>
                    </a:xfrm>
                    <a:prstGeom prst="rect">
                      <a:avLst/>
                    </a:prstGeom>
                    <a:ln>
                      <a:noFill/>
                    </a:ln>
                    <a:extLst>
                      <a:ext uri="{53640926-AAD7-44D8-BBD7-CCE9431645EC}">
                        <a14:shadowObscured xmlns:a14="http://schemas.microsoft.com/office/drawing/2010/main"/>
                      </a:ext>
                    </a:extLst>
                  </pic:spPr>
                </pic:pic>
              </a:graphicData>
            </a:graphic>
          </wp:inline>
        </w:drawing>
      </w:r>
    </w:p>
    <w:p w14:paraId="521437CC" w14:textId="77777777" w:rsidR="006B558E" w:rsidRPr="00B4643F" w:rsidRDefault="006B558E" w:rsidP="00FF2D54">
      <w:pPr>
        <w:spacing w:after="0"/>
        <w:rPr>
          <w:b/>
          <w:bCs/>
          <w:noProof/>
          <w:color w:val="034EA2" w:themeColor="accent1"/>
          <w:lang w:val="en-GB"/>
        </w:rPr>
      </w:pPr>
    </w:p>
    <w:p w14:paraId="0B530259" w14:textId="563F9080" w:rsidR="00B4643F" w:rsidRDefault="0063321B" w:rsidP="00216746">
      <w:pPr>
        <w:rPr>
          <w:noProof/>
          <w:lang w:val="en-GB"/>
        </w:rPr>
      </w:pPr>
      <w:r>
        <w:rPr>
          <w:noProof/>
          <w:lang w:val="en-GB" w:eastAsia="en-GB"/>
        </w:rPr>
        <w:drawing>
          <wp:inline distT="0" distB="0" distL="0" distR="0" wp14:anchorId="5F975EA2" wp14:editId="156365B8">
            <wp:extent cx="5731510" cy="2331085"/>
            <wp:effectExtent l="0" t="0" r="0" b="0"/>
            <wp:docPr id="20" name="Picture 20" descr="A graph of distribution by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graph of distribution by country&#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731510" cy="2331085"/>
                    </a:xfrm>
                    <a:prstGeom prst="rect">
                      <a:avLst/>
                    </a:prstGeom>
                  </pic:spPr>
                </pic:pic>
              </a:graphicData>
            </a:graphic>
          </wp:inline>
        </w:drawing>
      </w:r>
    </w:p>
    <w:bookmarkEnd w:id="19"/>
    <w:p w14:paraId="30442D31" w14:textId="771385E3" w:rsidR="009A0198" w:rsidRPr="009A0198" w:rsidRDefault="00080B80" w:rsidP="00216746">
      <w:pPr>
        <w:rPr>
          <w:noProof/>
        </w:rPr>
      </w:pPr>
      <w:r>
        <w:rPr>
          <w:noProof/>
        </w:rPr>
        <w:t>N</w:t>
      </w:r>
      <w:r w:rsidR="00216746" w:rsidRPr="00160C1F">
        <w:rPr>
          <w:noProof/>
        </w:rPr>
        <w:t>ew issue premiums (NIP</w:t>
      </w:r>
      <w:r w:rsidR="00A70679" w:rsidRPr="00160C1F">
        <w:rPr>
          <w:noProof/>
        </w:rPr>
        <w:t>s</w:t>
      </w:r>
      <w:r w:rsidR="00216746" w:rsidRPr="00160C1F">
        <w:rPr>
          <w:noProof/>
        </w:rPr>
        <w:t>)</w:t>
      </w:r>
      <w:r w:rsidR="002835C6" w:rsidRPr="00160C1F">
        <w:rPr>
          <w:noProof/>
          <w:vertAlign w:val="superscript"/>
          <w:lang w:val="en-GB"/>
        </w:rPr>
        <w:footnoteReference w:id="9"/>
      </w:r>
      <w:r w:rsidR="00216746" w:rsidRPr="00160C1F">
        <w:rPr>
          <w:noProof/>
        </w:rPr>
        <w:t xml:space="preserve"> demanded by investors as a concession when the EU issues bonds through syndication</w:t>
      </w:r>
      <w:r>
        <w:rPr>
          <w:noProof/>
        </w:rPr>
        <w:t xml:space="preserve"> </w:t>
      </w:r>
      <w:r w:rsidR="006E680B">
        <w:rPr>
          <w:noProof/>
        </w:rPr>
        <w:t xml:space="preserve">stood at around </w:t>
      </w:r>
      <w:r w:rsidR="006E680B" w:rsidRPr="00160C1F">
        <w:rPr>
          <w:noProof/>
        </w:rPr>
        <w:t>2.5 basis points</w:t>
      </w:r>
      <w:r w:rsidR="006E680B">
        <w:rPr>
          <w:noProof/>
        </w:rPr>
        <w:t xml:space="preserve"> in the second half of 2023, which is</w:t>
      </w:r>
      <w:r>
        <w:rPr>
          <w:noProof/>
        </w:rPr>
        <w:t xml:space="preserve"> in line with those </w:t>
      </w:r>
      <w:r w:rsidRPr="00160C1F">
        <w:rPr>
          <w:noProof/>
        </w:rPr>
        <w:t>offered by other issuers on comparable transactions (</w:t>
      </w:r>
      <w:r w:rsidR="001672C7">
        <w:rPr>
          <w:noProof/>
        </w:rPr>
        <w:t xml:space="preserve">measured by </w:t>
      </w:r>
      <w:r w:rsidRPr="00160C1F">
        <w:rPr>
          <w:noProof/>
        </w:rPr>
        <w:t>size and maturity)</w:t>
      </w:r>
      <w:r>
        <w:rPr>
          <w:noProof/>
        </w:rPr>
        <w:t xml:space="preserve"> during that period. </w:t>
      </w:r>
    </w:p>
    <w:p w14:paraId="33387FD9" w14:textId="50571D17" w:rsidR="009A0198" w:rsidRDefault="009A0198" w:rsidP="00971672">
      <w:pPr>
        <w:rPr>
          <w:noProof/>
        </w:rPr>
      </w:pPr>
      <w:r>
        <w:rPr>
          <w:noProof/>
          <w:lang w:val="en-GB"/>
        </w:rPr>
        <w:t>At the same time</w:t>
      </w:r>
      <w:r w:rsidR="00556A0B">
        <w:rPr>
          <w:noProof/>
          <w:lang w:val="en-GB"/>
        </w:rPr>
        <w:t>, the</w:t>
      </w:r>
      <w:r>
        <w:rPr>
          <w:noProof/>
          <w:lang w:val="en-GB"/>
        </w:rPr>
        <w:t xml:space="preserve"> s</w:t>
      </w:r>
      <w:r w:rsidR="00C60558" w:rsidRPr="000123E4">
        <w:rPr>
          <w:noProof/>
          <w:lang w:val="en-GB"/>
        </w:rPr>
        <w:t xml:space="preserve">econdary market liquidity of EU-Bonds </w:t>
      </w:r>
      <w:r w:rsidR="00556A0B">
        <w:rPr>
          <w:noProof/>
          <w:lang w:val="en-GB"/>
        </w:rPr>
        <w:t xml:space="preserve">was </w:t>
      </w:r>
      <w:r>
        <w:rPr>
          <w:noProof/>
          <w:lang w:val="en-GB"/>
        </w:rPr>
        <w:t xml:space="preserve">consistently </w:t>
      </w:r>
      <w:r w:rsidR="00556A0B">
        <w:rPr>
          <w:noProof/>
          <w:lang w:val="en-GB"/>
        </w:rPr>
        <w:t xml:space="preserve">in line </w:t>
      </w:r>
      <w:r w:rsidR="00C60558" w:rsidRPr="000123E4">
        <w:rPr>
          <w:noProof/>
          <w:lang w:val="en-GB"/>
        </w:rPr>
        <w:t>with</w:t>
      </w:r>
      <w:r w:rsidR="00C60558" w:rsidRPr="000123E4">
        <w:rPr>
          <w:noProof/>
        </w:rPr>
        <w:t xml:space="preserve"> </w:t>
      </w:r>
      <w:r w:rsidR="00556A0B">
        <w:rPr>
          <w:noProof/>
        </w:rPr>
        <w:t xml:space="preserve">levels </w:t>
      </w:r>
      <w:r w:rsidR="00C60558" w:rsidRPr="006565E0">
        <w:rPr>
          <w:noProof/>
        </w:rPr>
        <w:t xml:space="preserve">observed in the markets for </w:t>
      </w:r>
      <w:r w:rsidR="00556A0B" w:rsidRPr="006565E0">
        <w:rPr>
          <w:noProof/>
        </w:rPr>
        <w:t xml:space="preserve">the most liquid </w:t>
      </w:r>
      <w:r w:rsidR="00C60558" w:rsidRPr="006565E0">
        <w:rPr>
          <w:noProof/>
        </w:rPr>
        <w:t xml:space="preserve">European government bonds (EGBs), </w:t>
      </w:r>
      <w:r w:rsidR="00556A0B" w:rsidRPr="006565E0">
        <w:rPr>
          <w:noProof/>
        </w:rPr>
        <w:t xml:space="preserve">when measured </w:t>
      </w:r>
      <w:r w:rsidR="00C60558" w:rsidRPr="006565E0">
        <w:rPr>
          <w:noProof/>
        </w:rPr>
        <w:t xml:space="preserve">relative to the amounts outstanding. </w:t>
      </w:r>
      <w:r w:rsidR="00556A0B" w:rsidRPr="006565E0">
        <w:rPr>
          <w:noProof/>
        </w:rPr>
        <w:t>Secondary market l</w:t>
      </w:r>
      <w:r w:rsidRPr="006565E0">
        <w:rPr>
          <w:noProof/>
        </w:rPr>
        <w:t>iquidity</w:t>
      </w:r>
      <w:r w:rsidR="001672C7">
        <w:rPr>
          <w:noProof/>
        </w:rPr>
        <w:t xml:space="preserve"> for EU-Bonds</w:t>
      </w:r>
      <w:r w:rsidRPr="006565E0">
        <w:rPr>
          <w:noProof/>
        </w:rPr>
        <w:t xml:space="preserve"> was </w:t>
      </w:r>
      <w:r w:rsidR="006429A5">
        <w:rPr>
          <w:noProof/>
        </w:rPr>
        <w:t>supported</w:t>
      </w:r>
      <w:r w:rsidRPr="006565E0">
        <w:rPr>
          <w:noProof/>
        </w:rPr>
        <w:t xml:space="preserve"> by the introduction</w:t>
      </w:r>
      <w:r>
        <w:rPr>
          <w:noProof/>
        </w:rPr>
        <w:t xml:space="preserve"> on 1 November </w:t>
      </w:r>
      <w:r w:rsidRPr="009A0198">
        <w:rPr>
          <w:noProof/>
        </w:rPr>
        <w:t xml:space="preserve">2023 of </w:t>
      </w:r>
      <w:hyperlink r:id="rId31" w:history="1">
        <w:r w:rsidRPr="009A0198">
          <w:rPr>
            <w:noProof/>
          </w:rPr>
          <w:t>quoting arrangements</w:t>
        </w:r>
      </w:hyperlink>
      <w:r w:rsidRPr="009A0198">
        <w:rPr>
          <w:noProof/>
        </w:rPr>
        <w:t xml:space="preserve"> whereby EU </w:t>
      </w:r>
      <w:r w:rsidR="001672C7">
        <w:rPr>
          <w:noProof/>
        </w:rPr>
        <w:t>p</w:t>
      </w:r>
      <w:r w:rsidRPr="009A0198">
        <w:rPr>
          <w:noProof/>
        </w:rPr>
        <w:t xml:space="preserve">rimary </w:t>
      </w:r>
      <w:r w:rsidR="001672C7">
        <w:rPr>
          <w:noProof/>
        </w:rPr>
        <w:t>d</w:t>
      </w:r>
      <w:r w:rsidRPr="009A0198">
        <w:rPr>
          <w:noProof/>
        </w:rPr>
        <w:t xml:space="preserve">ealers are encouraged to post reliable EU-Bond prices on the leading </w:t>
      </w:r>
      <w:r w:rsidR="00556A0B">
        <w:rPr>
          <w:noProof/>
        </w:rPr>
        <w:t xml:space="preserve">electronic bond </w:t>
      </w:r>
      <w:r w:rsidRPr="009A0198">
        <w:rPr>
          <w:noProof/>
        </w:rPr>
        <w:t xml:space="preserve">trading platforms. Despite being in its infancy, </w:t>
      </w:r>
      <w:r w:rsidR="001672C7">
        <w:rPr>
          <w:noProof/>
        </w:rPr>
        <w:t xml:space="preserve">the </w:t>
      </w:r>
      <w:r w:rsidRPr="009A0198">
        <w:rPr>
          <w:noProof/>
        </w:rPr>
        <w:t xml:space="preserve">quoting </w:t>
      </w:r>
      <w:r w:rsidR="00556A0B">
        <w:rPr>
          <w:noProof/>
        </w:rPr>
        <w:t xml:space="preserve">of EU-Bonds </w:t>
      </w:r>
      <w:r w:rsidRPr="009A0198">
        <w:rPr>
          <w:noProof/>
        </w:rPr>
        <w:t xml:space="preserve">on interdealer platforms is already </w:t>
      </w:r>
      <w:r w:rsidR="00556A0B">
        <w:rPr>
          <w:noProof/>
        </w:rPr>
        <w:t xml:space="preserve">comparable when measured in </w:t>
      </w:r>
      <w:r w:rsidRPr="009A0198">
        <w:rPr>
          <w:noProof/>
        </w:rPr>
        <w:t>average daily volume</w:t>
      </w:r>
      <w:r w:rsidR="00556A0B">
        <w:rPr>
          <w:noProof/>
        </w:rPr>
        <w:t xml:space="preserve">s, </w:t>
      </w:r>
      <w:r w:rsidRPr="00FD0E71">
        <w:rPr>
          <w:noProof/>
        </w:rPr>
        <w:t xml:space="preserve">to </w:t>
      </w:r>
      <w:r w:rsidR="00556A0B">
        <w:rPr>
          <w:noProof/>
        </w:rPr>
        <w:t>levels</w:t>
      </w:r>
      <w:r>
        <w:rPr>
          <w:noProof/>
        </w:rPr>
        <w:t xml:space="preserve"> </w:t>
      </w:r>
      <w:r w:rsidRPr="00FD0E71">
        <w:rPr>
          <w:noProof/>
        </w:rPr>
        <w:t>observed for sovereign issuers</w:t>
      </w:r>
      <w:r w:rsidR="00556A0B">
        <w:rPr>
          <w:noProof/>
        </w:rPr>
        <w:t>. D</w:t>
      </w:r>
      <w:r>
        <w:rPr>
          <w:noProof/>
        </w:rPr>
        <w:t xml:space="preserve">aily </w:t>
      </w:r>
      <w:r w:rsidR="001672C7">
        <w:rPr>
          <w:noProof/>
        </w:rPr>
        <w:t xml:space="preserve">trading </w:t>
      </w:r>
      <w:r>
        <w:rPr>
          <w:noProof/>
        </w:rPr>
        <w:t xml:space="preserve">volumes </w:t>
      </w:r>
      <w:r w:rsidR="001672C7">
        <w:rPr>
          <w:noProof/>
        </w:rPr>
        <w:t xml:space="preserve">of EU-Bonds </w:t>
      </w:r>
      <w:r w:rsidR="00556A0B">
        <w:rPr>
          <w:noProof/>
        </w:rPr>
        <w:t xml:space="preserve">averaged </w:t>
      </w:r>
      <w:r w:rsidR="006E680B">
        <w:rPr>
          <w:noProof/>
        </w:rPr>
        <w:t>around</w:t>
      </w:r>
      <w:r w:rsidRPr="009A0198">
        <w:rPr>
          <w:noProof/>
        </w:rPr>
        <w:t xml:space="preserve"> EUR </w:t>
      </w:r>
      <w:r w:rsidR="006E680B">
        <w:rPr>
          <w:noProof/>
        </w:rPr>
        <w:t>900</w:t>
      </w:r>
      <w:r w:rsidRPr="009A0198">
        <w:rPr>
          <w:noProof/>
        </w:rPr>
        <w:t xml:space="preserve"> million</w:t>
      </w:r>
      <w:r w:rsidR="006E680B">
        <w:rPr>
          <w:noProof/>
        </w:rPr>
        <w:t xml:space="preserve"> in November 2023 and </w:t>
      </w:r>
      <w:r w:rsidR="008A34F5">
        <w:rPr>
          <w:noProof/>
        </w:rPr>
        <w:br/>
      </w:r>
      <w:r w:rsidR="006E680B">
        <w:rPr>
          <w:noProof/>
        </w:rPr>
        <w:t>EUR</w:t>
      </w:r>
      <w:r w:rsidR="001D478A">
        <w:rPr>
          <w:noProof/>
        </w:rPr>
        <w:t xml:space="preserve"> </w:t>
      </w:r>
      <w:r w:rsidR="006E680B">
        <w:rPr>
          <w:noProof/>
        </w:rPr>
        <w:t>550 billion in December 2023</w:t>
      </w:r>
      <w:r w:rsidRPr="009A0198">
        <w:rPr>
          <w:noProof/>
        </w:rPr>
        <w:t xml:space="preserve">, with a maximum daily peak of above </w:t>
      </w:r>
      <w:r w:rsidR="006E680B">
        <w:rPr>
          <w:noProof/>
        </w:rPr>
        <w:t>EUR 2</w:t>
      </w:r>
      <w:r w:rsidRPr="009A0198">
        <w:rPr>
          <w:noProof/>
        </w:rPr>
        <w:t xml:space="preserve"> billion</w:t>
      </w:r>
      <w:r w:rsidR="006E680B">
        <w:rPr>
          <w:noProof/>
        </w:rPr>
        <w:t>.</w:t>
      </w:r>
    </w:p>
    <w:p w14:paraId="34FD2616" w14:textId="0D5D9CD6" w:rsidR="00971672" w:rsidRPr="00160C1F" w:rsidRDefault="00160C1F" w:rsidP="00971672">
      <w:pPr>
        <w:rPr>
          <w:noProof/>
        </w:rPr>
      </w:pPr>
      <w:r w:rsidRPr="00160C1F">
        <w:rPr>
          <w:noProof/>
        </w:rPr>
        <w:t xml:space="preserve">The </w:t>
      </w:r>
      <w:r w:rsidR="00F14661">
        <w:rPr>
          <w:noProof/>
        </w:rPr>
        <w:t>combination</w:t>
      </w:r>
      <w:r w:rsidR="00F14661" w:rsidRPr="00160C1F">
        <w:rPr>
          <w:noProof/>
        </w:rPr>
        <w:t xml:space="preserve"> </w:t>
      </w:r>
      <w:r w:rsidRPr="00160C1F">
        <w:rPr>
          <w:noProof/>
        </w:rPr>
        <w:t>of tap</w:t>
      </w:r>
      <w:r w:rsidR="001672C7">
        <w:rPr>
          <w:noProof/>
        </w:rPr>
        <w:t xml:space="preserve">ping existing lines and creating </w:t>
      </w:r>
      <w:r w:rsidR="00F14661">
        <w:rPr>
          <w:noProof/>
        </w:rPr>
        <w:t>new lines (n</w:t>
      </w:r>
      <w:r w:rsidR="00F14661" w:rsidRPr="000123E4">
        <w:rPr>
          <w:bCs/>
          <w:noProof/>
        </w:rPr>
        <w:t xml:space="preserve">ew </w:t>
      </w:r>
      <w:r w:rsidR="00F14661">
        <w:rPr>
          <w:bCs/>
          <w:noProof/>
        </w:rPr>
        <w:t>5-</w:t>
      </w:r>
      <w:r w:rsidR="00F14661" w:rsidRPr="000123E4">
        <w:rPr>
          <w:bCs/>
          <w:noProof/>
        </w:rPr>
        <w:t>y</w:t>
      </w:r>
      <w:r w:rsidR="00F14661">
        <w:rPr>
          <w:bCs/>
          <w:noProof/>
        </w:rPr>
        <w:t>ear</w:t>
      </w:r>
      <w:r w:rsidR="00F14661" w:rsidRPr="000123E4">
        <w:rPr>
          <w:bCs/>
          <w:noProof/>
        </w:rPr>
        <w:t xml:space="preserve">, </w:t>
      </w:r>
      <w:r w:rsidR="00F14661">
        <w:rPr>
          <w:bCs/>
          <w:noProof/>
        </w:rPr>
        <w:t>7-</w:t>
      </w:r>
      <w:r w:rsidR="00F14661" w:rsidRPr="000123E4">
        <w:rPr>
          <w:bCs/>
          <w:noProof/>
        </w:rPr>
        <w:t>y</w:t>
      </w:r>
      <w:r w:rsidR="00F14661">
        <w:rPr>
          <w:bCs/>
          <w:noProof/>
        </w:rPr>
        <w:t>ear</w:t>
      </w:r>
      <w:r w:rsidR="00F14661" w:rsidRPr="000123E4">
        <w:rPr>
          <w:bCs/>
          <w:noProof/>
        </w:rPr>
        <w:t xml:space="preserve"> and </w:t>
      </w:r>
      <w:r w:rsidR="00F14661">
        <w:rPr>
          <w:bCs/>
          <w:noProof/>
        </w:rPr>
        <w:t>20-</w:t>
      </w:r>
      <w:r w:rsidR="00F14661" w:rsidRPr="000123E4">
        <w:rPr>
          <w:bCs/>
          <w:noProof/>
        </w:rPr>
        <w:t>y</w:t>
      </w:r>
      <w:r w:rsidR="00F14661">
        <w:rPr>
          <w:bCs/>
          <w:noProof/>
        </w:rPr>
        <w:t>ear</w:t>
      </w:r>
      <w:r w:rsidR="00F14661" w:rsidRPr="000123E4">
        <w:rPr>
          <w:bCs/>
          <w:noProof/>
        </w:rPr>
        <w:t xml:space="preserve"> </w:t>
      </w:r>
      <w:r w:rsidR="00F14661">
        <w:rPr>
          <w:bCs/>
          <w:noProof/>
        </w:rPr>
        <w:t xml:space="preserve">EU-Bonds launched in the second half of 2023) </w:t>
      </w:r>
      <w:r w:rsidR="006429A5">
        <w:rPr>
          <w:noProof/>
        </w:rPr>
        <w:t>also</w:t>
      </w:r>
      <w:r w:rsidR="006429A5" w:rsidRPr="00160C1F">
        <w:rPr>
          <w:noProof/>
        </w:rPr>
        <w:t xml:space="preserve"> </w:t>
      </w:r>
      <w:r w:rsidRPr="00160C1F">
        <w:rPr>
          <w:noProof/>
        </w:rPr>
        <w:t>support</w:t>
      </w:r>
      <w:r w:rsidR="00F14661">
        <w:rPr>
          <w:noProof/>
        </w:rPr>
        <w:t>ed</w:t>
      </w:r>
      <w:r w:rsidRPr="00160C1F">
        <w:rPr>
          <w:noProof/>
        </w:rPr>
        <w:t xml:space="preserve"> secondary market liquidity.</w:t>
      </w:r>
      <w:r w:rsidR="00971672">
        <w:rPr>
          <w:bCs/>
          <w:noProof/>
        </w:rPr>
        <w:t xml:space="preserve"> </w:t>
      </w:r>
      <w:r w:rsidR="00971672" w:rsidRPr="00472D76">
        <w:rPr>
          <w:bCs/>
          <w:noProof/>
        </w:rPr>
        <w:t xml:space="preserve">As a result, the average amount outstanding per </w:t>
      </w:r>
      <w:r w:rsidR="00F14661">
        <w:rPr>
          <w:bCs/>
          <w:noProof/>
        </w:rPr>
        <w:t>EU</w:t>
      </w:r>
      <w:r w:rsidR="006E680B">
        <w:rPr>
          <w:bCs/>
          <w:noProof/>
        </w:rPr>
        <w:t>-</w:t>
      </w:r>
      <w:r w:rsidR="00F14661">
        <w:rPr>
          <w:bCs/>
          <w:noProof/>
        </w:rPr>
        <w:t>B</w:t>
      </w:r>
      <w:r w:rsidR="00971672" w:rsidRPr="00472D76">
        <w:rPr>
          <w:bCs/>
          <w:noProof/>
        </w:rPr>
        <w:t xml:space="preserve">ond </w:t>
      </w:r>
      <w:r w:rsidR="00971672">
        <w:rPr>
          <w:bCs/>
          <w:noProof/>
        </w:rPr>
        <w:t>remained at</w:t>
      </w:r>
      <w:r w:rsidR="00971672" w:rsidRPr="00472D76">
        <w:rPr>
          <w:bCs/>
          <w:noProof/>
        </w:rPr>
        <w:t xml:space="preserve"> around EUR 13 billion by the end of the semester, </w:t>
      </w:r>
      <w:r w:rsidR="00971672">
        <w:rPr>
          <w:bCs/>
          <w:noProof/>
        </w:rPr>
        <w:t xml:space="preserve">ensuring consistent </w:t>
      </w:r>
      <w:r w:rsidR="00971672" w:rsidRPr="00472D76">
        <w:rPr>
          <w:bCs/>
          <w:noProof/>
        </w:rPr>
        <w:t>liquidity of the bonds.</w:t>
      </w:r>
    </w:p>
    <w:p w14:paraId="03C83E44" w14:textId="427D9707" w:rsidR="009A0198" w:rsidRPr="00A87F59" w:rsidRDefault="00EF6F31" w:rsidP="009A0198">
      <w:pPr>
        <w:rPr>
          <w:b/>
          <w:bCs/>
          <w:noProof/>
          <w:color w:val="034EA2" w:themeColor="accent1"/>
        </w:rPr>
      </w:pPr>
      <w:r w:rsidRPr="00A87F59">
        <w:rPr>
          <w:b/>
          <w:bCs/>
          <w:noProof/>
          <w:color w:val="034EA2" w:themeColor="accent1"/>
        </w:rPr>
        <w:t xml:space="preserve">Chart 4: </w:t>
      </w:r>
      <w:r w:rsidR="009A0198" w:rsidRPr="00A87F59">
        <w:rPr>
          <w:b/>
          <w:bCs/>
          <w:noProof/>
          <w:color w:val="034EA2" w:themeColor="accent1"/>
        </w:rPr>
        <w:t xml:space="preserve">Quarterly secondary market turnover of EU and European government bonds </w:t>
      </w:r>
      <w:r w:rsidR="00391716">
        <w:rPr>
          <w:b/>
          <w:bCs/>
          <w:noProof/>
          <w:color w:val="034EA2" w:themeColor="accent1"/>
        </w:rPr>
        <w:br/>
      </w:r>
      <w:r w:rsidR="009A0198" w:rsidRPr="00A87F59">
        <w:rPr>
          <w:b/>
          <w:bCs/>
          <w:noProof/>
          <w:color w:val="034EA2" w:themeColor="accent1"/>
        </w:rPr>
        <w:t>(% of outstanding volume)</w:t>
      </w:r>
    </w:p>
    <w:p w14:paraId="34096130" w14:textId="6C4D4EFD" w:rsidR="009A0198" w:rsidRDefault="0063321B" w:rsidP="009A0198">
      <w:pPr>
        <w:rPr>
          <w:b/>
          <w:bCs/>
          <w:noProof/>
        </w:rPr>
      </w:pPr>
      <w:r>
        <w:rPr>
          <w:b/>
          <w:bCs/>
          <w:noProof/>
          <w:lang w:val="en-GB" w:eastAsia="en-GB"/>
        </w:rPr>
        <w:drawing>
          <wp:inline distT="0" distB="0" distL="0" distR="0" wp14:anchorId="6CDC34B9" wp14:editId="6732DDE0">
            <wp:extent cx="5731510" cy="3074670"/>
            <wp:effectExtent l="0" t="0" r="0" b="0"/>
            <wp:docPr id="22" name="Picture 22" descr="A graph of a mark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raph of a market&#10;&#10;Description automatically generated with medium confidence"/>
                    <pic:cNvPicPr/>
                  </pic:nvPicPr>
                  <pic:blipFill>
                    <a:blip r:embed="rId32">
                      <a:extLst>
                        <a:ext uri="{28A0092B-C50C-407E-A947-70E740481C1C}">
                          <a14:useLocalDpi xmlns:a14="http://schemas.microsoft.com/office/drawing/2010/main" val="0"/>
                        </a:ext>
                      </a:extLst>
                    </a:blip>
                    <a:stretch>
                      <a:fillRect/>
                    </a:stretch>
                  </pic:blipFill>
                  <pic:spPr>
                    <a:xfrm>
                      <a:off x="0" y="0"/>
                      <a:ext cx="5731510" cy="3074670"/>
                    </a:xfrm>
                    <a:prstGeom prst="rect">
                      <a:avLst/>
                    </a:prstGeom>
                  </pic:spPr>
                </pic:pic>
              </a:graphicData>
            </a:graphic>
          </wp:inline>
        </w:drawing>
      </w:r>
    </w:p>
    <w:p w14:paraId="66E247E6" w14:textId="36280385" w:rsidR="009A0198" w:rsidRPr="0072000B" w:rsidRDefault="009A0198" w:rsidP="009A0198">
      <w:pPr>
        <w:contextualSpacing/>
        <w:rPr>
          <w:noProof/>
          <w:sz w:val="20"/>
          <w:szCs w:val="20"/>
        </w:rPr>
      </w:pPr>
      <w:r w:rsidRPr="00A87F59">
        <w:rPr>
          <w:i/>
          <w:iCs/>
          <w:noProof/>
          <w:sz w:val="20"/>
          <w:szCs w:val="20"/>
        </w:rPr>
        <w:t>Source:</w:t>
      </w:r>
      <w:r w:rsidRPr="0072000B">
        <w:rPr>
          <w:noProof/>
          <w:sz w:val="20"/>
          <w:szCs w:val="20"/>
        </w:rPr>
        <w:t xml:space="preserve"> European Commission based on data</w:t>
      </w:r>
      <w:r>
        <w:rPr>
          <w:noProof/>
          <w:sz w:val="20"/>
          <w:szCs w:val="20"/>
        </w:rPr>
        <w:t xml:space="preserve"> of the </w:t>
      </w:r>
      <w:r w:rsidRPr="00160C1F">
        <w:rPr>
          <w:noProof/>
          <w:sz w:val="20"/>
          <w:szCs w:val="20"/>
        </w:rPr>
        <w:t>EFC Sub</w:t>
      </w:r>
      <w:r w:rsidR="001672C7">
        <w:rPr>
          <w:noProof/>
          <w:sz w:val="20"/>
          <w:szCs w:val="20"/>
        </w:rPr>
        <w:t>c</w:t>
      </w:r>
      <w:r w:rsidRPr="00160C1F">
        <w:rPr>
          <w:noProof/>
          <w:sz w:val="20"/>
          <w:szCs w:val="20"/>
        </w:rPr>
        <w:t xml:space="preserve">ommittee </w:t>
      </w:r>
      <w:r>
        <w:rPr>
          <w:noProof/>
          <w:sz w:val="20"/>
          <w:szCs w:val="20"/>
        </w:rPr>
        <w:t>o</w:t>
      </w:r>
      <w:r w:rsidRPr="00160C1F">
        <w:rPr>
          <w:noProof/>
          <w:sz w:val="20"/>
          <w:szCs w:val="20"/>
        </w:rPr>
        <w:t>n EU Sovereign Debt Markets (ESDM)</w:t>
      </w:r>
      <w:r w:rsidRPr="0072000B">
        <w:rPr>
          <w:noProof/>
          <w:sz w:val="20"/>
          <w:szCs w:val="20"/>
        </w:rPr>
        <w:t xml:space="preserve">. </w:t>
      </w:r>
    </w:p>
    <w:p w14:paraId="5574A62A" w14:textId="2296259C" w:rsidR="009A0198" w:rsidRPr="0072000B" w:rsidRDefault="009A0198" w:rsidP="009A0198">
      <w:pPr>
        <w:contextualSpacing/>
        <w:rPr>
          <w:noProof/>
          <w:sz w:val="20"/>
          <w:szCs w:val="20"/>
        </w:rPr>
      </w:pPr>
      <w:r w:rsidRPr="0072000B">
        <w:rPr>
          <w:noProof/>
          <w:sz w:val="20"/>
          <w:szCs w:val="20"/>
        </w:rPr>
        <w:t xml:space="preserve">Note: European government bond (EGB) market here comprises euro-area sovereigns, the European Financial Stability Fund and the European Stability Mechanism. Data </w:t>
      </w:r>
      <w:r w:rsidR="001672C7">
        <w:rPr>
          <w:noProof/>
          <w:sz w:val="20"/>
          <w:szCs w:val="20"/>
        </w:rPr>
        <w:t>are</w:t>
      </w:r>
      <w:r w:rsidRPr="0072000B">
        <w:rPr>
          <w:noProof/>
          <w:sz w:val="20"/>
          <w:szCs w:val="20"/>
        </w:rPr>
        <w:t xml:space="preserve"> not </w:t>
      </w:r>
      <w:r w:rsidR="00E811A6">
        <w:rPr>
          <w:noProof/>
          <w:sz w:val="20"/>
          <w:szCs w:val="20"/>
        </w:rPr>
        <w:t xml:space="preserve">yet </w:t>
      </w:r>
      <w:r w:rsidRPr="0072000B">
        <w:rPr>
          <w:noProof/>
          <w:sz w:val="20"/>
          <w:szCs w:val="20"/>
        </w:rPr>
        <w:t>available for Q</w:t>
      </w:r>
      <w:r>
        <w:rPr>
          <w:noProof/>
          <w:sz w:val="20"/>
          <w:szCs w:val="20"/>
        </w:rPr>
        <w:t>4</w:t>
      </w:r>
      <w:r w:rsidRPr="0072000B">
        <w:rPr>
          <w:noProof/>
          <w:sz w:val="20"/>
          <w:szCs w:val="20"/>
        </w:rPr>
        <w:t xml:space="preserve"> 2023.</w:t>
      </w:r>
    </w:p>
    <w:p w14:paraId="705365E0" w14:textId="77777777" w:rsidR="001D446D" w:rsidRPr="000123E4" w:rsidRDefault="001D446D" w:rsidP="001D446D">
      <w:pPr>
        <w:rPr>
          <w:bCs/>
          <w:noProof/>
        </w:rPr>
      </w:pPr>
    </w:p>
    <w:p w14:paraId="0260D5D1" w14:textId="1D8DEE60" w:rsidR="00E81087" w:rsidRPr="00A87F59" w:rsidRDefault="00DB3549" w:rsidP="00A87F59">
      <w:pPr>
        <w:pStyle w:val="Heading1"/>
        <w:rPr>
          <w:noProof/>
        </w:rPr>
      </w:pPr>
      <w:bookmarkStart w:id="20" w:name="_Toc158284856"/>
      <w:r w:rsidRPr="00A87F59">
        <w:rPr>
          <w:noProof/>
        </w:rPr>
        <w:t>C</w:t>
      </w:r>
      <w:r w:rsidR="00330D09" w:rsidRPr="00A87F59">
        <w:rPr>
          <w:noProof/>
        </w:rPr>
        <w:t>ost</w:t>
      </w:r>
      <w:r w:rsidR="00B7261C" w:rsidRPr="00A87F59">
        <w:rPr>
          <w:noProof/>
        </w:rPr>
        <w:t xml:space="preserve"> of funding</w:t>
      </w:r>
      <w:r w:rsidR="00763ACD" w:rsidRPr="00A87F59">
        <w:rPr>
          <w:noProof/>
        </w:rPr>
        <w:t xml:space="preserve"> and</w:t>
      </w:r>
      <w:r w:rsidR="00E922DF" w:rsidRPr="00A87F59">
        <w:rPr>
          <w:noProof/>
        </w:rPr>
        <w:t xml:space="preserve"> liquidity</w:t>
      </w:r>
      <w:r w:rsidR="00763ACD" w:rsidRPr="00A87F59">
        <w:rPr>
          <w:noProof/>
        </w:rPr>
        <w:t xml:space="preserve"> balances</w:t>
      </w:r>
      <w:bookmarkEnd w:id="20"/>
    </w:p>
    <w:p w14:paraId="6EB8EACA" w14:textId="2859BED3" w:rsidR="001D0900" w:rsidRPr="007B6993" w:rsidRDefault="001D0900" w:rsidP="00A87F59">
      <w:pPr>
        <w:pStyle w:val="Heading2"/>
        <w:rPr>
          <w:noProof/>
          <w:lang w:val="en-GB"/>
        </w:rPr>
      </w:pPr>
      <w:r w:rsidRPr="007B6993">
        <w:rPr>
          <w:noProof/>
          <w:lang w:val="en-GB"/>
        </w:rPr>
        <w:t>Cost of funding</w:t>
      </w:r>
    </w:p>
    <w:p w14:paraId="0172579C" w14:textId="77777777" w:rsidR="007B6993" w:rsidRDefault="007B6993" w:rsidP="007B6993">
      <w:pPr>
        <w:rPr>
          <w:noProof/>
          <w:lang w:val="en-GB"/>
        </w:rPr>
      </w:pPr>
      <w:r w:rsidRPr="004C2992">
        <w:rPr>
          <w:noProof/>
          <w:lang w:val="en-GB"/>
        </w:rPr>
        <w:t>In the second half of 2023, interest costs increased in line with general market conditions. The cost of funding</w:t>
      </w:r>
      <w:r w:rsidRPr="00370471">
        <w:rPr>
          <w:noProof/>
          <w:vertAlign w:val="superscript"/>
          <w:lang w:val="en-GB"/>
        </w:rPr>
        <w:footnoteReference w:id="10"/>
      </w:r>
      <w:r w:rsidRPr="00370471">
        <w:rPr>
          <w:noProof/>
          <w:vertAlign w:val="superscript"/>
          <w:lang w:val="en-GB"/>
        </w:rPr>
        <w:t xml:space="preserve"> </w:t>
      </w:r>
      <w:r w:rsidRPr="004C2992">
        <w:rPr>
          <w:noProof/>
          <w:lang w:val="en-GB"/>
        </w:rPr>
        <w:t>for July to December 2023 is estimated to be close to 3.6%, compared to 3.2% in the previous semester.</w:t>
      </w:r>
    </w:p>
    <w:p w14:paraId="769BE625" w14:textId="4F095E95" w:rsidR="00EF6F31" w:rsidRDefault="00EF6F31" w:rsidP="007B6993">
      <w:pPr>
        <w:rPr>
          <w:b/>
          <w:bCs/>
          <w:noProof/>
          <w:color w:val="034EA2" w:themeColor="accent1"/>
          <w:lang w:val="en-GB"/>
        </w:rPr>
      </w:pPr>
      <w:r w:rsidRPr="00B4643F">
        <w:rPr>
          <w:b/>
          <w:bCs/>
          <w:noProof/>
          <w:color w:val="034EA2" w:themeColor="accent1"/>
          <w:lang w:val="en-GB"/>
        </w:rPr>
        <w:t>Chart 5: Cost of funding over time</w:t>
      </w:r>
    </w:p>
    <w:tbl>
      <w:tblPr>
        <w:tblStyle w:val="TableGrid"/>
        <w:tblW w:w="9205"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1"/>
        <w:gridCol w:w="1841"/>
        <w:gridCol w:w="1841"/>
        <w:gridCol w:w="1841"/>
        <w:gridCol w:w="1841"/>
      </w:tblGrid>
      <w:tr w:rsidR="00906359" w:rsidRPr="00B74A66" w14:paraId="34967047" w14:textId="77777777" w:rsidTr="00391716">
        <w:trPr>
          <w:trHeight w:val="415"/>
        </w:trPr>
        <w:tc>
          <w:tcPr>
            <w:tcW w:w="1841" w:type="dxa"/>
            <w:shd w:val="clear" w:color="auto" w:fill="034EA2" w:themeFill="accent1"/>
            <w:vAlign w:val="center"/>
            <w:hideMark/>
          </w:tcPr>
          <w:p w14:paraId="5C0F100C" w14:textId="77777777" w:rsidR="00906359" w:rsidRPr="00B74A66" w:rsidRDefault="00906359" w:rsidP="008A34F5">
            <w:pPr>
              <w:jc w:val="center"/>
              <w:rPr>
                <w:b/>
                <w:bCs/>
                <w:noProof/>
                <w:color w:val="FFFFFF" w:themeColor="background1"/>
              </w:rPr>
            </w:pPr>
            <w:r w:rsidRPr="00B74A66">
              <w:rPr>
                <w:b/>
                <w:bCs/>
                <w:noProof/>
                <w:color w:val="FFFFFF" w:themeColor="background1"/>
              </w:rPr>
              <w:t>H2 2021</w:t>
            </w:r>
          </w:p>
        </w:tc>
        <w:tc>
          <w:tcPr>
            <w:tcW w:w="1841" w:type="dxa"/>
            <w:shd w:val="clear" w:color="auto" w:fill="034EA2" w:themeFill="accent1"/>
            <w:vAlign w:val="center"/>
            <w:hideMark/>
          </w:tcPr>
          <w:p w14:paraId="48E77872" w14:textId="77777777" w:rsidR="00906359" w:rsidRPr="00B74A66" w:rsidRDefault="00906359" w:rsidP="008A34F5">
            <w:pPr>
              <w:jc w:val="center"/>
              <w:rPr>
                <w:b/>
                <w:bCs/>
                <w:noProof/>
                <w:color w:val="FFFFFF" w:themeColor="background1"/>
              </w:rPr>
            </w:pPr>
            <w:r w:rsidRPr="00B74A66">
              <w:rPr>
                <w:b/>
                <w:bCs/>
                <w:noProof/>
                <w:color w:val="FFFFFF" w:themeColor="background1"/>
              </w:rPr>
              <w:t>H1 2022</w:t>
            </w:r>
          </w:p>
        </w:tc>
        <w:tc>
          <w:tcPr>
            <w:tcW w:w="1841" w:type="dxa"/>
            <w:shd w:val="clear" w:color="auto" w:fill="034EA2" w:themeFill="accent1"/>
            <w:vAlign w:val="center"/>
            <w:hideMark/>
          </w:tcPr>
          <w:p w14:paraId="73049051" w14:textId="77777777" w:rsidR="00906359" w:rsidRPr="00B74A66" w:rsidRDefault="00906359" w:rsidP="008A34F5">
            <w:pPr>
              <w:jc w:val="center"/>
              <w:rPr>
                <w:b/>
                <w:bCs/>
                <w:noProof/>
                <w:color w:val="FFFFFF" w:themeColor="background1"/>
              </w:rPr>
            </w:pPr>
            <w:r w:rsidRPr="00B74A66">
              <w:rPr>
                <w:b/>
                <w:bCs/>
                <w:noProof/>
                <w:color w:val="FFFFFF" w:themeColor="background1"/>
              </w:rPr>
              <w:t>H2 2022</w:t>
            </w:r>
          </w:p>
        </w:tc>
        <w:tc>
          <w:tcPr>
            <w:tcW w:w="1841" w:type="dxa"/>
            <w:shd w:val="clear" w:color="auto" w:fill="034EA2" w:themeFill="accent1"/>
            <w:vAlign w:val="center"/>
            <w:hideMark/>
          </w:tcPr>
          <w:p w14:paraId="11216AA4" w14:textId="77777777" w:rsidR="00906359" w:rsidRPr="00B74A66" w:rsidRDefault="00906359" w:rsidP="008A34F5">
            <w:pPr>
              <w:jc w:val="center"/>
              <w:rPr>
                <w:b/>
                <w:bCs/>
                <w:noProof/>
                <w:color w:val="FFFFFF" w:themeColor="background1"/>
              </w:rPr>
            </w:pPr>
            <w:r w:rsidRPr="00B74A66">
              <w:rPr>
                <w:b/>
                <w:bCs/>
                <w:noProof/>
                <w:color w:val="FFFFFF" w:themeColor="background1"/>
              </w:rPr>
              <w:t>H1 2023</w:t>
            </w:r>
          </w:p>
        </w:tc>
        <w:tc>
          <w:tcPr>
            <w:tcW w:w="1841" w:type="dxa"/>
            <w:shd w:val="clear" w:color="auto" w:fill="034EA2" w:themeFill="accent1"/>
            <w:vAlign w:val="center"/>
            <w:hideMark/>
          </w:tcPr>
          <w:p w14:paraId="4A04C8C1" w14:textId="77777777" w:rsidR="00906359" w:rsidRPr="00B74A66" w:rsidRDefault="00906359" w:rsidP="008A34F5">
            <w:pPr>
              <w:jc w:val="center"/>
              <w:rPr>
                <w:b/>
                <w:bCs/>
                <w:noProof/>
                <w:color w:val="FFFFFF" w:themeColor="background1"/>
              </w:rPr>
            </w:pPr>
            <w:r w:rsidRPr="00B74A66">
              <w:rPr>
                <w:b/>
                <w:bCs/>
                <w:noProof/>
                <w:color w:val="FFFFFF" w:themeColor="background1"/>
              </w:rPr>
              <w:t>H2 2023</w:t>
            </w:r>
          </w:p>
        </w:tc>
      </w:tr>
      <w:tr w:rsidR="00906359" w:rsidRPr="00B74A66" w14:paraId="7F2149EF" w14:textId="77777777" w:rsidTr="00391716">
        <w:trPr>
          <w:trHeight w:val="415"/>
        </w:trPr>
        <w:tc>
          <w:tcPr>
            <w:tcW w:w="1841" w:type="dxa"/>
            <w:vAlign w:val="center"/>
            <w:hideMark/>
          </w:tcPr>
          <w:p w14:paraId="0A5E174F" w14:textId="77777777" w:rsidR="00906359" w:rsidRPr="00B74A66" w:rsidRDefault="00906359" w:rsidP="008A34F5">
            <w:pPr>
              <w:jc w:val="center"/>
              <w:rPr>
                <w:noProof/>
                <w:color w:val="3B3838" w:themeColor="background2" w:themeShade="40"/>
              </w:rPr>
            </w:pPr>
            <w:r w:rsidRPr="00B74A66">
              <w:rPr>
                <w:noProof/>
                <w:color w:val="3B3838" w:themeColor="background2" w:themeShade="40"/>
              </w:rPr>
              <w:t>0.14%</w:t>
            </w:r>
          </w:p>
        </w:tc>
        <w:tc>
          <w:tcPr>
            <w:tcW w:w="1841" w:type="dxa"/>
            <w:vAlign w:val="center"/>
            <w:hideMark/>
          </w:tcPr>
          <w:p w14:paraId="56B0D810" w14:textId="77777777" w:rsidR="00906359" w:rsidRPr="00B74A66" w:rsidRDefault="00906359" w:rsidP="008A34F5">
            <w:pPr>
              <w:jc w:val="center"/>
              <w:rPr>
                <w:noProof/>
                <w:color w:val="3B3838" w:themeColor="background2" w:themeShade="40"/>
              </w:rPr>
            </w:pPr>
            <w:r w:rsidRPr="00B74A66">
              <w:rPr>
                <w:noProof/>
                <w:color w:val="3B3838" w:themeColor="background2" w:themeShade="40"/>
              </w:rPr>
              <w:t>1.16%</w:t>
            </w:r>
          </w:p>
        </w:tc>
        <w:tc>
          <w:tcPr>
            <w:tcW w:w="1841" w:type="dxa"/>
            <w:vAlign w:val="center"/>
            <w:hideMark/>
          </w:tcPr>
          <w:p w14:paraId="595DB7A6" w14:textId="77777777" w:rsidR="00906359" w:rsidRPr="00B74A66" w:rsidRDefault="00906359" w:rsidP="008A34F5">
            <w:pPr>
              <w:jc w:val="center"/>
              <w:rPr>
                <w:noProof/>
                <w:color w:val="3B3838" w:themeColor="background2" w:themeShade="40"/>
              </w:rPr>
            </w:pPr>
            <w:r w:rsidRPr="00B74A66">
              <w:rPr>
                <w:noProof/>
                <w:color w:val="3B3838" w:themeColor="background2" w:themeShade="40"/>
              </w:rPr>
              <w:t>2.51%</w:t>
            </w:r>
          </w:p>
        </w:tc>
        <w:tc>
          <w:tcPr>
            <w:tcW w:w="1841" w:type="dxa"/>
            <w:vAlign w:val="center"/>
            <w:hideMark/>
          </w:tcPr>
          <w:p w14:paraId="7B5B5356" w14:textId="77777777" w:rsidR="00906359" w:rsidRPr="00B74A66" w:rsidRDefault="00906359" w:rsidP="008A34F5">
            <w:pPr>
              <w:jc w:val="center"/>
              <w:rPr>
                <w:noProof/>
                <w:color w:val="3B3838" w:themeColor="background2" w:themeShade="40"/>
              </w:rPr>
            </w:pPr>
            <w:r w:rsidRPr="00B74A66">
              <w:rPr>
                <w:noProof/>
                <w:color w:val="3B3838" w:themeColor="background2" w:themeShade="40"/>
              </w:rPr>
              <w:t>3.20%</w:t>
            </w:r>
          </w:p>
        </w:tc>
        <w:tc>
          <w:tcPr>
            <w:tcW w:w="1841" w:type="dxa"/>
            <w:vAlign w:val="center"/>
            <w:hideMark/>
          </w:tcPr>
          <w:p w14:paraId="799909FE" w14:textId="77777777" w:rsidR="00906359" w:rsidRPr="00B74A66" w:rsidRDefault="00906359" w:rsidP="008A34F5">
            <w:pPr>
              <w:jc w:val="center"/>
              <w:rPr>
                <w:noProof/>
                <w:color w:val="3B3838" w:themeColor="background2" w:themeShade="40"/>
              </w:rPr>
            </w:pPr>
            <w:r w:rsidRPr="00B74A66">
              <w:rPr>
                <w:noProof/>
                <w:color w:val="3B3838" w:themeColor="background2" w:themeShade="40"/>
              </w:rPr>
              <w:t>3.56%</w:t>
            </w:r>
          </w:p>
        </w:tc>
      </w:tr>
    </w:tbl>
    <w:p w14:paraId="0B44737C" w14:textId="77777777" w:rsidR="00906359" w:rsidRPr="00A87F59" w:rsidRDefault="00906359" w:rsidP="007B6993">
      <w:pPr>
        <w:rPr>
          <w:b/>
          <w:bCs/>
          <w:noProof/>
          <w:color w:val="034EA2" w:themeColor="accent1"/>
          <w:lang w:val="en-GB"/>
        </w:rPr>
      </w:pPr>
    </w:p>
    <w:p w14:paraId="1A97B645" w14:textId="49638A39" w:rsidR="007B6993" w:rsidRPr="007B6993" w:rsidRDefault="007B6993" w:rsidP="007B6993">
      <w:pPr>
        <w:rPr>
          <w:noProof/>
          <w:lang w:val="en-GB"/>
        </w:rPr>
      </w:pPr>
      <w:r w:rsidRPr="007B6993">
        <w:rPr>
          <w:noProof/>
          <w:lang w:val="en-GB"/>
        </w:rPr>
        <w:t>While inflation has slowed materially from its peak of above 10% in October 2022, inflation</w:t>
      </w:r>
      <w:r w:rsidR="00C54A27">
        <w:rPr>
          <w:noProof/>
          <w:lang w:val="en-GB"/>
        </w:rPr>
        <w:t>ary pressures</w:t>
      </w:r>
      <w:r w:rsidR="00280E09">
        <w:rPr>
          <w:noProof/>
          <w:lang w:val="en-GB"/>
        </w:rPr>
        <w:t xml:space="preserve"> remained sticky</w:t>
      </w:r>
      <w:r w:rsidR="002101E7">
        <w:rPr>
          <w:noProof/>
          <w:lang w:val="en-GB"/>
        </w:rPr>
        <w:t xml:space="preserve">. Until October 2023, </w:t>
      </w:r>
      <w:r w:rsidRPr="007B6993">
        <w:rPr>
          <w:noProof/>
          <w:lang w:val="en-GB"/>
        </w:rPr>
        <w:t xml:space="preserve">market expectations </w:t>
      </w:r>
      <w:r w:rsidR="002101E7">
        <w:rPr>
          <w:noProof/>
          <w:lang w:val="en-GB"/>
        </w:rPr>
        <w:t>leaned heavily towards further rate increases</w:t>
      </w:r>
      <w:r w:rsidR="00280E09">
        <w:rPr>
          <w:noProof/>
          <w:lang w:val="en-GB"/>
        </w:rPr>
        <w:t xml:space="preserve">, leading </w:t>
      </w:r>
      <w:r w:rsidR="00B57748" w:rsidRPr="00280E09">
        <w:rPr>
          <w:noProof/>
          <w:lang w:val="en-GB"/>
        </w:rPr>
        <w:t>in the third quarter of 2023</w:t>
      </w:r>
      <w:r w:rsidRPr="00280E09">
        <w:rPr>
          <w:noProof/>
          <w:lang w:val="en-GB"/>
        </w:rPr>
        <w:t xml:space="preserve"> to</w:t>
      </w:r>
      <w:r w:rsidRPr="007B6993">
        <w:rPr>
          <w:noProof/>
          <w:lang w:val="en-GB"/>
        </w:rPr>
        <w:t xml:space="preserve"> </w:t>
      </w:r>
      <w:r w:rsidR="002101E7">
        <w:rPr>
          <w:noProof/>
          <w:lang w:val="en-GB"/>
        </w:rPr>
        <w:t>higher issuance costs for the EU along with all other issuers.</w:t>
      </w:r>
    </w:p>
    <w:p w14:paraId="49382A31" w14:textId="6BB66BEC" w:rsidR="007B6993" w:rsidRPr="004C2992" w:rsidRDefault="007B6993" w:rsidP="007B6993">
      <w:pPr>
        <w:rPr>
          <w:noProof/>
          <w:lang w:val="en-GB"/>
        </w:rPr>
      </w:pPr>
      <w:r w:rsidRPr="007B6993">
        <w:rPr>
          <w:noProof/>
          <w:lang w:val="en-GB"/>
        </w:rPr>
        <w:t>These developments led</w:t>
      </w:r>
      <w:r w:rsidR="00B57748">
        <w:rPr>
          <w:noProof/>
          <w:lang w:val="en-GB"/>
        </w:rPr>
        <w:t xml:space="preserve"> </w:t>
      </w:r>
      <w:r w:rsidRPr="007B6993">
        <w:rPr>
          <w:noProof/>
          <w:lang w:val="en-GB"/>
        </w:rPr>
        <w:t>to a steepening of government bond yield curves</w:t>
      </w:r>
      <w:r w:rsidR="00C54A27">
        <w:rPr>
          <w:noProof/>
          <w:lang w:val="en-GB"/>
        </w:rPr>
        <w:t xml:space="preserve">, reaching </w:t>
      </w:r>
      <w:r w:rsidRPr="007B6993">
        <w:rPr>
          <w:noProof/>
          <w:lang w:val="en-GB"/>
        </w:rPr>
        <w:t>post-2011 highs</w:t>
      </w:r>
      <w:r w:rsidR="00C54A27">
        <w:rPr>
          <w:noProof/>
          <w:lang w:val="en-GB"/>
        </w:rPr>
        <w:t xml:space="preserve"> in </w:t>
      </w:r>
      <w:r w:rsidR="00C54A27" w:rsidRPr="00280E09">
        <w:rPr>
          <w:noProof/>
          <w:lang w:val="en-GB"/>
        </w:rPr>
        <w:t>October 2023:</w:t>
      </w:r>
      <w:r w:rsidRPr="007B6993">
        <w:rPr>
          <w:noProof/>
          <w:lang w:val="en-GB"/>
        </w:rPr>
        <w:t xml:space="preserve"> above 3% for German 10-year bonds, above 3.5% for French 10-year bonds, and close to 5% for Italian 10-year bonds. </w:t>
      </w:r>
      <w:r w:rsidRPr="004C2992">
        <w:rPr>
          <w:noProof/>
          <w:lang w:val="en-GB"/>
        </w:rPr>
        <w:t xml:space="preserve">The spread </w:t>
      </w:r>
      <w:r w:rsidR="00406FC4">
        <w:rPr>
          <w:noProof/>
          <w:lang w:val="en-GB"/>
        </w:rPr>
        <w:t>between</w:t>
      </w:r>
      <w:r w:rsidRPr="004C2992">
        <w:rPr>
          <w:noProof/>
          <w:lang w:val="en-GB"/>
        </w:rPr>
        <w:t xml:space="preserve"> 10-year EU-Bonds </w:t>
      </w:r>
      <w:r w:rsidR="00406FC4">
        <w:rPr>
          <w:noProof/>
          <w:lang w:val="en-GB"/>
        </w:rPr>
        <w:t>and</w:t>
      </w:r>
      <w:r w:rsidRPr="004C2992">
        <w:rPr>
          <w:noProof/>
          <w:lang w:val="en-GB"/>
        </w:rPr>
        <w:t xml:space="preserve"> </w:t>
      </w:r>
      <w:r w:rsidR="00D9017F">
        <w:rPr>
          <w:noProof/>
          <w:lang w:val="en-GB"/>
        </w:rPr>
        <w:br/>
      </w:r>
      <w:r w:rsidRPr="004C2992">
        <w:rPr>
          <w:noProof/>
          <w:lang w:val="en-GB"/>
        </w:rPr>
        <w:t>10-year German b</w:t>
      </w:r>
      <w:r w:rsidR="00280E09">
        <w:rPr>
          <w:noProof/>
          <w:lang w:val="en-GB"/>
        </w:rPr>
        <w:t>onds</w:t>
      </w:r>
      <w:r w:rsidRPr="004C2992">
        <w:rPr>
          <w:noProof/>
          <w:lang w:val="en-GB"/>
        </w:rPr>
        <w:t xml:space="preserve"> remained relatively stable</w:t>
      </w:r>
      <w:r w:rsidR="00406FC4">
        <w:rPr>
          <w:noProof/>
          <w:lang w:val="en-GB"/>
        </w:rPr>
        <w:t xml:space="preserve"> throughout the second half of 2023</w:t>
      </w:r>
      <w:r w:rsidRPr="004C2992">
        <w:rPr>
          <w:noProof/>
          <w:lang w:val="en-GB"/>
        </w:rPr>
        <w:t>, ending the year</w:t>
      </w:r>
      <w:r w:rsidR="00406FC4">
        <w:rPr>
          <w:noProof/>
          <w:lang w:val="en-GB"/>
        </w:rPr>
        <w:t xml:space="preserve"> at</w:t>
      </w:r>
      <w:r w:rsidRPr="004C2992">
        <w:rPr>
          <w:noProof/>
          <w:lang w:val="en-GB"/>
        </w:rPr>
        <w:t xml:space="preserve"> close to 73 basis points</w:t>
      </w:r>
      <w:r w:rsidRPr="007B6993">
        <w:rPr>
          <w:noProof/>
          <w:lang w:val="en-GB"/>
        </w:rPr>
        <w:t xml:space="preserve"> (compared to </w:t>
      </w:r>
      <w:r w:rsidRPr="004C2992">
        <w:rPr>
          <w:noProof/>
          <w:lang w:val="en-GB"/>
        </w:rPr>
        <w:t>68 basis points at 30 July 2023</w:t>
      </w:r>
      <w:r w:rsidRPr="007B6993">
        <w:rPr>
          <w:noProof/>
          <w:lang w:val="en-GB"/>
        </w:rPr>
        <w:t>),</w:t>
      </w:r>
      <w:r w:rsidRPr="004C2992">
        <w:rPr>
          <w:noProof/>
          <w:lang w:val="en-GB"/>
        </w:rPr>
        <w:t xml:space="preserve"> down from a peak of 81 basis points in October 2023.</w:t>
      </w:r>
      <w:r w:rsidR="00C54A27">
        <w:rPr>
          <w:noProof/>
          <w:lang w:val="en-GB"/>
        </w:rPr>
        <w:t xml:space="preserve"> </w:t>
      </w:r>
      <w:r w:rsidR="00406FC4">
        <w:rPr>
          <w:noProof/>
          <w:lang w:val="en-GB"/>
        </w:rPr>
        <w:t>R</w:t>
      </w:r>
      <w:r w:rsidR="00C54A27" w:rsidRPr="001B5135">
        <w:rPr>
          <w:noProof/>
          <w:lang w:val="en-GB"/>
        </w:rPr>
        <w:t>isk-</w:t>
      </w:r>
      <w:r w:rsidR="002101E7">
        <w:rPr>
          <w:noProof/>
          <w:lang w:val="en-GB"/>
        </w:rPr>
        <w:t>averse market</w:t>
      </w:r>
      <w:r w:rsidR="00C54A27" w:rsidRPr="001B5135">
        <w:rPr>
          <w:noProof/>
          <w:lang w:val="en-GB"/>
        </w:rPr>
        <w:t xml:space="preserve"> sentiment in the middle of the </w:t>
      </w:r>
      <w:r w:rsidR="00C54A27" w:rsidRPr="00F4441B">
        <w:rPr>
          <w:noProof/>
          <w:lang w:val="en-GB"/>
        </w:rPr>
        <w:t xml:space="preserve">semester </w:t>
      </w:r>
      <w:r w:rsidR="002101E7">
        <w:rPr>
          <w:noProof/>
          <w:lang w:val="en-GB"/>
        </w:rPr>
        <w:t xml:space="preserve">led investors to pursue conservative investment policies, favouring </w:t>
      </w:r>
      <w:r w:rsidR="00C54A27" w:rsidRPr="00F4441B">
        <w:rPr>
          <w:noProof/>
          <w:lang w:val="en-GB"/>
        </w:rPr>
        <w:t>E</w:t>
      </w:r>
      <w:r w:rsidR="00F377B8">
        <w:rPr>
          <w:noProof/>
          <w:lang w:val="en-GB"/>
        </w:rPr>
        <w:t>GBs</w:t>
      </w:r>
      <w:r w:rsidR="00280E09" w:rsidRPr="00F4441B">
        <w:rPr>
          <w:noProof/>
          <w:lang w:val="en-GB"/>
        </w:rPr>
        <w:t xml:space="preserve"> </w:t>
      </w:r>
      <w:r w:rsidR="002101E7">
        <w:rPr>
          <w:noProof/>
          <w:lang w:val="en-GB"/>
        </w:rPr>
        <w:t xml:space="preserve">relative to </w:t>
      </w:r>
      <w:r w:rsidR="00C74AA7" w:rsidRPr="00F4441B">
        <w:rPr>
          <w:noProof/>
          <w:lang w:val="en-GB"/>
        </w:rPr>
        <w:t xml:space="preserve">EU-Bonds and </w:t>
      </w:r>
      <w:r w:rsidR="00C54A27" w:rsidRPr="00F4441B">
        <w:rPr>
          <w:noProof/>
          <w:lang w:val="en-GB"/>
        </w:rPr>
        <w:t>other sub-sovereign or supranational bonds</w:t>
      </w:r>
      <w:r w:rsidR="00C54A27" w:rsidRPr="00BF28AB">
        <w:rPr>
          <w:noProof/>
          <w:lang w:val="en-GB"/>
        </w:rPr>
        <w:t xml:space="preserve"> (SSA) </w:t>
      </w:r>
      <w:r w:rsidR="00C54A27">
        <w:rPr>
          <w:noProof/>
          <w:lang w:val="en-GB"/>
        </w:rPr>
        <w:t>issuers.</w:t>
      </w:r>
      <w:r w:rsidR="006115E1">
        <w:rPr>
          <w:noProof/>
          <w:lang w:val="en-GB"/>
        </w:rPr>
        <w:t xml:space="preserve"> </w:t>
      </w:r>
      <w:r w:rsidR="002101E7">
        <w:rPr>
          <w:noProof/>
          <w:lang w:val="en-GB"/>
        </w:rPr>
        <w:t xml:space="preserve">This led to a widening of spreads between EU-Bonds and the most liquid core EGBs, even though this does not reflect the fundamentals (credit quality, liquidity, volume and regularity) of the EU-Bond issuance programme. The Commission is undertaking sustained action </w:t>
      </w:r>
      <w:r w:rsidR="006115E1">
        <w:rPr>
          <w:noProof/>
          <w:lang w:val="en-GB"/>
        </w:rPr>
        <w:t xml:space="preserve">to encourage markets to price EU-Bonds more </w:t>
      </w:r>
      <w:r w:rsidR="008A34F5">
        <w:rPr>
          <w:noProof/>
          <w:lang w:val="en-GB"/>
        </w:rPr>
        <w:br/>
      </w:r>
      <w:r w:rsidR="006115E1">
        <w:rPr>
          <w:noProof/>
          <w:lang w:val="en-GB"/>
        </w:rPr>
        <w:t>in line with</w:t>
      </w:r>
      <w:r w:rsidR="002101E7">
        <w:rPr>
          <w:noProof/>
          <w:lang w:val="en-GB"/>
        </w:rPr>
        <w:t xml:space="preserve"> these underlying characteristics of the programme</w:t>
      </w:r>
      <w:r w:rsidR="00B636F0">
        <w:rPr>
          <w:noProof/>
          <w:lang w:val="en-GB"/>
        </w:rPr>
        <w:t xml:space="preserve"> </w:t>
      </w:r>
      <w:r w:rsidR="006115E1">
        <w:rPr>
          <w:noProof/>
          <w:lang w:val="en-GB"/>
        </w:rPr>
        <w:t xml:space="preserve">(see Section </w:t>
      </w:r>
      <w:r w:rsidR="006115E1">
        <w:rPr>
          <w:noProof/>
          <w:lang w:val="en-GB"/>
        </w:rPr>
        <w:fldChar w:fldCharType="begin"/>
      </w:r>
      <w:r w:rsidR="006115E1">
        <w:rPr>
          <w:noProof/>
          <w:lang w:val="en-GB"/>
        </w:rPr>
        <w:instrText xml:space="preserve"> REF _Ref155257759 \r \h </w:instrText>
      </w:r>
      <w:r w:rsidR="006115E1">
        <w:rPr>
          <w:noProof/>
          <w:lang w:val="en-GB"/>
        </w:rPr>
      </w:r>
      <w:r w:rsidR="006115E1">
        <w:rPr>
          <w:noProof/>
          <w:lang w:val="en-GB"/>
        </w:rPr>
        <w:fldChar w:fldCharType="separate"/>
      </w:r>
      <w:r w:rsidR="009B2063">
        <w:rPr>
          <w:noProof/>
          <w:lang w:val="en-GB"/>
        </w:rPr>
        <w:t>4</w:t>
      </w:r>
      <w:r w:rsidR="006115E1">
        <w:rPr>
          <w:noProof/>
          <w:lang w:val="en-GB"/>
        </w:rPr>
        <w:fldChar w:fldCharType="end"/>
      </w:r>
      <w:r w:rsidR="006115E1">
        <w:rPr>
          <w:noProof/>
          <w:lang w:val="en-GB"/>
        </w:rPr>
        <w:t xml:space="preserve">). </w:t>
      </w:r>
    </w:p>
    <w:p w14:paraId="0AB776D4" w14:textId="3F8A7492" w:rsidR="007B6993" w:rsidRPr="00BF28AB" w:rsidRDefault="007B6993" w:rsidP="007B6993">
      <w:pPr>
        <w:rPr>
          <w:noProof/>
          <w:lang w:val="en-GB"/>
        </w:rPr>
      </w:pPr>
      <w:bookmarkStart w:id="21" w:name="_Hlk156320689"/>
      <w:r w:rsidRPr="00BF28AB">
        <w:rPr>
          <w:noProof/>
          <w:lang w:val="en-GB"/>
        </w:rPr>
        <w:t xml:space="preserve">As </w:t>
      </w:r>
      <w:r w:rsidR="002101E7">
        <w:rPr>
          <w:noProof/>
          <w:lang w:val="en-GB"/>
        </w:rPr>
        <w:t>i</w:t>
      </w:r>
      <w:r w:rsidR="00C54A27">
        <w:rPr>
          <w:noProof/>
          <w:lang w:val="en-GB"/>
        </w:rPr>
        <w:t>nflation</w:t>
      </w:r>
      <w:r w:rsidR="00280E09">
        <w:rPr>
          <w:noProof/>
          <w:lang w:val="en-GB"/>
        </w:rPr>
        <w:t xml:space="preserve"> slowed </w:t>
      </w:r>
      <w:r w:rsidR="00C54A27">
        <w:rPr>
          <w:noProof/>
          <w:lang w:val="en-GB"/>
        </w:rPr>
        <w:t>faster than expected</w:t>
      </w:r>
      <w:r w:rsidR="002101E7">
        <w:rPr>
          <w:noProof/>
          <w:lang w:val="en-GB"/>
        </w:rPr>
        <w:t xml:space="preserve"> towards year-end</w:t>
      </w:r>
      <w:r w:rsidRPr="00BF28AB">
        <w:rPr>
          <w:noProof/>
          <w:lang w:val="en-GB"/>
        </w:rPr>
        <w:t xml:space="preserve">, </w:t>
      </w:r>
      <w:r w:rsidR="002101E7">
        <w:rPr>
          <w:noProof/>
          <w:lang w:val="en-GB"/>
        </w:rPr>
        <w:t xml:space="preserve">expectations of further </w:t>
      </w:r>
      <w:r w:rsidRPr="001B5135">
        <w:rPr>
          <w:noProof/>
          <w:lang w:val="en-GB"/>
        </w:rPr>
        <w:t>rate hikes were replaced by expectations of earlier and bigger rate cuts in 2024</w:t>
      </w:r>
      <w:r w:rsidRPr="00BF28AB">
        <w:rPr>
          <w:noProof/>
          <w:lang w:val="en-GB"/>
        </w:rPr>
        <w:t xml:space="preserve">. </w:t>
      </w:r>
      <w:r w:rsidR="006429A5">
        <w:rPr>
          <w:noProof/>
          <w:lang w:val="en-GB"/>
        </w:rPr>
        <w:t>The</w:t>
      </w:r>
      <w:r w:rsidR="00511341" w:rsidRPr="006565E0">
        <w:rPr>
          <w:noProof/>
          <w:lang w:val="en-GB"/>
        </w:rPr>
        <w:t xml:space="preserve"> EU saw yields on its 10</w:t>
      </w:r>
      <w:r w:rsidR="00F377B8" w:rsidRPr="006565E0">
        <w:rPr>
          <w:noProof/>
          <w:lang w:val="en-GB"/>
        </w:rPr>
        <w:t>-</w:t>
      </w:r>
      <w:r w:rsidR="00511341" w:rsidRPr="006565E0">
        <w:rPr>
          <w:noProof/>
          <w:lang w:val="en-GB"/>
        </w:rPr>
        <w:t xml:space="preserve">year bond fall from a peak of </w:t>
      </w:r>
      <w:r w:rsidR="006565E0" w:rsidRPr="006565E0">
        <w:rPr>
          <w:noProof/>
          <w:lang w:val="en-GB"/>
        </w:rPr>
        <w:t>3.7%</w:t>
      </w:r>
      <w:r w:rsidR="00511341" w:rsidRPr="006565E0">
        <w:rPr>
          <w:noProof/>
          <w:lang w:val="en-GB"/>
        </w:rPr>
        <w:t xml:space="preserve"> </w:t>
      </w:r>
      <w:r w:rsidR="006565E0" w:rsidRPr="006565E0">
        <w:rPr>
          <w:noProof/>
          <w:lang w:val="en-GB"/>
        </w:rPr>
        <w:t xml:space="preserve">in October </w:t>
      </w:r>
      <w:r w:rsidR="00511341" w:rsidRPr="006565E0">
        <w:rPr>
          <w:noProof/>
          <w:lang w:val="en-GB"/>
        </w:rPr>
        <w:t xml:space="preserve">to </w:t>
      </w:r>
      <w:r w:rsidR="006565E0" w:rsidRPr="006565E0">
        <w:rPr>
          <w:noProof/>
          <w:lang w:val="en-GB"/>
        </w:rPr>
        <w:t>2.8%</w:t>
      </w:r>
      <w:r w:rsidR="00511341" w:rsidRPr="006565E0">
        <w:rPr>
          <w:noProof/>
          <w:lang w:val="en-GB"/>
        </w:rPr>
        <w:t xml:space="preserve"> at year-end and a narrowing of spreads against </w:t>
      </w:r>
      <w:r w:rsidR="00F377B8" w:rsidRPr="006565E0">
        <w:rPr>
          <w:noProof/>
          <w:lang w:val="en-GB"/>
        </w:rPr>
        <w:t>German</w:t>
      </w:r>
      <w:r w:rsidR="00511341" w:rsidRPr="006565E0">
        <w:rPr>
          <w:noProof/>
          <w:lang w:val="en-GB"/>
        </w:rPr>
        <w:t xml:space="preserve"> and F</w:t>
      </w:r>
      <w:r w:rsidR="00F377B8" w:rsidRPr="006565E0">
        <w:rPr>
          <w:noProof/>
          <w:lang w:val="en-GB"/>
        </w:rPr>
        <w:t>rench</w:t>
      </w:r>
      <w:r w:rsidR="00511341" w:rsidRPr="006565E0">
        <w:rPr>
          <w:noProof/>
          <w:lang w:val="en-GB"/>
        </w:rPr>
        <w:t xml:space="preserve"> bonds of similar maturity.</w:t>
      </w:r>
    </w:p>
    <w:bookmarkEnd w:id="21"/>
    <w:p w14:paraId="578660E7" w14:textId="15FA6F0F" w:rsidR="00D73D12" w:rsidRPr="00C853A3" w:rsidRDefault="001D0900" w:rsidP="00A87F59">
      <w:pPr>
        <w:pStyle w:val="Heading2"/>
        <w:rPr>
          <w:noProof/>
        </w:rPr>
      </w:pPr>
      <w:r w:rsidRPr="00303189">
        <w:rPr>
          <w:noProof/>
          <w:lang w:val="en-GB"/>
        </w:rPr>
        <w:t>Liquidity management</w:t>
      </w:r>
    </w:p>
    <w:p w14:paraId="1ADFBD29" w14:textId="2B1B8CC1" w:rsidR="00303189" w:rsidRPr="002039FF" w:rsidRDefault="00303189" w:rsidP="00A87F59">
      <w:pPr>
        <w:rPr>
          <w:noProof/>
          <w:lang w:val="en-GB"/>
        </w:rPr>
      </w:pPr>
      <w:r w:rsidRPr="002039FF">
        <w:rPr>
          <w:noProof/>
          <w:lang w:val="en-GB"/>
        </w:rPr>
        <w:t xml:space="preserve">The Commission maintained a regular and predictable presence in financial markets in line with the funding plan announced in June 2023, with planned dates for auctions and syndications. However, cash outflows were slower than initially planned, leading to higher average cash holdings in the second half of 2023, averaging EUR 58.7 billion compared </w:t>
      </w:r>
      <w:r w:rsidR="00406FC4">
        <w:rPr>
          <w:noProof/>
          <w:lang w:val="en-GB"/>
        </w:rPr>
        <w:t>with</w:t>
      </w:r>
      <w:r w:rsidRPr="002039FF">
        <w:rPr>
          <w:noProof/>
          <w:lang w:val="en-GB"/>
        </w:rPr>
        <w:t xml:space="preserve"> EUR 36.8 billion in the previous semester.</w:t>
      </w:r>
      <w:r w:rsidR="00D9017F">
        <w:rPr>
          <w:noProof/>
          <w:lang w:val="en-GB"/>
        </w:rPr>
        <w:t xml:space="preserve"> </w:t>
      </w:r>
      <w:r w:rsidRPr="002039FF">
        <w:rPr>
          <w:noProof/>
          <w:lang w:val="en-GB"/>
        </w:rPr>
        <w:t xml:space="preserve">The Commission reduced its cash intake through Bill issuance to ensure continued market presence while minimising the increase in cash balances. </w:t>
      </w:r>
    </w:p>
    <w:p w14:paraId="0976FCD5" w14:textId="360B2D68" w:rsidR="00303189" w:rsidRPr="002039FF" w:rsidRDefault="00303189" w:rsidP="00A87F59">
      <w:pPr>
        <w:rPr>
          <w:noProof/>
          <w:lang w:val="en-GB"/>
        </w:rPr>
      </w:pPr>
      <w:r w:rsidRPr="002039FF">
        <w:rPr>
          <w:noProof/>
          <w:lang w:val="en-GB"/>
        </w:rPr>
        <w:t>The higher amounts of liquidity holdings did not translate into any costs for the programmes supported. On the contrary</w:t>
      </w:r>
      <w:r w:rsidR="00511341" w:rsidRPr="002039FF">
        <w:rPr>
          <w:noProof/>
          <w:lang w:val="en-GB"/>
        </w:rPr>
        <w:t>,</w:t>
      </w:r>
      <w:r w:rsidRPr="002039FF">
        <w:rPr>
          <w:noProof/>
          <w:lang w:val="en-GB"/>
        </w:rPr>
        <w:t xml:space="preserve"> </w:t>
      </w:r>
      <w:r w:rsidR="00511341" w:rsidRPr="002039FF">
        <w:rPr>
          <w:noProof/>
          <w:lang w:val="en-GB"/>
        </w:rPr>
        <w:t xml:space="preserve">a net income of </w:t>
      </w:r>
      <w:r w:rsidRPr="002039FF">
        <w:rPr>
          <w:noProof/>
          <w:lang w:val="en-GB"/>
        </w:rPr>
        <w:t xml:space="preserve">EUR 79.7 million </w:t>
      </w:r>
      <w:r w:rsidR="00511341" w:rsidRPr="002039FF">
        <w:rPr>
          <w:noProof/>
          <w:lang w:val="en-GB"/>
        </w:rPr>
        <w:t xml:space="preserve">was earned </w:t>
      </w:r>
      <w:r w:rsidRPr="002039FF">
        <w:rPr>
          <w:noProof/>
          <w:lang w:val="en-GB"/>
        </w:rPr>
        <w:t xml:space="preserve">on the cash holdings from July to December 2023. This </w:t>
      </w:r>
      <w:r w:rsidR="00511341" w:rsidRPr="002039FF">
        <w:rPr>
          <w:noProof/>
          <w:lang w:val="en-GB"/>
        </w:rPr>
        <w:t xml:space="preserve">income </w:t>
      </w:r>
      <w:r w:rsidRPr="002039FF">
        <w:rPr>
          <w:noProof/>
          <w:lang w:val="en-GB"/>
        </w:rPr>
        <w:t xml:space="preserve">will be shared proportionately between the EU budget and </w:t>
      </w:r>
      <w:r w:rsidR="00511341" w:rsidRPr="002039FF">
        <w:rPr>
          <w:noProof/>
          <w:lang w:val="en-GB"/>
        </w:rPr>
        <w:t xml:space="preserve">RRF </w:t>
      </w:r>
      <w:r w:rsidRPr="002039FF">
        <w:rPr>
          <w:noProof/>
          <w:lang w:val="en-GB"/>
        </w:rPr>
        <w:t>loan beneficiaries.</w:t>
      </w:r>
    </w:p>
    <w:p w14:paraId="35375DCE" w14:textId="6A52233F" w:rsidR="00262AC8" w:rsidRPr="006565E0" w:rsidRDefault="00303189" w:rsidP="00095BFD">
      <w:pPr>
        <w:rPr>
          <w:noProof/>
          <w:lang w:val="en-GB"/>
        </w:rPr>
      </w:pPr>
      <w:r w:rsidRPr="002039FF">
        <w:rPr>
          <w:noProof/>
          <w:lang w:val="en-GB"/>
        </w:rPr>
        <w:t xml:space="preserve">In 2024, the Commission will </w:t>
      </w:r>
      <w:r w:rsidR="00511341" w:rsidRPr="002039FF">
        <w:rPr>
          <w:noProof/>
          <w:lang w:val="en-GB"/>
        </w:rPr>
        <w:t>build on its new authorisation to deploy a more active liquidity management approach in order to optimise returns on cash holdings</w:t>
      </w:r>
      <w:r w:rsidRPr="002039FF">
        <w:rPr>
          <w:noProof/>
          <w:lang w:val="en-GB"/>
        </w:rPr>
        <w:t>.</w:t>
      </w:r>
    </w:p>
    <w:p w14:paraId="774AF1B2" w14:textId="3CFFE867" w:rsidR="00232130" w:rsidRPr="00A87F59" w:rsidRDefault="001401DA" w:rsidP="00A87F59">
      <w:pPr>
        <w:pStyle w:val="Heading1"/>
        <w:rPr>
          <w:noProof/>
        </w:rPr>
      </w:pPr>
      <w:bookmarkStart w:id="22" w:name="_Ref155257759"/>
      <w:bookmarkStart w:id="23" w:name="_Toc158284857"/>
      <w:r w:rsidRPr="00A87F59">
        <w:rPr>
          <w:noProof/>
        </w:rPr>
        <w:t xml:space="preserve">Steps to further develop </w:t>
      </w:r>
      <w:r w:rsidR="00795578" w:rsidRPr="00A87F59">
        <w:rPr>
          <w:noProof/>
        </w:rPr>
        <w:t xml:space="preserve">the </w:t>
      </w:r>
      <w:r w:rsidRPr="00A87F59">
        <w:rPr>
          <w:noProof/>
        </w:rPr>
        <w:t>ecosystem of EU-Bonds</w:t>
      </w:r>
      <w:bookmarkEnd w:id="22"/>
      <w:bookmarkEnd w:id="23"/>
    </w:p>
    <w:p w14:paraId="746AB30D" w14:textId="5B61BC76" w:rsidR="009758E3" w:rsidRPr="000123E4" w:rsidRDefault="009758E3" w:rsidP="009758E3">
      <w:pPr>
        <w:rPr>
          <w:noProof/>
        </w:rPr>
      </w:pPr>
      <w:r w:rsidRPr="006565E0">
        <w:rPr>
          <w:noProof/>
        </w:rPr>
        <w:t>The establishment of a unified funding approach as of January 2023 represented a key milestone in building a robust framework</w:t>
      </w:r>
      <w:r w:rsidRPr="000123E4">
        <w:rPr>
          <w:noProof/>
        </w:rPr>
        <w:t xml:space="preserve"> for meeting the EU’s funding needs as efficiently as possible. </w:t>
      </w:r>
      <w:r w:rsidR="00D9017F">
        <w:rPr>
          <w:noProof/>
        </w:rPr>
        <w:br/>
      </w:r>
      <w:r w:rsidRPr="000123E4">
        <w:rPr>
          <w:noProof/>
        </w:rPr>
        <w:t>This approach allows the Commission to plan, execute and communicate all issuances in an agile and co</w:t>
      </w:r>
      <w:r w:rsidR="00406FC4">
        <w:rPr>
          <w:noProof/>
        </w:rPr>
        <w:t>nsistent</w:t>
      </w:r>
      <w:r w:rsidRPr="000123E4">
        <w:rPr>
          <w:noProof/>
        </w:rPr>
        <w:t xml:space="preserve"> way, under a </w:t>
      </w:r>
      <w:r>
        <w:rPr>
          <w:noProof/>
        </w:rPr>
        <w:t xml:space="preserve">common </w:t>
      </w:r>
      <w:r w:rsidRPr="000123E4">
        <w:rPr>
          <w:noProof/>
        </w:rPr>
        <w:t xml:space="preserve">risk, compliance, and governance framework </w:t>
      </w:r>
      <w:r>
        <w:rPr>
          <w:noProof/>
        </w:rPr>
        <w:t>for</w:t>
      </w:r>
      <w:r w:rsidRPr="000123E4">
        <w:rPr>
          <w:noProof/>
        </w:rPr>
        <w:t xml:space="preserve"> all </w:t>
      </w:r>
      <w:r w:rsidR="00D9017F">
        <w:rPr>
          <w:noProof/>
        </w:rPr>
        <w:br/>
      </w:r>
      <w:r w:rsidRPr="000123E4">
        <w:rPr>
          <w:noProof/>
        </w:rPr>
        <w:t>borrowing operations.</w:t>
      </w:r>
    </w:p>
    <w:p w14:paraId="36F90D79" w14:textId="12061D7E" w:rsidR="007712C5" w:rsidRPr="007712C5" w:rsidRDefault="009758E3" w:rsidP="000811DA">
      <w:pPr>
        <w:rPr>
          <w:noProof/>
        </w:rPr>
      </w:pPr>
      <w:r w:rsidRPr="000123E4">
        <w:rPr>
          <w:noProof/>
        </w:rPr>
        <w:t>Nevertheless, despite this ongoing transformation of the EU as an issuer and the gradual shift in the treatment of EU</w:t>
      </w:r>
      <w:r>
        <w:rPr>
          <w:noProof/>
        </w:rPr>
        <w:t>-</w:t>
      </w:r>
      <w:r w:rsidRPr="000123E4">
        <w:rPr>
          <w:noProof/>
        </w:rPr>
        <w:t>Bonds</w:t>
      </w:r>
      <w:r w:rsidRPr="000123E4">
        <w:rPr>
          <w:noProof/>
          <w:vertAlign w:val="superscript"/>
          <w:lang w:val="en-GB"/>
        </w:rPr>
        <w:footnoteReference w:id="11"/>
      </w:r>
      <w:r w:rsidRPr="000123E4">
        <w:rPr>
          <w:noProof/>
        </w:rPr>
        <w:t>, markets continue to treat and price EU</w:t>
      </w:r>
      <w:r>
        <w:rPr>
          <w:noProof/>
        </w:rPr>
        <w:t>-B</w:t>
      </w:r>
      <w:r w:rsidRPr="000123E4">
        <w:rPr>
          <w:noProof/>
        </w:rPr>
        <w:t xml:space="preserve">onds against the swap curve. In order to </w:t>
      </w:r>
      <w:r w:rsidR="007712C5">
        <w:rPr>
          <w:noProof/>
        </w:rPr>
        <w:t xml:space="preserve">collect feedback </w:t>
      </w:r>
      <w:r w:rsidR="00511341">
        <w:rPr>
          <w:noProof/>
        </w:rPr>
        <w:t xml:space="preserve">from </w:t>
      </w:r>
      <w:r w:rsidR="007712C5">
        <w:rPr>
          <w:noProof/>
        </w:rPr>
        <w:t xml:space="preserve">market participants </w:t>
      </w:r>
      <w:r w:rsidR="00511341">
        <w:rPr>
          <w:noProof/>
        </w:rPr>
        <w:t>on</w:t>
      </w:r>
      <w:r w:rsidR="00406FC4">
        <w:rPr>
          <w:noProof/>
        </w:rPr>
        <w:t xml:space="preserve"> </w:t>
      </w:r>
      <w:r w:rsidR="007712C5">
        <w:rPr>
          <w:noProof/>
        </w:rPr>
        <w:t>the EU issuance programme</w:t>
      </w:r>
      <w:r w:rsidR="00511341">
        <w:rPr>
          <w:noProof/>
        </w:rPr>
        <w:t xml:space="preserve"> </w:t>
      </w:r>
      <w:r w:rsidR="007712C5">
        <w:rPr>
          <w:noProof/>
        </w:rPr>
        <w:t>and</w:t>
      </w:r>
      <w:r w:rsidR="006565E0">
        <w:rPr>
          <w:noProof/>
        </w:rPr>
        <w:t xml:space="preserve"> </w:t>
      </w:r>
      <w:r w:rsidR="006C22A4">
        <w:rPr>
          <w:noProof/>
        </w:rPr>
        <w:t xml:space="preserve">on </w:t>
      </w:r>
      <w:r w:rsidR="007712C5">
        <w:rPr>
          <w:noProof/>
        </w:rPr>
        <w:t xml:space="preserve">further steps to improve the functioning of </w:t>
      </w:r>
      <w:r w:rsidR="00511341">
        <w:rPr>
          <w:noProof/>
        </w:rPr>
        <w:t xml:space="preserve">EU-Bond </w:t>
      </w:r>
      <w:r w:rsidR="007712C5">
        <w:rPr>
          <w:noProof/>
        </w:rPr>
        <w:t>markets</w:t>
      </w:r>
      <w:r w:rsidR="00511341">
        <w:rPr>
          <w:noProof/>
        </w:rPr>
        <w:t xml:space="preserve">, </w:t>
      </w:r>
      <w:r w:rsidR="007712C5">
        <w:rPr>
          <w:noProof/>
        </w:rPr>
        <w:t>the Commission con</w:t>
      </w:r>
      <w:r w:rsidR="007712C5" w:rsidRPr="00EF5CD7">
        <w:rPr>
          <w:noProof/>
        </w:rPr>
        <w:t>ducted its first investor survey</w:t>
      </w:r>
      <w:r w:rsidR="00511341" w:rsidRPr="00EF5CD7">
        <w:rPr>
          <w:noProof/>
        </w:rPr>
        <w:t xml:space="preserve"> in June 2023</w:t>
      </w:r>
      <w:r w:rsidR="003824EB" w:rsidRPr="00EF5CD7">
        <w:rPr>
          <w:rStyle w:val="FootnoteReference"/>
          <w:noProof/>
        </w:rPr>
        <w:footnoteReference w:id="12"/>
      </w:r>
      <w:r w:rsidR="006C22A4">
        <w:rPr>
          <w:noProof/>
        </w:rPr>
        <w:t>.</w:t>
      </w:r>
      <w:r w:rsidR="007712C5" w:rsidRPr="00EF5CD7">
        <w:rPr>
          <w:noProof/>
        </w:rPr>
        <w:t xml:space="preserve"> The survey showed that </w:t>
      </w:r>
      <w:r w:rsidR="006C22A4">
        <w:rPr>
          <w:noProof/>
        </w:rPr>
        <w:t>most</w:t>
      </w:r>
      <w:r w:rsidR="003824EB" w:rsidRPr="00EF5CD7">
        <w:rPr>
          <w:noProof/>
        </w:rPr>
        <w:t xml:space="preserve"> (</w:t>
      </w:r>
      <w:r w:rsidR="00EF5CD7">
        <w:rPr>
          <w:noProof/>
        </w:rPr>
        <w:t>about 80</w:t>
      </w:r>
      <w:r w:rsidR="003824EB" w:rsidRPr="00EF5CD7">
        <w:rPr>
          <w:noProof/>
        </w:rPr>
        <w:t>%)</w:t>
      </w:r>
      <w:r w:rsidR="006565E0">
        <w:rPr>
          <w:noProof/>
        </w:rPr>
        <w:t xml:space="preserve"> </w:t>
      </w:r>
      <w:r w:rsidR="00511341">
        <w:rPr>
          <w:noProof/>
        </w:rPr>
        <w:t xml:space="preserve">market participants regard the EU-Bond issuance programme as </w:t>
      </w:r>
      <w:r w:rsidR="007712C5" w:rsidRPr="00580C86">
        <w:rPr>
          <w:noProof/>
        </w:rPr>
        <w:t>compar</w:t>
      </w:r>
      <w:r w:rsidR="00511341">
        <w:rPr>
          <w:noProof/>
        </w:rPr>
        <w:t xml:space="preserve">able to </w:t>
      </w:r>
      <w:r w:rsidR="007712C5" w:rsidRPr="00580C86">
        <w:rPr>
          <w:noProof/>
        </w:rPr>
        <w:t>those of E</w:t>
      </w:r>
      <w:r w:rsidR="007712C5">
        <w:rPr>
          <w:noProof/>
        </w:rPr>
        <w:t xml:space="preserve">GBs with </w:t>
      </w:r>
      <w:r w:rsidR="00511341">
        <w:rPr>
          <w:noProof/>
        </w:rPr>
        <w:t xml:space="preserve">similar </w:t>
      </w:r>
      <w:r w:rsidR="007712C5" w:rsidRPr="00580C86">
        <w:rPr>
          <w:noProof/>
        </w:rPr>
        <w:t>outstanding deb</w:t>
      </w:r>
      <w:r w:rsidR="00511341">
        <w:rPr>
          <w:noProof/>
        </w:rPr>
        <w:t>t</w:t>
      </w:r>
      <w:r w:rsidR="003824EB">
        <w:rPr>
          <w:noProof/>
        </w:rPr>
        <w:t xml:space="preserve"> in terms of </w:t>
      </w:r>
      <w:r w:rsidR="007712C5" w:rsidRPr="00580C86">
        <w:rPr>
          <w:noProof/>
        </w:rPr>
        <w:t>regular high-volume supply, market communication, the use of auctions and the overall funding strategy</w:t>
      </w:r>
      <w:r w:rsidR="007712C5" w:rsidRPr="005515C3">
        <w:rPr>
          <w:noProof/>
        </w:rPr>
        <w:t>. The survey also confirmed the importance</w:t>
      </w:r>
      <w:r w:rsidR="006565E0">
        <w:rPr>
          <w:noProof/>
        </w:rPr>
        <w:t xml:space="preserve"> </w:t>
      </w:r>
      <w:r w:rsidR="007712C5" w:rsidRPr="005515C3">
        <w:rPr>
          <w:noProof/>
        </w:rPr>
        <w:t>of quoting arrangements for EU-Bonds (</w:t>
      </w:r>
      <w:r w:rsidR="003824EB">
        <w:rPr>
          <w:noProof/>
        </w:rPr>
        <w:t xml:space="preserve">subsequently introduced in </w:t>
      </w:r>
      <w:r w:rsidR="007712C5" w:rsidRPr="005515C3">
        <w:rPr>
          <w:noProof/>
        </w:rPr>
        <w:t>November 2023</w:t>
      </w:r>
      <w:r w:rsidR="0013697B">
        <w:rPr>
          <w:noProof/>
        </w:rPr>
        <w:t xml:space="preserve">, see section </w:t>
      </w:r>
      <w:r w:rsidR="0013697B">
        <w:rPr>
          <w:noProof/>
        </w:rPr>
        <w:fldChar w:fldCharType="begin"/>
      </w:r>
      <w:r w:rsidR="0013697B">
        <w:rPr>
          <w:noProof/>
        </w:rPr>
        <w:instrText xml:space="preserve"> REF _Ref155883558 \r \h </w:instrText>
      </w:r>
      <w:r w:rsidR="0013697B">
        <w:rPr>
          <w:noProof/>
        </w:rPr>
      </w:r>
      <w:r w:rsidR="0013697B">
        <w:rPr>
          <w:noProof/>
        </w:rPr>
        <w:fldChar w:fldCharType="separate"/>
      </w:r>
      <w:r w:rsidR="009B2063">
        <w:rPr>
          <w:noProof/>
        </w:rPr>
        <w:t>2</w:t>
      </w:r>
      <w:r w:rsidR="0013697B">
        <w:rPr>
          <w:noProof/>
        </w:rPr>
        <w:fldChar w:fldCharType="end"/>
      </w:r>
      <w:r w:rsidR="007712C5" w:rsidRPr="005515C3">
        <w:rPr>
          <w:noProof/>
        </w:rPr>
        <w:t xml:space="preserve">) and a repo facility (planned for </w:t>
      </w:r>
      <w:r w:rsidR="0013697B">
        <w:rPr>
          <w:noProof/>
        </w:rPr>
        <w:t xml:space="preserve">the </w:t>
      </w:r>
      <w:r w:rsidR="0013697B" w:rsidRPr="00276FC8">
        <w:rPr>
          <w:noProof/>
        </w:rPr>
        <w:t xml:space="preserve">second half of </w:t>
      </w:r>
      <w:r w:rsidR="007712C5" w:rsidRPr="00276FC8">
        <w:rPr>
          <w:noProof/>
        </w:rPr>
        <w:t>2024)</w:t>
      </w:r>
      <w:r w:rsidR="007712C5" w:rsidRPr="005515C3">
        <w:rPr>
          <w:noProof/>
        </w:rPr>
        <w:t xml:space="preserve"> in supporting </w:t>
      </w:r>
      <w:r w:rsidR="003824EB">
        <w:rPr>
          <w:noProof/>
        </w:rPr>
        <w:t>the desired</w:t>
      </w:r>
      <w:r w:rsidRPr="005515C3">
        <w:rPr>
          <w:noProof/>
        </w:rPr>
        <w:t xml:space="preserve"> transition towards a pricing </w:t>
      </w:r>
      <w:r w:rsidR="007712C5" w:rsidRPr="005515C3">
        <w:rPr>
          <w:noProof/>
        </w:rPr>
        <w:t>of EU</w:t>
      </w:r>
      <w:r w:rsidR="000811DA" w:rsidRPr="005515C3">
        <w:rPr>
          <w:noProof/>
        </w:rPr>
        <w:t>-</w:t>
      </w:r>
      <w:r w:rsidR="007712C5" w:rsidRPr="005515C3">
        <w:rPr>
          <w:noProof/>
        </w:rPr>
        <w:t xml:space="preserve">Bonds </w:t>
      </w:r>
      <w:r w:rsidRPr="005515C3">
        <w:rPr>
          <w:noProof/>
        </w:rPr>
        <w:t>that better reflects the fundamentals</w:t>
      </w:r>
      <w:r w:rsidRPr="000123E4">
        <w:rPr>
          <w:noProof/>
        </w:rPr>
        <w:t xml:space="preserve"> of EU issuances</w:t>
      </w:r>
      <w:r w:rsidR="007712C5">
        <w:rPr>
          <w:noProof/>
        </w:rPr>
        <w:t>. T</w:t>
      </w:r>
      <w:r w:rsidR="006C22A4">
        <w:rPr>
          <w:noProof/>
        </w:rPr>
        <w:t>he t</w:t>
      </w:r>
      <w:r w:rsidR="007712C5">
        <w:rPr>
          <w:noProof/>
        </w:rPr>
        <w:t xml:space="preserve">reatment </w:t>
      </w:r>
      <w:r w:rsidR="007712C5" w:rsidRPr="00580C86">
        <w:rPr>
          <w:noProof/>
        </w:rPr>
        <w:t>of EU-Bonds as collateral</w:t>
      </w:r>
      <w:r w:rsidR="007712C5">
        <w:rPr>
          <w:noProof/>
        </w:rPr>
        <w:t xml:space="preserve"> and i</w:t>
      </w:r>
      <w:r w:rsidR="007712C5" w:rsidRPr="007712C5">
        <w:rPr>
          <w:noProof/>
        </w:rPr>
        <w:t xml:space="preserve">nclusion of EU-Bonds in ‘sovereign indices’ </w:t>
      </w:r>
      <w:r w:rsidR="001C33B2">
        <w:rPr>
          <w:noProof/>
        </w:rPr>
        <w:t>were also highlighted as</w:t>
      </w:r>
      <w:r w:rsidR="007712C5" w:rsidRPr="007712C5">
        <w:rPr>
          <w:noProof/>
        </w:rPr>
        <w:t xml:space="preserve"> important </w:t>
      </w:r>
      <w:r w:rsidR="00456072">
        <w:rPr>
          <w:noProof/>
        </w:rPr>
        <w:t>in that respect</w:t>
      </w:r>
      <w:r w:rsidR="006C22A4">
        <w:rPr>
          <w:noProof/>
        </w:rPr>
        <w:t xml:space="preserve"> by the investor survey</w:t>
      </w:r>
      <w:r w:rsidR="001C33B2">
        <w:rPr>
          <w:rStyle w:val="FootnoteReference"/>
          <w:noProof/>
        </w:rPr>
        <w:footnoteReference w:id="13"/>
      </w:r>
      <w:r w:rsidR="006C22A4">
        <w:rPr>
          <w:noProof/>
        </w:rPr>
        <w:t>.</w:t>
      </w:r>
    </w:p>
    <w:p w14:paraId="0E3BB556" w14:textId="34EF4E9E" w:rsidR="00456072" w:rsidRDefault="00456072" w:rsidP="00456072">
      <w:pPr>
        <w:rPr>
          <w:noProof/>
        </w:rPr>
      </w:pPr>
      <w:r>
        <w:rPr>
          <w:noProof/>
          <w:lang w:val="en-GB"/>
        </w:rPr>
        <w:t>In line with feedback from market participants</w:t>
      </w:r>
      <w:r w:rsidR="003824EB">
        <w:rPr>
          <w:noProof/>
          <w:lang w:val="en-GB"/>
        </w:rPr>
        <w:t>,</w:t>
      </w:r>
      <w:r>
        <w:rPr>
          <w:noProof/>
          <w:lang w:val="en-GB"/>
        </w:rPr>
        <w:t xml:space="preserve"> </w:t>
      </w:r>
      <w:r w:rsidR="003824EB">
        <w:rPr>
          <w:noProof/>
          <w:lang w:val="en-GB"/>
        </w:rPr>
        <w:t xml:space="preserve">preparations continued </w:t>
      </w:r>
      <w:r>
        <w:rPr>
          <w:noProof/>
          <w:lang w:val="en-GB"/>
        </w:rPr>
        <w:t xml:space="preserve">in the second half of 2023 for the </w:t>
      </w:r>
      <w:r>
        <w:rPr>
          <w:noProof/>
        </w:rPr>
        <w:t xml:space="preserve">launch of </w:t>
      </w:r>
      <w:r w:rsidRPr="00C853A3">
        <w:rPr>
          <w:noProof/>
        </w:rPr>
        <w:t>a repurchase (‘repo’) facility</w:t>
      </w:r>
      <w:r>
        <w:rPr>
          <w:noProof/>
        </w:rPr>
        <w:t xml:space="preserve"> </w:t>
      </w:r>
      <w:r w:rsidRPr="00C853A3">
        <w:rPr>
          <w:noProof/>
        </w:rPr>
        <w:t xml:space="preserve">to support market participants in trading </w:t>
      </w:r>
      <w:r w:rsidR="003824EB">
        <w:rPr>
          <w:noProof/>
        </w:rPr>
        <w:t>EU-B</w:t>
      </w:r>
      <w:r w:rsidRPr="00C853A3">
        <w:rPr>
          <w:noProof/>
        </w:rPr>
        <w:t>onds. Through the repo facility, the Commission will make its securities available on a temporary basis</w:t>
      </w:r>
      <w:r>
        <w:rPr>
          <w:noProof/>
        </w:rPr>
        <w:t xml:space="preserve"> in </w:t>
      </w:r>
      <w:r w:rsidR="006C22A4">
        <w:rPr>
          <w:noProof/>
        </w:rPr>
        <w:t>the event</w:t>
      </w:r>
      <w:r>
        <w:rPr>
          <w:noProof/>
        </w:rPr>
        <w:t xml:space="preserve"> of scarcity</w:t>
      </w:r>
      <w:r w:rsidRPr="00C853A3">
        <w:rPr>
          <w:noProof/>
        </w:rPr>
        <w:t xml:space="preserve">, thus helping EU primary dealers to provide liquidity in EU-Bonds. </w:t>
      </w:r>
      <w:r w:rsidR="003824EB">
        <w:rPr>
          <w:noProof/>
        </w:rPr>
        <w:t>The aim is to open the repo desk in summer 2024.</w:t>
      </w:r>
    </w:p>
    <w:p w14:paraId="0A993DC6" w14:textId="3B560B38" w:rsidR="00456072" w:rsidRPr="00422A17" w:rsidRDefault="00456072" w:rsidP="000811DA">
      <w:pPr>
        <w:spacing w:after="240"/>
        <w:rPr>
          <w:noProof/>
          <w:color w:val="000000" w:themeColor="text1"/>
        </w:rPr>
      </w:pPr>
      <w:r>
        <w:rPr>
          <w:noProof/>
          <w:color w:val="000000" w:themeColor="text1"/>
        </w:rPr>
        <w:t xml:space="preserve">Furthermore, the Commission has </w:t>
      </w:r>
      <w:r w:rsidRPr="00422A17">
        <w:rPr>
          <w:noProof/>
          <w:color w:val="000000" w:themeColor="text1"/>
        </w:rPr>
        <w:t xml:space="preserve">started to </w:t>
      </w:r>
      <w:r w:rsidRPr="00EF5CD7">
        <w:rPr>
          <w:noProof/>
          <w:color w:val="000000" w:themeColor="text1"/>
        </w:rPr>
        <w:t xml:space="preserve">engage in joint reflections with market-leading index providers on </w:t>
      </w:r>
      <w:r w:rsidR="006C22A4">
        <w:rPr>
          <w:noProof/>
          <w:color w:val="000000" w:themeColor="text1"/>
        </w:rPr>
        <w:t>how to</w:t>
      </w:r>
      <w:r w:rsidRPr="00EF5CD7">
        <w:rPr>
          <w:noProof/>
          <w:color w:val="000000" w:themeColor="text1"/>
        </w:rPr>
        <w:t xml:space="preserve"> classif</w:t>
      </w:r>
      <w:r w:rsidR="006C22A4">
        <w:rPr>
          <w:noProof/>
          <w:color w:val="000000" w:themeColor="text1"/>
        </w:rPr>
        <w:t>y</w:t>
      </w:r>
      <w:r w:rsidRPr="00EF5CD7">
        <w:rPr>
          <w:noProof/>
          <w:color w:val="000000" w:themeColor="text1"/>
        </w:rPr>
        <w:t xml:space="preserve"> EU securities in their indices</w:t>
      </w:r>
      <w:r w:rsidRPr="002039FF">
        <w:rPr>
          <w:noProof/>
          <w:color w:val="000000" w:themeColor="text1"/>
        </w:rPr>
        <w:t>.</w:t>
      </w:r>
      <w:r w:rsidRPr="002039FF">
        <w:rPr>
          <w:noProof/>
        </w:rPr>
        <w:t xml:space="preserve"> </w:t>
      </w:r>
      <w:r w:rsidR="003824EB" w:rsidRPr="002039FF">
        <w:rPr>
          <w:noProof/>
        </w:rPr>
        <w:t xml:space="preserve">The issue being discussed with index providers is whether the EU-Bond issuance programme has outgrown its traditional inclusion in the SSA indices, of which it increasingly constitutes an out-sized presence in the index basket. </w:t>
      </w:r>
      <w:r w:rsidR="00AF536C">
        <w:rPr>
          <w:noProof/>
        </w:rPr>
        <w:br/>
      </w:r>
      <w:r w:rsidRPr="002039FF">
        <w:rPr>
          <w:noProof/>
          <w:color w:val="000000" w:themeColor="text1"/>
        </w:rPr>
        <w:t xml:space="preserve">The Commission will also continue to encourage market counterparties to provide to EU-Bonds </w:t>
      </w:r>
      <w:r w:rsidR="00AF536C">
        <w:rPr>
          <w:noProof/>
          <w:color w:val="000000" w:themeColor="text1"/>
        </w:rPr>
        <w:br/>
      </w:r>
      <w:r w:rsidRPr="002039FF">
        <w:rPr>
          <w:noProof/>
          <w:color w:val="000000" w:themeColor="text1"/>
        </w:rPr>
        <w:t>the same quality of collateral treatment in bilateral secured transactions as</w:t>
      </w:r>
      <w:r w:rsidR="006C22A4">
        <w:rPr>
          <w:noProof/>
          <w:color w:val="000000" w:themeColor="text1"/>
        </w:rPr>
        <w:t xml:space="preserve"> that given</w:t>
      </w:r>
      <w:r w:rsidRPr="002039FF">
        <w:rPr>
          <w:noProof/>
          <w:color w:val="000000" w:themeColor="text1"/>
        </w:rPr>
        <w:t xml:space="preserve"> to </w:t>
      </w:r>
      <w:r w:rsidR="00AF536C">
        <w:rPr>
          <w:noProof/>
          <w:color w:val="000000" w:themeColor="text1"/>
        </w:rPr>
        <w:br/>
      </w:r>
      <w:r w:rsidRPr="002039FF">
        <w:rPr>
          <w:noProof/>
          <w:color w:val="000000" w:themeColor="text1"/>
        </w:rPr>
        <w:t>sovereign bonds.</w:t>
      </w:r>
    </w:p>
    <w:p w14:paraId="7213441F" w14:textId="64AEE06F" w:rsidR="009758E3" w:rsidRPr="00391716" w:rsidRDefault="00456072" w:rsidP="00391716">
      <w:pPr>
        <w:pStyle w:val="NormalWeb"/>
        <w:rPr>
          <w:rFonts w:ascii="Verdana" w:hAnsi="Verdana" w:cs="Arial"/>
          <w:noProof/>
          <w:sz w:val="20"/>
          <w:szCs w:val="20"/>
        </w:rPr>
      </w:pPr>
      <w:r>
        <w:rPr>
          <w:noProof/>
        </w:rPr>
        <w:t xml:space="preserve">The Commission </w:t>
      </w:r>
      <w:r w:rsidR="00A65380">
        <w:rPr>
          <w:noProof/>
        </w:rPr>
        <w:t>– working in close partnership with the ECB and</w:t>
      </w:r>
      <w:r w:rsidR="00CF61A0">
        <w:rPr>
          <w:noProof/>
        </w:rPr>
        <w:t xml:space="preserve"> the</w:t>
      </w:r>
      <w:r w:rsidR="00A65380">
        <w:rPr>
          <w:noProof/>
        </w:rPr>
        <w:t xml:space="preserve"> National Bank of Belgium - </w:t>
      </w:r>
      <w:r>
        <w:rPr>
          <w:noProof/>
        </w:rPr>
        <w:t xml:space="preserve">also finalised </w:t>
      </w:r>
      <w:r w:rsidR="00423F17">
        <w:rPr>
          <w:noProof/>
        </w:rPr>
        <w:t xml:space="preserve">during the second half of </w:t>
      </w:r>
      <w:r>
        <w:rPr>
          <w:noProof/>
        </w:rPr>
        <w:t xml:space="preserve">2023 all the preparations for the launch </w:t>
      </w:r>
      <w:r w:rsidRPr="003824EB">
        <w:rPr>
          <w:noProof/>
        </w:rPr>
        <w:t xml:space="preserve">of a Eurosystem-based post-trade settlement infrastructure for all new EU debt securities (i.e. new ISINs for </w:t>
      </w:r>
      <w:r w:rsidR="00AF536C">
        <w:rPr>
          <w:noProof/>
        </w:rPr>
        <w:br/>
      </w:r>
      <w:r w:rsidRPr="003824EB">
        <w:rPr>
          <w:noProof/>
        </w:rPr>
        <w:t xml:space="preserve">EU-Bonds and EU-Bills) – </w:t>
      </w:r>
      <w:r w:rsidR="00A65380">
        <w:rPr>
          <w:noProof/>
        </w:rPr>
        <w:t xml:space="preserve">known as </w:t>
      </w:r>
      <w:r w:rsidRPr="003824EB">
        <w:rPr>
          <w:noProof/>
        </w:rPr>
        <w:t>the EU Issuance Service (EIS)</w:t>
      </w:r>
      <w:r w:rsidRPr="003824EB">
        <w:rPr>
          <w:rStyle w:val="FootnoteReference"/>
          <w:noProof/>
        </w:rPr>
        <w:footnoteReference w:id="14"/>
      </w:r>
      <w:r w:rsidR="006C22A4">
        <w:rPr>
          <w:noProof/>
        </w:rPr>
        <w:t>.</w:t>
      </w:r>
      <w:r w:rsidRPr="003824EB">
        <w:rPr>
          <w:noProof/>
        </w:rPr>
        <w:t xml:space="preserve"> </w:t>
      </w:r>
      <w:r w:rsidR="003824EB" w:rsidRPr="00CF61A0">
        <w:rPr>
          <w:noProof/>
        </w:rPr>
        <w:t>The launch of</w:t>
      </w:r>
      <w:r w:rsidR="006C22A4">
        <w:rPr>
          <w:noProof/>
        </w:rPr>
        <w:t xml:space="preserve"> the</w:t>
      </w:r>
      <w:r w:rsidR="003824EB" w:rsidRPr="00CF61A0">
        <w:rPr>
          <w:noProof/>
        </w:rPr>
        <w:t xml:space="preserve"> EIS aligns the settlement infrastructure </w:t>
      </w:r>
      <w:r w:rsidR="003824EB" w:rsidRPr="00CF61A0">
        <w:rPr>
          <w:noProof/>
          <w:shd w:val="clear" w:color="auto" w:fill="FFFFFF"/>
        </w:rPr>
        <w:t xml:space="preserve">for EU debt securities with those of large EU sovereign issuers which benefit from the support of national central banks as fiscal agents. It also creates </w:t>
      </w:r>
      <w:r w:rsidR="003824EB" w:rsidRPr="00CF61A0">
        <w:rPr>
          <w:noProof/>
        </w:rPr>
        <w:t xml:space="preserve">a level playing field for all central securities depositories and investors that trade EU-issued bonds. The EIS also offers direct settlement of EU Bills and Bonds in TARGET2-Securities (T2S) and facilitates the use of EU debt securities as collateral by counterparties with </w:t>
      </w:r>
      <w:r w:rsidR="006C22A4">
        <w:rPr>
          <w:noProof/>
        </w:rPr>
        <w:t>c</w:t>
      </w:r>
      <w:r w:rsidR="003824EB" w:rsidRPr="00CF61A0">
        <w:rPr>
          <w:noProof/>
        </w:rPr>
        <w:t xml:space="preserve">entral </w:t>
      </w:r>
      <w:r w:rsidR="006C22A4">
        <w:rPr>
          <w:noProof/>
        </w:rPr>
        <w:t>b</w:t>
      </w:r>
      <w:r w:rsidR="003824EB" w:rsidRPr="00CF61A0">
        <w:rPr>
          <w:noProof/>
        </w:rPr>
        <w:t>anks.</w:t>
      </w:r>
      <w:r w:rsidR="003824EB">
        <w:rPr>
          <w:noProof/>
        </w:rPr>
        <w:t xml:space="preserve"> The</w:t>
      </w:r>
      <w:r w:rsidR="006C22A4">
        <w:rPr>
          <w:noProof/>
        </w:rPr>
        <w:t xml:space="preserve"> creation of the</w:t>
      </w:r>
      <w:r w:rsidR="003824EB">
        <w:rPr>
          <w:noProof/>
        </w:rPr>
        <w:t xml:space="preserve"> EIS was accompanied by a complete overhaul of the EU’s </w:t>
      </w:r>
      <w:r w:rsidR="006C22A4">
        <w:rPr>
          <w:noProof/>
        </w:rPr>
        <w:t>d</w:t>
      </w:r>
      <w:r w:rsidR="003824EB">
        <w:rPr>
          <w:noProof/>
        </w:rPr>
        <w:t>ebt</w:t>
      </w:r>
      <w:r w:rsidR="006C22A4">
        <w:rPr>
          <w:noProof/>
        </w:rPr>
        <w:t>-i</w:t>
      </w:r>
      <w:r w:rsidR="003824EB">
        <w:rPr>
          <w:noProof/>
        </w:rPr>
        <w:t xml:space="preserve">ssuance </w:t>
      </w:r>
      <w:r w:rsidR="006C22A4">
        <w:rPr>
          <w:noProof/>
        </w:rPr>
        <w:t>p</w:t>
      </w:r>
      <w:r w:rsidR="003824EB">
        <w:rPr>
          <w:noProof/>
        </w:rPr>
        <w:t>rogramme, filed with and approved by the Luxembourg Stock Exchange</w:t>
      </w:r>
      <w:r w:rsidR="00A65380">
        <w:rPr>
          <w:noProof/>
        </w:rPr>
        <w:t xml:space="preserve"> before year-end</w:t>
      </w:r>
      <w:r w:rsidR="003824EB">
        <w:rPr>
          <w:noProof/>
        </w:rPr>
        <w:t>.</w:t>
      </w:r>
      <w:r w:rsidR="00423F17">
        <w:rPr>
          <w:noProof/>
        </w:rPr>
        <w:t xml:space="preserve"> This allowed the first EIS-settled transactions to go ahead smoothly in January 2024</w:t>
      </w:r>
      <w:r w:rsidR="00822BCC" w:rsidRPr="003824EB">
        <w:rPr>
          <w:rStyle w:val="FootnoteReference"/>
          <w:noProof/>
        </w:rPr>
        <w:footnoteReference w:id="15"/>
      </w:r>
      <w:r w:rsidR="006C22A4">
        <w:rPr>
          <w:noProof/>
        </w:rPr>
        <w:t>.</w:t>
      </w:r>
    </w:p>
    <w:p w14:paraId="6B3B3AB6" w14:textId="0208FCD5" w:rsidR="00456072" w:rsidRPr="00A87F59" w:rsidRDefault="00456072" w:rsidP="00A87F59">
      <w:pPr>
        <w:pStyle w:val="Heading1"/>
        <w:rPr>
          <w:noProof/>
        </w:rPr>
      </w:pPr>
      <w:bookmarkStart w:id="24" w:name="_Toc158284858"/>
      <w:r w:rsidRPr="00A87F59">
        <w:rPr>
          <w:noProof/>
        </w:rPr>
        <w:t xml:space="preserve">Other milestones in </w:t>
      </w:r>
      <w:r w:rsidR="002C7AD0" w:rsidRPr="00A87F59">
        <w:rPr>
          <w:noProof/>
        </w:rPr>
        <w:t xml:space="preserve">the second half of </w:t>
      </w:r>
      <w:r w:rsidRPr="00A87F59">
        <w:rPr>
          <w:noProof/>
        </w:rPr>
        <w:t>2023</w:t>
      </w:r>
      <w:bookmarkEnd w:id="24"/>
    </w:p>
    <w:p w14:paraId="5A4859E4" w14:textId="66E1471D" w:rsidR="00456072" w:rsidRPr="00F60F12" w:rsidRDefault="00456072" w:rsidP="00A87F59">
      <w:pPr>
        <w:pStyle w:val="Heading2"/>
        <w:rPr>
          <w:noProof/>
        </w:rPr>
      </w:pPr>
      <w:r w:rsidRPr="006E3BF2">
        <w:rPr>
          <w:noProof/>
        </w:rPr>
        <w:t xml:space="preserve">NextGenerationEU </w:t>
      </w:r>
      <w:r w:rsidR="006C22A4" w:rsidRPr="006E3BF2">
        <w:rPr>
          <w:noProof/>
        </w:rPr>
        <w:t>g</w:t>
      </w:r>
      <w:r w:rsidRPr="006E3BF2">
        <w:rPr>
          <w:noProof/>
        </w:rPr>
        <w:t xml:space="preserve">reen </w:t>
      </w:r>
      <w:r w:rsidR="006C22A4" w:rsidRPr="006E3BF2">
        <w:rPr>
          <w:noProof/>
        </w:rPr>
        <w:t>b</w:t>
      </w:r>
      <w:r w:rsidRPr="006E3BF2">
        <w:rPr>
          <w:noProof/>
        </w:rPr>
        <w:t xml:space="preserve">onds </w:t>
      </w:r>
      <w:r w:rsidR="006C22A4" w:rsidRPr="006E3BF2">
        <w:rPr>
          <w:noProof/>
        </w:rPr>
        <w:t>a</w:t>
      </w:r>
      <w:r w:rsidRPr="006E3BF2">
        <w:rPr>
          <w:noProof/>
        </w:rPr>
        <w:t xml:space="preserve">llocation and </w:t>
      </w:r>
      <w:r w:rsidR="006C22A4" w:rsidRPr="006E3BF2">
        <w:rPr>
          <w:noProof/>
        </w:rPr>
        <w:t>i</w:t>
      </w:r>
      <w:r w:rsidRPr="006E3BF2">
        <w:rPr>
          <w:noProof/>
        </w:rPr>
        <w:t>mpact report</w:t>
      </w:r>
    </w:p>
    <w:p w14:paraId="2CCB1EF6" w14:textId="77F2BA0A" w:rsidR="00456072" w:rsidRPr="00977E2D" w:rsidRDefault="00456072" w:rsidP="009C1A13">
      <w:pPr>
        <w:rPr>
          <w:noProof/>
        </w:rPr>
      </w:pPr>
      <w:r w:rsidRPr="00977E2D">
        <w:rPr>
          <w:noProof/>
        </w:rPr>
        <w:t>In line with the reporting requirements of the NGEU Green Bond Framework, the Commission published on 1 December 2023 the first comprehensive</w:t>
      </w:r>
      <w:r w:rsidR="006E3BF2">
        <w:rPr>
          <w:noProof/>
        </w:rPr>
        <w:t xml:space="preserve"> report on the allocation and impact of</w:t>
      </w:r>
      <w:r w:rsidRPr="00977E2D">
        <w:rPr>
          <w:noProof/>
        </w:rPr>
        <w:t xml:space="preserve"> </w:t>
      </w:r>
      <w:r w:rsidR="00E85E9C" w:rsidRPr="00977E2D">
        <w:rPr>
          <w:noProof/>
        </w:rPr>
        <w:t xml:space="preserve">NGEU </w:t>
      </w:r>
      <w:r w:rsidR="006E3BF2">
        <w:rPr>
          <w:noProof/>
        </w:rPr>
        <w:t>g</w:t>
      </w:r>
      <w:r w:rsidR="00E85E9C" w:rsidRPr="00977E2D">
        <w:rPr>
          <w:noProof/>
        </w:rPr>
        <w:t xml:space="preserve">reen </w:t>
      </w:r>
      <w:r w:rsidR="006E3BF2">
        <w:rPr>
          <w:noProof/>
        </w:rPr>
        <w:t>b</w:t>
      </w:r>
      <w:r w:rsidR="00E85E9C" w:rsidRPr="00977E2D">
        <w:rPr>
          <w:noProof/>
        </w:rPr>
        <w:t>onds</w:t>
      </w:r>
      <w:r w:rsidR="006E3BF2">
        <w:rPr>
          <w:noProof/>
        </w:rPr>
        <w:t>.</w:t>
      </w:r>
      <w:r w:rsidR="00E85E9C" w:rsidRPr="00977E2D">
        <w:rPr>
          <w:rStyle w:val="FootnoteReference"/>
          <w:rFonts w:ascii="Times New Roman" w:hAnsi="Times New Roman"/>
          <w:noProof/>
          <w:sz w:val="24"/>
        </w:rPr>
        <w:footnoteReference w:id="16"/>
      </w:r>
    </w:p>
    <w:p w14:paraId="5F5F1264" w14:textId="6373DD1E" w:rsidR="00456072" w:rsidRPr="00977E2D" w:rsidRDefault="00456072" w:rsidP="009C1A13">
      <w:pPr>
        <w:rPr>
          <w:noProof/>
        </w:rPr>
      </w:pPr>
      <w:r w:rsidRPr="00977E2D">
        <w:rPr>
          <w:noProof/>
        </w:rPr>
        <w:t>The report provides investors and stakeholders with updated information on the allocation of proceeds as of the cut-off date of 1 August 2023 and, for the very first time, presents the climate impacts of investments financed by the N</w:t>
      </w:r>
      <w:r w:rsidR="00F71E43" w:rsidRPr="00977E2D">
        <w:rPr>
          <w:noProof/>
        </w:rPr>
        <w:t>ext</w:t>
      </w:r>
      <w:r w:rsidRPr="00977E2D">
        <w:rPr>
          <w:noProof/>
        </w:rPr>
        <w:t>G</w:t>
      </w:r>
      <w:r w:rsidR="00F71E43" w:rsidRPr="00977E2D">
        <w:rPr>
          <w:noProof/>
        </w:rPr>
        <w:t>eneration</w:t>
      </w:r>
      <w:r w:rsidRPr="00977E2D">
        <w:rPr>
          <w:noProof/>
        </w:rPr>
        <w:t xml:space="preserve">EU </w:t>
      </w:r>
      <w:r w:rsidR="00F71E43" w:rsidRPr="00977E2D">
        <w:rPr>
          <w:noProof/>
        </w:rPr>
        <w:t>g</w:t>
      </w:r>
      <w:r w:rsidRPr="00977E2D">
        <w:rPr>
          <w:noProof/>
        </w:rPr>
        <w:t xml:space="preserve">reen </w:t>
      </w:r>
      <w:r w:rsidR="00F71E43" w:rsidRPr="00977E2D">
        <w:rPr>
          <w:noProof/>
        </w:rPr>
        <w:t>b</w:t>
      </w:r>
      <w:r w:rsidRPr="00977E2D">
        <w:rPr>
          <w:noProof/>
        </w:rPr>
        <w:t>ond programme.</w:t>
      </w:r>
    </w:p>
    <w:p w14:paraId="249D51EB" w14:textId="3441DDAF" w:rsidR="00F71E43" w:rsidRPr="00977E2D" w:rsidRDefault="00E85E9C" w:rsidP="009C1A13">
      <w:pPr>
        <w:rPr>
          <w:noProof/>
        </w:rPr>
      </w:pPr>
      <w:r w:rsidRPr="00977E2D">
        <w:rPr>
          <w:noProof/>
        </w:rPr>
        <w:t>The report show</w:t>
      </w:r>
      <w:r w:rsidR="00501CA3" w:rsidRPr="00977E2D">
        <w:rPr>
          <w:noProof/>
        </w:rPr>
        <w:t>s</w:t>
      </w:r>
      <w:r w:rsidRPr="00977E2D">
        <w:rPr>
          <w:noProof/>
        </w:rPr>
        <w:t xml:space="preserve"> how N</w:t>
      </w:r>
      <w:r w:rsidR="00F71E43" w:rsidRPr="00977E2D">
        <w:rPr>
          <w:noProof/>
        </w:rPr>
        <w:t>ext</w:t>
      </w:r>
      <w:r w:rsidRPr="00977E2D">
        <w:rPr>
          <w:noProof/>
        </w:rPr>
        <w:t>G</w:t>
      </w:r>
      <w:r w:rsidR="00F71E43" w:rsidRPr="00977E2D">
        <w:rPr>
          <w:noProof/>
        </w:rPr>
        <w:t>eneration</w:t>
      </w:r>
      <w:r w:rsidRPr="00977E2D">
        <w:rPr>
          <w:noProof/>
        </w:rPr>
        <w:t>EU</w:t>
      </w:r>
      <w:r w:rsidR="00F71E43" w:rsidRPr="00977E2D">
        <w:rPr>
          <w:noProof/>
        </w:rPr>
        <w:t xml:space="preserve"> g</w:t>
      </w:r>
      <w:r w:rsidRPr="00977E2D">
        <w:rPr>
          <w:noProof/>
        </w:rPr>
        <w:t xml:space="preserve">reen </w:t>
      </w:r>
      <w:r w:rsidR="00F71E43" w:rsidRPr="00977E2D">
        <w:rPr>
          <w:noProof/>
        </w:rPr>
        <w:t>b</w:t>
      </w:r>
      <w:r w:rsidRPr="00977E2D">
        <w:rPr>
          <w:noProof/>
        </w:rPr>
        <w:t>ond issuances are supported by a pool of planned eligible expenditure across Member States (EUR 190 b</w:t>
      </w:r>
      <w:r w:rsidR="00F71E43" w:rsidRPr="00977E2D">
        <w:rPr>
          <w:noProof/>
        </w:rPr>
        <w:t>illio</w:t>
      </w:r>
      <w:r w:rsidRPr="00977E2D">
        <w:rPr>
          <w:noProof/>
        </w:rPr>
        <w:t xml:space="preserve">n of eligible investments relative to current </w:t>
      </w:r>
      <w:r w:rsidR="00F71E43" w:rsidRPr="00977E2D">
        <w:rPr>
          <w:noProof/>
        </w:rPr>
        <w:t>g</w:t>
      </w:r>
      <w:r w:rsidRPr="00977E2D">
        <w:rPr>
          <w:noProof/>
        </w:rPr>
        <w:t xml:space="preserve">reen </w:t>
      </w:r>
      <w:r w:rsidR="00F71E43" w:rsidRPr="00977E2D">
        <w:rPr>
          <w:noProof/>
        </w:rPr>
        <w:t>b</w:t>
      </w:r>
      <w:r w:rsidRPr="00977E2D">
        <w:rPr>
          <w:noProof/>
        </w:rPr>
        <w:t>ond issuances of EUR 48.9 b</w:t>
      </w:r>
      <w:r w:rsidR="005515C3" w:rsidRPr="00977E2D">
        <w:rPr>
          <w:noProof/>
        </w:rPr>
        <w:t>illio</w:t>
      </w:r>
      <w:r w:rsidRPr="00977E2D">
        <w:rPr>
          <w:noProof/>
        </w:rPr>
        <w:t>n) a</w:t>
      </w:r>
      <w:r w:rsidR="005515C3" w:rsidRPr="00977E2D">
        <w:rPr>
          <w:noProof/>
        </w:rPr>
        <w:t>nd</w:t>
      </w:r>
      <w:r w:rsidRPr="00977E2D">
        <w:rPr>
          <w:noProof/>
        </w:rPr>
        <w:t xml:space="preserve"> provid</w:t>
      </w:r>
      <w:r w:rsidR="005515C3" w:rsidRPr="00977E2D">
        <w:rPr>
          <w:noProof/>
        </w:rPr>
        <w:t>es</w:t>
      </w:r>
      <w:r w:rsidRPr="00977E2D">
        <w:rPr>
          <w:noProof/>
        </w:rPr>
        <w:t xml:space="preserve"> an update on the </w:t>
      </w:r>
      <w:r w:rsidR="00501CA3" w:rsidRPr="00977E2D">
        <w:rPr>
          <w:noProof/>
        </w:rPr>
        <w:t>actual</w:t>
      </w:r>
      <w:r w:rsidRPr="00977E2D">
        <w:rPr>
          <w:noProof/>
        </w:rPr>
        <w:t xml:space="preserve"> reported </w:t>
      </w:r>
      <w:r w:rsidR="005515C3" w:rsidRPr="00977E2D">
        <w:rPr>
          <w:noProof/>
        </w:rPr>
        <w:t xml:space="preserve">realised green </w:t>
      </w:r>
      <w:r w:rsidRPr="00977E2D">
        <w:rPr>
          <w:noProof/>
        </w:rPr>
        <w:t>expenditure</w:t>
      </w:r>
      <w:r w:rsidR="005515C3" w:rsidRPr="00977E2D">
        <w:rPr>
          <w:noProof/>
        </w:rPr>
        <w:t>s</w:t>
      </w:r>
      <w:r w:rsidRPr="00977E2D">
        <w:rPr>
          <w:noProof/>
        </w:rPr>
        <w:t xml:space="preserve"> </w:t>
      </w:r>
      <w:r w:rsidR="005515C3" w:rsidRPr="00977E2D">
        <w:rPr>
          <w:noProof/>
        </w:rPr>
        <w:t>by</w:t>
      </w:r>
      <w:r w:rsidRPr="00977E2D">
        <w:rPr>
          <w:noProof/>
        </w:rPr>
        <w:t xml:space="preserve"> Member States. </w:t>
      </w:r>
    </w:p>
    <w:p w14:paraId="1199E46A" w14:textId="009E5EB0" w:rsidR="00303954" w:rsidRPr="00105940" w:rsidRDefault="00E85E9C" w:rsidP="009C1A13">
      <w:pPr>
        <w:rPr>
          <w:noProof/>
          <w:spacing w:val="-2"/>
        </w:rPr>
      </w:pPr>
      <w:bookmarkStart w:id="25" w:name="_Hlk157089287"/>
      <w:r w:rsidRPr="00105940">
        <w:rPr>
          <w:noProof/>
          <w:spacing w:val="-2"/>
        </w:rPr>
        <w:t>In addition, the report</w:t>
      </w:r>
      <w:r w:rsidR="00456072" w:rsidRPr="00105940">
        <w:rPr>
          <w:noProof/>
          <w:spacing w:val="-2"/>
        </w:rPr>
        <w:t xml:space="preserve"> estimate</w:t>
      </w:r>
      <w:r w:rsidR="00F71E43" w:rsidRPr="00105940">
        <w:rPr>
          <w:noProof/>
          <w:spacing w:val="-2"/>
        </w:rPr>
        <w:t>s</w:t>
      </w:r>
      <w:r w:rsidR="00456072" w:rsidRPr="00105940">
        <w:rPr>
          <w:noProof/>
          <w:spacing w:val="-2"/>
        </w:rPr>
        <w:t xml:space="preserve"> that the full implementation of N</w:t>
      </w:r>
      <w:r w:rsidR="00F71E43" w:rsidRPr="00105940">
        <w:rPr>
          <w:noProof/>
          <w:spacing w:val="-2"/>
        </w:rPr>
        <w:t>ext</w:t>
      </w:r>
      <w:r w:rsidR="00456072" w:rsidRPr="00105940">
        <w:rPr>
          <w:noProof/>
          <w:spacing w:val="-2"/>
        </w:rPr>
        <w:t>G</w:t>
      </w:r>
      <w:r w:rsidR="00F71E43" w:rsidRPr="00105940">
        <w:rPr>
          <w:noProof/>
          <w:spacing w:val="-2"/>
        </w:rPr>
        <w:t>eneration</w:t>
      </w:r>
      <w:r w:rsidR="00456072" w:rsidRPr="00105940">
        <w:rPr>
          <w:noProof/>
          <w:spacing w:val="-2"/>
        </w:rPr>
        <w:t xml:space="preserve">EU </w:t>
      </w:r>
      <w:r w:rsidR="00F71E43" w:rsidRPr="00105940">
        <w:rPr>
          <w:noProof/>
          <w:spacing w:val="-2"/>
        </w:rPr>
        <w:t>g</w:t>
      </w:r>
      <w:r w:rsidR="00456072" w:rsidRPr="00105940">
        <w:rPr>
          <w:noProof/>
          <w:spacing w:val="-2"/>
        </w:rPr>
        <w:t xml:space="preserve">reen </w:t>
      </w:r>
      <w:r w:rsidR="00F71E43" w:rsidRPr="00105940">
        <w:rPr>
          <w:noProof/>
          <w:spacing w:val="-2"/>
        </w:rPr>
        <w:t>b</w:t>
      </w:r>
      <w:r w:rsidR="00456072" w:rsidRPr="00105940">
        <w:rPr>
          <w:noProof/>
          <w:spacing w:val="-2"/>
        </w:rPr>
        <w:t>ond expenditures can permanently reduce EU greenhouse</w:t>
      </w:r>
      <w:r w:rsidR="006E3BF2" w:rsidRPr="00105940">
        <w:rPr>
          <w:noProof/>
          <w:spacing w:val="-2"/>
        </w:rPr>
        <w:t>-</w:t>
      </w:r>
      <w:r w:rsidR="00456072" w:rsidRPr="00105940">
        <w:rPr>
          <w:noProof/>
          <w:spacing w:val="-2"/>
        </w:rPr>
        <w:t xml:space="preserve">gas emissions by up to 44 million tonnes per </w:t>
      </w:r>
      <w:r w:rsidR="006E3BF2" w:rsidRPr="00105940">
        <w:rPr>
          <w:noProof/>
          <w:spacing w:val="-2"/>
        </w:rPr>
        <w:t>year</w:t>
      </w:r>
      <w:r w:rsidR="00456072" w:rsidRPr="00105940">
        <w:rPr>
          <w:noProof/>
          <w:spacing w:val="-2"/>
        </w:rPr>
        <w:t>, or roughly 1.2</w:t>
      </w:r>
      <w:r w:rsidR="006E3BF2" w:rsidRPr="00105940">
        <w:rPr>
          <w:noProof/>
          <w:spacing w:val="-2"/>
        </w:rPr>
        <w:t>%</w:t>
      </w:r>
      <w:r w:rsidR="00456072" w:rsidRPr="00105940">
        <w:rPr>
          <w:noProof/>
          <w:spacing w:val="-2"/>
        </w:rPr>
        <w:t xml:space="preserve"> of all EU emissions.</w:t>
      </w:r>
      <w:bookmarkEnd w:id="25"/>
      <w:r w:rsidR="00520896" w:rsidRPr="00105940">
        <w:rPr>
          <w:noProof/>
          <w:spacing w:val="-2"/>
        </w:rPr>
        <w:t xml:space="preserve"> </w:t>
      </w:r>
      <w:r w:rsidR="00C51B45" w:rsidRPr="00105940">
        <w:rPr>
          <w:noProof/>
          <w:spacing w:val="-2"/>
        </w:rPr>
        <w:t>The climate impact of already realised expenditure is calculated at 0.5% of the total estimated reduction of greenhouse gas emissions of full programme implementation. This is expected to increase progressively up to 2026, in line with increases in the fulfilled quantifiable milestones and targets. Implemented avoidance of greenhouse gas emissions will be maintained well beyond 2026 for the lifetime of the financed investments.</w:t>
      </w:r>
    </w:p>
    <w:p w14:paraId="15D20713" w14:textId="1C723BF3" w:rsidR="001401DA" w:rsidRPr="009C1A13" w:rsidRDefault="007D6C82" w:rsidP="009C1A13">
      <w:pPr>
        <w:pStyle w:val="Heading1"/>
        <w:rPr>
          <w:noProof/>
        </w:rPr>
      </w:pPr>
      <w:bookmarkStart w:id="26" w:name="_Toc158284859"/>
      <w:bookmarkStart w:id="27" w:name="_Hlk155276042"/>
      <w:bookmarkStart w:id="28" w:name="_Hlk158303590"/>
      <w:bookmarkStart w:id="29" w:name="_Hlk158382887"/>
      <w:r w:rsidRPr="009C1A13">
        <w:rPr>
          <w:noProof/>
        </w:rPr>
        <w:t>Issuance outlook</w:t>
      </w:r>
      <w:r w:rsidR="003668D8" w:rsidRPr="009C1A13">
        <w:rPr>
          <w:noProof/>
        </w:rPr>
        <w:t xml:space="preserve"> for</w:t>
      </w:r>
      <w:r w:rsidR="001401DA" w:rsidRPr="009C1A13">
        <w:rPr>
          <w:noProof/>
        </w:rPr>
        <w:t xml:space="preserve"> the </w:t>
      </w:r>
      <w:r w:rsidR="00D975B1" w:rsidRPr="009C1A13">
        <w:rPr>
          <w:noProof/>
        </w:rPr>
        <w:t>first</w:t>
      </w:r>
      <w:r w:rsidR="001401DA" w:rsidRPr="009C1A13">
        <w:rPr>
          <w:noProof/>
        </w:rPr>
        <w:t xml:space="preserve"> half of</w:t>
      </w:r>
      <w:r w:rsidR="003668D8" w:rsidRPr="009C1A13">
        <w:rPr>
          <w:noProof/>
        </w:rPr>
        <w:t xml:space="preserve"> 202</w:t>
      </w:r>
      <w:r w:rsidR="00D975B1" w:rsidRPr="009C1A13">
        <w:rPr>
          <w:noProof/>
        </w:rPr>
        <w:t>4</w:t>
      </w:r>
      <w:bookmarkEnd w:id="26"/>
    </w:p>
    <w:p w14:paraId="7F9D5894" w14:textId="7B726ED1" w:rsidR="003F3424" w:rsidRPr="00105940" w:rsidRDefault="00A450A6" w:rsidP="00F13D4C">
      <w:pPr>
        <w:rPr>
          <w:noProof/>
        </w:rPr>
      </w:pPr>
      <w:r w:rsidRPr="000123E4">
        <w:rPr>
          <w:noProof/>
          <w:lang w:val="en-GB"/>
        </w:rPr>
        <w:t xml:space="preserve">On </w:t>
      </w:r>
      <w:r w:rsidR="00D975B1">
        <w:rPr>
          <w:noProof/>
          <w:lang w:val="en-GB"/>
        </w:rPr>
        <w:t>12</w:t>
      </w:r>
      <w:r w:rsidRPr="000123E4">
        <w:rPr>
          <w:noProof/>
          <w:lang w:val="en-GB"/>
        </w:rPr>
        <w:t xml:space="preserve"> </w:t>
      </w:r>
      <w:r w:rsidR="00D975B1">
        <w:rPr>
          <w:noProof/>
          <w:lang w:val="en-GB"/>
        </w:rPr>
        <w:t>December</w:t>
      </w:r>
      <w:r w:rsidRPr="000123E4">
        <w:rPr>
          <w:noProof/>
          <w:lang w:val="en-GB"/>
        </w:rPr>
        <w:t xml:space="preserve"> 2023, the Commission issued its </w:t>
      </w:r>
      <w:r w:rsidRPr="000123E4">
        <w:rPr>
          <w:noProof/>
        </w:rPr>
        <w:t>half-yearly funding plan for J</w:t>
      </w:r>
      <w:r w:rsidR="00D975B1">
        <w:rPr>
          <w:noProof/>
        </w:rPr>
        <w:t>anuary</w:t>
      </w:r>
      <w:r w:rsidRPr="000123E4">
        <w:rPr>
          <w:noProof/>
        </w:rPr>
        <w:t xml:space="preserve"> to end-</w:t>
      </w:r>
      <w:r w:rsidR="00D975B1">
        <w:rPr>
          <w:noProof/>
        </w:rPr>
        <w:t>June</w:t>
      </w:r>
      <w:r w:rsidRPr="000123E4">
        <w:rPr>
          <w:noProof/>
        </w:rPr>
        <w:t xml:space="preserve"> 202</w:t>
      </w:r>
      <w:r w:rsidR="00D975B1">
        <w:rPr>
          <w:noProof/>
        </w:rPr>
        <w:t>4</w:t>
      </w:r>
      <w:r w:rsidRPr="000123E4">
        <w:rPr>
          <w:noProof/>
        </w:rPr>
        <w:t xml:space="preserve">. In the </w:t>
      </w:r>
      <w:r w:rsidR="00D975B1">
        <w:rPr>
          <w:noProof/>
        </w:rPr>
        <w:t>first</w:t>
      </w:r>
      <w:r w:rsidRPr="000123E4">
        <w:rPr>
          <w:noProof/>
        </w:rPr>
        <w:t xml:space="preserve"> </w:t>
      </w:r>
      <w:r w:rsidRPr="003E3635">
        <w:rPr>
          <w:noProof/>
        </w:rPr>
        <w:t>half of 202</w:t>
      </w:r>
      <w:r w:rsidR="00D975B1" w:rsidRPr="003E3635">
        <w:rPr>
          <w:noProof/>
        </w:rPr>
        <w:t>4</w:t>
      </w:r>
      <w:r w:rsidRPr="003E3635">
        <w:rPr>
          <w:noProof/>
        </w:rPr>
        <w:t xml:space="preserve">, the Commission intends to issue EUR </w:t>
      </w:r>
      <w:r w:rsidR="00D975B1" w:rsidRPr="003E3635">
        <w:rPr>
          <w:noProof/>
        </w:rPr>
        <w:t>75</w:t>
      </w:r>
      <w:r w:rsidRPr="003E3635">
        <w:rPr>
          <w:noProof/>
        </w:rPr>
        <w:t xml:space="preserve"> billion in EU-Bonds, complemented by short-term EU-Bills. The Commission will use these funds to</w:t>
      </w:r>
      <w:r w:rsidR="00D975B1" w:rsidRPr="003E3635">
        <w:rPr>
          <w:noProof/>
        </w:rPr>
        <w:t xml:space="preserve"> primarily</w:t>
      </w:r>
      <w:r w:rsidRPr="003E3635">
        <w:rPr>
          <w:noProof/>
        </w:rPr>
        <w:t xml:space="preserve"> finance NextGenerationEU (including possible payments</w:t>
      </w:r>
      <w:r w:rsidR="00BF7E10" w:rsidRPr="003E3635">
        <w:rPr>
          <w:noProof/>
        </w:rPr>
        <w:t xml:space="preserve"> for measures included</w:t>
      </w:r>
      <w:r w:rsidRPr="003E3635">
        <w:rPr>
          <w:noProof/>
        </w:rPr>
        <w:t xml:space="preserve"> </w:t>
      </w:r>
      <w:r w:rsidR="00BF7E10" w:rsidRPr="003E3635">
        <w:rPr>
          <w:noProof/>
        </w:rPr>
        <w:t>in the</w:t>
      </w:r>
      <w:r w:rsidRPr="003E3635">
        <w:rPr>
          <w:noProof/>
        </w:rPr>
        <w:t xml:space="preserve"> REPowerEU</w:t>
      </w:r>
      <w:r w:rsidR="00BF7E10" w:rsidRPr="003E3635">
        <w:rPr>
          <w:noProof/>
        </w:rPr>
        <w:t xml:space="preserve"> chapters</w:t>
      </w:r>
      <w:r w:rsidRPr="003E3635">
        <w:rPr>
          <w:noProof/>
        </w:rPr>
        <w:t>).</w:t>
      </w:r>
      <w:bookmarkEnd w:id="27"/>
      <w:bookmarkEnd w:id="28"/>
      <w:r w:rsidR="003E3635">
        <w:rPr>
          <w:noProof/>
        </w:rPr>
        <w:t xml:space="preserve"> </w:t>
      </w:r>
      <w:r w:rsidR="008E4F81">
        <w:rPr>
          <w:noProof/>
        </w:rPr>
        <w:t>With the unified funding strategy in place, other policies can also be financed from the planned issuance upon agreement of the EU legislative authorities</w:t>
      </w:r>
      <w:r w:rsidR="003F3424" w:rsidRPr="003F3424">
        <w:rPr>
          <w:noProof/>
        </w:rPr>
        <w:t>.</w:t>
      </w:r>
      <w:bookmarkEnd w:id="29"/>
    </w:p>
    <w:p w14:paraId="7DBF6AC6" w14:textId="0ED63147" w:rsidR="003F3424" w:rsidRPr="00F13D4C" w:rsidRDefault="003F3424" w:rsidP="00F13D4C">
      <w:pPr>
        <w:rPr>
          <w:noProof/>
          <w:lang w:val="en-GB"/>
        </w:rPr>
        <w:sectPr w:rsidR="003F3424" w:rsidRPr="00F13D4C" w:rsidSect="00CA43D7">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08" w:footer="708" w:gutter="0"/>
          <w:cols w:space="708"/>
          <w:docGrid w:linePitch="360"/>
        </w:sectPr>
      </w:pPr>
    </w:p>
    <w:p w14:paraId="1A69248E" w14:textId="0635C0F5" w:rsidR="00D73D12" w:rsidRPr="004D59F2" w:rsidRDefault="00325F9E" w:rsidP="00801BCC">
      <w:pPr>
        <w:ind w:right="254"/>
        <w:rPr>
          <w:b/>
          <w:bCs/>
          <w:noProof/>
          <w:color w:val="034EA2" w:themeColor="accent1"/>
          <w:lang w:val="en-GB"/>
        </w:rPr>
      </w:pPr>
      <w:r w:rsidRPr="009C1A13">
        <w:rPr>
          <w:b/>
          <w:bCs/>
          <w:noProof/>
          <w:color w:val="034EA2" w:themeColor="accent1"/>
        </w:rPr>
        <w:t>Annex</w:t>
      </w:r>
      <w:r w:rsidR="00A046A3" w:rsidRPr="009C1A13">
        <w:rPr>
          <w:b/>
          <w:bCs/>
          <w:noProof/>
          <w:color w:val="034EA2" w:themeColor="accent1"/>
        </w:rPr>
        <w:t>: I</w:t>
      </w:r>
      <w:r w:rsidR="006C29D5" w:rsidRPr="009C1A13">
        <w:rPr>
          <w:b/>
          <w:bCs/>
          <w:noProof/>
          <w:color w:val="034EA2" w:themeColor="accent1"/>
        </w:rPr>
        <w:t>mplementation i</w:t>
      </w:r>
      <w:r w:rsidR="00A046A3" w:rsidRPr="009C1A13">
        <w:rPr>
          <w:b/>
          <w:bCs/>
          <w:noProof/>
          <w:color w:val="034EA2" w:themeColor="accent1"/>
        </w:rPr>
        <w:t>ndicator</w:t>
      </w:r>
      <w:r w:rsidR="006C29D5" w:rsidRPr="009C1A13">
        <w:rPr>
          <w:b/>
          <w:bCs/>
          <w:noProof/>
          <w:color w:val="034EA2" w:themeColor="accent1"/>
        </w:rPr>
        <w:t>s on the</w:t>
      </w:r>
      <w:r w:rsidR="00A046A3" w:rsidRPr="009C1A13">
        <w:rPr>
          <w:b/>
          <w:bCs/>
          <w:noProof/>
          <w:color w:val="034EA2" w:themeColor="accent1"/>
        </w:rPr>
        <w:t xml:space="preserve"> </w:t>
      </w:r>
      <w:r w:rsidR="006C29D5" w:rsidRPr="009C1A13">
        <w:rPr>
          <w:b/>
          <w:bCs/>
          <w:noProof/>
          <w:color w:val="034EA2" w:themeColor="accent1"/>
        </w:rPr>
        <w:t>use</w:t>
      </w:r>
      <w:r w:rsidR="00A046A3" w:rsidRPr="009C1A13">
        <w:rPr>
          <w:b/>
          <w:bCs/>
          <w:noProof/>
          <w:color w:val="034EA2" w:themeColor="accent1"/>
        </w:rPr>
        <w:t xml:space="preserve"> </w:t>
      </w:r>
      <w:r w:rsidR="006C29D5" w:rsidRPr="009C1A13">
        <w:rPr>
          <w:b/>
          <w:bCs/>
          <w:noProof/>
          <w:color w:val="034EA2" w:themeColor="accent1"/>
        </w:rPr>
        <w:t xml:space="preserve">of </w:t>
      </w:r>
      <w:r w:rsidR="00A046A3" w:rsidRPr="009C1A13">
        <w:rPr>
          <w:b/>
          <w:bCs/>
          <w:noProof/>
          <w:color w:val="034EA2" w:themeColor="accent1"/>
        </w:rPr>
        <w:t xml:space="preserve">the means </w:t>
      </w:r>
      <w:r w:rsidR="006C29D5" w:rsidRPr="009C1A13">
        <w:rPr>
          <w:b/>
          <w:bCs/>
          <w:noProof/>
          <w:color w:val="034EA2" w:themeColor="accent1"/>
        </w:rPr>
        <w:t>for</w:t>
      </w:r>
      <w:r w:rsidR="00A046A3" w:rsidRPr="009C1A13">
        <w:rPr>
          <w:b/>
          <w:bCs/>
          <w:noProof/>
          <w:color w:val="034EA2" w:themeColor="accent1"/>
        </w:rPr>
        <w:t xml:space="preserve"> deliver</w:t>
      </w:r>
      <w:r w:rsidR="006C29D5" w:rsidRPr="009C1A13">
        <w:rPr>
          <w:b/>
          <w:bCs/>
          <w:noProof/>
          <w:color w:val="034EA2" w:themeColor="accent1"/>
        </w:rPr>
        <w:t>ing</w:t>
      </w:r>
      <w:r w:rsidR="00A046A3" w:rsidRPr="009C1A13">
        <w:rPr>
          <w:b/>
          <w:bCs/>
          <w:noProof/>
          <w:color w:val="034EA2" w:themeColor="accent1"/>
        </w:rPr>
        <w:t xml:space="preserve"> against the </w:t>
      </w:r>
      <w:r w:rsidRPr="009C1A13">
        <w:rPr>
          <w:b/>
          <w:bCs/>
          <w:noProof/>
          <w:color w:val="034EA2" w:themeColor="accent1"/>
        </w:rPr>
        <w:t>Commission’s overarching debt</w:t>
      </w:r>
      <w:r w:rsidR="007A0D9A" w:rsidRPr="009C1A13">
        <w:rPr>
          <w:b/>
          <w:bCs/>
          <w:noProof/>
          <w:color w:val="034EA2" w:themeColor="accent1"/>
        </w:rPr>
        <w:t>-</w:t>
      </w:r>
      <w:r w:rsidRPr="009C1A13">
        <w:rPr>
          <w:b/>
          <w:bCs/>
          <w:noProof/>
          <w:color w:val="034EA2" w:themeColor="accent1"/>
        </w:rPr>
        <w:t>management strategy</w:t>
      </w:r>
      <w:r w:rsidR="00A046A3" w:rsidRPr="009C1A13">
        <w:rPr>
          <w:b/>
          <w:bCs/>
          <w:noProof/>
          <w:color w:val="034EA2" w:themeColor="accent1"/>
        </w:rPr>
        <w:t>’s efficiency and effectiveness objectives</w:t>
      </w:r>
    </w:p>
    <w:tbl>
      <w:tblPr>
        <w:tblStyle w:val="GridTable4-Accent5"/>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1664"/>
        <w:gridCol w:w="3264"/>
        <w:gridCol w:w="2268"/>
        <w:gridCol w:w="2551"/>
        <w:gridCol w:w="4678"/>
      </w:tblGrid>
      <w:tr w:rsidR="00FA6020" w:rsidRPr="00801BCC" w14:paraId="732E9070" w14:textId="77777777" w:rsidTr="005952C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928" w:type="dxa"/>
            <w:gridSpan w:val="2"/>
            <w:tcBorders>
              <w:top w:val="none" w:sz="0" w:space="0" w:color="auto"/>
              <w:left w:val="none" w:sz="0" w:space="0" w:color="auto"/>
              <w:bottom w:val="none" w:sz="0" w:space="0" w:color="auto"/>
              <w:right w:val="none" w:sz="0" w:space="0" w:color="auto"/>
            </w:tcBorders>
            <w:shd w:val="clear" w:color="auto" w:fill="034EA2" w:themeFill="accent1"/>
            <w:vAlign w:val="center"/>
          </w:tcPr>
          <w:p w14:paraId="0ED6D139" w14:textId="77777777" w:rsidR="00FA6020" w:rsidRPr="00801BCC" w:rsidRDefault="00FA6020" w:rsidP="000A7085">
            <w:pPr>
              <w:jc w:val="left"/>
              <w:rPr>
                <w:noProof/>
                <w:sz w:val="20"/>
                <w:szCs w:val="20"/>
              </w:rPr>
            </w:pPr>
            <w:r w:rsidRPr="00801BCC">
              <w:rPr>
                <w:noProof/>
                <w:sz w:val="20"/>
                <w:szCs w:val="20"/>
              </w:rPr>
              <w:t>Means</w:t>
            </w:r>
          </w:p>
        </w:tc>
        <w:tc>
          <w:tcPr>
            <w:tcW w:w="2268" w:type="dxa"/>
            <w:tcBorders>
              <w:top w:val="none" w:sz="0" w:space="0" w:color="auto"/>
              <w:left w:val="none" w:sz="0" w:space="0" w:color="auto"/>
              <w:bottom w:val="none" w:sz="0" w:space="0" w:color="auto"/>
              <w:right w:val="none" w:sz="0" w:space="0" w:color="auto"/>
            </w:tcBorders>
            <w:shd w:val="clear" w:color="auto" w:fill="034EA2" w:themeFill="accent1"/>
            <w:vAlign w:val="center"/>
          </w:tcPr>
          <w:p w14:paraId="62253EBD" w14:textId="77777777" w:rsidR="00FA6020" w:rsidRPr="00801BCC" w:rsidRDefault="00FA6020" w:rsidP="008A34F5">
            <w:pPr>
              <w:ind w:left="113" w:hanging="113"/>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Indicator</w:t>
            </w:r>
          </w:p>
        </w:tc>
        <w:tc>
          <w:tcPr>
            <w:tcW w:w="2551" w:type="dxa"/>
            <w:tcBorders>
              <w:top w:val="none" w:sz="0" w:space="0" w:color="auto"/>
              <w:left w:val="none" w:sz="0" w:space="0" w:color="auto"/>
              <w:bottom w:val="none" w:sz="0" w:space="0" w:color="auto"/>
              <w:right w:val="none" w:sz="0" w:space="0" w:color="auto"/>
            </w:tcBorders>
            <w:shd w:val="clear" w:color="auto" w:fill="034EA2" w:themeFill="accent1"/>
            <w:vAlign w:val="center"/>
          </w:tcPr>
          <w:p w14:paraId="49E4B9FE" w14:textId="77777777" w:rsidR="00FA6020" w:rsidRPr="00801BCC" w:rsidRDefault="00FA6020" w:rsidP="008A34F5">
            <w:pPr>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Value in H2 2023 (unless indicated otherwise)</w:t>
            </w:r>
          </w:p>
        </w:tc>
        <w:tc>
          <w:tcPr>
            <w:tcW w:w="4678" w:type="dxa"/>
            <w:tcBorders>
              <w:top w:val="none" w:sz="0" w:space="0" w:color="auto"/>
              <w:left w:val="none" w:sz="0" w:space="0" w:color="auto"/>
              <w:bottom w:val="none" w:sz="0" w:space="0" w:color="auto"/>
              <w:right w:val="none" w:sz="0" w:space="0" w:color="auto"/>
            </w:tcBorders>
            <w:shd w:val="clear" w:color="auto" w:fill="034EA2" w:themeFill="accent1"/>
            <w:vAlign w:val="center"/>
          </w:tcPr>
          <w:p w14:paraId="66C01D3D" w14:textId="77777777" w:rsidR="00FA6020" w:rsidRPr="00801BCC" w:rsidRDefault="00FA6020" w:rsidP="008A34F5">
            <w:pPr>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Commentary on execution in H2 2023</w:t>
            </w:r>
          </w:p>
        </w:tc>
      </w:tr>
      <w:tr w:rsidR="00A824B4" w:rsidRPr="00801BCC" w14:paraId="45B66FD5" w14:textId="77777777" w:rsidTr="00595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5C680C60" w14:textId="77777777" w:rsidR="00FA6020" w:rsidRPr="00801BCC" w:rsidRDefault="00FA6020" w:rsidP="000A7085">
            <w:pPr>
              <w:jc w:val="left"/>
              <w:rPr>
                <w:noProof/>
                <w:color w:val="034EA2" w:themeColor="accent1"/>
                <w:sz w:val="20"/>
                <w:szCs w:val="20"/>
              </w:rPr>
            </w:pPr>
            <w:r w:rsidRPr="00801BCC">
              <w:rPr>
                <w:noProof/>
                <w:color w:val="034EA2" w:themeColor="accent1"/>
                <w:sz w:val="20"/>
                <w:szCs w:val="20"/>
              </w:rPr>
              <w:t>Implementation of the EU-Bond programme</w:t>
            </w:r>
          </w:p>
          <w:p w14:paraId="1EAFAA1A" w14:textId="77777777" w:rsidR="00FA6020" w:rsidRPr="00801BCC" w:rsidRDefault="00FA6020" w:rsidP="000A7085">
            <w:pPr>
              <w:jc w:val="left"/>
              <w:rPr>
                <w:noProof/>
                <w:sz w:val="20"/>
                <w:szCs w:val="20"/>
              </w:rPr>
            </w:pPr>
          </w:p>
        </w:tc>
        <w:tc>
          <w:tcPr>
            <w:tcW w:w="3264" w:type="dxa"/>
            <w:vMerge w:val="restart"/>
            <w:shd w:val="clear" w:color="auto" w:fill="auto"/>
          </w:tcPr>
          <w:p w14:paraId="541D5826" w14:textId="33F42E76" w:rsidR="00FA6020" w:rsidRPr="00801BCC" w:rsidRDefault="00F51815" w:rsidP="000A7085">
            <w:pPr>
              <w:pStyle w:val="ListParagraph"/>
              <w:numPr>
                <w:ilvl w:val="0"/>
                <w:numId w:val="27"/>
              </w:numPr>
              <w:spacing w:after="60" w:line="240" w:lineRule="auto"/>
              <w:ind w:left="170" w:hanging="170"/>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20"/>
                <w:szCs w:val="20"/>
              </w:rPr>
            </w:pPr>
            <w:r>
              <w:rPr>
                <w:rFonts w:ascii="EC Square Sans Pro" w:hAnsi="EC Square Sans Pro" w:cs="Times New Roman"/>
                <w:noProof/>
                <w:color w:val="034EA2" w:themeColor="accent1"/>
                <w:sz w:val="20"/>
                <w:szCs w:val="20"/>
              </w:rPr>
              <w:t xml:space="preserve"> </w:t>
            </w:r>
            <w:r w:rsidR="00FA6020" w:rsidRPr="00801BCC">
              <w:rPr>
                <w:rFonts w:ascii="EC Square Sans Pro" w:hAnsi="EC Square Sans Pro" w:cs="Times New Roman"/>
                <w:noProof/>
                <w:color w:val="034EA2" w:themeColor="accent1"/>
                <w:sz w:val="20"/>
                <w:szCs w:val="20"/>
              </w:rPr>
              <w:t>Regular issuances across the curve</w:t>
            </w:r>
          </w:p>
          <w:p w14:paraId="04CB8632" w14:textId="77777777" w:rsidR="00FA6020" w:rsidRPr="00801BCC" w:rsidRDefault="00FA6020" w:rsidP="000A7085">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Regular EU-Bond (and NGEU green bond) issuances in all maturities across the curve (up to 30 years) to provide different types of investors with investment opportunities as a way of maintaining strong investor demand and thus the flexibility to determine issuance volumes and maturities for individual transactions based on market conditions.</w:t>
            </w:r>
          </w:p>
        </w:tc>
        <w:tc>
          <w:tcPr>
            <w:tcW w:w="2268" w:type="dxa"/>
            <w:shd w:val="clear" w:color="auto" w:fill="auto"/>
          </w:tcPr>
          <w:p w14:paraId="0EE7DE38" w14:textId="77777777" w:rsidR="00FA6020" w:rsidRPr="00801BCC" w:rsidRDefault="00FA6020" w:rsidP="00286E0A">
            <w:pPr>
              <w:pStyle w:val="ListParagraph"/>
              <w:numPr>
                <w:ilvl w:val="0"/>
                <w:numId w:val="20"/>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Maturity split of issuance programme</w:t>
            </w:r>
          </w:p>
        </w:tc>
        <w:tc>
          <w:tcPr>
            <w:tcW w:w="2551" w:type="dxa"/>
            <w:shd w:val="clear" w:color="auto" w:fill="auto"/>
          </w:tcPr>
          <w:p w14:paraId="7044CAB4" w14:textId="77777777" w:rsidR="00FA6020" w:rsidRPr="00801BCC" w:rsidRDefault="00FA6020" w:rsidP="008D4CA4">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1-4 years: 11%</w:t>
            </w:r>
          </w:p>
          <w:p w14:paraId="1A215CB8" w14:textId="77777777" w:rsidR="00FA6020" w:rsidRPr="00801BCC" w:rsidRDefault="00FA6020" w:rsidP="008D4CA4">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 xml:space="preserve">4-8 years: 37% </w:t>
            </w:r>
          </w:p>
          <w:p w14:paraId="0CEEC61B" w14:textId="77777777" w:rsidR="00FA6020" w:rsidRPr="00801BCC" w:rsidRDefault="00FA6020" w:rsidP="008D4CA4">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8-12 years: 10%</w:t>
            </w:r>
          </w:p>
          <w:p w14:paraId="3F32A352" w14:textId="77777777" w:rsidR="00FA6020" w:rsidRPr="00801BCC" w:rsidRDefault="00FA6020" w:rsidP="008D4CA4">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12-17 years: 6%</w:t>
            </w:r>
          </w:p>
          <w:p w14:paraId="14B04C65" w14:textId="77777777" w:rsidR="00FA6020" w:rsidRPr="00801BCC" w:rsidRDefault="00FA6020" w:rsidP="008D4CA4">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17-23 years: 14%</w:t>
            </w:r>
          </w:p>
          <w:p w14:paraId="4A6F7CBB" w14:textId="77777777" w:rsidR="00FA6020" w:rsidRPr="00801BCC" w:rsidRDefault="00FA6020" w:rsidP="008D4CA4">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lang w:val="fr-BE"/>
              </w:rPr>
              <w:t xml:space="preserve">23-31 </w:t>
            </w:r>
            <w:r w:rsidRPr="00801BCC">
              <w:rPr>
                <w:noProof/>
                <w:sz w:val="20"/>
                <w:szCs w:val="20"/>
              </w:rPr>
              <w:t xml:space="preserve">years: </w:t>
            </w:r>
            <w:r w:rsidRPr="00801BCC">
              <w:rPr>
                <w:noProof/>
                <w:sz w:val="20"/>
                <w:szCs w:val="20"/>
                <w:lang w:val="fr-BE"/>
              </w:rPr>
              <w:t>22%</w:t>
            </w:r>
          </w:p>
        </w:tc>
        <w:tc>
          <w:tcPr>
            <w:tcW w:w="4678" w:type="dxa"/>
            <w:vMerge w:val="restart"/>
            <w:shd w:val="clear" w:color="auto" w:fill="auto"/>
          </w:tcPr>
          <w:p w14:paraId="3210FB0F" w14:textId="77777777" w:rsidR="00FA6020" w:rsidRPr="00801BCC" w:rsidRDefault="00FA6020" w:rsidP="008562DF">
            <w:pPr>
              <w:spacing w:after="120"/>
              <w:cnfStyle w:val="000000100000" w:firstRow="0" w:lastRow="0" w:firstColumn="0" w:lastColumn="0" w:oddVBand="0" w:evenVBand="0" w:oddHBand="1" w:evenHBand="0" w:firstRowFirstColumn="0" w:firstRowLastColumn="0" w:lastRowFirstColumn="0" w:lastRowLastColumn="0"/>
              <w:rPr>
                <w:bCs/>
                <w:noProof/>
                <w:sz w:val="20"/>
                <w:szCs w:val="20"/>
              </w:rPr>
            </w:pPr>
            <w:r w:rsidRPr="00801BCC">
              <w:rPr>
                <w:noProof/>
                <w:sz w:val="20"/>
                <w:szCs w:val="20"/>
              </w:rPr>
              <w:t>In H2 2023 the Commission pursued its objective through r</w:t>
            </w:r>
            <w:r w:rsidRPr="00801BCC">
              <w:rPr>
                <w:bCs/>
                <w:noProof/>
                <w:sz w:val="20"/>
                <w:szCs w:val="20"/>
              </w:rPr>
              <w:t>egular bond issuances across different tenors to provide the EU curve with liquidity on all segments. The funding transactions were spread over the semester to ensure a regular presence in the market. Over the semester, fewer transactions were made than in the previous semester due to the lower H2 2023 funding target of up to EUR 40 billion (compared with EUR 80 billion in H1 2023).</w:t>
            </w:r>
          </w:p>
          <w:p w14:paraId="507C4238" w14:textId="77777777" w:rsidR="00FA6020" w:rsidRPr="00801BCC" w:rsidRDefault="00FA6020" w:rsidP="008562DF">
            <w:pPr>
              <w:spacing w:after="120"/>
              <w:cnfStyle w:val="000000100000" w:firstRow="0" w:lastRow="0" w:firstColumn="0" w:lastColumn="0" w:oddVBand="0" w:evenVBand="0" w:oddHBand="1" w:evenHBand="0" w:firstRowFirstColumn="0" w:firstRowLastColumn="0" w:lastRowFirstColumn="0" w:lastRowLastColumn="0"/>
              <w:rPr>
                <w:bCs/>
                <w:noProof/>
                <w:sz w:val="20"/>
                <w:szCs w:val="20"/>
              </w:rPr>
            </w:pPr>
            <w:r w:rsidRPr="00801BCC">
              <w:rPr>
                <w:bCs/>
                <w:noProof/>
                <w:sz w:val="20"/>
                <w:szCs w:val="20"/>
              </w:rPr>
              <w:t>While ensuring a presence in all benchmark maturity buckets, the issuances were, on average, geared slightly towards the long-end of the curve (with an average maturity of issuances of around 13 years), in light of the need to spread redemptions over time but also stronger demand from investors for long-dated EU-Bonds.</w:t>
            </w:r>
          </w:p>
          <w:p w14:paraId="4A053B08" w14:textId="77777777" w:rsidR="00FA6020" w:rsidRPr="00801BCC" w:rsidRDefault="00FA6020" w:rsidP="008562DF">
            <w:pPr>
              <w:spacing w:after="120"/>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bCs/>
                <w:noProof/>
                <w:sz w:val="20"/>
                <w:szCs w:val="20"/>
              </w:rPr>
              <w:t xml:space="preserve">Green bond issuances were lower than in the previous semester, in line with the lower overall funding target, cumulative reported </w:t>
            </w:r>
            <w:r w:rsidRPr="00801BCC">
              <w:rPr>
                <w:noProof/>
                <w:sz w:val="20"/>
                <w:szCs w:val="20"/>
              </w:rPr>
              <w:t xml:space="preserve">green expenditures by Member States, and </w:t>
            </w:r>
            <w:r w:rsidRPr="00801BCC">
              <w:rPr>
                <w:bCs/>
                <w:noProof/>
                <w:sz w:val="20"/>
                <w:szCs w:val="20"/>
              </w:rPr>
              <w:t xml:space="preserve">appropriate calibration of green bond issuances to these expenditures. </w:t>
            </w:r>
          </w:p>
        </w:tc>
      </w:tr>
      <w:tr w:rsidR="00A824B4" w:rsidRPr="00801BCC" w14:paraId="2E600C8D" w14:textId="77777777" w:rsidTr="005952C7">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02ED14A0" w14:textId="77777777" w:rsidR="00FA6020" w:rsidRPr="00801BCC" w:rsidRDefault="00FA6020" w:rsidP="000A7085">
            <w:pPr>
              <w:jc w:val="left"/>
              <w:rPr>
                <w:b w:val="0"/>
                <w:bCs w:val="0"/>
                <w:noProof/>
                <w:color w:val="034EA2" w:themeColor="accent1"/>
                <w:sz w:val="20"/>
                <w:szCs w:val="20"/>
              </w:rPr>
            </w:pPr>
          </w:p>
        </w:tc>
        <w:tc>
          <w:tcPr>
            <w:tcW w:w="3264" w:type="dxa"/>
            <w:vMerge/>
          </w:tcPr>
          <w:p w14:paraId="5C3CF439" w14:textId="77777777" w:rsidR="00FA6020" w:rsidRPr="00801BCC" w:rsidRDefault="00FA6020" w:rsidP="000A7085">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20"/>
                <w:szCs w:val="20"/>
              </w:rPr>
            </w:pPr>
          </w:p>
        </w:tc>
        <w:tc>
          <w:tcPr>
            <w:tcW w:w="2268" w:type="dxa"/>
            <w:shd w:val="clear" w:color="auto" w:fill="auto"/>
          </w:tcPr>
          <w:p w14:paraId="29720E18" w14:textId="77777777" w:rsidR="00FA6020" w:rsidRPr="00801BCC" w:rsidRDefault="00FA6020" w:rsidP="00286E0A">
            <w:pPr>
              <w:pStyle w:val="ListParagraph"/>
              <w:numPr>
                <w:ilvl w:val="0"/>
                <w:numId w:val="20"/>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i/>
                <w:iCs/>
                <w:noProof/>
                <w:sz w:val="20"/>
                <w:szCs w:val="20"/>
              </w:rPr>
            </w:pPr>
            <w:r w:rsidRPr="00801BCC">
              <w:rPr>
                <w:rFonts w:ascii="EC Square Sans Pro" w:hAnsi="EC Square Sans Pro" w:cs="Times New Roman"/>
                <w:i/>
                <w:iCs/>
                <w:noProof/>
                <w:sz w:val="20"/>
                <w:szCs w:val="20"/>
              </w:rPr>
              <w:t>Timely distribution of issuances</w:t>
            </w:r>
          </w:p>
          <w:p w14:paraId="179381F8" w14:textId="77777777" w:rsidR="00FA6020" w:rsidRPr="00801BCC" w:rsidRDefault="00FA6020" w:rsidP="00286E0A">
            <w:pPr>
              <w:spacing w:after="40"/>
              <w:ind w:left="226" w:hanging="113"/>
              <w:jc w:val="left"/>
              <w:cnfStyle w:val="000000000000" w:firstRow="0" w:lastRow="0" w:firstColumn="0" w:lastColumn="0" w:oddVBand="0" w:evenVBand="0" w:oddHBand="0" w:evenHBand="0" w:firstRowFirstColumn="0" w:firstRowLastColumn="0" w:lastRowFirstColumn="0" w:lastRowLastColumn="0"/>
              <w:rPr>
                <w:i/>
                <w:iCs/>
                <w:noProof/>
                <w:sz w:val="20"/>
                <w:szCs w:val="20"/>
              </w:rPr>
            </w:pPr>
          </w:p>
        </w:tc>
        <w:tc>
          <w:tcPr>
            <w:tcW w:w="2551" w:type="dxa"/>
            <w:shd w:val="clear" w:color="auto" w:fill="auto"/>
          </w:tcPr>
          <w:p w14:paraId="10EDB301" w14:textId="77777777" w:rsidR="00FA6020" w:rsidRPr="00801BCC" w:rsidRDefault="00FA6020" w:rsidP="008D4CA4">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4 syndications and 4 bond auctions, resulting in 1-2 issuances per month.</w:t>
            </w:r>
          </w:p>
        </w:tc>
        <w:tc>
          <w:tcPr>
            <w:tcW w:w="4678" w:type="dxa"/>
            <w:vMerge/>
          </w:tcPr>
          <w:p w14:paraId="09F8F1C7"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p>
        </w:tc>
      </w:tr>
      <w:tr w:rsidR="00A824B4" w:rsidRPr="00801BCC" w14:paraId="1713A0AB" w14:textId="77777777" w:rsidTr="00595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5CE4BF9" w14:textId="77777777" w:rsidR="00FA6020" w:rsidRPr="00801BCC" w:rsidRDefault="00FA6020" w:rsidP="000A7085">
            <w:pPr>
              <w:jc w:val="left"/>
              <w:rPr>
                <w:b w:val="0"/>
                <w:bCs w:val="0"/>
                <w:noProof/>
                <w:color w:val="034EA2" w:themeColor="accent1"/>
                <w:sz w:val="20"/>
                <w:szCs w:val="20"/>
              </w:rPr>
            </w:pPr>
          </w:p>
        </w:tc>
        <w:tc>
          <w:tcPr>
            <w:tcW w:w="3264" w:type="dxa"/>
            <w:vMerge/>
          </w:tcPr>
          <w:p w14:paraId="464565A0" w14:textId="77777777" w:rsidR="00FA6020" w:rsidRPr="00801BCC" w:rsidRDefault="00FA6020" w:rsidP="000A7085">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20"/>
                <w:szCs w:val="20"/>
              </w:rPr>
            </w:pPr>
          </w:p>
        </w:tc>
        <w:tc>
          <w:tcPr>
            <w:tcW w:w="2268" w:type="dxa"/>
            <w:shd w:val="clear" w:color="auto" w:fill="auto"/>
          </w:tcPr>
          <w:p w14:paraId="6F58809E" w14:textId="77777777" w:rsidR="00FA6020" w:rsidRPr="00801BCC" w:rsidRDefault="00FA6020" w:rsidP="00286E0A">
            <w:pPr>
              <w:pStyle w:val="ListParagraph"/>
              <w:numPr>
                <w:ilvl w:val="0"/>
                <w:numId w:val="20"/>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Green issuances</w:t>
            </w:r>
            <w:r w:rsidRPr="00801BCC">
              <w:rPr>
                <w:rStyle w:val="FootnoteReference"/>
                <w:rFonts w:ascii="EC Square Sans Pro" w:hAnsi="EC Square Sans Pro" w:cs="Times New Roman"/>
                <w:i/>
                <w:iCs/>
                <w:noProof/>
                <w:sz w:val="20"/>
                <w:szCs w:val="20"/>
              </w:rPr>
              <w:footnoteReference w:id="17"/>
            </w:r>
          </w:p>
        </w:tc>
        <w:tc>
          <w:tcPr>
            <w:tcW w:w="2551" w:type="dxa"/>
            <w:shd w:val="clear" w:color="auto" w:fill="auto"/>
          </w:tcPr>
          <w:p w14:paraId="314B10E8" w14:textId="77777777" w:rsidR="00FA6020" w:rsidRPr="00801BCC" w:rsidRDefault="00FA6020" w:rsidP="008D4CA4">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Approximately EUR 5 billion through taps of 2048 and 2033 bonds.</w:t>
            </w:r>
          </w:p>
        </w:tc>
        <w:tc>
          <w:tcPr>
            <w:tcW w:w="4678" w:type="dxa"/>
            <w:vMerge/>
          </w:tcPr>
          <w:p w14:paraId="27D45027"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A824B4" w:rsidRPr="00801BCC" w14:paraId="7AF8A40D" w14:textId="77777777" w:rsidTr="005952C7">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70771F2" w14:textId="77777777" w:rsidR="00FA6020" w:rsidRPr="00801BCC" w:rsidRDefault="00FA6020" w:rsidP="000A7085">
            <w:pPr>
              <w:jc w:val="left"/>
              <w:rPr>
                <w:noProof/>
                <w:sz w:val="20"/>
                <w:szCs w:val="20"/>
              </w:rPr>
            </w:pPr>
          </w:p>
        </w:tc>
        <w:tc>
          <w:tcPr>
            <w:tcW w:w="3264" w:type="dxa"/>
            <w:shd w:val="clear" w:color="auto" w:fill="auto"/>
          </w:tcPr>
          <w:p w14:paraId="23AB491A" w14:textId="0B115B9C" w:rsidR="00FA6020" w:rsidRPr="00801BCC" w:rsidRDefault="00F51815" w:rsidP="000A7085">
            <w:pPr>
              <w:pStyle w:val="ListParagraph"/>
              <w:numPr>
                <w:ilvl w:val="0"/>
                <w:numId w:val="27"/>
              </w:numPr>
              <w:spacing w:after="60" w:line="240" w:lineRule="auto"/>
              <w:ind w:left="17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20"/>
                <w:szCs w:val="20"/>
              </w:rPr>
            </w:pPr>
            <w:r>
              <w:rPr>
                <w:rFonts w:ascii="EC Square Sans Pro" w:hAnsi="EC Square Sans Pro" w:cs="Times New Roman"/>
                <w:noProof/>
                <w:color w:val="034EA2" w:themeColor="accent1"/>
                <w:sz w:val="20"/>
                <w:szCs w:val="20"/>
              </w:rPr>
              <w:t xml:space="preserve"> </w:t>
            </w:r>
            <w:r w:rsidR="00FA6020" w:rsidRPr="00801BCC">
              <w:rPr>
                <w:rFonts w:ascii="EC Square Sans Pro" w:hAnsi="EC Square Sans Pro" w:cs="Times New Roman"/>
                <w:noProof/>
                <w:color w:val="034EA2" w:themeColor="accent1"/>
                <w:sz w:val="20"/>
                <w:szCs w:val="20"/>
              </w:rPr>
              <w:t>Achieving a proper balance of auctions and syndications</w:t>
            </w:r>
          </w:p>
          <w:p w14:paraId="7D202B68" w14:textId="77777777" w:rsidR="00FA6020" w:rsidRPr="00801BCC" w:rsidRDefault="00FA6020" w:rsidP="000A7085">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Use of different funding techniques with a proper balance, depending on total issuance volumes and market conditions, in order to manage execution risks, improve secondary market liquidity and improve borrowing costs.</w:t>
            </w:r>
          </w:p>
        </w:tc>
        <w:tc>
          <w:tcPr>
            <w:tcW w:w="2268" w:type="dxa"/>
            <w:shd w:val="clear" w:color="auto" w:fill="auto"/>
          </w:tcPr>
          <w:p w14:paraId="562E2120" w14:textId="77777777" w:rsidR="00FA6020" w:rsidRPr="00801BCC" w:rsidRDefault="00FA6020" w:rsidP="00286E0A">
            <w:pPr>
              <w:pStyle w:val="ListParagraph"/>
              <w:numPr>
                <w:ilvl w:val="0"/>
                <w:numId w:val="23"/>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 xml:space="preserve">Split auction / syndication in % </w:t>
            </w:r>
          </w:p>
        </w:tc>
        <w:tc>
          <w:tcPr>
            <w:tcW w:w="2551" w:type="dxa"/>
            <w:shd w:val="clear" w:color="auto" w:fill="auto"/>
          </w:tcPr>
          <w:p w14:paraId="42B9BBA4" w14:textId="77777777" w:rsidR="00FA6020" w:rsidRPr="00801BCC" w:rsidRDefault="00FA6020" w:rsidP="008D4CA4">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 xml:space="preserve">36% of bond issuances via auction. </w:t>
            </w:r>
          </w:p>
        </w:tc>
        <w:tc>
          <w:tcPr>
            <w:tcW w:w="4678" w:type="dxa"/>
            <w:shd w:val="clear" w:color="auto" w:fill="auto"/>
          </w:tcPr>
          <w:p w14:paraId="0CBAF293" w14:textId="6CD0F83A"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 xml:space="preserve">In H2 2023, the Commission issued 36% of the </w:t>
            </w:r>
            <w:r w:rsidR="00C62B65">
              <w:rPr>
                <w:noProof/>
                <w:sz w:val="20"/>
                <w:szCs w:val="20"/>
              </w:rPr>
              <w:br/>
            </w:r>
            <w:r w:rsidRPr="00801BCC">
              <w:rPr>
                <w:noProof/>
                <w:sz w:val="20"/>
                <w:szCs w:val="20"/>
              </w:rPr>
              <w:t>EU-Bonds via auction, which is more or less the same share as in the previous funding semester. The objective is to expand the use of this auction technique, while taking account of market specificities (e.g. market absorption capacity) and issuance needs (e.g. ability to tap existing bonds via auctions versus need for issuance of new lines via syndications).</w:t>
            </w:r>
          </w:p>
        </w:tc>
      </w:tr>
      <w:tr w:rsidR="00A824B4" w:rsidRPr="00801BCC" w14:paraId="4D8C054A" w14:textId="77777777" w:rsidTr="00595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2FBA7ED6" w14:textId="77777777" w:rsidR="00FA6020" w:rsidRPr="00801BCC" w:rsidRDefault="00FA6020" w:rsidP="000A7085">
            <w:pPr>
              <w:jc w:val="left"/>
              <w:rPr>
                <w:noProof/>
                <w:sz w:val="20"/>
                <w:szCs w:val="20"/>
              </w:rPr>
            </w:pPr>
          </w:p>
        </w:tc>
        <w:tc>
          <w:tcPr>
            <w:tcW w:w="3264" w:type="dxa"/>
            <w:vMerge w:val="restart"/>
            <w:shd w:val="clear" w:color="auto" w:fill="auto"/>
          </w:tcPr>
          <w:p w14:paraId="20A091D0" w14:textId="7C665DCD" w:rsidR="00FA6020" w:rsidRPr="00801BCC" w:rsidRDefault="00324A5C" w:rsidP="000A7085">
            <w:pPr>
              <w:pStyle w:val="ListParagraph"/>
              <w:numPr>
                <w:ilvl w:val="0"/>
                <w:numId w:val="27"/>
              </w:numPr>
              <w:spacing w:after="60" w:line="240" w:lineRule="auto"/>
              <w:ind w:left="170" w:hanging="17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20"/>
                <w:szCs w:val="20"/>
              </w:rPr>
            </w:pPr>
            <w:r>
              <w:rPr>
                <w:rFonts w:ascii="EC Square Sans Pro" w:hAnsi="EC Square Sans Pro" w:cs="Times New Roman"/>
                <w:noProof/>
                <w:color w:val="034EA2" w:themeColor="accent1"/>
                <w:sz w:val="20"/>
                <w:szCs w:val="20"/>
              </w:rPr>
              <w:t xml:space="preserve"> </w:t>
            </w:r>
            <w:r w:rsidR="00FA6020" w:rsidRPr="00801BCC">
              <w:rPr>
                <w:rFonts w:ascii="EC Square Sans Pro" w:hAnsi="EC Square Sans Pro" w:cs="Times New Roman"/>
                <w:noProof/>
                <w:color w:val="034EA2" w:themeColor="accent1"/>
                <w:sz w:val="20"/>
                <w:szCs w:val="20"/>
              </w:rPr>
              <w:t>Establishment of large and liquid benchmark bonds</w:t>
            </w:r>
          </w:p>
          <w:p w14:paraId="59A69A38" w14:textId="7AB4D26E" w:rsidR="00FA6020" w:rsidRPr="00801BCC" w:rsidRDefault="00FA6020" w:rsidP="000A7085">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Tapping of EU-Bonds to bring the outstanding volume of different lines to levels commensurate with large and liquid benchmark lines.</w:t>
            </w:r>
          </w:p>
        </w:tc>
        <w:tc>
          <w:tcPr>
            <w:tcW w:w="2268" w:type="dxa"/>
            <w:shd w:val="clear" w:color="auto" w:fill="auto"/>
          </w:tcPr>
          <w:p w14:paraId="65B387E3" w14:textId="5589C521" w:rsidR="00FA6020" w:rsidRPr="00801BCC" w:rsidRDefault="00FA6020" w:rsidP="005D59EF">
            <w:pPr>
              <w:pStyle w:val="ListParagraph"/>
              <w:numPr>
                <w:ilvl w:val="0"/>
                <w:numId w:val="22"/>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20"/>
                <w:szCs w:val="20"/>
              </w:rPr>
            </w:pPr>
            <w:r w:rsidRPr="00801BCC">
              <w:rPr>
                <w:rFonts w:ascii="EC Square Sans Pro" w:hAnsi="EC Square Sans Pro" w:cs="Times New Roman"/>
                <w:i/>
                <w:iCs/>
                <w:noProof/>
                <w:sz w:val="20"/>
                <w:szCs w:val="20"/>
              </w:rPr>
              <w:t>Issuances via new bonds vs volume issued via taps</w:t>
            </w:r>
          </w:p>
        </w:tc>
        <w:tc>
          <w:tcPr>
            <w:tcW w:w="2551" w:type="dxa"/>
            <w:shd w:val="clear" w:color="auto" w:fill="auto"/>
          </w:tcPr>
          <w:p w14:paraId="5441870E" w14:textId="77777777" w:rsidR="000500DD" w:rsidRPr="00801BCC" w:rsidRDefault="00FA6020" w:rsidP="008D4CA4">
            <w:pPr>
              <w:pStyle w:val="ListParagraph"/>
              <w:numPr>
                <w:ilvl w:val="0"/>
                <w:numId w:val="15"/>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sz w:val="20"/>
                <w:szCs w:val="20"/>
                <w:lang w:val="en-IE"/>
              </w:rPr>
            </w:pPr>
            <w:r w:rsidRPr="00801BCC">
              <w:rPr>
                <w:rFonts w:ascii="EC Square Sans Pro" w:hAnsi="EC Square Sans Pro" w:cs="Times New Roman"/>
                <w:noProof/>
                <w:sz w:val="20"/>
                <w:szCs w:val="20"/>
                <w:lang w:val="en-IE"/>
              </w:rPr>
              <w:t xml:space="preserve">EUR 14 billion via new bonds </w:t>
            </w:r>
          </w:p>
          <w:p w14:paraId="0FD82E4F" w14:textId="1E739C57" w:rsidR="00FA6020" w:rsidRPr="00801BCC" w:rsidRDefault="00FA6020" w:rsidP="008D4CA4">
            <w:pPr>
              <w:pStyle w:val="ListParagraph"/>
              <w:numPr>
                <w:ilvl w:val="0"/>
                <w:numId w:val="15"/>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sz w:val="20"/>
                <w:szCs w:val="20"/>
                <w:lang w:val="en-IE"/>
              </w:rPr>
            </w:pPr>
            <w:r w:rsidRPr="00801BCC">
              <w:rPr>
                <w:rFonts w:ascii="EC Square Sans Pro" w:hAnsi="EC Square Sans Pro" w:cs="Times New Roman"/>
                <w:noProof/>
                <w:sz w:val="20"/>
                <w:szCs w:val="20"/>
                <w:lang w:val="en-IE"/>
              </w:rPr>
              <w:t>EUR 23.7 billion via taps</w:t>
            </w:r>
          </w:p>
        </w:tc>
        <w:tc>
          <w:tcPr>
            <w:tcW w:w="4678" w:type="dxa"/>
            <w:vMerge w:val="restart"/>
            <w:shd w:val="clear" w:color="auto" w:fill="auto"/>
          </w:tcPr>
          <w:p w14:paraId="7375523B"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pacing w:val="-4"/>
                <w:sz w:val="20"/>
                <w:szCs w:val="20"/>
              </w:rPr>
            </w:pPr>
            <w:r w:rsidRPr="00801BCC">
              <w:rPr>
                <w:noProof/>
                <w:spacing w:val="-4"/>
                <w:sz w:val="20"/>
                <w:szCs w:val="20"/>
              </w:rPr>
              <w:t>With the liquidity of its securities in mind, the Commission used its transactions to tap existing funding lines, with approximately 63% of the funding volume mobilised via taps.</w:t>
            </w:r>
          </w:p>
          <w:p w14:paraId="76E090D9"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 xml:space="preserve">New funding lines were launched to provide the market with new benchmark lines where needed on the curve and based on the recommendations of the EU primary dealers. New 5-year, 7-year and 20-year bonds were launched during the semester. </w:t>
            </w:r>
          </w:p>
          <w:p w14:paraId="2021D8EF"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As a result, the average amount outstanding per bond remained at around EUR 13 billion by the end of the semester, ensuring consistent liquidity of the bonds.</w:t>
            </w:r>
          </w:p>
        </w:tc>
      </w:tr>
      <w:tr w:rsidR="005D59EF" w:rsidRPr="00801BCC" w14:paraId="1EF01A84" w14:textId="77777777" w:rsidTr="005952C7">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0FB3D821" w14:textId="77777777" w:rsidR="00FA6020" w:rsidRPr="00801BCC" w:rsidRDefault="00FA6020" w:rsidP="000A7085">
            <w:pPr>
              <w:jc w:val="left"/>
              <w:rPr>
                <w:noProof/>
                <w:sz w:val="20"/>
                <w:szCs w:val="20"/>
              </w:rPr>
            </w:pPr>
          </w:p>
        </w:tc>
        <w:tc>
          <w:tcPr>
            <w:tcW w:w="3264" w:type="dxa"/>
            <w:vMerge/>
          </w:tcPr>
          <w:p w14:paraId="01772137" w14:textId="77777777" w:rsidR="00FA6020" w:rsidRPr="00801BCC" w:rsidRDefault="00FA6020" w:rsidP="000A7085">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20"/>
                <w:szCs w:val="20"/>
              </w:rPr>
            </w:pPr>
          </w:p>
        </w:tc>
        <w:tc>
          <w:tcPr>
            <w:tcW w:w="2268" w:type="dxa"/>
            <w:shd w:val="clear" w:color="auto" w:fill="auto"/>
          </w:tcPr>
          <w:p w14:paraId="5241E96F" w14:textId="77777777" w:rsidR="00FA6020" w:rsidRPr="00801BCC" w:rsidRDefault="00FA6020" w:rsidP="00286E0A">
            <w:pPr>
              <w:pStyle w:val="ListParagraph"/>
              <w:numPr>
                <w:ilvl w:val="0"/>
                <w:numId w:val="22"/>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Speed of tapping of new bonds</w:t>
            </w:r>
            <w:r w:rsidRPr="00801BCC">
              <w:rPr>
                <w:rStyle w:val="FootnoteReference"/>
                <w:rFonts w:ascii="EC Square Sans Pro" w:hAnsi="EC Square Sans Pro" w:cs="Times New Roman"/>
                <w:i/>
                <w:iCs/>
                <w:noProof/>
                <w:sz w:val="20"/>
                <w:szCs w:val="20"/>
              </w:rPr>
              <w:footnoteReference w:id="18"/>
            </w:r>
          </w:p>
        </w:tc>
        <w:tc>
          <w:tcPr>
            <w:tcW w:w="2551" w:type="dxa"/>
            <w:shd w:val="clear" w:color="auto" w:fill="auto"/>
          </w:tcPr>
          <w:p w14:paraId="45A538D7"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1-2 months</w:t>
            </w:r>
          </w:p>
        </w:tc>
        <w:tc>
          <w:tcPr>
            <w:tcW w:w="4678" w:type="dxa"/>
            <w:vMerge/>
          </w:tcPr>
          <w:p w14:paraId="6E827C86"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p>
        </w:tc>
      </w:tr>
      <w:tr w:rsidR="005D59EF" w:rsidRPr="00801BCC" w14:paraId="39B89EB7" w14:textId="77777777" w:rsidTr="00595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C35FAEA" w14:textId="77777777" w:rsidR="00FA6020" w:rsidRPr="00801BCC" w:rsidRDefault="00FA6020" w:rsidP="000A7085">
            <w:pPr>
              <w:jc w:val="left"/>
              <w:rPr>
                <w:noProof/>
                <w:sz w:val="20"/>
                <w:szCs w:val="20"/>
              </w:rPr>
            </w:pPr>
          </w:p>
        </w:tc>
        <w:tc>
          <w:tcPr>
            <w:tcW w:w="3264" w:type="dxa"/>
            <w:vMerge/>
          </w:tcPr>
          <w:p w14:paraId="3DE7CF5B" w14:textId="77777777" w:rsidR="00FA6020" w:rsidRPr="00801BCC" w:rsidRDefault="00FA6020" w:rsidP="000A7085">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20"/>
                <w:szCs w:val="20"/>
              </w:rPr>
            </w:pPr>
          </w:p>
        </w:tc>
        <w:tc>
          <w:tcPr>
            <w:tcW w:w="2268" w:type="dxa"/>
            <w:shd w:val="clear" w:color="auto" w:fill="auto"/>
          </w:tcPr>
          <w:p w14:paraId="1010F2FE" w14:textId="7E2A21AB" w:rsidR="00FA6020" w:rsidRPr="00801BCC" w:rsidRDefault="00FA6020" w:rsidP="005D59EF">
            <w:pPr>
              <w:pStyle w:val="ListParagraph"/>
              <w:numPr>
                <w:ilvl w:val="0"/>
                <w:numId w:val="22"/>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20"/>
                <w:szCs w:val="20"/>
              </w:rPr>
            </w:pPr>
            <w:r w:rsidRPr="00801BCC">
              <w:rPr>
                <w:rFonts w:ascii="EC Square Sans Pro" w:hAnsi="EC Square Sans Pro" w:cs="Times New Roman"/>
                <w:i/>
                <w:iCs/>
                <w:noProof/>
                <w:sz w:val="20"/>
                <w:szCs w:val="20"/>
              </w:rPr>
              <w:t>Average size of outstanding bonds</w:t>
            </w:r>
            <w:r w:rsidRPr="00801BCC">
              <w:rPr>
                <w:rStyle w:val="FootnoteReference"/>
                <w:rFonts w:ascii="EC Square Sans Pro" w:hAnsi="EC Square Sans Pro" w:cs="Times New Roman"/>
                <w:i/>
                <w:iCs/>
                <w:noProof/>
                <w:sz w:val="20"/>
                <w:szCs w:val="20"/>
              </w:rPr>
              <w:footnoteReference w:id="19"/>
            </w:r>
          </w:p>
        </w:tc>
        <w:tc>
          <w:tcPr>
            <w:tcW w:w="2551" w:type="dxa"/>
            <w:shd w:val="clear" w:color="auto" w:fill="auto"/>
          </w:tcPr>
          <w:p w14:paraId="7546A9B4"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Around 13 billion</w:t>
            </w:r>
          </w:p>
        </w:tc>
        <w:tc>
          <w:tcPr>
            <w:tcW w:w="4678" w:type="dxa"/>
            <w:vMerge/>
          </w:tcPr>
          <w:p w14:paraId="32E942E8"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5D59EF" w:rsidRPr="00801BCC" w14:paraId="4742DAF5" w14:textId="77777777" w:rsidTr="005952C7">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AADA38D" w14:textId="77777777" w:rsidR="00FA6020" w:rsidRPr="00801BCC" w:rsidRDefault="00FA6020" w:rsidP="000A7085">
            <w:pPr>
              <w:jc w:val="left"/>
              <w:rPr>
                <w:noProof/>
                <w:sz w:val="20"/>
                <w:szCs w:val="20"/>
              </w:rPr>
            </w:pPr>
          </w:p>
        </w:tc>
        <w:tc>
          <w:tcPr>
            <w:tcW w:w="3264" w:type="dxa"/>
            <w:vMerge/>
          </w:tcPr>
          <w:p w14:paraId="72684697" w14:textId="77777777" w:rsidR="00FA6020" w:rsidRPr="00801BCC" w:rsidRDefault="00FA6020" w:rsidP="000A7085">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20"/>
                <w:szCs w:val="20"/>
              </w:rPr>
            </w:pPr>
          </w:p>
        </w:tc>
        <w:tc>
          <w:tcPr>
            <w:tcW w:w="2268" w:type="dxa"/>
            <w:shd w:val="clear" w:color="auto" w:fill="auto"/>
          </w:tcPr>
          <w:p w14:paraId="2568FE20" w14:textId="77777777" w:rsidR="00FA6020" w:rsidRPr="00801BCC" w:rsidRDefault="0D353577" w:rsidP="4E7C6B93">
            <w:pPr>
              <w:pStyle w:val="ListParagraph"/>
              <w:numPr>
                <w:ilvl w:val="0"/>
                <w:numId w:val="22"/>
              </w:numPr>
              <w:spacing w:after="40" w:line="240" w:lineRule="auto"/>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Turnover relative to issuance volume</w:t>
            </w:r>
          </w:p>
        </w:tc>
        <w:tc>
          <w:tcPr>
            <w:tcW w:w="2551" w:type="dxa"/>
            <w:shd w:val="clear" w:color="auto" w:fill="auto"/>
          </w:tcPr>
          <w:p w14:paraId="47E9E16C" w14:textId="5E433D82" w:rsidR="00FA6020" w:rsidRPr="00801BCC" w:rsidRDefault="0D353577" w:rsidP="008D4CA4">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 xml:space="preserve">Approximately </w:t>
            </w:r>
            <w:r w:rsidR="3134600D" w:rsidRPr="00801BCC">
              <w:rPr>
                <w:noProof/>
                <w:sz w:val="20"/>
                <w:szCs w:val="20"/>
              </w:rPr>
              <w:t>92</w:t>
            </w:r>
            <w:r w:rsidR="4439011F" w:rsidRPr="00801BCC">
              <w:rPr>
                <w:noProof/>
                <w:sz w:val="20"/>
                <w:szCs w:val="20"/>
              </w:rPr>
              <w:t xml:space="preserve">% over 2023 vs </w:t>
            </w:r>
            <w:r w:rsidRPr="00801BCC">
              <w:rPr>
                <w:noProof/>
                <w:sz w:val="20"/>
                <w:szCs w:val="20"/>
              </w:rPr>
              <w:t>80% over H2 2022</w:t>
            </w:r>
          </w:p>
        </w:tc>
        <w:tc>
          <w:tcPr>
            <w:tcW w:w="4678" w:type="dxa"/>
            <w:vMerge/>
          </w:tcPr>
          <w:p w14:paraId="7279D73B"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p>
        </w:tc>
      </w:tr>
      <w:tr w:rsidR="00A824B4" w:rsidRPr="00C12EBD" w14:paraId="28CB6B5B" w14:textId="77777777" w:rsidTr="00595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AD6D1D4" w14:textId="77777777" w:rsidR="00FA6020" w:rsidRPr="00801BCC" w:rsidRDefault="00FA6020" w:rsidP="000A7085">
            <w:pPr>
              <w:jc w:val="left"/>
              <w:rPr>
                <w:noProof/>
                <w:sz w:val="20"/>
                <w:szCs w:val="20"/>
              </w:rPr>
            </w:pPr>
          </w:p>
        </w:tc>
        <w:tc>
          <w:tcPr>
            <w:tcW w:w="3264" w:type="dxa"/>
            <w:vMerge/>
          </w:tcPr>
          <w:p w14:paraId="4E3C9046" w14:textId="77777777" w:rsidR="00FA6020" w:rsidRPr="00801BCC" w:rsidRDefault="00FA6020" w:rsidP="000A7085">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20"/>
                <w:szCs w:val="20"/>
              </w:rPr>
            </w:pPr>
          </w:p>
        </w:tc>
        <w:tc>
          <w:tcPr>
            <w:tcW w:w="2268" w:type="dxa"/>
            <w:shd w:val="clear" w:color="auto" w:fill="auto"/>
          </w:tcPr>
          <w:p w14:paraId="0477BAC1" w14:textId="77777777" w:rsidR="00FA6020" w:rsidRPr="00801BCC" w:rsidRDefault="0D353577" w:rsidP="4E7C6B93">
            <w:pPr>
              <w:pStyle w:val="ListParagraph"/>
              <w:numPr>
                <w:ilvl w:val="0"/>
                <w:numId w:val="22"/>
              </w:numPr>
              <w:spacing w:after="40" w:line="240" w:lineRule="auto"/>
              <w:ind w:left="226" w:hanging="113"/>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Absolute turnover</w:t>
            </w:r>
          </w:p>
        </w:tc>
        <w:tc>
          <w:tcPr>
            <w:tcW w:w="2551" w:type="dxa"/>
            <w:shd w:val="clear" w:color="auto" w:fill="auto"/>
          </w:tcPr>
          <w:p w14:paraId="53435E9F" w14:textId="56012A2C" w:rsidR="00FA6020" w:rsidRPr="00801BCC" w:rsidRDefault="0D353577" w:rsidP="4E7C6B93">
            <w:pPr>
              <w:jc w:val="left"/>
              <w:cnfStyle w:val="000000100000" w:firstRow="0" w:lastRow="0" w:firstColumn="0" w:lastColumn="0" w:oddVBand="0" w:evenVBand="0" w:oddHBand="1" w:evenHBand="0" w:firstRowFirstColumn="0" w:firstRowLastColumn="0" w:lastRowFirstColumn="0" w:lastRowLastColumn="0"/>
              <w:rPr>
                <w:noProof/>
                <w:spacing w:val="-6"/>
                <w:sz w:val="20"/>
                <w:szCs w:val="20"/>
                <w:lang w:val="de-DE"/>
              </w:rPr>
            </w:pPr>
            <w:r w:rsidRPr="00801BCC">
              <w:rPr>
                <w:noProof/>
                <w:spacing w:val="-6"/>
                <w:sz w:val="20"/>
                <w:szCs w:val="20"/>
                <w:lang w:val="de-DE"/>
              </w:rPr>
              <w:t xml:space="preserve">EUR </w:t>
            </w:r>
            <w:r w:rsidR="6BB2DFDB" w:rsidRPr="00801BCC">
              <w:rPr>
                <w:noProof/>
                <w:spacing w:val="-6"/>
                <w:sz w:val="20"/>
                <w:szCs w:val="20"/>
                <w:lang w:val="de-DE"/>
              </w:rPr>
              <w:t>397</w:t>
            </w:r>
            <w:r w:rsidRPr="00801BCC">
              <w:rPr>
                <w:noProof/>
                <w:spacing w:val="-6"/>
                <w:sz w:val="20"/>
                <w:szCs w:val="20"/>
                <w:lang w:val="de-DE"/>
              </w:rPr>
              <w:t xml:space="preserve"> billion in H2 202</w:t>
            </w:r>
            <w:r w:rsidR="1BEB6044" w:rsidRPr="00801BCC">
              <w:rPr>
                <w:noProof/>
                <w:spacing w:val="-6"/>
                <w:sz w:val="20"/>
                <w:szCs w:val="20"/>
                <w:lang w:val="de-DE"/>
              </w:rPr>
              <w:t>3</w:t>
            </w:r>
            <w:r w:rsidRPr="00801BCC">
              <w:rPr>
                <w:noProof/>
                <w:spacing w:val="-6"/>
                <w:sz w:val="20"/>
                <w:szCs w:val="20"/>
                <w:lang w:val="de-DE"/>
              </w:rPr>
              <w:t xml:space="preserve"> vs EUR </w:t>
            </w:r>
            <w:r w:rsidR="4802C35B" w:rsidRPr="00801BCC">
              <w:rPr>
                <w:noProof/>
                <w:spacing w:val="-6"/>
                <w:sz w:val="20"/>
                <w:szCs w:val="20"/>
                <w:lang w:val="de-DE"/>
              </w:rPr>
              <w:t>241</w:t>
            </w:r>
            <w:r w:rsidRPr="00801BCC">
              <w:rPr>
                <w:noProof/>
                <w:spacing w:val="-6"/>
                <w:sz w:val="20"/>
                <w:szCs w:val="20"/>
                <w:lang w:val="de-DE"/>
              </w:rPr>
              <w:t xml:space="preserve"> billion in H</w:t>
            </w:r>
            <w:r w:rsidR="1ACBD1D2" w:rsidRPr="00801BCC">
              <w:rPr>
                <w:noProof/>
                <w:spacing w:val="-6"/>
                <w:sz w:val="20"/>
                <w:szCs w:val="20"/>
                <w:lang w:val="de-DE"/>
              </w:rPr>
              <w:t>2</w:t>
            </w:r>
            <w:r w:rsidRPr="00801BCC">
              <w:rPr>
                <w:noProof/>
                <w:spacing w:val="-6"/>
                <w:sz w:val="20"/>
                <w:szCs w:val="20"/>
                <w:lang w:val="de-DE"/>
              </w:rPr>
              <w:t xml:space="preserve"> 202</w:t>
            </w:r>
            <w:r w:rsidR="6A3B62FE" w:rsidRPr="00801BCC">
              <w:rPr>
                <w:noProof/>
                <w:spacing w:val="-6"/>
                <w:sz w:val="20"/>
                <w:szCs w:val="20"/>
                <w:lang w:val="de-DE"/>
              </w:rPr>
              <w:t>2</w:t>
            </w:r>
          </w:p>
        </w:tc>
        <w:tc>
          <w:tcPr>
            <w:tcW w:w="4678" w:type="dxa"/>
            <w:vMerge/>
          </w:tcPr>
          <w:p w14:paraId="5A91DCAB"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lang w:val="de-DE"/>
              </w:rPr>
            </w:pPr>
          </w:p>
        </w:tc>
      </w:tr>
      <w:tr w:rsidR="00A824B4" w:rsidRPr="00801BCC" w14:paraId="18EF7337" w14:textId="77777777" w:rsidTr="005952C7">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1EE256BB" w14:textId="77777777" w:rsidR="00FA6020" w:rsidRPr="00801BCC" w:rsidRDefault="00FA6020" w:rsidP="000A7085">
            <w:pPr>
              <w:jc w:val="left"/>
              <w:rPr>
                <w:noProof/>
                <w:sz w:val="20"/>
                <w:szCs w:val="20"/>
                <w:lang w:val="de-DE"/>
              </w:rPr>
            </w:pPr>
          </w:p>
        </w:tc>
        <w:tc>
          <w:tcPr>
            <w:tcW w:w="3264" w:type="dxa"/>
            <w:vMerge w:val="restart"/>
            <w:shd w:val="clear" w:color="auto" w:fill="auto"/>
          </w:tcPr>
          <w:p w14:paraId="6C260126" w14:textId="028AE9C4" w:rsidR="00FA6020" w:rsidRPr="00801BCC" w:rsidRDefault="00C04650" w:rsidP="000A7085">
            <w:pPr>
              <w:pStyle w:val="ListParagraph"/>
              <w:numPr>
                <w:ilvl w:val="0"/>
                <w:numId w:val="28"/>
              </w:numPr>
              <w:spacing w:after="60" w:line="240" w:lineRule="auto"/>
              <w:ind w:left="170" w:hanging="170"/>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20"/>
                <w:szCs w:val="20"/>
              </w:rPr>
            </w:pPr>
            <w:r w:rsidRPr="00C12EBD">
              <w:rPr>
                <w:rFonts w:ascii="EC Square Sans Pro" w:hAnsi="EC Square Sans Pro" w:cs="Times New Roman"/>
                <w:noProof/>
                <w:color w:val="034EA2" w:themeColor="accent1"/>
                <w:sz w:val="20"/>
                <w:szCs w:val="20"/>
                <w:lang w:val="de-DE"/>
              </w:rPr>
              <w:t xml:space="preserve"> </w:t>
            </w:r>
            <w:r w:rsidR="00FA6020" w:rsidRPr="00801BCC">
              <w:rPr>
                <w:rFonts w:ascii="EC Square Sans Pro" w:hAnsi="EC Square Sans Pro" w:cs="Times New Roman"/>
                <w:noProof/>
                <w:color w:val="034EA2" w:themeColor="accent1"/>
                <w:sz w:val="20"/>
                <w:szCs w:val="20"/>
              </w:rPr>
              <w:t xml:space="preserve">Management of the maturity profile of EU-Bond issuances </w:t>
            </w:r>
            <w:r w:rsidR="00C43074">
              <w:rPr>
                <w:rFonts w:ascii="EC Square Sans Pro" w:hAnsi="EC Square Sans Pro" w:cs="Times New Roman"/>
                <w:noProof/>
                <w:color w:val="034EA2" w:themeColor="accent1"/>
                <w:sz w:val="20"/>
                <w:szCs w:val="20"/>
              </w:rPr>
              <w:br/>
            </w:r>
            <w:r w:rsidR="00FA6020" w:rsidRPr="00801BCC">
              <w:rPr>
                <w:rFonts w:ascii="EC Square Sans Pro" w:hAnsi="EC Square Sans Pro" w:cs="Times New Roman"/>
                <w:noProof/>
                <w:color w:val="034EA2" w:themeColor="accent1"/>
                <w:sz w:val="20"/>
                <w:szCs w:val="20"/>
              </w:rPr>
              <w:t>with due regard to:</w:t>
            </w:r>
          </w:p>
          <w:p w14:paraId="0906F802" w14:textId="2636B8F4" w:rsidR="00FA6020" w:rsidRPr="00801BCC" w:rsidRDefault="00FA6020" w:rsidP="000A708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20"/>
                <w:szCs w:val="20"/>
              </w:rPr>
            </w:pPr>
            <w:r w:rsidRPr="00801BCC">
              <w:rPr>
                <w:rFonts w:ascii="EC Square Sans Pro" w:hAnsi="EC Square Sans Pro" w:cs="Times New Roman"/>
                <w:noProof/>
                <w:sz w:val="20"/>
                <w:szCs w:val="20"/>
              </w:rPr>
              <w:t xml:space="preserve">the temporary additional headroom (for NGEU-related borrowing) and permanent headroom (for MFA+) under </w:t>
            </w:r>
            <w:r w:rsidR="00C43074">
              <w:rPr>
                <w:rFonts w:ascii="EC Square Sans Pro" w:hAnsi="EC Square Sans Pro" w:cs="Times New Roman"/>
                <w:noProof/>
                <w:sz w:val="20"/>
                <w:szCs w:val="20"/>
              </w:rPr>
              <w:br/>
            </w:r>
            <w:r w:rsidRPr="00801BCC">
              <w:rPr>
                <w:rFonts w:ascii="EC Square Sans Pro" w:hAnsi="EC Square Sans Pro" w:cs="Times New Roman"/>
                <w:noProof/>
                <w:sz w:val="20"/>
                <w:szCs w:val="20"/>
              </w:rPr>
              <w:t>the EU budget</w:t>
            </w:r>
          </w:p>
          <w:p w14:paraId="6B651919" w14:textId="77777777" w:rsidR="00FA6020" w:rsidRPr="00801BCC" w:rsidRDefault="00FA6020" w:rsidP="000A708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20"/>
                <w:szCs w:val="20"/>
              </w:rPr>
            </w:pPr>
            <w:r w:rsidRPr="00801BCC">
              <w:rPr>
                <w:rFonts w:ascii="EC Square Sans Pro" w:hAnsi="EC Square Sans Pro" w:cs="Times New Roman"/>
                <w:noProof/>
                <w:sz w:val="20"/>
                <w:szCs w:val="20"/>
              </w:rPr>
              <w:t xml:space="preserve">the future redemption of disbursements in any given year </w:t>
            </w:r>
          </w:p>
          <w:p w14:paraId="5EB034BF" w14:textId="77777777" w:rsidR="003409E9" w:rsidRDefault="00FA6020" w:rsidP="000A708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20"/>
                <w:szCs w:val="20"/>
              </w:rPr>
            </w:pPr>
            <w:r w:rsidRPr="00801BCC">
              <w:rPr>
                <w:rFonts w:ascii="EC Square Sans Pro" w:hAnsi="EC Square Sans Pro" w:cs="Times New Roman"/>
                <w:noProof/>
                <w:sz w:val="20"/>
                <w:szCs w:val="20"/>
              </w:rPr>
              <w:t>stable future roll-over needs</w:t>
            </w:r>
          </w:p>
          <w:p w14:paraId="44B1E10D" w14:textId="77777777" w:rsidR="00801BCC" w:rsidRPr="00801BCC" w:rsidRDefault="00801BCC" w:rsidP="000A7085">
            <w:pPr>
              <w:pStyle w:val="ListParagraph"/>
              <w:spacing w:after="60" w:line="240" w:lineRule="auto"/>
              <w:ind w:left="34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20"/>
                <w:szCs w:val="20"/>
              </w:rPr>
            </w:pPr>
          </w:p>
          <w:p w14:paraId="092BE88B" w14:textId="3F41E9B9" w:rsidR="00FA6020" w:rsidRPr="00801BCC" w:rsidRDefault="00FA6020" w:rsidP="000A708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20"/>
                <w:szCs w:val="20"/>
              </w:rPr>
            </w:pPr>
            <w:r w:rsidRPr="00801BCC">
              <w:rPr>
                <w:rFonts w:ascii="EC Square Sans Pro" w:hAnsi="EC Square Sans Pro"/>
                <w:noProof/>
                <w:sz w:val="20"/>
                <w:szCs w:val="20"/>
              </w:rPr>
              <w:t>the need to protect the EU’s rating to ensure low borrowing costs in the long run and strong demand from its core investor base.</w:t>
            </w:r>
          </w:p>
        </w:tc>
        <w:tc>
          <w:tcPr>
            <w:tcW w:w="2268" w:type="dxa"/>
            <w:shd w:val="clear" w:color="auto" w:fill="auto"/>
          </w:tcPr>
          <w:p w14:paraId="7484D6CA" w14:textId="77777777" w:rsidR="00FA6020" w:rsidRPr="00801BCC" w:rsidRDefault="00FA6020" w:rsidP="00286E0A">
            <w:pPr>
              <w:pStyle w:val="ListParagraph"/>
              <w:numPr>
                <w:ilvl w:val="0"/>
                <w:numId w:val="21"/>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 xml:space="preserve">Average maturity of issuance </w:t>
            </w:r>
          </w:p>
        </w:tc>
        <w:tc>
          <w:tcPr>
            <w:tcW w:w="2551" w:type="dxa"/>
            <w:shd w:val="clear" w:color="auto" w:fill="auto"/>
          </w:tcPr>
          <w:p w14:paraId="2730E95D"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 xml:space="preserve">Around 13 years </w:t>
            </w:r>
          </w:p>
        </w:tc>
        <w:tc>
          <w:tcPr>
            <w:tcW w:w="4678" w:type="dxa"/>
            <w:vMerge w:val="restart"/>
            <w:shd w:val="clear" w:color="auto" w:fill="auto"/>
          </w:tcPr>
          <w:p w14:paraId="1A755081"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In H2 2023, the bond issuances had an average maturity of 13 years. This reflected the Commission’s objective of spreading the redemptions profile over time while, at the same time, attracting investors to EU primary market transactions. The average maturity remained below the maximum average maturity of 17 years set out in the annual borrowing decision for 2023.</w:t>
            </w:r>
          </w:p>
          <w:p w14:paraId="219E35CA"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The average time to maturity of outstanding debt remained stable (at around 12 years).</w:t>
            </w:r>
          </w:p>
          <w:p w14:paraId="4D824074"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Refinancing also remained stable, a reflection of the past issuances and related to the redemption profile.</w:t>
            </w:r>
          </w:p>
        </w:tc>
      </w:tr>
      <w:tr w:rsidR="00A824B4" w:rsidRPr="00801BCC" w14:paraId="5CDD41AF" w14:textId="77777777" w:rsidTr="00595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523CCFD" w14:textId="77777777" w:rsidR="00FA6020" w:rsidRPr="00801BCC" w:rsidRDefault="00FA6020" w:rsidP="000A7085">
            <w:pPr>
              <w:jc w:val="left"/>
              <w:rPr>
                <w:noProof/>
                <w:sz w:val="20"/>
                <w:szCs w:val="20"/>
              </w:rPr>
            </w:pPr>
          </w:p>
        </w:tc>
        <w:tc>
          <w:tcPr>
            <w:tcW w:w="3264" w:type="dxa"/>
            <w:vMerge/>
          </w:tcPr>
          <w:p w14:paraId="397BCEBE" w14:textId="77777777" w:rsidR="00FA6020" w:rsidRPr="00801BCC" w:rsidRDefault="00FA6020" w:rsidP="000A7085">
            <w:pPr>
              <w:pStyle w:val="ListParagraph"/>
              <w:numPr>
                <w:ilvl w:val="0"/>
                <w:numId w:val="28"/>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20"/>
                <w:szCs w:val="20"/>
              </w:rPr>
            </w:pPr>
          </w:p>
        </w:tc>
        <w:tc>
          <w:tcPr>
            <w:tcW w:w="2268" w:type="dxa"/>
            <w:shd w:val="clear" w:color="auto" w:fill="auto"/>
          </w:tcPr>
          <w:p w14:paraId="5DB717C7" w14:textId="77777777" w:rsidR="00FA6020" w:rsidRPr="00801BCC" w:rsidRDefault="00FA6020" w:rsidP="00286E0A">
            <w:pPr>
              <w:pStyle w:val="ListParagraph"/>
              <w:numPr>
                <w:ilvl w:val="0"/>
                <w:numId w:val="21"/>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Average time to maturity of outstanding debt</w:t>
            </w:r>
          </w:p>
        </w:tc>
        <w:tc>
          <w:tcPr>
            <w:tcW w:w="2551" w:type="dxa"/>
            <w:shd w:val="clear" w:color="auto" w:fill="auto"/>
          </w:tcPr>
          <w:p w14:paraId="54181571"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Around 12 years.</w:t>
            </w:r>
          </w:p>
        </w:tc>
        <w:tc>
          <w:tcPr>
            <w:tcW w:w="4678" w:type="dxa"/>
            <w:vMerge/>
          </w:tcPr>
          <w:p w14:paraId="3AFB7C53"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A824B4" w:rsidRPr="00801BCC" w14:paraId="5D4D6431" w14:textId="77777777" w:rsidTr="005952C7">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2F2DC5FE" w14:textId="77777777" w:rsidR="00FA6020" w:rsidRPr="00801BCC" w:rsidRDefault="00FA6020" w:rsidP="000A7085">
            <w:pPr>
              <w:jc w:val="left"/>
              <w:rPr>
                <w:noProof/>
                <w:sz w:val="20"/>
                <w:szCs w:val="20"/>
              </w:rPr>
            </w:pPr>
          </w:p>
        </w:tc>
        <w:tc>
          <w:tcPr>
            <w:tcW w:w="3264" w:type="dxa"/>
            <w:vMerge/>
          </w:tcPr>
          <w:p w14:paraId="0A117EF0" w14:textId="77777777" w:rsidR="00FA6020" w:rsidRPr="00801BCC" w:rsidRDefault="00FA6020" w:rsidP="000A7085">
            <w:pPr>
              <w:pStyle w:val="ListParagraph"/>
              <w:numPr>
                <w:ilvl w:val="0"/>
                <w:numId w:val="28"/>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20"/>
                <w:szCs w:val="20"/>
              </w:rPr>
            </w:pPr>
          </w:p>
        </w:tc>
        <w:tc>
          <w:tcPr>
            <w:tcW w:w="2268" w:type="dxa"/>
            <w:shd w:val="clear" w:color="auto" w:fill="auto"/>
          </w:tcPr>
          <w:p w14:paraId="5C3F729C" w14:textId="77777777" w:rsidR="00FA6020" w:rsidRPr="00801BCC" w:rsidRDefault="00FA6020" w:rsidP="00286E0A">
            <w:pPr>
              <w:pStyle w:val="ListParagraph"/>
              <w:numPr>
                <w:ilvl w:val="0"/>
                <w:numId w:val="21"/>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Refinancing in the short term, i.e. percentage of outstanding stock of bonds and bills maturing in the next 12 months</w:t>
            </w:r>
          </w:p>
        </w:tc>
        <w:tc>
          <w:tcPr>
            <w:tcW w:w="2551" w:type="dxa"/>
            <w:shd w:val="clear" w:color="auto" w:fill="auto"/>
          </w:tcPr>
          <w:p w14:paraId="091CB812"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Less than 10 %</w:t>
            </w:r>
          </w:p>
        </w:tc>
        <w:tc>
          <w:tcPr>
            <w:tcW w:w="4678" w:type="dxa"/>
            <w:vMerge/>
          </w:tcPr>
          <w:p w14:paraId="2DCE4582"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p>
        </w:tc>
      </w:tr>
      <w:tr w:rsidR="00A824B4" w:rsidRPr="00801BCC" w14:paraId="276475F0" w14:textId="77777777" w:rsidTr="00595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D098F14" w14:textId="77777777" w:rsidR="00FA6020" w:rsidRPr="00801BCC" w:rsidRDefault="00FA6020" w:rsidP="000A7085">
            <w:pPr>
              <w:jc w:val="left"/>
              <w:rPr>
                <w:noProof/>
                <w:sz w:val="20"/>
                <w:szCs w:val="20"/>
              </w:rPr>
            </w:pPr>
          </w:p>
        </w:tc>
        <w:tc>
          <w:tcPr>
            <w:tcW w:w="3264" w:type="dxa"/>
            <w:vMerge/>
          </w:tcPr>
          <w:p w14:paraId="72C2E5F4" w14:textId="77777777" w:rsidR="00FA6020" w:rsidRPr="00801BCC" w:rsidRDefault="00FA6020" w:rsidP="000A7085">
            <w:pPr>
              <w:pStyle w:val="ListParagraph"/>
              <w:numPr>
                <w:ilvl w:val="0"/>
                <w:numId w:val="28"/>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20"/>
                <w:szCs w:val="20"/>
              </w:rPr>
            </w:pPr>
          </w:p>
        </w:tc>
        <w:tc>
          <w:tcPr>
            <w:tcW w:w="2268" w:type="dxa"/>
            <w:shd w:val="clear" w:color="auto" w:fill="auto"/>
          </w:tcPr>
          <w:p w14:paraId="39FCACDD" w14:textId="77777777" w:rsidR="00FA6020" w:rsidRPr="00801BCC" w:rsidRDefault="00FA6020" w:rsidP="00286E0A">
            <w:pPr>
              <w:pStyle w:val="ListParagraph"/>
              <w:numPr>
                <w:ilvl w:val="0"/>
                <w:numId w:val="21"/>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pacing w:val="-6"/>
                <w:sz w:val="20"/>
                <w:szCs w:val="20"/>
              </w:rPr>
            </w:pPr>
            <w:r w:rsidRPr="00801BCC">
              <w:rPr>
                <w:rFonts w:ascii="EC Square Sans Pro" w:hAnsi="EC Square Sans Pro"/>
                <w:i/>
                <w:iCs/>
                <w:noProof/>
                <w:spacing w:val="-6"/>
                <w:sz w:val="20"/>
                <w:szCs w:val="20"/>
              </w:rPr>
              <w:t>Refinancing in the medium term, i.e. percentage of outstanding stock of bonds and bills maturing in the next 5 years</w:t>
            </w:r>
          </w:p>
        </w:tc>
        <w:tc>
          <w:tcPr>
            <w:tcW w:w="2551" w:type="dxa"/>
            <w:shd w:val="clear" w:color="auto" w:fill="auto"/>
          </w:tcPr>
          <w:p w14:paraId="2D80716E"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Less than 35 %.</w:t>
            </w:r>
          </w:p>
        </w:tc>
        <w:tc>
          <w:tcPr>
            <w:tcW w:w="4678" w:type="dxa"/>
            <w:vMerge/>
          </w:tcPr>
          <w:p w14:paraId="338C45F4"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8562DF" w:rsidRPr="00801BCC" w14:paraId="6B94D5D3" w14:textId="77777777" w:rsidTr="005952C7">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540D38ED" w14:textId="0DB43AA8" w:rsidR="00FA6020" w:rsidRPr="00801BCC" w:rsidRDefault="00FA6020" w:rsidP="000A7085">
            <w:pPr>
              <w:jc w:val="left"/>
              <w:rPr>
                <w:noProof/>
                <w:color w:val="034EA2" w:themeColor="accent1"/>
                <w:sz w:val="20"/>
                <w:szCs w:val="20"/>
              </w:rPr>
            </w:pPr>
            <w:r w:rsidRPr="00801BCC">
              <w:rPr>
                <w:noProof/>
                <w:color w:val="034EA2" w:themeColor="accent1"/>
                <w:sz w:val="20"/>
                <w:szCs w:val="20"/>
              </w:rPr>
              <w:t>Implementation of the EU-Bill- programme</w:t>
            </w:r>
          </w:p>
          <w:p w14:paraId="1A4DB38B" w14:textId="77777777" w:rsidR="00FA6020" w:rsidRPr="00801BCC" w:rsidRDefault="00FA6020" w:rsidP="000A7085">
            <w:pPr>
              <w:jc w:val="left"/>
              <w:rPr>
                <w:noProof/>
                <w:sz w:val="20"/>
                <w:szCs w:val="20"/>
              </w:rPr>
            </w:pPr>
          </w:p>
        </w:tc>
        <w:tc>
          <w:tcPr>
            <w:tcW w:w="3264" w:type="dxa"/>
            <w:vMerge w:val="restart"/>
            <w:shd w:val="clear" w:color="auto" w:fill="auto"/>
          </w:tcPr>
          <w:p w14:paraId="016D59D0" w14:textId="2842C23A" w:rsidR="00FA6020" w:rsidRPr="00801BCC" w:rsidRDefault="00FA6020" w:rsidP="000A7085">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Regular issuance of EU-Bills with maturities of up to 1 year via auction to attract additional investors (or additional portfolios of existing investors) and support liquidity management.</w:t>
            </w:r>
          </w:p>
        </w:tc>
        <w:tc>
          <w:tcPr>
            <w:tcW w:w="2268" w:type="dxa"/>
            <w:shd w:val="clear" w:color="auto" w:fill="auto"/>
          </w:tcPr>
          <w:p w14:paraId="3FDE7BD4" w14:textId="5F865BC1" w:rsidR="00FA6020" w:rsidRPr="00801BCC" w:rsidRDefault="00FA6020" w:rsidP="008562DF">
            <w:pPr>
              <w:pStyle w:val="ListParagraph"/>
              <w:numPr>
                <w:ilvl w:val="0"/>
                <w:numId w:val="24"/>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i/>
                <w:iCs/>
                <w:noProof/>
                <w:sz w:val="20"/>
                <w:szCs w:val="20"/>
              </w:rPr>
            </w:pPr>
            <w:r w:rsidRPr="00801BCC">
              <w:rPr>
                <w:rFonts w:ascii="EC Square Sans Pro" w:hAnsi="EC Square Sans Pro" w:cs="Times New Roman"/>
                <w:i/>
                <w:iCs/>
                <w:noProof/>
                <w:sz w:val="20"/>
                <w:szCs w:val="20"/>
              </w:rPr>
              <w:t>Outstanding volume of EU-Bills</w:t>
            </w:r>
          </w:p>
        </w:tc>
        <w:tc>
          <w:tcPr>
            <w:tcW w:w="2551" w:type="dxa"/>
            <w:shd w:val="clear" w:color="auto" w:fill="auto"/>
          </w:tcPr>
          <w:p w14:paraId="554152A6"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EUR 15-19 billion</w:t>
            </w:r>
          </w:p>
        </w:tc>
        <w:tc>
          <w:tcPr>
            <w:tcW w:w="4678" w:type="dxa"/>
            <w:vMerge w:val="restart"/>
            <w:shd w:val="clear" w:color="auto" w:fill="auto"/>
          </w:tcPr>
          <w:p w14:paraId="460C93F4"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The Commission maintained issuances under the EU-Bills programme at the minimum level in light of liquidity needs and long-term funding volumes. Up to two auctions a month were held, just to cover redemptions. Outstanding debt under the EU-Bill programme thus remained stable at around EUR 15-19 billion over the period.</w:t>
            </w:r>
          </w:p>
        </w:tc>
      </w:tr>
      <w:tr w:rsidR="008562DF" w:rsidRPr="00801BCC" w14:paraId="5329F637" w14:textId="77777777" w:rsidTr="00595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47DBE5DB" w14:textId="77777777" w:rsidR="00FA6020" w:rsidRPr="00801BCC" w:rsidRDefault="00FA6020" w:rsidP="000A7085">
            <w:pPr>
              <w:jc w:val="left"/>
              <w:rPr>
                <w:b w:val="0"/>
                <w:bCs w:val="0"/>
                <w:noProof/>
                <w:color w:val="034EA2" w:themeColor="accent1"/>
                <w:sz w:val="20"/>
                <w:szCs w:val="20"/>
              </w:rPr>
            </w:pPr>
          </w:p>
        </w:tc>
        <w:tc>
          <w:tcPr>
            <w:tcW w:w="3264" w:type="dxa"/>
            <w:vMerge/>
          </w:tcPr>
          <w:p w14:paraId="5A0DD31B" w14:textId="77777777" w:rsidR="00FA6020" w:rsidRPr="00801BCC" w:rsidRDefault="00FA6020" w:rsidP="000A7085">
            <w:pPr>
              <w:jc w:val="left"/>
              <w:cnfStyle w:val="000000100000" w:firstRow="0" w:lastRow="0" w:firstColumn="0" w:lastColumn="0" w:oddVBand="0" w:evenVBand="0" w:oddHBand="1" w:evenHBand="0" w:firstRowFirstColumn="0" w:firstRowLastColumn="0" w:lastRowFirstColumn="0" w:lastRowLastColumn="0"/>
              <w:rPr>
                <w:noProof/>
                <w:sz w:val="20"/>
                <w:szCs w:val="20"/>
              </w:rPr>
            </w:pPr>
          </w:p>
        </w:tc>
        <w:tc>
          <w:tcPr>
            <w:tcW w:w="2268" w:type="dxa"/>
            <w:shd w:val="clear" w:color="auto" w:fill="auto"/>
          </w:tcPr>
          <w:p w14:paraId="5F6896C3" w14:textId="77777777" w:rsidR="00FA6020" w:rsidRPr="00801BCC" w:rsidRDefault="00FA6020" w:rsidP="00286E0A">
            <w:pPr>
              <w:pStyle w:val="ListParagraph"/>
              <w:numPr>
                <w:ilvl w:val="0"/>
                <w:numId w:val="24"/>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Number of EU-Bill auctions</w:t>
            </w:r>
          </w:p>
        </w:tc>
        <w:tc>
          <w:tcPr>
            <w:tcW w:w="2551" w:type="dxa"/>
            <w:shd w:val="clear" w:color="auto" w:fill="auto"/>
          </w:tcPr>
          <w:p w14:paraId="4A6C9C84"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10</w:t>
            </w:r>
          </w:p>
        </w:tc>
        <w:tc>
          <w:tcPr>
            <w:tcW w:w="4678" w:type="dxa"/>
            <w:vMerge/>
          </w:tcPr>
          <w:p w14:paraId="43BD6073"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FA6020" w:rsidRPr="00801BCC" w14:paraId="397880ED" w14:textId="77777777" w:rsidTr="005952C7">
        <w:trPr>
          <w:trHeight w:val="20"/>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0BD77F0A" w14:textId="77777777" w:rsidR="00FA6020" w:rsidRPr="00801BCC" w:rsidRDefault="00FA6020" w:rsidP="000A7085">
            <w:pPr>
              <w:jc w:val="left"/>
              <w:rPr>
                <w:noProof/>
                <w:color w:val="034EA2" w:themeColor="accent1"/>
                <w:sz w:val="20"/>
                <w:szCs w:val="20"/>
              </w:rPr>
            </w:pPr>
            <w:r w:rsidRPr="00801BCC">
              <w:rPr>
                <w:noProof/>
                <w:color w:val="034EA2" w:themeColor="accent1"/>
                <w:sz w:val="20"/>
                <w:szCs w:val="20"/>
              </w:rPr>
              <w:t>Liquidity management</w:t>
            </w:r>
          </w:p>
          <w:p w14:paraId="65315B0D" w14:textId="77777777" w:rsidR="00FA6020" w:rsidRPr="00801BCC" w:rsidRDefault="00FA6020" w:rsidP="000A7085">
            <w:pPr>
              <w:jc w:val="left"/>
              <w:rPr>
                <w:noProof/>
                <w:sz w:val="20"/>
                <w:szCs w:val="20"/>
              </w:rPr>
            </w:pPr>
          </w:p>
        </w:tc>
        <w:tc>
          <w:tcPr>
            <w:tcW w:w="3264" w:type="dxa"/>
            <w:shd w:val="clear" w:color="auto" w:fill="auto"/>
          </w:tcPr>
          <w:p w14:paraId="6F2F21A4" w14:textId="577614F2" w:rsidR="00FA6020" w:rsidRPr="00801BCC" w:rsidRDefault="00FA6020" w:rsidP="000A7085">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Management of a liquidity pool in view of payment obligations, disbursement needs and costs of cash holding, with due regard to prevailing market conditions.</w:t>
            </w:r>
          </w:p>
        </w:tc>
        <w:tc>
          <w:tcPr>
            <w:tcW w:w="2268" w:type="dxa"/>
            <w:shd w:val="clear" w:color="auto" w:fill="auto"/>
          </w:tcPr>
          <w:p w14:paraId="7E2A7787" w14:textId="77777777" w:rsidR="00FA6020" w:rsidRPr="00801BCC" w:rsidRDefault="00FA6020" w:rsidP="00286E0A">
            <w:pPr>
              <w:pStyle w:val="ListParagraph"/>
              <w:numPr>
                <w:ilvl w:val="0"/>
                <w:numId w:val="25"/>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Number of payment failures due to lack of liquidity</w:t>
            </w:r>
          </w:p>
        </w:tc>
        <w:tc>
          <w:tcPr>
            <w:tcW w:w="2551" w:type="dxa"/>
            <w:shd w:val="clear" w:color="auto" w:fill="auto"/>
          </w:tcPr>
          <w:p w14:paraId="3E386610" w14:textId="77777777" w:rsidR="00FA6020" w:rsidRPr="00801BCC" w:rsidRDefault="00FA6020" w:rsidP="008D4CA4">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None</w:t>
            </w:r>
          </w:p>
          <w:p w14:paraId="14B03C92" w14:textId="77777777" w:rsidR="00FA6020" w:rsidRPr="00801BCC" w:rsidRDefault="00FA6020" w:rsidP="008D4CA4">
            <w:pPr>
              <w:jc w:val="left"/>
              <w:cnfStyle w:val="000000000000" w:firstRow="0" w:lastRow="0" w:firstColumn="0" w:lastColumn="0" w:oddVBand="0" w:evenVBand="0" w:oddHBand="0" w:evenHBand="0" w:firstRowFirstColumn="0" w:firstRowLastColumn="0" w:lastRowFirstColumn="0" w:lastRowLastColumn="0"/>
              <w:rPr>
                <w:noProof/>
                <w:sz w:val="20"/>
                <w:szCs w:val="20"/>
              </w:rPr>
            </w:pPr>
          </w:p>
        </w:tc>
        <w:tc>
          <w:tcPr>
            <w:tcW w:w="4678" w:type="dxa"/>
            <w:shd w:val="clear" w:color="auto" w:fill="auto"/>
          </w:tcPr>
          <w:p w14:paraId="48106ED3"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bCs/>
                <w:noProof/>
                <w:sz w:val="20"/>
                <w:szCs w:val="20"/>
              </w:rPr>
              <w:t>The Commission successfully met disbursement needs and there were no settlement failures during the semester.</w:t>
            </w:r>
          </w:p>
        </w:tc>
      </w:tr>
      <w:tr w:rsidR="00FA6020" w:rsidRPr="00801BCC" w14:paraId="48FA4AD3" w14:textId="77777777" w:rsidTr="00595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5EF6C9A1" w14:textId="77777777" w:rsidR="00FA6020" w:rsidRPr="00801BCC" w:rsidRDefault="00FA6020" w:rsidP="000A7085">
            <w:pPr>
              <w:jc w:val="left"/>
              <w:rPr>
                <w:noProof/>
                <w:sz w:val="20"/>
                <w:szCs w:val="20"/>
              </w:rPr>
            </w:pPr>
            <w:r w:rsidRPr="00801BCC">
              <w:rPr>
                <w:noProof/>
                <w:color w:val="034EA2" w:themeColor="accent1"/>
                <w:sz w:val="20"/>
                <w:szCs w:val="20"/>
              </w:rPr>
              <w:t>Primary dealer network</w:t>
            </w:r>
          </w:p>
        </w:tc>
        <w:tc>
          <w:tcPr>
            <w:tcW w:w="3264" w:type="dxa"/>
            <w:shd w:val="clear" w:color="auto" w:fill="auto"/>
          </w:tcPr>
          <w:p w14:paraId="3CA214E8" w14:textId="1D922A1F" w:rsidR="00FA6020" w:rsidRPr="00801BCC" w:rsidRDefault="00FA6020" w:rsidP="000A7085">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 xml:space="preserve">Attracting a wide range of financial institutions showing strong commitment to support the </w:t>
            </w:r>
            <w:r w:rsidR="000761D2">
              <w:rPr>
                <w:noProof/>
                <w:sz w:val="20"/>
                <w:szCs w:val="20"/>
              </w:rPr>
              <w:br/>
            </w:r>
            <w:r w:rsidRPr="00801BCC">
              <w:rPr>
                <w:noProof/>
                <w:sz w:val="20"/>
                <w:szCs w:val="20"/>
              </w:rPr>
              <w:t>EU issuances</w:t>
            </w:r>
            <w:r w:rsidR="004D59F2" w:rsidRPr="00801BCC">
              <w:rPr>
                <w:noProof/>
                <w:sz w:val="20"/>
                <w:szCs w:val="20"/>
              </w:rPr>
              <w:t>.</w:t>
            </w:r>
          </w:p>
        </w:tc>
        <w:tc>
          <w:tcPr>
            <w:tcW w:w="2268" w:type="dxa"/>
            <w:shd w:val="clear" w:color="auto" w:fill="auto"/>
          </w:tcPr>
          <w:p w14:paraId="3108E5F1" w14:textId="77777777" w:rsidR="00FA6020" w:rsidRPr="00801BCC" w:rsidRDefault="00FA6020" w:rsidP="00286E0A">
            <w:pPr>
              <w:pStyle w:val="ListParagraph"/>
              <w:numPr>
                <w:ilvl w:val="0"/>
                <w:numId w:val="13"/>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20"/>
                <w:szCs w:val="20"/>
              </w:rPr>
            </w:pPr>
            <w:r w:rsidRPr="00801BCC">
              <w:rPr>
                <w:rFonts w:ascii="EC Square Sans Pro" w:hAnsi="EC Square Sans Pro" w:cs="Times New Roman"/>
                <w:i/>
                <w:iCs/>
                <w:noProof/>
                <w:sz w:val="20"/>
                <w:szCs w:val="20"/>
              </w:rPr>
              <w:t>Number of institutions which signed underwriting commitments for transactions over the past 6 months</w:t>
            </w:r>
          </w:p>
        </w:tc>
        <w:tc>
          <w:tcPr>
            <w:tcW w:w="2551" w:type="dxa"/>
            <w:shd w:val="clear" w:color="auto" w:fill="auto"/>
          </w:tcPr>
          <w:p w14:paraId="3D6A2A57" w14:textId="77777777" w:rsidR="00FA6020" w:rsidRPr="00801BCC" w:rsidRDefault="00FA6020" w:rsidP="008D4CA4">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16 (compared to 17 in H2 2022)</w:t>
            </w:r>
          </w:p>
        </w:tc>
        <w:tc>
          <w:tcPr>
            <w:tcW w:w="4678" w:type="dxa"/>
            <w:shd w:val="clear" w:color="auto" w:fill="auto"/>
          </w:tcPr>
          <w:p w14:paraId="37C2D88C" w14:textId="2D94058B"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bCs/>
                <w:noProof/>
                <w:sz w:val="20"/>
                <w:szCs w:val="20"/>
              </w:rPr>
            </w:pPr>
            <w:r w:rsidRPr="00801BCC">
              <w:rPr>
                <w:bCs/>
                <w:noProof/>
                <w:sz w:val="20"/>
                <w:szCs w:val="20"/>
              </w:rPr>
              <w:t>The Commission continued to be supported by EU primary dealers and rotation at the syndications helped the Commission to make best use of all banks eligible to be part of a syndicate.</w:t>
            </w:r>
          </w:p>
        </w:tc>
      </w:tr>
      <w:tr w:rsidR="004A4C37" w:rsidRPr="00801BCC" w14:paraId="13FFCF79" w14:textId="77777777" w:rsidTr="005952C7">
        <w:trPr>
          <w:trHeight w:val="2094"/>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451563EF" w14:textId="77777777" w:rsidR="00FA6020" w:rsidRPr="00801BCC" w:rsidRDefault="00FA6020" w:rsidP="000A7085">
            <w:pPr>
              <w:jc w:val="left"/>
              <w:rPr>
                <w:noProof/>
                <w:sz w:val="20"/>
                <w:szCs w:val="20"/>
              </w:rPr>
            </w:pPr>
            <w:r w:rsidRPr="00801BCC">
              <w:rPr>
                <w:noProof/>
                <w:color w:val="034EA2" w:themeColor="accent1"/>
                <w:sz w:val="20"/>
                <w:szCs w:val="20"/>
              </w:rPr>
              <w:t xml:space="preserve">Communication with diverse market stakeholders and peer issuers </w:t>
            </w:r>
          </w:p>
        </w:tc>
        <w:tc>
          <w:tcPr>
            <w:tcW w:w="3264" w:type="dxa"/>
            <w:vMerge w:val="restart"/>
            <w:shd w:val="clear" w:color="auto" w:fill="auto"/>
          </w:tcPr>
          <w:p w14:paraId="7BB3E99B" w14:textId="3C20F6D8" w:rsidR="00FA6020" w:rsidRPr="00801BCC" w:rsidRDefault="00FA6020" w:rsidP="000A7085">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Maintaining and building trust with investor base, market participants and peer issuers to support demand for EU debt and improve the EU’s understanding of market dynamics and investor needs</w:t>
            </w:r>
            <w:r w:rsidR="004D59F2" w:rsidRPr="00801BCC">
              <w:rPr>
                <w:noProof/>
                <w:sz w:val="20"/>
                <w:szCs w:val="20"/>
              </w:rPr>
              <w:t>.</w:t>
            </w:r>
          </w:p>
        </w:tc>
        <w:tc>
          <w:tcPr>
            <w:tcW w:w="2268" w:type="dxa"/>
            <w:shd w:val="clear" w:color="auto" w:fill="auto"/>
          </w:tcPr>
          <w:p w14:paraId="4015E20F" w14:textId="77777777" w:rsidR="00FA6020" w:rsidRPr="00801BCC" w:rsidRDefault="00FA6020" w:rsidP="00286E0A">
            <w:pPr>
              <w:pStyle w:val="ListParagraph"/>
              <w:numPr>
                <w:ilvl w:val="0"/>
                <w:numId w:val="26"/>
              </w:numPr>
              <w:spacing w:after="40"/>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 xml:space="preserve">Deviations from the pre-announced timings for the publication of funding plans </w:t>
            </w:r>
          </w:p>
        </w:tc>
        <w:tc>
          <w:tcPr>
            <w:tcW w:w="2551" w:type="dxa"/>
            <w:shd w:val="clear" w:color="auto" w:fill="auto"/>
          </w:tcPr>
          <w:p w14:paraId="228E31F1" w14:textId="77777777" w:rsidR="00FA6020" w:rsidRPr="00801BCC" w:rsidRDefault="00FA6020" w:rsidP="008D4CA4">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None</w:t>
            </w:r>
          </w:p>
        </w:tc>
        <w:tc>
          <w:tcPr>
            <w:tcW w:w="4678" w:type="dxa"/>
            <w:vMerge w:val="restart"/>
            <w:shd w:val="clear" w:color="auto" w:fill="auto"/>
          </w:tcPr>
          <w:p w14:paraId="441EB1E2" w14:textId="77777777" w:rsidR="00FA6020" w:rsidRPr="00801BCC" w:rsidRDefault="00FA6020" w:rsidP="00D154FF">
            <w:pPr>
              <w:spacing w:after="120"/>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The Commission maintained regular and predictable communication with the markets, in line with previous announcements. There was no deviation between the initial funding target and the announced volume for funding transactions in the current semester. However, in the bond auctions, a reduced allocation of EUR 3 billion occurred due to the securing of attractive financing conditions.</w:t>
            </w:r>
          </w:p>
          <w:p w14:paraId="689B01F1" w14:textId="77777777" w:rsidR="00FA6020" w:rsidRPr="00801BCC" w:rsidRDefault="00FA6020" w:rsidP="008562DF">
            <w:pPr>
              <w:spacing w:after="120"/>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The Commission regularly published investor statistics which remained stable and continued to see an increase in its diversified investor base.</w:t>
            </w:r>
          </w:p>
          <w:p w14:paraId="1DA66866"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p>
        </w:tc>
      </w:tr>
      <w:tr w:rsidR="004A4C37" w:rsidRPr="00801BCC" w14:paraId="1BF95014" w14:textId="77777777" w:rsidTr="00595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57C71432" w14:textId="77777777" w:rsidR="00FA6020" w:rsidRPr="00801BCC" w:rsidRDefault="00FA6020" w:rsidP="000A7085">
            <w:pPr>
              <w:jc w:val="left"/>
              <w:rPr>
                <w:b w:val="0"/>
                <w:bCs w:val="0"/>
                <w:noProof/>
                <w:color w:val="034EA2" w:themeColor="accent1"/>
                <w:sz w:val="20"/>
                <w:szCs w:val="20"/>
              </w:rPr>
            </w:pPr>
          </w:p>
        </w:tc>
        <w:tc>
          <w:tcPr>
            <w:tcW w:w="3264" w:type="dxa"/>
            <w:vMerge/>
          </w:tcPr>
          <w:p w14:paraId="0B5EA7B2" w14:textId="77777777" w:rsidR="00FA6020" w:rsidRPr="00801BCC" w:rsidRDefault="00FA6020" w:rsidP="000A7085">
            <w:pPr>
              <w:jc w:val="left"/>
              <w:cnfStyle w:val="000000100000" w:firstRow="0" w:lastRow="0" w:firstColumn="0" w:lastColumn="0" w:oddVBand="0" w:evenVBand="0" w:oddHBand="1" w:evenHBand="0" w:firstRowFirstColumn="0" w:firstRowLastColumn="0" w:lastRowFirstColumn="0" w:lastRowLastColumn="0"/>
              <w:rPr>
                <w:noProof/>
                <w:sz w:val="20"/>
                <w:szCs w:val="20"/>
              </w:rPr>
            </w:pPr>
          </w:p>
        </w:tc>
        <w:tc>
          <w:tcPr>
            <w:tcW w:w="2268" w:type="dxa"/>
            <w:shd w:val="clear" w:color="auto" w:fill="auto"/>
          </w:tcPr>
          <w:p w14:paraId="49540FDC" w14:textId="77777777" w:rsidR="00FA6020" w:rsidRPr="00801BCC" w:rsidRDefault="00FA6020" w:rsidP="00286E0A">
            <w:pPr>
              <w:pStyle w:val="ListParagraph"/>
              <w:numPr>
                <w:ilvl w:val="0"/>
                <w:numId w:val="26"/>
              </w:numPr>
              <w:spacing w:after="40"/>
              <w:ind w:left="226" w:hanging="113"/>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 xml:space="preserve">Deviation from the volumes announced in the funding plan </w:t>
            </w:r>
          </w:p>
        </w:tc>
        <w:tc>
          <w:tcPr>
            <w:tcW w:w="2551" w:type="dxa"/>
            <w:shd w:val="clear" w:color="auto" w:fill="auto"/>
          </w:tcPr>
          <w:p w14:paraId="38F14D9A" w14:textId="09FFFD34" w:rsidR="00FA6020" w:rsidRPr="00801BCC" w:rsidRDefault="00FA6020" w:rsidP="008D4CA4">
            <w:pPr>
              <w:jc w:val="left"/>
              <w:cnfStyle w:val="000000100000" w:firstRow="0" w:lastRow="0" w:firstColumn="0" w:lastColumn="0" w:oddVBand="0" w:evenVBand="0" w:oddHBand="1" w:evenHBand="0" w:firstRowFirstColumn="0" w:firstRowLastColumn="0" w:lastRowFirstColumn="0" w:lastRowLastColumn="0"/>
              <w:rPr>
                <w:noProof/>
                <w:sz w:val="20"/>
                <w:szCs w:val="20"/>
              </w:rPr>
            </w:pPr>
            <w:r w:rsidRPr="00801BCC">
              <w:rPr>
                <w:noProof/>
                <w:sz w:val="20"/>
                <w:szCs w:val="20"/>
              </w:rPr>
              <w:t>Less than EUR 3 billion or less than 6% (compared with less than 2.5% in H1 2023).</w:t>
            </w:r>
          </w:p>
        </w:tc>
        <w:tc>
          <w:tcPr>
            <w:tcW w:w="4678" w:type="dxa"/>
            <w:vMerge/>
          </w:tcPr>
          <w:p w14:paraId="1C3AEF41" w14:textId="77777777" w:rsidR="00FA6020" w:rsidRPr="00801BCC" w:rsidRDefault="00FA6020" w:rsidP="008A34F5">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4A4C37" w:rsidRPr="00801BCC" w14:paraId="35B1EFFD" w14:textId="77777777" w:rsidTr="005952C7">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4681E356" w14:textId="77777777" w:rsidR="00FA6020" w:rsidRPr="00801BCC" w:rsidRDefault="00FA6020" w:rsidP="000A7085">
            <w:pPr>
              <w:jc w:val="left"/>
              <w:rPr>
                <w:b w:val="0"/>
                <w:bCs w:val="0"/>
                <w:noProof/>
                <w:color w:val="034EA2" w:themeColor="accent1"/>
                <w:sz w:val="20"/>
                <w:szCs w:val="20"/>
              </w:rPr>
            </w:pPr>
          </w:p>
        </w:tc>
        <w:tc>
          <w:tcPr>
            <w:tcW w:w="3264" w:type="dxa"/>
            <w:vMerge/>
          </w:tcPr>
          <w:p w14:paraId="7FFB2C6F" w14:textId="77777777" w:rsidR="00FA6020" w:rsidRPr="00801BCC" w:rsidRDefault="00FA6020" w:rsidP="000A7085">
            <w:pPr>
              <w:jc w:val="left"/>
              <w:cnfStyle w:val="000000000000" w:firstRow="0" w:lastRow="0" w:firstColumn="0" w:lastColumn="0" w:oddVBand="0" w:evenVBand="0" w:oddHBand="0" w:evenHBand="0" w:firstRowFirstColumn="0" w:firstRowLastColumn="0" w:lastRowFirstColumn="0" w:lastRowLastColumn="0"/>
              <w:rPr>
                <w:noProof/>
                <w:sz w:val="20"/>
                <w:szCs w:val="20"/>
              </w:rPr>
            </w:pPr>
          </w:p>
        </w:tc>
        <w:tc>
          <w:tcPr>
            <w:tcW w:w="2268" w:type="dxa"/>
            <w:shd w:val="clear" w:color="auto" w:fill="auto"/>
          </w:tcPr>
          <w:p w14:paraId="61E4A87E" w14:textId="77777777" w:rsidR="00FA6020" w:rsidRPr="00801BCC" w:rsidRDefault="00FA6020" w:rsidP="00286E0A">
            <w:pPr>
              <w:pStyle w:val="ListParagraph"/>
              <w:numPr>
                <w:ilvl w:val="0"/>
                <w:numId w:val="26"/>
              </w:numPr>
              <w:spacing w:after="40"/>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20"/>
                <w:szCs w:val="20"/>
              </w:rPr>
            </w:pPr>
            <w:r w:rsidRPr="00801BCC">
              <w:rPr>
                <w:rFonts w:ascii="EC Square Sans Pro" w:hAnsi="EC Square Sans Pro"/>
                <w:i/>
                <w:iCs/>
                <w:noProof/>
                <w:sz w:val="20"/>
                <w:szCs w:val="20"/>
              </w:rPr>
              <w:t>Investor distribution statistics</w:t>
            </w:r>
          </w:p>
        </w:tc>
        <w:tc>
          <w:tcPr>
            <w:tcW w:w="2551" w:type="dxa"/>
            <w:shd w:val="clear" w:color="auto" w:fill="auto"/>
          </w:tcPr>
          <w:p w14:paraId="2FACB354" w14:textId="0DC7FC37" w:rsidR="00FA6020" w:rsidRPr="00801BCC" w:rsidRDefault="00FA6020" w:rsidP="004A3236">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801BCC">
              <w:rPr>
                <w:noProof/>
                <w:sz w:val="20"/>
                <w:szCs w:val="20"/>
              </w:rPr>
              <w:t xml:space="preserve">Per type: central banks/official institutions 30.8%, bank treasuries 30.0%, fund managers 19.1%, insurance and pension funds 11.7%, banks </w:t>
            </w:r>
            <w:r w:rsidR="004A3236">
              <w:rPr>
                <w:noProof/>
                <w:sz w:val="20"/>
                <w:szCs w:val="20"/>
              </w:rPr>
              <w:br/>
            </w:r>
            <w:r w:rsidRPr="00801BCC">
              <w:rPr>
                <w:noProof/>
                <w:sz w:val="20"/>
                <w:szCs w:val="20"/>
              </w:rPr>
              <w:t xml:space="preserve">5.9%, hedge funds </w:t>
            </w:r>
            <w:r w:rsidR="004A3236">
              <w:rPr>
                <w:noProof/>
                <w:sz w:val="20"/>
                <w:szCs w:val="20"/>
              </w:rPr>
              <w:br/>
            </w:r>
            <w:r w:rsidRPr="00801BCC">
              <w:rPr>
                <w:noProof/>
                <w:sz w:val="20"/>
                <w:szCs w:val="20"/>
              </w:rPr>
              <w:t>2.5%</w:t>
            </w:r>
            <w:r w:rsidR="00AF7208">
              <w:rPr>
                <w:noProof/>
                <w:sz w:val="20"/>
                <w:szCs w:val="20"/>
              </w:rPr>
              <w:t xml:space="preserve"> </w:t>
            </w:r>
            <w:r w:rsidRPr="00801BCC">
              <w:rPr>
                <w:noProof/>
                <w:sz w:val="20"/>
                <w:szCs w:val="20"/>
              </w:rPr>
              <w:t xml:space="preserve">Per country/region: </w:t>
            </w:r>
            <w:r w:rsidR="00AF7208">
              <w:rPr>
                <w:noProof/>
                <w:sz w:val="20"/>
                <w:szCs w:val="20"/>
              </w:rPr>
              <w:br/>
            </w:r>
            <w:r w:rsidRPr="00801BCC">
              <w:rPr>
                <w:noProof/>
                <w:sz w:val="20"/>
                <w:szCs w:val="20"/>
              </w:rPr>
              <w:t xml:space="preserve">UK 17.6%, Benelux 16.2%, France 12.3%, Asia-Pacific 10.0%, Germany 9.1%, Nordics 9.0%, Italy 7.6%, other EU 6.6%, Iberia 6.0%, Americas 2.1%, </w:t>
            </w:r>
            <w:r w:rsidR="004A3236">
              <w:rPr>
                <w:noProof/>
                <w:sz w:val="20"/>
                <w:szCs w:val="20"/>
              </w:rPr>
              <w:br/>
            </w:r>
            <w:r w:rsidRPr="00801BCC">
              <w:rPr>
                <w:noProof/>
                <w:sz w:val="20"/>
                <w:szCs w:val="20"/>
              </w:rPr>
              <w:t>other Europe 2.0%, Middle-East and Africa 1.5%</w:t>
            </w:r>
          </w:p>
        </w:tc>
        <w:tc>
          <w:tcPr>
            <w:tcW w:w="4678" w:type="dxa"/>
            <w:vMerge/>
          </w:tcPr>
          <w:p w14:paraId="0F687735" w14:textId="77777777" w:rsidR="00FA6020" w:rsidRPr="00801BCC" w:rsidRDefault="00FA6020" w:rsidP="008A34F5">
            <w:pPr>
              <w:cnfStyle w:val="000000000000" w:firstRow="0" w:lastRow="0" w:firstColumn="0" w:lastColumn="0" w:oddVBand="0" w:evenVBand="0" w:oddHBand="0" w:evenHBand="0" w:firstRowFirstColumn="0" w:firstRowLastColumn="0" w:lastRowFirstColumn="0" w:lastRowLastColumn="0"/>
              <w:rPr>
                <w:noProof/>
                <w:sz w:val="20"/>
                <w:szCs w:val="20"/>
              </w:rPr>
            </w:pPr>
          </w:p>
        </w:tc>
      </w:tr>
    </w:tbl>
    <w:p w14:paraId="5CB7B63B" w14:textId="77777777" w:rsidR="00FA6020" w:rsidRPr="001401DA" w:rsidRDefault="00FA6020" w:rsidP="00F9742E">
      <w:pPr>
        <w:rPr>
          <w:b/>
          <w:bCs/>
          <w:noProof/>
        </w:rPr>
      </w:pPr>
    </w:p>
    <w:sectPr w:rsidR="00FA6020" w:rsidRPr="001401DA" w:rsidSect="00A046A3">
      <w:headerReference w:type="even" r:id="rId39"/>
      <w:headerReference w:type="default" r:id="rId40"/>
      <w:footerReference w:type="even" r:id="rId41"/>
      <w:footerReference w:type="default" r:id="rId42"/>
      <w:headerReference w:type="first" r:id="rId43"/>
      <w:footerReference w:type="first" r:id="rId44"/>
      <w:pgSz w:w="16839" w:h="11907"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B05FA" w14:textId="77777777" w:rsidR="00347312" w:rsidRDefault="00347312" w:rsidP="008B6253">
      <w:pPr>
        <w:spacing w:after="0"/>
      </w:pPr>
      <w:r>
        <w:separator/>
      </w:r>
    </w:p>
  </w:endnote>
  <w:endnote w:type="continuationSeparator" w:id="0">
    <w:p w14:paraId="6C8454D1" w14:textId="77777777" w:rsidR="00347312" w:rsidRDefault="00347312" w:rsidP="008B6253">
      <w:pPr>
        <w:spacing w:after="0"/>
      </w:pPr>
      <w:r>
        <w:continuationSeparator/>
      </w:r>
    </w:p>
  </w:endnote>
  <w:endnote w:type="continuationNotice" w:id="1">
    <w:p w14:paraId="1DC35E73" w14:textId="77777777" w:rsidR="00347312" w:rsidRDefault="003473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altName w:val="Calibri"/>
    <w:charset w:val="00"/>
    <w:family w:val="swiss"/>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unga">
    <w:altName w:val="Courier New"/>
    <w:panose1 w:val="000004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0035F" w14:textId="38668932" w:rsidR="001067A2" w:rsidRPr="001067A2" w:rsidRDefault="001067A2" w:rsidP="001067A2">
    <w:pPr>
      <w:pStyle w:val="FooterCoverPage"/>
      <w:rPr>
        <w:rFonts w:ascii="Arial" w:hAnsi="Arial" w:cs="Arial"/>
        <w:b/>
        <w:sz w:val="48"/>
      </w:rPr>
    </w:pPr>
    <w:r w:rsidRPr="001067A2">
      <w:rPr>
        <w:rFonts w:ascii="Arial" w:hAnsi="Arial" w:cs="Arial"/>
        <w:b/>
        <w:sz w:val="48"/>
      </w:rPr>
      <w:t>EN</w:t>
    </w:r>
    <w:r w:rsidRPr="001067A2">
      <w:rPr>
        <w:rFonts w:ascii="Arial" w:hAnsi="Arial" w:cs="Arial"/>
        <w:b/>
        <w:sz w:val="48"/>
      </w:rPr>
      <w:tab/>
    </w:r>
    <w:r w:rsidRPr="001067A2">
      <w:rPr>
        <w:rFonts w:ascii="Arial" w:hAnsi="Arial" w:cs="Arial"/>
        <w:b/>
        <w:sz w:val="48"/>
      </w:rPr>
      <w:tab/>
    </w:r>
    <w:r w:rsidRPr="001067A2">
      <w:tab/>
    </w:r>
    <w:r w:rsidRPr="001067A2">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FFC7" w14:textId="77777777" w:rsidR="001C2621" w:rsidRDefault="001C262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1F71" w14:textId="649A40BC" w:rsidR="001C2621" w:rsidRDefault="001C2621">
    <w:pPr>
      <w:pStyle w:val="Footer"/>
      <w:jc w:val="center"/>
      <w:rPr>
        <w:noProof/>
      </w:rPr>
    </w:pPr>
    <w:r>
      <w:fldChar w:fldCharType="begin"/>
    </w:r>
    <w:r>
      <w:instrText xml:space="preserve"> PAGE   \* MERGEFORMAT </w:instrText>
    </w:r>
    <w:r>
      <w:fldChar w:fldCharType="separate"/>
    </w:r>
    <w:r w:rsidR="004A00F6">
      <w:rPr>
        <w:noProof/>
      </w:rPr>
      <w:t>10</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856E" w14:textId="77777777" w:rsidR="001C2621" w:rsidRDefault="001C2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3F91" w14:textId="55FB7778" w:rsidR="001067A2" w:rsidRPr="001067A2" w:rsidRDefault="001067A2" w:rsidP="001067A2">
    <w:pPr>
      <w:pStyle w:val="FooterCoverPage"/>
      <w:rPr>
        <w:rFonts w:ascii="Arial" w:hAnsi="Arial" w:cs="Arial"/>
        <w:b/>
        <w:sz w:val="48"/>
      </w:rPr>
    </w:pPr>
    <w:r w:rsidRPr="001067A2">
      <w:rPr>
        <w:rFonts w:ascii="Arial" w:hAnsi="Arial" w:cs="Arial"/>
        <w:b/>
        <w:sz w:val="48"/>
      </w:rPr>
      <w:t>EN</w:t>
    </w:r>
    <w:r w:rsidRPr="001067A2">
      <w:rPr>
        <w:rFonts w:ascii="Arial" w:hAnsi="Arial" w:cs="Arial"/>
        <w:b/>
        <w:sz w:val="48"/>
      </w:rPr>
      <w:tab/>
    </w:r>
    <w:r w:rsidRPr="001067A2">
      <w:rPr>
        <w:rFonts w:ascii="Arial" w:hAnsi="Arial" w:cs="Arial"/>
        <w:b/>
        <w:sz w:val="48"/>
      </w:rPr>
      <w:tab/>
    </w:r>
    <w:r w:rsidRPr="001067A2">
      <w:tab/>
    </w:r>
    <w:r w:rsidRPr="001067A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7CB35" w14:textId="77777777" w:rsidR="001067A2" w:rsidRPr="001067A2" w:rsidRDefault="001067A2" w:rsidP="001067A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73F5" w14:textId="77777777" w:rsidR="001C2621" w:rsidRDefault="001C26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C523" w14:textId="77777777" w:rsidR="001C2621" w:rsidRPr="007352EE" w:rsidRDefault="001C2621" w:rsidP="00BD68A5">
    <w:pPr>
      <w:pStyle w:val="FooterCoverPage"/>
      <w:rPr>
        <w:rFonts w:ascii="Arial" w:hAnsi="Arial" w:cs="Arial"/>
        <w:b/>
        <w:sz w:val="48"/>
      </w:rPr>
    </w:pPr>
    <w:r w:rsidRPr="007352EE">
      <w:rPr>
        <w:rFonts w:ascii="Arial" w:hAnsi="Arial" w:cs="Arial"/>
        <w:b/>
        <w:sz w:val="48"/>
      </w:rPr>
      <w:t>EN</w:t>
    </w:r>
    <w:r w:rsidRPr="007352EE">
      <w:rPr>
        <w:rFonts w:ascii="Arial" w:hAnsi="Arial" w:cs="Arial"/>
        <w:b/>
        <w:sz w:val="48"/>
      </w:rPr>
      <w:tab/>
    </w:r>
    <w:r w:rsidRPr="007352EE">
      <w:rPr>
        <w:rFonts w:ascii="Arial" w:hAnsi="Arial" w:cs="Arial"/>
        <w:b/>
        <w:sz w:val="48"/>
      </w:rPr>
      <w:tab/>
    </w:r>
    <w:r w:rsidRPr="007352EE">
      <w:tab/>
    </w:r>
    <w:r w:rsidRPr="007352EE">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83E4" w14:textId="77777777" w:rsidR="001C2621" w:rsidRDefault="001C26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B17A" w14:textId="77777777" w:rsidR="001C2621" w:rsidRDefault="001C26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095215"/>
      <w:docPartObj>
        <w:docPartGallery w:val="Page Numbers (Bottom of Page)"/>
        <w:docPartUnique/>
      </w:docPartObj>
    </w:sdtPr>
    <w:sdtEndPr>
      <w:rPr>
        <w:noProof/>
      </w:rPr>
    </w:sdtEndPr>
    <w:sdtContent>
      <w:p w14:paraId="19D1479D" w14:textId="2299AA24" w:rsidR="001C2621" w:rsidRDefault="001C2621">
        <w:pPr>
          <w:pStyle w:val="Footer"/>
          <w:jc w:val="right"/>
        </w:pPr>
        <w:r>
          <w:fldChar w:fldCharType="begin"/>
        </w:r>
        <w:r>
          <w:instrText xml:space="preserve"> PAGE   \* MERGEFORMAT </w:instrText>
        </w:r>
        <w:r>
          <w:fldChar w:fldCharType="separate"/>
        </w:r>
        <w:r w:rsidR="001067A2">
          <w:rPr>
            <w:noProof/>
          </w:rPr>
          <w:t>5</w:t>
        </w:r>
        <w:r>
          <w:rPr>
            <w:noProof/>
          </w:rPr>
          <w:fldChar w:fldCharType="end"/>
        </w:r>
      </w:p>
    </w:sdtContent>
  </w:sdt>
  <w:p w14:paraId="0CB50D4F" w14:textId="77777777" w:rsidR="001C2621" w:rsidRDefault="001C26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0206" w14:textId="77777777" w:rsidR="001C2621" w:rsidRDefault="001C2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E3DCE" w14:textId="77777777" w:rsidR="00347312" w:rsidRDefault="00347312" w:rsidP="008B6253">
      <w:pPr>
        <w:spacing w:after="0"/>
      </w:pPr>
      <w:r>
        <w:separator/>
      </w:r>
    </w:p>
  </w:footnote>
  <w:footnote w:type="continuationSeparator" w:id="0">
    <w:p w14:paraId="7F35DCFF" w14:textId="77777777" w:rsidR="00347312" w:rsidRDefault="00347312" w:rsidP="008B6253">
      <w:pPr>
        <w:spacing w:after="0"/>
      </w:pPr>
      <w:r>
        <w:continuationSeparator/>
      </w:r>
    </w:p>
  </w:footnote>
  <w:footnote w:type="continuationNotice" w:id="1">
    <w:p w14:paraId="5D6ABBE8" w14:textId="77777777" w:rsidR="00347312" w:rsidRDefault="00347312">
      <w:pPr>
        <w:spacing w:after="0"/>
      </w:pPr>
    </w:p>
  </w:footnote>
  <w:footnote w:id="2">
    <w:p w14:paraId="1C12DD74" w14:textId="7688BCB8" w:rsidR="001C2621" w:rsidRPr="001A5608" w:rsidRDefault="001C2621">
      <w:pPr>
        <w:pStyle w:val="FootnoteText"/>
      </w:pPr>
      <w:r w:rsidRPr="00C12C05">
        <w:rPr>
          <w:rStyle w:val="FootnoteReference"/>
        </w:rPr>
        <w:footnoteRef/>
      </w:r>
      <w:r w:rsidRPr="00C12C05">
        <w:rPr>
          <w:rStyle w:val="FootnoteReference"/>
        </w:rPr>
        <w:t xml:space="preserve"> </w:t>
      </w:r>
      <w:r w:rsidRPr="0091353C">
        <w:t xml:space="preserve">The European </w:t>
      </w:r>
      <w:r w:rsidRPr="001A5608">
        <w:t>instrument for temporary Support to mitigate Unemployment Risks in an Emergency (SURE).</w:t>
      </w:r>
    </w:p>
  </w:footnote>
  <w:footnote w:id="3">
    <w:p w14:paraId="22CC849F" w14:textId="5A7E6C7C" w:rsidR="00C12C05" w:rsidRPr="000659B4" w:rsidRDefault="000659B4" w:rsidP="00C12C05">
      <w:pPr>
        <w:pStyle w:val="FootnoteText"/>
        <w:ind w:left="0" w:firstLine="0"/>
      </w:pPr>
      <w:r w:rsidRPr="001A5608">
        <w:rPr>
          <w:rStyle w:val="FootnoteReference"/>
        </w:rPr>
        <w:footnoteRef/>
      </w:r>
      <w:r w:rsidRPr="001A5608">
        <w:rPr>
          <w:rStyle w:val="FootnoteReference"/>
        </w:rPr>
        <w:t xml:space="preserve"> </w:t>
      </w:r>
      <w:r w:rsidRPr="001A5608">
        <w:t>In accordance with Article 220a of the Financial Regulation (Council Regulation 2018/</w:t>
      </w:r>
      <w:r w:rsidR="00C12C05" w:rsidRPr="001A5608">
        <w:t>1046</w:t>
      </w:r>
      <w:r w:rsidRPr="001A5608">
        <w:t>)</w:t>
      </w:r>
      <w:r w:rsidR="00C12C05" w:rsidRPr="001A5608">
        <w:t xml:space="preserve"> on the financial rules applicable to the general budget of the Union.</w:t>
      </w:r>
    </w:p>
  </w:footnote>
  <w:footnote w:id="4">
    <w:p w14:paraId="434F6FC5" w14:textId="6E8E18EC" w:rsidR="005341C2" w:rsidRPr="000659B4" w:rsidRDefault="005341C2" w:rsidP="00ED2294">
      <w:pPr>
        <w:pStyle w:val="FootnoteText"/>
        <w:ind w:left="0" w:firstLine="0"/>
      </w:pPr>
      <w:r>
        <w:rPr>
          <w:rStyle w:val="FootnoteReference"/>
        </w:rPr>
        <w:footnoteRef/>
      </w:r>
      <w:r>
        <w:t xml:space="preserve"> See for example the annual reports for </w:t>
      </w:r>
      <w:hyperlink r:id="rId1" w:history="1">
        <w:r>
          <w:rPr>
            <w:rStyle w:val="Hyperlink"/>
          </w:rPr>
          <w:t>the Recovery and Resilience Facility</w:t>
        </w:r>
      </w:hyperlink>
      <w:r w:rsidR="0033618F">
        <w:t xml:space="preserve"> and </w:t>
      </w:r>
      <w:hyperlink r:id="rId2" w:history="1">
        <w:r w:rsidR="00ED2294">
          <w:rPr>
            <w:rStyle w:val="Hyperlink"/>
          </w:rPr>
          <w:t>Macro-Financial Assistance</w:t>
        </w:r>
      </w:hyperlink>
      <w:r w:rsidR="0033618F">
        <w:t xml:space="preserve"> and the </w:t>
      </w:r>
      <w:hyperlink r:id="rId3" w:history="1">
        <w:r w:rsidR="0033618F" w:rsidRPr="002C7AD0">
          <w:rPr>
            <w:rStyle w:val="Hyperlink"/>
          </w:rPr>
          <w:t>NextGenerationEU Green Bonds Allocation and Impact report</w:t>
        </w:r>
      </w:hyperlink>
      <w:r w:rsidR="0033618F">
        <w:t>.</w:t>
      </w:r>
      <w:r>
        <w:t xml:space="preserve">  </w:t>
      </w:r>
    </w:p>
  </w:footnote>
  <w:footnote w:id="5">
    <w:p w14:paraId="741ACB73" w14:textId="54726DCA" w:rsidR="00B7513E" w:rsidRPr="000659B4" w:rsidRDefault="000659B4">
      <w:pPr>
        <w:pStyle w:val="FootnoteText"/>
      </w:pPr>
      <w:r>
        <w:rPr>
          <w:rStyle w:val="FootnoteReference"/>
        </w:rPr>
        <w:footnoteRef/>
      </w:r>
      <w:r>
        <w:t xml:space="preserve"> </w:t>
      </w:r>
      <w:hyperlink r:id="rId4" w:history="1">
        <w:r w:rsidR="00B7513E">
          <w:rPr>
            <w:rStyle w:val="Hyperlink"/>
          </w:rPr>
          <w:t>Special report 16/2023: NGEU debt management at the Commission</w:t>
        </w:r>
      </w:hyperlink>
      <w:r w:rsidR="00B7513E">
        <w:t xml:space="preserve"> and </w:t>
      </w:r>
      <w:hyperlink r:id="rId5" w:history="1">
        <w:r w:rsidR="00676EA2">
          <w:rPr>
            <w:rStyle w:val="Hyperlink"/>
          </w:rPr>
          <w:t>Replies of the Commission</w:t>
        </w:r>
      </w:hyperlink>
    </w:p>
  </w:footnote>
  <w:footnote w:id="6">
    <w:p w14:paraId="0269C524" w14:textId="30116DBB" w:rsidR="001C2621" w:rsidRPr="00B551F9" w:rsidRDefault="001C2621" w:rsidP="00C602C6">
      <w:pPr>
        <w:pStyle w:val="FootnoteText"/>
        <w:ind w:left="0" w:firstLine="0"/>
      </w:pPr>
      <w:r>
        <w:rPr>
          <w:rStyle w:val="FootnoteReference"/>
        </w:rPr>
        <w:footnoteRef/>
      </w:r>
      <w:r>
        <w:t xml:space="preserve"> A description of the overarching</w:t>
      </w:r>
      <w:r w:rsidRPr="000123E4">
        <w:t xml:space="preserve"> debt management strategy</w:t>
      </w:r>
      <w:r>
        <w:t xml:space="preserve"> can be found in the h</w:t>
      </w:r>
      <w:r w:rsidRPr="00176299">
        <w:t>alf-yearly report on the execution of the EU borrowing and lending operations</w:t>
      </w:r>
      <w:r>
        <w:t xml:space="preserve"> 1 January 2023 – 3</w:t>
      </w:r>
      <w:r w:rsidR="00DA2B2F">
        <w:t>0</w:t>
      </w:r>
      <w:r>
        <w:t xml:space="preserve"> </w:t>
      </w:r>
      <w:r w:rsidR="00DA2B2F">
        <w:t>June</w:t>
      </w:r>
      <w:r>
        <w:t xml:space="preserve"> 2023</w:t>
      </w:r>
      <w:r w:rsidRPr="0022122E">
        <w:t>, see</w:t>
      </w:r>
      <w:r>
        <w:t xml:space="preserve"> </w:t>
      </w:r>
      <w:hyperlink r:id="rId6" w:history="1">
        <w:r>
          <w:rPr>
            <w:rStyle w:val="Hyperlink"/>
          </w:rPr>
          <w:t>Fourth half-yearly report on the execution of the EU borrowing and lending operations.PDF (europa.eu)</w:t>
        </w:r>
      </w:hyperlink>
      <w:r>
        <w:t>.</w:t>
      </w:r>
    </w:p>
  </w:footnote>
  <w:footnote w:id="7">
    <w:p w14:paraId="17E3DEC6" w14:textId="54FD2090" w:rsidR="00681F32" w:rsidRPr="00681F32" w:rsidRDefault="00681F32" w:rsidP="00520896">
      <w:pPr>
        <w:pStyle w:val="FootnoteText"/>
        <w:ind w:left="0" w:firstLine="0"/>
      </w:pPr>
      <w:r>
        <w:rPr>
          <w:rStyle w:val="FootnoteReference"/>
        </w:rPr>
        <w:footnoteRef/>
      </w:r>
      <w:r>
        <w:t xml:space="preserve"> </w:t>
      </w:r>
      <w:r w:rsidRPr="00681F32">
        <w:t xml:space="preserve">December is usually a quiet month in financial markets as investors tend to close their books ahead of year-end, making the market less </w:t>
      </w:r>
      <w:r w:rsidR="0052611C">
        <w:t>attrac</w:t>
      </w:r>
      <w:r w:rsidR="0052611C" w:rsidRPr="00681F32">
        <w:t>tive</w:t>
      </w:r>
      <w:r w:rsidRPr="00681F32">
        <w:t xml:space="preserve"> for primary issuance</w:t>
      </w:r>
      <w:r>
        <w:t>.</w:t>
      </w:r>
    </w:p>
  </w:footnote>
  <w:footnote w:id="8">
    <w:p w14:paraId="0AF853BC" w14:textId="6C2899E4" w:rsidR="001C2621" w:rsidRPr="00C44E47" w:rsidRDefault="001C2621" w:rsidP="00456D3B">
      <w:pPr>
        <w:pStyle w:val="FootnoteText"/>
        <w:ind w:left="113" w:hanging="113"/>
        <w:rPr>
          <w:lang w:val="en-IE"/>
        </w:rPr>
      </w:pPr>
      <w:r>
        <w:rPr>
          <w:rStyle w:val="FootnoteReference"/>
        </w:rPr>
        <w:footnoteRef/>
      </w:r>
      <w:r>
        <w:t xml:space="preserve"> </w:t>
      </w:r>
      <w:r w:rsidRPr="00456D3B">
        <w:rPr>
          <w:lang w:val="en-IE"/>
        </w:rPr>
        <w:t>To date, EU issuances have in total attracted more than 1,700 different investors over 70 different countries. Over 60% of investment in EU-Bond syndications has come from investors located in the EU,</w:t>
      </w:r>
      <w:r w:rsidR="001672C7">
        <w:rPr>
          <w:lang w:val="en-IE"/>
        </w:rPr>
        <w:t xml:space="preserve"> and</w:t>
      </w:r>
      <w:r w:rsidRPr="00456D3B">
        <w:rPr>
          <w:lang w:val="en-IE"/>
        </w:rPr>
        <w:t xml:space="preserve"> more than 20% has come from international investors operating from the UK. The remainder has come from international investors in Asia or other non-EU European countries like Norway and Switzerland. Over 65% of the EU-Bonds issued have been going to buy-and-hold investors (i.e.</w:t>
      </w:r>
      <w:r w:rsidR="00BD21E3">
        <w:rPr>
          <w:lang w:val="en-IE"/>
        </w:rPr>
        <w:t>,</w:t>
      </w:r>
      <w:r w:rsidRPr="00456D3B">
        <w:rPr>
          <w:lang w:val="en-IE"/>
        </w:rPr>
        <w:t xml:space="preserve"> fund managers, insurance companies, pension funds and central banks / official institutions). There is also a good representation of investors demanding different maturities. Central banks / official institutions and bank treasuries (which usually prefer to invest in maturities up to 10 years) account for about 45% of purchases of EU-Bonds</w:t>
      </w:r>
      <w:r w:rsidR="008A34F5">
        <w:rPr>
          <w:lang w:val="en-IE"/>
        </w:rPr>
        <w:br/>
      </w:r>
      <w:r w:rsidRPr="00456D3B">
        <w:rPr>
          <w:lang w:val="en-IE"/>
        </w:rPr>
        <w:t xml:space="preserve">in the primary markets, while pension funds and insurance companies (which prefer maturities above </w:t>
      </w:r>
      <w:r w:rsidR="008A34F5">
        <w:rPr>
          <w:lang w:val="en-IE"/>
        </w:rPr>
        <w:br/>
      </w:r>
      <w:r w:rsidRPr="00456D3B">
        <w:rPr>
          <w:lang w:val="en-IE"/>
        </w:rPr>
        <w:t>10 years) account for almost 15%.</w:t>
      </w:r>
    </w:p>
  </w:footnote>
  <w:footnote w:id="9">
    <w:p w14:paraId="24050A48" w14:textId="3C0AF7D2" w:rsidR="001C2621" w:rsidRPr="006839E6" w:rsidRDefault="001C2621" w:rsidP="006839E6">
      <w:pPr>
        <w:pStyle w:val="FootnoteText"/>
        <w:ind w:left="113" w:hanging="113"/>
        <w:rPr>
          <w:lang w:val="en-US"/>
        </w:rPr>
      </w:pPr>
      <w:r w:rsidRPr="00C44E47">
        <w:rPr>
          <w:rStyle w:val="FootnoteReference"/>
        </w:rPr>
        <w:footnoteRef/>
      </w:r>
      <w:r>
        <w:t xml:space="preserve"> </w:t>
      </w:r>
      <w:r w:rsidRPr="00C44E47">
        <w:t xml:space="preserve">This </w:t>
      </w:r>
      <w:r w:rsidRPr="002835C6">
        <w:rPr>
          <w:lang w:val="en-US"/>
        </w:rPr>
        <w:t xml:space="preserve">new issue premium (NIP) is a premium that the issuer pays in order to persuade investors to buy its bonds in the primary market rather than in the secondary market. </w:t>
      </w:r>
    </w:p>
  </w:footnote>
  <w:footnote w:id="10">
    <w:p w14:paraId="7A49910E" w14:textId="5E19AE3A" w:rsidR="007B6993" w:rsidRPr="00D3721F" w:rsidRDefault="007B6993" w:rsidP="007B6993">
      <w:pPr>
        <w:pStyle w:val="FootnoteText"/>
        <w:ind w:left="113" w:hanging="113"/>
        <w:rPr>
          <w:vertAlign w:val="superscript"/>
        </w:rPr>
      </w:pPr>
      <w:r>
        <w:rPr>
          <w:rStyle w:val="FootnoteReference"/>
        </w:rPr>
        <w:footnoteRef/>
      </w:r>
      <w:r w:rsidRPr="00D3721F">
        <w:rPr>
          <w:rStyle w:val="FootnoteReference"/>
        </w:rPr>
        <w:t xml:space="preserve"> </w:t>
      </w:r>
      <w:r w:rsidRPr="00D3721F">
        <w:t xml:space="preserve">The interest costs incurred are allocated to the budget and the Member States </w:t>
      </w:r>
      <w:r>
        <w:t>receiving</w:t>
      </w:r>
      <w:r w:rsidRPr="00D3721F">
        <w:t xml:space="preserve"> loans in accordance with the methodology set out in Commission Implementing Decision (EU) 2021/1095</w:t>
      </w:r>
      <w:r>
        <w:t xml:space="preserve"> and its successor </w:t>
      </w:r>
      <w:r w:rsidR="00406FC4">
        <w:t xml:space="preserve">Commission Implementing Decision </w:t>
      </w:r>
      <w:r>
        <w:t>(EU) 2022/9701.</w:t>
      </w:r>
      <w:r w:rsidRPr="00D3721F">
        <w:t xml:space="preserve"> This methodology distinguishes</w:t>
      </w:r>
      <w:r>
        <w:t xml:space="preserve"> between</w:t>
      </w:r>
      <w:r w:rsidRPr="00D3721F">
        <w:t xml:space="preserve"> three different cost categories: (i) cost of funding to finance </w:t>
      </w:r>
      <w:r w:rsidRPr="00CD50EA">
        <w:t>non-reimbursable support</w:t>
      </w:r>
      <w:r w:rsidRPr="00D3721F">
        <w:t xml:space="preserve"> and loan disbursements calculated for </w:t>
      </w:r>
      <w:r w:rsidR="00406FC4">
        <w:t>6</w:t>
      </w:r>
      <w:r w:rsidRPr="00D3721F">
        <w:t>-monthly time compartments, (ii) cost of holding and managing liquidity, and (iii) administrative costs.</w:t>
      </w:r>
    </w:p>
  </w:footnote>
  <w:footnote w:id="11">
    <w:p w14:paraId="53574F09" w14:textId="3BE0CFAD" w:rsidR="001C2621" w:rsidRPr="00520896" w:rsidRDefault="001C2621" w:rsidP="00E811A6">
      <w:pPr>
        <w:pStyle w:val="FootnoteText"/>
        <w:ind w:left="113" w:hanging="113"/>
      </w:pPr>
      <w:r w:rsidRPr="00C44E47">
        <w:rPr>
          <w:rStyle w:val="FootnoteReference"/>
        </w:rPr>
        <w:footnoteRef/>
      </w:r>
      <w:r>
        <w:t xml:space="preserve"> </w:t>
      </w:r>
      <w:r w:rsidRPr="002835C6">
        <w:rPr>
          <w:lang w:val="en-IE"/>
        </w:rPr>
        <w:t xml:space="preserve">For </w:t>
      </w:r>
      <w:r w:rsidRPr="00B7513E">
        <w:rPr>
          <w:lang w:val="en-IE"/>
        </w:rPr>
        <w:t>example,</w:t>
      </w:r>
      <w:r w:rsidR="00E811A6">
        <w:rPr>
          <w:lang w:val="en-IE"/>
        </w:rPr>
        <w:t xml:space="preserve"> as of 29 June 2023,</w:t>
      </w:r>
      <w:r w:rsidR="00E811A6" w:rsidRPr="00B7513E">
        <w:rPr>
          <w:lang w:val="en-IE"/>
        </w:rPr>
        <w:t xml:space="preserve"> the</w:t>
      </w:r>
      <w:r w:rsidR="00E811A6">
        <w:rPr>
          <w:lang w:val="en-IE"/>
        </w:rPr>
        <w:t xml:space="preserve"> ECB applies in its</w:t>
      </w:r>
      <w:r w:rsidR="00E811A6" w:rsidRPr="00B7513E">
        <w:rPr>
          <w:lang w:val="en-IE"/>
        </w:rPr>
        <w:t xml:space="preserve"> ECB’s risk control framework for credit operations </w:t>
      </w:r>
      <w:r w:rsidR="00E811A6">
        <w:rPr>
          <w:lang w:val="en-IE"/>
        </w:rPr>
        <w:t xml:space="preserve">the same haircut (i.e., a reduction in the value if a security is used as collateral) to EU-Bonds as to </w:t>
      </w:r>
      <w:r w:rsidR="00E811A6" w:rsidRPr="00B7513E">
        <w:rPr>
          <w:lang w:val="en-IE"/>
        </w:rPr>
        <w:t>debt instruments issued by central governments</w:t>
      </w:r>
      <w:r w:rsidRPr="00B7513E">
        <w:rPr>
          <w:lang w:val="en-IE"/>
        </w:rPr>
        <w:t>.</w:t>
      </w:r>
    </w:p>
  </w:footnote>
  <w:footnote w:id="12">
    <w:p w14:paraId="343C48BD" w14:textId="216C3F62" w:rsidR="003824EB" w:rsidRPr="003824EB" w:rsidRDefault="003824EB">
      <w:pPr>
        <w:pStyle w:val="FootnoteText"/>
      </w:pPr>
      <w:r w:rsidRPr="00B7513E">
        <w:rPr>
          <w:rStyle w:val="FootnoteReference"/>
        </w:rPr>
        <w:footnoteRef/>
      </w:r>
      <w:r w:rsidRPr="00B7513E">
        <w:t xml:space="preserve"> </w:t>
      </w:r>
      <w:r w:rsidR="00EF5CD7" w:rsidRPr="00B7513E">
        <w:t>The</w:t>
      </w:r>
      <w:r w:rsidR="00B7513E">
        <w:t>re</w:t>
      </w:r>
      <w:r w:rsidR="00EF5CD7" w:rsidRPr="00B7513E">
        <w:t xml:space="preserve"> </w:t>
      </w:r>
      <w:r w:rsidR="00B7513E" w:rsidRPr="00B7513E">
        <w:t>were 128 respondents.</w:t>
      </w:r>
      <w:r w:rsidR="00EF5CD7">
        <w:t xml:space="preserve"> </w:t>
      </w:r>
    </w:p>
  </w:footnote>
  <w:footnote w:id="13">
    <w:p w14:paraId="7040FC31" w14:textId="77777777" w:rsidR="001C33B2" w:rsidRPr="006A74F1" w:rsidRDefault="001C33B2" w:rsidP="001C33B2">
      <w:pPr>
        <w:pStyle w:val="FootnoteText"/>
      </w:pPr>
      <w:r>
        <w:rPr>
          <w:rStyle w:val="FootnoteReference"/>
        </w:rPr>
        <w:footnoteRef/>
      </w:r>
      <w:r>
        <w:t xml:space="preserve"> More detailed information on the outcomes of the survey can be found on the Commission </w:t>
      </w:r>
      <w:hyperlink r:id="rId7" w:history="1">
        <w:r>
          <w:rPr>
            <w:rStyle w:val="Hyperlink"/>
          </w:rPr>
          <w:t>here</w:t>
        </w:r>
      </w:hyperlink>
      <w:r>
        <w:t>.</w:t>
      </w:r>
    </w:p>
  </w:footnote>
  <w:footnote w:id="14">
    <w:p w14:paraId="763F2236" w14:textId="20787A6A" w:rsidR="00456072" w:rsidRPr="002C7AD0" w:rsidRDefault="00456072" w:rsidP="00CF61A0">
      <w:pPr>
        <w:contextualSpacing/>
        <w:rPr>
          <w:sz w:val="20"/>
          <w:szCs w:val="20"/>
        </w:rPr>
      </w:pPr>
      <w:r>
        <w:rPr>
          <w:rStyle w:val="FootnoteReference"/>
        </w:rPr>
        <w:footnoteRef/>
      </w:r>
      <w:r>
        <w:t xml:space="preserve"> </w:t>
      </w:r>
      <w:r w:rsidRPr="002C7AD0">
        <w:rPr>
          <w:rFonts w:eastAsia="Times New Roman"/>
          <w:sz w:val="20"/>
          <w:szCs w:val="20"/>
          <w:lang w:val="en-GB"/>
        </w:rPr>
        <w:t xml:space="preserve">With this service, the Commission will move from using a settlement system comprising commercial suppliers of settlement services to a Eurosystem-based settlement infrastructure with the NBB taking on the role of the issuer </w:t>
      </w:r>
      <w:r w:rsidR="006C22A4">
        <w:rPr>
          <w:rFonts w:eastAsia="Times New Roman"/>
          <w:sz w:val="20"/>
          <w:szCs w:val="20"/>
          <w:lang w:val="en-GB"/>
        </w:rPr>
        <w:t>c</w:t>
      </w:r>
      <w:r w:rsidRPr="002C7AD0">
        <w:rPr>
          <w:rFonts w:eastAsia="Times New Roman"/>
          <w:sz w:val="20"/>
          <w:szCs w:val="20"/>
          <w:lang w:val="en-GB"/>
        </w:rPr>
        <w:t xml:space="preserve">entral </w:t>
      </w:r>
      <w:r w:rsidR="006C22A4">
        <w:rPr>
          <w:rFonts w:eastAsia="Times New Roman"/>
          <w:sz w:val="20"/>
          <w:szCs w:val="20"/>
          <w:lang w:val="en-GB"/>
        </w:rPr>
        <w:t>s</w:t>
      </w:r>
      <w:r w:rsidRPr="002C7AD0">
        <w:rPr>
          <w:rFonts w:eastAsia="Times New Roman"/>
          <w:sz w:val="20"/>
          <w:szCs w:val="20"/>
          <w:lang w:val="en-GB"/>
        </w:rPr>
        <w:t xml:space="preserve">ecurities </w:t>
      </w:r>
      <w:r w:rsidR="006C22A4">
        <w:rPr>
          <w:rFonts w:eastAsia="Times New Roman"/>
          <w:sz w:val="20"/>
          <w:szCs w:val="20"/>
          <w:lang w:val="en-GB"/>
        </w:rPr>
        <w:t>d</w:t>
      </w:r>
      <w:r w:rsidRPr="002C7AD0">
        <w:rPr>
          <w:rFonts w:eastAsia="Times New Roman"/>
          <w:sz w:val="20"/>
          <w:szCs w:val="20"/>
          <w:lang w:val="en-GB"/>
        </w:rPr>
        <w:t>epository and settlement agent (Issuer-CSD)</w:t>
      </w:r>
      <w:r w:rsidR="000811DA" w:rsidRPr="002C7AD0">
        <w:rPr>
          <w:rFonts w:eastAsia="Times New Roman"/>
          <w:sz w:val="20"/>
          <w:szCs w:val="20"/>
          <w:lang w:val="en-GB"/>
        </w:rPr>
        <w:t xml:space="preserve"> and</w:t>
      </w:r>
      <w:r w:rsidRPr="002C7AD0">
        <w:rPr>
          <w:rFonts w:eastAsia="Times New Roman"/>
          <w:sz w:val="20"/>
          <w:szCs w:val="20"/>
          <w:lang w:val="en-GB"/>
        </w:rPr>
        <w:t xml:space="preserve"> the ECB being the paying agent.</w:t>
      </w:r>
      <w:r w:rsidR="00423F17" w:rsidRPr="002C7AD0">
        <w:rPr>
          <w:rFonts w:eastAsia="Times New Roman"/>
          <w:sz w:val="20"/>
          <w:szCs w:val="20"/>
          <w:lang w:val="en-GB"/>
        </w:rPr>
        <w:t xml:space="preserve"> EU debt securities first issued prior to January 2024 will continue to follow the Commission’s pre-EIS post-trade arrangements, where Clearstream Luxembourg serves as CSD and BNP Paribas Luxembourg serves as settlement bank. The co-existence of the legacy and EIS settlement systems presents no operational challenges</w:t>
      </w:r>
      <w:r w:rsidR="00822BCC" w:rsidRPr="002C7AD0">
        <w:rPr>
          <w:rFonts w:eastAsia="Times New Roman"/>
          <w:sz w:val="20"/>
          <w:szCs w:val="20"/>
          <w:lang w:val="en-GB"/>
        </w:rPr>
        <w:t>.</w:t>
      </w:r>
    </w:p>
  </w:footnote>
  <w:footnote w:id="15">
    <w:p w14:paraId="754CEB10" w14:textId="047C104E" w:rsidR="00822BCC" w:rsidRPr="002C7AD0" w:rsidRDefault="00822BCC" w:rsidP="00A66DA5">
      <w:pPr>
        <w:spacing w:after="0"/>
        <w:contextualSpacing/>
        <w:rPr>
          <w:sz w:val="20"/>
          <w:szCs w:val="20"/>
        </w:rPr>
      </w:pPr>
      <w:r w:rsidRPr="002C7AD0">
        <w:rPr>
          <w:rStyle w:val="FootnoteReference"/>
          <w:sz w:val="20"/>
          <w:szCs w:val="20"/>
        </w:rPr>
        <w:footnoteRef/>
      </w:r>
      <w:r w:rsidRPr="002C7AD0">
        <w:rPr>
          <w:sz w:val="20"/>
          <w:szCs w:val="20"/>
        </w:rPr>
        <w:t xml:space="preserve"> </w:t>
      </w:r>
      <w:r w:rsidRPr="002C7AD0">
        <w:rPr>
          <w:rFonts w:eastAsia="Times New Roman"/>
          <w:sz w:val="20"/>
          <w:szCs w:val="20"/>
          <w:lang w:val="en-GB"/>
        </w:rPr>
        <w:t xml:space="preserve">More information on these roles is available in the </w:t>
      </w:r>
      <w:hyperlink r:id="rId8" w:history="1">
        <w:r w:rsidRPr="002C7AD0">
          <w:rPr>
            <w:rStyle w:val="Hyperlink"/>
            <w:sz w:val="20"/>
            <w:szCs w:val="20"/>
          </w:rPr>
          <w:t>Factsheet on the EU Issuance Service</w:t>
        </w:r>
      </w:hyperlink>
    </w:p>
  </w:footnote>
  <w:footnote w:id="16">
    <w:p w14:paraId="2038C92C" w14:textId="37EEBD79" w:rsidR="00E85E9C" w:rsidRPr="00D757BF" w:rsidRDefault="00E85E9C" w:rsidP="00822BCC">
      <w:pPr>
        <w:pStyle w:val="PlainText"/>
        <w:contextualSpacing/>
        <w:rPr>
          <w:rFonts w:ascii="EC Square Sans Pro" w:hAnsi="EC Square Sans Pro" w:cs="Times New Roman"/>
          <w:sz w:val="20"/>
          <w:szCs w:val="20"/>
        </w:rPr>
      </w:pPr>
      <w:r w:rsidRPr="00D757BF">
        <w:rPr>
          <w:rStyle w:val="FootnoteReference"/>
          <w:rFonts w:ascii="EC Square Sans Pro" w:hAnsi="EC Square Sans Pro" w:cs="Times New Roman"/>
          <w:sz w:val="20"/>
          <w:szCs w:val="20"/>
        </w:rPr>
        <w:footnoteRef/>
      </w:r>
      <w:r w:rsidRPr="00D757BF">
        <w:rPr>
          <w:rFonts w:ascii="EC Square Sans Pro" w:hAnsi="EC Square Sans Pro" w:cs="Times New Roman"/>
          <w:sz w:val="20"/>
          <w:szCs w:val="20"/>
        </w:rPr>
        <w:t xml:space="preserve"> </w:t>
      </w:r>
      <w:hyperlink r:id="rId9" w:history="1">
        <w:r w:rsidR="00A66DA5" w:rsidRPr="00D757BF">
          <w:rPr>
            <w:rStyle w:val="Hyperlink"/>
            <w:rFonts w:ascii="EC Square Sans Pro" w:hAnsi="EC Square Sans Pro"/>
            <w:sz w:val="20"/>
            <w:szCs w:val="20"/>
          </w:rPr>
          <w:t>NextGenerationEU Green Bonds Allocation and Impact report</w:t>
        </w:r>
      </w:hyperlink>
    </w:p>
  </w:footnote>
  <w:footnote w:id="17">
    <w:p w14:paraId="06509E8C" w14:textId="77777777" w:rsidR="00FA6020" w:rsidRPr="00D22BFC" w:rsidRDefault="00FA6020" w:rsidP="00FA6020">
      <w:pPr>
        <w:pStyle w:val="FootnoteText"/>
        <w:rPr>
          <w:lang w:val="en-IE"/>
        </w:rPr>
      </w:pPr>
      <w:r w:rsidRPr="00981732">
        <w:rPr>
          <w:rStyle w:val="FootnoteReference"/>
        </w:rPr>
        <w:footnoteRef/>
      </w:r>
      <w:r w:rsidRPr="00981732">
        <w:t xml:space="preserve"> Additional information on the</w:t>
      </w:r>
      <w:r w:rsidRPr="00981732">
        <w:rPr>
          <w:lang w:val="en-IE"/>
        </w:rPr>
        <w:t xml:space="preserve"> NGEU </w:t>
      </w:r>
      <w:r>
        <w:rPr>
          <w:lang w:val="en-IE"/>
        </w:rPr>
        <w:t>g</w:t>
      </w:r>
      <w:r w:rsidRPr="00981732">
        <w:rPr>
          <w:lang w:val="en-IE"/>
        </w:rPr>
        <w:t xml:space="preserve">reen </w:t>
      </w:r>
      <w:r>
        <w:rPr>
          <w:lang w:val="en-IE"/>
        </w:rPr>
        <w:t>b</w:t>
      </w:r>
      <w:r w:rsidRPr="00981732">
        <w:rPr>
          <w:lang w:val="en-IE"/>
        </w:rPr>
        <w:t xml:space="preserve">onds can be found in the NGEU Green Bond Dashboard here: </w:t>
      </w:r>
      <w:hyperlink r:id="rId10" w:history="1">
        <w:r w:rsidRPr="00981732">
          <w:rPr>
            <w:rStyle w:val="Hyperlink"/>
          </w:rPr>
          <w:t>Dashboard (europa.eu)</w:t>
        </w:r>
      </w:hyperlink>
    </w:p>
  </w:footnote>
  <w:footnote w:id="18">
    <w:p w14:paraId="5DDF07F8" w14:textId="77777777" w:rsidR="00FA6020" w:rsidRPr="00391716" w:rsidRDefault="00FA6020" w:rsidP="00FA6020">
      <w:pPr>
        <w:spacing w:after="0"/>
        <w:rPr>
          <w:sz w:val="18"/>
          <w:szCs w:val="18"/>
        </w:rPr>
      </w:pPr>
      <w:r w:rsidRPr="00391716">
        <w:rPr>
          <w:rStyle w:val="FootnoteReference"/>
          <w:sz w:val="18"/>
          <w:szCs w:val="18"/>
        </w:rPr>
        <w:footnoteRef/>
      </w:r>
      <w:r w:rsidRPr="00391716">
        <w:rPr>
          <w:sz w:val="18"/>
          <w:szCs w:val="18"/>
        </w:rPr>
        <w:t xml:space="preserve"> </w:t>
      </w:r>
      <w:r w:rsidRPr="00391716">
        <w:rPr>
          <w:rFonts w:eastAsia="Times New Roman"/>
          <w:sz w:val="18"/>
          <w:szCs w:val="18"/>
          <w:lang w:val="en-GB"/>
        </w:rPr>
        <w:t>Based on average number of months between new issuance and first tap when considering the new lines tapped over the semester.</w:t>
      </w:r>
    </w:p>
    <w:p w14:paraId="5041AE41" w14:textId="77777777" w:rsidR="00FA6020" w:rsidRPr="00391716" w:rsidRDefault="00FA6020" w:rsidP="00A5711F">
      <w:pPr>
        <w:pStyle w:val="FootnoteText"/>
        <w:ind w:left="0" w:firstLine="0"/>
        <w:rPr>
          <w:sz w:val="18"/>
          <w:szCs w:val="18"/>
        </w:rPr>
      </w:pPr>
    </w:p>
  </w:footnote>
  <w:footnote w:id="19">
    <w:p w14:paraId="02C6C271" w14:textId="77777777" w:rsidR="00FA6020" w:rsidRPr="0002172B" w:rsidRDefault="00FA6020" w:rsidP="00FA6020">
      <w:pPr>
        <w:pStyle w:val="FootnoteText"/>
        <w:rPr>
          <w:lang w:val="en-IE"/>
        </w:rPr>
      </w:pPr>
      <w:r w:rsidRPr="00391716">
        <w:rPr>
          <w:rStyle w:val="FootnoteReference"/>
          <w:sz w:val="18"/>
          <w:szCs w:val="18"/>
        </w:rPr>
        <w:footnoteRef/>
      </w:r>
      <w:r w:rsidRPr="00391716">
        <w:rPr>
          <w:sz w:val="18"/>
          <w:szCs w:val="18"/>
        </w:rPr>
        <w:t xml:space="preserve"> Outstanding bonds over number of bonds as at end of semester. Based on bonds issued under the diversified funding 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489B" w14:textId="77777777" w:rsidR="001067A2" w:rsidRPr="001067A2" w:rsidRDefault="001067A2" w:rsidP="001067A2">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7D7D" w14:textId="77777777" w:rsidR="001C2621" w:rsidRDefault="001C26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54C" w14:textId="77777777" w:rsidR="001C2621" w:rsidRDefault="001C26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6542" w14:textId="77777777" w:rsidR="001C2621" w:rsidRDefault="001C2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DDFA1" w14:textId="77777777" w:rsidR="001067A2" w:rsidRPr="001067A2" w:rsidRDefault="001067A2" w:rsidP="001067A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2C412" w14:textId="77777777" w:rsidR="001067A2" w:rsidRPr="001067A2" w:rsidRDefault="001067A2" w:rsidP="001067A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2ED0" w14:textId="77777777" w:rsidR="001C2621" w:rsidRDefault="001C2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3EC3" w14:textId="77777777" w:rsidR="001C2621" w:rsidRDefault="001C26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F291" w14:textId="77777777" w:rsidR="001C2621" w:rsidRDefault="001C26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6167" w14:textId="77777777" w:rsidR="001C2621" w:rsidRDefault="001C26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BCEE" w14:textId="77777777" w:rsidR="001C2621" w:rsidRPr="00657B16" w:rsidRDefault="001C2621" w:rsidP="00892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9C5B" w14:textId="77777777" w:rsidR="001C2621" w:rsidRDefault="001C2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7285"/>
    <w:multiLevelType w:val="hybridMultilevel"/>
    <w:tmpl w:val="03C0452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161A4A"/>
    <w:multiLevelType w:val="hybridMultilevel"/>
    <w:tmpl w:val="9D847452"/>
    <w:lvl w:ilvl="0" w:tplc="0D9A2F4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BB670D"/>
    <w:multiLevelType w:val="hybridMultilevel"/>
    <w:tmpl w:val="7C3C86A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194ED2"/>
    <w:multiLevelType w:val="hybridMultilevel"/>
    <w:tmpl w:val="2B06D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55A0B"/>
    <w:multiLevelType w:val="hybridMultilevel"/>
    <w:tmpl w:val="04DCAB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7E7CA7"/>
    <w:multiLevelType w:val="hybridMultilevel"/>
    <w:tmpl w:val="DC8443FA"/>
    <w:lvl w:ilvl="0" w:tplc="36305444">
      <w:start w:val="1"/>
      <w:numFmt w:val="bullet"/>
      <w:lvlText w:val="-"/>
      <w:lvlJc w:val="left"/>
      <w:pPr>
        <w:ind w:left="720" w:hanging="360"/>
      </w:pPr>
      <w:rPr>
        <w:rFonts w:ascii="EC Square Sans Pro" w:eastAsia="Times New Roman" w:hAnsi="EC Square Sans Pro" w:cs="Times New Roman" w:hint="default"/>
        <w:b/>
        <w:bCs/>
        <w:color w:val="70AD47" w:themeColor="accent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F05598"/>
    <w:multiLevelType w:val="hybridMultilevel"/>
    <w:tmpl w:val="2C30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D43C7C"/>
    <w:multiLevelType w:val="hybridMultilevel"/>
    <w:tmpl w:val="58C04AA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5614371"/>
    <w:multiLevelType w:val="hybridMultilevel"/>
    <w:tmpl w:val="7C3C86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A71202"/>
    <w:multiLevelType w:val="hybridMultilevel"/>
    <w:tmpl w:val="28CCA644"/>
    <w:lvl w:ilvl="0" w:tplc="111E0DF2">
      <w:start w:val="1"/>
      <w:numFmt w:val="bullet"/>
      <w:lvlText w:val=""/>
      <w:lvlJc w:val="left"/>
      <w:pPr>
        <w:ind w:left="720" w:hanging="360"/>
      </w:pPr>
      <w:rPr>
        <w:rFonts w:ascii="Symbol" w:hAnsi="Symbol" w:hint="default"/>
        <w:color w:val="034EA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84BB5"/>
    <w:multiLevelType w:val="hybridMultilevel"/>
    <w:tmpl w:val="DFC08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751D3"/>
    <w:multiLevelType w:val="hybridMultilevel"/>
    <w:tmpl w:val="2CA2CE64"/>
    <w:lvl w:ilvl="0" w:tplc="6ECAA736">
      <w:start w:val="1"/>
      <w:numFmt w:val="lowerRoman"/>
      <w:lvlText w:val="%1."/>
      <w:lvlJc w:val="righ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E24E98"/>
    <w:multiLevelType w:val="hybridMultilevel"/>
    <w:tmpl w:val="E37CC0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20080"/>
    <w:multiLevelType w:val="hybridMultilevel"/>
    <w:tmpl w:val="9D4E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473A4"/>
    <w:multiLevelType w:val="hybridMultilevel"/>
    <w:tmpl w:val="6D3E5978"/>
    <w:lvl w:ilvl="0" w:tplc="CDBC193C">
      <w:start w:val="1"/>
      <w:numFmt w:val="bullet"/>
      <w:lvlText w:val=""/>
      <w:lvlJc w:val="left"/>
      <w:pPr>
        <w:ind w:left="360" w:hanging="360"/>
      </w:pPr>
      <w:rPr>
        <w:rFonts w:ascii="Symbol" w:hAnsi="Symbol" w:hint="default"/>
        <w:color w:val="034EA2"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112BB0"/>
    <w:multiLevelType w:val="hybridMultilevel"/>
    <w:tmpl w:val="E9527C90"/>
    <w:lvl w:ilvl="0" w:tplc="0F465D34">
      <w:start w:val="12"/>
      <w:numFmt w:val="bullet"/>
      <w:lvlText w:val="-"/>
      <w:lvlJc w:val="left"/>
      <w:pPr>
        <w:ind w:left="720" w:hanging="360"/>
      </w:pPr>
      <w:rPr>
        <w:rFonts w:ascii="Verdana" w:eastAsia="Times New Roman" w:hAnsi="Verdana"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0A63F3E"/>
    <w:multiLevelType w:val="hybridMultilevel"/>
    <w:tmpl w:val="15F6BF5C"/>
    <w:lvl w:ilvl="0" w:tplc="FFFFFFFF">
      <w:start w:val="4"/>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E926F6"/>
    <w:multiLevelType w:val="hybridMultilevel"/>
    <w:tmpl w:val="9282F37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D205736"/>
    <w:multiLevelType w:val="multilevel"/>
    <w:tmpl w:val="FC98DC46"/>
    <w:lvl w:ilvl="0">
      <w:start w:val="1"/>
      <w:numFmt w:val="decimal"/>
      <w:pStyle w:val="Heading1"/>
      <w:lvlText w:val="%1."/>
      <w:lvlJc w:val="left"/>
      <w:pPr>
        <w:ind w:left="502" w:hanging="360"/>
      </w:pPr>
    </w:lvl>
    <w:lvl w:ilvl="1">
      <w:start w:val="2"/>
      <w:numFmt w:val="decimal"/>
      <w:isLgl/>
      <w:lvlText w:val="%1.%2"/>
      <w:lvlJc w:val="left"/>
      <w:pPr>
        <w:ind w:left="720" w:hanging="360"/>
      </w:pPr>
      <w:rPr>
        <w:rFonts w:hint="default"/>
        <w:b/>
      </w:rPr>
    </w:lvl>
    <w:lvl w:ilvl="2">
      <w:start w:val="1"/>
      <w:numFmt w:val="decimalZero"/>
      <w:isLgl/>
      <w:lvlText w:val="%1.%2.%3"/>
      <w:lvlJc w:val="left"/>
      <w:pPr>
        <w:ind w:left="1298" w:hanging="720"/>
      </w:pPr>
      <w:rPr>
        <w:rFonts w:hint="default"/>
        <w:b/>
      </w:rPr>
    </w:lvl>
    <w:lvl w:ilvl="3">
      <w:start w:val="1"/>
      <w:numFmt w:val="decimal"/>
      <w:isLgl/>
      <w:lvlText w:val="%1.%2.%3.%4"/>
      <w:lvlJc w:val="left"/>
      <w:pPr>
        <w:ind w:left="1516" w:hanging="720"/>
      </w:pPr>
      <w:rPr>
        <w:rFonts w:hint="default"/>
        <w:b/>
      </w:rPr>
    </w:lvl>
    <w:lvl w:ilvl="4">
      <w:start w:val="1"/>
      <w:numFmt w:val="decimal"/>
      <w:isLgl/>
      <w:lvlText w:val="%1.%2.%3.%4.%5"/>
      <w:lvlJc w:val="left"/>
      <w:pPr>
        <w:ind w:left="2094" w:hanging="1080"/>
      </w:pPr>
      <w:rPr>
        <w:rFonts w:hint="default"/>
        <w:b/>
      </w:rPr>
    </w:lvl>
    <w:lvl w:ilvl="5">
      <w:start w:val="1"/>
      <w:numFmt w:val="decimal"/>
      <w:isLgl/>
      <w:lvlText w:val="%1.%2.%3.%4.%5.%6"/>
      <w:lvlJc w:val="left"/>
      <w:pPr>
        <w:ind w:left="2312" w:hanging="1080"/>
      </w:pPr>
      <w:rPr>
        <w:rFonts w:hint="default"/>
        <w:b/>
      </w:rPr>
    </w:lvl>
    <w:lvl w:ilvl="6">
      <w:start w:val="1"/>
      <w:numFmt w:val="decimal"/>
      <w:isLgl/>
      <w:lvlText w:val="%1.%2.%3.%4.%5.%6.%7"/>
      <w:lvlJc w:val="left"/>
      <w:pPr>
        <w:ind w:left="2890" w:hanging="1440"/>
      </w:pPr>
      <w:rPr>
        <w:rFonts w:hint="default"/>
        <w:b/>
      </w:rPr>
    </w:lvl>
    <w:lvl w:ilvl="7">
      <w:start w:val="1"/>
      <w:numFmt w:val="decimal"/>
      <w:isLgl/>
      <w:lvlText w:val="%1.%2.%3.%4.%5.%6.%7.%8"/>
      <w:lvlJc w:val="left"/>
      <w:pPr>
        <w:ind w:left="3468" w:hanging="1800"/>
      </w:pPr>
      <w:rPr>
        <w:rFonts w:hint="default"/>
        <w:b/>
      </w:rPr>
    </w:lvl>
    <w:lvl w:ilvl="8">
      <w:start w:val="1"/>
      <w:numFmt w:val="decimal"/>
      <w:isLgl/>
      <w:lvlText w:val="%1.%2.%3.%4.%5.%6.%7.%8.%9"/>
      <w:lvlJc w:val="left"/>
      <w:pPr>
        <w:ind w:left="3686" w:hanging="1800"/>
      </w:pPr>
      <w:rPr>
        <w:rFonts w:hint="default"/>
        <w:b/>
      </w:rPr>
    </w:lvl>
  </w:abstractNum>
  <w:abstractNum w:abstractNumId="19" w15:restartNumberingAfterBreak="0">
    <w:nsid w:val="65926EE4"/>
    <w:multiLevelType w:val="hybridMultilevel"/>
    <w:tmpl w:val="D2640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32E50"/>
    <w:multiLevelType w:val="hybridMultilevel"/>
    <w:tmpl w:val="D80CF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5426B"/>
    <w:multiLevelType w:val="hybridMultilevel"/>
    <w:tmpl w:val="04DCA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2166D"/>
    <w:multiLevelType w:val="hybridMultilevel"/>
    <w:tmpl w:val="135AE8A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C140E52"/>
    <w:multiLevelType w:val="hybridMultilevel"/>
    <w:tmpl w:val="3188A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F34744"/>
    <w:multiLevelType w:val="hybridMultilevel"/>
    <w:tmpl w:val="88DCC72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D7B3804"/>
    <w:multiLevelType w:val="hybridMultilevel"/>
    <w:tmpl w:val="9282F37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B27204"/>
    <w:multiLevelType w:val="hybridMultilevel"/>
    <w:tmpl w:val="15F6BF5C"/>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3"/>
  </w:num>
  <w:num w:numId="3">
    <w:abstractNumId w:val="1"/>
  </w:num>
  <w:num w:numId="4">
    <w:abstractNumId w:val="15"/>
  </w:num>
  <w:num w:numId="5">
    <w:abstractNumId w:val="6"/>
  </w:num>
  <w:num w:numId="6">
    <w:abstractNumId w:val="8"/>
  </w:num>
  <w:num w:numId="7">
    <w:abstractNumId w:val="10"/>
  </w:num>
  <w:num w:numId="8">
    <w:abstractNumId w:val="12"/>
  </w:num>
  <w:num w:numId="9">
    <w:abstractNumId w:val="3"/>
  </w:num>
  <w:num w:numId="10">
    <w:abstractNumId w:val="9"/>
  </w:num>
  <w:num w:numId="11">
    <w:abstractNumId w:val="20"/>
  </w:num>
  <w:num w:numId="12">
    <w:abstractNumId w:val="19"/>
  </w:num>
  <w:num w:numId="13">
    <w:abstractNumId w:val="21"/>
  </w:num>
  <w:num w:numId="14">
    <w:abstractNumId w:val="26"/>
  </w:num>
  <w:num w:numId="15">
    <w:abstractNumId w:val="14"/>
  </w:num>
  <w:num w:numId="16">
    <w:abstractNumId w:val="4"/>
  </w:num>
  <w:num w:numId="17">
    <w:abstractNumId w:val="13"/>
  </w:num>
  <w:num w:numId="1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7"/>
  </w:num>
  <w:num w:numId="22">
    <w:abstractNumId w:val="24"/>
  </w:num>
  <w:num w:numId="23">
    <w:abstractNumId w:val="25"/>
  </w:num>
  <w:num w:numId="24">
    <w:abstractNumId w:val="0"/>
  </w:num>
  <w:num w:numId="25">
    <w:abstractNumId w:val="11"/>
  </w:num>
  <w:num w:numId="26">
    <w:abstractNumId w:val="22"/>
  </w:num>
  <w:num w:numId="27">
    <w:abstractNumId w:val="2"/>
  </w:num>
  <w:num w:numId="28">
    <w:abstractNumId w:val="16"/>
  </w:num>
  <w:num w:numId="2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D79A7AF3-F7B6-43EE-8A6A-B18554ACFB03"/>
    <w:docVar w:name="LW_COVERPAGE_TYPE" w:val="1"/>
    <w:docVar w:name="LW_CROSSREFERENCE" w:val="&lt;UNUSED&gt;"/>
    <w:docVar w:name="LW_DocType" w:val="NORMAL"/>
    <w:docVar w:name="LW_EMISSION" w:val="22.2.2024"/>
    <w:docVar w:name="LW_EMISSION_ISODATE" w:val="2024-02-22"/>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9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Half-yearly report on the implementation of borrowing, debt management and related lending operations pursuant to Article 12 of Commission Implementing Decision C(2022)9700_x000d__x000d__x000d__x000d__x000d__x000b__x000d__x000d__x000d__x000d__x000d__x000b__x000d__x000d__x000d__x000d__x000d__x000d__x000d__x000d__x000d__x000d__x000d__x000d__x000b__x000d__x000d__x000d__x000d__x000d__x000d__x000d__x000d__x000d__x000d__x000d__x000b__x000d_1 July 2023 - 31 December 2023_x000d__x000d__x000d__x000d__x000d__x000d__x000d__x000d__x000d__x000d__x000d__x000d__x000b__x000d__x000d__x000d__x000d__x000d__x000d__x000d__x000d__x000d__x000d__x000d__x000b__x000d_"/>
    <w:docVar w:name="LW_TYPE.DOC.CP" w:val="REPORT FROM THE COMMISSION TO THE EUROPEAN PARLIAMENT AND THE COUNCIL"/>
    <w:docVar w:name="LwApiVersions" w:val="LW4CoDe 1.24.4.0; LW 9.0, Build 20240125"/>
  </w:docVars>
  <w:rsids>
    <w:rsidRoot w:val="008B6253"/>
    <w:rsid w:val="000025FB"/>
    <w:rsid w:val="000027C3"/>
    <w:rsid w:val="00003760"/>
    <w:rsid w:val="00003B2C"/>
    <w:rsid w:val="00007866"/>
    <w:rsid w:val="000123E4"/>
    <w:rsid w:val="00012D54"/>
    <w:rsid w:val="00013AFC"/>
    <w:rsid w:val="00015055"/>
    <w:rsid w:val="0001773F"/>
    <w:rsid w:val="00017F73"/>
    <w:rsid w:val="0002126B"/>
    <w:rsid w:val="00026571"/>
    <w:rsid w:val="00030B16"/>
    <w:rsid w:val="00031566"/>
    <w:rsid w:val="000339B4"/>
    <w:rsid w:val="00036A07"/>
    <w:rsid w:val="0004137B"/>
    <w:rsid w:val="0004459A"/>
    <w:rsid w:val="0004607D"/>
    <w:rsid w:val="000500DD"/>
    <w:rsid w:val="00052FDD"/>
    <w:rsid w:val="00055E40"/>
    <w:rsid w:val="00056D87"/>
    <w:rsid w:val="000571C9"/>
    <w:rsid w:val="000623CD"/>
    <w:rsid w:val="0006518B"/>
    <w:rsid w:val="000659B4"/>
    <w:rsid w:val="00067AC8"/>
    <w:rsid w:val="0007609D"/>
    <w:rsid w:val="000761D2"/>
    <w:rsid w:val="000770E1"/>
    <w:rsid w:val="000804D7"/>
    <w:rsid w:val="00080B80"/>
    <w:rsid w:val="000811DA"/>
    <w:rsid w:val="000830C3"/>
    <w:rsid w:val="00084648"/>
    <w:rsid w:val="0009189C"/>
    <w:rsid w:val="0009414B"/>
    <w:rsid w:val="00095BFD"/>
    <w:rsid w:val="00096802"/>
    <w:rsid w:val="00097D72"/>
    <w:rsid w:val="000A0545"/>
    <w:rsid w:val="000A0885"/>
    <w:rsid w:val="000A1136"/>
    <w:rsid w:val="000A7085"/>
    <w:rsid w:val="000B4EF5"/>
    <w:rsid w:val="000B5255"/>
    <w:rsid w:val="000C26FE"/>
    <w:rsid w:val="000C3CD5"/>
    <w:rsid w:val="000C5D88"/>
    <w:rsid w:val="000D008A"/>
    <w:rsid w:val="000D213D"/>
    <w:rsid w:val="000D2596"/>
    <w:rsid w:val="000D2B51"/>
    <w:rsid w:val="000E2B98"/>
    <w:rsid w:val="000E5D4B"/>
    <w:rsid w:val="000F037D"/>
    <w:rsid w:val="001004B8"/>
    <w:rsid w:val="00102D9B"/>
    <w:rsid w:val="00103A63"/>
    <w:rsid w:val="00105940"/>
    <w:rsid w:val="001067A2"/>
    <w:rsid w:val="00113042"/>
    <w:rsid w:val="001137FB"/>
    <w:rsid w:val="00121CE9"/>
    <w:rsid w:val="0013129F"/>
    <w:rsid w:val="0013341B"/>
    <w:rsid w:val="001337A8"/>
    <w:rsid w:val="001359B6"/>
    <w:rsid w:val="0013697B"/>
    <w:rsid w:val="00137822"/>
    <w:rsid w:val="00137CF7"/>
    <w:rsid w:val="001401DA"/>
    <w:rsid w:val="00140C8A"/>
    <w:rsid w:val="00141100"/>
    <w:rsid w:val="00142200"/>
    <w:rsid w:val="00142F64"/>
    <w:rsid w:val="00143B58"/>
    <w:rsid w:val="00146211"/>
    <w:rsid w:val="0015107E"/>
    <w:rsid w:val="001574CF"/>
    <w:rsid w:val="0016009E"/>
    <w:rsid w:val="00160344"/>
    <w:rsid w:val="00160C1F"/>
    <w:rsid w:val="00165420"/>
    <w:rsid w:val="00166CA0"/>
    <w:rsid w:val="001672C7"/>
    <w:rsid w:val="00171240"/>
    <w:rsid w:val="00171F26"/>
    <w:rsid w:val="00176299"/>
    <w:rsid w:val="00181102"/>
    <w:rsid w:val="00187563"/>
    <w:rsid w:val="001936B3"/>
    <w:rsid w:val="001A445F"/>
    <w:rsid w:val="001A5022"/>
    <w:rsid w:val="001A5608"/>
    <w:rsid w:val="001A6BA5"/>
    <w:rsid w:val="001B31F3"/>
    <w:rsid w:val="001B4862"/>
    <w:rsid w:val="001B6959"/>
    <w:rsid w:val="001C0880"/>
    <w:rsid w:val="001C1350"/>
    <w:rsid w:val="001C13F0"/>
    <w:rsid w:val="001C2621"/>
    <w:rsid w:val="001C28B3"/>
    <w:rsid w:val="001C33B2"/>
    <w:rsid w:val="001C3C2E"/>
    <w:rsid w:val="001C445C"/>
    <w:rsid w:val="001D0900"/>
    <w:rsid w:val="001D2A9E"/>
    <w:rsid w:val="001D30CA"/>
    <w:rsid w:val="001D446D"/>
    <w:rsid w:val="001D478A"/>
    <w:rsid w:val="001D5B74"/>
    <w:rsid w:val="001D72F9"/>
    <w:rsid w:val="001E0283"/>
    <w:rsid w:val="001E7C4B"/>
    <w:rsid w:val="001F3746"/>
    <w:rsid w:val="001F6191"/>
    <w:rsid w:val="001F6E5E"/>
    <w:rsid w:val="002039FF"/>
    <w:rsid w:val="00203B8E"/>
    <w:rsid w:val="002040AE"/>
    <w:rsid w:val="002055AD"/>
    <w:rsid w:val="00207920"/>
    <w:rsid w:val="002101E7"/>
    <w:rsid w:val="0021075C"/>
    <w:rsid w:val="00212A39"/>
    <w:rsid w:val="00216746"/>
    <w:rsid w:val="0022595F"/>
    <w:rsid w:val="00231768"/>
    <w:rsid w:val="00232130"/>
    <w:rsid w:val="002338DB"/>
    <w:rsid w:val="00240156"/>
    <w:rsid w:val="0024146E"/>
    <w:rsid w:val="0024343F"/>
    <w:rsid w:val="0024722E"/>
    <w:rsid w:val="00252C49"/>
    <w:rsid w:val="00254D4D"/>
    <w:rsid w:val="00262AC8"/>
    <w:rsid w:val="00264614"/>
    <w:rsid w:val="002703F1"/>
    <w:rsid w:val="00270C15"/>
    <w:rsid w:val="00275FE6"/>
    <w:rsid w:val="00276737"/>
    <w:rsid w:val="00276FC8"/>
    <w:rsid w:val="00280E09"/>
    <w:rsid w:val="002835C6"/>
    <w:rsid w:val="002855E5"/>
    <w:rsid w:val="002858D3"/>
    <w:rsid w:val="00285D29"/>
    <w:rsid w:val="00286E0A"/>
    <w:rsid w:val="00287A0F"/>
    <w:rsid w:val="002918A6"/>
    <w:rsid w:val="002955CD"/>
    <w:rsid w:val="00297C0A"/>
    <w:rsid w:val="002A3A30"/>
    <w:rsid w:val="002A67DD"/>
    <w:rsid w:val="002B107F"/>
    <w:rsid w:val="002B4027"/>
    <w:rsid w:val="002B7257"/>
    <w:rsid w:val="002C0B94"/>
    <w:rsid w:val="002C134A"/>
    <w:rsid w:val="002C59A6"/>
    <w:rsid w:val="002C7AD0"/>
    <w:rsid w:val="002D54AC"/>
    <w:rsid w:val="002E2F3C"/>
    <w:rsid w:val="002E39D3"/>
    <w:rsid w:val="002E4FA7"/>
    <w:rsid w:val="002E56EE"/>
    <w:rsid w:val="002F24D1"/>
    <w:rsid w:val="002F28CA"/>
    <w:rsid w:val="002F28D6"/>
    <w:rsid w:val="002F7560"/>
    <w:rsid w:val="002F7768"/>
    <w:rsid w:val="00303189"/>
    <w:rsid w:val="00303954"/>
    <w:rsid w:val="0030418A"/>
    <w:rsid w:val="003130F2"/>
    <w:rsid w:val="00313841"/>
    <w:rsid w:val="003160E0"/>
    <w:rsid w:val="00322997"/>
    <w:rsid w:val="003247A7"/>
    <w:rsid w:val="00324A5C"/>
    <w:rsid w:val="003257E5"/>
    <w:rsid w:val="00325F9E"/>
    <w:rsid w:val="003277B5"/>
    <w:rsid w:val="00330D09"/>
    <w:rsid w:val="00333383"/>
    <w:rsid w:val="0033618F"/>
    <w:rsid w:val="003377B6"/>
    <w:rsid w:val="003409E9"/>
    <w:rsid w:val="00342348"/>
    <w:rsid w:val="00343D6C"/>
    <w:rsid w:val="003468B4"/>
    <w:rsid w:val="00347312"/>
    <w:rsid w:val="00350522"/>
    <w:rsid w:val="00352DCC"/>
    <w:rsid w:val="00361B1E"/>
    <w:rsid w:val="00364E2A"/>
    <w:rsid w:val="003668D8"/>
    <w:rsid w:val="00370471"/>
    <w:rsid w:val="003707F5"/>
    <w:rsid w:val="00372518"/>
    <w:rsid w:val="00374646"/>
    <w:rsid w:val="00374A49"/>
    <w:rsid w:val="0037681F"/>
    <w:rsid w:val="003824EB"/>
    <w:rsid w:val="00391716"/>
    <w:rsid w:val="003926DF"/>
    <w:rsid w:val="00394AA7"/>
    <w:rsid w:val="00395373"/>
    <w:rsid w:val="00395DF8"/>
    <w:rsid w:val="003A2408"/>
    <w:rsid w:val="003A4BBC"/>
    <w:rsid w:val="003B0BAD"/>
    <w:rsid w:val="003C0956"/>
    <w:rsid w:val="003C4469"/>
    <w:rsid w:val="003C52F3"/>
    <w:rsid w:val="003D0FED"/>
    <w:rsid w:val="003D7999"/>
    <w:rsid w:val="003E1782"/>
    <w:rsid w:val="003E27DC"/>
    <w:rsid w:val="003E3635"/>
    <w:rsid w:val="003E3DF4"/>
    <w:rsid w:val="003E4A9D"/>
    <w:rsid w:val="003F19E5"/>
    <w:rsid w:val="003F3424"/>
    <w:rsid w:val="003F654D"/>
    <w:rsid w:val="003F775B"/>
    <w:rsid w:val="0040010E"/>
    <w:rsid w:val="0040365E"/>
    <w:rsid w:val="00406FC4"/>
    <w:rsid w:val="004109ED"/>
    <w:rsid w:val="00411F86"/>
    <w:rsid w:val="00412F6D"/>
    <w:rsid w:val="00417698"/>
    <w:rsid w:val="00422A17"/>
    <w:rsid w:val="00423091"/>
    <w:rsid w:val="00423F17"/>
    <w:rsid w:val="00425E4F"/>
    <w:rsid w:val="004261C9"/>
    <w:rsid w:val="00432655"/>
    <w:rsid w:val="00432A72"/>
    <w:rsid w:val="00432EF9"/>
    <w:rsid w:val="00434115"/>
    <w:rsid w:val="00441C73"/>
    <w:rsid w:val="004432DE"/>
    <w:rsid w:val="004446BA"/>
    <w:rsid w:val="00444C81"/>
    <w:rsid w:val="0045555D"/>
    <w:rsid w:val="00455E58"/>
    <w:rsid w:val="00456072"/>
    <w:rsid w:val="00456822"/>
    <w:rsid w:val="00456D3B"/>
    <w:rsid w:val="004650A2"/>
    <w:rsid w:val="00470A50"/>
    <w:rsid w:val="00471D64"/>
    <w:rsid w:val="00472563"/>
    <w:rsid w:val="004745F2"/>
    <w:rsid w:val="00476FFD"/>
    <w:rsid w:val="00477D1E"/>
    <w:rsid w:val="00480A1F"/>
    <w:rsid w:val="00483303"/>
    <w:rsid w:val="0048379F"/>
    <w:rsid w:val="0048674A"/>
    <w:rsid w:val="0048700A"/>
    <w:rsid w:val="00491026"/>
    <w:rsid w:val="00491B57"/>
    <w:rsid w:val="004977A4"/>
    <w:rsid w:val="0049785D"/>
    <w:rsid w:val="004A00F6"/>
    <w:rsid w:val="004A0271"/>
    <w:rsid w:val="004A3236"/>
    <w:rsid w:val="004A4C37"/>
    <w:rsid w:val="004A61C9"/>
    <w:rsid w:val="004A73B2"/>
    <w:rsid w:val="004B11E1"/>
    <w:rsid w:val="004B1671"/>
    <w:rsid w:val="004B58D1"/>
    <w:rsid w:val="004B75BB"/>
    <w:rsid w:val="004C17DE"/>
    <w:rsid w:val="004C351A"/>
    <w:rsid w:val="004C562D"/>
    <w:rsid w:val="004C5BE8"/>
    <w:rsid w:val="004C68F8"/>
    <w:rsid w:val="004D0899"/>
    <w:rsid w:val="004D0EB0"/>
    <w:rsid w:val="004D4588"/>
    <w:rsid w:val="004D4B99"/>
    <w:rsid w:val="004D59F2"/>
    <w:rsid w:val="004E1A9B"/>
    <w:rsid w:val="004E4B5D"/>
    <w:rsid w:val="004F0A38"/>
    <w:rsid w:val="004F2370"/>
    <w:rsid w:val="004F3029"/>
    <w:rsid w:val="004F4654"/>
    <w:rsid w:val="00500DC7"/>
    <w:rsid w:val="00501B59"/>
    <w:rsid w:val="00501CA3"/>
    <w:rsid w:val="005021EA"/>
    <w:rsid w:val="0050453A"/>
    <w:rsid w:val="00504C75"/>
    <w:rsid w:val="00505ED9"/>
    <w:rsid w:val="00511341"/>
    <w:rsid w:val="00511532"/>
    <w:rsid w:val="00512207"/>
    <w:rsid w:val="0051368B"/>
    <w:rsid w:val="0051433A"/>
    <w:rsid w:val="00520896"/>
    <w:rsid w:val="0052098F"/>
    <w:rsid w:val="0052611C"/>
    <w:rsid w:val="00526640"/>
    <w:rsid w:val="00533E04"/>
    <w:rsid w:val="005341C2"/>
    <w:rsid w:val="0053490A"/>
    <w:rsid w:val="00545F6E"/>
    <w:rsid w:val="00547755"/>
    <w:rsid w:val="00547DE9"/>
    <w:rsid w:val="00547E7D"/>
    <w:rsid w:val="00550CD9"/>
    <w:rsid w:val="005515C3"/>
    <w:rsid w:val="005543D6"/>
    <w:rsid w:val="00554456"/>
    <w:rsid w:val="005547C4"/>
    <w:rsid w:val="00556A0B"/>
    <w:rsid w:val="005601D1"/>
    <w:rsid w:val="00560991"/>
    <w:rsid w:val="00561F48"/>
    <w:rsid w:val="0056358A"/>
    <w:rsid w:val="00563BBD"/>
    <w:rsid w:val="00564724"/>
    <w:rsid w:val="00567602"/>
    <w:rsid w:val="00570D76"/>
    <w:rsid w:val="00570D82"/>
    <w:rsid w:val="00571587"/>
    <w:rsid w:val="00571A9E"/>
    <w:rsid w:val="00580C86"/>
    <w:rsid w:val="00582DDA"/>
    <w:rsid w:val="0058487B"/>
    <w:rsid w:val="00585379"/>
    <w:rsid w:val="005866B3"/>
    <w:rsid w:val="005909A6"/>
    <w:rsid w:val="00590CE0"/>
    <w:rsid w:val="00592E38"/>
    <w:rsid w:val="00593541"/>
    <w:rsid w:val="00595034"/>
    <w:rsid w:val="005952C7"/>
    <w:rsid w:val="005971A7"/>
    <w:rsid w:val="005A055B"/>
    <w:rsid w:val="005A2447"/>
    <w:rsid w:val="005A484A"/>
    <w:rsid w:val="005A522E"/>
    <w:rsid w:val="005A544A"/>
    <w:rsid w:val="005B1F67"/>
    <w:rsid w:val="005B2E28"/>
    <w:rsid w:val="005B2E50"/>
    <w:rsid w:val="005B4C56"/>
    <w:rsid w:val="005C37A0"/>
    <w:rsid w:val="005C37F5"/>
    <w:rsid w:val="005C41D9"/>
    <w:rsid w:val="005C6A1E"/>
    <w:rsid w:val="005D04B7"/>
    <w:rsid w:val="005D297C"/>
    <w:rsid w:val="005D30E4"/>
    <w:rsid w:val="005D59EF"/>
    <w:rsid w:val="005D6F11"/>
    <w:rsid w:val="005E4653"/>
    <w:rsid w:val="005E77E4"/>
    <w:rsid w:val="005F5F02"/>
    <w:rsid w:val="005F7E9D"/>
    <w:rsid w:val="006012E4"/>
    <w:rsid w:val="0060139C"/>
    <w:rsid w:val="00607408"/>
    <w:rsid w:val="006115E1"/>
    <w:rsid w:val="006148CC"/>
    <w:rsid w:val="0062182B"/>
    <w:rsid w:val="006237D6"/>
    <w:rsid w:val="006263DE"/>
    <w:rsid w:val="00632AD6"/>
    <w:rsid w:val="0063321B"/>
    <w:rsid w:val="006352E7"/>
    <w:rsid w:val="0064048C"/>
    <w:rsid w:val="006429A5"/>
    <w:rsid w:val="006441EE"/>
    <w:rsid w:val="00645FB5"/>
    <w:rsid w:val="006469DE"/>
    <w:rsid w:val="00647E00"/>
    <w:rsid w:val="006502DB"/>
    <w:rsid w:val="006526C6"/>
    <w:rsid w:val="006565E0"/>
    <w:rsid w:val="006601F5"/>
    <w:rsid w:val="00661018"/>
    <w:rsid w:val="006638BA"/>
    <w:rsid w:val="00667E38"/>
    <w:rsid w:val="0067556E"/>
    <w:rsid w:val="00676EA2"/>
    <w:rsid w:val="00680C46"/>
    <w:rsid w:val="00681F32"/>
    <w:rsid w:val="0068361C"/>
    <w:rsid w:val="006839E6"/>
    <w:rsid w:val="0068501F"/>
    <w:rsid w:val="006914EA"/>
    <w:rsid w:val="0069582D"/>
    <w:rsid w:val="0069603F"/>
    <w:rsid w:val="0069675F"/>
    <w:rsid w:val="006A07E7"/>
    <w:rsid w:val="006A72DE"/>
    <w:rsid w:val="006A74F1"/>
    <w:rsid w:val="006B12D9"/>
    <w:rsid w:val="006B558E"/>
    <w:rsid w:val="006B726B"/>
    <w:rsid w:val="006C0EC4"/>
    <w:rsid w:val="006C22A4"/>
    <w:rsid w:val="006C29D5"/>
    <w:rsid w:val="006C66D8"/>
    <w:rsid w:val="006C67C1"/>
    <w:rsid w:val="006D00F8"/>
    <w:rsid w:val="006D139D"/>
    <w:rsid w:val="006D23F1"/>
    <w:rsid w:val="006D6C0E"/>
    <w:rsid w:val="006E10F7"/>
    <w:rsid w:val="006E2644"/>
    <w:rsid w:val="006E3BF2"/>
    <w:rsid w:val="006E680B"/>
    <w:rsid w:val="006F2571"/>
    <w:rsid w:val="006F3037"/>
    <w:rsid w:val="006F3103"/>
    <w:rsid w:val="006F65FE"/>
    <w:rsid w:val="006F7559"/>
    <w:rsid w:val="007057CC"/>
    <w:rsid w:val="00710002"/>
    <w:rsid w:val="00711B9E"/>
    <w:rsid w:val="0072000B"/>
    <w:rsid w:val="0072040A"/>
    <w:rsid w:val="00723236"/>
    <w:rsid w:val="00724759"/>
    <w:rsid w:val="00733174"/>
    <w:rsid w:val="00733BD7"/>
    <w:rsid w:val="007352C3"/>
    <w:rsid w:val="00735D8C"/>
    <w:rsid w:val="00737114"/>
    <w:rsid w:val="0074596B"/>
    <w:rsid w:val="00746CFD"/>
    <w:rsid w:val="0075167C"/>
    <w:rsid w:val="00751AE1"/>
    <w:rsid w:val="00751D64"/>
    <w:rsid w:val="00752CE1"/>
    <w:rsid w:val="00755B19"/>
    <w:rsid w:val="007633EC"/>
    <w:rsid w:val="00763ACD"/>
    <w:rsid w:val="007662F6"/>
    <w:rsid w:val="00767241"/>
    <w:rsid w:val="00767987"/>
    <w:rsid w:val="0077082E"/>
    <w:rsid w:val="007712C5"/>
    <w:rsid w:val="00772A8D"/>
    <w:rsid w:val="00786210"/>
    <w:rsid w:val="00786E34"/>
    <w:rsid w:val="0079106F"/>
    <w:rsid w:val="00792B58"/>
    <w:rsid w:val="00792D94"/>
    <w:rsid w:val="00795578"/>
    <w:rsid w:val="00796DA8"/>
    <w:rsid w:val="007A0D9A"/>
    <w:rsid w:val="007A1FE8"/>
    <w:rsid w:val="007A373F"/>
    <w:rsid w:val="007B08DA"/>
    <w:rsid w:val="007B66F0"/>
    <w:rsid w:val="007B6993"/>
    <w:rsid w:val="007C36D5"/>
    <w:rsid w:val="007C4284"/>
    <w:rsid w:val="007C4BA8"/>
    <w:rsid w:val="007C76AC"/>
    <w:rsid w:val="007D00A6"/>
    <w:rsid w:val="007D6C82"/>
    <w:rsid w:val="007D6E3C"/>
    <w:rsid w:val="007E251D"/>
    <w:rsid w:val="007E5C6F"/>
    <w:rsid w:val="007F10A6"/>
    <w:rsid w:val="007F2DED"/>
    <w:rsid w:val="008002D3"/>
    <w:rsid w:val="00801BCC"/>
    <w:rsid w:val="00804E4F"/>
    <w:rsid w:val="0080768A"/>
    <w:rsid w:val="00810743"/>
    <w:rsid w:val="00810A51"/>
    <w:rsid w:val="00810E0F"/>
    <w:rsid w:val="00812772"/>
    <w:rsid w:val="00813C69"/>
    <w:rsid w:val="008211C8"/>
    <w:rsid w:val="00822BCC"/>
    <w:rsid w:val="00822FCC"/>
    <w:rsid w:val="00832D8D"/>
    <w:rsid w:val="008349E8"/>
    <w:rsid w:val="00837AF0"/>
    <w:rsid w:val="00844DD8"/>
    <w:rsid w:val="0084544F"/>
    <w:rsid w:val="00845ED1"/>
    <w:rsid w:val="00847561"/>
    <w:rsid w:val="0085119E"/>
    <w:rsid w:val="00851FBB"/>
    <w:rsid w:val="00855953"/>
    <w:rsid w:val="008562DF"/>
    <w:rsid w:val="008619D4"/>
    <w:rsid w:val="0087342A"/>
    <w:rsid w:val="00874092"/>
    <w:rsid w:val="00877B96"/>
    <w:rsid w:val="008805AC"/>
    <w:rsid w:val="00881F53"/>
    <w:rsid w:val="0088253F"/>
    <w:rsid w:val="00890FB6"/>
    <w:rsid w:val="008927F4"/>
    <w:rsid w:val="008A02D6"/>
    <w:rsid w:val="008A34F5"/>
    <w:rsid w:val="008A6A46"/>
    <w:rsid w:val="008A6BA6"/>
    <w:rsid w:val="008A6DA6"/>
    <w:rsid w:val="008A7DDB"/>
    <w:rsid w:val="008B0676"/>
    <w:rsid w:val="008B23B9"/>
    <w:rsid w:val="008B287B"/>
    <w:rsid w:val="008B29F8"/>
    <w:rsid w:val="008B5224"/>
    <w:rsid w:val="008B5BDC"/>
    <w:rsid w:val="008B6253"/>
    <w:rsid w:val="008C0B34"/>
    <w:rsid w:val="008C0F4B"/>
    <w:rsid w:val="008C2215"/>
    <w:rsid w:val="008C383B"/>
    <w:rsid w:val="008C40C7"/>
    <w:rsid w:val="008C687B"/>
    <w:rsid w:val="008D4780"/>
    <w:rsid w:val="008D4B79"/>
    <w:rsid w:val="008D4CA4"/>
    <w:rsid w:val="008E17D3"/>
    <w:rsid w:val="008E1C79"/>
    <w:rsid w:val="008E1D15"/>
    <w:rsid w:val="008E43C3"/>
    <w:rsid w:val="008E4F81"/>
    <w:rsid w:val="00901F98"/>
    <w:rsid w:val="00902938"/>
    <w:rsid w:val="00903DF1"/>
    <w:rsid w:val="00906359"/>
    <w:rsid w:val="00910E8F"/>
    <w:rsid w:val="00911008"/>
    <w:rsid w:val="0091353C"/>
    <w:rsid w:val="00913EC8"/>
    <w:rsid w:val="00923220"/>
    <w:rsid w:val="009236B2"/>
    <w:rsid w:val="00924D26"/>
    <w:rsid w:val="009266EF"/>
    <w:rsid w:val="00931C51"/>
    <w:rsid w:val="00933FF5"/>
    <w:rsid w:val="0093486C"/>
    <w:rsid w:val="009363AD"/>
    <w:rsid w:val="009363CC"/>
    <w:rsid w:val="00936D60"/>
    <w:rsid w:val="0094078E"/>
    <w:rsid w:val="009413B6"/>
    <w:rsid w:val="0094267A"/>
    <w:rsid w:val="009428DB"/>
    <w:rsid w:val="00945A9D"/>
    <w:rsid w:val="00947B55"/>
    <w:rsid w:val="009516E6"/>
    <w:rsid w:val="00956424"/>
    <w:rsid w:val="00965E9A"/>
    <w:rsid w:val="00966166"/>
    <w:rsid w:val="00966269"/>
    <w:rsid w:val="009678F3"/>
    <w:rsid w:val="00970261"/>
    <w:rsid w:val="00971672"/>
    <w:rsid w:val="00973A8D"/>
    <w:rsid w:val="009758E3"/>
    <w:rsid w:val="0097648B"/>
    <w:rsid w:val="00977E2D"/>
    <w:rsid w:val="00980D74"/>
    <w:rsid w:val="0098518A"/>
    <w:rsid w:val="00985B09"/>
    <w:rsid w:val="00992D76"/>
    <w:rsid w:val="009938CC"/>
    <w:rsid w:val="009944DB"/>
    <w:rsid w:val="00994EDF"/>
    <w:rsid w:val="009A0198"/>
    <w:rsid w:val="009A7D29"/>
    <w:rsid w:val="009B2063"/>
    <w:rsid w:val="009B507C"/>
    <w:rsid w:val="009B5DE2"/>
    <w:rsid w:val="009B647F"/>
    <w:rsid w:val="009B705D"/>
    <w:rsid w:val="009C1073"/>
    <w:rsid w:val="009C1A13"/>
    <w:rsid w:val="009C2C1E"/>
    <w:rsid w:val="009C4827"/>
    <w:rsid w:val="009C4CA0"/>
    <w:rsid w:val="009C5F8F"/>
    <w:rsid w:val="009C65F9"/>
    <w:rsid w:val="009C7E88"/>
    <w:rsid w:val="009D18F6"/>
    <w:rsid w:val="009D6831"/>
    <w:rsid w:val="009E0388"/>
    <w:rsid w:val="009E132D"/>
    <w:rsid w:val="009F0C8A"/>
    <w:rsid w:val="009F3413"/>
    <w:rsid w:val="00A00FE6"/>
    <w:rsid w:val="00A046A3"/>
    <w:rsid w:val="00A07697"/>
    <w:rsid w:val="00A078D3"/>
    <w:rsid w:val="00A1084A"/>
    <w:rsid w:val="00A11F51"/>
    <w:rsid w:val="00A1301D"/>
    <w:rsid w:val="00A15D5F"/>
    <w:rsid w:val="00A1683B"/>
    <w:rsid w:val="00A27A43"/>
    <w:rsid w:val="00A4309F"/>
    <w:rsid w:val="00A43C10"/>
    <w:rsid w:val="00A450A6"/>
    <w:rsid w:val="00A4558E"/>
    <w:rsid w:val="00A46D38"/>
    <w:rsid w:val="00A50D24"/>
    <w:rsid w:val="00A512A6"/>
    <w:rsid w:val="00A521CC"/>
    <w:rsid w:val="00A534AD"/>
    <w:rsid w:val="00A543D6"/>
    <w:rsid w:val="00A547D6"/>
    <w:rsid w:val="00A5711F"/>
    <w:rsid w:val="00A61B49"/>
    <w:rsid w:val="00A62854"/>
    <w:rsid w:val="00A632F3"/>
    <w:rsid w:val="00A65380"/>
    <w:rsid w:val="00A66DA5"/>
    <w:rsid w:val="00A6763F"/>
    <w:rsid w:val="00A70679"/>
    <w:rsid w:val="00A73791"/>
    <w:rsid w:val="00A73AF9"/>
    <w:rsid w:val="00A75719"/>
    <w:rsid w:val="00A80F43"/>
    <w:rsid w:val="00A824B4"/>
    <w:rsid w:val="00A86EB0"/>
    <w:rsid w:val="00A87F59"/>
    <w:rsid w:val="00A9084E"/>
    <w:rsid w:val="00A92957"/>
    <w:rsid w:val="00A95BD7"/>
    <w:rsid w:val="00AA24D5"/>
    <w:rsid w:val="00AA6490"/>
    <w:rsid w:val="00AB0F9A"/>
    <w:rsid w:val="00AB311E"/>
    <w:rsid w:val="00AB39BC"/>
    <w:rsid w:val="00AB4083"/>
    <w:rsid w:val="00AB4AF4"/>
    <w:rsid w:val="00AC1A37"/>
    <w:rsid w:val="00AD08A6"/>
    <w:rsid w:val="00AD3976"/>
    <w:rsid w:val="00AD5145"/>
    <w:rsid w:val="00AD5911"/>
    <w:rsid w:val="00AD63EC"/>
    <w:rsid w:val="00AD734F"/>
    <w:rsid w:val="00AE6C69"/>
    <w:rsid w:val="00AF175B"/>
    <w:rsid w:val="00AF3D43"/>
    <w:rsid w:val="00AF536C"/>
    <w:rsid w:val="00AF7208"/>
    <w:rsid w:val="00B0090A"/>
    <w:rsid w:val="00B02612"/>
    <w:rsid w:val="00B103BF"/>
    <w:rsid w:val="00B10792"/>
    <w:rsid w:val="00B11EE8"/>
    <w:rsid w:val="00B11FAD"/>
    <w:rsid w:val="00B12D15"/>
    <w:rsid w:val="00B16275"/>
    <w:rsid w:val="00B163C5"/>
    <w:rsid w:val="00B168E6"/>
    <w:rsid w:val="00B22230"/>
    <w:rsid w:val="00B24D55"/>
    <w:rsid w:val="00B27871"/>
    <w:rsid w:val="00B27FE1"/>
    <w:rsid w:val="00B306B7"/>
    <w:rsid w:val="00B33BCF"/>
    <w:rsid w:val="00B345B6"/>
    <w:rsid w:val="00B4100C"/>
    <w:rsid w:val="00B41195"/>
    <w:rsid w:val="00B42064"/>
    <w:rsid w:val="00B42A25"/>
    <w:rsid w:val="00B45F6E"/>
    <w:rsid w:val="00B4643F"/>
    <w:rsid w:val="00B46D14"/>
    <w:rsid w:val="00B47F53"/>
    <w:rsid w:val="00B50B36"/>
    <w:rsid w:val="00B512D0"/>
    <w:rsid w:val="00B551F9"/>
    <w:rsid w:val="00B568F1"/>
    <w:rsid w:val="00B57748"/>
    <w:rsid w:val="00B60611"/>
    <w:rsid w:val="00B636F0"/>
    <w:rsid w:val="00B70F4E"/>
    <w:rsid w:val="00B71EEE"/>
    <w:rsid w:val="00B72277"/>
    <w:rsid w:val="00B7261C"/>
    <w:rsid w:val="00B73527"/>
    <w:rsid w:val="00B7513E"/>
    <w:rsid w:val="00B759EB"/>
    <w:rsid w:val="00B77E6E"/>
    <w:rsid w:val="00B80050"/>
    <w:rsid w:val="00B8055A"/>
    <w:rsid w:val="00B87456"/>
    <w:rsid w:val="00B921BB"/>
    <w:rsid w:val="00B93571"/>
    <w:rsid w:val="00B93895"/>
    <w:rsid w:val="00B96FC3"/>
    <w:rsid w:val="00BA0B58"/>
    <w:rsid w:val="00BA2ADF"/>
    <w:rsid w:val="00BA2ED4"/>
    <w:rsid w:val="00BA3133"/>
    <w:rsid w:val="00BA3247"/>
    <w:rsid w:val="00BA4F5A"/>
    <w:rsid w:val="00BB005C"/>
    <w:rsid w:val="00BB05DC"/>
    <w:rsid w:val="00BB59C0"/>
    <w:rsid w:val="00BB6F0B"/>
    <w:rsid w:val="00BC2B00"/>
    <w:rsid w:val="00BC5BE0"/>
    <w:rsid w:val="00BD1A7E"/>
    <w:rsid w:val="00BD21E3"/>
    <w:rsid w:val="00BD275C"/>
    <w:rsid w:val="00BD2C72"/>
    <w:rsid w:val="00BD3D19"/>
    <w:rsid w:val="00BD3E56"/>
    <w:rsid w:val="00BD50FB"/>
    <w:rsid w:val="00BD5EEB"/>
    <w:rsid w:val="00BD5F9F"/>
    <w:rsid w:val="00BD68A5"/>
    <w:rsid w:val="00BD7489"/>
    <w:rsid w:val="00BD74EC"/>
    <w:rsid w:val="00BE069B"/>
    <w:rsid w:val="00BE145B"/>
    <w:rsid w:val="00BE1D7D"/>
    <w:rsid w:val="00BE470E"/>
    <w:rsid w:val="00BE77A7"/>
    <w:rsid w:val="00BF56CF"/>
    <w:rsid w:val="00BF7ABF"/>
    <w:rsid w:val="00BF7E10"/>
    <w:rsid w:val="00C04650"/>
    <w:rsid w:val="00C05724"/>
    <w:rsid w:val="00C10D28"/>
    <w:rsid w:val="00C12C05"/>
    <w:rsid w:val="00C12EBD"/>
    <w:rsid w:val="00C13350"/>
    <w:rsid w:val="00C15F2E"/>
    <w:rsid w:val="00C16A4F"/>
    <w:rsid w:val="00C20C72"/>
    <w:rsid w:val="00C20E0D"/>
    <w:rsid w:val="00C2124D"/>
    <w:rsid w:val="00C30399"/>
    <w:rsid w:val="00C30E3F"/>
    <w:rsid w:val="00C30FD5"/>
    <w:rsid w:val="00C3131E"/>
    <w:rsid w:val="00C35CD9"/>
    <w:rsid w:val="00C40D5E"/>
    <w:rsid w:val="00C43074"/>
    <w:rsid w:val="00C44890"/>
    <w:rsid w:val="00C44E47"/>
    <w:rsid w:val="00C45C1A"/>
    <w:rsid w:val="00C46220"/>
    <w:rsid w:val="00C47826"/>
    <w:rsid w:val="00C51AB6"/>
    <w:rsid w:val="00C51B45"/>
    <w:rsid w:val="00C52551"/>
    <w:rsid w:val="00C54A27"/>
    <w:rsid w:val="00C60216"/>
    <w:rsid w:val="00C602C6"/>
    <w:rsid w:val="00C60558"/>
    <w:rsid w:val="00C62B65"/>
    <w:rsid w:val="00C6453D"/>
    <w:rsid w:val="00C74AA7"/>
    <w:rsid w:val="00C77085"/>
    <w:rsid w:val="00C8066F"/>
    <w:rsid w:val="00C809F9"/>
    <w:rsid w:val="00C80D0B"/>
    <w:rsid w:val="00C8297A"/>
    <w:rsid w:val="00C853A3"/>
    <w:rsid w:val="00C863A5"/>
    <w:rsid w:val="00C86667"/>
    <w:rsid w:val="00C92EBC"/>
    <w:rsid w:val="00C94584"/>
    <w:rsid w:val="00C94FC6"/>
    <w:rsid w:val="00CA2256"/>
    <w:rsid w:val="00CA3C4D"/>
    <w:rsid w:val="00CA43D7"/>
    <w:rsid w:val="00CA77EA"/>
    <w:rsid w:val="00CB72AD"/>
    <w:rsid w:val="00CC045D"/>
    <w:rsid w:val="00CC15C9"/>
    <w:rsid w:val="00CC5489"/>
    <w:rsid w:val="00CC5C7F"/>
    <w:rsid w:val="00CC5EB3"/>
    <w:rsid w:val="00CC6BA9"/>
    <w:rsid w:val="00CC7E05"/>
    <w:rsid w:val="00CD1BA3"/>
    <w:rsid w:val="00CD484C"/>
    <w:rsid w:val="00CD50EA"/>
    <w:rsid w:val="00CD6862"/>
    <w:rsid w:val="00CD6EC6"/>
    <w:rsid w:val="00CD7C4D"/>
    <w:rsid w:val="00CE2886"/>
    <w:rsid w:val="00CE311A"/>
    <w:rsid w:val="00CE3769"/>
    <w:rsid w:val="00CF040B"/>
    <w:rsid w:val="00CF3BA0"/>
    <w:rsid w:val="00CF61A0"/>
    <w:rsid w:val="00D00934"/>
    <w:rsid w:val="00D02D0C"/>
    <w:rsid w:val="00D05443"/>
    <w:rsid w:val="00D110B2"/>
    <w:rsid w:val="00D12565"/>
    <w:rsid w:val="00D129D9"/>
    <w:rsid w:val="00D154FF"/>
    <w:rsid w:val="00D26CB0"/>
    <w:rsid w:val="00D312CC"/>
    <w:rsid w:val="00D36031"/>
    <w:rsid w:val="00D3648A"/>
    <w:rsid w:val="00D3721F"/>
    <w:rsid w:val="00D40955"/>
    <w:rsid w:val="00D43379"/>
    <w:rsid w:val="00D47568"/>
    <w:rsid w:val="00D50F7F"/>
    <w:rsid w:val="00D554AF"/>
    <w:rsid w:val="00D56CFA"/>
    <w:rsid w:val="00D56EF0"/>
    <w:rsid w:val="00D57A75"/>
    <w:rsid w:val="00D57DD8"/>
    <w:rsid w:val="00D614D2"/>
    <w:rsid w:val="00D7056F"/>
    <w:rsid w:val="00D70967"/>
    <w:rsid w:val="00D73D12"/>
    <w:rsid w:val="00D742B5"/>
    <w:rsid w:val="00D757BF"/>
    <w:rsid w:val="00D7623A"/>
    <w:rsid w:val="00D7652A"/>
    <w:rsid w:val="00D769F2"/>
    <w:rsid w:val="00D7754F"/>
    <w:rsid w:val="00D77C83"/>
    <w:rsid w:val="00D815F0"/>
    <w:rsid w:val="00D85820"/>
    <w:rsid w:val="00D8633C"/>
    <w:rsid w:val="00D9017F"/>
    <w:rsid w:val="00D93936"/>
    <w:rsid w:val="00D940BF"/>
    <w:rsid w:val="00D975B1"/>
    <w:rsid w:val="00DA1B82"/>
    <w:rsid w:val="00DA2349"/>
    <w:rsid w:val="00DA2B2F"/>
    <w:rsid w:val="00DB3549"/>
    <w:rsid w:val="00DB5919"/>
    <w:rsid w:val="00DB761C"/>
    <w:rsid w:val="00DC1E69"/>
    <w:rsid w:val="00DC2305"/>
    <w:rsid w:val="00DC4494"/>
    <w:rsid w:val="00DC48DF"/>
    <w:rsid w:val="00DD0DB2"/>
    <w:rsid w:val="00DD514E"/>
    <w:rsid w:val="00DE29C3"/>
    <w:rsid w:val="00DE563C"/>
    <w:rsid w:val="00DF131F"/>
    <w:rsid w:val="00DF5FAE"/>
    <w:rsid w:val="00E01996"/>
    <w:rsid w:val="00E02208"/>
    <w:rsid w:val="00E06416"/>
    <w:rsid w:val="00E12F6A"/>
    <w:rsid w:val="00E14B07"/>
    <w:rsid w:val="00E1511F"/>
    <w:rsid w:val="00E21E50"/>
    <w:rsid w:val="00E24082"/>
    <w:rsid w:val="00E278BD"/>
    <w:rsid w:val="00E306EB"/>
    <w:rsid w:val="00E31443"/>
    <w:rsid w:val="00E336D2"/>
    <w:rsid w:val="00E34D04"/>
    <w:rsid w:val="00E35D2F"/>
    <w:rsid w:val="00E40C65"/>
    <w:rsid w:val="00E4144D"/>
    <w:rsid w:val="00E445DE"/>
    <w:rsid w:val="00E4536F"/>
    <w:rsid w:val="00E460ED"/>
    <w:rsid w:val="00E462F0"/>
    <w:rsid w:val="00E51B09"/>
    <w:rsid w:val="00E52306"/>
    <w:rsid w:val="00E561A9"/>
    <w:rsid w:val="00E5667C"/>
    <w:rsid w:val="00E5779C"/>
    <w:rsid w:val="00E6358D"/>
    <w:rsid w:val="00E6380D"/>
    <w:rsid w:val="00E63E54"/>
    <w:rsid w:val="00E63F2F"/>
    <w:rsid w:val="00E71805"/>
    <w:rsid w:val="00E71B22"/>
    <w:rsid w:val="00E723D1"/>
    <w:rsid w:val="00E742AE"/>
    <w:rsid w:val="00E7593D"/>
    <w:rsid w:val="00E76992"/>
    <w:rsid w:val="00E81087"/>
    <w:rsid w:val="00E811A6"/>
    <w:rsid w:val="00E834C5"/>
    <w:rsid w:val="00E85E9C"/>
    <w:rsid w:val="00E87235"/>
    <w:rsid w:val="00E91029"/>
    <w:rsid w:val="00E922DF"/>
    <w:rsid w:val="00E92C01"/>
    <w:rsid w:val="00E94FE1"/>
    <w:rsid w:val="00E9547B"/>
    <w:rsid w:val="00E96466"/>
    <w:rsid w:val="00EA0740"/>
    <w:rsid w:val="00EA11EB"/>
    <w:rsid w:val="00EA6F46"/>
    <w:rsid w:val="00EA7361"/>
    <w:rsid w:val="00EB218C"/>
    <w:rsid w:val="00EB3372"/>
    <w:rsid w:val="00EB6034"/>
    <w:rsid w:val="00EC08A0"/>
    <w:rsid w:val="00EC0942"/>
    <w:rsid w:val="00EC43E1"/>
    <w:rsid w:val="00EC66B0"/>
    <w:rsid w:val="00ED0806"/>
    <w:rsid w:val="00ED0F8F"/>
    <w:rsid w:val="00ED2294"/>
    <w:rsid w:val="00ED38DC"/>
    <w:rsid w:val="00ED75D7"/>
    <w:rsid w:val="00EE01EE"/>
    <w:rsid w:val="00EE2C0C"/>
    <w:rsid w:val="00EF5CD7"/>
    <w:rsid w:val="00EF68C7"/>
    <w:rsid w:val="00EF6F31"/>
    <w:rsid w:val="00EF73A3"/>
    <w:rsid w:val="00F004A0"/>
    <w:rsid w:val="00F006D1"/>
    <w:rsid w:val="00F12E70"/>
    <w:rsid w:val="00F130B8"/>
    <w:rsid w:val="00F131F1"/>
    <w:rsid w:val="00F13D4C"/>
    <w:rsid w:val="00F14661"/>
    <w:rsid w:val="00F154AA"/>
    <w:rsid w:val="00F21CD3"/>
    <w:rsid w:val="00F2283B"/>
    <w:rsid w:val="00F255CC"/>
    <w:rsid w:val="00F26AE1"/>
    <w:rsid w:val="00F33393"/>
    <w:rsid w:val="00F36BA9"/>
    <w:rsid w:val="00F377B8"/>
    <w:rsid w:val="00F37831"/>
    <w:rsid w:val="00F41C25"/>
    <w:rsid w:val="00F4441B"/>
    <w:rsid w:val="00F464A6"/>
    <w:rsid w:val="00F46B6D"/>
    <w:rsid w:val="00F50F23"/>
    <w:rsid w:val="00F50FBB"/>
    <w:rsid w:val="00F51815"/>
    <w:rsid w:val="00F561B0"/>
    <w:rsid w:val="00F56A08"/>
    <w:rsid w:val="00F60F12"/>
    <w:rsid w:val="00F64EE3"/>
    <w:rsid w:val="00F70324"/>
    <w:rsid w:val="00F71E43"/>
    <w:rsid w:val="00F73068"/>
    <w:rsid w:val="00F774AD"/>
    <w:rsid w:val="00F777EE"/>
    <w:rsid w:val="00F836DC"/>
    <w:rsid w:val="00F867FC"/>
    <w:rsid w:val="00F923A5"/>
    <w:rsid w:val="00F96BE2"/>
    <w:rsid w:val="00F96DDE"/>
    <w:rsid w:val="00F97153"/>
    <w:rsid w:val="00F9742E"/>
    <w:rsid w:val="00FA3C9C"/>
    <w:rsid w:val="00FA6020"/>
    <w:rsid w:val="00FA612D"/>
    <w:rsid w:val="00FA68C2"/>
    <w:rsid w:val="00FA68E8"/>
    <w:rsid w:val="00FA6ECC"/>
    <w:rsid w:val="00FB2051"/>
    <w:rsid w:val="00FB27C3"/>
    <w:rsid w:val="00FB2867"/>
    <w:rsid w:val="00FB4B11"/>
    <w:rsid w:val="00FB5A91"/>
    <w:rsid w:val="00FB6E8D"/>
    <w:rsid w:val="00FC3CCC"/>
    <w:rsid w:val="00FD0EE1"/>
    <w:rsid w:val="00FE0F8D"/>
    <w:rsid w:val="00FE29DC"/>
    <w:rsid w:val="00FE5D3A"/>
    <w:rsid w:val="00FE7980"/>
    <w:rsid w:val="00FF2ABC"/>
    <w:rsid w:val="00FF2D54"/>
    <w:rsid w:val="00FF6728"/>
    <w:rsid w:val="00FF7D13"/>
    <w:rsid w:val="00FF7E6B"/>
    <w:rsid w:val="0D353577"/>
    <w:rsid w:val="18EA121D"/>
    <w:rsid w:val="1ACBD1D2"/>
    <w:rsid w:val="1BEB6044"/>
    <w:rsid w:val="29DAD07D"/>
    <w:rsid w:val="3134600D"/>
    <w:rsid w:val="4203F3B2"/>
    <w:rsid w:val="4292D8C3"/>
    <w:rsid w:val="4439011F"/>
    <w:rsid w:val="4802C35B"/>
    <w:rsid w:val="4E7C6B93"/>
    <w:rsid w:val="5D4B8F4C"/>
    <w:rsid w:val="6016FD19"/>
    <w:rsid w:val="6A3B62FE"/>
    <w:rsid w:val="6BB2DFDB"/>
    <w:rsid w:val="7D842421"/>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6028F"/>
  <w15:docId w15:val="{53A7BC58-DE40-4FB9-92D9-5068DFCA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B8"/>
    <w:pPr>
      <w:spacing w:line="240" w:lineRule="auto"/>
      <w:jc w:val="both"/>
    </w:pPr>
    <w:rPr>
      <w:rFonts w:ascii="EC Square Sans Pro" w:hAnsi="EC Square Sans Pro" w:cs="Times New Roman"/>
      <w:szCs w:val="24"/>
      <w:lang w:val="en-IE"/>
    </w:rPr>
  </w:style>
  <w:style w:type="paragraph" w:styleId="Heading1">
    <w:name w:val="heading 1"/>
    <w:basedOn w:val="Normal"/>
    <w:next w:val="Normal"/>
    <w:link w:val="Heading1Char"/>
    <w:uiPriority w:val="9"/>
    <w:qFormat/>
    <w:rsid w:val="00BE145B"/>
    <w:pPr>
      <w:keepNext/>
      <w:keepLines/>
      <w:numPr>
        <w:numId w:val="1"/>
      </w:numPr>
      <w:spacing w:before="360" w:after="240"/>
      <w:ind w:left="340" w:hanging="340"/>
      <w:outlineLvl w:val="0"/>
    </w:pPr>
    <w:rPr>
      <w:rFonts w:eastAsiaTheme="majorEastAsia" w:cstheme="majorBidi"/>
      <w:b/>
      <w:color w:val="034EA2" w:themeColor="accent1"/>
      <w:sz w:val="32"/>
      <w:szCs w:val="32"/>
    </w:rPr>
  </w:style>
  <w:style w:type="paragraph" w:styleId="Heading2">
    <w:name w:val="heading 2"/>
    <w:basedOn w:val="Normal"/>
    <w:next w:val="Normal"/>
    <w:link w:val="Heading2Char"/>
    <w:uiPriority w:val="9"/>
    <w:unhideWhenUsed/>
    <w:qFormat/>
    <w:rsid w:val="002703F1"/>
    <w:pPr>
      <w:keepNext/>
      <w:keepLines/>
      <w:spacing w:before="240"/>
      <w:outlineLvl w:val="1"/>
    </w:pPr>
    <w:rPr>
      <w:rFonts w:eastAsiaTheme="majorEastAsia" w:cstheme="majorBidi"/>
      <w:caps/>
      <w:color w:val="70AD47" w:themeColor="accent2"/>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45B"/>
    <w:rPr>
      <w:rFonts w:ascii="EC Square Sans Pro" w:eastAsiaTheme="majorEastAsia" w:hAnsi="EC Square Sans Pro" w:cstheme="majorBidi"/>
      <w:b/>
      <w:color w:val="034EA2" w:themeColor="accent1"/>
      <w:sz w:val="32"/>
      <w:szCs w:val="32"/>
      <w:lang w:val="en-IE"/>
    </w:rPr>
  </w:style>
  <w:style w:type="paragraph" w:styleId="Header">
    <w:name w:val="header"/>
    <w:basedOn w:val="Normal"/>
    <w:link w:val="HeaderChar"/>
    <w:uiPriority w:val="99"/>
    <w:unhideWhenUsed/>
    <w:rsid w:val="008B6253"/>
    <w:pPr>
      <w:tabs>
        <w:tab w:val="center" w:pos="4513"/>
        <w:tab w:val="right" w:pos="9026"/>
      </w:tabs>
      <w:spacing w:after="0"/>
    </w:pPr>
  </w:style>
  <w:style w:type="character" w:customStyle="1" w:styleId="HeaderChar">
    <w:name w:val="Header Char"/>
    <w:basedOn w:val="DefaultParagraphFont"/>
    <w:link w:val="Header"/>
    <w:uiPriority w:val="99"/>
    <w:rsid w:val="008B6253"/>
    <w:rPr>
      <w:rFonts w:ascii="Times New Roman" w:hAnsi="Times New Roman" w:cs="Times New Roman"/>
      <w:sz w:val="24"/>
      <w:szCs w:val="24"/>
      <w:lang w:val="en-IE"/>
    </w:rPr>
  </w:style>
  <w:style w:type="paragraph" w:styleId="Footer">
    <w:name w:val="footer"/>
    <w:basedOn w:val="Normal"/>
    <w:link w:val="FooterChar"/>
    <w:uiPriority w:val="99"/>
    <w:unhideWhenUsed/>
    <w:rsid w:val="008B6253"/>
    <w:pPr>
      <w:tabs>
        <w:tab w:val="center" w:pos="4513"/>
        <w:tab w:val="right" w:pos="9026"/>
      </w:tabs>
      <w:spacing w:after="0"/>
    </w:pPr>
  </w:style>
  <w:style w:type="character" w:customStyle="1" w:styleId="FooterChar">
    <w:name w:val="Footer Char"/>
    <w:basedOn w:val="DefaultParagraphFont"/>
    <w:link w:val="Footer"/>
    <w:uiPriority w:val="99"/>
    <w:rsid w:val="008B6253"/>
    <w:rPr>
      <w:rFonts w:ascii="Times New Roman" w:hAnsi="Times New Roman" w:cs="Times New Roman"/>
      <w:sz w:val="24"/>
      <w:szCs w:val="24"/>
      <w:lang w:val="en-IE"/>
    </w:rPr>
  </w:style>
  <w:style w:type="paragraph" w:customStyle="1" w:styleId="FooterCoverPage">
    <w:name w:val="Footer Cover Page"/>
    <w:basedOn w:val="Normal"/>
    <w:link w:val="FooterCoverPageChar"/>
    <w:rsid w:val="008B6253"/>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basedOn w:val="DefaultParagraphFont"/>
    <w:link w:val="FooterCoverPage"/>
    <w:rsid w:val="008B6253"/>
    <w:rPr>
      <w:rFonts w:ascii="Times New Roman" w:hAnsi="Times New Roman" w:cs="Times New Roman"/>
      <w:sz w:val="24"/>
      <w:szCs w:val="24"/>
      <w:lang w:val="en-IE"/>
    </w:rPr>
  </w:style>
  <w:style w:type="paragraph" w:customStyle="1" w:styleId="HeaderCoverPage">
    <w:name w:val="Header Cover Page"/>
    <w:basedOn w:val="Normal"/>
    <w:link w:val="HeaderCoverPageChar"/>
    <w:rsid w:val="008B6253"/>
    <w:pPr>
      <w:tabs>
        <w:tab w:val="center" w:pos="4535"/>
        <w:tab w:val="right" w:pos="9071"/>
      </w:tabs>
      <w:spacing w:after="120"/>
    </w:pPr>
    <w:rPr>
      <w:rFonts w:ascii="Times New Roman" w:hAnsi="Times New Roman"/>
      <w:sz w:val="24"/>
    </w:rPr>
  </w:style>
  <w:style w:type="character" w:customStyle="1" w:styleId="HeaderCoverPageChar">
    <w:name w:val="Header Cover Page Char"/>
    <w:basedOn w:val="DefaultParagraphFont"/>
    <w:link w:val="HeaderCoverPage"/>
    <w:rsid w:val="008B6253"/>
    <w:rPr>
      <w:rFonts w:ascii="Times New Roman" w:hAnsi="Times New Roman" w:cs="Times New Roman"/>
      <w:sz w:val="24"/>
      <w:szCs w:val="24"/>
      <w:lang w:val="en-IE"/>
    </w:rPr>
  </w:style>
  <w:style w:type="character" w:styleId="FootnoteReference">
    <w:name w:val="footnote reference"/>
    <w:aliases w:val="BVI fnr,number,SUPERS,Footnote Reference Superscript,-E Fuﬂnotenzeichen,-E Fuûnotenzeichen,-E Fußnotenzeichen,EN Footnote Reference,Footnote number,stylish,Footnote symbol,(Footnote Reference),Footnote reference number,note TESI,ftref"/>
    <w:link w:val="BVIfnrChar"/>
    <w:uiPriority w:val="99"/>
    <w:qFormat/>
    <w:rsid w:val="008B6253"/>
    <w:rPr>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qFormat/>
    <w:rsid w:val="008B6253"/>
    <w:pPr>
      <w:spacing w:after="0"/>
      <w:ind w:left="720" w:hanging="720"/>
    </w:pPr>
    <w:rPr>
      <w:rFonts w:eastAsia="Times New Roman"/>
      <w:sz w:val="20"/>
      <w:szCs w:val="20"/>
      <w:lang w:val="en-GB"/>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basedOn w:val="DefaultParagraphFont"/>
    <w:link w:val="FootnoteText"/>
    <w:uiPriority w:val="99"/>
    <w:rsid w:val="008B6253"/>
    <w:rPr>
      <w:rFonts w:ascii="Times New Roman" w:eastAsia="Times New Roman" w:hAnsi="Times New Roman" w:cs="Times New Roman"/>
      <w:sz w:val="20"/>
      <w:szCs w:val="20"/>
      <w:lang w:val="en-GB"/>
    </w:rPr>
  </w:style>
  <w:style w:type="paragraph" w:styleId="TOC1">
    <w:name w:val="toc 1"/>
    <w:basedOn w:val="Normal"/>
    <w:next w:val="Normal"/>
    <w:uiPriority w:val="39"/>
    <w:qFormat/>
    <w:rsid w:val="008B6253"/>
    <w:pPr>
      <w:tabs>
        <w:tab w:val="right" w:leader="dot" w:pos="9071"/>
      </w:tabs>
      <w:spacing w:before="60" w:after="120"/>
      <w:ind w:left="850" w:hanging="850"/>
    </w:pPr>
    <w:rPr>
      <w:rFonts w:eastAsia="Times New Roman"/>
      <w:lang w:val="en-GB"/>
    </w:rPr>
  </w:style>
  <w:style w:type="paragraph" w:styleId="TOCHeading">
    <w:name w:val="TOC Heading"/>
    <w:basedOn w:val="Normal"/>
    <w:next w:val="Normal"/>
    <w:link w:val="TOCHeadingChar"/>
    <w:uiPriority w:val="39"/>
    <w:qFormat/>
    <w:rsid w:val="008B6253"/>
    <w:pPr>
      <w:spacing w:before="120" w:after="240"/>
      <w:jc w:val="center"/>
    </w:pPr>
    <w:rPr>
      <w:rFonts w:eastAsia="Times New Roman"/>
      <w:b/>
      <w:sz w:val="28"/>
      <w:lang w:val="en-GB"/>
    </w:rPr>
  </w:style>
  <w:style w:type="character" w:styleId="Hyperlink">
    <w:name w:val="Hyperlink"/>
    <w:uiPriority w:val="99"/>
    <w:rsid w:val="008B6253"/>
    <w:rPr>
      <w:rFonts w:cs="Times New Roman"/>
      <w:color w:val="0000FF"/>
      <w:u w:val="single"/>
      <w:shd w:val="clear" w:color="auto" w:fill="auto"/>
    </w:rPr>
  </w:style>
  <w:style w:type="character" w:customStyle="1" w:styleId="TOCHeadingChar">
    <w:name w:val="TOC Heading Char"/>
    <w:link w:val="TOCHeading"/>
    <w:uiPriority w:val="39"/>
    <w:rsid w:val="008B6253"/>
    <w:rPr>
      <w:rFonts w:ascii="Times New Roman" w:eastAsia="Times New Roman" w:hAnsi="Times New Roman" w:cs="Times New Roman"/>
      <w:b/>
      <w:sz w:val="28"/>
      <w:szCs w:val="24"/>
      <w:lang w:val="en-GB"/>
    </w:rPr>
  </w:style>
  <w:style w:type="paragraph" w:styleId="Subtitle">
    <w:name w:val="Subtitle"/>
    <w:basedOn w:val="Normal"/>
    <w:next w:val="Normal"/>
    <w:link w:val="SubtitleChar"/>
    <w:qFormat/>
    <w:rsid w:val="008B6253"/>
    <w:pPr>
      <w:spacing w:before="120" w:after="60"/>
      <w:jc w:val="center"/>
      <w:outlineLvl w:val="1"/>
    </w:pPr>
    <w:rPr>
      <w:rFonts w:ascii="Cambria" w:eastAsia="Times New Roman" w:hAnsi="Cambria"/>
      <w:lang w:val="en-GB"/>
    </w:rPr>
  </w:style>
  <w:style w:type="character" w:customStyle="1" w:styleId="SubtitleChar">
    <w:name w:val="Subtitle Char"/>
    <w:basedOn w:val="DefaultParagraphFont"/>
    <w:link w:val="Subtitle"/>
    <w:rsid w:val="008B6253"/>
    <w:rPr>
      <w:rFonts w:ascii="Cambria" w:eastAsia="Times New Roman" w:hAnsi="Cambria" w:cs="Times New Roman"/>
      <w:sz w:val="24"/>
      <w:szCs w:val="24"/>
      <w:lang w:val="en-GB"/>
    </w:rPr>
  </w:style>
  <w:style w:type="paragraph" w:styleId="NormalWeb">
    <w:name w:val="Normal (Web)"/>
    <w:basedOn w:val="Normal"/>
    <w:uiPriority w:val="99"/>
    <w:unhideWhenUsed/>
    <w:rsid w:val="008B6253"/>
    <w:pPr>
      <w:spacing w:before="100" w:beforeAutospacing="1" w:after="100" w:afterAutospacing="1"/>
    </w:pPr>
    <w:rPr>
      <w:rFonts w:eastAsia="Times New Roman"/>
      <w:lang w:val="en-GB" w:eastAsia="en-GB"/>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rsid w:val="008B6253"/>
    <w:pPr>
      <w:spacing w:line="240" w:lineRule="exact"/>
    </w:pPr>
    <w:rPr>
      <w:rFonts w:asciiTheme="minorHAnsi" w:hAnsiTheme="minorHAnsi" w:cstheme="minorBidi"/>
      <w:szCs w:val="22"/>
      <w:vertAlign w:val="superscript"/>
      <w:lang w:val="en-US"/>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Bullet 1"/>
    <w:basedOn w:val="Normal"/>
    <w:link w:val="ListParagraphChar"/>
    <w:uiPriority w:val="34"/>
    <w:qFormat/>
    <w:rsid w:val="008B6253"/>
    <w:pPr>
      <w:spacing w:line="259" w:lineRule="auto"/>
      <w:ind w:left="720"/>
      <w:contextualSpacing/>
    </w:pPr>
    <w:rPr>
      <w:rFonts w:asciiTheme="minorHAnsi" w:hAnsiTheme="minorHAnsi" w:cstheme="minorBidi"/>
      <w:szCs w:val="22"/>
      <w:lang w:val="en-GB"/>
    </w:rPr>
  </w:style>
  <w:style w:type="character" w:styleId="IntenseReference">
    <w:name w:val="Intense Reference"/>
    <w:basedOn w:val="DefaultParagraphFont"/>
    <w:uiPriority w:val="32"/>
    <w:qFormat/>
    <w:rsid w:val="008B6253"/>
    <w:rPr>
      <w:b/>
      <w:bCs/>
      <w:smallCaps/>
      <w:color w:val="034EA2" w:themeColor="accent1"/>
      <w:spacing w:val="5"/>
    </w:rPr>
  </w:style>
  <w:style w:type="table" w:styleId="GridTable1Light-Accent1">
    <w:name w:val="Grid Table 1 Light Accent 1"/>
    <w:basedOn w:val="TableNormal"/>
    <w:uiPriority w:val="46"/>
    <w:rsid w:val="008B6253"/>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77B6FC" w:themeColor="accent1" w:themeTint="66"/>
        <w:left w:val="single" w:sz="4" w:space="0" w:color="77B6FC" w:themeColor="accent1" w:themeTint="66"/>
        <w:bottom w:val="single" w:sz="4" w:space="0" w:color="77B6FC" w:themeColor="accent1" w:themeTint="66"/>
        <w:right w:val="single" w:sz="4" w:space="0" w:color="77B6FC" w:themeColor="accent1" w:themeTint="66"/>
        <w:insideH w:val="single" w:sz="4" w:space="0" w:color="77B6FC" w:themeColor="accent1" w:themeTint="66"/>
        <w:insideV w:val="single" w:sz="4" w:space="0" w:color="77B6FC" w:themeColor="accent1" w:themeTint="66"/>
      </w:tblBorders>
    </w:tblPr>
    <w:tblStylePr w:type="firstRow">
      <w:rPr>
        <w:b/>
        <w:bCs/>
      </w:rPr>
      <w:tblPr/>
      <w:tcPr>
        <w:tcBorders>
          <w:bottom w:val="single" w:sz="12" w:space="0" w:color="3391FB" w:themeColor="accent1" w:themeTint="99"/>
        </w:tcBorders>
      </w:tcPr>
    </w:tblStylePr>
    <w:tblStylePr w:type="lastRow">
      <w:rPr>
        <w:b/>
        <w:bCs/>
      </w:rPr>
      <w:tblPr/>
      <w:tcPr>
        <w:tcBorders>
          <w:top w:val="double" w:sz="2" w:space="0" w:color="3391F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qFormat/>
    <w:locked/>
    <w:rsid w:val="008B6253"/>
    <w:rPr>
      <w:lang w:val="en-GB"/>
    </w:rPr>
  </w:style>
  <w:style w:type="table" w:customStyle="1" w:styleId="TableGrid1">
    <w:name w:val="Table Grid1"/>
    <w:basedOn w:val="TableNormal"/>
    <w:next w:val="TableGrid"/>
    <w:uiPriority w:val="39"/>
    <w:rsid w:val="008B6253"/>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8B6253"/>
    <w:rPr>
      <w:color w:val="0000FF"/>
      <w:shd w:val="clear" w:color="auto" w:fill="auto"/>
    </w:rPr>
  </w:style>
  <w:style w:type="paragraph" w:customStyle="1" w:styleId="Pagedecouverture">
    <w:name w:val="Page de couverture"/>
    <w:basedOn w:val="Normal"/>
    <w:next w:val="Normal"/>
    <w:rsid w:val="008B6253"/>
    <w:pPr>
      <w:spacing w:after="0"/>
    </w:pPr>
    <w:rPr>
      <w:szCs w:val="22"/>
    </w:rPr>
  </w:style>
  <w:style w:type="paragraph" w:customStyle="1" w:styleId="FooterSensitivity">
    <w:name w:val="Footer Sensitivity"/>
    <w:basedOn w:val="Normal"/>
    <w:link w:val="FooterSensitivityChar"/>
    <w:rsid w:val="008B6253"/>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TOCHeadingChar"/>
    <w:link w:val="FooterSensitivity"/>
    <w:rsid w:val="008B6253"/>
    <w:rPr>
      <w:rFonts w:ascii="Times New Roman" w:eastAsia="Times New Roman" w:hAnsi="Times New Roman" w:cs="Times New Roman"/>
      <w:b/>
      <w:sz w:val="32"/>
      <w:szCs w:val="24"/>
      <w:lang w:val="en-IE"/>
    </w:rPr>
  </w:style>
  <w:style w:type="paragraph" w:customStyle="1" w:styleId="HeaderSensitivity">
    <w:name w:val="Header Sensitivity"/>
    <w:basedOn w:val="Normal"/>
    <w:link w:val="HeaderSensitivityChar"/>
    <w:rsid w:val="008B625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sid w:val="008B6253"/>
    <w:rPr>
      <w:rFonts w:ascii="Times New Roman" w:eastAsia="Times New Roman" w:hAnsi="Times New Roman" w:cs="Times New Roman"/>
      <w:b/>
      <w:sz w:val="32"/>
      <w:szCs w:val="24"/>
      <w:lang w:val="en-IE"/>
    </w:rPr>
  </w:style>
  <w:style w:type="paragraph" w:customStyle="1" w:styleId="HeaderSensitivityRight">
    <w:name w:val="Header Sensitivity Right"/>
    <w:basedOn w:val="Normal"/>
    <w:link w:val="HeaderSensitivityRightChar"/>
    <w:rsid w:val="008B6253"/>
    <w:pPr>
      <w:spacing w:after="120"/>
      <w:jc w:val="right"/>
    </w:pPr>
    <w:rPr>
      <w:rFonts w:ascii="Times New Roman" w:hAnsi="Times New Roman"/>
      <w:sz w:val="28"/>
    </w:rPr>
  </w:style>
  <w:style w:type="character" w:customStyle="1" w:styleId="HeaderSensitivityRightChar">
    <w:name w:val="Header Sensitivity Right Char"/>
    <w:basedOn w:val="TOCHeadingChar"/>
    <w:link w:val="HeaderSensitivityRight"/>
    <w:rsid w:val="008B6253"/>
    <w:rPr>
      <w:rFonts w:ascii="Times New Roman" w:eastAsia="Times New Roman" w:hAnsi="Times New Roman" w:cs="Times New Roman"/>
      <w:b w:val="0"/>
      <w:sz w:val="28"/>
      <w:szCs w:val="24"/>
      <w:lang w:val="en-IE"/>
    </w:rPr>
  </w:style>
  <w:style w:type="table" w:customStyle="1" w:styleId="TableGrid11">
    <w:name w:val="Table Grid11"/>
    <w:basedOn w:val="TableNormal"/>
    <w:next w:val="TableGrid"/>
    <w:uiPriority w:val="39"/>
    <w:rsid w:val="00804E4F"/>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554AF"/>
    <w:pPr>
      <w:spacing w:after="100"/>
      <w:ind w:left="240"/>
    </w:pPr>
  </w:style>
  <w:style w:type="character" w:styleId="CommentReference">
    <w:name w:val="annotation reference"/>
    <w:basedOn w:val="DefaultParagraphFont"/>
    <w:uiPriority w:val="99"/>
    <w:semiHidden/>
    <w:unhideWhenUsed/>
    <w:rsid w:val="00D56EF0"/>
    <w:rPr>
      <w:sz w:val="16"/>
      <w:szCs w:val="16"/>
    </w:rPr>
  </w:style>
  <w:style w:type="paragraph" w:styleId="CommentText">
    <w:name w:val="annotation text"/>
    <w:basedOn w:val="Normal"/>
    <w:link w:val="CommentTextChar"/>
    <w:uiPriority w:val="99"/>
    <w:unhideWhenUsed/>
    <w:rsid w:val="00D56EF0"/>
    <w:rPr>
      <w:sz w:val="20"/>
      <w:szCs w:val="20"/>
    </w:rPr>
  </w:style>
  <w:style w:type="character" w:customStyle="1" w:styleId="CommentTextChar">
    <w:name w:val="Comment Text Char"/>
    <w:basedOn w:val="DefaultParagraphFont"/>
    <w:link w:val="CommentText"/>
    <w:uiPriority w:val="99"/>
    <w:rsid w:val="00D56EF0"/>
    <w:rPr>
      <w:rFonts w:ascii="Times New Roman" w:hAnsi="Times New Roman" w:cs="Times New Roman"/>
      <w:sz w:val="20"/>
      <w:szCs w:val="20"/>
      <w:lang w:val="en-IE"/>
    </w:rPr>
  </w:style>
  <w:style w:type="paragraph" w:styleId="BalloonText">
    <w:name w:val="Balloon Text"/>
    <w:basedOn w:val="Normal"/>
    <w:link w:val="BalloonTextChar"/>
    <w:uiPriority w:val="99"/>
    <w:semiHidden/>
    <w:unhideWhenUsed/>
    <w:rsid w:val="00D56E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F0"/>
    <w:rPr>
      <w:rFonts w:ascii="Segoe UI" w:hAnsi="Segoe UI" w:cs="Segoe UI"/>
      <w:sz w:val="18"/>
      <w:szCs w:val="18"/>
      <w:lang w:val="en-IE"/>
    </w:rPr>
  </w:style>
  <w:style w:type="paragraph" w:styleId="CommentSubject">
    <w:name w:val="annotation subject"/>
    <w:basedOn w:val="CommentText"/>
    <w:next w:val="CommentText"/>
    <w:link w:val="CommentSubjectChar"/>
    <w:uiPriority w:val="99"/>
    <w:semiHidden/>
    <w:unhideWhenUsed/>
    <w:rsid w:val="002B7257"/>
    <w:rPr>
      <w:b/>
      <w:bCs/>
    </w:rPr>
  </w:style>
  <w:style w:type="character" w:customStyle="1" w:styleId="CommentSubjectChar">
    <w:name w:val="Comment Subject Char"/>
    <w:basedOn w:val="CommentTextChar"/>
    <w:link w:val="CommentSubject"/>
    <w:uiPriority w:val="99"/>
    <w:semiHidden/>
    <w:rsid w:val="002B7257"/>
    <w:rPr>
      <w:rFonts w:ascii="Times New Roman" w:hAnsi="Times New Roman" w:cs="Times New Roman"/>
      <w:b/>
      <w:bCs/>
      <w:sz w:val="20"/>
      <w:szCs w:val="20"/>
      <w:lang w:val="en-IE"/>
    </w:rPr>
  </w:style>
  <w:style w:type="paragraph" w:styleId="Revision">
    <w:name w:val="Revision"/>
    <w:hidden/>
    <w:uiPriority w:val="99"/>
    <w:semiHidden/>
    <w:rsid w:val="00E834C5"/>
    <w:pPr>
      <w:spacing w:after="0" w:line="240" w:lineRule="auto"/>
    </w:pPr>
    <w:rPr>
      <w:rFonts w:ascii="Times New Roman" w:hAnsi="Times New Roman" w:cs="Times New Roman"/>
      <w:sz w:val="24"/>
      <w:szCs w:val="24"/>
      <w:lang w:val="en-IE"/>
    </w:rPr>
  </w:style>
  <w:style w:type="character" w:styleId="Strong">
    <w:name w:val="Strong"/>
    <w:basedOn w:val="DefaultParagraphFont"/>
    <w:uiPriority w:val="22"/>
    <w:qFormat/>
    <w:rsid w:val="00BD275C"/>
    <w:rPr>
      <w:b/>
      <w:bCs/>
    </w:rPr>
  </w:style>
  <w:style w:type="character" w:customStyle="1" w:styleId="Heading2Char">
    <w:name w:val="Heading 2 Char"/>
    <w:basedOn w:val="DefaultParagraphFont"/>
    <w:link w:val="Heading2"/>
    <w:uiPriority w:val="9"/>
    <w:rsid w:val="002703F1"/>
    <w:rPr>
      <w:rFonts w:ascii="EC Square Sans Pro" w:eastAsiaTheme="majorEastAsia" w:hAnsi="EC Square Sans Pro" w:cstheme="majorBidi"/>
      <w:caps/>
      <w:color w:val="70AD47" w:themeColor="accent2"/>
      <w:sz w:val="24"/>
      <w:szCs w:val="26"/>
      <w:lang w:val="en-IE"/>
    </w:rPr>
  </w:style>
  <w:style w:type="character" w:styleId="FollowedHyperlink">
    <w:name w:val="FollowedHyperlink"/>
    <w:basedOn w:val="DefaultParagraphFont"/>
    <w:uiPriority w:val="99"/>
    <w:semiHidden/>
    <w:unhideWhenUsed/>
    <w:rsid w:val="001C3C2E"/>
    <w:rPr>
      <w:color w:val="954F72" w:themeColor="followedHyperlink"/>
      <w:u w:val="single"/>
    </w:rPr>
  </w:style>
  <w:style w:type="paragraph" w:styleId="PlainText">
    <w:name w:val="Plain Text"/>
    <w:basedOn w:val="Normal"/>
    <w:link w:val="PlainTextChar"/>
    <w:uiPriority w:val="99"/>
    <w:unhideWhenUsed/>
    <w:rsid w:val="00547755"/>
    <w:pPr>
      <w:spacing w:after="0"/>
    </w:pPr>
    <w:rPr>
      <w:rFonts w:ascii="Calibri" w:hAnsi="Calibri" w:cstheme="minorBidi"/>
      <w:szCs w:val="21"/>
      <w:lang w:val="en-GB"/>
    </w:rPr>
  </w:style>
  <w:style w:type="character" w:customStyle="1" w:styleId="PlainTextChar">
    <w:name w:val="Plain Text Char"/>
    <w:basedOn w:val="DefaultParagraphFont"/>
    <w:link w:val="PlainText"/>
    <w:uiPriority w:val="99"/>
    <w:rsid w:val="00547755"/>
    <w:rPr>
      <w:rFonts w:ascii="Calibri" w:hAnsi="Calibri"/>
      <w:szCs w:val="21"/>
      <w:lang w:val="en-GB"/>
    </w:rPr>
  </w:style>
  <w:style w:type="paragraph" w:customStyle="1" w:styleId="ecl-page-header-standardiseddescription">
    <w:name w:val="ecl-page-header-standardised__description"/>
    <w:basedOn w:val="Normal"/>
    <w:uiPriority w:val="99"/>
    <w:rsid w:val="007A1FE8"/>
    <w:pPr>
      <w:spacing w:before="100" w:beforeAutospacing="1" w:after="100" w:afterAutospacing="1"/>
    </w:pPr>
    <w:rPr>
      <w:rFonts w:eastAsia="Times New Roman"/>
      <w:lang w:val="en-GB" w:eastAsia="en-GB"/>
    </w:rPr>
  </w:style>
  <w:style w:type="character" w:customStyle="1" w:styleId="UnresolvedMention1">
    <w:name w:val="Unresolved Mention1"/>
    <w:basedOn w:val="DefaultParagraphFont"/>
    <w:uiPriority w:val="99"/>
    <w:semiHidden/>
    <w:unhideWhenUsed/>
    <w:rsid w:val="00580C86"/>
    <w:rPr>
      <w:color w:val="605E5C"/>
      <w:shd w:val="clear" w:color="auto" w:fill="E1DFDD"/>
    </w:rPr>
  </w:style>
  <w:style w:type="character" w:customStyle="1" w:styleId="UnresolvedMention">
    <w:name w:val="Unresolved Mention"/>
    <w:basedOn w:val="DefaultParagraphFont"/>
    <w:uiPriority w:val="99"/>
    <w:semiHidden/>
    <w:unhideWhenUsed/>
    <w:rsid w:val="00B7513E"/>
    <w:rPr>
      <w:color w:val="605E5C"/>
      <w:shd w:val="clear" w:color="auto" w:fill="E1DFDD"/>
    </w:rPr>
  </w:style>
  <w:style w:type="table" w:styleId="GridTable4-Accent5">
    <w:name w:val="Grid Table 4 Accent 5"/>
    <w:basedOn w:val="TableNormal"/>
    <w:uiPriority w:val="49"/>
    <w:rsid w:val="00FA6020"/>
    <w:pPr>
      <w:spacing w:after="0" w:line="240" w:lineRule="auto"/>
    </w:pPr>
    <w:rPr>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865">
      <w:bodyDiv w:val="1"/>
      <w:marLeft w:val="0"/>
      <w:marRight w:val="0"/>
      <w:marTop w:val="0"/>
      <w:marBottom w:val="0"/>
      <w:divBdr>
        <w:top w:val="none" w:sz="0" w:space="0" w:color="auto"/>
        <w:left w:val="none" w:sz="0" w:space="0" w:color="auto"/>
        <w:bottom w:val="none" w:sz="0" w:space="0" w:color="auto"/>
        <w:right w:val="none" w:sz="0" w:space="0" w:color="auto"/>
      </w:divBdr>
    </w:div>
    <w:div w:id="34670410">
      <w:bodyDiv w:val="1"/>
      <w:marLeft w:val="0"/>
      <w:marRight w:val="0"/>
      <w:marTop w:val="0"/>
      <w:marBottom w:val="0"/>
      <w:divBdr>
        <w:top w:val="none" w:sz="0" w:space="0" w:color="auto"/>
        <w:left w:val="none" w:sz="0" w:space="0" w:color="auto"/>
        <w:bottom w:val="none" w:sz="0" w:space="0" w:color="auto"/>
        <w:right w:val="none" w:sz="0" w:space="0" w:color="auto"/>
      </w:divBdr>
    </w:div>
    <w:div w:id="84570062">
      <w:bodyDiv w:val="1"/>
      <w:marLeft w:val="0"/>
      <w:marRight w:val="0"/>
      <w:marTop w:val="0"/>
      <w:marBottom w:val="0"/>
      <w:divBdr>
        <w:top w:val="none" w:sz="0" w:space="0" w:color="auto"/>
        <w:left w:val="none" w:sz="0" w:space="0" w:color="auto"/>
        <w:bottom w:val="none" w:sz="0" w:space="0" w:color="auto"/>
        <w:right w:val="none" w:sz="0" w:space="0" w:color="auto"/>
      </w:divBdr>
    </w:div>
    <w:div w:id="115149302">
      <w:bodyDiv w:val="1"/>
      <w:marLeft w:val="0"/>
      <w:marRight w:val="0"/>
      <w:marTop w:val="0"/>
      <w:marBottom w:val="0"/>
      <w:divBdr>
        <w:top w:val="none" w:sz="0" w:space="0" w:color="auto"/>
        <w:left w:val="none" w:sz="0" w:space="0" w:color="auto"/>
        <w:bottom w:val="none" w:sz="0" w:space="0" w:color="auto"/>
        <w:right w:val="none" w:sz="0" w:space="0" w:color="auto"/>
      </w:divBdr>
    </w:div>
    <w:div w:id="204485303">
      <w:bodyDiv w:val="1"/>
      <w:marLeft w:val="0"/>
      <w:marRight w:val="0"/>
      <w:marTop w:val="0"/>
      <w:marBottom w:val="0"/>
      <w:divBdr>
        <w:top w:val="none" w:sz="0" w:space="0" w:color="auto"/>
        <w:left w:val="none" w:sz="0" w:space="0" w:color="auto"/>
        <w:bottom w:val="none" w:sz="0" w:space="0" w:color="auto"/>
        <w:right w:val="none" w:sz="0" w:space="0" w:color="auto"/>
      </w:divBdr>
    </w:div>
    <w:div w:id="210462789">
      <w:bodyDiv w:val="1"/>
      <w:marLeft w:val="0"/>
      <w:marRight w:val="0"/>
      <w:marTop w:val="0"/>
      <w:marBottom w:val="0"/>
      <w:divBdr>
        <w:top w:val="none" w:sz="0" w:space="0" w:color="auto"/>
        <w:left w:val="none" w:sz="0" w:space="0" w:color="auto"/>
        <w:bottom w:val="none" w:sz="0" w:space="0" w:color="auto"/>
        <w:right w:val="none" w:sz="0" w:space="0" w:color="auto"/>
      </w:divBdr>
    </w:div>
    <w:div w:id="226034699">
      <w:bodyDiv w:val="1"/>
      <w:marLeft w:val="0"/>
      <w:marRight w:val="0"/>
      <w:marTop w:val="0"/>
      <w:marBottom w:val="0"/>
      <w:divBdr>
        <w:top w:val="none" w:sz="0" w:space="0" w:color="auto"/>
        <w:left w:val="none" w:sz="0" w:space="0" w:color="auto"/>
        <w:bottom w:val="none" w:sz="0" w:space="0" w:color="auto"/>
        <w:right w:val="none" w:sz="0" w:space="0" w:color="auto"/>
      </w:divBdr>
    </w:div>
    <w:div w:id="238760014">
      <w:bodyDiv w:val="1"/>
      <w:marLeft w:val="0"/>
      <w:marRight w:val="0"/>
      <w:marTop w:val="0"/>
      <w:marBottom w:val="0"/>
      <w:divBdr>
        <w:top w:val="none" w:sz="0" w:space="0" w:color="auto"/>
        <w:left w:val="none" w:sz="0" w:space="0" w:color="auto"/>
        <w:bottom w:val="none" w:sz="0" w:space="0" w:color="auto"/>
        <w:right w:val="none" w:sz="0" w:space="0" w:color="auto"/>
      </w:divBdr>
    </w:div>
    <w:div w:id="265578364">
      <w:bodyDiv w:val="1"/>
      <w:marLeft w:val="0"/>
      <w:marRight w:val="0"/>
      <w:marTop w:val="0"/>
      <w:marBottom w:val="0"/>
      <w:divBdr>
        <w:top w:val="none" w:sz="0" w:space="0" w:color="auto"/>
        <w:left w:val="none" w:sz="0" w:space="0" w:color="auto"/>
        <w:bottom w:val="none" w:sz="0" w:space="0" w:color="auto"/>
        <w:right w:val="none" w:sz="0" w:space="0" w:color="auto"/>
      </w:divBdr>
    </w:div>
    <w:div w:id="279189576">
      <w:bodyDiv w:val="1"/>
      <w:marLeft w:val="0"/>
      <w:marRight w:val="0"/>
      <w:marTop w:val="0"/>
      <w:marBottom w:val="0"/>
      <w:divBdr>
        <w:top w:val="none" w:sz="0" w:space="0" w:color="auto"/>
        <w:left w:val="none" w:sz="0" w:space="0" w:color="auto"/>
        <w:bottom w:val="none" w:sz="0" w:space="0" w:color="auto"/>
        <w:right w:val="none" w:sz="0" w:space="0" w:color="auto"/>
      </w:divBdr>
    </w:div>
    <w:div w:id="284119342">
      <w:bodyDiv w:val="1"/>
      <w:marLeft w:val="0"/>
      <w:marRight w:val="0"/>
      <w:marTop w:val="0"/>
      <w:marBottom w:val="0"/>
      <w:divBdr>
        <w:top w:val="none" w:sz="0" w:space="0" w:color="auto"/>
        <w:left w:val="none" w:sz="0" w:space="0" w:color="auto"/>
        <w:bottom w:val="none" w:sz="0" w:space="0" w:color="auto"/>
        <w:right w:val="none" w:sz="0" w:space="0" w:color="auto"/>
      </w:divBdr>
    </w:div>
    <w:div w:id="295723376">
      <w:bodyDiv w:val="1"/>
      <w:marLeft w:val="0"/>
      <w:marRight w:val="0"/>
      <w:marTop w:val="0"/>
      <w:marBottom w:val="0"/>
      <w:divBdr>
        <w:top w:val="none" w:sz="0" w:space="0" w:color="auto"/>
        <w:left w:val="none" w:sz="0" w:space="0" w:color="auto"/>
        <w:bottom w:val="none" w:sz="0" w:space="0" w:color="auto"/>
        <w:right w:val="none" w:sz="0" w:space="0" w:color="auto"/>
      </w:divBdr>
    </w:div>
    <w:div w:id="297810240">
      <w:bodyDiv w:val="1"/>
      <w:marLeft w:val="0"/>
      <w:marRight w:val="0"/>
      <w:marTop w:val="0"/>
      <w:marBottom w:val="0"/>
      <w:divBdr>
        <w:top w:val="none" w:sz="0" w:space="0" w:color="auto"/>
        <w:left w:val="none" w:sz="0" w:space="0" w:color="auto"/>
        <w:bottom w:val="none" w:sz="0" w:space="0" w:color="auto"/>
        <w:right w:val="none" w:sz="0" w:space="0" w:color="auto"/>
      </w:divBdr>
    </w:div>
    <w:div w:id="303391389">
      <w:bodyDiv w:val="1"/>
      <w:marLeft w:val="0"/>
      <w:marRight w:val="0"/>
      <w:marTop w:val="0"/>
      <w:marBottom w:val="0"/>
      <w:divBdr>
        <w:top w:val="none" w:sz="0" w:space="0" w:color="auto"/>
        <w:left w:val="none" w:sz="0" w:space="0" w:color="auto"/>
        <w:bottom w:val="none" w:sz="0" w:space="0" w:color="auto"/>
        <w:right w:val="none" w:sz="0" w:space="0" w:color="auto"/>
      </w:divBdr>
    </w:div>
    <w:div w:id="321785287">
      <w:bodyDiv w:val="1"/>
      <w:marLeft w:val="0"/>
      <w:marRight w:val="0"/>
      <w:marTop w:val="0"/>
      <w:marBottom w:val="0"/>
      <w:divBdr>
        <w:top w:val="none" w:sz="0" w:space="0" w:color="auto"/>
        <w:left w:val="none" w:sz="0" w:space="0" w:color="auto"/>
        <w:bottom w:val="none" w:sz="0" w:space="0" w:color="auto"/>
        <w:right w:val="none" w:sz="0" w:space="0" w:color="auto"/>
      </w:divBdr>
    </w:div>
    <w:div w:id="340161298">
      <w:bodyDiv w:val="1"/>
      <w:marLeft w:val="0"/>
      <w:marRight w:val="0"/>
      <w:marTop w:val="0"/>
      <w:marBottom w:val="0"/>
      <w:divBdr>
        <w:top w:val="none" w:sz="0" w:space="0" w:color="auto"/>
        <w:left w:val="none" w:sz="0" w:space="0" w:color="auto"/>
        <w:bottom w:val="none" w:sz="0" w:space="0" w:color="auto"/>
        <w:right w:val="none" w:sz="0" w:space="0" w:color="auto"/>
      </w:divBdr>
    </w:div>
    <w:div w:id="351421111">
      <w:bodyDiv w:val="1"/>
      <w:marLeft w:val="0"/>
      <w:marRight w:val="0"/>
      <w:marTop w:val="0"/>
      <w:marBottom w:val="0"/>
      <w:divBdr>
        <w:top w:val="none" w:sz="0" w:space="0" w:color="auto"/>
        <w:left w:val="none" w:sz="0" w:space="0" w:color="auto"/>
        <w:bottom w:val="none" w:sz="0" w:space="0" w:color="auto"/>
        <w:right w:val="none" w:sz="0" w:space="0" w:color="auto"/>
      </w:divBdr>
    </w:div>
    <w:div w:id="351611388">
      <w:bodyDiv w:val="1"/>
      <w:marLeft w:val="0"/>
      <w:marRight w:val="0"/>
      <w:marTop w:val="0"/>
      <w:marBottom w:val="0"/>
      <w:divBdr>
        <w:top w:val="none" w:sz="0" w:space="0" w:color="auto"/>
        <w:left w:val="none" w:sz="0" w:space="0" w:color="auto"/>
        <w:bottom w:val="none" w:sz="0" w:space="0" w:color="auto"/>
        <w:right w:val="none" w:sz="0" w:space="0" w:color="auto"/>
      </w:divBdr>
    </w:div>
    <w:div w:id="364604937">
      <w:bodyDiv w:val="1"/>
      <w:marLeft w:val="0"/>
      <w:marRight w:val="0"/>
      <w:marTop w:val="0"/>
      <w:marBottom w:val="0"/>
      <w:divBdr>
        <w:top w:val="none" w:sz="0" w:space="0" w:color="auto"/>
        <w:left w:val="none" w:sz="0" w:space="0" w:color="auto"/>
        <w:bottom w:val="none" w:sz="0" w:space="0" w:color="auto"/>
        <w:right w:val="none" w:sz="0" w:space="0" w:color="auto"/>
      </w:divBdr>
    </w:div>
    <w:div w:id="393508607">
      <w:bodyDiv w:val="1"/>
      <w:marLeft w:val="0"/>
      <w:marRight w:val="0"/>
      <w:marTop w:val="0"/>
      <w:marBottom w:val="0"/>
      <w:divBdr>
        <w:top w:val="none" w:sz="0" w:space="0" w:color="auto"/>
        <w:left w:val="none" w:sz="0" w:space="0" w:color="auto"/>
        <w:bottom w:val="none" w:sz="0" w:space="0" w:color="auto"/>
        <w:right w:val="none" w:sz="0" w:space="0" w:color="auto"/>
      </w:divBdr>
    </w:div>
    <w:div w:id="405684663">
      <w:bodyDiv w:val="1"/>
      <w:marLeft w:val="0"/>
      <w:marRight w:val="0"/>
      <w:marTop w:val="0"/>
      <w:marBottom w:val="0"/>
      <w:divBdr>
        <w:top w:val="none" w:sz="0" w:space="0" w:color="auto"/>
        <w:left w:val="none" w:sz="0" w:space="0" w:color="auto"/>
        <w:bottom w:val="none" w:sz="0" w:space="0" w:color="auto"/>
        <w:right w:val="none" w:sz="0" w:space="0" w:color="auto"/>
      </w:divBdr>
    </w:div>
    <w:div w:id="442266534">
      <w:bodyDiv w:val="1"/>
      <w:marLeft w:val="0"/>
      <w:marRight w:val="0"/>
      <w:marTop w:val="0"/>
      <w:marBottom w:val="0"/>
      <w:divBdr>
        <w:top w:val="none" w:sz="0" w:space="0" w:color="auto"/>
        <w:left w:val="none" w:sz="0" w:space="0" w:color="auto"/>
        <w:bottom w:val="none" w:sz="0" w:space="0" w:color="auto"/>
        <w:right w:val="none" w:sz="0" w:space="0" w:color="auto"/>
      </w:divBdr>
    </w:div>
    <w:div w:id="483670406">
      <w:bodyDiv w:val="1"/>
      <w:marLeft w:val="0"/>
      <w:marRight w:val="0"/>
      <w:marTop w:val="0"/>
      <w:marBottom w:val="0"/>
      <w:divBdr>
        <w:top w:val="none" w:sz="0" w:space="0" w:color="auto"/>
        <w:left w:val="none" w:sz="0" w:space="0" w:color="auto"/>
        <w:bottom w:val="none" w:sz="0" w:space="0" w:color="auto"/>
        <w:right w:val="none" w:sz="0" w:space="0" w:color="auto"/>
      </w:divBdr>
    </w:div>
    <w:div w:id="573970309">
      <w:bodyDiv w:val="1"/>
      <w:marLeft w:val="0"/>
      <w:marRight w:val="0"/>
      <w:marTop w:val="0"/>
      <w:marBottom w:val="0"/>
      <w:divBdr>
        <w:top w:val="none" w:sz="0" w:space="0" w:color="auto"/>
        <w:left w:val="none" w:sz="0" w:space="0" w:color="auto"/>
        <w:bottom w:val="none" w:sz="0" w:space="0" w:color="auto"/>
        <w:right w:val="none" w:sz="0" w:space="0" w:color="auto"/>
      </w:divBdr>
    </w:div>
    <w:div w:id="595789768">
      <w:bodyDiv w:val="1"/>
      <w:marLeft w:val="0"/>
      <w:marRight w:val="0"/>
      <w:marTop w:val="0"/>
      <w:marBottom w:val="0"/>
      <w:divBdr>
        <w:top w:val="none" w:sz="0" w:space="0" w:color="auto"/>
        <w:left w:val="none" w:sz="0" w:space="0" w:color="auto"/>
        <w:bottom w:val="none" w:sz="0" w:space="0" w:color="auto"/>
        <w:right w:val="none" w:sz="0" w:space="0" w:color="auto"/>
      </w:divBdr>
    </w:div>
    <w:div w:id="596213421">
      <w:bodyDiv w:val="1"/>
      <w:marLeft w:val="0"/>
      <w:marRight w:val="0"/>
      <w:marTop w:val="0"/>
      <w:marBottom w:val="0"/>
      <w:divBdr>
        <w:top w:val="none" w:sz="0" w:space="0" w:color="auto"/>
        <w:left w:val="none" w:sz="0" w:space="0" w:color="auto"/>
        <w:bottom w:val="none" w:sz="0" w:space="0" w:color="auto"/>
        <w:right w:val="none" w:sz="0" w:space="0" w:color="auto"/>
      </w:divBdr>
    </w:div>
    <w:div w:id="608927152">
      <w:bodyDiv w:val="1"/>
      <w:marLeft w:val="0"/>
      <w:marRight w:val="0"/>
      <w:marTop w:val="0"/>
      <w:marBottom w:val="0"/>
      <w:divBdr>
        <w:top w:val="none" w:sz="0" w:space="0" w:color="auto"/>
        <w:left w:val="none" w:sz="0" w:space="0" w:color="auto"/>
        <w:bottom w:val="none" w:sz="0" w:space="0" w:color="auto"/>
        <w:right w:val="none" w:sz="0" w:space="0" w:color="auto"/>
      </w:divBdr>
    </w:div>
    <w:div w:id="652418492">
      <w:bodyDiv w:val="1"/>
      <w:marLeft w:val="0"/>
      <w:marRight w:val="0"/>
      <w:marTop w:val="0"/>
      <w:marBottom w:val="0"/>
      <w:divBdr>
        <w:top w:val="none" w:sz="0" w:space="0" w:color="auto"/>
        <w:left w:val="none" w:sz="0" w:space="0" w:color="auto"/>
        <w:bottom w:val="none" w:sz="0" w:space="0" w:color="auto"/>
        <w:right w:val="none" w:sz="0" w:space="0" w:color="auto"/>
      </w:divBdr>
    </w:div>
    <w:div w:id="663120349">
      <w:bodyDiv w:val="1"/>
      <w:marLeft w:val="0"/>
      <w:marRight w:val="0"/>
      <w:marTop w:val="0"/>
      <w:marBottom w:val="0"/>
      <w:divBdr>
        <w:top w:val="none" w:sz="0" w:space="0" w:color="auto"/>
        <w:left w:val="none" w:sz="0" w:space="0" w:color="auto"/>
        <w:bottom w:val="none" w:sz="0" w:space="0" w:color="auto"/>
        <w:right w:val="none" w:sz="0" w:space="0" w:color="auto"/>
      </w:divBdr>
    </w:div>
    <w:div w:id="666787323">
      <w:bodyDiv w:val="1"/>
      <w:marLeft w:val="0"/>
      <w:marRight w:val="0"/>
      <w:marTop w:val="0"/>
      <w:marBottom w:val="0"/>
      <w:divBdr>
        <w:top w:val="none" w:sz="0" w:space="0" w:color="auto"/>
        <w:left w:val="none" w:sz="0" w:space="0" w:color="auto"/>
        <w:bottom w:val="none" w:sz="0" w:space="0" w:color="auto"/>
        <w:right w:val="none" w:sz="0" w:space="0" w:color="auto"/>
      </w:divBdr>
    </w:div>
    <w:div w:id="709035680">
      <w:bodyDiv w:val="1"/>
      <w:marLeft w:val="0"/>
      <w:marRight w:val="0"/>
      <w:marTop w:val="0"/>
      <w:marBottom w:val="0"/>
      <w:divBdr>
        <w:top w:val="none" w:sz="0" w:space="0" w:color="auto"/>
        <w:left w:val="none" w:sz="0" w:space="0" w:color="auto"/>
        <w:bottom w:val="none" w:sz="0" w:space="0" w:color="auto"/>
        <w:right w:val="none" w:sz="0" w:space="0" w:color="auto"/>
      </w:divBdr>
    </w:div>
    <w:div w:id="722288728">
      <w:bodyDiv w:val="1"/>
      <w:marLeft w:val="0"/>
      <w:marRight w:val="0"/>
      <w:marTop w:val="0"/>
      <w:marBottom w:val="0"/>
      <w:divBdr>
        <w:top w:val="none" w:sz="0" w:space="0" w:color="auto"/>
        <w:left w:val="none" w:sz="0" w:space="0" w:color="auto"/>
        <w:bottom w:val="none" w:sz="0" w:space="0" w:color="auto"/>
        <w:right w:val="none" w:sz="0" w:space="0" w:color="auto"/>
      </w:divBdr>
    </w:div>
    <w:div w:id="774792856">
      <w:bodyDiv w:val="1"/>
      <w:marLeft w:val="0"/>
      <w:marRight w:val="0"/>
      <w:marTop w:val="0"/>
      <w:marBottom w:val="0"/>
      <w:divBdr>
        <w:top w:val="none" w:sz="0" w:space="0" w:color="auto"/>
        <w:left w:val="none" w:sz="0" w:space="0" w:color="auto"/>
        <w:bottom w:val="none" w:sz="0" w:space="0" w:color="auto"/>
        <w:right w:val="none" w:sz="0" w:space="0" w:color="auto"/>
      </w:divBdr>
    </w:div>
    <w:div w:id="850220207">
      <w:bodyDiv w:val="1"/>
      <w:marLeft w:val="0"/>
      <w:marRight w:val="0"/>
      <w:marTop w:val="0"/>
      <w:marBottom w:val="0"/>
      <w:divBdr>
        <w:top w:val="none" w:sz="0" w:space="0" w:color="auto"/>
        <w:left w:val="none" w:sz="0" w:space="0" w:color="auto"/>
        <w:bottom w:val="none" w:sz="0" w:space="0" w:color="auto"/>
        <w:right w:val="none" w:sz="0" w:space="0" w:color="auto"/>
      </w:divBdr>
    </w:div>
    <w:div w:id="875892528">
      <w:bodyDiv w:val="1"/>
      <w:marLeft w:val="0"/>
      <w:marRight w:val="0"/>
      <w:marTop w:val="0"/>
      <w:marBottom w:val="0"/>
      <w:divBdr>
        <w:top w:val="none" w:sz="0" w:space="0" w:color="auto"/>
        <w:left w:val="none" w:sz="0" w:space="0" w:color="auto"/>
        <w:bottom w:val="none" w:sz="0" w:space="0" w:color="auto"/>
        <w:right w:val="none" w:sz="0" w:space="0" w:color="auto"/>
      </w:divBdr>
    </w:div>
    <w:div w:id="998536824">
      <w:bodyDiv w:val="1"/>
      <w:marLeft w:val="0"/>
      <w:marRight w:val="0"/>
      <w:marTop w:val="0"/>
      <w:marBottom w:val="0"/>
      <w:divBdr>
        <w:top w:val="none" w:sz="0" w:space="0" w:color="auto"/>
        <w:left w:val="none" w:sz="0" w:space="0" w:color="auto"/>
        <w:bottom w:val="none" w:sz="0" w:space="0" w:color="auto"/>
        <w:right w:val="none" w:sz="0" w:space="0" w:color="auto"/>
      </w:divBdr>
    </w:div>
    <w:div w:id="1010527088">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45788780">
      <w:bodyDiv w:val="1"/>
      <w:marLeft w:val="0"/>
      <w:marRight w:val="0"/>
      <w:marTop w:val="0"/>
      <w:marBottom w:val="0"/>
      <w:divBdr>
        <w:top w:val="none" w:sz="0" w:space="0" w:color="auto"/>
        <w:left w:val="none" w:sz="0" w:space="0" w:color="auto"/>
        <w:bottom w:val="none" w:sz="0" w:space="0" w:color="auto"/>
        <w:right w:val="none" w:sz="0" w:space="0" w:color="auto"/>
      </w:divBdr>
    </w:div>
    <w:div w:id="1126892997">
      <w:bodyDiv w:val="1"/>
      <w:marLeft w:val="0"/>
      <w:marRight w:val="0"/>
      <w:marTop w:val="0"/>
      <w:marBottom w:val="0"/>
      <w:divBdr>
        <w:top w:val="none" w:sz="0" w:space="0" w:color="auto"/>
        <w:left w:val="none" w:sz="0" w:space="0" w:color="auto"/>
        <w:bottom w:val="none" w:sz="0" w:space="0" w:color="auto"/>
        <w:right w:val="none" w:sz="0" w:space="0" w:color="auto"/>
      </w:divBdr>
    </w:div>
    <w:div w:id="1129395399">
      <w:bodyDiv w:val="1"/>
      <w:marLeft w:val="0"/>
      <w:marRight w:val="0"/>
      <w:marTop w:val="0"/>
      <w:marBottom w:val="0"/>
      <w:divBdr>
        <w:top w:val="none" w:sz="0" w:space="0" w:color="auto"/>
        <w:left w:val="none" w:sz="0" w:space="0" w:color="auto"/>
        <w:bottom w:val="none" w:sz="0" w:space="0" w:color="auto"/>
        <w:right w:val="none" w:sz="0" w:space="0" w:color="auto"/>
      </w:divBdr>
    </w:div>
    <w:div w:id="1156337307">
      <w:bodyDiv w:val="1"/>
      <w:marLeft w:val="0"/>
      <w:marRight w:val="0"/>
      <w:marTop w:val="0"/>
      <w:marBottom w:val="0"/>
      <w:divBdr>
        <w:top w:val="none" w:sz="0" w:space="0" w:color="auto"/>
        <w:left w:val="none" w:sz="0" w:space="0" w:color="auto"/>
        <w:bottom w:val="none" w:sz="0" w:space="0" w:color="auto"/>
        <w:right w:val="none" w:sz="0" w:space="0" w:color="auto"/>
      </w:divBdr>
    </w:div>
    <w:div w:id="1228145319">
      <w:bodyDiv w:val="1"/>
      <w:marLeft w:val="0"/>
      <w:marRight w:val="0"/>
      <w:marTop w:val="0"/>
      <w:marBottom w:val="0"/>
      <w:divBdr>
        <w:top w:val="none" w:sz="0" w:space="0" w:color="auto"/>
        <w:left w:val="none" w:sz="0" w:space="0" w:color="auto"/>
        <w:bottom w:val="none" w:sz="0" w:space="0" w:color="auto"/>
        <w:right w:val="none" w:sz="0" w:space="0" w:color="auto"/>
      </w:divBdr>
    </w:div>
    <w:div w:id="1287276350">
      <w:bodyDiv w:val="1"/>
      <w:marLeft w:val="0"/>
      <w:marRight w:val="0"/>
      <w:marTop w:val="0"/>
      <w:marBottom w:val="0"/>
      <w:divBdr>
        <w:top w:val="none" w:sz="0" w:space="0" w:color="auto"/>
        <w:left w:val="none" w:sz="0" w:space="0" w:color="auto"/>
        <w:bottom w:val="none" w:sz="0" w:space="0" w:color="auto"/>
        <w:right w:val="none" w:sz="0" w:space="0" w:color="auto"/>
      </w:divBdr>
    </w:div>
    <w:div w:id="1288388856">
      <w:bodyDiv w:val="1"/>
      <w:marLeft w:val="0"/>
      <w:marRight w:val="0"/>
      <w:marTop w:val="0"/>
      <w:marBottom w:val="0"/>
      <w:divBdr>
        <w:top w:val="none" w:sz="0" w:space="0" w:color="auto"/>
        <w:left w:val="none" w:sz="0" w:space="0" w:color="auto"/>
        <w:bottom w:val="none" w:sz="0" w:space="0" w:color="auto"/>
        <w:right w:val="none" w:sz="0" w:space="0" w:color="auto"/>
      </w:divBdr>
    </w:div>
    <w:div w:id="1318191764">
      <w:bodyDiv w:val="1"/>
      <w:marLeft w:val="0"/>
      <w:marRight w:val="0"/>
      <w:marTop w:val="0"/>
      <w:marBottom w:val="0"/>
      <w:divBdr>
        <w:top w:val="none" w:sz="0" w:space="0" w:color="auto"/>
        <w:left w:val="none" w:sz="0" w:space="0" w:color="auto"/>
        <w:bottom w:val="none" w:sz="0" w:space="0" w:color="auto"/>
        <w:right w:val="none" w:sz="0" w:space="0" w:color="auto"/>
      </w:divBdr>
    </w:div>
    <w:div w:id="1394163210">
      <w:bodyDiv w:val="1"/>
      <w:marLeft w:val="0"/>
      <w:marRight w:val="0"/>
      <w:marTop w:val="0"/>
      <w:marBottom w:val="0"/>
      <w:divBdr>
        <w:top w:val="none" w:sz="0" w:space="0" w:color="auto"/>
        <w:left w:val="none" w:sz="0" w:space="0" w:color="auto"/>
        <w:bottom w:val="none" w:sz="0" w:space="0" w:color="auto"/>
        <w:right w:val="none" w:sz="0" w:space="0" w:color="auto"/>
      </w:divBdr>
    </w:div>
    <w:div w:id="1417903898">
      <w:bodyDiv w:val="1"/>
      <w:marLeft w:val="0"/>
      <w:marRight w:val="0"/>
      <w:marTop w:val="0"/>
      <w:marBottom w:val="0"/>
      <w:divBdr>
        <w:top w:val="none" w:sz="0" w:space="0" w:color="auto"/>
        <w:left w:val="none" w:sz="0" w:space="0" w:color="auto"/>
        <w:bottom w:val="none" w:sz="0" w:space="0" w:color="auto"/>
        <w:right w:val="none" w:sz="0" w:space="0" w:color="auto"/>
      </w:divBdr>
    </w:div>
    <w:div w:id="1450775992">
      <w:bodyDiv w:val="1"/>
      <w:marLeft w:val="0"/>
      <w:marRight w:val="0"/>
      <w:marTop w:val="0"/>
      <w:marBottom w:val="0"/>
      <w:divBdr>
        <w:top w:val="none" w:sz="0" w:space="0" w:color="auto"/>
        <w:left w:val="none" w:sz="0" w:space="0" w:color="auto"/>
        <w:bottom w:val="none" w:sz="0" w:space="0" w:color="auto"/>
        <w:right w:val="none" w:sz="0" w:space="0" w:color="auto"/>
      </w:divBdr>
    </w:div>
    <w:div w:id="1474521589">
      <w:bodyDiv w:val="1"/>
      <w:marLeft w:val="0"/>
      <w:marRight w:val="0"/>
      <w:marTop w:val="0"/>
      <w:marBottom w:val="0"/>
      <w:divBdr>
        <w:top w:val="none" w:sz="0" w:space="0" w:color="auto"/>
        <w:left w:val="none" w:sz="0" w:space="0" w:color="auto"/>
        <w:bottom w:val="none" w:sz="0" w:space="0" w:color="auto"/>
        <w:right w:val="none" w:sz="0" w:space="0" w:color="auto"/>
      </w:divBdr>
    </w:div>
    <w:div w:id="1500196879">
      <w:bodyDiv w:val="1"/>
      <w:marLeft w:val="0"/>
      <w:marRight w:val="0"/>
      <w:marTop w:val="0"/>
      <w:marBottom w:val="0"/>
      <w:divBdr>
        <w:top w:val="none" w:sz="0" w:space="0" w:color="auto"/>
        <w:left w:val="none" w:sz="0" w:space="0" w:color="auto"/>
        <w:bottom w:val="none" w:sz="0" w:space="0" w:color="auto"/>
        <w:right w:val="none" w:sz="0" w:space="0" w:color="auto"/>
      </w:divBdr>
    </w:div>
    <w:div w:id="1569226456">
      <w:bodyDiv w:val="1"/>
      <w:marLeft w:val="0"/>
      <w:marRight w:val="0"/>
      <w:marTop w:val="0"/>
      <w:marBottom w:val="0"/>
      <w:divBdr>
        <w:top w:val="none" w:sz="0" w:space="0" w:color="auto"/>
        <w:left w:val="none" w:sz="0" w:space="0" w:color="auto"/>
        <w:bottom w:val="none" w:sz="0" w:space="0" w:color="auto"/>
        <w:right w:val="none" w:sz="0" w:space="0" w:color="auto"/>
      </w:divBdr>
    </w:div>
    <w:div w:id="1614945569">
      <w:bodyDiv w:val="1"/>
      <w:marLeft w:val="0"/>
      <w:marRight w:val="0"/>
      <w:marTop w:val="0"/>
      <w:marBottom w:val="0"/>
      <w:divBdr>
        <w:top w:val="none" w:sz="0" w:space="0" w:color="auto"/>
        <w:left w:val="none" w:sz="0" w:space="0" w:color="auto"/>
        <w:bottom w:val="none" w:sz="0" w:space="0" w:color="auto"/>
        <w:right w:val="none" w:sz="0" w:space="0" w:color="auto"/>
      </w:divBdr>
    </w:div>
    <w:div w:id="1638023686">
      <w:bodyDiv w:val="1"/>
      <w:marLeft w:val="0"/>
      <w:marRight w:val="0"/>
      <w:marTop w:val="0"/>
      <w:marBottom w:val="0"/>
      <w:divBdr>
        <w:top w:val="none" w:sz="0" w:space="0" w:color="auto"/>
        <w:left w:val="none" w:sz="0" w:space="0" w:color="auto"/>
        <w:bottom w:val="none" w:sz="0" w:space="0" w:color="auto"/>
        <w:right w:val="none" w:sz="0" w:space="0" w:color="auto"/>
      </w:divBdr>
    </w:div>
    <w:div w:id="1660497559">
      <w:bodyDiv w:val="1"/>
      <w:marLeft w:val="0"/>
      <w:marRight w:val="0"/>
      <w:marTop w:val="0"/>
      <w:marBottom w:val="0"/>
      <w:divBdr>
        <w:top w:val="none" w:sz="0" w:space="0" w:color="auto"/>
        <w:left w:val="none" w:sz="0" w:space="0" w:color="auto"/>
        <w:bottom w:val="none" w:sz="0" w:space="0" w:color="auto"/>
        <w:right w:val="none" w:sz="0" w:space="0" w:color="auto"/>
      </w:divBdr>
    </w:div>
    <w:div w:id="1660814679">
      <w:bodyDiv w:val="1"/>
      <w:marLeft w:val="0"/>
      <w:marRight w:val="0"/>
      <w:marTop w:val="0"/>
      <w:marBottom w:val="0"/>
      <w:divBdr>
        <w:top w:val="none" w:sz="0" w:space="0" w:color="auto"/>
        <w:left w:val="none" w:sz="0" w:space="0" w:color="auto"/>
        <w:bottom w:val="none" w:sz="0" w:space="0" w:color="auto"/>
        <w:right w:val="none" w:sz="0" w:space="0" w:color="auto"/>
      </w:divBdr>
    </w:div>
    <w:div w:id="1669216219">
      <w:bodyDiv w:val="1"/>
      <w:marLeft w:val="0"/>
      <w:marRight w:val="0"/>
      <w:marTop w:val="0"/>
      <w:marBottom w:val="0"/>
      <w:divBdr>
        <w:top w:val="none" w:sz="0" w:space="0" w:color="auto"/>
        <w:left w:val="none" w:sz="0" w:space="0" w:color="auto"/>
        <w:bottom w:val="none" w:sz="0" w:space="0" w:color="auto"/>
        <w:right w:val="none" w:sz="0" w:space="0" w:color="auto"/>
      </w:divBdr>
    </w:div>
    <w:div w:id="1672757176">
      <w:bodyDiv w:val="1"/>
      <w:marLeft w:val="0"/>
      <w:marRight w:val="0"/>
      <w:marTop w:val="0"/>
      <w:marBottom w:val="0"/>
      <w:divBdr>
        <w:top w:val="none" w:sz="0" w:space="0" w:color="auto"/>
        <w:left w:val="none" w:sz="0" w:space="0" w:color="auto"/>
        <w:bottom w:val="none" w:sz="0" w:space="0" w:color="auto"/>
        <w:right w:val="none" w:sz="0" w:space="0" w:color="auto"/>
      </w:divBdr>
    </w:div>
    <w:div w:id="1675500195">
      <w:bodyDiv w:val="1"/>
      <w:marLeft w:val="0"/>
      <w:marRight w:val="0"/>
      <w:marTop w:val="0"/>
      <w:marBottom w:val="0"/>
      <w:divBdr>
        <w:top w:val="none" w:sz="0" w:space="0" w:color="auto"/>
        <w:left w:val="none" w:sz="0" w:space="0" w:color="auto"/>
        <w:bottom w:val="none" w:sz="0" w:space="0" w:color="auto"/>
        <w:right w:val="none" w:sz="0" w:space="0" w:color="auto"/>
      </w:divBdr>
    </w:div>
    <w:div w:id="1688209580">
      <w:bodyDiv w:val="1"/>
      <w:marLeft w:val="0"/>
      <w:marRight w:val="0"/>
      <w:marTop w:val="0"/>
      <w:marBottom w:val="0"/>
      <w:divBdr>
        <w:top w:val="none" w:sz="0" w:space="0" w:color="auto"/>
        <w:left w:val="none" w:sz="0" w:space="0" w:color="auto"/>
        <w:bottom w:val="none" w:sz="0" w:space="0" w:color="auto"/>
        <w:right w:val="none" w:sz="0" w:space="0" w:color="auto"/>
      </w:divBdr>
    </w:div>
    <w:div w:id="1706326875">
      <w:bodyDiv w:val="1"/>
      <w:marLeft w:val="0"/>
      <w:marRight w:val="0"/>
      <w:marTop w:val="0"/>
      <w:marBottom w:val="0"/>
      <w:divBdr>
        <w:top w:val="none" w:sz="0" w:space="0" w:color="auto"/>
        <w:left w:val="none" w:sz="0" w:space="0" w:color="auto"/>
        <w:bottom w:val="none" w:sz="0" w:space="0" w:color="auto"/>
        <w:right w:val="none" w:sz="0" w:space="0" w:color="auto"/>
      </w:divBdr>
    </w:div>
    <w:div w:id="1709911429">
      <w:bodyDiv w:val="1"/>
      <w:marLeft w:val="0"/>
      <w:marRight w:val="0"/>
      <w:marTop w:val="0"/>
      <w:marBottom w:val="0"/>
      <w:divBdr>
        <w:top w:val="none" w:sz="0" w:space="0" w:color="auto"/>
        <w:left w:val="none" w:sz="0" w:space="0" w:color="auto"/>
        <w:bottom w:val="none" w:sz="0" w:space="0" w:color="auto"/>
        <w:right w:val="none" w:sz="0" w:space="0" w:color="auto"/>
      </w:divBdr>
    </w:div>
    <w:div w:id="1714383707">
      <w:bodyDiv w:val="1"/>
      <w:marLeft w:val="0"/>
      <w:marRight w:val="0"/>
      <w:marTop w:val="0"/>
      <w:marBottom w:val="0"/>
      <w:divBdr>
        <w:top w:val="none" w:sz="0" w:space="0" w:color="auto"/>
        <w:left w:val="none" w:sz="0" w:space="0" w:color="auto"/>
        <w:bottom w:val="none" w:sz="0" w:space="0" w:color="auto"/>
        <w:right w:val="none" w:sz="0" w:space="0" w:color="auto"/>
      </w:divBdr>
    </w:div>
    <w:div w:id="1723677598">
      <w:bodyDiv w:val="1"/>
      <w:marLeft w:val="0"/>
      <w:marRight w:val="0"/>
      <w:marTop w:val="0"/>
      <w:marBottom w:val="0"/>
      <w:divBdr>
        <w:top w:val="none" w:sz="0" w:space="0" w:color="auto"/>
        <w:left w:val="none" w:sz="0" w:space="0" w:color="auto"/>
        <w:bottom w:val="none" w:sz="0" w:space="0" w:color="auto"/>
        <w:right w:val="none" w:sz="0" w:space="0" w:color="auto"/>
      </w:divBdr>
    </w:div>
    <w:div w:id="1762096944">
      <w:bodyDiv w:val="1"/>
      <w:marLeft w:val="0"/>
      <w:marRight w:val="0"/>
      <w:marTop w:val="0"/>
      <w:marBottom w:val="0"/>
      <w:divBdr>
        <w:top w:val="none" w:sz="0" w:space="0" w:color="auto"/>
        <w:left w:val="none" w:sz="0" w:space="0" w:color="auto"/>
        <w:bottom w:val="none" w:sz="0" w:space="0" w:color="auto"/>
        <w:right w:val="none" w:sz="0" w:space="0" w:color="auto"/>
      </w:divBdr>
    </w:div>
    <w:div w:id="1765687436">
      <w:bodyDiv w:val="1"/>
      <w:marLeft w:val="0"/>
      <w:marRight w:val="0"/>
      <w:marTop w:val="0"/>
      <w:marBottom w:val="0"/>
      <w:divBdr>
        <w:top w:val="none" w:sz="0" w:space="0" w:color="auto"/>
        <w:left w:val="none" w:sz="0" w:space="0" w:color="auto"/>
        <w:bottom w:val="none" w:sz="0" w:space="0" w:color="auto"/>
        <w:right w:val="none" w:sz="0" w:space="0" w:color="auto"/>
      </w:divBdr>
    </w:div>
    <w:div w:id="1775784287">
      <w:bodyDiv w:val="1"/>
      <w:marLeft w:val="0"/>
      <w:marRight w:val="0"/>
      <w:marTop w:val="0"/>
      <w:marBottom w:val="0"/>
      <w:divBdr>
        <w:top w:val="none" w:sz="0" w:space="0" w:color="auto"/>
        <w:left w:val="none" w:sz="0" w:space="0" w:color="auto"/>
        <w:bottom w:val="none" w:sz="0" w:space="0" w:color="auto"/>
        <w:right w:val="none" w:sz="0" w:space="0" w:color="auto"/>
      </w:divBdr>
    </w:div>
    <w:div w:id="1785075376">
      <w:bodyDiv w:val="1"/>
      <w:marLeft w:val="0"/>
      <w:marRight w:val="0"/>
      <w:marTop w:val="0"/>
      <w:marBottom w:val="0"/>
      <w:divBdr>
        <w:top w:val="none" w:sz="0" w:space="0" w:color="auto"/>
        <w:left w:val="none" w:sz="0" w:space="0" w:color="auto"/>
        <w:bottom w:val="none" w:sz="0" w:space="0" w:color="auto"/>
        <w:right w:val="none" w:sz="0" w:space="0" w:color="auto"/>
      </w:divBdr>
    </w:div>
    <w:div w:id="1798600179">
      <w:bodyDiv w:val="1"/>
      <w:marLeft w:val="0"/>
      <w:marRight w:val="0"/>
      <w:marTop w:val="0"/>
      <w:marBottom w:val="0"/>
      <w:divBdr>
        <w:top w:val="none" w:sz="0" w:space="0" w:color="auto"/>
        <w:left w:val="none" w:sz="0" w:space="0" w:color="auto"/>
        <w:bottom w:val="none" w:sz="0" w:space="0" w:color="auto"/>
        <w:right w:val="none" w:sz="0" w:space="0" w:color="auto"/>
      </w:divBdr>
    </w:div>
    <w:div w:id="1839616128">
      <w:bodyDiv w:val="1"/>
      <w:marLeft w:val="0"/>
      <w:marRight w:val="0"/>
      <w:marTop w:val="0"/>
      <w:marBottom w:val="0"/>
      <w:divBdr>
        <w:top w:val="none" w:sz="0" w:space="0" w:color="auto"/>
        <w:left w:val="none" w:sz="0" w:space="0" w:color="auto"/>
        <w:bottom w:val="none" w:sz="0" w:space="0" w:color="auto"/>
        <w:right w:val="none" w:sz="0" w:space="0" w:color="auto"/>
      </w:divBdr>
    </w:div>
    <w:div w:id="1840806679">
      <w:bodyDiv w:val="1"/>
      <w:marLeft w:val="0"/>
      <w:marRight w:val="0"/>
      <w:marTop w:val="0"/>
      <w:marBottom w:val="0"/>
      <w:divBdr>
        <w:top w:val="none" w:sz="0" w:space="0" w:color="auto"/>
        <w:left w:val="none" w:sz="0" w:space="0" w:color="auto"/>
        <w:bottom w:val="none" w:sz="0" w:space="0" w:color="auto"/>
        <w:right w:val="none" w:sz="0" w:space="0" w:color="auto"/>
      </w:divBdr>
    </w:div>
    <w:div w:id="1842045491">
      <w:bodyDiv w:val="1"/>
      <w:marLeft w:val="0"/>
      <w:marRight w:val="0"/>
      <w:marTop w:val="0"/>
      <w:marBottom w:val="0"/>
      <w:divBdr>
        <w:top w:val="none" w:sz="0" w:space="0" w:color="auto"/>
        <w:left w:val="none" w:sz="0" w:space="0" w:color="auto"/>
        <w:bottom w:val="none" w:sz="0" w:space="0" w:color="auto"/>
        <w:right w:val="none" w:sz="0" w:space="0" w:color="auto"/>
      </w:divBdr>
    </w:div>
    <w:div w:id="1861240334">
      <w:bodyDiv w:val="1"/>
      <w:marLeft w:val="0"/>
      <w:marRight w:val="0"/>
      <w:marTop w:val="0"/>
      <w:marBottom w:val="0"/>
      <w:divBdr>
        <w:top w:val="none" w:sz="0" w:space="0" w:color="auto"/>
        <w:left w:val="none" w:sz="0" w:space="0" w:color="auto"/>
        <w:bottom w:val="none" w:sz="0" w:space="0" w:color="auto"/>
        <w:right w:val="none" w:sz="0" w:space="0" w:color="auto"/>
      </w:divBdr>
    </w:div>
    <w:div w:id="1883394417">
      <w:bodyDiv w:val="1"/>
      <w:marLeft w:val="0"/>
      <w:marRight w:val="0"/>
      <w:marTop w:val="0"/>
      <w:marBottom w:val="0"/>
      <w:divBdr>
        <w:top w:val="none" w:sz="0" w:space="0" w:color="auto"/>
        <w:left w:val="none" w:sz="0" w:space="0" w:color="auto"/>
        <w:bottom w:val="none" w:sz="0" w:space="0" w:color="auto"/>
        <w:right w:val="none" w:sz="0" w:space="0" w:color="auto"/>
      </w:divBdr>
    </w:div>
    <w:div w:id="1894197801">
      <w:bodyDiv w:val="1"/>
      <w:marLeft w:val="0"/>
      <w:marRight w:val="0"/>
      <w:marTop w:val="0"/>
      <w:marBottom w:val="0"/>
      <w:divBdr>
        <w:top w:val="none" w:sz="0" w:space="0" w:color="auto"/>
        <w:left w:val="none" w:sz="0" w:space="0" w:color="auto"/>
        <w:bottom w:val="none" w:sz="0" w:space="0" w:color="auto"/>
        <w:right w:val="none" w:sz="0" w:space="0" w:color="auto"/>
      </w:divBdr>
    </w:div>
    <w:div w:id="1908613594">
      <w:bodyDiv w:val="1"/>
      <w:marLeft w:val="0"/>
      <w:marRight w:val="0"/>
      <w:marTop w:val="0"/>
      <w:marBottom w:val="0"/>
      <w:divBdr>
        <w:top w:val="none" w:sz="0" w:space="0" w:color="auto"/>
        <w:left w:val="none" w:sz="0" w:space="0" w:color="auto"/>
        <w:bottom w:val="none" w:sz="0" w:space="0" w:color="auto"/>
        <w:right w:val="none" w:sz="0" w:space="0" w:color="auto"/>
      </w:divBdr>
    </w:div>
    <w:div w:id="1916931386">
      <w:bodyDiv w:val="1"/>
      <w:marLeft w:val="0"/>
      <w:marRight w:val="0"/>
      <w:marTop w:val="0"/>
      <w:marBottom w:val="0"/>
      <w:divBdr>
        <w:top w:val="none" w:sz="0" w:space="0" w:color="auto"/>
        <w:left w:val="none" w:sz="0" w:space="0" w:color="auto"/>
        <w:bottom w:val="none" w:sz="0" w:space="0" w:color="auto"/>
        <w:right w:val="none" w:sz="0" w:space="0" w:color="auto"/>
      </w:divBdr>
    </w:div>
    <w:div w:id="1937863252">
      <w:bodyDiv w:val="1"/>
      <w:marLeft w:val="0"/>
      <w:marRight w:val="0"/>
      <w:marTop w:val="0"/>
      <w:marBottom w:val="0"/>
      <w:divBdr>
        <w:top w:val="none" w:sz="0" w:space="0" w:color="auto"/>
        <w:left w:val="none" w:sz="0" w:space="0" w:color="auto"/>
        <w:bottom w:val="none" w:sz="0" w:space="0" w:color="auto"/>
        <w:right w:val="none" w:sz="0" w:space="0" w:color="auto"/>
      </w:divBdr>
    </w:div>
    <w:div w:id="2024090852">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
    <w:div w:id="2045592944">
      <w:bodyDiv w:val="1"/>
      <w:marLeft w:val="0"/>
      <w:marRight w:val="0"/>
      <w:marTop w:val="0"/>
      <w:marBottom w:val="0"/>
      <w:divBdr>
        <w:top w:val="none" w:sz="0" w:space="0" w:color="auto"/>
        <w:left w:val="none" w:sz="0" w:space="0" w:color="auto"/>
        <w:bottom w:val="none" w:sz="0" w:space="0" w:color="auto"/>
        <w:right w:val="none" w:sz="0" w:space="0" w:color="auto"/>
      </w:divBdr>
    </w:div>
    <w:div w:id="2065176386">
      <w:bodyDiv w:val="1"/>
      <w:marLeft w:val="0"/>
      <w:marRight w:val="0"/>
      <w:marTop w:val="0"/>
      <w:marBottom w:val="0"/>
      <w:divBdr>
        <w:top w:val="none" w:sz="0" w:space="0" w:color="auto"/>
        <w:left w:val="none" w:sz="0" w:space="0" w:color="auto"/>
        <w:bottom w:val="none" w:sz="0" w:space="0" w:color="auto"/>
        <w:right w:val="none" w:sz="0" w:space="0" w:color="auto"/>
      </w:divBdr>
    </w:div>
    <w:div w:id="2086297183">
      <w:bodyDiv w:val="1"/>
      <w:marLeft w:val="0"/>
      <w:marRight w:val="0"/>
      <w:marTop w:val="0"/>
      <w:marBottom w:val="0"/>
      <w:divBdr>
        <w:top w:val="none" w:sz="0" w:space="0" w:color="auto"/>
        <w:left w:val="none" w:sz="0" w:space="0" w:color="auto"/>
        <w:bottom w:val="none" w:sz="0" w:space="0" w:color="auto"/>
        <w:right w:val="none" w:sz="0" w:space="0" w:color="auto"/>
      </w:divBdr>
    </w:div>
    <w:div w:id="2090495717">
      <w:bodyDiv w:val="1"/>
      <w:marLeft w:val="0"/>
      <w:marRight w:val="0"/>
      <w:marTop w:val="0"/>
      <w:marBottom w:val="0"/>
      <w:divBdr>
        <w:top w:val="none" w:sz="0" w:space="0" w:color="auto"/>
        <w:left w:val="none" w:sz="0" w:space="0" w:color="auto"/>
        <w:bottom w:val="none" w:sz="0" w:space="0" w:color="auto"/>
        <w:right w:val="none" w:sz="0" w:space="0" w:color="auto"/>
      </w:divBdr>
    </w:div>
    <w:div w:id="2107459495">
      <w:bodyDiv w:val="1"/>
      <w:marLeft w:val="0"/>
      <w:marRight w:val="0"/>
      <w:marTop w:val="0"/>
      <w:marBottom w:val="0"/>
      <w:divBdr>
        <w:top w:val="none" w:sz="0" w:space="0" w:color="auto"/>
        <w:left w:val="none" w:sz="0" w:space="0" w:color="auto"/>
        <w:bottom w:val="none" w:sz="0" w:space="0" w:color="auto"/>
        <w:right w:val="none" w:sz="0" w:space="0" w:color="auto"/>
      </w:divBdr>
    </w:div>
    <w:div w:id="2110422544">
      <w:bodyDiv w:val="1"/>
      <w:marLeft w:val="0"/>
      <w:marRight w:val="0"/>
      <w:marTop w:val="0"/>
      <w:marBottom w:val="0"/>
      <w:divBdr>
        <w:top w:val="none" w:sz="0" w:space="0" w:color="auto"/>
        <w:left w:val="none" w:sz="0" w:space="0" w:color="auto"/>
        <w:bottom w:val="none" w:sz="0" w:space="0" w:color="auto"/>
        <w:right w:val="none" w:sz="0" w:space="0" w:color="auto"/>
      </w:divBdr>
    </w:div>
    <w:div w:id="212456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PNG"/><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8.xml"/><Relationship Id="rId42"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7.PNG"/><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9.PNG"/><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6.PNG"/><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ec.europa.eu/newsroom/budget/redirection/item/810218/en" TargetMode="Externa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footer" Target="footer7.xml"/><Relationship Id="rId43" Type="http://schemas.openxmlformats.org/officeDocument/2006/relationships/header" Target="header12.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ystem/files/2023-12/Factsheet_The%20EU%20Issuance%20Service_12.12.pdf" TargetMode="External"/><Relationship Id="rId3" Type="http://schemas.openxmlformats.org/officeDocument/2006/relationships/hyperlink" Target="https://op.europa.eu/en/publication-detail/-/publication/a07eed09-94b8-11ee-b164-01aa75ed71a1/language-en?WT_mc_id=Searchresult&amp;amp%3BWT_ria_c=55576&amp;amp%3BWT_ria_f=7664&amp;amp%3BWT_ria_ev=search&amp;amp%3BWT_URL=https%3A//commission.europa.eu/" TargetMode="External"/><Relationship Id="rId7" Type="http://schemas.openxmlformats.org/officeDocument/2006/relationships/hyperlink" Target="https://commission.europa.eu/document/1bcb556f-8942-488d-b54f-d4c6bc129aa4_en" TargetMode="External"/><Relationship Id="rId2" Type="http://schemas.openxmlformats.org/officeDocument/2006/relationships/hyperlink" Target="https://eur-lex.europa.eu/legal-content/EN/TXT/PDF/?uri=CELEX:52023DC0409" TargetMode="External"/><Relationship Id="rId1" Type="http://schemas.openxmlformats.org/officeDocument/2006/relationships/hyperlink" Target="https://commission.europa.eu/system/files/2023-09/COM_2023_545_1_EN_0.pdf" TargetMode="External"/><Relationship Id="rId6" Type="http://schemas.openxmlformats.org/officeDocument/2006/relationships/hyperlink" Target="https://commission.europa.eu/system/files/2023-07/Fourth%20half-yearly%20report%20on%20the%20execution%20of%20the%20EU%20borrowing%20and%20lending%20operations.PDF" TargetMode="External"/><Relationship Id="rId5" Type="http://schemas.openxmlformats.org/officeDocument/2006/relationships/hyperlink" Target="https://www.eca.europa.eu/Lists/ECAReplies/COM-Replies-SR-2023-16/COM-Replies-SR-2023-16_EN.pdf" TargetMode="External"/><Relationship Id="rId10" Type="http://schemas.openxmlformats.org/officeDocument/2006/relationships/hyperlink" Target="https://commission.europa.eu/strategy-and-policy/eu-budget/eu-borrower-investor-relations/nextgenerationeu-green-bonds/dashboard_en" TargetMode="External"/><Relationship Id="rId4" Type="http://schemas.openxmlformats.org/officeDocument/2006/relationships/hyperlink" Target="https://www.eca.europa.eu/ECAPublications/SR-2023-16/SR-2023-16_EN.pdf" TargetMode="External"/><Relationship Id="rId9" Type="http://schemas.openxmlformats.org/officeDocument/2006/relationships/hyperlink" Target="https://op.europa.eu/en/publication-detail/-/publication/a07eed09-94b8-11ee-b164-01aa75ed71a1/language-en?WT_mc_id=Searchresult&amp;amp%3BWT_ria_c=55576&amp;amp%3BWT_ria_f=7664&amp;amp%3BWT_ria_ev=search&amp;amp%3BWT_URL=https%3A//commission.europa.eu/" TargetMode="External"/></Relationships>
</file>

<file path=word/theme/theme1.xml><?xml version="1.0" encoding="utf-8"?>
<a:theme xmlns:a="http://schemas.openxmlformats.org/drawingml/2006/main" name="Office Theme">
  <a:themeElements>
    <a:clrScheme name="Semi Annual">
      <a:dk1>
        <a:sysClr val="windowText" lastClr="000000"/>
      </a:dk1>
      <a:lt1>
        <a:sysClr val="window" lastClr="FFFFFF"/>
      </a:lt1>
      <a:dk2>
        <a:srgbClr val="44546A"/>
      </a:dk2>
      <a:lt2>
        <a:srgbClr val="E7E6E6"/>
      </a:lt2>
      <a:accent1>
        <a:srgbClr val="034EA2"/>
      </a:accent1>
      <a:accent2>
        <a:srgbClr val="70AD47"/>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84981D676F7469FB7985B8196FE05" ma:contentTypeVersion="4" ma:contentTypeDescription="Create a new document." ma:contentTypeScope="" ma:versionID="e3e2704358ec97a188a6c64ed94a5e3f">
  <xsd:schema xmlns:xsd="http://www.w3.org/2001/XMLSchema" xmlns:xs="http://www.w3.org/2001/XMLSchema" xmlns:p="http://schemas.microsoft.com/office/2006/metadata/properties" xmlns:ns2="e0fb9e4e-9a17-43c4-891a-079bfb0a02bd" targetNamespace="http://schemas.microsoft.com/office/2006/metadata/properties" ma:root="true" ma:fieldsID="14edf4f1999f4e865d47b0c06e7b7c69" ns2:_="">
    <xsd:import namespace="e0fb9e4e-9a17-43c4-891a-079bfb0a0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b9e4e-9a17-43c4-891a-079bfb0a0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84AA-26DF-44BD-B729-4DCED448F13E}">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e0fb9e4e-9a17-43c4-891a-079bfb0a02bd"/>
    <ds:schemaRef ds:uri="http://www.w3.org/XML/1998/namespace"/>
  </ds:schemaRefs>
</ds:datastoreItem>
</file>

<file path=customXml/itemProps2.xml><?xml version="1.0" encoding="utf-8"?>
<ds:datastoreItem xmlns:ds="http://schemas.openxmlformats.org/officeDocument/2006/customXml" ds:itemID="{E16A924C-8B03-4B88-9B7F-E4A7132EA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b9e4e-9a17-43c4-891a-079bfb0a0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A94C4-E85F-4C7D-86AE-AE48CDBB8582}">
  <ds:schemaRefs>
    <ds:schemaRef ds:uri="http://schemas.microsoft.com/sharepoint/v3/contenttype/forms"/>
  </ds:schemaRefs>
</ds:datastoreItem>
</file>

<file path=customXml/itemProps4.xml><?xml version="1.0" encoding="utf-8"?>
<ds:datastoreItem xmlns:ds="http://schemas.openxmlformats.org/officeDocument/2006/customXml" ds:itemID="{AC13BBCE-F5B1-4325-9AE3-689C7EED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4594</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30725</CharactersWithSpaces>
  <SharedDoc>false</SharedDoc>
  <HLinks>
    <vt:vector size="108" baseType="variant">
      <vt:variant>
        <vt:i4>8257584</vt:i4>
      </vt:variant>
      <vt:variant>
        <vt:i4>45</vt:i4>
      </vt:variant>
      <vt:variant>
        <vt:i4>0</vt:i4>
      </vt:variant>
      <vt:variant>
        <vt:i4>5</vt:i4>
      </vt:variant>
      <vt:variant>
        <vt:lpwstr>https://ec.europa.eu/newsroom/budget/redirection/item/810218/en</vt:lpwstr>
      </vt:variant>
      <vt:variant>
        <vt:lpwstr/>
      </vt:variant>
      <vt:variant>
        <vt:i4>1114169</vt:i4>
      </vt:variant>
      <vt:variant>
        <vt:i4>38</vt:i4>
      </vt:variant>
      <vt:variant>
        <vt:i4>0</vt:i4>
      </vt:variant>
      <vt:variant>
        <vt:i4>5</vt:i4>
      </vt:variant>
      <vt:variant>
        <vt:lpwstr/>
      </vt:variant>
      <vt:variant>
        <vt:lpwstr>_Toc158284859</vt:lpwstr>
      </vt:variant>
      <vt:variant>
        <vt:i4>1114169</vt:i4>
      </vt:variant>
      <vt:variant>
        <vt:i4>32</vt:i4>
      </vt:variant>
      <vt:variant>
        <vt:i4>0</vt:i4>
      </vt:variant>
      <vt:variant>
        <vt:i4>5</vt:i4>
      </vt:variant>
      <vt:variant>
        <vt:lpwstr/>
      </vt:variant>
      <vt:variant>
        <vt:lpwstr>_Toc158284858</vt:lpwstr>
      </vt:variant>
      <vt:variant>
        <vt:i4>1114169</vt:i4>
      </vt:variant>
      <vt:variant>
        <vt:i4>26</vt:i4>
      </vt:variant>
      <vt:variant>
        <vt:i4>0</vt:i4>
      </vt:variant>
      <vt:variant>
        <vt:i4>5</vt:i4>
      </vt:variant>
      <vt:variant>
        <vt:lpwstr/>
      </vt:variant>
      <vt:variant>
        <vt:lpwstr>_Toc158284857</vt:lpwstr>
      </vt:variant>
      <vt:variant>
        <vt:i4>1114169</vt:i4>
      </vt:variant>
      <vt:variant>
        <vt:i4>20</vt:i4>
      </vt:variant>
      <vt:variant>
        <vt:i4>0</vt:i4>
      </vt:variant>
      <vt:variant>
        <vt:i4>5</vt:i4>
      </vt:variant>
      <vt:variant>
        <vt:lpwstr/>
      </vt:variant>
      <vt:variant>
        <vt:lpwstr>_Toc158284856</vt:lpwstr>
      </vt:variant>
      <vt:variant>
        <vt:i4>1114169</vt:i4>
      </vt:variant>
      <vt:variant>
        <vt:i4>14</vt:i4>
      </vt:variant>
      <vt:variant>
        <vt:i4>0</vt:i4>
      </vt:variant>
      <vt:variant>
        <vt:i4>5</vt:i4>
      </vt:variant>
      <vt:variant>
        <vt:lpwstr/>
      </vt:variant>
      <vt:variant>
        <vt:lpwstr>_Toc158284855</vt:lpwstr>
      </vt:variant>
      <vt:variant>
        <vt:i4>1114169</vt:i4>
      </vt:variant>
      <vt:variant>
        <vt:i4>8</vt:i4>
      </vt:variant>
      <vt:variant>
        <vt:i4>0</vt:i4>
      </vt:variant>
      <vt:variant>
        <vt:i4>5</vt:i4>
      </vt:variant>
      <vt:variant>
        <vt:lpwstr/>
      </vt:variant>
      <vt:variant>
        <vt:lpwstr>_Toc158284854</vt:lpwstr>
      </vt:variant>
      <vt:variant>
        <vt:i4>1114169</vt:i4>
      </vt:variant>
      <vt:variant>
        <vt:i4>2</vt:i4>
      </vt:variant>
      <vt:variant>
        <vt:i4>0</vt:i4>
      </vt:variant>
      <vt:variant>
        <vt:i4>5</vt:i4>
      </vt:variant>
      <vt:variant>
        <vt:lpwstr/>
      </vt:variant>
      <vt:variant>
        <vt:lpwstr>_Toc158284853</vt:lpwstr>
      </vt:variant>
      <vt:variant>
        <vt:i4>2097171</vt:i4>
      </vt:variant>
      <vt:variant>
        <vt:i4>27</vt:i4>
      </vt:variant>
      <vt:variant>
        <vt:i4>0</vt:i4>
      </vt:variant>
      <vt:variant>
        <vt:i4>5</vt:i4>
      </vt:variant>
      <vt:variant>
        <vt:lpwstr>https://commission.europa.eu/strategy-and-policy/eu-budget/eu-borrower-investor-relations/nextgenerationeu-green-bonds/dashboard_en</vt:lpwstr>
      </vt:variant>
      <vt:variant>
        <vt:lpwstr/>
      </vt:variant>
      <vt:variant>
        <vt:i4>3211346</vt:i4>
      </vt:variant>
      <vt:variant>
        <vt:i4>24</vt:i4>
      </vt:variant>
      <vt:variant>
        <vt:i4>0</vt:i4>
      </vt:variant>
      <vt:variant>
        <vt:i4>5</vt:i4>
      </vt:variant>
      <vt:variant>
        <vt:lpwstr>https://op.europa.eu/en/publication-detail/-/publication/a07eed09-94b8-11ee-b164-01aa75ed71a1/language-en?WT_mc_id=Searchresult&amp;amp%3BWT_ria_c=55576&amp;amp%3BWT_ria_f=7664&amp;amp%3BWT_ria_ev=search&amp;amp%3BWT_URL=https%3A//commission.europa.eu/</vt:lpwstr>
      </vt:variant>
      <vt:variant>
        <vt:lpwstr/>
      </vt:variant>
      <vt:variant>
        <vt:i4>720972</vt:i4>
      </vt:variant>
      <vt:variant>
        <vt:i4>21</vt:i4>
      </vt:variant>
      <vt:variant>
        <vt:i4>0</vt:i4>
      </vt:variant>
      <vt:variant>
        <vt:i4>5</vt:i4>
      </vt:variant>
      <vt:variant>
        <vt:lpwstr>https://commission.europa.eu/system/files/2023-12/Factsheet_The EU Issuance Service_12.12.pdf</vt:lpwstr>
      </vt:variant>
      <vt:variant>
        <vt:lpwstr/>
      </vt:variant>
      <vt:variant>
        <vt:i4>4587641</vt:i4>
      </vt:variant>
      <vt:variant>
        <vt:i4>18</vt:i4>
      </vt:variant>
      <vt:variant>
        <vt:i4>0</vt:i4>
      </vt:variant>
      <vt:variant>
        <vt:i4>5</vt:i4>
      </vt:variant>
      <vt:variant>
        <vt:lpwstr>https://commission.europa.eu/document/1bcb556f-8942-488d-b54f-d4c6bc129aa4_en</vt:lpwstr>
      </vt:variant>
      <vt:variant>
        <vt:lpwstr/>
      </vt:variant>
      <vt:variant>
        <vt:i4>7143527</vt:i4>
      </vt:variant>
      <vt:variant>
        <vt:i4>15</vt:i4>
      </vt:variant>
      <vt:variant>
        <vt:i4>0</vt:i4>
      </vt:variant>
      <vt:variant>
        <vt:i4>5</vt:i4>
      </vt:variant>
      <vt:variant>
        <vt:lpwstr>https://commission.europa.eu/system/files/2023-07/Fourth half-yearly report on the execution of the EU borrowing and lending operations.PDF</vt:lpwstr>
      </vt:variant>
      <vt:variant>
        <vt:lpwstr/>
      </vt:variant>
      <vt:variant>
        <vt:i4>7143426</vt:i4>
      </vt:variant>
      <vt:variant>
        <vt:i4>12</vt:i4>
      </vt:variant>
      <vt:variant>
        <vt:i4>0</vt:i4>
      </vt:variant>
      <vt:variant>
        <vt:i4>5</vt:i4>
      </vt:variant>
      <vt:variant>
        <vt:lpwstr>https://www.eca.europa.eu/Lists/ECAReplies/COM-Replies-SR-2023-16/COM-Replies-SR-2023-16_EN.pdf</vt:lpwstr>
      </vt:variant>
      <vt:variant>
        <vt:lpwstr/>
      </vt:variant>
      <vt:variant>
        <vt:i4>4653163</vt:i4>
      </vt:variant>
      <vt:variant>
        <vt:i4>9</vt:i4>
      </vt:variant>
      <vt:variant>
        <vt:i4>0</vt:i4>
      </vt:variant>
      <vt:variant>
        <vt:i4>5</vt:i4>
      </vt:variant>
      <vt:variant>
        <vt:lpwstr>https://www.eca.europa.eu/ECAPublications/SR-2023-16/SR-2023-16_EN.pdf</vt:lpwstr>
      </vt:variant>
      <vt:variant>
        <vt:lpwstr/>
      </vt:variant>
      <vt:variant>
        <vt:i4>3211346</vt:i4>
      </vt:variant>
      <vt:variant>
        <vt:i4>6</vt:i4>
      </vt:variant>
      <vt:variant>
        <vt:i4>0</vt:i4>
      </vt:variant>
      <vt:variant>
        <vt:i4>5</vt:i4>
      </vt:variant>
      <vt:variant>
        <vt:lpwstr>https://op.europa.eu/en/publication-detail/-/publication/a07eed09-94b8-11ee-b164-01aa75ed71a1/language-en?WT_mc_id=Searchresult&amp;amp%3BWT_ria_c=55576&amp;amp%3BWT_ria_f=7664&amp;amp%3BWT_ria_ev=search&amp;amp%3BWT_URL=https%3A//commission.europa.eu/</vt:lpwstr>
      </vt:variant>
      <vt:variant>
        <vt:lpwstr/>
      </vt:variant>
      <vt:variant>
        <vt:i4>1441880</vt:i4>
      </vt:variant>
      <vt:variant>
        <vt:i4>3</vt:i4>
      </vt:variant>
      <vt:variant>
        <vt:i4>0</vt:i4>
      </vt:variant>
      <vt:variant>
        <vt:i4>5</vt:i4>
      </vt:variant>
      <vt:variant>
        <vt:lpwstr>https://eur-lex.europa.eu/legal-content/EN/TXT/PDF/?uri=CELEX:52023DC0409</vt:lpwstr>
      </vt:variant>
      <vt:variant>
        <vt:lpwstr/>
      </vt:variant>
      <vt:variant>
        <vt:i4>6029410</vt:i4>
      </vt:variant>
      <vt:variant>
        <vt:i4>0</vt:i4>
      </vt:variant>
      <vt:variant>
        <vt:i4>0</vt:i4>
      </vt:variant>
      <vt:variant>
        <vt:i4>5</vt:i4>
      </vt:variant>
      <vt:variant>
        <vt:lpwstr>https://commission.europa.eu/system/files/2023-09/COM_2023_545_1_EN_0.pdf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2024-01-23T18:41:00Z</cp:lastPrinted>
  <dcterms:created xsi:type="dcterms:W3CDTF">2024-02-15T01:29:00Z</dcterms:created>
  <dcterms:modified xsi:type="dcterms:W3CDTF">2024-02-22T16:07:00Z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2023-01-06T16:26:08Z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4805f13c-dee7-466f-8124-a3d55c6ed3fb</vt:lpwstr>
  </property>
  <property fmtid="{D5CDD505-2E9C-101B-9397-08002B2CF9AE}" pid="15" name="MSIP_Label_6bd9ddd1-4d20-43f6-abfa-fc3c07406f94_ContentBits">
    <vt:lpwstr>0</vt:lpwstr>
  </property>
  <property fmtid="{D5CDD505-2E9C-101B-9397-08002B2CF9AE}" pid="16" name="ContentTypeId">
    <vt:lpwstr>0x01010093484981D676F7469FB7985B8196FE05</vt:lpwstr>
  </property>
  <property fmtid="{D5CDD505-2E9C-101B-9397-08002B2CF9AE}" pid="17" name="_dlc_DocIdItemGuid">
    <vt:lpwstr>db1e2f6f-95af-4d44-836c-7358ec0b13c1</vt:lpwstr>
  </property>
</Properties>
</file>