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128AE" w14:textId="67133C9E" w:rsidR="00227DA3" w:rsidRDefault="007D3465" w:rsidP="007D3465">
      <w:pPr>
        <w:pStyle w:val="Pagedecouverture"/>
        <w:rPr>
          <w:noProof/>
        </w:rPr>
      </w:pPr>
      <w:bookmarkStart w:id="0" w:name="LW_BM_COVERPAGE"/>
      <w:r>
        <w:rPr>
          <w:noProof/>
        </w:rPr>
        <w:pict w14:anchorId="71E0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8449CC1-C2EC-4752-813E-BB0D6433897D" style="width:455.25pt;height:336.75pt">
            <v:imagedata r:id="rId11" o:title=""/>
          </v:shape>
        </w:pict>
      </w:r>
    </w:p>
    <w:bookmarkEnd w:id="0"/>
    <w:p w14:paraId="6F55E444" w14:textId="77777777" w:rsidR="00227DA3" w:rsidRDefault="00227DA3" w:rsidP="00227DA3">
      <w:pPr>
        <w:rPr>
          <w:noProof/>
        </w:rPr>
        <w:sectPr w:rsidR="00227DA3" w:rsidSect="007D346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9553C7A" w14:textId="77777777" w:rsidR="005D42B6" w:rsidRPr="005D42B6" w:rsidRDefault="005D42B6" w:rsidP="005D42B6">
      <w:pPr>
        <w:keepNext/>
        <w:numPr>
          <w:ilvl w:val="0"/>
          <w:numId w:val="35"/>
        </w:numPr>
        <w:tabs>
          <w:tab w:val="num" w:pos="1485"/>
        </w:tabs>
        <w:spacing w:before="240" w:after="240" w:line="240" w:lineRule="auto"/>
        <w:ind w:left="1485" w:hanging="283"/>
        <w:jc w:val="both"/>
        <w:outlineLvl w:val="0"/>
        <w:rPr>
          <w:rFonts w:ascii="Times New Roman" w:eastAsia="Times New Roman" w:hAnsi="Times New Roman" w:cs="Times New Roman"/>
          <w:b/>
          <w:smallCaps/>
          <w:noProof/>
          <w:sz w:val="24"/>
          <w:szCs w:val="20"/>
          <w:lang w:val="en-GB" w:eastAsia="en-IE"/>
        </w:rPr>
      </w:pPr>
      <w:bookmarkStart w:id="1" w:name="_GoBack"/>
      <w:bookmarkEnd w:id="1"/>
      <w:r w:rsidRPr="005D42B6">
        <w:rPr>
          <w:rFonts w:ascii="Times New Roman" w:eastAsia="Times New Roman" w:hAnsi="Times New Roman" w:cs="Times New Roman"/>
          <w:b/>
          <w:smallCaps/>
          <w:noProof/>
          <w:sz w:val="24"/>
          <w:szCs w:val="20"/>
          <w:lang w:val="en-GB" w:eastAsia="en-IE"/>
        </w:rPr>
        <w:lastRenderedPageBreak/>
        <w:t>Introduction</w:t>
      </w:r>
    </w:p>
    <w:p w14:paraId="79B0E77F" w14:textId="592F5BAA" w:rsidR="009E0BE4" w:rsidRPr="00473B56" w:rsidRDefault="00D94E33" w:rsidP="007D1226">
      <w:pPr>
        <w:spacing w:after="120" w:line="240" w:lineRule="auto"/>
        <w:jc w:val="both"/>
        <w:rPr>
          <w:rFonts w:ascii="Times New Roman" w:eastAsia="Times New Roman" w:hAnsi="Times New Roman" w:cs="Times New Roman"/>
          <w:noProof/>
          <w:color w:val="000000"/>
          <w:sz w:val="24"/>
          <w:szCs w:val="24"/>
          <w:lang w:val="en-GB" w:eastAsia="en-IE"/>
        </w:rPr>
      </w:pPr>
      <w:r w:rsidRPr="00D12C7E">
        <w:rPr>
          <w:rFonts w:ascii="Times New Roman" w:eastAsia="Times New Roman" w:hAnsi="Times New Roman" w:cs="Times New Roman"/>
          <w:noProof/>
          <w:color w:val="000000"/>
          <w:sz w:val="24"/>
          <w:szCs w:val="24"/>
          <w:lang w:val="en-IE" w:eastAsia="en-IE"/>
        </w:rPr>
        <w:t xml:space="preserve">Article 17a of Regulation (EU) 2017/1938, </w:t>
      </w:r>
      <w:r w:rsidR="00102E33">
        <w:rPr>
          <w:rFonts w:ascii="Times New Roman" w:eastAsia="Times New Roman" w:hAnsi="Times New Roman" w:cs="Times New Roman"/>
          <w:noProof/>
          <w:color w:val="000000"/>
          <w:sz w:val="24"/>
          <w:szCs w:val="24"/>
          <w:lang w:val="en-IE" w:eastAsia="en-IE"/>
        </w:rPr>
        <w:t xml:space="preserve">as </w:t>
      </w:r>
      <w:r w:rsidRPr="00D12C7E">
        <w:rPr>
          <w:rFonts w:ascii="Times New Roman" w:eastAsia="Times New Roman" w:hAnsi="Times New Roman" w:cs="Times New Roman"/>
          <w:noProof/>
          <w:color w:val="000000"/>
          <w:sz w:val="24"/>
          <w:szCs w:val="24"/>
          <w:lang w:val="en-IE" w:eastAsia="en-IE"/>
        </w:rPr>
        <w:t xml:space="preserve">inserted by </w:t>
      </w:r>
      <w:r w:rsidRPr="00D12C7E">
        <w:rPr>
          <w:rFonts w:ascii="Times New Roman" w:eastAsia="Times New Roman" w:hAnsi="Times New Roman" w:cs="Times New Roman"/>
          <w:noProof/>
          <w:color w:val="000000"/>
          <w:sz w:val="24"/>
          <w:szCs w:val="24"/>
          <w:lang w:val="en-GB" w:eastAsia="en-IE"/>
        </w:rPr>
        <w:t xml:space="preserve">Article 1(5) of the </w:t>
      </w:r>
      <w:r>
        <w:rPr>
          <w:rFonts w:ascii="Times New Roman" w:eastAsia="Times New Roman" w:hAnsi="Times New Roman" w:cs="Times New Roman"/>
          <w:noProof/>
          <w:color w:val="000000"/>
          <w:sz w:val="24"/>
          <w:szCs w:val="24"/>
          <w:lang w:val="en-GB" w:eastAsia="en-IE"/>
        </w:rPr>
        <w:t xml:space="preserve">Regulation </w:t>
      </w:r>
      <w:r w:rsidRPr="00AE1743">
        <w:rPr>
          <w:rFonts w:ascii="Times New Roman" w:eastAsia="Times New Roman" w:hAnsi="Times New Roman" w:cs="Times New Roman"/>
          <w:noProof/>
          <w:color w:val="000000"/>
          <w:sz w:val="24"/>
          <w:szCs w:val="24"/>
          <w:lang w:val="en-GB" w:eastAsia="en-IE"/>
        </w:rPr>
        <w:t>(EU) 2022/1032, hereafter the “</w:t>
      </w:r>
      <w:r w:rsidRPr="00AE1743">
        <w:rPr>
          <w:rFonts w:ascii="Times New Roman" w:eastAsia="Times New Roman" w:hAnsi="Times New Roman" w:cs="Times New Roman"/>
          <w:b/>
          <w:bCs/>
          <w:noProof/>
          <w:color w:val="000000"/>
          <w:sz w:val="24"/>
          <w:szCs w:val="24"/>
          <w:lang w:val="en-GB" w:eastAsia="en-IE"/>
        </w:rPr>
        <w:t>Gas Storage Regulation</w:t>
      </w:r>
      <w:r w:rsidRPr="00AE1743">
        <w:rPr>
          <w:rFonts w:ascii="Times New Roman" w:eastAsia="Times New Roman" w:hAnsi="Times New Roman" w:cs="Times New Roman"/>
          <w:noProof/>
          <w:color w:val="000000"/>
          <w:sz w:val="24"/>
          <w:szCs w:val="24"/>
          <w:lang w:val="en-GB" w:eastAsia="en-IE"/>
        </w:rPr>
        <w:t>”</w:t>
      </w:r>
      <w:r w:rsidRPr="00D12C7E">
        <w:rPr>
          <w:rFonts w:ascii="Times New Roman" w:eastAsia="Times New Roman" w:hAnsi="Times New Roman" w:cs="Times New Roman"/>
          <w:noProof/>
          <w:color w:val="000000"/>
          <w:sz w:val="24"/>
          <w:szCs w:val="24"/>
          <w:lang w:val="en-GB" w:eastAsia="en-IE"/>
        </w:rPr>
        <w:t xml:space="preserve">, states that the Commission has to submit annual reports to the European Parliament and the Council, so that each </w:t>
      </w:r>
      <w:r>
        <w:rPr>
          <w:rFonts w:ascii="Times New Roman" w:eastAsia="Times New Roman" w:hAnsi="Times New Roman" w:cs="Times New Roman"/>
          <w:noProof/>
          <w:color w:val="000000"/>
          <w:sz w:val="24"/>
          <w:szCs w:val="24"/>
          <w:lang w:val="en-GB" w:eastAsia="en-IE"/>
        </w:rPr>
        <w:t>r</w:t>
      </w:r>
      <w:r w:rsidRPr="00D12C7E">
        <w:rPr>
          <w:rFonts w:ascii="Times New Roman" w:eastAsia="Times New Roman" w:hAnsi="Times New Roman" w:cs="Times New Roman"/>
          <w:noProof/>
          <w:color w:val="000000"/>
          <w:sz w:val="24"/>
          <w:szCs w:val="24"/>
          <w:lang w:val="en-GB" w:eastAsia="en-IE"/>
        </w:rPr>
        <w:t xml:space="preserve">eport contributes to broadening the knowledge base on best practices for filling </w:t>
      </w:r>
      <w:r>
        <w:rPr>
          <w:rFonts w:ascii="Times New Roman" w:eastAsia="Times New Roman" w:hAnsi="Times New Roman" w:cs="Times New Roman"/>
          <w:noProof/>
          <w:color w:val="000000"/>
          <w:sz w:val="24"/>
          <w:szCs w:val="24"/>
          <w:lang w:val="en-GB" w:eastAsia="en-IE"/>
        </w:rPr>
        <w:t xml:space="preserve">gas </w:t>
      </w:r>
      <w:r w:rsidRPr="00D12C7E">
        <w:rPr>
          <w:rFonts w:ascii="Times New Roman" w:eastAsia="Times New Roman" w:hAnsi="Times New Roman" w:cs="Times New Roman"/>
          <w:noProof/>
          <w:color w:val="000000"/>
          <w:sz w:val="24"/>
          <w:szCs w:val="24"/>
          <w:lang w:val="en-GB" w:eastAsia="en-IE"/>
        </w:rPr>
        <w:t>storage sites</w:t>
      </w:r>
      <w:r>
        <w:rPr>
          <w:rFonts w:ascii="Times New Roman" w:eastAsia="Times New Roman" w:hAnsi="Times New Roman" w:cs="Times New Roman"/>
          <w:noProof/>
          <w:color w:val="000000"/>
          <w:sz w:val="24"/>
          <w:szCs w:val="24"/>
          <w:lang w:val="en-GB" w:eastAsia="en-IE"/>
        </w:rPr>
        <w:t xml:space="preserve"> in the Union</w:t>
      </w:r>
      <w:r w:rsidRPr="00D12C7E">
        <w:rPr>
          <w:rFonts w:ascii="Times New Roman" w:eastAsia="Times New Roman" w:hAnsi="Times New Roman" w:cs="Times New Roman"/>
          <w:noProof/>
          <w:color w:val="000000"/>
          <w:sz w:val="24"/>
          <w:szCs w:val="24"/>
          <w:lang w:val="en-GB" w:eastAsia="en-IE"/>
        </w:rPr>
        <w:t>.</w:t>
      </w:r>
    </w:p>
    <w:p w14:paraId="55FE1E1D" w14:textId="6125BBFC" w:rsidR="005D42B6" w:rsidRDefault="005D42B6" w:rsidP="007D1226">
      <w:pPr>
        <w:spacing w:after="120" w:line="240" w:lineRule="auto"/>
        <w:jc w:val="both"/>
        <w:rPr>
          <w:rFonts w:ascii="Times New Roman" w:eastAsia="Times New Roman" w:hAnsi="Times New Roman" w:cs="Times New Roman"/>
          <w:noProof/>
          <w:color w:val="000000"/>
          <w:sz w:val="24"/>
          <w:szCs w:val="24"/>
          <w:lang w:val="en-GB" w:eastAsia="en-IE"/>
        </w:rPr>
      </w:pPr>
      <w:r w:rsidRPr="007D3D69">
        <w:rPr>
          <w:rFonts w:ascii="Times New Roman" w:eastAsia="Times New Roman" w:hAnsi="Times New Roman" w:cs="Times New Roman"/>
          <w:noProof/>
          <w:color w:val="000000"/>
          <w:sz w:val="24"/>
          <w:szCs w:val="24"/>
          <w:lang w:val="en-GB" w:eastAsia="en-IE"/>
        </w:rPr>
        <w:t>Underground gas storages (UGS) are instrumental to the security of energy supply of the EU</w:t>
      </w:r>
      <w:r w:rsidR="00D160D3" w:rsidRPr="007D3D69">
        <w:rPr>
          <w:rFonts w:ascii="Times New Roman" w:eastAsia="Times New Roman" w:hAnsi="Times New Roman" w:cs="Times New Roman"/>
          <w:noProof/>
          <w:color w:val="000000"/>
          <w:sz w:val="24"/>
          <w:szCs w:val="24"/>
          <w:lang w:val="en-GB" w:eastAsia="en-IE"/>
        </w:rPr>
        <w:t>.</w:t>
      </w:r>
      <w:r w:rsidRPr="007D3D69">
        <w:rPr>
          <w:rFonts w:ascii="Times New Roman" w:eastAsia="Times New Roman" w:hAnsi="Times New Roman" w:cs="Times New Roman"/>
          <w:noProof/>
          <w:color w:val="000000"/>
          <w:sz w:val="24"/>
          <w:szCs w:val="24"/>
          <w:lang w:val="en-GB" w:eastAsia="en-IE"/>
        </w:rPr>
        <w:t xml:space="preserve"> </w:t>
      </w:r>
      <w:r w:rsidR="00D160D3" w:rsidRPr="007D3D69">
        <w:rPr>
          <w:rFonts w:ascii="Times New Roman" w:eastAsia="Times New Roman" w:hAnsi="Times New Roman" w:cs="Times New Roman"/>
          <w:noProof/>
          <w:color w:val="000000"/>
          <w:sz w:val="24"/>
          <w:szCs w:val="24"/>
          <w:lang w:val="en-GB" w:eastAsia="en-IE"/>
        </w:rPr>
        <w:t>T</w:t>
      </w:r>
      <w:r w:rsidRPr="007D3D69">
        <w:rPr>
          <w:rFonts w:ascii="Times New Roman" w:eastAsia="Times New Roman" w:hAnsi="Times New Roman" w:cs="Times New Roman"/>
          <w:noProof/>
          <w:color w:val="000000"/>
          <w:sz w:val="24"/>
          <w:szCs w:val="24"/>
          <w:lang w:val="en-GB" w:eastAsia="en-IE"/>
        </w:rPr>
        <w:t xml:space="preserve">hey provide essential seasonal flexibility to the </w:t>
      </w:r>
      <w:r w:rsidR="00F4259C">
        <w:rPr>
          <w:rFonts w:ascii="Times New Roman" w:eastAsia="Times New Roman" w:hAnsi="Times New Roman" w:cs="Times New Roman"/>
          <w:noProof/>
          <w:color w:val="000000"/>
          <w:sz w:val="24"/>
          <w:szCs w:val="24"/>
          <w:lang w:val="en-GB" w:eastAsia="en-IE"/>
        </w:rPr>
        <w:t xml:space="preserve">EU </w:t>
      </w:r>
      <w:r w:rsidRPr="007D3D69">
        <w:rPr>
          <w:rFonts w:ascii="Times New Roman" w:eastAsia="Times New Roman" w:hAnsi="Times New Roman" w:cs="Times New Roman"/>
          <w:noProof/>
          <w:color w:val="000000"/>
          <w:sz w:val="24"/>
          <w:szCs w:val="24"/>
          <w:lang w:val="en-GB" w:eastAsia="en-IE"/>
        </w:rPr>
        <w:t>gas system in winter. On cold periods, gas storages can be the main gas supply source. Gas storages also provide the electricity system with a dispatchable energy source for power generation. Typically, storages provide 25-30% of the gas consumed in the EU during winter. Furthermore, gas storages enable an efficient design of the EU gas system by reducing the need of high import flows during the winter months and prevent oversized import and transmission infrastructure. Gas imports are therefore rather stable over the year with surplus of imports injected during the summer period (April to October/November) while storage withdrawals complement gas imports during the winter period (October/November to March). Gas storages therefore contribute to price stability thanks to their long-term storage capabilities, and they contribute to absorbing supply shocks with their significant capacity (1100 TWh or 100 bcm).</w:t>
      </w:r>
      <w:r w:rsidR="00A749D4">
        <w:rPr>
          <w:rFonts w:ascii="Times New Roman" w:eastAsia="Times New Roman" w:hAnsi="Times New Roman" w:cs="Times New Roman"/>
          <w:noProof/>
          <w:color w:val="000000"/>
          <w:sz w:val="24"/>
          <w:szCs w:val="24"/>
          <w:lang w:val="en-GB" w:eastAsia="en-IE"/>
        </w:rPr>
        <w:t xml:space="preserve"> </w:t>
      </w:r>
    </w:p>
    <w:p w14:paraId="1E240BA8" w14:textId="315E4723" w:rsidR="009E0BE4" w:rsidRDefault="009E0BE4" w:rsidP="007D1226">
      <w:pPr>
        <w:spacing w:after="120" w:line="240" w:lineRule="auto"/>
        <w:jc w:val="both"/>
        <w:rPr>
          <w:rFonts w:ascii="Times New Roman" w:eastAsia="Times New Roman" w:hAnsi="Times New Roman" w:cs="Times New Roman"/>
          <w:noProof/>
          <w:color w:val="000000"/>
          <w:sz w:val="24"/>
          <w:szCs w:val="24"/>
          <w:lang w:val="en-GB" w:eastAsia="en-IE"/>
        </w:rPr>
      </w:pPr>
      <w:r>
        <w:rPr>
          <w:rFonts w:ascii="Times New Roman" w:eastAsia="Times New Roman" w:hAnsi="Times New Roman" w:cs="Times New Roman"/>
          <w:noProof/>
          <w:color w:val="000000"/>
          <w:sz w:val="24"/>
          <w:szCs w:val="24"/>
          <w:lang w:val="en-GB" w:eastAsia="en-IE"/>
        </w:rPr>
        <w:t>I</w:t>
      </w:r>
      <w:r w:rsidR="005D42B6" w:rsidRPr="005D42B6">
        <w:rPr>
          <w:rFonts w:ascii="Times New Roman" w:eastAsia="Times New Roman" w:hAnsi="Times New Roman" w:cs="Times New Roman"/>
          <w:noProof/>
          <w:color w:val="000000"/>
          <w:sz w:val="24"/>
          <w:szCs w:val="24"/>
          <w:lang w:val="en-GB" w:eastAsia="en-IE"/>
        </w:rPr>
        <w:t>n 2021, the EU experienced a prolonged period of volatile and high energy prices due to lower-than-usual storage filling levels, among other factors. The increased geopolitical tensions after Russia’s invasion of Ukraine in the beginning of 2022 amplified uncertainties and highlighted the need for well-filled gas storage for future winters.</w:t>
      </w:r>
      <w:r w:rsidR="007D3D69" w:rsidRPr="007D3D69" w:rsidDel="007D3D69">
        <w:rPr>
          <w:rFonts w:ascii="Times New Roman" w:eastAsia="Times New Roman" w:hAnsi="Times New Roman" w:cs="Times New Roman"/>
          <w:noProof/>
          <w:color w:val="000000"/>
          <w:sz w:val="24"/>
          <w:szCs w:val="24"/>
          <w:highlight w:val="yellow"/>
          <w:lang w:val="en-GB" w:eastAsia="en-IE"/>
        </w:rPr>
        <w:t xml:space="preserve"> </w:t>
      </w:r>
    </w:p>
    <w:p w14:paraId="5DF444C0" w14:textId="08DBDE3D" w:rsidR="009E0BE4" w:rsidRDefault="005D42B6" w:rsidP="007D1226">
      <w:pPr>
        <w:spacing w:after="120" w:line="240" w:lineRule="auto"/>
        <w:jc w:val="both"/>
        <w:rPr>
          <w:rFonts w:ascii="Times New Roman" w:eastAsia="Times New Roman" w:hAnsi="Times New Roman" w:cs="Times New Roman"/>
          <w:noProof/>
          <w:sz w:val="24"/>
          <w:szCs w:val="24"/>
          <w:lang w:val="en-GB" w:eastAsia="en-IE"/>
        </w:rPr>
      </w:pPr>
      <w:r w:rsidRPr="005D42B6">
        <w:rPr>
          <w:rFonts w:ascii="Times New Roman" w:eastAsia="Times New Roman" w:hAnsi="Times New Roman" w:cs="Times New Roman"/>
          <w:noProof/>
          <w:sz w:val="24"/>
          <w:szCs w:val="24"/>
          <w:lang w:val="en-GB" w:eastAsia="en-IE"/>
        </w:rPr>
        <w:t>The</w:t>
      </w:r>
      <w:r w:rsidR="00E55C79">
        <w:rPr>
          <w:rFonts w:ascii="Times New Roman" w:eastAsia="Times New Roman" w:hAnsi="Times New Roman" w:cs="Times New Roman"/>
          <w:noProof/>
          <w:sz w:val="24"/>
          <w:szCs w:val="24"/>
          <w:lang w:val="en-GB" w:eastAsia="en-IE"/>
        </w:rPr>
        <w:t xml:space="preserve"> amendments introduced by </w:t>
      </w:r>
      <w:r w:rsidRPr="005D42B6">
        <w:rPr>
          <w:rFonts w:ascii="Times New Roman" w:eastAsia="Times New Roman" w:hAnsi="Times New Roman" w:cs="Times New Roman"/>
          <w:noProof/>
          <w:sz w:val="24"/>
          <w:szCs w:val="24"/>
          <w:lang w:val="en-GB" w:eastAsia="en-IE"/>
        </w:rPr>
        <w:t xml:space="preserve">the </w:t>
      </w:r>
      <w:r w:rsidRPr="00F4259C">
        <w:rPr>
          <w:rFonts w:ascii="Times New Roman" w:eastAsia="Times New Roman" w:hAnsi="Times New Roman" w:cs="Times New Roman"/>
          <w:noProof/>
          <w:sz w:val="24"/>
          <w:szCs w:val="24"/>
          <w:lang w:val="en-GB" w:eastAsia="en-IE"/>
        </w:rPr>
        <w:t>Gas Storage Regulation</w:t>
      </w:r>
      <w:r w:rsidRPr="005D42B6">
        <w:rPr>
          <w:rFonts w:ascii="Times New Roman" w:eastAsia="Times New Roman" w:hAnsi="Times New Roman" w:cs="Times New Roman"/>
          <w:noProof/>
          <w:sz w:val="24"/>
          <w:szCs w:val="24"/>
          <w:lang w:val="en-GB" w:eastAsia="en-IE"/>
        </w:rPr>
        <w:t>, require all Member States with gas storage capacity to ensure their underground gas storage</w:t>
      </w:r>
      <w:r w:rsidR="009B7AB8">
        <w:rPr>
          <w:rFonts w:ascii="Times New Roman" w:eastAsia="Times New Roman" w:hAnsi="Times New Roman" w:cs="Times New Roman"/>
          <w:noProof/>
          <w:sz w:val="24"/>
          <w:szCs w:val="24"/>
          <w:lang w:val="en-GB" w:eastAsia="en-IE"/>
        </w:rPr>
        <w:t>s</w:t>
      </w:r>
      <w:r w:rsidRPr="005D42B6">
        <w:rPr>
          <w:rFonts w:ascii="Times New Roman" w:eastAsia="Times New Roman" w:hAnsi="Times New Roman" w:cs="Times New Roman"/>
          <w:noProof/>
          <w:sz w:val="24"/>
          <w:szCs w:val="24"/>
          <w:lang w:val="en-GB" w:eastAsia="en-IE"/>
        </w:rPr>
        <w:t xml:space="preserve"> </w:t>
      </w:r>
      <w:r w:rsidR="00A075FE">
        <w:rPr>
          <w:rFonts w:ascii="Times New Roman" w:eastAsia="Times New Roman" w:hAnsi="Times New Roman" w:cs="Times New Roman"/>
          <w:noProof/>
          <w:sz w:val="24"/>
          <w:szCs w:val="24"/>
          <w:lang w:val="en-GB" w:eastAsia="en-IE"/>
        </w:rPr>
        <w:t>are</w:t>
      </w:r>
      <w:r w:rsidRPr="005D42B6">
        <w:rPr>
          <w:rFonts w:ascii="Times New Roman" w:eastAsia="Times New Roman" w:hAnsi="Times New Roman" w:cs="Times New Roman"/>
          <w:noProof/>
          <w:sz w:val="24"/>
          <w:szCs w:val="24"/>
          <w:lang w:val="en-GB" w:eastAsia="en-IE"/>
        </w:rPr>
        <w:t xml:space="preserve"> filled up to 90% by 1 November of each year. Member States without gas storages are also required to contribute to the overall storage objectives by ensuring 15% of their annual consumption is stored in other Member States.</w:t>
      </w:r>
    </w:p>
    <w:p w14:paraId="19EFBE96" w14:textId="0091ECC4" w:rsidR="000D7182" w:rsidRDefault="005D42B6" w:rsidP="000D7182">
      <w:pPr>
        <w:spacing w:after="120" w:line="240" w:lineRule="auto"/>
        <w:jc w:val="both"/>
        <w:rPr>
          <w:rFonts w:ascii="Times New Roman" w:eastAsia="Times New Roman" w:hAnsi="Times New Roman" w:cs="Times New Roman"/>
          <w:noProof/>
          <w:sz w:val="24"/>
          <w:szCs w:val="24"/>
          <w:lang w:val="en-IE" w:eastAsia="en-IE"/>
        </w:rPr>
      </w:pPr>
      <w:r w:rsidRPr="005D42B6">
        <w:rPr>
          <w:rFonts w:ascii="Times New Roman" w:eastAsia="Times New Roman" w:hAnsi="Times New Roman" w:cs="Times New Roman"/>
          <w:noProof/>
          <w:sz w:val="24"/>
          <w:szCs w:val="24"/>
          <w:lang w:val="en-IE" w:eastAsia="en-IE"/>
        </w:rPr>
        <w:t xml:space="preserve">Gas storage facilities are critical infrastructure </w:t>
      </w:r>
      <w:r w:rsidR="00DE4593" w:rsidRPr="00DE4593">
        <w:rPr>
          <w:rFonts w:ascii="Times New Roman" w:eastAsia="Times New Roman" w:hAnsi="Times New Roman" w:cs="Times New Roman"/>
          <w:noProof/>
          <w:sz w:val="24"/>
          <w:szCs w:val="24"/>
          <w:lang w:val="en-IE" w:eastAsia="en-IE"/>
        </w:rPr>
        <w:t>in the meaning of Directive (EU) 2022/2557 on the resilience of critical entities and system storage operators falls within the scope of the directive.</w:t>
      </w:r>
      <w:r w:rsidR="00DE4593" w:rsidRPr="00DE4593">
        <w:rPr>
          <w:rFonts w:ascii="Times New Roman" w:eastAsia="Times New Roman" w:hAnsi="Times New Roman" w:cs="Times New Roman"/>
          <w:noProof/>
          <w:sz w:val="24"/>
          <w:szCs w:val="24"/>
          <w:vertAlign w:val="superscript"/>
          <w:lang w:val="en-IE" w:eastAsia="en-IE"/>
        </w:rPr>
        <w:footnoteReference w:id="2"/>
      </w:r>
      <w:r w:rsidR="0015105F">
        <w:rPr>
          <w:rFonts w:ascii="Times New Roman" w:eastAsia="Times New Roman" w:hAnsi="Times New Roman" w:cs="Times New Roman"/>
          <w:noProof/>
          <w:sz w:val="24"/>
          <w:szCs w:val="24"/>
          <w:lang w:val="en-IE" w:eastAsia="en-IE"/>
        </w:rPr>
        <w:t xml:space="preserve"> Apart from that, </w:t>
      </w:r>
      <w:r w:rsidRPr="005D42B6">
        <w:rPr>
          <w:rFonts w:ascii="Times New Roman" w:eastAsia="Times New Roman" w:hAnsi="Times New Roman" w:cs="Times New Roman"/>
          <w:noProof/>
          <w:sz w:val="24"/>
          <w:szCs w:val="24"/>
          <w:lang w:val="en-IE" w:eastAsia="en-IE"/>
        </w:rPr>
        <w:t xml:space="preserve">all Storage System Operators (SSOs) in the EU have to go through a certification process by the beginning of 2024 at the latest, to reduce the risks of </w:t>
      </w:r>
      <w:r w:rsidR="00727C0C">
        <w:rPr>
          <w:rFonts w:ascii="Times New Roman" w:eastAsia="Times New Roman" w:hAnsi="Times New Roman" w:cs="Times New Roman"/>
          <w:noProof/>
          <w:sz w:val="24"/>
          <w:szCs w:val="24"/>
          <w:lang w:val="en-IE" w:eastAsia="en-IE"/>
        </w:rPr>
        <w:t xml:space="preserve">negative </w:t>
      </w:r>
      <w:r w:rsidRPr="005D42B6">
        <w:rPr>
          <w:rFonts w:ascii="Times New Roman" w:eastAsia="Times New Roman" w:hAnsi="Times New Roman" w:cs="Times New Roman"/>
          <w:noProof/>
          <w:sz w:val="24"/>
          <w:szCs w:val="24"/>
          <w:lang w:val="en-IE" w:eastAsia="en-IE"/>
        </w:rPr>
        <w:t>external interference. The Commission services have already received certifications from several Member States and are issuing the related opinions. This report takes stock of the implementation of the Gas Storage Regulation in 2023</w:t>
      </w:r>
      <w:r w:rsidR="002301E1">
        <w:rPr>
          <w:rFonts w:ascii="Times New Roman" w:eastAsia="Times New Roman" w:hAnsi="Times New Roman" w:cs="Times New Roman"/>
          <w:noProof/>
          <w:sz w:val="24"/>
          <w:szCs w:val="24"/>
          <w:lang w:val="en-IE" w:eastAsia="en-IE"/>
        </w:rPr>
        <w:t xml:space="preserve"> an</w:t>
      </w:r>
      <w:r w:rsidR="005E29BF">
        <w:rPr>
          <w:rFonts w:ascii="Times New Roman" w:eastAsia="Times New Roman" w:hAnsi="Times New Roman" w:cs="Times New Roman"/>
          <w:noProof/>
          <w:sz w:val="24"/>
          <w:szCs w:val="24"/>
          <w:lang w:val="en-IE" w:eastAsia="en-IE"/>
        </w:rPr>
        <w:t>d beginning of 2024</w:t>
      </w:r>
      <w:r w:rsidR="00A749D4">
        <w:rPr>
          <w:rFonts w:ascii="Times New Roman" w:eastAsia="Times New Roman" w:hAnsi="Times New Roman" w:cs="Times New Roman"/>
          <w:noProof/>
          <w:sz w:val="24"/>
          <w:szCs w:val="24"/>
          <w:lang w:val="en-IE" w:eastAsia="en-IE"/>
        </w:rPr>
        <w:t xml:space="preserve"> </w:t>
      </w:r>
      <w:r w:rsidRPr="005D42B6">
        <w:rPr>
          <w:rFonts w:ascii="Times New Roman" w:eastAsia="Times New Roman" w:hAnsi="Times New Roman" w:cs="Times New Roman"/>
          <w:noProof/>
          <w:sz w:val="24"/>
          <w:szCs w:val="24"/>
          <w:lang w:val="en-IE" w:eastAsia="en-IE"/>
        </w:rPr>
        <w:t>based on information provided by Member States regarding gas storage measures and their certification procedures</w:t>
      </w:r>
      <w:r w:rsidR="00C41372">
        <w:rPr>
          <w:rFonts w:ascii="Times New Roman" w:eastAsia="Times New Roman" w:hAnsi="Times New Roman" w:cs="Times New Roman"/>
          <w:noProof/>
          <w:sz w:val="24"/>
          <w:szCs w:val="24"/>
          <w:lang w:val="en-IE" w:eastAsia="en-IE"/>
        </w:rPr>
        <w:t xml:space="preserve">, </w:t>
      </w:r>
      <w:r w:rsidRPr="005D42B6">
        <w:rPr>
          <w:rFonts w:ascii="Times New Roman" w:eastAsia="Times New Roman" w:hAnsi="Times New Roman" w:cs="Times New Roman"/>
          <w:noProof/>
          <w:sz w:val="24"/>
          <w:szCs w:val="24"/>
          <w:lang w:val="en-IE" w:eastAsia="en-IE"/>
        </w:rPr>
        <w:t xml:space="preserve">in accordance with </w:t>
      </w:r>
      <w:bookmarkStart w:id="2" w:name="_Hlk155875436"/>
      <w:r w:rsidRPr="005D42B6">
        <w:rPr>
          <w:rFonts w:ascii="Times New Roman" w:eastAsia="Times New Roman" w:hAnsi="Times New Roman" w:cs="Times New Roman"/>
          <w:noProof/>
          <w:sz w:val="24"/>
          <w:szCs w:val="24"/>
          <w:lang w:val="en-IE" w:eastAsia="en-IE"/>
        </w:rPr>
        <w:t>Article 17a of Regulation (EU) 2017/1938</w:t>
      </w:r>
      <w:bookmarkEnd w:id="2"/>
      <w:r w:rsidRPr="005D42B6">
        <w:rPr>
          <w:rFonts w:ascii="Times New Roman" w:eastAsia="Times New Roman" w:hAnsi="Times New Roman" w:cs="Times New Roman"/>
          <w:noProof/>
          <w:sz w:val="24"/>
          <w:szCs w:val="24"/>
          <w:lang w:val="en-IE" w:eastAsia="en-IE"/>
        </w:rPr>
        <w:t>.</w:t>
      </w:r>
    </w:p>
    <w:p w14:paraId="038AD820" w14:textId="784EAD60" w:rsidR="000D7182" w:rsidRDefault="000D7182" w:rsidP="000D7182">
      <w:pPr>
        <w:rPr>
          <w:rFonts w:ascii="Times New Roman" w:eastAsia="Times New Roman" w:hAnsi="Times New Roman" w:cs="Times New Roman"/>
          <w:noProof/>
          <w:sz w:val="24"/>
          <w:szCs w:val="24"/>
          <w:lang w:val="en-IE" w:eastAsia="en-IE"/>
        </w:rPr>
      </w:pPr>
      <w:r>
        <w:rPr>
          <w:rFonts w:ascii="Times New Roman" w:eastAsia="Times New Roman" w:hAnsi="Times New Roman" w:cs="Times New Roman"/>
          <w:noProof/>
          <w:sz w:val="24"/>
          <w:szCs w:val="24"/>
          <w:lang w:val="en-IE" w:eastAsia="en-IE"/>
        </w:rPr>
        <w:br w:type="page"/>
      </w:r>
    </w:p>
    <w:p w14:paraId="741DB5FA" w14:textId="233DEE68" w:rsidR="005D42B6" w:rsidRPr="000D7182" w:rsidRDefault="005D42B6" w:rsidP="000D7182">
      <w:pPr>
        <w:keepNext/>
        <w:numPr>
          <w:ilvl w:val="0"/>
          <w:numId w:val="35"/>
        </w:numPr>
        <w:tabs>
          <w:tab w:val="num" w:pos="1485"/>
        </w:tabs>
        <w:spacing w:before="240" w:after="240" w:line="240" w:lineRule="auto"/>
        <w:ind w:left="1485" w:hanging="283"/>
        <w:jc w:val="both"/>
        <w:outlineLvl w:val="0"/>
        <w:rPr>
          <w:rFonts w:ascii="Times New Roman" w:eastAsia="Times New Roman" w:hAnsi="Times New Roman" w:cs="Times New Roman"/>
          <w:b/>
          <w:smallCaps/>
          <w:noProof/>
          <w:sz w:val="24"/>
          <w:szCs w:val="20"/>
          <w:lang w:val="en-GB" w:eastAsia="en-IE"/>
        </w:rPr>
      </w:pPr>
      <w:r w:rsidRPr="000D7182">
        <w:rPr>
          <w:rFonts w:ascii="Times New Roman" w:eastAsia="Times New Roman" w:hAnsi="Times New Roman" w:cs="Times New Roman"/>
          <w:b/>
          <w:smallCaps/>
          <w:noProof/>
          <w:sz w:val="24"/>
          <w:szCs w:val="20"/>
          <w:lang w:val="en-GB" w:eastAsia="en-IE"/>
        </w:rPr>
        <w:t>Legal basis and context</w:t>
      </w:r>
      <w:r w:rsidR="00F45CB1" w:rsidRPr="000D7182">
        <w:rPr>
          <w:rFonts w:ascii="Times New Roman" w:eastAsia="Times New Roman" w:hAnsi="Times New Roman" w:cs="Times New Roman"/>
          <w:b/>
          <w:smallCaps/>
          <w:noProof/>
          <w:sz w:val="24"/>
          <w:szCs w:val="20"/>
          <w:lang w:val="en-GB" w:eastAsia="en-IE"/>
        </w:rPr>
        <w:t xml:space="preserve"> </w:t>
      </w:r>
    </w:p>
    <w:p w14:paraId="32DB3EC4" w14:textId="4734DB88" w:rsidR="005D42B6" w:rsidRPr="005D42B6" w:rsidRDefault="005D42B6" w:rsidP="005D42B6">
      <w:pPr>
        <w:spacing w:after="80" w:line="240" w:lineRule="auto"/>
        <w:jc w:val="both"/>
        <w:rPr>
          <w:rFonts w:ascii="Times New Roman" w:eastAsia="Times New Roman" w:hAnsi="Times New Roman" w:cs="Times New Roman"/>
          <w:noProof/>
          <w:color w:val="000000"/>
          <w:sz w:val="24"/>
          <w:szCs w:val="24"/>
          <w:lang w:val="en-GB" w:eastAsia="en-IE"/>
        </w:rPr>
      </w:pPr>
      <w:r w:rsidRPr="005D42B6">
        <w:rPr>
          <w:rFonts w:ascii="Times New Roman" w:eastAsia="Times New Roman" w:hAnsi="Times New Roman" w:cs="Times New Roman"/>
          <w:noProof/>
          <w:color w:val="000000"/>
          <w:sz w:val="24"/>
          <w:szCs w:val="24"/>
          <w:lang w:val="en-GB" w:eastAsia="en-IE"/>
        </w:rPr>
        <w:t xml:space="preserve">On 1 November 2023, gas storages in the EU were </w:t>
      </w:r>
      <w:bookmarkStart w:id="3" w:name="_Hlk152775078"/>
      <w:r w:rsidRPr="005D42B6">
        <w:rPr>
          <w:rFonts w:ascii="Times New Roman" w:eastAsia="Times New Roman" w:hAnsi="Times New Roman" w:cs="Times New Roman"/>
          <w:noProof/>
          <w:color w:val="000000"/>
          <w:sz w:val="24"/>
          <w:szCs w:val="24"/>
          <w:lang w:val="en-GB" w:eastAsia="en-IE"/>
        </w:rPr>
        <w:t xml:space="preserve">99.4% </w:t>
      </w:r>
      <w:bookmarkEnd w:id="3"/>
      <w:r w:rsidRPr="005D42B6">
        <w:rPr>
          <w:rFonts w:ascii="Times New Roman" w:eastAsia="Times New Roman" w:hAnsi="Times New Roman" w:cs="Times New Roman"/>
          <w:noProof/>
          <w:color w:val="000000"/>
          <w:sz w:val="24"/>
          <w:szCs w:val="24"/>
          <w:lang w:val="en-GB" w:eastAsia="en-IE"/>
        </w:rPr>
        <w:t>full, well above the 90% target. All Member States achieved their regulatory targets</w:t>
      </w:r>
      <w:r w:rsidRPr="005D42B6">
        <w:rPr>
          <w:rFonts w:ascii="Times New Roman" w:eastAsia="Times New Roman" w:hAnsi="Times New Roman" w:cs="Times New Roman"/>
          <w:noProof/>
          <w:color w:val="000000"/>
          <w:sz w:val="24"/>
          <w:szCs w:val="24"/>
          <w:vertAlign w:val="superscript"/>
          <w:lang w:val="en-GB" w:eastAsia="en-IE"/>
        </w:rPr>
        <w:footnoteReference w:id="3"/>
      </w:r>
      <w:r w:rsidRPr="005D42B6">
        <w:rPr>
          <w:rFonts w:ascii="Times New Roman" w:eastAsia="Times New Roman" w:hAnsi="Times New Roman" w:cs="Times New Roman"/>
          <w:noProof/>
          <w:color w:val="000000"/>
          <w:sz w:val="24"/>
          <w:szCs w:val="24"/>
          <w:lang w:val="en-GB" w:eastAsia="en-IE"/>
        </w:rPr>
        <w:t xml:space="preserve"> individually. </w:t>
      </w:r>
      <w:r w:rsidR="00333895">
        <w:rPr>
          <w:rFonts w:ascii="Times New Roman" w:eastAsia="Times New Roman" w:hAnsi="Times New Roman" w:cs="Times New Roman"/>
          <w:noProof/>
          <w:color w:val="000000"/>
          <w:sz w:val="24"/>
          <w:szCs w:val="24"/>
          <w:lang w:val="en-GB" w:eastAsia="en-IE"/>
        </w:rPr>
        <w:t xml:space="preserve">At the end of </w:t>
      </w:r>
      <w:r w:rsidR="000F4275">
        <w:rPr>
          <w:rFonts w:ascii="Times New Roman" w:eastAsia="Times New Roman" w:hAnsi="Times New Roman" w:cs="Times New Roman"/>
          <w:noProof/>
          <w:color w:val="000000"/>
          <w:sz w:val="24"/>
          <w:szCs w:val="24"/>
          <w:lang w:val="en-GB" w:eastAsia="en-IE"/>
        </w:rPr>
        <w:t>2023</w:t>
      </w:r>
      <w:r w:rsidR="00966F80">
        <w:rPr>
          <w:rFonts w:ascii="Times New Roman" w:eastAsia="Times New Roman" w:hAnsi="Times New Roman" w:cs="Times New Roman"/>
          <w:noProof/>
          <w:color w:val="000000"/>
          <w:sz w:val="24"/>
          <w:szCs w:val="24"/>
          <w:lang w:val="en-GB" w:eastAsia="en-IE"/>
        </w:rPr>
        <w:t>, i.e. o</w:t>
      </w:r>
      <w:r w:rsidRPr="005D42B6">
        <w:rPr>
          <w:rFonts w:ascii="Times New Roman" w:eastAsia="Times New Roman" w:hAnsi="Times New Roman" w:cs="Times New Roman"/>
          <w:noProof/>
          <w:color w:val="000000"/>
          <w:sz w:val="24"/>
          <w:szCs w:val="24"/>
          <w:lang w:val="en-GB" w:eastAsia="en-IE"/>
        </w:rPr>
        <w:t>n 15 December 2023, gas storages were still 89% full. The EU entered winter 2023/2024 well prepared,</w:t>
      </w:r>
      <w:r w:rsidRPr="005D42B6">
        <w:rPr>
          <w:rFonts w:ascii="Times New Roman" w:eastAsia="Times New Roman" w:hAnsi="Times New Roman" w:cs="Times New Roman"/>
          <w:noProof/>
          <w:sz w:val="24"/>
          <w:szCs w:val="24"/>
          <w:lang w:val="en-GB" w:eastAsia="en-IE"/>
        </w:rPr>
        <w:t xml:space="preserve"> considering that gas s</w:t>
      </w:r>
      <w:r w:rsidRPr="005D42B6">
        <w:rPr>
          <w:rFonts w:ascii="Times New Roman" w:eastAsia="Times New Roman" w:hAnsi="Times New Roman" w:cs="Times New Roman"/>
          <w:noProof/>
          <w:color w:val="000000"/>
          <w:sz w:val="24"/>
          <w:szCs w:val="24"/>
          <w:lang w:val="en-GB" w:eastAsia="en-IE"/>
        </w:rPr>
        <w:t>torages provide 25-30% of the EU gas demand during winter.</w:t>
      </w:r>
    </w:p>
    <w:p w14:paraId="2003C44A" w14:textId="3A63CCB7" w:rsidR="005D42B6" w:rsidRPr="00A623AB" w:rsidRDefault="00E55C79" w:rsidP="005D42B6">
      <w:pPr>
        <w:spacing w:after="80" w:line="240" w:lineRule="auto"/>
        <w:jc w:val="both"/>
        <w:rPr>
          <w:rFonts w:ascii="Times New Roman" w:eastAsia="Times New Roman" w:hAnsi="Times New Roman" w:cs="Times New Roman"/>
          <w:noProof/>
          <w:color w:val="000000"/>
          <w:sz w:val="24"/>
          <w:szCs w:val="24"/>
          <w:lang w:val="en-GB" w:eastAsia="en-IE"/>
        </w:rPr>
      </w:pPr>
      <w:bookmarkStart w:id="4" w:name="_Hlk157594548"/>
      <w:r w:rsidRPr="00A623AB">
        <w:rPr>
          <w:rFonts w:ascii="Times New Roman" w:eastAsia="Times New Roman" w:hAnsi="Times New Roman" w:cs="Times New Roman"/>
          <w:noProof/>
          <w:sz w:val="24"/>
          <w:szCs w:val="24"/>
          <w:lang w:val="en-IE" w:eastAsia="en-IE"/>
        </w:rPr>
        <w:t xml:space="preserve">Article 17a of Regulation (EU) 2017/1938, </w:t>
      </w:r>
      <w:r w:rsidR="009347EC" w:rsidRPr="00A623AB">
        <w:rPr>
          <w:rFonts w:ascii="Times New Roman" w:eastAsia="Times New Roman" w:hAnsi="Times New Roman" w:cs="Times New Roman"/>
          <w:noProof/>
          <w:sz w:val="24"/>
          <w:szCs w:val="24"/>
          <w:lang w:val="en-IE" w:eastAsia="en-IE"/>
        </w:rPr>
        <w:t>inserted</w:t>
      </w:r>
      <w:r w:rsidRPr="00A623AB">
        <w:rPr>
          <w:rFonts w:ascii="Times New Roman" w:eastAsia="Times New Roman" w:hAnsi="Times New Roman" w:cs="Times New Roman"/>
          <w:noProof/>
          <w:sz w:val="24"/>
          <w:szCs w:val="24"/>
          <w:lang w:val="en-IE" w:eastAsia="en-IE"/>
        </w:rPr>
        <w:t xml:space="preserve"> by </w:t>
      </w:r>
      <w:bookmarkStart w:id="5" w:name="_Hlk157592036"/>
      <w:r w:rsidR="005D42B6" w:rsidRPr="00A623AB">
        <w:rPr>
          <w:rFonts w:ascii="Times New Roman" w:eastAsia="Times New Roman" w:hAnsi="Times New Roman" w:cs="Times New Roman"/>
          <w:noProof/>
          <w:color w:val="000000"/>
          <w:sz w:val="24"/>
          <w:szCs w:val="24"/>
          <w:lang w:val="en-GB" w:eastAsia="en-IE"/>
        </w:rPr>
        <w:t>Article</w:t>
      </w:r>
      <w:r w:rsidR="009347EC" w:rsidRPr="00A623AB">
        <w:rPr>
          <w:rFonts w:ascii="Times New Roman" w:eastAsia="Times New Roman" w:hAnsi="Times New Roman" w:cs="Times New Roman"/>
          <w:noProof/>
          <w:color w:val="000000"/>
          <w:sz w:val="24"/>
          <w:szCs w:val="24"/>
          <w:lang w:val="en-GB" w:eastAsia="en-IE"/>
        </w:rPr>
        <w:t xml:space="preserve"> 1</w:t>
      </w:r>
      <w:r w:rsidR="005D42B6" w:rsidRPr="00A623AB">
        <w:rPr>
          <w:rFonts w:ascii="Times New Roman" w:eastAsia="Times New Roman" w:hAnsi="Times New Roman" w:cs="Times New Roman"/>
          <w:noProof/>
          <w:color w:val="000000"/>
          <w:sz w:val="24"/>
          <w:szCs w:val="24"/>
          <w:lang w:val="en-GB" w:eastAsia="en-IE"/>
        </w:rPr>
        <w:t>(5) of the Storage Regulation</w:t>
      </w:r>
      <w:bookmarkEnd w:id="5"/>
      <w:r w:rsidR="009347EC" w:rsidRPr="00A623AB">
        <w:rPr>
          <w:rFonts w:ascii="Times New Roman" w:eastAsia="Times New Roman" w:hAnsi="Times New Roman" w:cs="Times New Roman"/>
          <w:noProof/>
          <w:color w:val="000000"/>
          <w:sz w:val="24"/>
          <w:szCs w:val="24"/>
          <w:lang w:val="en-GB" w:eastAsia="en-IE"/>
        </w:rPr>
        <w:t>,</w:t>
      </w:r>
      <w:r w:rsidR="005D42B6" w:rsidRPr="00A623AB">
        <w:rPr>
          <w:rFonts w:ascii="Times New Roman" w:eastAsia="Times New Roman" w:hAnsi="Times New Roman" w:cs="Times New Roman"/>
          <w:noProof/>
          <w:color w:val="000000"/>
          <w:sz w:val="24"/>
          <w:szCs w:val="24"/>
          <w:lang w:val="en-GB" w:eastAsia="en-IE"/>
        </w:rPr>
        <w:t xml:space="preserve"> states that the Commission has to submit annual reports to the European Parliament and the Council. </w:t>
      </w:r>
      <w:bookmarkEnd w:id="4"/>
      <w:r w:rsidR="005D42B6" w:rsidRPr="00A623AB">
        <w:rPr>
          <w:rFonts w:ascii="Times New Roman" w:eastAsia="Times New Roman" w:hAnsi="Times New Roman" w:cs="Times New Roman"/>
          <w:noProof/>
          <w:color w:val="000000"/>
          <w:sz w:val="24"/>
          <w:szCs w:val="24"/>
          <w:lang w:val="en-GB" w:eastAsia="en-IE"/>
        </w:rPr>
        <w:t xml:space="preserve">These reports must include: </w:t>
      </w:r>
    </w:p>
    <w:p w14:paraId="4B8E119D" w14:textId="77777777" w:rsidR="005D42B6" w:rsidRPr="00A623AB" w:rsidRDefault="005D42B6" w:rsidP="001F044F">
      <w:pPr>
        <w:numPr>
          <w:ilvl w:val="0"/>
          <w:numId w:val="38"/>
        </w:numPr>
        <w:spacing w:after="80" w:line="240" w:lineRule="auto"/>
        <w:contextualSpacing/>
        <w:jc w:val="both"/>
        <w:rPr>
          <w:rFonts w:ascii="Times New Roman" w:eastAsia="Times New Roman" w:hAnsi="Times New Roman" w:cs="Times New Roman"/>
          <w:noProof/>
          <w:color w:val="000000"/>
          <w:sz w:val="24"/>
          <w:szCs w:val="24"/>
        </w:rPr>
      </w:pPr>
      <w:r w:rsidRPr="00A623AB">
        <w:rPr>
          <w:rFonts w:ascii="Times New Roman" w:eastAsia="Times New Roman" w:hAnsi="Times New Roman" w:cs="Times New Roman"/>
          <w:noProof/>
          <w:color w:val="000000"/>
          <w:sz w:val="24"/>
          <w:szCs w:val="24"/>
        </w:rPr>
        <w:t xml:space="preserve">an overview of the measures taken by Member States to fulfil the storage obligations; </w:t>
      </w:r>
    </w:p>
    <w:p w14:paraId="24469FDC" w14:textId="56EFED19" w:rsidR="005D42B6" w:rsidRPr="00A623AB" w:rsidRDefault="005D42B6" w:rsidP="001F044F">
      <w:pPr>
        <w:numPr>
          <w:ilvl w:val="0"/>
          <w:numId w:val="38"/>
        </w:numPr>
        <w:spacing w:after="80" w:line="240" w:lineRule="auto"/>
        <w:contextualSpacing/>
        <w:jc w:val="both"/>
        <w:rPr>
          <w:rFonts w:ascii="Times New Roman" w:eastAsia="Times New Roman" w:hAnsi="Times New Roman" w:cs="Times New Roman"/>
          <w:noProof/>
          <w:color w:val="000000"/>
          <w:sz w:val="24"/>
          <w:szCs w:val="24"/>
        </w:rPr>
      </w:pPr>
      <w:r w:rsidRPr="00A623AB">
        <w:rPr>
          <w:rFonts w:ascii="Times New Roman" w:eastAsia="Times New Roman" w:hAnsi="Times New Roman" w:cs="Times New Roman"/>
          <w:noProof/>
          <w:color w:val="000000"/>
          <w:sz w:val="24"/>
          <w:szCs w:val="24"/>
        </w:rPr>
        <w:t>an overview of the time needed for the certification procedure set out in Article 3a of Regulation (EC) No</w:t>
      </w:r>
      <w:r w:rsidR="0006069C">
        <w:rPr>
          <w:rFonts w:ascii="Times New Roman" w:eastAsia="Times New Roman" w:hAnsi="Times New Roman" w:cs="Times New Roman"/>
          <w:noProof/>
          <w:color w:val="000000"/>
          <w:sz w:val="24"/>
          <w:szCs w:val="24"/>
        </w:rPr>
        <w:t>.</w:t>
      </w:r>
      <w:r w:rsidRPr="00A623AB">
        <w:rPr>
          <w:rFonts w:ascii="Times New Roman" w:eastAsia="Times New Roman" w:hAnsi="Times New Roman" w:cs="Times New Roman"/>
          <w:noProof/>
          <w:color w:val="000000"/>
          <w:sz w:val="24"/>
          <w:szCs w:val="24"/>
        </w:rPr>
        <w:t xml:space="preserve"> 715/2009; </w:t>
      </w:r>
    </w:p>
    <w:p w14:paraId="446F7D02" w14:textId="77777777" w:rsidR="005D42B6" w:rsidRPr="00A623AB" w:rsidRDefault="005D42B6" w:rsidP="001F044F">
      <w:pPr>
        <w:numPr>
          <w:ilvl w:val="0"/>
          <w:numId w:val="38"/>
        </w:numPr>
        <w:spacing w:after="80" w:line="240" w:lineRule="auto"/>
        <w:contextualSpacing/>
        <w:jc w:val="both"/>
        <w:rPr>
          <w:rFonts w:ascii="Times New Roman" w:eastAsia="Times New Roman" w:hAnsi="Times New Roman" w:cs="Times New Roman"/>
          <w:noProof/>
          <w:color w:val="000000"/>
          <w:sz w:val="24"/>
          <w:szCs w:val="24"/>
        </w:rPr>
      </w:pPr>
      <w:r w:rsidRPr="00A623AB">
        <w:rPr>
          <w:rFonts w:ascii="Times New Roman" w:eastAsia="Times New Roman" w:hAnsi="Times New Roman" w:cs="Times New Roman"/>
          <w:noProof/>
          <w:color w:val="000000"/>
          <w:sz w:val="24"/>
          <w:szCs w:val="24"/>
        </w:rPr>
        <w:t xml:space="preserve">an overview of the measures requested by the Commission to ensure compliance with the filling trajectories and filling targets; </w:t>
      </w:r>
    </w:p>
    <w:p w14:paraId="041B9783" w14:textId="21B1671E" w:rsidR="005D42B6" w:rsidRPr="00A623AB" w:rsidRDefault="005D42B6" w:rsidP="001F044F">
      <w:pPr>
        <w:numPr>
          <w:ilvl w:val="0"/>
          <w:numId w:val="38"/>
        </w:numPr>
        <w:spacing w:after="80" w:line="240" w:lineRule="auto"/>
        <w:contextualSpacing/>
        <w:jc w:val="both"/>
        <w:rPr>
          <w:rFonts w:ascii="Times New Roman" w:eastAsia="Times New Roman" w:hAnsi="Times New Roman" w:cs="Times New Roman"/>
          <w:noProof/>
          <w:color w:val="000000"/>
          <w:sz w:val="24"/>
          <w:szCs w:val="24"/>
        </w:rPr>
      </w:pPr>
      <w:r w:rsidRPr="00A623AB">
        <w:rPr>
          <w:rFonts w:ascii="Times New Roman" w:eastAsia="Times New Roman" w:hAnsi="Times New Roman" w:cs="Times New Roman"/>
          <w:noProof/>
          <w:color w:val="000000"/>
          <w:sz w:val="24"/>
          <w:szCs w:val="24"/>
        </w:rPr>
        <w:t xml:space="preserve">an analysis of the potential effects of this Regulation on gas prices and potential gas savings in relation to Article 6b(4). </w:t>
      </w:r>
    </w:p>
    <w:p w14:paraId="319031A4" w14:textId="453677E8" w:rsidR="005D42B6" w:rsidRPr="005D42B6" w:rsidRDefault="005D42B6" w:rsidP="005D42B6">
      <w:pPr>
        <w:spacing w:after="0" w:line="240" w:lineRule="auto"/>
        <w:jc w:val="both"/>
        <w:rPr>
          <w:rFonts w:ascii="Times New Roman" w:eastAsia="Times New Roman" w:hAnsi="Times New Roman" w:cs="Times New Roman"/>
          <w:noProof/>
          <w:color w:val="000000"/>
          <w:sz w:val="24"/>
          <w:szCs w:val="24"/>
          <w:lang w:val="en-GB" w:eastAsia="en-IE"/>
        </w:rPr>
      </w:pPr>
      <w:r w:rsidRPr="00A623AB">
        <w:rPr>
          <w:rFonts w:ascii="Times New Roman" w:eastAsia="Times New Roman" w:hAnsi="Times New Roman" w:cs="Times New Roman"/>
          <w:noProof/>
          <w:color w:val="000000"/>
          <w:sz w:val="24"/>
          <w:szCs w:val="24"/>
          <w:lang w:val="en-GB" w:eastAsia="en-IE"/>
        </w:rPr>
        <w:t xml:space="preserve">The </w:t>
      </w:r>
      <w:bookmarkStart w:id="6" w:name="_Hlk157594619"/>
      <w:r w:rsidRPr="00A623AB">
        <w:rPr>
          <w:rFonts w:ascii="Times New Roman" w:eastAsia="Times New Roman" w:hAnsi="Times New Roman" w:cs="Times New Roman"/>
          <w:noProof/>
          <w:color w:val="000000"/>
          <w:sz w:val="24"/>
          <w:szCs w:val="24"/>
          <w:lang w:val="en-GB" w:eastAsia="en-IE"/>
        </w:rPr>
        <w:t>report contributes to broadening the knowledge base on best practices for filling storage sites</w:t>
      </w:r>
      <w:bookmarkEnd w:id="6"/>
      <w:r w:rsidRPr="00A623AB">
        <w:rPr>
          <w:rFonts w:ascii="Times New Roman" w:eastAsia="Times New Roman" w:hAnsi="Times New Roman" w:cs="Times New Roman"/>
          <w:noProof/>
          <w:color w:val="000000"/>
          <w:sz w:val="24"/>
          <w:szCs w:val="24"/>
          <w:lang w:val="en-GB" w:eastAsia="en-IE"/>
        </w:rPr>
        <w:t>.</w:t>
      </w:r>
      <w:r w:rsidR="003C4483">
        <w:rPr>
          <w:rFonts w:ascii="Times New Roman" w:eastAsia="Times New Roman" w:hAnsi="Times New Roman" w:cs="Times New Roman"/>
          <w:noProof/>
          <w:color w:val="000000"/>
          <w:sz w:val="24"/>
          <w:szCs w:val="24"/>
          <w:lang w:val="en-GB" w:eastAsia="en-IE"/>
        </w:rPr>
        <w:t xml:space="preserve"> </w:t>
      </w:r>
    </w:p>
    <w:p w14:paraId="03CD2B23" w14:textId="77777777" w:rsidR="005D42B6" w:rsidRPr="005D42B6" w:rsidRDefault="005D42B6" w:rsidP="000D7182">
      <w:pPr>
        <w:keepNext/>
        <w:numPr>
          <w:ilvl w:val="0"/>
          <w:numId w:val="35"/>
        </w:numPr>
        <w:tabs>
          <w:tab w:val="num" w:pos="1485"/>
        </w:tabs>
        <w:spacing w:before="240" w:after="240" w:line="240" w:lineRule="auto"/>
        <w:ind w:left="1485" w:hanging="283"/>
        <w:jc w:val="both"/>
        <w:outlineLvl w:val="0"/>
        <w:rPr>
          <w:rFonts w:ascii="Times New Roman" w:eastAsia="Times New Roman" w:hAnsi="Times New Roman" w:cs="Times New Roman"/>
          <w:b/>
          <w:smallCaps/>
          <w:noProof/>
          <w:sz w:val="24"/>
          <w:szCs w:val="20"/>
          <w:lang w:val="en-GB" w:eastAsia="en-IE"/>
        </w:rPr>
      </w:pPr>
      <w:r w:rsidRPr="005D42B6">
        <w:rPr>
          <w:rFonts w:ascii="Times New Roman" w:eastAsia="Times New Roman" w:hAnsi="Times New Roman" w:cs="Times New Roman"/>
          <w:b/>
          <w:smallCaps/>
          <w:noProof/>
          <w:sz w:val="24"/>
          <w:szCs w:val="20"/>
          <w:lang w:val="en-GB" w:eastAsia="en-IE"/>
        </w:rPr>
        <w:t>Overview of measures taken by Member States</w:t>
      </w:r>
    </w:p>
    <w:p w14:paraId="70FC86EC" w14:textId="2DCDAD2F" w:rsidR="005D42B6" w:rsidRPr="005D42B6" w:rsidRDefault="005D42B6" w:rsidP="005D42B6">
      <w:pPr>
        <w:spacing w:after="80" w:line="240" w:lineRule="auto"/>
        <w:jc w:val="both"/>
        <w:rPr>
          <w:rFonts w:ascii="Times New Roman" w:eastAsia="Times New Roman" w:hAnsi="Times New Roman" w:cs="Times New Roman"/>
          <w:noProof/>
          <w:sz w:val="24"/>
          <w:szCs w:val="24"/>
          <w:lang w:val="en-GB" w:eastAsia="en-IE"/>
        </w:rPr>
      </w:pPr>
      <w:r w:rsidRPr="005D42B6">
        <w:rPr>
          <w:rFonts w:ascii="Times New Roman" w:eastAsia="Times New Roman" w:hAnsi="Times New Roman" w:cs="Times New Roman"/>
          <w:noProof/>
          <w:sz w:val="24"/>
          <w:szCs w:val="24"/>
          <w:lang w:val="en-GB" w:eastAsia="en-IE"/>
        </w:rPr>
        <w:t xml:space="preserve">The </w:t>
      </w:r>
      <w:r w:rsidR="009347EC">
        <w:rPr>
          <w:rFonts w:ascii="Times New Roman" w:eastAsia="Times New Roman" w:hAnsi="Times New Roman" w:cs="Times New Roman"/>
          <w:noProof/>
          <w:sz w:val="24"/>
          <w:szCs w:val="24"/>
          <w:lang w:val="en-GB" w:eastAsia="en-IE"/>
        </w:rPr>
        <w:t xml:space="preserve">amendments introduced by the </w:t>
      </w:r>
      <w:r w:rsidRPr="005D42B6">
        <w:rPr>
          <w:rFonts w:ascii="Times New Roman" w:eastAsia="Times New Roman" w:hAnsi="Times New Roman" w:cs="Times New Roman"/>
          <w:noProof/>
          <w:sz w:val="24"/>
          <w:szCs w:val="24"/>
          <w:lang w:val="en-GB" w:eastAsia="en-IE"/>
        </w:rPr>
        <w:t xml:space="preserve">Gas Storage Regulation provide that Member States must take all necessary measures to meet the filling targets. They should aim to use market-based measures where possible to avoid unnecessary market disruption. However, measures may include regulatory measures, financial incentives or compensation to market participants. </w:t>
      </w:r>
    </w:p>
    <w:p w14:paraId="22D10831" w14:textId="551C9B86" w:rsidR="005D42B6" w:rsidRPr="005D42B6" w:rsidRDefault="005D42B6" w:rsidP="005D42B6">
      <w:pPr>
        <w:spacing w:after="80" w:line="240" w:lineRule="auto"/>
        <w:jc w:val="both"/>
        <w:rPr>
          <w:rFonts w:ascii="Times New Roman" w:eastAsia="Times New Roman" w:hAnsi="Times New Roman" w:cs="Times New Roman"/>
          <w:noProof/>
          <w:sz w:val="24"/>
          <w:szCs w:val="24"/>
          <w:lang w:val="en-GB" w:eastAsia="en-IE"/>
        </w:rPr>
      </w:pPr>
      <w:r w:rsidRPr="005D42B6">
        <w:rPr>
          <w:rFonts w:ascii="Times New Roman" w:eastAsia="Times New Roman" w:hAnsi="Times New Roman" w:cs="Times New Roman"/>
          <w:noProof/>
          <w:sz w:val="24"/>
          <w:szCs w:val="24"/>
          <w:lang w:val="en-GB" w:eastAsia="en-IE"/>
        </w:rPr>
        <w:t xml:space="preserve">The Storage Regulation provides an illustrative and non-exhaustive list of potential measures and tools. The Commission sent a survey to Member State authorities in autumn 2023, to collect the measures and tools they have used to ensure that their storage sites were filled. </w:t>
      </w:r>
      <w:r w:rsidR="00CD4453">
        <w:rPr>
          <w:rFonts w:ascii="Times New Roman" w:eastAsia="Times New Roman" w:hAnsi="Times New Roman" w:cs="Times New Roman"/>
          <w:noProof/>
          <w:sz w:val="24"/>
          <w:szCs w:val="24"/>
          <w:lang w:val="en-GB" w:eastAsia="en-IE"/>
        </w:rPr>
        <w:t xml:space="preserve">The measures </w:t>
      </w:r>
      <w:r w:rsidR="00111B27">
        <w:rPr>
          <w:rFonts w:ascii="Times New Roman" w:eastAsia="Times New Roman" w:hAnsi="Times New Roman" w:cs="Times New Roman"/>
          <w:noProof/>
          <w:sz w:val="24"/>
          <w:szCs w:val="24"/>
          <w:lang w:val="en-GB" w:eastAsia="en-IE"/>
        </w:rPr>
        <w:t xml:space="preserve">adopted by </w:t>
      </w:r>
      <w:r w:rsidR="00CD4453">
        <w:rPr>
          <w:rFonts w:ascii="Times New Roman" w:eastAsia="Times New Roman" w:hAnsi="Times New Roman" w:cs="Times New Roman"/>
          <w:noProof/>
          <w:sz w:val="24"/>
          <w:szCs w:val="24"/>
          <w:lang w:val="en-GB" w:eastAsia="en-IE"/>
        </w:rPr>
        <w:t>M</w:t>
      </w:r>
      <w:r w:rsidR="00111B27">
        <w:rPr>
          <w:rFonts w:ascii="Times New Roman" w:eastAsia="Times New Roman" w:hAnsi="Times New Roman" w:cs="Times New Roman"/>
          <w:noProof/>
          <w:sz w:val="24"/>
          <w:szCs w:val="24"/>
          <w:lang w:val="en-GB" w:eastAsia="en-IE"/>
        </w:rPr>
        <w:t xml:space="preserve">ember </w:t>
      </w:r>
      <w:r w:rsidR="00CD4453">
        <w:rPr>
          <w:rFonts w:ascii="Times New Roman" w:eastAsia="Times New Roman" w:hAnsi="Times New Roman" w:cs="Times New Roman"/>
          <w:noProof/>
          <w:sz w:val="24"/>
          <w:szCs w:val="24"/>
          <w:lang w:val="en-GB" w:eastAsia="en-IE"/>
        </w:rPr>
        <w:t>S</w:t>
      </w:r>
      <w:r w:rsidR="00111B27">
        <w:rPr>
          <w:rFonts w:ascii="Times New Roman" w:eastAsia="Times New Roman" w:hAnsi="Times New Roman" w:cs="Times New Roman"/>
          <w:noProof/>
          <w:sz w:val="24"/>
          <w:szCs w:val="24"/>
          <w:lang w:val="en-GB" w:eastAsia="en-IE"/>
        </w:rPr>
        <w:t>tate</w:t>
      </w:r>
      <w:r w:rsidR="4DA71BF1" w:rsidRPr="05407DC3">
        <w:rPr>
          <w:rFonts w:ascii="Times New Roman" w:eastAsia="Times New Roman" w:hAnsi="Times New Roman" w:cs="Times New Roman"/>
          <w:noProof/>
          <w:sz w:val="24"/>
          <w:szCs w:val="24"/>
          <w:lang w:val="en-GB" w:eastAsia="en-IE"/>
        </w:rPr>
        <w:t>s</w:t>
      </w:r>
      <w:r w:rsidR="00111B27">
        <w:rPr>
          <w:rFonts w:ascii="Times New Roman" w:eastAsia="Times New Roman" w:hAnsi="Times New Roman" w:cs="Times New Roman"/>
          <w:noProof/>
          <w:sz w:val="24"/>
          <w:szCs w:val="24"/>
          <w:lang w:val="en-GB" w:eastAsia="en-IE"/>
        </w:rPr>
        <w:t xml:space="preserve"> also </w:t>
      </w:r>
      <w:r w:rsidRPr="005D42B6">
        <w:rPr>
          <w:rFonts w:ascii="Times New Roman" w:eastAsia="Times New Roman" w:hAnsi="Times New Roman" w:cs="Times New Roman"/>
          <w:noProof/>
          <w:sz w:val="24"/>
          <w:szCs w:val="24"/>
          <w:lang w:val="en-GB" w:eastAsia="en-IE"/>
        </w:rPr>
        <w:t>included agreements, Memoranda of Understanding (MoUs), or burden-sharing mechanisms signed by Member States without UGS that include arrangements for utilisation of underground storage facilities.</w:t>
      </w:r>
    </w:p>
    <w:p w14:paraId="48340E66" w14:textId="7508A6B8" w:rsidR="005D42B6" w:rsidRPr="005D42B6" w:rsidRDefault="058E70EC" w:rsidP="005D42B6">
      <w:pPr>
        <w:spacing w:after="80" w:line="240" w:lineRule="auto"/>
        <w:jc w:val="both"/>
        <w:rPr>
          <w:rFonts w:ascii="Times New Roman" w:eastAsia="Times New Roman" w:hAnsi="Times New Roman" w:cs="Times New Roman"/>
          <w:noProof/>
          <w:sz w:val="24"/>
          <w:szCs w:val="24"/>
          <w:lang w:val="en-GB" w:eastAsia="en-IE"/>
        </w:rPr>
      </w:pPr>
      <w:r w:rsidRPr="62AAD2F6">
        <w:rPr>
          <w:rFonts w:ascii="Times New Roman" w:eastAsia="Times New Roman" w:hAnsi="Times New Roman" w:cs="Times New Roman"/>
          <w:noProof/>
          <w:sz w:val="24"/>
          <w:szCs w:val="24"/>
          <w:lang w:val="en-GB" w:eastAsia="en-IE"/>
        </w:rPr>
        <w:t xml:space="preserve">The Member States with underground </w:t>
      </w:r>
      <w:r w:rsidR="219926CE" w:rsidRPr="62AAD2F6">
        <w:rPr>
          <w:rFonts w:ascii="Times New Roman" w:eastAsia="Times New Roman" w:hAnsi="Times New Roman" w:cs="Times New Roman"/>
          <w:noProof/>
          <w:sz w:val="24"/>
          <w:szCs w:val="24"/>
          <w:lang w:val="en-GB" w:eastAsia="en-IE"/>
        </w:rPr>
        <w:t xml:space="preserve">gas </w:t>
      </w:r>
      <w:r w:rsidRPr="62AAD2F6">
        <w:rPr>
          <w:rFonts w:ascii="Times New Roman" w:eastAsia="Times New Roman" w:hAnsi="Times New Roman" w:cs="Times New Roman"/>
          <w:noProof/>
          <w:sz w:val="24"/>
          <w:szCs w:val="24"/>
          <w:lang w:val="en-GB" w:eastAsia="en-IE"/>
        </w:rPr>
        <w:t xml:space="preserve">storage </w:t>
      </w:r>
      <w:r w:rsidRPr="007567A7">
        <w:rPr>
          <w:rFonts w:ascii="Times New Roman" w:eastAsia="Times New Roman" w:hAnsi="Times New Roman" w:cs="Times New Roman"/>
          <w:noProof/>
          <w:sz w:val="24"/>
          <w:szCs w:val="24"/>
          <w:lang w:val="en-GB" w:eastAsia="en-IE"/>
        </w:rPr>
        <w:t xml:space="preserve">confirmed that most measures </w:t>
      </w:r>
      <w:r w:rsidR="60B2F9D2" w:rsidRPr="007567A7">
        <w:rPr>
          <w:rFonts w:ascii="Times New Roman" w:eastAsia="Times New Roman" w:hAnsi="Times New Roman" w:cs="Times New Roman"/>
          <w:noProof/>
          <w:sz w:val="24"/>
          <w:szCs w:val="24"/>
          <w:lang w:val="en-GB" w:eastAsia="en-IE"/>
        </w:rPr>
        <w:t xml:space="preserve">in </w:t>
      </w:r>
      <w:r w:rsidR="0006069C" w:rsidRPr="007567A7">
        <w:rPr>
          <w:rFonts w:ascii="Times New Roman" w:eastAsia="Times New Roman" w:hAnsi="Times New Roman" w:cs="Times New Roman"/>
          <w:noProof/>
          <w:sz w:val="24"/>
          <w:szCs w:val="24"/>
          <w:lang w:val="en-GB" w:eastAsia="en-IE"/>
        </w:rPr>
        <w:t>force in</w:t>
      </w:r>
      <w:r w:rsidRPr="007567A7">
        <w:rPr>
          <w:rFonts w:ascii="Times New Roman" w:eastAsia="Times New Roman" w:hAnsi="Times New Roman" w:cs="Times New Roman"/>
          <w:noProof/>
          <w:sz w:val="24"/>
          <w:szCs w:val="24"/>
          <w:lang w:val="en-GB" w:eastAsia="en-IE"/>
        </w:rPr>
        <w:t xml:space="preserve"> 2022</w:t>
      </w:r>
      <w:r w:rsidR="00727C0C">
        <w:rPr>
          <w:rFonts w:ascii="Times New Roman" w:eastAsia="Times New Roman" w:hAnsi="Times New Roman" w:cs="Times New Roman"/>
          <w:noProof/>
          <w:sz w:val="24"/>
          <w:szCs w:val="24"/>
          <w:lang w:val="en-GB" w:eastAsia="en-IE"/>
        </w:rPr>
        <w:t xml:space="preserve"> </w:t>
      </w:r>
      <w:r w:rsidRPr="007567A7">
        <w:rPr>
          <w:rFonts w:ascii="Times New Roman" w:eastAsia="Times New Roman" w:hAnsi="Times New Roman" w:cs="Times New Roman"/>
          <w:noProof/>
          <w:sz w:val="24"/>
          <w:szCs w:val="24"/>
          <w:lang w:val="en-GB" w:eastAsia="en-IE"/>
        </w:rPr>
        <w:t xml:space="preserve">were continued in 2023. Some of the measures </w:t>
      </w:r>
      <w:r w:rsidR="7C760006" w:rsidRPr="007567A7">
        <w:rPr>
          <w:rFonts w:ascii="Times New Roman" w:eastAsia="Times New Roman" w:hAnsi="Times New Roman" w:cs="Times New Roman"/>
          <w:noProof/>
          <w:sz w:val="24"/>
          <w:szCs w:val="24"/>
          <w:lang w:val="en-GB" w:eastAsia="en-IE"/>
        </w:rPr>
        <w:t>existed</w:t>
      </w:r>
      <w:r w:rsidRPr="007567A7">
        <w:rPr>
          <w:rFonts w:ascii="Times New Roman" w:eastAsia="Times New Roman" w:hAnsi="Times New Roman" w:cs="Times New Roman"/>
          <w:noProof/>
          <w:sz w:val="24"/>
          <w:szCs w:val="24"/>
          <w:lang w:val="en-GB" w:eastAsia="en-IE"/>
        </w:rPr>
        <w:t xml:space="preserve"> prior to </w:t>
      </w:r>
      <w:r w:rsidR="21B56E2E" w:rsidRPr="007567A7">
        <w:rPr>
          <w:rFonts w:ascii="Times New Roman" w:eastAsia="Times New Roman" w:hAnsi="Times New Roman" w:cs="Times New Roman"/>
          <w:noProof/>
          <w:sz w:val="24"/>
          <w:szCs w:val="24"/>
          <w:lang w:val="en-GB" w:eastAsia="en-IE"/>
        </w:rPr>
        <w:t xml:space="preserve">the </w:t>
      </w:r>
      <w:r w:rsidR="1411104E" w:rsidRPr="007567A7">
        <w:rPr>
          <w:rFonts w:ascii="Times New Roman" w:eastAsia="Times New Roman" w:hAnsi="Times New Roman" w:cs="Times New Roman"/>
          <w:noProof/>
          <w:sz w:val="24"/>
          <w:szCs w:val="24"/>
          <w:lang w:val="en-GB" w:eastAsia="en-IE"/>
        </w:rPr>
        <w:t xml:space="preserve">gas </w:t>
      </w:r>
      <w:r w:rsidR="21B56E2E" w:rsidRPr="007567A7">
        <w:rPr>
          <w:rFonts w:ascii="Times New Roman" w:eastAsia="Times New Roman" w:hAnsi="Times New Roman" w:cs="Times New Roman"/>
          <w:noProof/>
          <w:sz w:val="24"/>
          <w:szCs w:val="24"/>
          <w:lang w:val="en-GB" w:eastAsia="en-IE"/>
        </w:rPr>
        <w:t xml:space="preserve">storage Regulation of </w:t>
      </w:r>
      <w:r w:rsidRPr="007567A7">
        <w:rPr>
          <w:rFonts w:ascii="Times New Roman" w:eastAsia="Times New Roman" w:hAnsi="Times New Roman" w:cs="Times New Roman"/>
          <w:noProof/>
          <w:sz w:val="24"/>
          <w:szCs w:val="24"/>
          <w:lang w:val="en-GB" w:eastAsia="en-IE"/>
        </w:rPr>
        <w:t xml:space="preserve">2022, while others </w:t>
      </w:r>
      <w:r w:rsidR="2083CC61" w:rsidRPr="007567A7">
        <w:rPr>
          <w:rFonts w:ascii="Times New Roman" w:eastAsia="Times New Roman" w:hAnsi="Times New Roman" w:cs="Times New Roman"/>
          <w:noProof/>
          <w:sz w:val="24"/>
          <w:szCs w:val="24"/>
          <w:lang w:val="en-GB" w:eastAsia="en-IE"/>
        </w:rPr>
        <w:t>were established after the</w:t>
      </w:r>
      <w:r w:rsidR="6D25FAD9" w:rsidRPr="007567A7">
        <w:rPr>
          <w:rFonts w:ascii="Times New Roman" w:eastAsia="Times New Roman" w:hAnsi="Times New Roman" w:cs="Times New Roman"/>
          <w:noProof/>
          <w:sz w:val="24"/>
          <w:szCs w:val="24"/>
          <w:lang w:val="en-GB" w:eastAsia="en-IE"/>
        </w:rPr>
        <w:t xml:space="preserve"> gas</w:t>
      </w:r>
      <w:r w:rsidR="2083CC61" w:rsidRPr="007567A7">
        <w:rPr>
          <w:rFonts w:ascii="Times New Roman" w:eastAsia="Times New Roman" w:hAnsi="Times New Roman" w:cs="Times New Roman"/>
          <w:noProof/>
          <w:sz w:val="24"/>
          <w:szCs w:val="24"/>
          <w:lang w:val="en-GB" w:eastAsia="en-IE"/>
        </w:rPr>
        <w:t xml:space="preserve"> </w:t>
      </w:r>
      <w:r w:rsidR="6D25FAD9" w:rsidRPr="007567A7">
        <w:rPr>
          <w:rFonts w:ascii="Times New Roman" w:eastAsia="Times New Roman" w:hAnsi="Times New Roman" w:cs="Times New Roman"/>
          <w:noProof/>
          <w:sz w:val="24"/>
          <w:szCs w:val="24"/>
          <w:lang w:val="en-GB" w:eastAsia="en-IE"/>
        </w:rPr>
        <w:t xml:space="preserve">storage </w:t>
      </w:r>
      <w:r w:rsidR="007567A7" w:rsidRPr="007567A7">
        <w:rPr>
          <w:rFonts w:ascii="Times New Roman" w:eastAsia="Times New Roman" w:hAnsi="Times New Roman" w:cs="Times New Roman"/>
          <w:noProof/>
          <w:sz w:val="24"/>
          <w:szCs w:val="24"/>
          <w:lang w:val="en-GB" w:eastAsia="en-IE"/>
        </w:rPr>
        <w:t>Regulation. Demand</w:t>
      </w:r>
      <w:r w:rsidR="2A84BB82" w:rsidRPr="007567A7">
        <w:rPr>
          <w:rFonts w:ascii="Times New Roman" w:eastAsia="Times New Roman" w:hAnsi="Times New Roman" w:cs="Times New Roman"/>
          <w:noProof/>
          <w:sz w:val="24"/>
          <w:szCs w:val="24"/>
          <w:lang w:val="en-GB" w:eastAsia="en-IE"/>
        </w:rPr>
        <w:t xml:space="preserve"> reduction contributed to </w:t>
      </w:r>
      <w:r w:rsidRPr="007567A7">
        <w:rPr>
          <w:rFonts w:ascii="Times New Roman" w:eastAsia="Times New Roman" w:hAnsi="Times New Roman" w:cs="Times New Roman"/>
          <w:noProof/>
          <w:sz w:val="24"/>
          <w:szCs w:val="24"/>
          <w:lang w:val="en-GB" w:eastAsia="en-IE"/>
        </w:rPr>
        <w:t>favourable market conditions during the 2023 injection season</w:t>
      </w:r>
      <w:r w:rsidR="4F862BA6" w:rsidRPr="007567A7">
        <w:rPr>
          <w:rFonts w:ascii="Times New Roman" w:eastAsia="Times New Roman" w:hAnsi="Times New Roman" w:cs="Times New Roman"/>
          <w:noProof/>
          <w:sz w:val="24"/>
          <w:szCs w:val="24"/>
          <w:lang w:val="en-GB" w:eastAsia="en-IE"/>
        </w:rPr>
        <w:t>,</w:t>
      </w:r>
      <w:r w:rsidR="5529E946" w:rsidRPr="007567A7">
        <w:rPr>
          <w:rFonts w:ascii="Times New Roman" w:eastAsia="Times New Roman" w:hAnsi="Times New Roman" w:cs="Times New Roman"/>
          <w:noProof/>
          <w:sz w:val="24"/>
          <w:szCs w:val="24"/>
          <w:lang w:val="en-GB" w:eastAsia="en-IE"/>
        </w:rPr>
        <w:t xml:space="preserve"> with </w:t>
      </w:r>
      <w:r w:rsidR="4F454A02" w:rsidRPr="007567A7">
        <w:rPr>
          <w:rFonts w:ascii="Times New Roman" w:eastAsia="Times New Roman" w:hAnsi="Times New Roman" w:cs="Times New Roman"/>
          <w:noProof/>
          <w:sz w:val="24"/>
          <w:szCs w:val="24"/>
          <w:lang w:val="en-GB" w:eastAsia="en-IE"/>
        </w:rPr>
        <w:t>lower</w:t>
      </w:r>
      <w:r w:rsidR="06431AC2" w:rsidRPr="007567A7">
        <w:rPr>
          <w:rFonts w:ascii="Times New Roman" w:eastAsia="Times New Roman" w:hAnsi="Times New Roman" w:cs="Times New Roman"/>
          <w:noProof/>
          <w:sz w:val="24"/>
          <w:szCs w:val="24"/>
          <w:lang w:val="en-GB" w:eastAsia="en-IE"/>
        </w:rPr>
        <w:t xml:space="preserve"> gas prices</w:t>
      </w:r>
      <w:r w:rsidR="1F544579" w:rsidRPr="007567A7">
        <w:rPr>
          <w:rFonts w:ascii="Times New Roman" w:eastAsia="Times New Roman" w:hAnsi="Times New Roman" w:cs="Times New Roman"/>
          <w:noProof/>
          <w:sz w:val="24"/>
          <w:szCs w:val="24"/>
          <w:lang w:val="en-GB" w:eastAsia="en-IE"/>
        </w:rPr>
        <w:t xml:space="preserve"> compared to 2022</w:t>
      </w:r>
      <w:r w:rsidR="06431AC2" w:rsidRPr="007567A7">
        <w:rPr>
          <w:rFonts w:ascii="Times New Roman" w:eastAsia="Times New Roman" w:hAnsi="Times New Roman" w:cs="Times New Roman"/>
          <w:noProof/>
          <w:sz w:val="24"/>
          <w:szCs w:val="24"/>
          <w:lang w:val="en-GB" w:eastAsia="en-IE"/>
        </w:rPr>
        <w:t xml:space="preserve"> and </w:t>
      </w:r>
      <w:r w:rsidR="5529E946" w:rsidRPr="007567A7">
        <w:rPr>
          <w:rFonts w:ascii="Times New Roman" w:eastAsia="Times New Roman" w:hAnsi="Times New Roman" w:cs="Times New Roman"/>
          <w:noProof/>
          <w:sz w:val="24"/>
          <w:szCs w:val="24"/>
          <w:lang w:val="en-GB" w:eastAsia="en-IE"/>
        </w:rPr>
        <w:t>positive summer-winter spread,</w:t>
      </w:r>
      <w:r w:rsidRPr="007567A7">
        <w:rPr>
          <w:rFonts w:ascii="Times New Roman" w:eastAsia="Times New Roman" w:hAnsi="Times New Roman" w:cs="Times New Roman"/>
          <w:noProof/>
          <w:sz w:val="24"/>
          <w:szCs w:val="24"/>
          <w:lang w:val="en-GB" w:eastAsia="en-IE"/>
        </w:rPr>
        <w:t xml:space="preserve"> </w:t>
      </w:r>
      <w:r w:rsidR="16D04DC6" w:rsidRPr="007567A7">
        <w:rPr>
          <w:rFonts w:ascii="Times New Roman" w:eastAsia="Times New Roman" w:hAnsi="Times New Roman" w:cs="Times New Roman"/>
          <w:noProof/>
          <w:sz w:val="24"/>
          <w:szCs w:val="24"/>
          <w:lang w:val="en-GB" w:eastAsia="en-IE"/>
        </w:rPr>
        <w:t xml:space="preserve">which </w:t>
      </w:r>
      <w:r w:rsidRPr="007567A7">
        <w:rPr>
          <w:rFonts w:ascii="Times New Roman" w:eastAsia="Times New Roman" w:hAnsi="Times New Roman" w:cs="Times New Roman"/>
          <w:noProof/>
          <w:sz w:val="24"/>
          <w:szCs w:val="24"/>
          <w:lang w:val="en-GB" w:eastAsia="en-IE"/>
        </w:rPr>
        <w:t>eased the effective filling</w:t>
      </w:r>
      <w:r w:rsidR="7F54C266" w:rsidRPr="62AAD2F6">
        <w:rPr>
          <w:rFonts w:ascii="Times New Roman" w:eastAsia="Times New Roman" w:hAnsi="Times New Roman" w:cs="Times New Roman"/>
          <w:noProof/>
          <w:sz w:val="24"/>
          <w:szCs w:val="24"/>
          <w:lang w:val="en-GB" w:eastAsia="en-IE"/>
        </w:rPr>
        <w:t xml:space="preserve"> </w:t>
      </w:r>
      <w:r w:rsidRPr="62AAD2F6">
        <w:rPr>
          <w:rFonts w:ascii="Times New Roman" w:eastAsia="Times New Roman" w:hAnsi="Times New Roman" w:cs="Times New Roman"/>
          <w:noProof/>
          <w:sz w:val="24"/>
          <w:szCs w:val="24"/>
          <w:lang w:val="en-GB" w:eastAsia="en-IE"/>
        </w:rPr>
        <w:t xml:space="preserve">of the storage sites in time with no need to enforce </w:t>
      </w:r>
      <w:r w:rsidR="2BEBCD4D" w:rsidRPr="45380DDC">
        <w:rPr>
          <w:rFonts w:ascii="Times New Roman" w:eastAsia="Times New Roman" w:hAnsi="Times New Roman" w:cs="Times New Roman"/>
          <w:noProof/>
          <w:sz w:val="24"/>
          <w:szCs w:val="24"/>
          <w:lang w:val="en-GB" w:eastAsia="en-IE"/>
        </w:rPr>
        <w:t xml:space="preserve">the </w:t>
      </w:r>
      <w:r w:rsidRPr="62AAD2F6">
        <w:rPr>
          <w:rFonts w:ascii="Times New Roman" w:eastAsia="Times New Roman" w:hAnsi="Times New Roman" w:cs="Times New Roman"/>
          <w:noProof/>
          <w:sz w:val="24"/>
          <w:szCs w:val="24"/>
          <w:lang w:val="en-GB" w:eastAsia="en-IE"/>
        </w:rPr>
        <w:t>measures of last resort</w:t>
      </w:r>
      <w:r w:rsidR="0F516F29" w:rsidRPr="62AAD2F6">
        <w:rPr>
          <w:rFonts w:ascii="Times New Roman" w:eastAsia="Times New Roman" w:hAnsi="Times New Roman" w:cs="Times New Roman"/>
          <w:noProof/>
          <w:sz w:val="24"/>
          <w:szCs w:val="24"/>
          <w:lang w:val="en-GB" w:eastAsia="en-IE"/>
        </w:rPr>
        <w:t xml:space="preserve"> that were used during injection season in 2022</w:t>
      </w:r>
      <w:r w:rsidRPr="62AAD2F6">
        <w:rPr>
          <w:rFonts w:ascii="Times New Roman" w:eastAsia="Times New Roman" w:hAnsi="Times New Roman" w:cs="Times New Roman"/>
          <w:noProof/>
          <w:sz w:val="24"/>
          <w:szCs w:val="24"/>
          <w:lang w:val="en-GB" w:eastAsia="en-IE"/>
        </w:rPr>
        <w:t>. Member States also generally underlined the importance of flexible intermediary filling targets to provide a balance between ensuring the technical feasibility of the trajectory and offering market flexibility to storage users.</w:t>
      </w:r>
    </w:p>
    <w:p w14:paraId="10194DA7" w14:textId="77777777" w:rsidR="005D42B6" w:rsidRPr="005D42B6" w:rsidRDefault="005D42B6" w:rsidP="005D42B6">
      <w:pPr>
        <w:spacing w:after="80" w:line="240" w:lineRule="auto"/>
        <w:jc w:val="both"/>
        <w:rPr>
          <w:rFonts w:ascii="Times New Roman" w:eastAsia="Times New Roman" w:hAnsi="Times New Roman" w:cs="Times New Roman"/>
          <w:noProof/>
          <w:sz w:val="24"/>
          <w:szCs w:val="24"/>
          <w:lang w:val="en-GB" w:eastAsia="en-IE"/>
        </w:rPr>
      </w:pPr>
      <w:r w:rsidRPr="005D42B6">
        <w:rPr>
          <w:rFonts w:ascii="Times New Roman" w:eastAsia="Times New Roman" w:hAnsi="Times New Roman" w:cs="Times New Roman"/>
          <w:noProof/>
          <w:sz w:val="24"/>
          <w:szCs w:val="24"/>
          <w:lang w:val="en-GB" w:eastAsia="en-IE"/>
        </w:rPr>
        <w:t xml:space="preserve">Among the most common measures implemented by Member States were: </w:t>
      </w:r>
    </w:p>
    <w:p w14:paraId="35C4B70A" w14:textId="77777777" w:rsidR="005D42B6" w:rsidRPr="005D42B6" w:rsidRDefault="005D42B6" w:rsidP="005D42B6">
      <w:pPr>
        <w:numPr>
          <w:ilvl w:val="0"/>
          <w:numId w:val="37"/>
        </w:numPr>
        <w:spacing w:after="80" w:line="240" w:lineRule="auto"/>
        <w:ind w:left="284" w:hanging="284"/>
        <w:contextualSpacing/>
        <w:jc w:val="both"/>
        <w:rPr>
          <w:rFonts w:ascii="Times New Roman" w:eastAsia="Calibri" w:hAnsi="Times New Roman" w:cs="Times New Roman"/>
          <w:noProof/>
          <w:sz w:val="24"/>
          <w:szCs w:val="24"/>
        </w:rPr>
      </w:pPr>
      <w:r w:rsidRPr="005D42B6">
        <w:rPr>
          <w:rFonts w:ascii="Times New Roman" w:eastAsia="Calibri" w:hAnsi="Times New Roman" w:cs="Times New Roman"/>
          <w:noProof/>
          <w:sz w:val="24"/>
          <w:szCs w:val="24"/>
        </w:rPr>
        <w:t>Minimum volume in gas storage: imposing an obligation on SSOs on the minimum filling level to achieve, in line with the national objective;</w:t>
      </w:r>
    </w:p>
    <w:p w14:paraId="56AEDD63" w14:textId="77777777" w:rsidR="005D42B6" w:rsidRPr="005D42B6" w:rsidRDefault="005D42B6" w:rsidP="005D42B6">
      <w:pPr>
        <w:numPr>
          <w:ilvl w:val="0"/>
          <w:numId w:val="37"/>
        </w:numPr>
        <w:spacing w:after="80" w:line="240" w:lineRule="auto"/>
        <w:ind w:left="284" w:hanging="284"/>
        <w:contextualSpacing/>
        <w:jc w:val="both"/>
        <w:rPr>
          <w:rFonts w:ascii="Times New Roman" w:eastAsia="Calibri" w:hAnsi="Times New Roman" w:cs="Times New Roman"/>
          <w:noProof/>
          <w:sz w:val="24"/>
          <w:szCs w:val="24"/>
        </w:rPr>
      </w:pPr>
      <w:r w:rsidRPr="005D42B6">
        <w:rPr>
          <w:rFonts w:ascii="Times New Roman" w:eastAsia="Calibri" w:hAnsi="Times New Roman" w:cs="Times New Roman"/>
          <w:noProof/>
          <w:sz w:val="24"/>
          <w:szCs w:val="24"/>
        </w:rPr>
        <w:t>Tender capacities: requiring SSOs to tender the capacities to market participants (via capacity auctions in most cases);</w:t>
      </w:r>
    </w:p>
    <w:p w14:paraId="0D70083E" w14:textId="77777777" w:rsidR="005D42B6" w:rsidRPr="005D42B6" w:rsidRDefault="005D42B6" w:rsidP="005D42B6">
      <w:pPr>
        <w:numPr>
          <w:ilvl w:val="0"/>
          <w:numId w:val="37"/>
        </w:numPr>
        <w:spacing w:after="80" w:line="240" w:lineRule="auto"/>
        <w:ind w:left="284" w:hanging="284"/>
        <w:contextualSpacing/>
        <w:jc w:val="both"/>
        <w:rPr>
          <w:rFonts w:ascii="Times New Roman" w:eastAsia="Calibri" w:hAnsi="Times New Roman" w:cs="Times New Roman"/>
          <w:noProof/>
          <w:sz w:val="24"/>
          <w:szCs w:val="24"/>
        </w:rPr>
      </w:pPr>
      <w:r w:rsidRPr="005D42B6">
        <w:rPr>
          <w:rFonts w:ascii="Times New Roman" w:eastAsia="Calibri" w:hAnsi="Times New Roman" w:cs="Times New Roman"/>
          <w:noProof/>
          <w:sz w:val="24"/>
          <w:szCs w:val="24"/>
        </w:rPr>
        <w:t>Appointment of a dedicated entity: designating an entity to provide a last resort service for storage;</w:t>
      </w:r>
    </w:p>
    <w:p w14:paraId="1DF8EDDE" w14:textId="77777777" w:rsidR="005D42B6" w:rsidRPr="005D42B6" w:rsidRDefault="005D42B6" w:rsidP="005D42B6">
      <w:pPr>
        <w:numPr>
          <w:ilvl w:val="0"/>
          <w:numId w:val="37"/>
        </w:numPr>
        <w:spacing w:after="80" w:line="240" w:lineRule="auto"/>
        <w:ind w:left="284" w:hanging="284"/>
        <w:contextualSpacing/>
        <w:jc w:val="both"/>
        <w:rPr>
          <w:rFonts w:ascii="Times New Roman" w:eastAsia="Calibri" w:hAnsi="Times New Roman" w:cs="Times New Roman"/>
          <w:noProof/>
          <w:sz w:val="24"/>
          <w:szCs w:val="24"/>
        </w:rPr>
      </w:pPr>
      <w:r w:rsidRPr="005D42B6">
        <w:rPr>
          <w:rFonts w:ascii="Times New Roman" w:eastAsia="Calibri" w:hAnsi="Times New Roman" w:cs="Times New Roman"/>
          <w:noProof/>
          <w:sz w:val="24"/>
          <w:szCs w:val="24"/>
        </w:rPr>
        <w:t>Strategic storage: adopting effective instruments for the purchase and management of strategic stocks by public or private entities;</w:t>
      </w:r>
    </w:p>
    <w:p w14:paraId="71CA3217" w14:textId="4679C242" w:rsidR="005D42B6" w:rsidRDefault="005D42B6" w:rsidP="005D42B6">
      <w:pPr>
        <w:numPr>
          <w:ilvl w:val="0"/>
          <w:numId w:val="37"/>
        </w:numPr>
        <w:spacing w:after="80" w:line="240" w:lineRule="auto"/>
        <w:ind w:left="284" w:hanging="284"/>
        <w:contextualSpacing/>
        <w:jc w:val="both"/>
        <w:rPr>
          <w:rFonts w:ascii="Times New Roman" w:eastAsia="Calibri" w:hAnsi="Times New Roman" w:cs="Times New Roman"/>
          <w:noProof/>
          <w:sz w:val="24"/>
          <w:szCs w:val="24"/>
        </w:rPr>
      </w:pPr>
      <w:r w:rsidRPr="005D42B6">
        <w:rPr>
          <w:rFonts w:ascii="Times New Roman" w:eastAsia="Calibri" w:hAnsi="Times New Roman" w:cs="Times New Roman"/>
          <w:noProof/>
          <w:sz w:val="24"/>
          <w:szCs w:val="24"/>
        </w:rPr>
        <w:t>Unused booked capacities: ensuring that the capacities booked are effectively used by applying use-it-or-lose-it congestion mechanisms to release booked but unused storage capacities</w:t>
      </w:r>
      <w:r w:rsidR="009347EC">
        <w:rPr>
          <w:rFonts w:ascii="Times New Roman" w:eastAsia="Calibri" w:hAnsi="Times New Roman" w:cs="Times New Roman"/>
          <w:noProof/>
          <w:sz w:val="24"/>
          <w:szCs w:val="24"/>
        </w:rPr>
        <w:t>.</w:t>
      </w:r>
    </w:p>
    <w:p w14:paraId="36CC96C0" w14:textId="77777777" w:rsidR="009347EC" w:rsidRPr="005D42B6" w:rsidRDefault="009347EC" w:rsidP="00217362">
      <w:pPr>
        <w:spacing w:after="80" w:line="240" w:lineRule="auto"/>
        <w:ind w:left="284"/>
        <w:contextualSpacing/>
        <w:jc w:val="both"/>
        <w:rPr>
          <w:rFonts w:ascii="Times New Roman" w:eastAsia="Calibri" w:hAnsi="Times New Roman" w:cs="Times New Roman"/>
          <w:noProof/>
          <w:sz w:val="24"/>
          <w:szCs w:val="24"/>
        </w:rPr>
      </w:pPr>
    </w:p>
    <w:p w14:paraId="74F09164" w14:textId="08319CDC" w:rsidR="005D42B6" w:rsidRDefault="00181856" w:rsidP="007D1226">
      <w:pPr>
        <w:spacing w:after="120" w:line="240" w:lineRule="auto"/>
        <w:jc w:val="both"/>
        <w:rPr>
          <w:rFonts w:ascii="Times New Roman" w:eastAsia="Times New Roman" w:hAnsi="Times New Roman" w:cs="Times New Roman"/>
          <w:noProof/>
          <w:sz w:val="24"/>
          <w:szCs w:val="24"/>
          <w:lang w:val="en-GB" w:eastAsia="en-IE"/>
        </w:rPr>
      </w:pPr>
      <w:r>
        <w:rPr>
          <w:rFonts w:ascii="Times New Roman" w:eastAsia="Times New Roman" w:hAnsi="Times New Roman" w:cs="Times New Roman"/>
          <w:noProof/>
          <w:sz w:val="24"/>
          <w:szCs w:val="24"/>
          <w:lang w:val="en-GB" w:eastAsia="en-IE"/>
        </w:rPr>
        <w:t>On the gas storage implementation</w:t>
      </w:r>
      <w:r w:rsidR="007A01ED">
        <w:rPr>
          <w:rFonts w:ascii="Times New Roman" w:eastAsia="Times New Roman" w:hAnsi="Times New Roman" w:cs="Times New Roman"/>
          <w:noProof/>
          <w:sz w:val="24"/>
          <w:szCs w:val="24"/>
          <w:lang w:val="en-GB" w:eastAsia="en-IE"/>
        </w:rPr>
        <w:t xml:space="preserve"> also </w:t>
      </w:r>
      <w:r w:rsidR="007A01ED" w:rsidRPr="007A01ED">
        <w:rPr>
          <w:rFonts w:ascii="Times New Roman" w:eastAsia="Times New Roman" w:hAnsi="Times New Roman" w:cs="Times New Roman"/>
          <w:noProof/>
          <w:sz w:val="24"/>
          <w:szCs w:val="24"/>
          <w:lang w:val="en-GB" w:eastAsia="en-IE"/>
        </w:rPr>
        <w:t>ACER</w:t>
      </w:r>
      <w:r w:rsidR="007A01ED">
        <w:rPr>
          <w:rFonts w:ascii="Times New Roman" w:eastAsia="Times New Roman" w:hAnsi="Times New Roman" w:cs="Times New Roman"/>
          <w:noProof/>
          <w:sz w:val="24"/>
          <w:szCs w:val="24"/>
          <w:lang w:val="en-GB" w:eastAsia="en-IE"/>
        </w:rPr>
        <w:t>,</w:t>
      </w:r>
      <w:r w:rsidR="007A01ED" w:rsidRPr="007A01ED">
        <w:rPr>
          <w:rFonts w:ascii="Times New Roman" w:eastAsia="Times New Roman" w:hAnsi="Times New Roman" w:cs="Times New Roman"/>
          <w:noProof/>
          <w:sz w:val="24"/>
          <w:szCs w:val="24"/>
          <w:lang w:val="en-GB" w:eastAsia="en-IE"/>
        </w:rPr>
        <w:t xml:space="preserve"> </w:t>
      </w:r>
      <w:r w:rsidR="007A01ED">
        <w:rPr>
          <w:rFonts w:ascii="Times New Roman" w:eastAsia="Times New Roman" w:hAnsi="Times New Roman" w:cs="Times New Roman"/>
          <w:noProof/>
          <w:sz w:val="24"/>
          <w:szCs w:val="24"/>
          <w:lang w:val="en-GB" w:eastAsia="en-IE"/>
        </w:rPr>
        <w:t>i</w:t>
      </w:r>
      <w:r w:rsidR="007A01ED" w:rsidRPr="005D42B6">
        <w:rPr>
          <w:rFonts w:ascii="Times New Roman" w:eastAsia="Times New Roman" w:hAnsi="Times New Roman" w:cs="Times New Roman"/>
          <w:noProof/>
          <w:sz w:val="24"/>
          <w:szCs w:val="24"/>
          <w:lang w:val="en-GB" w:eastAsia="en-IE"/>
        </w:rPr>
        <w:t xml:space="preserve">n </w:t>
      </w:r>
      <w:r w:rsidR="007A01ED">
        <w:rPr>
          <w:rFonts w:ascii="Times New Roman" w:eastAsia="Times New Roman" w:hAnsi="Times New Roman" w:cs="Times New Roman"/>
          <w:noProof/>
          <w:sz w:val="24"/>
          <w:szCs w:val="24"/>
          <w:lang w:val="en-GB" w:eastAsia="en-IE"/>
        </w:rPr>
        <w:t xml:space="preserve">its </w:t>
      </w:r>
      <w:r w:rsidR="005D42B6" w:rsidRPr="005D42B6">
        <w:rPr>
          <w:rFonts w:ascii="Times New Roman" w:eastAsia="Times New Roman" w:hAnsi="Times New Roman" w:cs="Times New Roman"/>
          <w:noProof/>
          <w:sz w:val="24"/>
          <w:szCs w:val="24"/>
          <w:lang w:val="en-GB" w:eastAsia="en-IE"/>
        </w:rPr>
        <w:t>opinion on ENTSOG Winter Supply Outlook 2023-2024</w:t>
      </w:r>
      <w:r w:rsidR="005E6D60">
        <w:rPr>
          <w:rStyle w:val="FootnoteReference"/>
          <w:rFonts w:ascii="Times New Roman" w:eastAsia="Times New Roman" w:hAnsi="Times New Roman" w:cs="Times New Roman"/>
          <w:noProof/>
          <w:sz w:val="24"/>
          <w:szCs w:val="24"/>
          <w:lang w:val="en-GB" w:eastAsia="en-IE"/>
        </w:rPr>
        <w:footnoteReference w:id="4"/>
      </w:r>
      <w:r w:rsidR="005D42B6" w:rsidRPr="005D42B6">
        <w:rPr>
          <w:rFonts w:ascii="Times New Roman" w:eastAsia="Times New Roman" w:hAnsi="Times New Roman" w:cs="Times New Roman"/>
          <w:noProof/>
          <w:sz w:val="24"/>
          <w:szCs w:val="24"/>
          <w:lang w:val="en-GB" w:eastAsia="en-IE"/>
        </w:rPr>
        <w:t xml:space="preserve">, </w:t>
      </w:r>
      <w:r w:rsidR="005E6D60">
        <w:rPr>
          <w:rFonts w:ascii="Times New Roman" w:eastAsia="Times New Roman" w:hAnsi="Times New Roman" w:cs="Times New Roman"/>
          <w:i/>
          <w:iCs/>
          <w:noProof/>
          <w:sz w:val="24"/>
          <w:szCs w:val="20"/>
          <w:lang w:val="en-GB" w:eastAsia="en-IE"/>
        </w:rPr>
        <w:t>“</w:t>
      </w:r>
      <w:r w:rsidR="005D42B6" w:rsidRPr="005D42B6">
        <w:rPr>
          <w:rFonts w:ascii="Times New Roman" w:eastAsia="Times New Roman" w:hAnsi="Times New Roman" w:cs="Times New Roman"/>
          <w:i/>
          <w:iCs/>
          <w:noProof/>
          <w:sz w:val="24"/>
          <w:szCs w:val="20"/>
          <w:lang w:val="en-GB" w:eastAsia="en-IE"/>
        </w:rPr>
        <w:t>welcomes that the EU collective 90% storage filling rate objective was already achieved in mid-August, nearly 2-months ahead of the 1 of November deadline. Where possible, NRAs have checked the accuracy of storage filling levels reported in ENTSOG’s Winter Outlook.</w:t>
      </w:r>
      <w:r w:rsidR="005D42B6" w:rsidRPr="005D42B6">
        <w:rPr>
          <w:rFonts w:ascii="Times New Roman" w:eastAsia="Times New Roman" w:hAnsi="Times New Roman" w:cs="Times New Roman"/>
          <w:noProof/>
          <w:sz w:val="24"/>
          <w:szCs w:val="20"/>
          <w:lang w:val="en-GB" w:eastAsia="en-IE"/>
        </w:rPr>
        <w:t>”</w:t>
      </w:r>
      <w:r w:rsidR="005D42B6" w:rsidRPr="005D42B6" w:rsidDel="00523F17">
        <w:rPr>
          <w:rFonts w:ascii="Times New Roman" w:eastAsia="Times New Roman" w:hAnsi="Times New Roman" w:cs="Times New Roman"/>
          <w:noProof/>
          <w:sz w:val="24"/>
          <w:szCs w:val="24"/>
          <w:lang w:val="en-GB" w:eastAsia="en-IE"/>
        </w:rPr>
        <w:t xml:space="preserve"> </w:t>
      </w:r>
      <w:r w:rsidR="005D42B6" w:rsidRPr="005D42B6">
        <w:rPr>
          <w:rFonts w:ascii="Times New Roman" w:eastAsia="Times New Roman" w:hAnsi="Times New Roman" w:cs="Times New Roman"/>
          <w:noProof/>
          <w:sz w:val="24"/>
          <w:szCs w:val="24"/>
          <w:lang w:val="en-GB" w:eastAsia="en-IE"/>
        </w:rPr>
        <w:t>ACER further reports that “</w:t>
      </w:r>
      <w:r w:rsidR="005D42B6" w:rsidRPr="005D42B6">
        <w:rPr>
          <w:rFonts w:ascii="Times New Roman" w:eastAsia="Times New Roman" w:hAnsi="Times New Roman" w:cs="Times New Roman"/>
          <w:i/>
          <w:iCs/>
          <w:noProof/>
          <w:sz w:val="24"/>
          <w:szCs w:val="20"/>
          <w:lang w:val="en-GB" w:eastAsia="en-IE"/>
        </w:rPr>
        <w:t>The recently published ACER consultancy study “On the impact of EU and national gas storage regulations” shows that the measures implemented in the Members States effectively helped to reach the storage filling levels at national and European level</w:t>
      </w:r>
      <w:r w:rsidR="005D42B6" w:rsidRPr="005D42B6">
        <w:rPr>
          <w:rFonts w:ascii="Times New Roman" w:eastAsia="Times New Roman" w:hAnsi="Times New Roman" w:cs="Times New Roman"/>
          <w:i/>
          <w:iCs/>
          <w:noProof/>
          <w:sz w:val="24"/>
          <w:szCs w:val="24"/>
          <w:lang w:val="en-GB" w:eastAsia="en-IE"/>
        </w:rPr>
        <w:t>.</w:t>
      </w:r>
      <w:r w:rsidR="005D42B6" w:rsidRPr="005D42B6">
        <w:rPr>
          <w:rFonts w:ascii="Times New Roman" w:eastAsia="Times New Roman" w:hAnsi="Times New Roman" w:cs="Times New Roman"/>
          <w:noProof/>
          <w:sz w:val="24"/>
          <w:szCs w:val="24"/>
          <w:lang w:val="en-GB" w:eastAsia="en-IE"/>
        </w:rPr>
        <w:t>”</w:t>
      </w:r>
    </w:p>
    <w:p w14:paraId="4C069F0A" w14:textId="77777777" w:rsidR="005D42B6" w:rsidRDefault="005D42B6" w:rsidP="007D1226">
      <w:pPr>
        <w:spacing w:after="120" w:line="240" w:lineRule="auto"/>
        <w:jc w:val="both"/>
        <w:rPr>
          <w:rFonts w:ascii="Times New Roman" w:eastAsia="Times New Roman" w:hAnsi="Times New Roman" w:cs="Times New Roman"/>
          <w:b/>
          <w:bCs/>
          <w:i/>
          <w:iCs/>
          <w:noProof/>
          <w:sz w:val="24"/>
          <w:szCs w:val="24"/>
          <w:lang w:val="en-GB" w:eastAsia="en-IE"/>
        </w:rPr>
      </w:pPr>
      <w:r w:rsidRPr="005D42B6">
        <w:rPr>
          <w:rFonts w:ascii="Times New Roman" w:eastAsia="Times New Roman" w:hAnsi="Times New Roman" w:cs="Times New Roman"/>
          <w:noProof/>
          <w:sz w:val="24"/>
          <w:szCs w:val="24"/>
          <w:lang w:val="en-GB" w:eastAsia="en-IE"/>
        </w:rPr>
        <w:t xml:space="preserve">Further details on the implementation measures are provided by </w:t>
      </w:r>
      <w:r w:rsidRPr="005D42B6">
        <w:rPr>
          <w:rFonts w:ascii="Times New Roman" w:eastAsia="Times New Roman" w:hAnsi="Times New Roman" w:cs="Times New Roman"/>
          <w:b/>
          <w:bCs/>
          <w:noProof/>
          <w:sz w:val="24"/>
          <w:szCs w:val="24"/>
          <w:lang w:val="en-GB" w:eastAsia="en-IE"/>
        </w:rPr>
        <w:fldChar w:fldCharType="begin"/>
      </w:r>
      <w:r w:rsidRPr="005D42B6">
        <w:rPr>
          <w:rFonts w:ascii="Times New Roman" w:eastAsia="Times New Roman" w:hAnsi="Times New Roman" w:cs="Times New Roman"/>
          <w:b/>
          <w:bCs/>
          <w:noProof/>
          <w:sz w:val="24"/>
          <w:szCs w:val="24"/>
          <w:lang w:val="en-GB" w:eastAsia="en-IE"/>
        </w:rPr>
        <w:instrText xml:space="preserve"> REF _Ref153899369 \h  \* MERGEFORMAT </w:instrText>
      </w:r>
      <w:r w:rsidRPr="005D42B6">
        <w:rPr>
          <w:rFonts w:ascii="Times New Roman" w:eastAsia="Times New Roman" w:hAnsi="Times New Roman" w:cs="Times New Roman"/>
          <w:b/>
          <w:bCs/>
          <w:noProof/>
          <w:sz w:val="24"/>
          <w:szCs w:val="24"/>
          <w:lang w:val="en-GB" w:eastAsia="en-IE"/>
        </w:rPr>
      </w:r>
      <w:r w:rsidRPr="005D42B6">
        <w:rPr>
          <w:rFonts w:ascii="Times New Roman" w:eastAsia="Times New Roman" w:hAnsi="Times New Roman" w:cs="Times New Roman"/>
          <w:b/>
          <w:bCs/>
          <w:noProof/>
          <w:sz w:val="24"/>
          <w:szCs w:val="24"/>
          <w:lang w:val="en-GB" w:eastAsia="en-IE"/>
        </w:rPr>
        <w:fldChar w:fldCharType="separate"/>
      </w:r>
      <w:r w:rsidR="00063A2B" w:rsidRPr="00063A2B">
        <w:rPr>
          <w:rFonts w:ascii="Times New Roman" w:eastAsia="Times New Roman" w:hAnsi="Times New Roman" w:cs="Times New Roman"/>
          <w:b/>
          <w:bCs/>
          <w:i/>
          <w:iCs/>
          <w:noProof/>
          <w:sz w:val="24"/>
          <w:szCs w:val="24"/>
          <w:lang w:val="en-GB" w:eastAsia="en-IE"/>
        </w:rPr>
        <w:t xml:space="preserve">Table </w:t>
      </w:r>
      <w:r w:rsidR="00063A2B">
        <w:rPr>
          <w:rFonts w:ascii="Times New Roman" w:eastAsia="Times New Roman" w:hAnsi="Times New Roman" w:cs="Times New Roman"/>
          <w:b/>
          <w:bCs/>
          <w:noProof/>
          <w:sz w:val="20"/>
          <w:szCs w:val="20"/>
          <w:lang w:val="en-GB" w:eastAsia="en-IE"/>
        </w:rPr>
        <w:t>1</w:t>
      </w:r>
      <w:r w:rsidRPr="005D42B6">
        <w:rPr>
          <w:rFonts w:ascii="Times New Roman" w:eastAsia="Times New Roman" w:hAnsi="Times New Roman" w:cs="Times New Roman"/>
          <w:b/>
          <w:bCs/>
          <w:noProof/>
          <w:sz w:val="24"/>
          <w:szCs w:val="24"/>
          <w:lang w:val="en-GB" w:eastAsia="en-IE"/>
        </w:rPr>
        <w:fldChar w:fldCharType="end"/>
      </w:r>
      <w:r w:rsidRPr="005D42B6">
        <w:rPr>
          <w:rFonts w:ascii="Times New Roman" w:eastAsia="Times New Roman" w:hAnsi="Times New Roman" w:cs="Times New Roman"/>
          <w:noProof/>
          <w:sz w:val="24"/>
          <w:szCs w:val="24"/>
          <w:lang w:val="en-GB" w:eastAsia="en-IE"/>
        </w:rPr>
        <w:t xml:space="preserve"> and</w:t>
      </w:r>
      <w:bookmarkStart w:id="7" w:name="_Ref153899369"/>
      <w:r w:rsidR="00D92C82">
        <w:rPr>
          <w:rFonts w:ascii="Times New Roman" w:eastAsia="Times New Roman" w:hAnsi="Times New Roman" w:cs="Times New Roman"/>
          <w:b/>
          <w:bCs/>
          <w:i/>
          <w:iCs/>
          <w:noProof/>
          <w:sz w:val="24"/>
          <w:szCs w:val="24"/>
          <w:lang w:val="en-GB" w:eastAsia="en-IE"/>
        </w:rPr>
        <w:t xml:space="preserve"> Annex</w:t>
      </w:r>
      <w:r w:rsidR="00792FF8" w:rsidRPr="009E0BE4">
        <w:rPr>
          <w:rFonts w:ascii="Times New Roman" w:eastAsia="Times New Roman" w:hAnsi="Times New Roman" w:cs="Times New Roman"/>
          <w:b/>
          <w:bCs/>
          <w:i/>
          <w:iCs/>
          <w:noProof/>
          <w:sz w:val="24"/>
          <w:szCs w:val="24"/>
          <w:lang w:val="en-GB" w:eastAsia="en-IE"/>
        </w:rPr>
        <w:t>.</w:t>
      </w:r>
    </w:p>
    <w:p w14:paraId="483207D5" w14:textId="4F72BC08" w:rsidR="005D42B6" w:rsidRPr="00781C5F" w:rsidRDefault="005D42B6" w:rsidP="007D1226">
      <w:pPr>
        <w:spacing w:after="120" w:line="240" w:lineRule="auto"/>
        <w:jc w:val="both"/>
        <w:rPr>
          <w:rFonts w:ascii="Times New Roman" w:eastAsia="Times New Roman" w:hAnsi="Times New Roman" w:cs="Times New Roman"/>
          <w:b/>
          <w:bCs/>
          <w:noProof/>
          <w:sz w:val="20"/>
          <w:szCs w:val="20"/>
          <w:lang w:val="en-IE" w:eastAsia="en-IE"/>
        </w:rPr>
      </w:pPr>
      <w:r w:rsidRPr="005D42B6">
        <w:rPr>
          <w:rFonts w:ascii="Times New Roman" w:eastAsia="Times New Roman" w:hAnsi="Times New Roman" w:cs="Times New Roman"/>
          <w:b/>
          <w:bCs/>
          <w:noProof/>
          <w:sz w:val="20"/>
          <w:szCs w:val="20"/>
          <w:lang w:val="en-GB" w:eastAsia="en-IE"/>
        </w:rPr>
        <w:t xml:space="preserve">Table </w:t>
      </w:r>
      <w:r w:rsidRPr="005D42B6">
        <w:rPr>
          <w:rFonts w:ascii="Times New Roman" w:eastAsia="Times New Roman" w:hAnsi="Times New Roman" w:cs="Times New Roman"/>
          <w:b/>
          <w:bCs/>
          <w:noProof/>
          <w:sz w:val="20"/>
          <w:szCs w:val="20"/>
          <w:lang w:val="en-GB" w:eastAsia="en-IE"/>
        </w:rPr>
        <w:fldChar w:fldCharType="begin"/>
      </w:r>
      <w:r w:rsidRPr="005D42B6">
        <w:rPr>
          <w:rFonts w:ascii="Times New Roman" w:eastAsia="Times New Roman" w:hAnsi="Times New Roman" w:cs="Times New Roman"/>
          <w:b/>
          <w:bCs/>
          <w:noProof/>
          <w:sz w:val="20"/>
          <w:szCs w:val="20"/>
          <w:lang w:val="en-GB" w:eastAsia="en-IE"/>
        </w:rPr>
        <w:instrText xml:space="preserve"> SEQ Table \* ARABIC </w:instrText>
      </w:r>
      <w:r w:rsidRPr="005D42B6">
        <w:rPr>
          <w:rFonts w:ascii="Times New Roman" w:eastAsia="Times New Roman" w:hAnsi="Times New Roman" w:cs="Times New Roman"/>
          <w:b/>
          <w:bCs/>
          <w:noProof/>
          <w:sz w:val="20"/>
          <w:szCs w:val="20"/>
          <w:lang w:val="en-GB" w:eastAsia="en-IE"/>
        </w:rPr>
        <w:fldChar w:fldCharType="separate"/>
      </w:r>
      <w:r w:rsidR="00063A2B">
        <w:rPr>
          <w:rFonts w:ascii="Times New Roman" w:eastAsia="Times New Roman" w:hAnsi="Times New Roman" w:cs="Times New Roman"/>
          <w:b/>
          <w:bCs/>
          <w:noProof/>
          <w:sz w:val="20"/>
          <w:szCs w:val="20"/>
          <w:lang w:val="en-GB" w:eastAsia="en-IE"/>
        </w:rPr>
        <w:t>1</w:t>
      </w:r>
      <w:r w:rsidRPr="005D42B6">
        <w:rPr>
          <w:rFonts w:ascii="Times New Roman" w:eastAsia="Times New Roman" w:hAnsi="Times New Roman" w:cs="Times New Roman"/>
          <w:b/>
          <w:bCs/>
          <w:noProof/>
          <w:sz w:val="20"/>
          <w:szCs w:val="20"/>
          <w:lang w:val="en-GB" w:eastAsia="en-IE"/>
        </w:rPr>
        <w:fldChar w:fldCharType="end"/>
      </w:r>
      <w:bookmarkEnd w:id="7"/>
      <w:r w:rsidRPr="005D42B6">
        <w:rPr>
          <w:rFonts w:ascii="Times New Roman" w:eastAsia="Times New Roman" w:hAnsi="Times New Roman" w:cs="Times New Roman"/>
          <w:b/>
          <w:bCs/>
          <w:noProof/>
          <w:sz w:val="20"/>
          <w:szCs w:val="20"/>
          <w:lang w:val="en-GB" w:eastAsia="en-IE"/>
        </w:rPr>
        <w:t xml:space="preserve"> </w:t>
      </w:r>
      <w:r w:rsidR="005501A9">
        <w:rPr>
          <w:rFonts w:ascii="Times New Roman" w:eastAsia="Times New Roman" w:hAnsi="Times New Roman" w:cs="Times New Roman"/>
          <w:b/>
          <w:bCs/>
          <w:noProof/>
          <w:sz w:val="20"/>
          <w:szCs w:val="20"/>
          <w:lang w:val="en-GB" w:eastAsia="en-IE"/>
        </w:rPr>
        <w:t>–</w:t>
      </w:r>
      <w:r w:rsidRPr="005D42B6">
        <w:rPr>
          <w:rFonts w:ascii="Times New Roman" w:eastAsia="Times New Roman" w:hAnsi="Times New Roman" w:cs="Times New Roman"/>
          <w:b/>
          <w:bCs/>
          <w:noProof/>
          <w:sz w:val="20"/>
          <w:szCs w:val="20"/>
          <w:lang w:val="en-GB" w:eastAsia="en-IE"/>
        </w:rPr>
        <w:t xml:space="preserve"> Measures</w:t>
      </w:r>
      <w:r w:rsidR="005501A9">
        <w:rPr>
          <w:rFonts w:ascii="Times New Roman" w:eastAsia="Times New Roman" w:hAnsi="Times New Roman" w:cs="Times New Roman"/>
          <w:b/>
          <w:bCs/>
          <w:noProof/>
          <w:sz w:val="20"/>
          <w:szCs w:val="20"/>
          <w:lang w:val="en-GB" w:eastAsia="en-IE"/>
        </w:rPr>
        <w:t xml:space="preserve"> on</w:t>
      </w:r>
      <w:r w:rsidR="00781C5F">
        <w:rPr>
          <w:rFonts w:ascii="Times New Roman" w:eastAsia="Times New Roman" w:hAnsi="Times New Roman" w:cs="Times New Roman"/>
          <w:b/>
          <w:bCs/>
          <w:noProof/>
          <w:sz w:val="20"/>
          <w:szCs w:val="20"/>
          <w:lang w:val="en-GB" w:eastAsia="en-IE"/>
        </w:rPr>
        <w:t xml:space="preserve"> </w:t>
      </w:r>
      <w:r w:rsidR="005501A9">
        <w:rPr>
          <w:rFonts w:ascii="Times New Roman" w:eastAsia="Times New Roman" w:hAnsi="Times New Roman" w:cs="Times New Roman"/>
          <w:b/>
          <w:bCs/>
          <w:noProof/>
          <w:sz w:val="20"/>
          <w:szCs w:val="20"/>
          <w:lang w:val="en-GB" w:eastAsia="en-IE"/>
        </w:rPr>
        <w:t>i</w:t>
      </w:r>
      <w:r w:rsidR="005501A9" w:rsidRPr="005501A9">
        <w:rPr>
          <w:rFonts w:ascii="Times New Roman" w:eastAsia="Times New Roman" w:hAnsi="Times New Roman" w:cs="Times New Roman"/>
          <w:b/>
          <w:bCs/>
          <w:noProof/>
          <w:sz w:val="20"/>
          <w:szCs w:val="20"/>
          <w:lang w:val="en-GB" w:eastAsia="en-IE"/>
        </w:rPr>
        <w:t xml:space="preserve">mplementation of filling targets </w:t>
      </w:r>
      <w:r w:rsidR="005501A9">
        <w:rPr>
          <w:rFonts w:ascii="Times New Roman" w:eastAsia="Times New Roman" w:hAnsi="Times New Roman" w:cs="Times New Roman"/>
          <w:b/>
          <w:bCs/>
          <w:noProof/>
          <w:sz w:val="20"/>
          <w:szCs w:val="20"/>
          <w:lang w:val="en-GB" w:eastAsia="en-IE"/>
        </w:rPr>
        <w:t xml:space="preserve">as </w:t>
      </w:r>
      <w:r w:rsidRPr="005D42B6">
        <w:rPr>
          <w:rFonts w:ascii="Times New Roman" w:eastAsia="Times New Roman" w:hAnsi="Times New Roman" w:cs="Times New Roman"/>
          <w:b/>
          <w:bCs/>
          <w:noProof/>
          <w:sz w:val="20"/>
          <w:szCs w:val="20"/>
          <w:lang w:val="en-GB" w:eastAsia="en-IE"/>
        </w:rPr>
        <w:t xml:space="preserve">of </w:t>
      </w:r>
      <w:r w:rsidR="005501A9">
        <w:rPr>
          <w:rFonts w:ascii="Times New Roman" w:eastAsia="Times New Roman" w:hAnsi="Times New Roman" w:cs="Times New Roman"/>
          <w:b/>
          <w:bCs/>
          <w:noProof/>
          <w:sz w:val="20"/>
          <w:szCs w:val="20"/>
          <w:lang w:val="en-GB" w:eastAsia="en-IE"/>
        </w:rPr>
        <w:t>A</w:t>
      </w:r>
      <w:r w:rsidRPr="005D42B6">
        <w:rPr>
          <w:rFonts w:ascii="Times New Roman" w:eastAsia="Times New Roman" w:hAnsi="Times New Roman" w:cs="Times New Roman"/>
          <w:b/>
          <w:bCs/>
          <w:noProof/>
          <w:sz w:val="20"/>
          <w:szCs w:val="20"/>
          <w:lang w:val="en-GB" w:eastAsia="en-IE"/>
        </w:rPr>
        <w:t xml:space="preserve">rticle </w:t>
      </w:r>
      <w:r w:rsidRPr="00781C5F">
        <w:rPr>
          <w:rFonts w:ascii="Times New Roman" w:eastAsia="Times New Roman" w:hAnsi="Times New Roman" w:cs="Times New Roman"/>
          <w:b/>
          <w:bCs/>
          <w:noProof/>
          <w:sz w:val="20"/>
          <w:szCs w:val="20"/>
          <w:lang w:val="en-GB" w:eastAsia="en-IE"/>
        </w:rPr>
        <w:t>6b</w:t>
      </w:r>
      <w:r w:rsidRPr="005D42B6">
        <w:rPr>
          <w:rFonts w:ascii="Times New Roman" w:eastAsia="Times New Roman" w:hAnsi="Times New Roman" w:cs="Times New Roman"/>
          <w:b/>
          <w:bCs/>
          <w:noProof/>
          <w:sz w:val="20"/>
          <w:szCs w:val="20"/>
          <w:lang w:val="en-GB" w:eastAsia="en-IE"/>
        </w:rPr>
        <w:t xml:space="preserve"> </w:t>
      </w:r>
      <w:r w:rsidR="00B33468">
        <w:rPr>
          <w:rFonts w:ascii="Times New Roman" w:eastAsia="Times New Roman" w:hAnsi="Times New Roman" w:cs="Times New Roman"/>
          <w:b/>
          <w:bCs/>
          <w:noProof/>
          <w:sz w:val="20"/>
          <w:szCs w:val="20"/>
          <w:lang w:val="en-GB" w:eastAsia="en-IE"/>
        </w:rPr>
        <w:t xml:space="preserve">of the Gas Storage Regulation </w:t>
      </w:r>
      <w:r w:rsidRPr="005D42B6">
        <w:rPr>
          <w:rFonts w:ascii="Times New Roman" w:eastAsia="Times New Roman" w:hAnsi="Times New Roman" w:cs="Times New Roman"/>
          <w:b/>
          <w:bCs/>
          <w:noProof/>
          <w:sz w:val="20"/>
          <w:szCs w:val="20"/>
          <w:lang w:val="en-GB" w:eastAsia="en-IE"/>
        </w:rPr>
        <w:t xml:space="preserve">per Member State with </w:t>
      </w:r>
      <w:r w:rsidR="00C10771">
        <w:rPr>
          <w:rFonts w:ascii="Times New Roman" w:eastAsia="Times New Roman" w:hAnsi="Times New Roman" w:cs="Times New Roman"/>
          <w:b/>
          <w:bCs/>
          <w:noProof/>
          <w:sz w:val="20"/>
          <w:szCs w:val="20"/>
          <w:lang w:val="en-GB" w:eastAsia="en-IE"/>
        </w:rPr>
        <w:t xml:space="preserve">Underground </w:t>
      </w:r>
      <w:r w:rsidR="001863CC">
        <w:rPr>
          <w:rFonts w:ascii="Times New Roman" w:eastAsia="Times New Roman" w:hAnsi="Times New Roman" w:cs="Times New Roman"/>
          <w:b/>
          <w:bCs/>
          <w:noProof/>
          <w:sz w:val="20"/>
          <w:szCs w:val="20"/>
          <w:lang w:val="en-GB" w:eastAsia="en-IE"/>
        </w:rPr>
        <w:t>G</w:t>
      </w:r>
      <w:r w:rsidR="00C10771">
        <w:rPr>
          <w:rFonts w:ascii="Times New Roman" w:eastAsia="Times New Roman" w:hAnsi="Times New Roman" w:cs="Times New Roman"/>
          <w:b/>
          <w:bCs/>
          <w:noProof/>
          <w:sz w:val="20"/>
          <w:szCs w:val="20"/>
          <w:lang w:val="en-GB" w:eastAsia="en-IE"/>
        </w:rPr>
        <w:t>as Storage (</w:t>
      </w:r>
      <w:r w:rsidRPr="005D42B6">
        <w:rPr>
          <w:rFonts w:ascii="Times New Roman" w:eastAsia="Times New Roman" w:hAnsi="Times New Roman" w:cs="Times New Roman"/>
          <w:b/>
          <w:bCs/>
          <w:noProof/>
          <w:sz w:val="20"/>
          <w:szCs w:val="20"/>
          <w:lang w:val="en-GB" w:eastAsia="en-IE"/>
        </w:rPr>
        <w:t>UGS</w:t>
      </w:r>
      <w:r w:rsidR="00C10771">
        <w:rPr>
          <w:rFonts w:ascii="Times New Roman" w:eastAsia="Times New Roman" w:hAnsi="Times New Roman" w:cs="Times New Roman"/>
          <w:b/>
          <w:bCs/>
          <w:noProof/>
          <w:sz w:val="20"/>
          <w:szCs w:val="20"/>
          <w:lang w:val="en-GB" w:eastAsia="en-IE"/>
        </w:rPr>
        <w:t>)</w:t>
      </w:r>
      <w:r w:rsidRPr="005D42B6">
        <w:rPr>
          <w:rFonts w:ascii="Times New Roman" w:eastAsia="Times New Roman" w:hAnsi="Times New Roman" w:cs="Times New Roman"/>
          <w:b/>
          <w:bCs/>
          <w:noProof/>
          <w:sz w:val="20"/>
          <w:szCs w:val="20"/>
          <w:lang w:val="en-GB" w:eastAsia="en-IE"/>
        </w:rPr>
        <w:t xml:space="preserve"> </w:t>
      </w:r>
    </w:p>
    <w:p w14:paraId="426358C3" w14:textId="77777777" w:rsidR="005D42B6" w:rsidRPr="005D42B6" w:rsidRDefault="005D42B6" w:rsidP="005D42B6">
      <w:pPr>
        <w:spacing w:after="80" w:line="240" w:lineRule="auto"/>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GB"/>
        </w:rPr>
        <w:drawing>
          <wp:inline distT="0" distB="0" distL="0" distR="0" wp14:anchorId="5CF602F4" wp14:editId="6A2CCB18">
            <wp:extent cx="5305425" cy="274013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15176" cy="2745167"/>
                    </a:xfrm>
                    <a:prstGeom prst="rect">
                      <a:avLst/>
                    </a:prstGeom>
                  </pic:spPr>
                </pic:pic>
              </a:graphicData>
            </a:graphic>
          </wp:inline>
        </w:drawing>
      </w:r>
    </w:p>
    <w:p w14:paraId="7850F745" w14:textId="77777777" w:rsidR="005D42B6" w:rsidRPr="005D42B6" w:rsidRDefault="005D42B6" w:rsidP="005D42B6">
      <w:pPr>
        <w:spacing w:after="0" w:line="240" w:lineRule="auto"/>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T means temporary measure</w:t>
      </w:r>
    </w:p>
    <w:p w14:paraId="00EE257B" w14:textId="5A041906" w:rsidR="009E0BE4" w:rsidRDefault="005D42B6" w:rsidP="000D7182">
      <w:pPr>
        <w:spacing w:after="0" w:line="240" w:lineRule="auto"/>
        <w:jc w:val="both"/>
        <w:rPr>
          <w:rFonts w:ascii="Times New Roman" w:eastAsia="Times New Roman" w:hAnsi="Times New Roman" w:cs="Times New Roman"/>
          <w:i/>
          <w:iCs/>
          <w:noProof/>
          <w:sz w:val="20"/>
          <w:szCs w:val="20"/>
          <w:lang w:val="en-GB" w:eastAsia="en-IE"/>
        </w:rPr>
      </w:pPr>
      <w:r w:rsidRPr="007D1226">
        <w:rPr>
          <w:rFonts w:ascii="Times New Roman" w:eastAsia="Times New Roman" w:hAnsi="Times New Roman" w:cs="Times New Roman"/>
          <w:i/>
          <w:iCs/>
          <w:noProof/>
          <w:sz w:val="20"/>
          <w:szCs w:val="20"/>
          <w:lang w:val="en-GB" w:eastAsia="en-IE"/>
        </w:rPr>
        <w:t xml:space="preserve">Source: Member States' responses to EC survey and </w:t>
      </w:r>
      <w:hyperlink r:id="rId19" w:history="1">
        <w:r w:rsidRPr="007D1226">
          <w:rPr>
            <w:rFonts w:ascii="Times New Roman" w:eastAsia="Times New Roman" w:hAnsi="Times New Roman" w:cs="Times New Roman"/>
            <w:i/>
            <w:iCs/>
            <w:noProof/>
            <w:color w:val="0563C1"/>
            <w:sz w:val="20"/>
            <w:szCs w:val="20"/>
            <w:u w:val="single"/>
            <w:lang w:val="en-GB" w:eastAsia="en-IE"/>
          </w:rPr>
          <w:t>ACER and VIS gas storage report 2023</w:t>
        </w:r>
      </w:hyperlink>
    </w:p>
    <w:p w14:paraId="55D44F3D" w14:textId="77777777" w:rsidR="000D7182" w:rsidRPr="000D7182" w:rsidRDefault="000D7182" w:rsidP="000D7182">
      <w:pPr>
        <w:spacing w:after="0" w:line="240" w:lineRule="auto"/>
        <w:jc w:val="both"/>
        <w:rPr>
          <w:rFonts w:ascii="Times New Roman" w:eastAsia="Times New Roman" w:hAnsi="Times New Roman" w:cs="Times New Roman"/>
          <w:i/>
          <w:iCs/>
          <w:noProof/>
          <w:sz w:val="20"/>
          <w:szCs w:val="20"/>
          <w:lang w:val="en-GB" w:eastAsia="en-IE"/>
        </w:rPr>
      </w:pPr>
    </w:p>
    <w:p w14:paraId="6EED43E2" w14:textId="6B7BA176" w:rsidR="005D42B6" w:rsidRPr="005D42B6" w:rsidRDefault="005D42B6" w:rsidP="005D42B6">
      <w:pPr>
        <w:spacing w:before="120" w:after="120" w:line="240" w:lineRule="auto"/>
        <w:jc w:val="both"/>
        <w:rPr>
          <w:rFonts w:ascii="Times New Roman" w:eastAsia="Times New Roman" w:hAnsi="Times New Roman" w:cs="Times New Roman"/>
          <w:noProof/>
          <w:color w:val="000000"/>
          <w:sz w:val="24"/>
          <w:szCs w:val="24"/>
          <w:lang w:val="en-GB" w:eastAsia="en-IE"/>
        </w:rPr>
      </w:pPr>
      <w:r w:rsidRPr="005D42B6">
        <w:rPr>
          <w:rFonts w:ascii="Times New Roman" w:eastAsia="Times New Roman" w:hAnsi="Times New Roman" w:cs="Times New Roman"/>
          <w:noProof/>
          <w:color w:val="000000"/>
          <w:sz w:val="24"/>
          <w:szCs w:val="24"/>
          <w:lang w:val="en-GB" w:eastAsia="en-IE"/>
        </w:rPr>
        <w:t>The burden-sharing mechanism</w:t>
      </w:r>
      <w:r w:rsidR="00434C40">
        <w:rPr>
          <w:rFonts w:ascii="Times New Roman" w:eastAsia="Times New Roman" w:hAnsi="Times New Roman" w:cs="Times New Roman"/>
          <w:noProof/>
          <w:color w:val="000000"/>
          <w:sz w:val="24"/>
          <w:szCs w:val="24"/>
          <w:lang w:val="en-GB" w:eastAsia="en-IE"/>
        </w:rPr>
        <w:t>,</w:t>
      </w:r>
      <w:r w:rsidRPr="005D42B6">
        <w:rPr>
          <w:rFonts w:ascii="Times New Roman" w:eastAsia="Times New Roman" w:hAnsi="Times New Roman" w:cs="Times New Roman"/>
          <w:noProof/>
          <w:color w:val="000000"/>
          <w:sz w:val="24"/>
          <w:szCs w:val="24"/>
          <w:lang w:val="en-GB" w:eastAsia="en-IE"/>
        </w:rPr>
        <w:t xml:space="preserve"> </w:t>
      </w:r>
      <w:r w:rsidR="00862815">
        <w:rPr>
          <w:rFonts w:ascii="Times New Roman" w:eastAsia="Times New Roman" w:hAnsi="Times New Roman" w:cs="Times New Roman"/>
          <w:noProof/>
          <w:color w:val="000000"/>
          <w:sz w:val="24"/>
          <w:szCs w:val="24"/>
          <w:lang w:val="en-GB" w:eastAsia="en-IE"/>
        </w:rPr>
        <w:t xml:space="preserve">as identified by the </w:t>
      </w:r>
      <w:r w:rsidR="00C75022">
        <w:rPr>
          <w:rFonts w:ascii="Times New Roman" w:eastAsia="Times New Roman" w:hAnsi="Times New Roman" w:cs="Times New Roman"/>
          <w:noProof/>
          <w:color w:val="000000"/>
          <w:sz w:val="24"/>
          <w:szCs w:val="24"/>
          <w:lang w:val="en-GB" w:eastAsia="en-IE"/>
        </w:rPr>
        <w:t>Article 6</w:t>
      </w:r>
      <w:r w:rsidR="00C75022" w:rsidRPr="007D1226">
        <w:rPr>
          <w:rFonts w:ascii="Times New Roman" w:eastAsia="Times New Roman" w:hAnsi="Times New Roman" w:cs="Times New Roman"/>
          <w:i/>
          <w:iCs/>
          <w:noProof/>
          <w:color w:val="000000"/>
          <w:sz w:val="24"/>
          <w:szCs w:val="24"/>
          <w:lang w:val="en-GB" w:eastAsia="en-IE"/>
        </w:rPr>
        <w:t>c</w:t>
      </w:r>
      <w:r w:rsidR="00C75022">
        <w:rPr>
          <w:rFonts w:ascii="Times New Roman" w:eastAsia="Times New Roman" w:hAnsi="Times New Roman" w:cs="Times New Roman"/>
          <w:noProof/>
          <w:color w:val="000000"/>
          <w:sz w:val="24"/>
          <w:szCs w:val="24"/>
          <w:lang w:val="en-GB" w:eastAsia="en-IE"/>
        </w:rPr>
        <w:t xml:space="preserve"> of the </w:t>
      </w:r>
      <w:r w:rsidRPr="005D42B6">
        <w:rPr>
          <w:rFonts w:ascii="Times New Roman" w:eastAsia="Times New Roman" w:hAnsi="Times New Roman" w:cs="Times New Roman"/>
          <w:noProof/>
          <w:color w:val="000000"/>
          <w:sz w:val="24"/>
          <w:szCs w:val="24"/>
          <w:lang w:val="en-GB" w:eastAsia="en-IE"/>
        </w:rPr>
        <w:t>Regulation</w:t>
      </w:r>
      <w:r w:rsidR="00434C40">
        <w:rPr>
          <w:rFonts w:ascii="Times New Roman" w:eastAsia="Times New Roman" w:hAnsi="Times New Roman" w:cs="Times New Roman"/>
          <w:noProof/>
          <w:color w:val="000000"/>
          <w:sz w:val="24"/>
          <w:szCs w:val="24"/>
          <w:lang w:val="en-GB" w:eastAsia="en-IE"/>
        </w:rPr>
        <w:t>,</w:t>
      </w:r>
      <w:r w:rsidRPr="005D42B6">
        <w:rPr>
          <w:rFonts w:ascii="Times New Roman" w:eastAsia="Times New Roman" w:hAnsi="Times New Roman" w:cs="Times New Roman"/>
          <w:noProof/>
          <w:color w:val="000000"/>
          <w:sz w:val="24"/>
          <w:szCs w:val="24"/>
          <w:lang w:val="en-GB" w:eastAsia="en-IE"/>
        </w:rPr>
        <w:t xml:space="preserve"> provides that Member States without storage facilities on their territories store gas volumes in other Member States corresponding to at least 15% of their annual consumption.</w:t>
      </w:r>
    </w:p>
    <w:p w14:paraId="1F521C5B" w14:textId="5AFE7F62" w:rsidR="005D42B6" w:rsidRPr="005D42B6" w:rsidRDefault="536FD9F5" w:rsidP="005D42B6">
      <w:pPr>
        <w:spacing w:after="120" w:line="240" w:lineRule="auto"/>
        <w:jc w:val="both"/>
        <w:rPr>
          <w:rFonts w:ascii="Times New Roman" w:eastAsia="Times New Roman" w:hAnsi="Times New Roman" w:cs="Times New Roman"/>
          <w:noProof/>
          <w:color w:val="000000"/>
          <w:sz w:val="24"/>
          <w:szCs w:val="24"/>
          <w:lang w:val="en-GB" w:eastAsia="en-IE"/>
        </w:rPr>
      </w:pPr>
      <w:r w:rsidRPr="45380DDC">
        <w:rPr>
          <w:rFonts w:ascii="Times New Roman" w:eastAsia="Times New Roman" w:hAnsi="Times New Roman" w:cs="Times New Roman"/>
          <w:noProof/>
          <w:color w:val="000000" w:themeColor="text1"/>
          <w:sz w:val="24"/>
          <w:szCs w:val="24"/>
          <w:lang w:val="en-GB" w:eastAsia="en-IE"/>
        </w:rPr>
        <w:t>The Commission survey indicates that i</w:t>
      </w:r>
      <w:r w:rsidR="00862815" w:rsidRPr="45380DDC">
        <w:rPr>
          <w:rFonts w:ascii="Times New Roman" w:eastAsia="Times New Roman" w:hAnsi="Times New Roman" w:cs="Times New Roman"/>
          <w:noProof/>
          <w:color w:val="000000" w:themeColor="text1"/>
          <w:sz w:val="24"/>
          <w:szCs w:val="24"/>
          <w:lang w:val="en-GB" w:eastAsia="en-IE"/>
        </w:rPr>
        <w:t xml:space="preserve">n 2023 </w:t>
      </w:r>
      <w:r w:rsidR="00842106" w:rsidRPr="45380DDC">
        <w:rPr>
          <w:rFonts w:ascii="Times New Roman" w:eastAsia="Times New Roman" w:hAnsi="Times New Roman" w:cs="Times New Roman"/>
          <w:noProof/>
          <w:color w:val="000000" w:themeColor="text1"/>
          <w:sz w:val="24"/>
          <w:szCs w:val="24"/>
          <w:lang w:val="en-GB" w:eastAsia="en-IE"/>
        </w:rPr>
        <w:t xml:space="preserve">the </w:t>
      </w:r>
      <w:r w:rsidR="005B6950" w:rsidRPr="45380DDC">
        <w:rPr>
          <w:rFonts w:ascii="Times New Roman" w:eastAsia="Times New Roman" w:hAnsi="Times New Roman" w:cs="Times New Roman"/>
          <w:noProof/>
          <w:color w:val="000000" w:themeColor="text1"/>
          <w:sz w:val="24"/>
          <w:szCs w:val="24"/>
          <w:lang w:val="en-GB" w:eastAsia="en-IE"/>
        </w:rPr>
        <w:t xml:space="preserve">burden sharing mechanism </w:t>
      </w:r>
      <w:r w:rsidR="00966C16" w:rsidRPr="45380DDC">
        <w:rPr>
          <w:rFonts w:ascii="Times New Roman" w:eastAsia="Times New Roman" w:hAnsi="Times New Roman" w:cs="Times New Roman"/>
          <w:noProof/>
          <w:color w:val="000000" w:themeColor="text1"/>
          <w:sz w:val="24"/>
          <w:szCs w:val="24"/>
          <w:lang w:val="en-GB" w:eastAsia="en-IE"/>
        </w:rPr>
        <w:t xml:space="preserve">has been </w:t>
      </w:r>
      <w:r w:rsidR="005B6950" w:rsidRPr="45380DDC">
        <w:rPr>
          <w:rFonts w:ascii="Times New Roman" w:eastAsia="Times New Roman" w:hAnsi="Times New Roman" w:cs="Times New Roman"/>
          <w:noProof/>
          <w:color w:val="000000" w:themeColor="text1"/>
          <w:sz w:val="24"/>
          <w:szCs w:val="24"/>
          <w:lang w:val="en-GB" w:eastAsia="en-IE"/>
        </w:rPr>
        <w:t>applied</w:t>
      </w:r>
      <w:r w:rsidR="43B05E62" w:rsidRPr="45380DDC">
        <w:rPr>
          <w:rFonts w:ascii="Times New Roman" w:eastAsia="Times New Roman" w:hAnsi="Times New Roman" w:cs="Times New Roman"/>
          <w:noProof/>
          <w:color w:val="000000" w:themeColor="text1"/>
          <w:sz w:val="24"/>
          <w:szCs w:val="24"/>
          <w:lang w:val="en-GB" w:eastAsia="en-IE"/>
        </w:rPr>
        <w:t xml:space="preserve"> </w:t>
      </w:r>
      <w:r w:rsidR="005B6950" w:rsidRPr="45380DDC">
        <w:rPr>
          <w:rFonts w:ascii="Times New Roman" w:eastAsia="Times New Roman" w:hAnsi="Times New Roman" w:cs="Times New Roman"/>
          <w:noProof/>
          <w:color w:val="000000" w:themeColor="text1"/>
          <w:sz w:val="24"/>
          <w:szCs w:val="24"/>
          <w:lang w:val="en-GB" w:eastAsia="en-IE"/>
        </w:rPr>
        <w:t xml:space="preserve">in </w:t>
      </w:r>
      <w:r w:rsidR="0C3A3602" w:rsidRPr="45380DDC">
        <w:rPr>
          <w:rFonts w:ascii="Times New Roman" w:eastAsia="Times New Roman" w:hAnsi="Times New Roman" w:cs="Times New Roman"/>
          <w:noProof/>
          <w:color w:val="000000" w:themeColor="text1"/>
          <w:sz w:val="24"/>
          <w:szCs w:val="24"/>
          <w:lang w:val="en-GB" w:eastAsia="en-IE"/>
        </w:rPr>
        <w:t>at least</w:t>
      </w:r>
      <w:r w:rsidR="005B6950" w:rsidRPr="45380DDC">
        <w:rPr>
          <w:rFonts w:ascii="Times New Roman" w:eastAsia="Times New Roman" w:hAnsi="Times New Roman" w:cs="Times New Roman"/>
          <w:noProof/>
          <w:color w:val="000000" w:themeColor="text1"/>
          <w:sz w:val="24"/>
          <w:szCs w:val="24"/>
          <w:lang w:val="en-GB" w:eastAsia="en-IE"/>
        </w:rPr>
        <w:t xml:space="preserve"> </w:t>
      </w:r>
      <w:r w:rsidR="00015E63" w:rsidRPr="45380DDC">
        <w:rPr>
          <w:rFonts w:ascii="Times New Roman" w:eastAsia="Times New Roman" w:hAnsi="Times New Roman" w:cs="Times New Roman"/>
          <w:noProof/>
          <w:color w:val="000000" w:themeColor="text1"/>
          <w:sz w:val="24"/>
          <w:szCs w:val="24"/>
          <w:lang w:val="en-GB" w:eastAsia="en-IE"/>
        </w:rPr>
        <w:t>three Member States without gas storage facilities</w:t>
      </w:r>
      <w:r w:rsidR="000C236C" w:rsidRPr="45380DDC">
        <w:rPr>
          <w:rFonts w:ascii="Times New Roman" w:eastAsia="Times New Roman" w:hAnsi="Times New Roman" w:cs="Times New Roman"/>
          <w:noProof/>
          <w:color w:val="000000" w:themeColor="text1"/>
          <w:sz w:val="24"/>
          <w:szCs w:val="24"/>
          <w:lang w:val="en-GB" w:eastAsia="en-IE"/>
        </w:rPr>
        <w:t xml:space="preserve">. </w:t>
      </w:r>
      <w:r w:rsidR="005D42B6" w:rsidRPr="45380DDC">
        <w:rPr>
          <w:rFonts w:ascii="Times New Roman" w:eastAsia="Times New Roman" w:hAnsi="Times New Roman" w:cs="Times New Roman"/>
          <w:noProof/>
          <w:color w:val="000000" w:themeColor="text1"/>
          <w:sz w:val="24"/>
          <w:szCs w:val="24"/>
          <w:lang w:val="en-GB" w:eastAsia="en-IE"/>
        </w:rPr>
        <w:t>Estonia</w:t>
      </w:r>
      <w:r w:rsidR="00F370E0" w:rsidRPr="45380DDC">
        <w:rPr>
          <w:rFonts w:ascii="Times New Roman" w:eastAsia="Times New Roman" w:hAnsi="Times New Roman" w:cs="Times New Roman"/>
          <w:noProof/>
          <w:color w:val="000000" w:themeColor="text1"/>
          <w:sz w:val="24"/>
          <w:szCs w:val="24"/>
          <w:lang w:val="en-GB" w:eastAsia="en-IE"/>
        </w:rPr>
        <w:t xml:space="preserve"> </w:t>
      </w:r>
      <w:r w:rsidR="005D42B6" w:rsidRPr="45380DDC">
        <w:rPr>
          <w:rFonts w:ascii="Times New Roman" w:eastAsia="Times New Roman" w:hAnsi="Times New Roman" w:cs="Times New Roman"/>
          <w:noProof/>
          <w:color w:val="000000" w:themeColor="text1"/>
          <w:sz w:val="24"/>
          <w:szCs w:val="24"/>
          <w:lang w:val="en-GB" w:eastAsia="en-IE"/>
        </w:rPr>
        <w:t xml:space="preserve">arranged the purchase of 1 TWh (30% of the annual consumption) as a national strategic reserve to be stored in Latvia. Lithuania </w:t>
      </w:r>
      <w:r w:rsidR="429787B0" w:rsidRPr="45380DDC">
        <w:rPr>
          <w:rFonts w:ascii="Times New Roman" w:eastAsia="Times New Roman" w:hAnsi="Times New Roman" w:cs="Times New Roman"/>
          <w:noProof/>
          <w:color w:val="000000" w:themeColor="text1"/>
          <w:sz w:val="24"/>
          <w:szCs w:val="24"/>
          <w:lang w:val="en-GB" w:eastAsia="en-IE"/>
        </w:rPr>
        <w:t>confirmed it stored</w:t>
      </w:r>
      <w:r w:rsidR="005D42B6" w:rsidRPr="45380DDC">
        <w:rPr>
          <w:rFonts w:ascii="Times New Roman" w:eastAsia="Times New Roman" w:hAnsi="Times New Roman" w:cs="Times New Roman"/>
          <w:noProof/>
          <w:color w:val="000000" w:themeColor="text1"/>
          <w:sz w:val="24"/>
          <w:szCs w:val="24"/>
          <w:lang w:val="en-GB" w:eastAsia="en-IE"/>
        </w:rPr>
        <w:t xml:space="preserve"> ca. 2.05 TWh stored in Latvia, equivalent to the average usage of the preceding 5 years. Slovenia </w:t>
      </w:r>
      <w:r w:rsidR="5EEA5031" w:rsidRPr="45380DDC">
        <w:rPr>
          <w:rFonts w:ascii="Times New Roman" w:eastAsia="Times New Roman" w:hAnsi="Times New Roman" w:cs="Times New Roman"/>
          <w:noProof/>
          <w:color w:val="000000" w:themeColor="text1"/>
          <w:sz w:val="24"/>
          <w:szCs w:val="24"/>
          <w:lang w:val="en-GB" w:eastAsia="en-IE"/>
        </w:rPr>
        <w:t>also confirmed that</w:t>
      </w:r>
      <w:r w:rsidR="005D42B6" w:rsidRPr="45380DDC">
        <w:rPr>
          <w:rFonts w:ascii="Times New Roman" w:eastAsia="Times New Roman" w:hAnsi="Times New Roman" w:cs="Times New Roman"/>
          <w:noProof/>
          <w:color w:val="000000" w:themeColor="text1"/>
          <w:sz w:val="24"/>
          <w:szCs w:val="24"/>
          <w:lang w:val="en-GB" w:eastAsia="en-IE"/>
        </w:rPr>
        <w:t xml:space="preserve"> </w:t>
      </w:r>
      <w:r w:rsidR="65A4DE2C" w:rsidRPr="45380DDC">
        <w:rPr>
          <w:rFonts w:ascii="Times New Roman" w:eastAsia="Times New Roman" w:hAnsi="Times New Roman" w:cs="Times New Roman"/>
          <w:noProof/>
          <w:color w:val="000000" w:themeColor="text1"/>
          <w:sz w:val="24"/>
          <w:szCs w:val="24"/>
          <w:lang w:val="en-GB" w:eastAsia="en-IE"/>
        </w:rPr>
        <w:t>its</w:t>
      </w:r>
      <w:r w:rsidR="005D42B6" w:rsidRPr="45380DDC">
        <w:rPr>
          <w:rFonts w:ascii="Times New Roman" w:eastAsia="Times New Roman" w:hAnsi="Times New Roman" w:cs="Times New Roman"/>
          <w:noProof/>
          <w:color w:val="000000" w:themeColor="text1"/>
          <w:sz w:val="24"/>
          <w:szCs w:val="24"/>
          <w:lang w:val="en-GB" w:eastAsia="en-IE"/>
        </w:rPr>
        <w:t xml:space="preserve"> suppliers store gas on commercial basis corresponding to 15% of the previous 5-year consumption. </w:t>
      </w:r>
    </w:p>
    <w:p w14:paraId="7E942135" w14:textId="1E75773D" w:rsidR="00A06558" w:rsidRDefault="005D42B6" w:rsidP="005D42B6">
      <w:pPr>
        <w:spacing w:after="120" w:line="240" w:lineRule="auto"/>
        <w:jc w:val="both"/>
        <w:rPr>
          <w:rFonts w:ascii="Times New Roman" w:eastAsia="Times New Roman" w:hAnsi="Times New Roman" w:cs="Times New Roman"/>
          <w:noProof/>
          <w:sz w:val="24"/>
          <w:szCs w:val="24"/>
          <w:lang w:val="en-GB" w:eastAsia="en-IE"/>
        </w:rPr>
      </w:pPr>
      <w:r w:rsidRPr="005D42B6">
        <w:rPr>
          <w:rFonts w:ascii="Times New Roman" w:eastAsia="Times New Roman" w:hAnsi="Times New Roman" w:cs="Times New Roman"/>
          <w:noProof/>
          <w:sz w:val="24"/>
          <w:szCs w:val="24"/>
          <w:lang w:val="en-GB" w:eastAsia="en-IE"/>
        </w:rPr>
        <w:t xml:space="preserve">At the end of the winter 2022-2023, EU storage were 56% full. </w:t>
      </w:r>
      <w:r w:rsidRPr="00792FF8">
        <w:rPr>
          <w:rFonts w:ascii="Times New Roman" w:eastAsia="Times New Roman" w:hAnsi="Times New Roman" w:cs="Times New Roman"/>
          <w:noProof/>
          <w:sz w:val="24"/>
          <w:szCs w:val="24"/>
          <w:lang w:val="en-GB" w:eastAsia="en-IE"/>
        </w:rPr>
        <w:t xml:space="preserve">This higher-than-average level </w:t>
      </w:r>
      <w:r w:rsidR="00B43000" w:rsidRPr="00792FF8">
        <w:rPr>
          <w:rFonts w:ascii="Times New Roman" w:eastAsia="Times New Roman" w:hAnsi="Times New Roman" w:cs="Times New Roman"/>
          <w:noProof/>
          <w:sz w:val="24"/>
          <w:szCs w:val="24"/>
          <w:lang w:val="en-GB" w:eastAsia="en-IE"/>
        </w:rPr>
        <w:t xml:space="preserve">has been </w:t>
      </w:r>
      <w:r w:rsidR="4E9E8A3F" w:rsidRPr="00792FF8">
        <w:rPr>
          <w:rFonts w:ascii="Times New Roman" w:eastAsia="Times New Roman" w:hAnsi="Times New Roman" w:cs="Times New Roman"/>
          <w:noProof/>
          <w:sz w:val="24"/>
          <w:szCs w:val="24"/>
          <w:lang w:val="en-GB" w:eastAsia="en-IE"/>
        </w:rPr>
        <w:t xml:space="preserve">significantly supported </w:t>
      </w:r>
      <w:r w:rsidR="00B43000" w:rsidRPr="00792FF8">
        <w:rPr>
          <w:rFonts w:ascii="Times New Roman" w:eastAsia="Times New Roman" w:hAnsi="Times New Roman" w:cs="Times New Roman"/>
          <w:noProof/>
          <w:sz w:val="24"/>
          <w:szCs w:val="24"/>
          <w:lang w:val="en-GB" w:eastAsia="en-IE"/>
        </w:rPr>
        <w:t xml:space="preserve">by </w:t>
      </w:r>
      <w:r w:rsidR="006C6FBC" w:rsidRPr="00792FF8">
        <w:rPr>
          <w:rFonts w:ascii="Times New Roman" w:eastAsia="Times New Roman" w:hAnsi="Times New Roman" w:cs="Times New Roman"/>
          <w:noProof/>
          <w:sz w:val="24"/>
          <w:szCs w:val="24"/>
          <w:lang w:val="en-GB" w:eastAsia="en-IE"/>
        </w:rPr>
        <w:t xml:space="preserve">a reduced gas demand </w:t>
      </w:r>
      <w:r w:rsidR="68586327" w:rsidRPr="00792FF8">
        <w:rPr>
          <w:rFonts w:ascii="Times New Roman" w:eastAsia="Times New Roman" w:hAnsi="Times New Roman" w:cs="Times New Roman"/>
          <w:noProof/>
          <w:sz w:val="24"/>
          <w:szCs w:val="24"/>
          <w:lang w:val="en-GB" w:eastAsia="en-IE"/>
        </w:rPr>
        <w:t>of 18%</w:t>
      </w:r>
      <w:r w:rsidR="006C6FBC" w:rsidRPr="00792FF8">
        <w:rPr>
          <w:rFonts w:ascii="Times New Roman" w:eastAsia="Times New Roman" w:hAnsi="Times New Roman" w:cs="Times New Roman"/>
          <w:noProof/>
          <w:sz w:val="24"/>
          <w:szCs w:val="24"/>
          <w:lang w:val="en-GB" w:eastAsia="en-IE"/>
        </w:rPr>
        <w:t xml:space="preserve"> </w:t>
      </w:r>
      <w:r w:rsidR="002305A5" w:rsidRPr="00792FF8">
        <w:rPr>
          <w:rFonts w:ascii="Times New Roman" w:eastAsia="Times New Roman" w:hAnsi="Times New Roman" w:cs="Times New Roman"/>
          <w:noProof/>
          <w:sz w:val="24"/>
          <w:szCs w:val="24"/>
          <w:lang w:val="en-GB" w:eastAsia="en-IE"/>
        </w:rPr>
        <w:t>which participated to</w:t>
      </w:r>
      <w:r w:rsidR="002C7A70" w:rsidRPr="00792FF8">
        <w:rPr>
          <w:rFonts w:ascii="Times New Roman" w:eastAsia="Times New Roman" w:hAnsi="Times New Roman" w:cs="Times New Roman"/>
          <w:noProof/>
          <w:sz w:val="24"/>
          <w:szCs w:val="24"/>
          <w:lang w:val="en-GB" w:eastAsia="en-IE"/>
        </w:rPr>
        <w:t xml:space="preserve"> </w:t>
      </w:r>
      <w:r w:rsidR="004F6AF4" w:rsidRPr="00792FF8">
        <w:rPr>
          <w:rFonts w:ascii="Times New Roman" w:eastAsia="Times New Roman" w:hAnsi="Times New Roman" w:cs="Times New Roman"/>
          <w:noProof/>
          <w:sz w:val="24"/>
          <w:szCs w:val="24"/>
          <w:lang w:val="en-GB" w:eastAsia="en-IE"/>
        </w:rPr>
        <w:t>the</w:t>
      </w:r>
      <w:r w:rsidR="00C34194" w:rsidRPr="00792FF8">
        <w:rPr>
          <w:rFonts w:ascii="Times New Roman" w:eastAsia="Times New Roman" w:hAnsi="Times New Roman" w:cs="Times New Roman"/>
          <w:noProof/>
          <w:sz w:val="24"/>
          <w:szCs w:val="24"/>
          <w:lang w:val="en-GB" w:eastAsia="en-IE"/>
        </w:rPr>
        <w:t xml:space="preserve"> </w:t>
      </w:r>
      <w:r w:rsidRPr="00792FF8">
        <w:rPr>
          <w:rFonts w:ascii="Times New Roman" w:eastAsia="Times New Roman" w:hAnsi="Times New Roman" w:cs="Times New Roman"/>
          <w:noProof/>
          <w:sz w:val="24"/>
          <w:szCs w:val="24"/>
          <w:lang w:val="en-GB" w:eastAsia="en-IE"/>
        </w:rPr>
        <w:t xml:space="preserve">favourable market conditions </w:t>
      </w:r>
      <w:r w:rsidR="00C34194" w:rsidRPr="00792FF8">
        <w:rPr>
          <w:rFonts w:ascii="Times New Roman" w:eastAsia="Times New Roman" w:hAnsi="Times New Roman" w:cs="Times New Roman"/>
          <w:noProof/>
          <w:sz w:val="24"/>
          <w:szCs w:val="24"/>
          <w:lang w:val="en-GB" w:eastAsia="en-IE"/>
        </w:rPr>
        <w:t xml:space="preserve">that </w:t>
      </w:r>
      <w:r w:rsidRPr="00792FF8">
        <w:rPr>
          <w:rFonts w:ascii="Times New Roman" w:eastAsia="Times New Roman" w:hAnsi="Times New Roman" w:cs="Times New Roman"/>
          <w:noProof/>
          <w:sz w:val="24"/>
          <w:szCs w:val="24"/>
          <w:lang w:val="en-GB" w:eastAsia="en-IE"/>
        </w:rPr>
        <w:t xml:space="preserve">ease the refilling. </w:t>
      </w:r>
      <w:r w:rsidR="005A1F7C" w:rsidRPr="00792FF8">
        <w:rPr>
          <w:rFonts w:ascii="Times New Roman" w:eastAsia="Times New Roman" w:hAnsi="Times New Roman" w:cs="Times New Roman"/>
          <w:noProof/>
          <w:sz w:val="24"/>
          <w:szCs w:val="24"/>
          <w:lang w:val="en-GB" w:eastAsia="en-IE"/>
        </w:rPr>
        <w:t>I</w:t>
      </w:r>
      <w:r w:rsidRPr="00792FF8">
        <w:rPr>
          <w:rFonts w:ascii="Times New Roman" w:eastAsia="Times New Roman" w:hAnsi="Times New Roman" w:cs="Times New Roman"/>
          <w:noProof/>
          <w:sz w:val="24"/>
          <w:szCs w:val="24"/>
          <w:lang w:val="en-GB" w:eastAsia="en-IE"/>
        </w:rPr>
        <w:t>n 2023, 505 TWh (around 45 bcm) of gas was stored as a result of storage measures. Around 60% of the gas stored during the summer</w:t>
      </w:r>
      <w:r w:rsidR="4185930C" w:rsidRPr="00792FF8">
        <w:rPr>
          <w:rFonts w:ascii="Times New Roman" w:eastAsia="Times New Roman" w:hAnsi="Times New Roman" w:cs="Times New Roman"/>
          <w:noProof/>
          <w:sz w:val="24"/>
          <w:szCs w:val="24"/>
          <w:lang w:val="en-GB" w:eastAsia="en-IE"/>
        </w:rPr>
        <w:t xml:space="preserve"> 2023</w:t>
      </w:r>
      <w:r w:rsidR="001D1063">
        <w:rPr>
          <w:rFonts w:ascii="Times New Roman" w:eastAsia="Times New Roman" w:hAnsi="Times New Roman" w:cs="Times New Roman"/>
          <w:noProof/>
          <w:sz w:val="24"/>
          <w:szCs w:val="24"/>
          <w:lang w:val="en-GB" w:eastAsia="en-IE"/>
        </w:rPr>
        <w:t xml:space="preserve"> </w:t>
      </w:r>
      <w:r w:rsidRPr="00792FF8">
        <w:rPr>
          <w:rFonts w:ascii="Times New Roman" w:eastAsia="Times New Roman" w:hAnsi="Times New Roman" w:cs="Times New Roman"/>
          <w:noProof/>
          <w:sz w:val="24"/>
          <w:szCs w:val="24"/>
          <w:lang w:val="en-GB" w:eastAsia="en-IE"/>
        </w:rPr>
        <w:t>was</w:t>
      </w:r>
      <w:r w:rsidRPr="005D42B6">
        <w:rPr>
          <w:rFonts w:ascii="Times New Roman" w:eastAsia="Times New Roman" w:hAnsi="Times New Roman" w:cs="Times New Roman"/>
          <w:noProof/>
          <w:sz w:val="24"/>
          <w:szCs w:val="24"/>
          <w:lang w:val="en-GB" w:eastAsia="en-IE"/>
        </w:rPr>
        <w:t xml:space="preserve"> injected in the months of May-July (see Figure</w:t>
      </w:r>
      <w:r w:rsidR="007D1226">
        <w:rPr>
          <w:rFonts w:ascii="Times New Roman" w:eastAsia="Times New Roman" w:hAnsi="Times New Roman" w:cs="Times New Roman"/>
          <w:noProof/>
          <w:sz w:val="24"/>
          <w:szCs w:val="24"/>
          <w:lang w:val="en-GB" w:eastAsia="en-IE"/>
        </w:rPr>
        <w:t xml:space="preserve"> </w:t>
      </w:r>
      <w:r w:rsidRPr="005D42B6">
        <w:rPr>
          <w:rFonts w:ascii="Times New Roman" w:eastAsia="Times New Roman" w:hAnsi="Times New Roman" w:cs="Times New Roman"/>
          <w:noProof/>
          <w:sz w:val="24"/>
          <w:szCs w:val="24"/>
          <w:lang w:val="en-GB" w:eastAsia="en-IE"/>
        </w:rPr>
        <w:t xml:space="preserve">1), </w:t>
      </w:r>
      <w:r w:rsidR="71F0D2AB" w:rsidRPr="56B1566D">
        <w:rPr>
          <w:rFonts w:ascii="Times New Roman" w:eastAsia="Times New Roman" w:hAnsi="Times New Roman" w:cs="Times New Roman"/>
          <w:noProof/>
          <w:sz w:val="24"/>
          <w:szCs w:val="24"/>
          <w:lang w:val="en-GB" w:eastAsia="en-IE"/>
        </w:rPr>
        <w:t>probably incentivised by the d</w:t>
      </w:r>
      <w:r w:rsidR="7C210B57" w:rsidRPr="56B1566D">
        <w:rPr>
          <w:rFonts w:ascii="Times New Roman" w:eastAsia="Times New Roman" w:hAnsi="Times New Roman" w:cs="Times New Roman"/>
          <w:noProof/>
          <w:sz w:val="24"/>
          <w:szCs w:val="24"/>
          <w:lang w:val="en-GB" w:eastAsia="en-IE"/>
        </w:rPr>
        <w:t>rop</w:t>
      </w:r>
      <w:r w:rsidR="71F0D2AB" w:rsidRPr="56B1566D">
        <w:rPr>
          <w:rFonts w:ascii="Times New Roman" w:eastAsia="Times New Roman" w:hAnsi="Times New Roman" w:cs="Times New Roman"/>
          <w:noProof/>
          <w:sz w:val="24"/>
          <w:szCs w:val="24"/>
          <w:lang w:val="en-GB" w:eastAsia="en-IE"/>
        </w:rPr>
        <w:t xml:space="preserve"> of gas prices </w:t>
      </w:r>
      <w:r w:rsidR="37366A93" w:rsidRPr="56B1566D">
        <w:rPr>
          <w:rFonts w:ascii="Times New Roman" w:eastAsia="Times New Roman" w:hAnsi="Times New Roman" w:cs="Times New Roman"/>
          <w:noProof/>
          <w:sz w:val="24"/>
          <w:szCs w:val="24"/>
          <w:lang w:val="en-GB" w:eastAsia="en-IE"/>
        </w:rPr>
        <w:t>at the beginning of the injection season. This early injection</w:t>
      </w:r>
      <w:r w:rsidRPr="005D42B6">
        <w:rPr>
          <w:rFonts w:ascii="Times New Roman" w:eastAsia="Times New Roman" w:hAnsi="Times New Roman" w:cs="Times New Roman"/>
          <w:noProof/>
          <w:sz w:val="24"/>
          <w:szCs w:val="24"/>
          <w:lang w:val="en-GB" w:eastAsia="en-IE"/>
        </w:rPr>
        <w:t xml:space="preserve"> was decisive to achieve the 90% filling target by mid-August, more than 2 months in advance. By 1 November 2023, EU’s gas storage </w:t>
      </w:r>
      <w:r w:rsidR="0006069C" w:rsidRPr="005D42B6">
        <w:rPr>
          <w:rFonts w:ascii="Times New Roman" w:eastAsia="Times New Roman" w:hAnsi="Times New Roman" w:cs="Times New Roman"/>
          <w:noProof/>
          <w:sz w:val="24"/>
          <w:szCs w:val="24"/>
          <w:lang w:val="en-GB" w:eastAsia="en-IE"/>
        </w:rPr>
        <w:t>was</w:t>
      </w:r>
      <w:r w:rsidRPr="005D42B6">
        <w:rPr>
          <w:rFonts w:ascii="Times New Roman" w:eastAsia="Times New Roman" w:hAnsi="Times New Roman" w:cs="Times New Roman"/>
          <w:noProof/>
          <w:sz w:val="24"/>
          <w:szCs w:val="24"/>
          <w:lang w:val="en-GB" w:eastAsia="en-IE"/>
        </w:rPr>
        <w:t xml:space="preserve"> 99.4% full, with all Member States exceeding the 90% filling target </w:t>
      </w:r>
      <w:r w:rsidRPr="007D1226">
        <w:rPr>
          <w:rFonts w:ascii="Times New Roman" w:eastAsia="Times New Roman" w:hAnsi="Times New Roman" w:cs="Times New Roman"/>
          <w:noProof/>
          <w:sz w:val="24"/>
          <w:szCs w:val="24"/>
          <w:lang w:val="en-GB" w:eastAsia="en-IE"/>
        </w:rPr>
        <w:t>(Figure 2).</w:t>
      </w:r>
    </w:p>
    <w:p w14:paraId="1FA222A2" w14:textId="77777777" w:rsidR="00F45CB1" w:rsidRPr="00A06558" w:rsidRDefault="00F45CB1" w:rsidP="005D42B6">
      <w:pPr>
        <w:spacing w:after="120" w:line="240" w:lineRule="auto"/>
        <w:jc w:val="both"/>
        <w:rPr>
          <w:rFonts w:ascii="Times New Roman" w:eastAsia="Times New Roman" w:hAnsi="Times New Roman" w:cs="Times New Roman"/>
          <w:noProof/>
          <w:sz w:val="24"/>
          <w:szCs w:val="24"/>
          <w:lang w:val="en-GB" w:eastAsia="en-IE"/>
        </w:rPr>
      </w:pPr>
    </w:p>
    <w:p w14:paraId="785AFF43" w14:textId="437F7095" w:rsidR="005D42B6" w:rsidRPr="000D7182" w:rsidRDefault="005D42B6" w:rsidP="007D1226">
      <w:pPr>
        <w:spacing w:after="120" w:line="240" w:lineRule="auto"/>
        <w:jc w:val="both"/>
        <w:rPr>
          <w:rFonts w:ascii="Times New Roman" w:eastAsia="Times New Roman" w:hAnsi="Times New Roman" w:cs="Times New Roman"/>
          <w:b/>
          <w:bCs/>
          <w:iCs/>
          <w:noProof/>
          <w:sz w:val="20"/>
          <w:szCs w:val="20"/>
          <w:lang w:val="en-IE" w:eastAsia="en-IE"/>
        </w:rPr>
      </w:pPr>
      <w:r w:rsidRPr="000D7182">
        <w:rPr>
          <w:rFonts w:ascii="Times New Roman" w:eastAsia="Times New Roman" w:hAnsi="Times New Roman" w:cs="Times New Roman"/>
          <w:b/>
          <w:bCs/>
          <w:iCs/>
          <w:noProof/>
          <w:sz w:val="20"/>
          <w:szCs w:val="20"/>
          <w:lang w:val="en-IE" w:eastAsia="en-IE"/>
        </w:rPr>
        <w:t xml:space="preserve">Figure </w:t>
      </w:r>
      <w:r w:rsidR="009E0BE4">
        <w:rPr>
          <w:rFonts w:ascii="Times New Roman" w:eastAsia="Times New Roman" w:hAnsi="Times New Roman" w:cs="Times New Roman"/>
          <w:b/>
          <w:bCs/>
          <w:iCs/>
          <w:noProof/>
          <w:sz w:val="20"/>
          <w:szCs w:val="20"/>
          <w:lang w:val="en-GB" w:eastAsia="en-IE"/>
        </w:rPr>
        <w:fldChar w:fldCharType="begin"/>
      </w:r>
      <w:r w:rsidR="009E0BE4" w:rsidRPr="000D7182">
        <w:rPr>
          <w:rFonts w:ascii="Times New Roman" w:eastAsia="Times New Roman" w:hAnsi="Times New Roman" w:cs="Times New Roman"/>
          <w:b/>
          <w:bCs/>
          <w:iCs/>
          <w:noProof/>
          <w:sz w:val="20"/>
          <w:szCs w:val="20"/>
          <w:lang w:val="en-IE" w:eastAsia="en-IE"/>
        </w:rPr>
        <w:instrText xml:space="preserve"> SEQ Figure \* ARABIC </w:instrText>
      </w:r>
      <w:r w:rsidR="009E0BE4">
        <w:rPr>
          <w:rFonts w:ascii="Times New Roman" w:eastAsia="Times New Roman" w:hAnsi="Times New Roman" w:cs="Times New Roman"/>
          <w:b/>
          <w:bCs/>
          <w:iCs/>
          <w:noProof/>
          <w:sz w:val="20"/>
          <w:szCs w:val="20"/>
          <w:lang w:val="en-GB" w:eastAsia="en-IE"/>
        </w:rPr>
        <w:fldChar w:fldCharType="separate"/>
      </w:r>
      <w:r w:rsidR="009E0BE4" w:rsidRPr="000D7182">
        <w:rPr>
          <w:rFonts w:ascii="Times New Roman" w:eastAsia="Times New Roman" w:hAnsi="Times New Roman" w:cs="Times New Roman"/>
          <w:b/>
          <w:bCs/>
          <w:iCs/>
          <w:noProof/>
          <w:sz w:val="20"/>
          <w:szCs w:val="20"/>
          <w:lang w:val="en-IE" w:eastAsia="en-IE"/>
        </w:rPr>
        <w:t>1</w:t>
      </w:r>
      <w:r w:rsidR="009E0BE4">
        <w:rPr>
          <w:rFonts w:ascii="Times New Roman" w:eastAsia="Times New Roman" w:hAnsi="Times New Roman" w:cs="Times New Roman"/>
          <w:b/>
          <w:bCs/>
          <w:iCs/>
          <w:noProof/>
          <w:sz w:val="20"/>
          <w:szCs w:val="20"/>
          <w:lang w:val="en-GB" w:eastAsia="en-IE"/>
        </w:rPr>
        <w:fldChar w:fldCharType="end"/>
      </w:r>
      <w:r w:rsidRPr="000D7182">
        <w:rPr>
          <w:rFonts w:ascii="Times New Roman" w:eastAsia="Times New Roman" w:hAnsi="Times New Roman" w:cs="Times New Roman"/>
          <w:b/>
          <w:bCs/>
          <w:iCs/>
          <w:noProof/>
          <w:sz w:val="20"/>
          <w:szCs w:val="20"/>
          <w:lang w:val="en-IE" w:eastAsia="en-IE"/>
        </w:rPr>
        <w:t xml:space="preserve"> - Net injections in EU gas storages by month</w:t>
      </w:r>
      <w:r w:rsidR="00F45CB1" w:rsidRPr="000D7182">
        <w:rPr>
          <w:rFonts w:ascii="Times New Roman" w:eastAsia="Times New Roman" w:hAnsi="Times New Roman" w:cs="Times New Roman"/>
          <w:b/>
          <w:bCs/>
          <w:iCs/>
          <w:noProof/>
          <w:sz w:val="20"/>
          <w:szCs w:val="20"/>
          <w:lang w:val="en-IE" w:eastAsia="en-IE"/>
        </w:rPr>
        <w:t xml:space="preserve"> </w:t>
      </w:r>
    </w:p>
    <w:p w14:paraId="55FFB662" w14:textId="77777777" w:rsidR="005D42B6" w:rsidRPr="005D42B6" w:rsidRDefault="005D42B6" w:rsidP="000D7182">
      <w:pPr>
        <w:spacing w:after="120" w:line="240" w:lineRule="auto"/>
        <w:rPr>
          <w:rFonts w:ascii="Times New Roman" w:eastAsia="Times New Roman" w:hAnsi="Times New Roman" w:cs="Times New Roman"/>
          <w:noProof/>
          <w:sz w:val="24"/>
          <w:szCs w:val="20"/>
          <w:lang w:val="en-GB" w:eastAsia="en-IE"/>
        </w:rPr>
      </w:pPr>
      <w:r w:rsidRPr="005D42B6">
        <w:rPr>
          <w:rFonts w:ascii="Times New Roman" w:eastAsia="Times New Roman" w:hAnsi="Times New Roman" w:cs="Times New Roman"/>
          <w:noProof/>
          <w:sz w:val="24"/>
          <w:szCs w:val="20"/>
          <w:lang w:val="en-GB" w:eastAsia="en-GB"/>
        </w:rPr>
        <w:drawing>
          <wp:inline distT="0" distB="0" distL="0" distR="0" wp14:anchorId="6EF162FA" wp14:editId="67733D35">
            <wp:extent cx="4610100" cy="1628617"/>
            <wp:effectExtent l="0" t="0" r="0" b="0"/>
            <wp:docPr id="1553989145" name="Picture 155398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98914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72692" cy="1756711"/>
                    </a:xfrm>
                    <a:prstGeom prst="rect">
                      <a:avLst/>
                    </a:prstGeom>
                  </pic:spPr>
                </pic:pic>
              </a:graphicData>
            </a:graphic>
          </wp:inline>
        </w:drawing>
      </w:r>
    </w:p>
    <w:p w14:paraId="338100C7" w14:textId="4A0F2AE4" w:rsidR="4A7CECC8" w:rsidRDefault="005D42B6" w:rsidP="009D79FE">
      <w:pPr>
        <w:spacing w:before="160" w:after="240" w:line="240" w:lineRule="auto"/>
        <w:rPr>
          <w:noProof/>
        </w:rPr>
      </w:pPr>
      <w:r w:rsidRPr="005D42B6">
        <w:rPr>
          <w:rFonts w:ascii="Times New Roman" w:eastAsia="Times New Roman" w:hAnsi="Times New Roman" w:cs="Times New Roman"/>
          <w:b/>
          <w:bCs/>
          <w:iCs/>
          <w:noProof/>
          <w:sz w:val="20"/>
          <w:szCs w:val="20"/>
          <w:lang w:val="en-GB" w:eastAsia="en-IE"/>
        </w:rPr>
        <w:t xml:space="preserve">Figure </w:t>
      </w:r>
      <w:r w:rsidR="009E0BE4">
        <w:rPr>
          <w:rFonts w:ascii="Times New Roman" w:eastAsia="Times New Roman" w:hAnsi="Times New Roman" w:cs="Times New Roman"/>
          <w:b/>
          <w:bCs/>
          <w:iCs/>
          <w:noProof/>
          <w:sz w:val="20"/>
          <w:szCs w:val="20"/>
          <w:lang w:val="en-GB" w:eastAsia="en-IE"/>
        </w:rPr>
        <w:fldChar w:fldCharType="begin"/>
      </w:r>
      <w:r w:rsidR="009E0BE4">
        <w:rPr>
          <w:rFonts w:ascii="Times New Roman" w:eastAsia="Times New Roman" w:hAnsi="Times New Roman" w:cs="Times New Roman"/>
          <w:b/>
          <w:bCs/>
          <w:iCs/>
          <w:noProof/>
          <w:sz w:val="20"/>
          <w:szCs w:val="20"/>
          <w:lang w:val="en-GB" w:eastAsia="en-IE"/>
        </w:rPr>
        <w:instrText xml:space="preserve"> SEQ Figure \* ARABIC </w:instrText>
      </w:r>
      <w:r w:rsidR="009E0BE4">
        <w:rPr>
          <w:rFonts w:ascii="Times New Roman" w:eastAsia="Times New Roman" w:hAnsi="Times New Roman" w:cs="Times New Roman"/>
          <w:b/>
          <w:bCs/>
          <w:iCs/>
          <w:noProof/>
          <w:sz w:val="20"/>
          <w:szCs w:val="20"/>
          <w:lang w:val="en-GB" w:eastAsia="en-IE"/>
        </w:rPr>
        <w:fldChar w:fldCharType="separate"/>
      </w:r>
      <w:r w:rsidR="009E0BE4">
        <w:rPr>
          <w:rFonts w:ascii="Times New Roman" w:eastAsia="Times New Roman" w:hAnsi="Times New Roman" w:cs="Times New Roman"/>
          <w:b/>
          <w:bCs/>
          <w:iCs/>
          <w:noProof/>
          <w:sz w:val="20"/>
          <w:szCs w:val="20"/>
          <w:lang w:val="en-GB" w:eastAsia="en-IE"/>
        </w:rPr>
        <w:t>2</w:t>
      </w:r>
      <w:r w:rsidR="009E0BE4">
        <w:rPr>
          <w:rFonts w:ascii="Times New Roman" w:eastAsia="Times New Roman" w:hAnsi="Times New Roman" w:cs="Times New Roman"/>
          <w:b/>
          <w:bCs/>
          <w:iCs/>
          <w:noProof/>
          <w:sz w:val="20"/>
          <w:szCs w:val="20"/>
          <w:lang w:val="en-GB" w:eastAsia="en-IE"/>
        </w:rPr>
        <w:fldChar w:fldCharType="end"/>
      </w:r>
      <w:r w:rsidRPr="005D42B6">
        <w:rPr>
          <w:rFonts w:ascii="Times New Roman" w:eastAsia="Times New Roman" w:hAnsi="Times New Roman" w:cs="Times New Roman"/>
          <w:b/>
          <w:bCs/>
          <w:iCs/>
          <w:noProof/>
          <w:sz w:val="20"/>
          <w:szCs w:val="20"/>
          <w:lang w:val="en-GB" w:eastAsia="en-IE"/>
        </w:rPr>
        <w:t xml:space="preserve"> - Gas in EU underground storages in the year 2022 and year 2023</w:t>
      </w:r>
      <w:r w:rsidR="009D79FE">
        <w:rPr>
          <w:rFonts w:ascii="Times New Roman" w:eastAsia="Times New Roman" w:hAnsi="Times New Roman" w:cs="Times New Roman"/>
          <w:b/>
          <w:bCs/>
          <w:iCs/>
          <w:noProof/>
          <w:sz w:val="20"/>
          <w:szCs w:val="20"/>
          <w:lang w:val="en-GB" w:eastAsia="en-IE"/>
        </w:rPr>
        <w:t>,</w:t>
      </w:r>
      <w:r w:rsidRPr="005D42B6">
        <w:rPr>
          <w:rFonts w:ascii="Times New Roman" w:eastAsia="Times New Roman" w:hAnsi="Times New Roman" w:cs="Times New Roman"/>
          <w:b/>
          <w:bCs/>
          <w:iCs/>
          <w:noProof/>
          <w:sz w:val="20"/>
          <w:szCs w:val="20"/>
          <w:lang w:val="en-GB" w:eastAsia="en-IE"/>
        </w:rPr>
        <w:t xml:space="preserve"> in comparison with the previous 6-year average and range.</w:t>
      </w:r>
      <w:r w:rsidR="5503FE29">
        <w:rPr>
          <w:noProof/>
          <w:lang w:val="en-GB" w:eastAsia="en-GB"/>
        </w:rPr>
        <w:drawing>
          <wp:inline distT="0" distB="0" distL="0" distR="0" wp14:anchorId="0F295FDB" wp14:editId="34B94B03">
            <wp:extent cx="4572000" cy="2705100"/>
            <wp:effectExtent l="0" t="0" r="0" b="0"/>
            <wp:docPr id="1927851311" name="Picture 192785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2705100"/>
                    </a:xfrm>
                    <a:prstGeom prst="rect">
                      <a:avLst/>
                    </a:prstGeom>
                  </pic:spPr>
                </pic:pic>
              </a:graphicData>
            </a:graphic>
          </wp:inline>
        </w:drawing>
      </w:r>
    </w:p>
    <w:p w14:paraId="44C49922" w14:textId="33AEDADF" w:rsidR="005D42B6" w:rsidRPr="00792FF8" w:rsidRDefault="005D42B6" w:rsidP="000915BF">
      <w:pPr>
        <w:keepNext/>
        <w:numPr>
          <w:ilvl w:val="0"/>
          <w:numId w:val="35"/>
        </w:numPr>
        <w:tabs>
          <w:tab w:val="num" w:pos="1485"/>
        </w:tabs>
        <w:spacing w:after="80" w:line="240" w:lineRule="auto"/>
        <w:ind w:left="1485" w:hanging="283"/>
        <w:jc w:val="both"/>
        <w:outlineLvl w:val="0"/>
        <w:rPr>
          <w:rFonts w:ascii="Times New Roman" w:eastAsia="Times New Roman" w:hAnsi="Times New Roman" w:cs="Times New Roman"/>
          <w:b/>
          <w:smallCaps/>
          <w:noProof/>
          <w:sz w:val="24"/>
          <w:szCs w:val="20"/>
          <w:lang w:val="en-GB" w:eastAsia="en-IE"/>
        </w:rPr>
      </w:pPr>
      <w:r w:rsidRPr="00792FF8">
        <w:rPr>
          <w:rFonts w:ascii="Times New Roman" w:eastAsia="Times New Roman" w:hAnsi="Times New Roman" w:cs="Times New Roman"/>
          <w:b/>
          <w:smallCaps/>
          <w:noProof/>
          <w:sz w:val="24"/>
          <w:szCs w:val="20"/>
          <w:lang w:val="en-GB" w:eastAsia="en-IE"/>
        </w:rPr>
        <w:t>Overview of the certification procedure</w:t>
      </w:r>
    </w:p>
    <w:p w14:paraId="6450DBFD" w14:textId="7AF4D4A1" w:rsidR="005620E6" w:rsidRPr="00792FF8" w:rsidRDefault="00540391" w:rsidP="009D79FE">
      <w:pPr>
        <w:spacing w:after="0"/>
        <w:jc w:val="both"/>
        <w:rPr>
          <w:rFonts w:ascii="Times New Roman" w:eastAsia="Times New Roman" w:hAnsi="Times New Roman" w:cs="Times New Roman"/>
          <w:noProof/>
          <w:color w:val="000000"/>
          <w:sz w:val="24"/>
          <w:szCs w:val="24"/>
          <w:lang w:val="en-GB" w:eastAsia="en-IE"/>
        </w:rPr>
      </w:pPr>
      <w:r w:rsidRPr="00792FF8">
        <w:rPr>
          <w:rFonts w:ascii="Times New Roman" w:eastAsia="Times New Roman" w:hAnsi="Times New Roman" w:cs="Times New Roman"/>
          <w:noProof/>
          <w:color w:val="000000" w:themeColor="text1"/>
          <w:sz w:val="24"/>
          <w:szCs w:val="24"/>
          <w:lang w:val="en-GB" w:eastAsia="en-IE"/>
        </w:rPr>
        <w:t>According to</w:t>
      </w:r>
      <w:r w:rsidR="00171F54" w:rsidRPr="00792FF8">
        <w:rPr>
          <w:rFonts w:ascii="Times New Roman" w:eastAsia="Times New Roman" w:hAnsi="Times New Roman" w:cs="Times New Roman"/>
          <w:noProof/>
          <w:color w:val="000000" w:themeColor="text1"/>
          <w:sz w:val="24"/>
          <w:szCs w:val="24"/>
          <w:lang w:val="en-GB" w:eastAsia="en-IE"/>
        </w:rPr>
        <w:t xml:space="preserve"> Article 3a</w:t>
      </w:r>
      <w:r w:rsidRPr="00792FF8">
        <w:rPr>
          <w:rFonts w:ascii="Times New Roman" w:eastAsia="Times New Roman" w:hAnsi="Times New Roman" w:cs="Times New Roman"/>
          <w:noProof/>
          <w:color w:val="000000" w:themeColor="text1"/>
          <w:sz w:val="24"/>
          <w:szCs w:val="24"/>
          <w:lang w:val="en-GB" w:eastAsia="en-IE"/>
        </w:rPr>
        <w:t xml:space="preserve"> </w:t>
      </w:r>
      <w:r w:rsidR="00171F54" w:rsidRPr="00792FF8">
        <w:rPr>
          <w:rFonts w:ascii="Times New Roman" w:eastAsia="Times New Roman" w:hAnsi="Times New Roman" w:cs="Times New Roman"/>
          <w:noProof/>
          <w:color w:val="000000" w:themeColor="text1"/>
          <w:sz w:val="24"/>
          <w:szCs w:val="24"/>
          <w:lang w:val="en-GB" w:eastAsia="en-IE"/>
        </w:rPr>
        <w:t xml:space="preserve">of </w:t>
      </w:r>
      <w:r w:rsidR="002A4AD7" w:rsidRPr="00792FF8">
        <w:rPr>
          <w:rFonts w:ascii="Times New Roman" w:eastAsia="Times New Roman" w:hAnsi="Times New Roman" w:cs="Times New Roman"/>
          <w:noProof/>
          <w:color w:val="000000" w:themeColor="text1"/>
          <w:sz w:val="24"/>
          <w:szCs w:val="24"/>
          <w:lang w:val="en-GB" w:eastAsia="en-IE"/>
        </w:rPr>
        <w:t xml:space="preserve">the Regulation (EC) No 715/2009, as inserted by the Gas Storage Regulation, </w:t>
      </w:r>
      <w:r w:rsidR="00E56163" w:rsidRPr="00792FF8">
        <w:rPr>
          <w:rFonts w:ascii="Times New Roman" w:eastAsia="Times New Roman" w:hAnsi="Times New Roman" w:cs="Times New Roman"/>
          <w:noProof/>
          <w:color w:val="000000" w:themeColor="text1"/>
          <w:sz w:val="24"/>
          <w:szCs w:val="24"/>
          <w:lang w:val="en-GB" w:eastAsia="en-IE"/>
        </w:rPr>
        <w:t xml:space="preserve">Member States </w:t>
      </w:r>
      <w:r w:rsidR="00AD1FDB" w:rsidRPr="00792FF8">
        <w:rPr>
          <w:rFonts w:ascii="Times New Roman" w:eastAsia="Times New Roman" w:hAnsi="Times New Roman" w:cs="Times New Roman"/>
          <w:noProof/>
          <w:color w:val="000000" w:themeColor="text1"/>
          <w:sz w:val="24"/>
          <w:szCs w:val="24"/>
          <w:lang w:val="en-GB" w:eastAsia="en-IE"/>
        </w:rPr>
        <w:t>have to</w:t>
      </w:r>
      <w:r w:rsidR="00E56163" w:rsidRPr="00792FF8">
        <w:rPr>
          <w:rFonts w:ascii="Times New Roman" w:eastAsia="Times New Roman" w:hAnsi="Times New Roman" w:cs="Times New Roman"/>
          <w:noProof/>
          <w:color w:val="000000" w:themeColor="text1"/>
          <w:sz w:val="24"/>
          <w:szCs w:val="24"/>
          <w:lang w:val="en-GB" w:eastAsia="en-IE"/>
        </w:rPr>
        <w:t xml:space="preserve"> ensure that each storage system operator, including any storage system operator controlled by a transmission system operator, is certified</w:t>
      </w:r>
      <w:r w:rsidR="00AD1FDB" w:rsidRPr="00792FF8">
        <w:rPr>
          <w:rFonts w:ascii="Times New Roman" w:eastAsia="Times New Roman" w:hAnsi="Times New Roman" w:cs="Times New Roman"/>
          <w:noProof/>
          <w:color w:val="000000" w:themeColor="text1"/>
          <w:sz w:val="24"/>
          <w:szCs w:val="24"/>
          <w:lang w:val="en-GB" w:eastAsia="en-IE"/>
        </w:rPr>
        <w:t>.</w:t>
      </w:r>
      <w:r w:rsidR="008F2865" w:rsidRPr="45380DDC">
        <w:rPr>
          <w:rFonts w:ascii="Times New Roman" w:eastAsia="Times New Roman" w:hAnsi="Times New Roman" w:cs="Times New Roman"/>
          <w:noProof/>
          <w:color w:val="000000" w:themeColor="text1"/>
          <w:sz w:val="24"/>
          <w:szCs w:val="24"/>
          <w:lang w:val="en-GB" w:eastAsia="en-IE"/>
        </w:rPr>
        <w:t xml:space="preserve"> In this context</w:t>
      </w:r>
      <w:r w:rsidR="005B5334" w:rsidRPr="45380DDC">
        <w:rPr>
          <w:rFonts w:ascii="Times New Roman" w:eastAsia="Times New Roman" w:hAnsi="Times New Roman" w:cs="Times New Roman"/>
          <w:noProof/>
          <w:color w:val="000000" w:themeColor="text1"/>
          <w:sz w:val="24"/>
          <w:szCs w:val="24"/>
          <w:lang w:val="en-GB" w:eastAsia="en-IE"/>
        </w:rPr>
        <w:t>, t</w:t>
      </w:r>
      <w:r w:rsidR="00AD1FDB" w:rsidRPr="00792FF8">
        <w:rPr>
          <w:rFonts w:ascii="Times New Roman" w:eastAsia="Times New Roman" w:hAnsi="Times New Roman" w:cs="Times New Roman"/>
          <w:noProof/>
          <w:color w:val="000000" w:themeColor="text1"/>
          <w:sz w:val="24"/>
          <w:szCs w:val="24"/>
          <w:lang w:val="en-GB" w:eastAsia="en-IE"/>
        </w:rPr>
        <w:t>he certifying authorit</w:t>
      </w:r>
      <w:r w:rsidR="008F2E01" w:rsidRPr="00792FF8">
        <w:rPr>
          <w:rFonts w:ascii="Times New Roman" w:eastAsia="Times New Roman" w:hAnsi="Times New Roman" w:cs="Times New Roman"/>
          <w:noProof/>
          <w:color w:val="000000" w:themeColor="text1"/>
          <w:sz w:val="24"/>
          <w:szCs w:val="24"/>
          <w:lang w:val="en-GB" w:eastAsia="en-IE"/>
        </w:rPr>
        <w:t>ies</w:t>
      </w:r>
      <w:r w:rsidR="00AD1FDB" w:rsidRPr="00792FF8">
        <w:rPr>
          <w:rFonts w:ascii="Times New Roman" w:eastAsia="Times New Roman" w:hAnsi="Times New Roman" w:cs="Times New Roman"/>
          <w:noProof/>
          <w:color w:val="000000" w:themeColor="text1"/>
          <w:sz w:val="24"/>
          <w:szCs w:val="24"/>
          <w:lang w:val="en-GB" w:eastAsia="en-IE"/>
        </w:rPr>
        <w:t xml:space="preserve"> </w:t>
      </w:r>
      <w:r w:rsidR="008F2E01" w:rsidRPr="00792FF8">
        <w:rPr>
          <w:rFonts w:ascii="Times New Roman" w:eastAsia="Times New Roman" w:hAnsi="Times New Roman" w:cs="Times New Roman"/>
          <w:noProof/>
          <w:color w:val="000000" w:themeColor="text1"/>
          <w:sz w:val="24"/>
          <w:szCs w:val="24"/>
          <w:lang w:val="en-GB" w:eastAsia="en-IE"/>
        </w:rPr>
        <w:t xml:space="preserve">of Member States have to </w:t>
      </w:r>
      <w:r w:rsidR="00AD1FDB" w:rsidRPr="00792FF8">
        <w:rPr>
          <w:rFonts w:ascii="Times New Roman" w:eastAsia="Times New Roman" w:hAnsi="Times New Roman" w:cs="Times New Roman"/>
          <w:noProof/>
          <w:color w:val="000000" w:themeColor="text1"/>
          <w:sz w:val="24"/>
          <w:szCs w:val="24"/>
          <w:lang w:val="en-GB" w:eastAsia="en-IE"/>
        </w:rPr>
        <w:t>issue a draft certification decision in respect of storage system operators that operate underground gas storage facilities with a capacity of over 3</w:t>
      </w:r>
      <w:r w:rsidR="79E39507" w:rsidRPr="45380DDC">
        <w:rPr>
          <w:rFonts w:ascii="Times New Roman" w:eastAsia="Times New Roman" w:hAnsi="Times New Roman" w:cs="Times New Roman"/>
          <w:noProof/>
          <w:color w:val="000000" w:themeColor="text1"/>
          <w:sz w:val="24"/>
          <w:szCs w:val="24"/>
          <w:lang w:val="en-GB" w:eastAsia="en-IE"/>
        </w:rPr>
        <w:t>.</w:t>
      </w:r>
      <w:r w:rsidR="00AD1FDB" w:rsidRPr="00792FF8">
        <w:rPr>
          <w:rFonts w:ascii="Times New Roman" w:eastAsia="Times New Roman" w:hAnsi="Times New Roman" w:cs="Times New Roman"/>
          <w:noProof/>
          <w:color w:val="000000" w:themeColor="text1"/>
          <w:sz w:val="24"/>
          <w:szCs w:val="24"/>
          <w:lang w:val="en-GB" w:eastAsia="en-IE"/>
        </w:rPr>
        <w:t>5 TWh where, regardless of the number of storage system operators, total storage facilities were filled on 31 March 2021 and on 31 March 2022 at a level which, on average, was less than 30 % of their maximum capacity by 1 February 2023</w:t>
      </w:r>
      <w:r w:rsidRPr="00792FF8">
        <w:rPr>
          <w:rFonts w:ascii="Times New Roman" w:eastAsia="Times New Roman" w:hAnsi="Times New Roman" w:cs="Times New Roman"/>
          <w:noProof/>
          <w:color w:val="000000" w:themeColor="text1"/>
          <w:sz w:val="24"/>
          <w:szCs w:val="24"/>
          <w:lang w:val="en-GB" w:eastAsia="en-IE"/>
        </w:rPr>
        <w:t>.</w:t>
      </w:r>
      <w:r w:rsidR="00E56163" w:rsidRPr="00792FF8">
        <w:rPr>
          <w:rFonts w:ascii="Times New Roman" w:eastAsia="Times New Roman" w:hAnsi="Times New Roman" w:cs="Times New Roman"/>
          <w:noProof/>
          <w:color w:val="000000" w:themeColor="text1"/>
          <w:sz w:val="24"/>
          <w:szCs w:val="24"/>
          <w:lang w:val="en-GB" w:eastAsia="en-IE"/>
        </w:rPr>
        <w:t xml:space="preserve"> </w:t>
      </w:r>
      <w:r w:rsidR="005620E6" w:rsidRPr="00792FF8">
        <w:rPr>
          <w:rFonts w:ascii="Times New Roman" w:eastAsia="Times New Roman" w:hAnsi="Times New Roman" w:cs="Times New Roman"/>
          <w:noProof/>
          <w:color w:val="000000" w:themeColor="text1"/>
          <w:sz w:val="24"/>
          <w:szCs w:val="24"/>
          <w:lang w:val="en-GB" w:eastAsia="en-IE"/>
        </w:rPr>
        <w:t>The certifying authority has to notify its draft certification decision to the Commission without delay, together with all relevant information,</w:t>
      </w:r>
      <w:r w:rsidR="006345C6" w:rsidRPr="00792FF8">
        <w:rPr>
          <w:rFonts w:ascii="Times New Roman" w:eastAsia="Times New Roman" w:hAnsi="Times New Roman" w:cs="Times New Roman"/>
          <w:noProof/>
          <w:color w:val="000000" w:themeColor="text1"/>
          <w:sz w:val="24"/>
          <w:szCs w:val="24"/>
          <w:lang w:val="en-GB" w:eastAsia="en-IE"/>
        </w:rPr>
        <w:t xml:space="preserve"> so that t</w:t>
      </w:r>
      <w:r w:rsidR="005620E6" w:rsidRPr="00792FF8">
        <w:rPr>
          <w:rFonts w:ascii="Times New Roman" w:eastAsia="Times New Roman" w:hAnsi="Times New Roman" w:cs="Times New Roman"/>
          <w:noProof/>
          <w:color w:val="000000" w:themeColor="text1"/>
          <w:sz w:val="24"/>
          <w:szCs w:val="24"/>
          <w:lang w:val="en-GB" w:eastAsia="en-IE"/>
        </w:rPr>
        <w:t xml:space="preserve">he Commission shall deliver an opinion on the draft certification decision to the certifying authority. </w:t>
      </w:r>
    </w:p>
    <w:p w14:paraId="45337FEC" w14:textId="1E2A4437" w:rsidR="005D42B6" w:rsidRDefault="52663728" w:rsidP="007D1226">
      <w:pPr>
        <w:spacing w:after="120"/>
        <w:jc w:val="both"/>
        <w:rPr>
          <w:rFonts w:ascii="Times New Roman" w:eastAsia="Times New Roman" w:hAnsi="Times New Roman" w:cs="Times New Roman"/>
          <w:noProof/>
          <w:color w:val="000000"/>
          <w:sz w:val="24"/>
          <w:szCs w:val="24"/>
          <w:lang w:val="en-GB" w:eastAsia="en-IE"/>
        </w:rPr>
      </w:pPr>
      <w:r w:rsidRPr="00792FF8">
        <w:rPr>
          <w:rFonts w:ascii="Times New Roman" w:eastAsia="Times New Roman" w:hAnsi="Times New Roman" w:cs="Times New Roman"/>
          <w:noProof/>
          <w:color w:val="000000"/>
          <w:sz w:val="24"/>
          <w:szCs w:val="24"/>
          <w:lang w:val="en-GB" w:eastAsia="en-IE"/>
        </w:rPr>
        <w:t xml:space="preserve">In </w:t>
      </w:r>
      <w:r w:rsidRPr="00782FBA">
        <w:rPr>
          <w:rFonts w:ascii="Times New Roman" w:eastAsia="Times New Roman" w:hAnsi="Times New Roman" w:cs="Times New Roman"/>
          <w:noProof/>
          <w:color w:val="000000"/>
          <w:sz w:val="24"/>
          <w:szCs w:val="24"/>
          <w:lang w:val="en-GB" w:eastAsia="en-IE"/>
        </w:rPr>
        <w:t xml:space="preserve">2023, several Member States submitted draft decisions for the certification of gas </w:t>
      </w:r>
      <w:r w:rsidR="00C70C0B" w:rsidRPr="00782FBA">
        <w:rPr>
          <w:rFonts w:ascii="Times New Roman" w:eastAsia="Times New Roman" w:hAnsi="Times New Roman" w:cs="Times New Roman"/>
          <w:noProof/>
          <w:color w:val="000000"/>
          <w:sz w:val="24"/>
          <w:szCs w:val="24"/>
          <w:lang w:val="en-GB" w:eastAsia="en-IE"/>
        </w:rPr>
        <w:t xml:space="preserve">Storage System Operators </w:t>
      </w:r>
      <w:r w:rsidR="003757BA" w:rsidRPr="00782FBA">
        <w:rPr>
          <w:rFonts w:ascii="Times New Roman" w:eastAsia="Times New Roman" w:hAnsi="Times New Roman" w:cs="Times New Roman"/>
          <w:noProof/>
          <w:color w:val="000000"/>
          <w:sz w:val="24"/>
          <w:szCs w:val="24"/>
          <w:lang w:val="en-GB" w:eastAsia="en-IE"/>
        </w:rPr>
        <w:t>(</w:t>
      </w:r>
      <w:r w:rsidRPr="00782FBA">
        <w:rPr>
          <w:rFonts w:ascii="Times New Roman" w:eastAsia="Times New Roman" w:hAnsi="Times New Roman" w:cs="Times New Roman"/>
          <w:noProof/>
          <w:color w:val="000000"/>
          <w:sz w:val="24"/>
          <w:szCs w:val="24"/>
          <w:lang w:val="en-GB" w:eastAsia="en-IE"/>
        </w:rPr>
        <w:t>SSOs</w:t>
      </w:r>
      <w:r w:rsidR="003757BA" w:rsidRPr="00782FBA">
        <w:rPr>
          <w:rFonts w:ascii="Times New Roman" w:eastAsia="Times New Roman" w:hAnsi="Times New Roman" w:cs="Times New Roman"/>
          <w:noProof/>
          <w:color w:val="000000"/>
          <w:sz w:val="24"/>
          <w:szCs w:val="24"/>
          <w:lang w:val="en-GB" w:eastAsia="en-IE"/>
        </w:rPr>
        <w:t>)</w:t>
      </w:r>
      <w:r w:rsidRPr="00782FBA">
        <w:rPr>
          <w:rFonts w:ascii="Times New Roman" w:eastAsia="Times New Roman" w:hAnsi="Times New Roman" w:cs="Times New Roman"/>
          <w:noProof/>
          <w:color w:val="000000"/>
          <w:sz w:val="24"/>
          <w:szCs w:val="24"/>
          <w:lang w:val="en-GB" w:eastAsia="en-IE"/>
        </w:rPr>
        <w:t xml:space="preserve"> to the Commission</w:t>
      </w:r>
      <w:r w:rsidRPr="00792FF8">
        <w:rPr>
          <w:rFonts w:ascii="Times New Roman" w:eastAsia="Times New Roman" w:hAnsi="Times New Roman" w:cs="Times New Roman"/>
          <w:noProof/>
          <w:color w:val="000000"/>
          <w:sz w:val="24"/>
          <w:szCs w:val="24"/>
          <w:lang w:val="en-GB" w:eastAsia="en-IE"/>
        </w:rPr>
        <w:t xml:space="preserve">. The Commission adopted </w:t>
      </w:r>
      <w:r w:rsidR="7972211A" w:rsidRPr="00792FF8">
        <w:rPr>
          <w:rFonts w:ascii="Times New Roman" w:eastAsia="Times New Roman" w:hAnsi="Times New Roman" w:cs="Times New Roman"/>
          <w:noProof/>
          <w:color w:val="000000"/>
          <w:sz w:val="24"/>
          <w:szCs w:val="24"/>
          <w:lang w:val="en-GB" w:eastAsia="en-IE"/>
        </w:rPr>
        <w:t>ten</w:t>
      </w:r>
      <w:r w:rsidRPr="00792FF8">
        <w:rPr>
          <w:rFonts w:ascii="Times New Roman" w:eastAsia="Times New Roman" w:hAnsi="Times New Roman" w:cs="Times New Roman"/>
          <w:noProof/>
          <w:color w:val="000000"/>
          <w:sz w:val="24"/>
          <w:szCs w:val="24"/>
          <w:lang w:val="en-GB" w:eastAsia="en-IE"/>
        </w:rPr>
        <w:t xml:space="preserve"> certification opinions which, after the confidentiality check by the certifying authority, were published in the Commission’s </w:t>
      </w:r>
      <w:hyperlink r:id="rId22">
        <w:r w:rsidRPr="00792FF8">
          <w:rPr>
            <w:rFonts w:ascii="Times New Roman" w:eastAsia="Times New Roman" w:hAnsi="Times New Roman" w:cs="Times New Roman"/>
            <w:noProof/>
            <w:color w:val="000000"/>
            <w:sz w:val="24"/>
            <w:szCs w:val="24"/>
            <w:lang w:val="en-GB" w:eastAsia="en-IE"/>
          </w:rPr>
          <w:t>Transparency Registry</w:t>
        </w:r>
      </w:hyperlink>
      <w:r w:rsidRPr="00792FF8">
        <w:rPr>
          <w:rFonts w:ascii="Times New Roman" w:eastAsia="Times New Roman" w:hAnsi="Times New Roman" w:cs="Times New Roman"/>
          <w:noProof/>
          <w:color w:val="000000"/>
          <w:sz w:val="24"/>
          <w:szCs w:val="24"/>
          <w:lang w:val="en-GB" w:eastAsia="en-IE"/>
        </w:rPr>
        <w:t xml:space="preserve"> and on DG </w:t>
      </w:r>
      <w:r w:rsidR="008C6034" w:rsidRPr="00792FF8">
        <w:rPr>
          <w:rFonts w:ascii="Times New Roman" w:eastAsia="Times New Roman" w:hAnsi="Times New Roman" w:cs="Times New Roman"/>
          <w:noProof/>
          <w:color w:val="000000" w:themeColor="text1"/>
          <w:sz w:val="24"/>
          <w:szCs w:val="24"/>
          <w:lang w:val="en-GB" w:eastAsia="en-IE"/>
        </w:rPr>
        <w:t xml:space="preserve">ENER </w:t>
      </w:r>
      <w:hyperlink r:id="rId23">
        <w:r w:rsidRPr="00792FF8">
          <w:rPr>
            <w:rFonts w:ascii="Times New Roman" w:eastAsia="Times New Roman" w:hAnsi="Times New Roman" w:cs="Times New Roman"/>
            <w:noProof/>
            <w:color w:val="000000"/>
            <w:sz w:val="24"/>
            <w:szCs w:val="24"/>
            <w:lang w:val="en-GB" w:eastAsia="en-IE"/>
          </w:rPr>
          <w:t>website</w:t>
        </w:r>
      </w:hyperlink>
      <w:r w:rsidRPr="00792FF8">
        <w:rPr>
          <w:rFonts w:ascii="Times New Roman" w:eastAsia="Times New Roman" w:hAnsi="Times New Roman" w:cs="Times New Roman"/>
          <w:noProof/>
          <w:color w:val="000000"/>
          <w:sz w:val="24"/>
          <w:szCs w:val="24"/>
          <w:lang w:val="en-GB" w:eastAsia="en-IE"/>
        </w:rPr>
        <w:t xml:space="preserve">. </w:t>
      </w:r>
      <w:r w:rsidR="55EA14EF" w:rsidRPr="00792FF8">
        <w:rPr>
          <w:rFonts w:ascii="Times New Roman" w:eastAsia="Times New Roman" w:hAnsi="Times New Roman" w:cs="Times New Roman"/>
          <w:noProof/>
          <w:color w:val="000000"/>
          <w:sz w:val="24"/>
          <w:szCs w:val="24"/>
          <w:lang w:val="en-GB" w:eastAsia="en-IE"/>
        </w:rPr>
        <w:t xml:space="preserve">The Commission is still receiving draft certification decisions </w:t>
      </w:r>
      <w:r w:rsidR="004155A0" w:rsidRPr="00792FF8">
        <w:rPr>
          <w:rFonts w:ascii="Times New Roman" w:eastAsia="Times New Roman" w:hAnsi="Times New Roman" w:cs="Times New Roman"/>
          <w:noProof/>
          <w:color w:val="000000"/>
          <w:sz w:val="24"/>
          <w:szCs w:val="24"/>
          <w:lang w:val="en-GB" w:eastAsia="en-IE"/>
        </w:rPr>
        <w:t>and is in close contact with the Member States experiencing d</w:t>
      </w:r>
      <w:r w:rsidR="0E4881F8" w:rsidRPr="00792FF8">
        <w:rPr>
          <w:rFonts w:ascii="Times New Roman" w:eastAsia="Times New Roman" w:hAnsi="Times New Roman" w:cs="Times New Roman"/>
          <w:noProof/>
          <w:color w:val="000000"/>
          <w:sz w:val="24"/>
          <w:szCs w:val="24"/>
          <w:lang w:val="en-GB" w:eastAsia="en-IE"/>
        </w:rPr>
        <w:t>elay</w:t>
      </w:r>
      <w:r w:rsidR="004155A0" w:rsidRPr="00792FF8">
        <w:rPr>
          <w:rFonts w:ascii="Times New Roman" w:eastAsia="Times New Roman" w:hAnsi="Times New Roman" w:cs="Times New Roman"/>
          <w:noProof/>
          <w:color w:val="000000"/>
          <w:sz w:val="24"/>
          <w:szCs w:val="24"/>
          <w:lang w:val="en-GB" w:eastAsia="en-IE"/>
        </w:rPr>
        <w:t>s</w:t>
      </w:r>
      <w:r w:rsidR="0E4881F8" w:rsidRPr="00792FF8">
        <w:rPr>
          <w:rFonts w:ascii="Times New Roman" w:eastAsia="Times New Roman" w:hAnsi="Times New Roman" w:cs="Times New Roman"/>
          <w:noProof/>
          <w:color w:val="000000"/>
          <w:sz w:val="24"/>
          <w:szCs w:val="24"/>
          <w:lang w:val="en-GB" w:eastAsia="en-IE"/>
        </w:rPr>
        <w:t xml:space="preserve"> </w:t>
      </w:r>
      <w:r w:rsidR="004155A0" w:rsidRPr="00792FF8">
        <w:rPr>
          <w:rFonts w:ascii="Times New Roman" w:eastAsia="Times New Roman" w:hAnsi="Times New Roman" w:cs="Times New Roman"/>
          <w:noProof/>
          <w:color w:val="000000"/>
          <w:sz w:val="24"/>
          <w:szCs w:val="24"/>
          <w:lang w:val="en-GB" w:eastAsia="en-IE"/>
        </w:rPr>
        <w:t>in</w:t>
      </w:r>
      <w:r w:rsidR="00960440" w:rsidRPr="00792FF8">
        <w:rPr>
          <w:rFonts w:ascii="Times New Roman" w:eastAsia="Times New Roman" w:hAnsi="Times New Roman" w:cs="Times New Roman"/>
          <w:noProof/>
          <w:color w:val="000000" w:themeColor="text1"/>
          <w:sz w:val="24"/>
          <w:szCs w:val="24"/>
          <w:lang w:val="en-GB" w:eastAsia="en-IE"/>
        </w:rPr>
        <w:t xml:space="preserve"> submitting their draft decisions</w:t>
      </w:r>
      <w:r w:rsidR="004155A0" w:rsidRPr="00792FF8">
        <w:rPr>
          <w:rFonts w:ascii="Times New Roman" w:eastAsia="Times New Roman" w:hAnsi="Times New Roman" w:cs="Times New Roman"/>
          <w:noProof/>
          <w:color w:val="000000"/>
          <w:sz w:val="24"/>
          <w:szCs w:val="24"/>
          <w:lang w:val="en-GB" w:eastAsia="en-IE"/>
        </w:rPr>
        <w:t xml:space="preserve">. The Commission notes that </w:t>
      </w:r>
      <w:r w:rsidR="00D65791" w:rsidRPr="00792FF8">
        <w:rPr>
          <w:rFonts w:ascii="Times New Roman" w:eastAsia="Times New Roman" w:hAnsi="Times New Roman" w:cs="Times New Roman"/>
          <w:noProof/>
          <w:color w:val="000000" w:themeColor="text1"/>
          <w:sz w:val="24"/>
          <w:szCs w:val="24"/>
          <w:lang w:val="en-GB" w:eastAsia="en-IE"/>
        </w:rPr>
        <w:t xml:space="preserve">many </w:t>
      </w:r>
      <w:r w:rsidR="3F6D7572" w:rsidRPr="00792FF8">
        <w:rPr>
          <w:rFonts w:ascii="Times New Roman" w:eastAsia="Times New Roman" w:hAnsi="Times New Roman" w:cs="Times New Roman"/>
          <w:noProof/>
          <w:color w:val="000000"/>
          <w:sz w:val="24"/>
          <w:szCs w:val="24"/>
          <w:lang w:val="en-GB" w:eastAsia="en-IE"/>
        </w:rPr>
        <w:t>Member States</w:t>
      </w:r>
      <w:r w:rsidR="004155A0" w:rsidRPr="00792FF8">
        <w:rPr>
          <w:rFonts w:ascii="Times New Roman" w:eastAsia="Times New Roman" w:hAnsi="Times New Roman" w:cs="Times New Roman"/>
          <w:noProof/>
          <w:color w:val="000000"/>
          <w:sz w:val="24"/>
          <w:szCs w:val="24"/>
          <w:lang w:val="en-GB" w:eastAsia="en-IE"/>
        </w:rPr>
        <w:t xml:space="preserve">, in particular those with a high number of sites, </w:t>
      </w:r>
      <w:r w:rsidR="00C578B9" w:rsidRPr="00792FF8">
        <w:rPr>
          <w:rFonts w:ascii="Times New Roman" w:eastAsia="Times New Roman" w:hAnsi="Times New Roman" w:cs="Times New Roman"/>
          <w:noProof/>
          <w:color w:val="000000" w:themeColor="text1"/>
          <w:sz w:val="24"/>
          <w:szCs w:val="24"/>
          <w:lang w:val="en-GB" w:eastAsia="en-IE"/>
        </w:rPr>
        <w:t xml:space="preserve">are actively working on the certification process. </w:t>
      </w:r>
      <w:r w:rsidR="004155A0" w:rsidRPr="00792FF8">
        <w:rPr>
          <w:rFonts w:ascii="Times New Roman" w:eastAsia="Times New Roman" w:hAnsi="Times New Roman" w:cs="Times New Roman"/>
          <w:noProof/>
          <w:color w:val="000000"/>
          <w:sz w:val="24"/>
          <w:szCs w:val="24"/>
          <w:lang w:val="en-GB" w:eastAsia="en-IE"/>
        </w:rPr>
        <w:t xml:space="preserve">It is important to make timely progress to ensure a proper implementation of the Storage Regulation and </w:t>
      </w:r>
      <w:r w:rsidR="00F6555F" w:rsidRPr="00792FF8">
        <w:rPr>
          <w:rFonts w:ascii="Times New Roman" w:eastAsia="Times New Roman" w:hAnsi="Times New Roman" w:cs="Times New Roman"/>
          <w:noProof/>
          <w:color w:val="000000"/>
          <w:sz w:val="24"/>
          <w:szCs w:val="24"/>
          <w:lang w:val="en-GB" w:eastAsia="en-IE"/>
        </w:rPr>
        <w:t xml:space="preserve">strengthen </w:t>
      </w:r>
      <w:r w:rsidR="004155A0" w:rsidRPr="00792FF8">
        <w:rPr>
          <w:rFonts w:ascii="Times New Roman" w:eastAsia="Times New Roman" w:hAnsi="Times New Roman" w:cs="Times New Roman"/>
          <w:noProof/>
          <w:color w:val="000000"/>
          <w:sz w:val="24"/>
          <w:szCs w:val="24"/>
          <w:lang w:val="en-GB" w:eastAsia="en-IE"/>
        </w:rPr>
        <w:t xml:space="preserve">the EU security of supply. </w:t>
      </w:r>
    </w:p>
    <w:p w14:paraId="3E97D669" w14:textId="17F18189" w:rsidR="00C70B62" w:rsidRDefault="00C70B62" w:rsidP="007D1226">
      <w:pPr>
        <w:pStyle w:val="Caption"/>
        <w:spacing w:after="120"/>
        <w:rPr>
          <w:rFonts w:ascii="Times New Roman" w:eastAsia="Times New Roman" w:hAnsi="Times New Roman" w:cs="Times New Roman"/>
          <w:b/>
          <w:bCs/>
          <w:i w:val="0"/>
          <w:iCs w:val="0"/>
          <w:noProof/>
          <w:color w:val="auto"/>
          <w:sz w:val="20"/>
          <w:szCs w:val="20"/>
          <w:lang w:val="en-GB" w:eastAsia="en-IE"/>
        </w:rPr>
      </w:pPr>
      <w:r w:rsidRPr="00141AB7">
        <w:rPr>
          <w:rFonts w:ascii="Times New Roman" w:eastAsia="Times New Roman" w:hAnsi="Times New Roman" w:cs="Times New Roman"/>
          <w:b/>
          <w:bCs/>
          <w:i w:val="0"/>
          <w:iCs w:val="0"/>
          <w:noProof/>
          <w:color w:val="auto"/>
          <w:sz w:val="20"/>
          <w:szCs w:val="20"/>
          <w:lang w:val="en-GB" w:eastAsia="en-IE"/>
        </w:rPr>
        <w:t xml:space="preserve">Table </w:t>
      </w:r>
      <w:r w:rsidRPr="00141AB7">
        <w:rPr>
          <w:rFonts w:ascii="Times New Roman" w:eastAsia="Times New Roman" w:hAnsi="Times New Roman" w:cs="Times New Roman"/>
          <w:b/>
          <w:bCs/>
          <w:i w:val="0"/>
          <w:iCs w:val="0"/>
          <w:noProof/>
          <w:color w:val="auto"/>
          <w:sz w:val="20"/>
          <w:szCs w:val="20"/>
          <w:lang w:val="en-GB" w:eastAsia="en-IE"/>
        </w:rPr>
        <w:fldChar w:fldCharType="begin"/>
      </w:r>
      <w:r w:rsidRPr="00141AB7">
        <w:rPr>
          <w:rFonts w:ascii="Times New Roman" w:eastAsia="Times New Roman" w:hAnsi="Times New Roman" w:cs="Times New Roman"/>
          <w:b/>
          <w:bCs/>
          <w:i w:val="0"/>
          <w:iCs w:val="0"/>
          <w:noProof/>
          <w:color w:val="auto"/>
          <w:sz w:val="20"/>
          <w:szCs w:val="20"/>
          <w:lang w:val="en-GB" w:eastAsia="en-IE"/>
        </w:rPr>
        <w:instrText>SEQ Table \* ARABIC</w:instrText>
      </w:r>
      <w:r w:rsidRPr="00141AB7">
        <w:rPr>
          <w:rFonts w:ascii="Times New Roman" w:eastAsia="Times New Roman" w:hAnsi="Times New Roman" w:cs="Times New Roman"/>
          <w:b/>
          <w:bCs/>
          <w:i w:val="0"/>
          <w:iCs w:val="0"/>
          <w:noProof/>
          <w:color w:val="auto"/>
          <w:sz w:val="20"/>
          <w:szCs w:val="20"/>
          <w:lang w:val="en-GB" w:eastAsia="en-IE"/>
        </w:rPr>
        <w:fldChar w:fldCharType="separate"/>
      </w:r>
      <w:r w:rsidR="00063A2B" w:rsidRPr="00141AB7">
        <w:rPr>
          <w:rFonts w:ascii="Times New Roman" w:eastAsia="Times New Roman" w:hAnsi="Times New Roman" w:cs="Times New Roman"/>
          <w:b/>
          <w:bCs/>
          <w:i w:val="0"/>
          <w:iCs w:val="0"/>
          <w:noProof/>
          <w:color w:val="auto"/>
          <w:sz w:val="20"/>
          <w:szCs w:val="20"/>
          <w:lang w:val="en-GB" w:eastAsia="en-IE"/>
        </w:rPr>
        <w:t>2</w:t>
      </w:r>
      <w:r w:rsidRPr="00141AB7">
        <w:rPr>
          <w:rFonts w:ascii="Times New Roman" w:eastAsia="Times New Roman" w:hAnsi="Times New Roman" w:cs="Times New Roman"/>
          <w:b/>
          <w:bCs/>
          <w:i w:val="0"/>
          <w:iCs w:val="0"/>
          <w:noProof/>
          <w:color w:val="auto"/>
          <w:sz w:val="20"/>
          <w:szCs w:val="20"/>
          <w:lang w:val="en-GB" w:eastAsia="en-IE"/>
        </w:rPr>
        <w:fldChar w:fldCharType="end"/>
      </w:r>
      <w:r w:rsidRPr="00141AB7">
        <w:rPr>
          <w:rFonts w:ascii="Times New Roman" w:eastAsia="Times New Roman" w:hAnsi="Times New Roman" w:cs="Times New Roman"/>
          <w:b/>
          <w:bCs/>
          <w:i w:val="0"/>
          <w:iCs w:val="0"/>
          <w:noProof/>
          <w:color w:val="auto"/>
          <w:sz w:val="20"/>
          <w:szCs w:val="20"/>
          <w:lang w:val="en-GB" w:eastAsia="en-IE"/>
        </w:rPr>
        <w:t xml:space="preserve"> </w:t>
      </w:r>
      <w:r w:rsidR="00D64C25" w:rsidRPr="00141AB7">
        <w:rPr>
          <w:rFonts w:ascii="Times New Roman" w:eastAsia="Times New Roman" w:hAnsi="Times New Roman" w:cs="Times New Roman"/>
          <w:b/>
          <w:bCs/>
          <w:i w:val="0"/>
          <w:iCs w:val="0"/>
          <w:noProof/>
          <w:color w:val="auto"/>
          <w:sz w:val="20"/>
          <w:szCs w:val="20"/>
          <w:lang w:val="en-GB" w:eastAsia="en-IE"/>
        </w:rPr>
        <w:t>–</w:t>
      </w:r>
      <w:r w:rsidRPr="00141AB7">
        <w:rPr>
          <w:rFonts w:ascii="Times New Roman" w:eastAsia="Times New Roman" w:hAnsi="Times New Roman" w:cs="Times New Roman"/>
          <w:b/>
          <w:bCs/>
          <w:i w:val="0"/>
          <w:iCs w:val="0"/>
          <w:noProof/>
          <w:color w:val="auto"/>
          <w:sz w:val="20"/>
          <w:szCs w:val="20"/>
          <w:lang w:val="en-GB" w:eastAsia="en-IE"/>
        </w:rPr>
        <w:t xml:space="preserve"> </w:t>
      </w:r>
      <w:r w:rsidR="00D64C25" w:rsidRPr="00141AB7">
        <w:rPr>
          <w:rFonts w:ascii="Times New Roman" w:eastAsia="Times New Roman" w:hAnsi="Times New Roman" w:cs="Times New Roman"/>
          <w:b/>
          <w:bCs/>
          <w:i w:val="0"/>
          <w:iCs w:val="0"/>
          <w:noProof/>
          <w:color w:val="auto"/>
          <w:sz w:val="20"/>
          <w:szCs w:val="20"/>
          <w:lang w:val="en-GB" w:eastAsia="en-IE"/>
        </w:rPr>
        <w:t>Overview of the certification procedure</w:t>
      </w:r>
      <w:r w:rsidR="00924C20" w:rsidRPr="00141AB7">
        <w:rPr>
          <w:rFonts w:ascii="Times New Roman" w:eastAsia="Times New Roman" w:hAnsi="Times New Roman" w:cs="Times New Roman"/>
          <w:b/>
          <w:bCs/>
          <w:i w:val="0"/>
          <w:iCs w:val="0"/>
          <w:noProof/>
          <w:color w:val="auto"/>
          <w:sz w:val="20"/>
          <w:szCs w:val="20"/>
          <w:lang w:val="en-GB" w:eastAsia="en-IE"/>
        </w:rPr>
        <w:t xml:space="preserve"> </w:t>
      </w:r>
      <w:r w:rsidR="00C026D4" w:rsidRPr="00141AB7">
        <w:rPr>
          <w:rFonts w:ascii="Times New Roman" w:eastAsia="Times New Roman" w:hAnsi="Times New Roman" w:cs="Times New Roman"/>
          <w:b/>
          <w:bCs/>
          <w:i w:val="0"/>
          <w:iCs w:val="0"/>
          <w:noProof/>
          <w:color w:val="auto"/>
          <w:sz w:val="20"/>
          <w:szCs w:val="20"/>
          <w:lang w:val="en-GB" w:eastAsia="en-IE"/>
        </w:rPr>
        <w:t>at the end of 2023</w:t>
      </w:r>
      <w:r w:rsidR="000D7182">
        <w:rPr>
          <w:rStyle w:val="FootnoteReference"/>
          <w:rFonts w:ascii="Times New Roman" w:eastAsia="Times New Roman" w:hAnsi="Times New Roman" w:cs="Times New Roman"/>
          <w:b/>
          <w:bCs/>
          <w:i w:val="0"/>
          <w:iCs w:val="0"/>
          <w:noProof/>
          <w:color w:val="auto"/>
          <w:sz w:val="20"/>
          <w:szCs w:val="20"/>
          <w:lang w:val="en-GB" w:eastAsia="en-IE"/>
        </w:rPr>
        <w:footnoteReference w:id="5"/>
      </w:r>
      <w:r w:rsidR="000D7182" w:rsidRPr="000D7182">
        <w:rPr>
          <w:rFonts w:ascii="Times New Roman" w:eastAsia="Times New Roman" w:hAnsi="Times New Roman" w:cs="Times New Roman"/>
          <w:b/>
          <w:bCs/>
          <w:i w:val="0"/>
          <w:iCs w:val="0"/>
          <w:noProof/>
          <w:color w:val="auto"/>
          <w:sz w:val="20"/>
          <w:szCs w:val="20"/>
          <w:vertAlign w:val="superscript"/>
          <w:lang w:val="en-GB" w:eastAsia="en-IE"/>
        </w:rPr>
        <w:t>,</w:t>
      </w:r>
      <w:r w:rsidR="000D7182">
        <w:rPr>
          <w:rStyle w:val="FootnoteReference"/>
          <w:rFonts w:ascii="Times New Roman" w:eastAsia="Times New Roman" w:hAnsi="Times New Roman" w:cs="Times New Roman"/>
          <w:b/>
          <w:bCs/>
          <w:i w:val="0"/>
          <w:iCs w:val="0"/>
          <w:noProof/>
          <w:color w:val="auto"/>
          <w:sz w:val="20"/>
          <w:szCs w:val="20"/>
          <w:lang w:val="en-GB" w:eastAsia="en-IE"/>
        </w:rPr>
        <w:footnoteReference w:id="6"/>
      </w:r>
    </w:p>
    <w:tbl>
      <w:tblPr>
        <w:tblW w:w="7903" w:type="dxa"/>
        <w:tblInd w:w="530" w:type="dxa"/>
        <w:tblCellMar>
          <w:left w:w="0" w:type="dxa"/>
          <w:right w:w="0" w:type="dxa"/>
        </w:tblCellMar>
        <w:tblLook w:val="04A0" w:firstRow="1" w:lastRow="0" w:firstColumn="1" w:lastColumn="0" w:noHBand="0" w:noVBand="1"/>
      </w:tblPr>
      <w:tblGrid>
        <w:gridCol w:w="957"/>
        <w:gridCol w:w="2835"/>
        <w:gridCol w:w="2268"/>
        <w:gridCol w:w="1843"/>
      </w:tblGrid>
      <w:tr w:rsidR="00D160D3" w:rsidRPr="009D79FE" w14:paraId="305EBC38" w14:textId="77777777" w:rsidTr="00C24F0C">
        <w:trPr>
          <w:trHeight w:val="103"/>
        </w:trPr>
        <w:tc>
          <w:tcPr>
            <w:tcW w:w="957" w:type="dxa"/>
            <w:tcBorders>
              <w:top w:val="single" w:sz="8" w:space="0" w:color="4D4D4D"/>
              <w:left w:val="nil"/>
              <w:bottom w:val="single" w:sz="8" w:space="0" w:color="4D4D4D"/>
              <w:right w:val="nil"/>
            </w:tcBorders>
            <w:tcMar>
              <w:top w:w="15" w:type="dxa"/>
              <w:left w:w="91" w:type="dxa"/>
              <w:bottom w:w="0" w:type="dxa"/>
              <w:right w:w="91" w:type="dxa"/>
            </w:tcMar>
            <w:vAlign w:val="center"/>
            <w:hideMark/>
          </w:tcPr>
          <w:p w14:paraId="620944B2"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 </w:t>
            </w:r>
          </w:p>
        </w:tc>
        <w:tc>
          <w:tcPr>
            <w:tcW w:w="2835" w:type="dxa"/>
            <w:tcBorders>
              <w:top w:val="single" w:sz="8" w:space="0" w:color="4D4D4D"/>
              <w:left w:val="nil"/>
              <w:bottom w:val="single" w:sz="8" w:space="0" w:color="4D4D4D"/>
              <w:right w:val="nil"/>
            </w:tcBorders>
            <w:tcMar>
              <w:top w:w="15" w:type="dxa"/>
              <w:left w:w="91" w:type="dxa"/>
              <w:bottom w:w="0" w:type="dxa"/>
              <w:right w:w="91" w:type="dxa"/>
            </w:tcMar>
            <w:vAlign w:val="center"/>
            <w:hideMark/>
          </w:tcPr>
          <w:p w14:paraId="67102809" w14:textId="7F9B1798"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Pr>
                <w:rFonts w:ascii="Segoe UI" w:eastAsia="Calibri" w:hAnsi="Segoe UI" w:cs="Segoe UI"/>
                <w:b/>
                <w:bCs/>
                <w:noProof/>
                <w:color w:val="000000"/>
                <w:sz w:val="18"/>
                <w:szCs w:val="18"/>
                <w:lang w:val="en-IE"/>
              </w:rPr>
              <w:t>Draft c</w:t>
            </w:r>
            <w:r w:rsidRPr="00C70B62">
              <w:rPr>
                <w:rFonts w:ascii="Segoe UI" w:eastAsia="Calibri" w:hAnsi="Segoe UI" w:cs="Segoe UI"/>
                <w:b/>
                <w:bCs/>
                <w:noProof/>
                <w:color w:val="000000"/>
                <w:sz w:val="18"/>
                <w:szCs w:val="18"/>
                <w:lang w:val="en-IE"/>
              </w:rPr>
              <w:t xml:space="preserve">ertifications </w:t>
            </w:r>
            <w:r>
              <w:rPr>
                <w:rFonts w:ascii="Segoe UI" w:eastAsia="Calibri" w:hAnsi="Segoe UI" w:cs="Segoe UI"/>
                <w:b/>
                <w:bCs/>
                <w:noProof/>
                <w:color w:val="000000"/>
                <w:sz w:val="18"/>
                <w:szCs w:val="18"/>
                <w:lang w:val="en-IE"/>
              </w:rPr>
              <w:t xml:space="preserve">notified </w:t>
            </w:r>
            <w:r w:rsidRPr="00D64C25">
              <w:rPr>
                <w:rFonts w:ascii="Segoe UI" w:eastAsia="Calibri" w:hAnsi="Segoe UI" w:cs="Segoe UI"/>
                <w:b/>
                <w:bCs/>
                <w:noProof/>
                <w:color w:val="000000"/>
                <w:sz w:val="18"/>
                <w:szCs w:val="18"/>
                <w:lang w:val="en-IE"/>
              </w:rPr>
              <w:t>by</w:t>
            </w:r>
          </w:p>
          <w:p w14:paraId="71DCD628" w14:textId="7BE52A36"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Nº Operators (Nº sites</w:t>
            </w:r>
            <w:r w:rsidRPr="00C70B62">
              <w:rPr>
                <w:rFonts w:ascii="Segoe UI" w:eastAsia="Calibri" w:hAnsi="Segoe UI" w:cs="Segoe UI"/>
                <w:b/>
                <w:bCs/>
                <w:noProof/>
                <w:color w:val="000000"/>
                <w:sz w:val="18"/>
                <w:szCs w:val="18"/>
                <w:vertAlign w:val="superscript"/>
                <w:lang w:val="en-IE"/>
              </w:rPr>
              <w:t xml:space="preserve"> </w:t>
            </w:r>
            <w:r w:rsidRPr="00C70B62">
              <w:rPr>
                <w:rFonts w:ascii="Segoe UI" w:eastAsia="Calibri" w:hAnsi="Segoe UI" w:cs="Segoe UI"/>
                <w:b/>
                <w:bCs/>
                <w:noProof/>
                <w:color w:val="000000"/>
                <w:sz w:val="18"/>
                <w:szCs w:val="18"/>
                <w:lang w:val="en-IE"/>
              </w:rPr>
              <w:t>)</w:t>
            </w:r>
          </w:p>
        </w:tc>
        <w:tc>
          <w:tcPr>
            <w:tcW w:w="2268" w:type="dxa"/>
            <w:tcBorders>
              <w:top w:val="single" w:sz="8" w:space="0" w:color="4D4D4D"/>
              <w:left w:val="nil"/>
              <w:bottom w:val="single" w:sz="8" w:space="0" w:color="4D4D4D"/>
              <w:right w:val="nil"/>
            </w:tcBorders>
            <w:tcMar>
              <w:top w:w="15" w:type="dxa"/>
              <w:left w:w="91" w:type="dxa"/>
              <w:bottom w:w="0" w:type="dxa"/>
              <w:right w:w="91" w:type="dxa"/>
            </w:tcMar>
            <w:vAlign w:val="center"/>
            <w:hideMark/>
          </w:tcPr>
          <w:p w14:paraId="4010A428" w14:textId="21914D89"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 xml:space="preserve">Pending </w:t>
            </w:r>
            <w:r>
              <w:rPr>
                <w:rFonts w:ascii="Segoe UI" w:eastAsia="Calibri" w:hAnsi="Segoe UI" w:cs="Segoe UI"/>
                <w:b/>
                <w:bCs/>
                <w:noProof/>
                <w:color w:val="000000"/>
                <w:sz w:val="18"/>
                <w:szCs w:val="18"/>
                <w:lang w:val="en-IE"/>
              </w:rPr>
              <w:t xml:space="preserve">draft </w:t>
            </w:r>
            <w:r w:rsidRPr="00C70B62">
              <w:rPr>
                <w:rFonts w:ascii="Segoe UI" w:eastAsia="Calibri" w:hAnsi="Segoe UI" w:cs="Segoe UI"/>
                <w:b/>
                <w:bCs/>
                <w:noProof/>
                <w:color w:val="000000"/>
                <w:sz w:val="18"/>
                <w:szCs w:val="18"/>
                <w:lang w:val="en-IE"/>
              </w:rPr>
              <w:t xml:space="preserve">certifications </w:t>
            </w:r>
            <w:r w:rsidRPr="00C70B62">
              <w:rPr>
                <w:rFonts w:ascii="Segoe UI" w:eastAsia="Calibri" w:hAnsi="Segoe UI" w:cs="Segoe UI"/>
                <w:b/>
                <w:bCs/>
                <w:noProof/>
                <w:color w:val="000000"/>
                <w:sz w:val="18"/>
                <w:szCs w:val="18"/>
                <w:lang w:val="en-IE"/>
              </w:rPr>
              <w:br/>
              <w:t>Nº Operators (Nº sites</w:t>
            </w:r>
            <w:r w:rsidRPr="00C70B62">
              <w:rPr>
                <w:rFonts w:ascii="Segoe UI" w:eastAsia="Calibri" w:hAnsi="Segoe UI" w:cs="Segoe UI"/>
                <w:b/>
                <w:bCs/>
                <w:noProof/>
                <w:color w:val="000000"/>
                <w:sz w:val="18"/>
                <w:szCs w:val="18"/>
                <w:vertAlign w:val="superscript"/>
                <w:lang w:val="en-IE"/>
              </w:rPr>
              <w:t xml:space="preserve"> </w:t>
            </w:r>
            <w:r w:rsidRPr="00C70B62">
              <w:rPr>
                <w:rFonts w:ascii="Segoe UI" w:eastAsia="Calibri" w:hAnsi="Segoe UI" w:cs="Segoe UI"/>
                <w:b/>
                <w:bCs/>
                <w:noProof/>
                <w:color w:val="000000"/>
                <w:sz w:val="18"/>
                <w:szCs w:val="18"/>
                <w:lang w:val="en-IE"/>
              </w:rPr>
              <w:t>)</w:t>
            </w:r>
          </w:p>
        </w:tc>
        <w:tc>
          <w:tcPr>
            <w:tcW w:w="1843" w:type="dxa"/>
            <w:tcBorders>
              <w:top w:val="single" w:sz="8" w:space="0" w:color="4D4D4D"/>
              <w:left w:val="nil"/>
              <w:bottom w:val="single" w:sz="8" w:space="0" w:color="4D4D4D"/>
              <w:right w:val="nil"/>
            </w:tcBorders>
            <w:tcMar>
              <w:top w:w="15" w:type="dxa"/>
              <w:left w:w="91" w:type="dxa"/>
              <w:bottom w:w="0" w:type="dxa"/>
              <w:right w:w="91" w:type="dxa"/>
            </w:tcMar>
            <w:vAlign w:val="center"/>
            <w:hideMark/>
          </w:tcPr>
          <w:p w14:paraId="59767476" w14:textId="5E58343E" w:rsidR="00D160D3" w:rsidRPr="00707A0E" w:rsidRDefault="00D160D3" w:rsidP="00C70B62">
            <w:pPr>
              <w:spacing w:after="0" w:line="240" w:lineRule="auto"/>
              <w:jc w:val="center"/>
              <w:rPr>
                <w:rFonts w:ascii="Segoe UI" w:eastAsia="Calibri" w:hAnsi="Segoe UI" w:cs="Segoe UI"/>
                <w:noProof/>
                <w:color w:val="000000"/>
                <w:sz w:val="18"/>
                <w:szCs w:val="18"/>
                <w:lang w:val="pt-PT"/>
              </w:rPr>
            </w:pPr>
            <w:r w:rsidRPr="00707A0E">
              <w:rPr>
                <w:rFonts w:ascii="Segoe UI" w:eastAsia="Calibri" w:hAnsi="Segoe UI" w:cs="Segoe UI"/>
                <w:b/>
                <w:bCs/>
                <w:noProof/>
                <w:color w:val="000000"/>
                <w:sz w:val="18"/>
                <w:szCs w:val="18"/>
                <w:lang w:val="pt-PT"/>
              </w:rPr>
              <w:t>Total</w:t>
            </w:r>
            <w:r w:rsidRPr="00707A0E">
              <w:rPr>
                <w:rFonts w:ascii="Segoe UI" w:eastAsia="Calibri" w:hAnsi="Segoe UI" w:cs="Segoe UI"/>
                <w:b/>
                <w:bCs/>
                <w:noProof/>
                <w:color w:val="000000"/>
                <w:sz w:val="18"/>
                <w:szCs w:val="18"/>
                <w:lang w:val="pt-PT"/>
              </w:rPr>
              <w:br/>
              <w:t>Nº Operators (Nº sites)</w:t>
            </w:r>
            <w:r w:rsidRPr="00707A0E">
              <w:rPr>
                <w:rFonts w:ascii="Segoe UI" w:eastAsia="Calibri" w:hAnsi="Segoe UI" w:cs="Segoe UI"/>
                <w:b/>
                <w:bCs/>
                <w:noProof/>
                <w:color w:val="000000"/>
                <w:sz w:val="18"/>
                <w:szCs w:val="18"/>
                <w:vertAlign w:val="superscript"/>
                <w:lang w:val="pt-PT"/>
              </w:rPr>
              <w:t>[2]</w:t>
            </w:r>
          </w:p>
        </w:tc>
      </w:tr>
      <w:tr w:rsidR="00D160D3" w:rsidRPr="00D64C25" w14:paraId="4D3555F8" w14:textId="77777777" w:rsidTr="00C24F0C">
        <w:trPr>
          <w:trHeight w:val="8"/>
        </w:trPr>
        <w:tc>
          <w:tcPr>
            <w:tcW w:w="957" w:type="dxa"/>
            <w:shd w:val="clear" w:color="auto" w:fill="E9E9E9"/>
            <w:tcMar>
              <w:top w:w="15" w:type="dxa"/>
              <w:left w:w="91" w:type="dxa"/>
              <w:bottom w:w="0" w:type="dxa"/>
              <w:right w:w="91" w:type="dxa"/>
            </w:tcMar>
            <w:vAlign w:val="center"/>
            <w:hideMark/>
          </w:tcPr>
          <w:p w14:paraId="3D6772A8"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AT</w:t>
            </w:r>
          </w:p>
        </w:tc>
        <w:tc>
          <w:tcPr>
            <w:tcW w:w="2835" w:type="dxa"/>
            <w:shd w:val="clear" w:color="auto" w:fill="E9E9E9"/>
            <w:tcMar>
              <w:top w:w="15" w:type="dxa"/>
              <w:left w:w="91" w:type="dxa"/>
              <w:bottom w:w="0" w:type="dxa"/>
              <w:right w:w="91" w:type="dxa"/>
            </w:tcMar>
            <w:vAlign w:val="center"/>
            <w:hideMark/>
          </w:tcPr>
          <w:p w14:paraId="3ED7DD1C"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c>
          <w:tcPr>
            <w:tcW w:w="2268" w:type="dxa"/>
            <w:shd w:val="clear" w:color="auto" w:fill="E9E9E9"/>
            <w:tcMar>
              <w:top w:w="15" w:type="dxa"/>
              <w:left w:w="91" w:type="dxa"/>
              <w:bottom w:w="0" w:type="dxa"/>
              <w:right w:w="91" w:type="dxa"/>
            </w:tcMar>
            <w:vAlign w:val="center"/>
            <w:hideMark/>
          </w:tcPr>
          <w:p w14:paraId="7A4A46D9"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3 (7)</w:t>
            </w:r>
          </w:p>
        </w:tc>
        <w:tc>
          <w:tcPr>
            <w:tcW w:w="1843" w:type="dxa"/>
            <w:shd w:val="clear" w:color="auto" w:fill="E9E9E9"/>
            <w:tcMar>
              <w:top w:w="15" w:type="dxa"/>
              <w:left w:w="91" w:type="dxa"/>
              <w:bottom w:w="0" w:type="dxa"/>
              <w:right w:w="91" w:type="dxa"/>
            </w:tcMar>
            <w:vAlign w:val="center"/>
            <w:hideMark/>
          </w:tcPr>
          <w:p w14:paraId="0E8CDE35"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4 (8)</w:t>
            </w:r>
          </w:p>
        </w:tc>
      </w:tr>
      <w:tr w:rsidR="00D160D3" w:rsidRPr="00D64C25" w14:paraId="780EDBAC" w14:textId="77777777" w:rsidTr="00C24F0C">
        <w:trPr>
          <w:trHeight w:val="8"/>
        </w:trPr>
        <w:tc>
          <w:tcPr>
            <w:tcW w:w="957" w:type="dxa"/>
            <w:tcMar>
              <w:top w:w="15" w:type="dxa"/>
              <w:left w:w="91" w:type="dxa"/>
              <w:bottom w:w="0" w:type="dxa"/>
              <w:right w:w="91" w:type="dxa"/>
            </w:tcMar>
            <w:vAlign w:val="center"/>
            <w:hideMark/>
          </w:tcPr>
          <w:p w14:paraId="122FE636"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BE</w:t>
            </w:r>
          </w:p>
        </w:tc>
        <w:tc>
          <w:tcPr>
            <w:tcW w:w="2835" w:type="dxa"/>
            <w:tcMar>
              <w:top w:w="15" w:type="dxa"/>
              <w:left w:w="91" w:type="dxa"/>
              <w:bottom w:w="0" w:type="dxa"/>
              <w:right w:w="91" w:type="dxa"/>
            </w:tcMar>
            <w:vAlign w:val="center"/>
            <w:hideMark/>
          </w:tcPr>
          <w:p w14:paraId="4571C7AB" w14:textId="489938A8"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c>
          <w:tcPr>
            <w:tcW w:w="2268" w:type="dxa"/>
            <w:tcMar>
              <w:top w:w="15" w:type="dxa"/>
              <w:left w:w="91" w:type="dxa"/>
              <w:bottom w:w="0" w:type="dxa"/>
              <w:right w:w="91" w:type="dxa"/>
            </w:tcMar>
            <w:vAlign w:val="center"/>
            <w:hideMark/>
          </w:tcPr>
          <w:p w14:paraId="3905BFB7"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tcMar>
              <w:top w:w="15" w:type="dxa"/>
              <w:left w:w="91" w:type="dxa"/>
              <w:bottom w:w="0" w:type="dxa"/>
              <w:right w:w="91" w:type="dxa"/>
            </w:tcMar>
            <w:vAlign w:val="center"/>
            <w:hideMark/>
          </w:tcPr>
          <w:p w14:paraId="2C98AC18"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r>
      <w:tr w:rsidR="00D160D3" w:rsidRPr="00D64C25" w14:paraId="538E1C0B" w14:textId="77777777" w:rsidTr="00C24F0C">
        <w:trPr>
          <w:trHeight w:val="8"/>
        </w:trPr>
        <w:tc>
          <w:tcPr>
            <w:tcW w:w="957" w:type="dxa"/>
            <w:shd w:val="clear" w:color="auto" w:fill="E9E9E9"/>
            <w:tcMar>
              <w:top w:w="15" w:type="dxa"/>
              <w:left w:w="91" w:type="dxa"/>
              <w:bottom w:w="0" w:type="dxa"/>
              <w:right w:w="91" w:type="dxa"/>
            </w:tcMar>
            <w:vAlign w:val="center"/>
            <w:hideMark/>
          </w:tcPr>
          <w:p w14:paraId="6D0E5635"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BG</w:t>
            </w:r>
          </w:p>
        </w:tc>
        <w:tc>
          <w:tcPr>
            <w:tcW w:w="2835" w:type="dxa"/>
            <w:shd w:val="clear" w:color="auto" w:fill="E9E9E9"/>
            <w:tcMar>
              <w:top w:w="15" w:type="dxa"/>
              <w:left w:w="91" w:type="dxa"/>
              <w:bottom w:w="0" w:type="dxa"/>
              <w:right w:w="91" w:type="dxa"/>
            </w:tcMar>
            <w:vAlign w:val="center"/>
            <w:hideMark/>
          </w:tcPr>
          <w:p w14:paraId="6D9B691C" w14:textId="77777777" w:rsidR="00D160D3" w:rsidRPr="00C70B62" w:rsidRDefault="00D160D3" w:rsidP="00C70B62">
            <w:pPr>
              <w:spacing w:after="0" w:line="240" w:lineRule="auto"/>
              <w:rPr>
                <w:rFonts w:ascii="Times New Roman" w:eastAsia="Times New Roman" w:hAnsi="Times New Roman" w:cs="Times New Roman"/>
                <w:noProof/>
                <w:sz w:val="18"/>
                <w:szCs w:val="18"/>
                <w:lang w:val="en-IE" w:eastAsia="en-IE"/>
              </w:rPr>
            </w:pPr>
          </w:p>
        </w:tc>
        <w:tc>
          <w:tcPr>
            <w:tcW w:w="2268" w:type="dxa"/>
            <w:shd w:val="clear" w:color="auto" w:fill="E9E9E9"/>
            <w:tcMar>
              <w:top w:w="15" w:type="dxa"/>
              <w:left w:w="91" w:type="dxa"/>
              <w:bottom w:w="0" w:type="dxa"/>
              <w:right w:w="91" w:type="dxa"/>
            </w:tcMar>
            <w:vAlign w:val="center"/>
            <w:hideMark/>
          </w:tcPr>
          <w:p w14:paraId="7E1C4D1B"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c>
          <w:tcPr>
            <w:tcW w:w="1843" w:type="dxa"/>
            <w:shd w:val="clear" w:color="auto" w:fill="E9E9E9"/>
            <w:tcMar>
              <w:top w:w="15" w:type="dxa"/>
              <w:left w:w="91" w:type="dxa"/>
              <w:bottom w:w="0" w:type="dxa"/>
              <w:right w:w="91" w:type="dxa"/>
            </w:tcMar>
            <w:vAlign w:val="center"/>
            <w:hideMark/>
          </w:tcPr>
          <w:p w14:paraId="1EC7016B"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r>
      <w:tr w:rsidR="00D160D3" w:rsidRPr="00D64C25" w14:paraId="312CFCA5" w14:textId="77777777" w:rsidTr="00C24F0C">
        <w:trPr>
          <w:trHeight w:val="8"/>
        </w:trPr>
        <w:tc>
          <w:tcPr>
            <w:tcW w:w="957" w:type="dxa"/>
            <w:tcMar>
              <w:top w:w="15" w:type="dxa"/>
              <w:left w:w="91" w:type="dxa"/>
              <w:bottom w:w="0" w:type="dxa"/>
              <w:right w:w="91" w:type="dxa"/>
            </w:tcMar>
            <w:vAlign w:val="center"/>
            <w:hideMark/>
          </w:tcPr>
          <w:p w14:paraId="0DD6B85A"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CZ</w:t>
            </w:r>
          </w:p>
        </w:tc>
        <w:tc>
          <w:tcPr>
            <w:tcW w:w="2835" w:type="dxa"/>
            <w:tcMar>
              <w:top w:w="15" w:type="dxa"/>
              <w:left w:w="91" w:type="dxa"/>
              <w:bottom w:w="0" w:type="dxa"/>
              <w:right w:w="91" w:type="dxa"/>
            </w:tcMar>
            <w:vAlign w:val="center"/>
            <w:hideMark/>
          </w:tcPr>
          <w:p w14:paraId="02D789A4" w14:textId="77777777" w:rsidR="00D160D3" w:rsidRPr="00C70B62" w:rsidRDefault="00D160D3" w:rsidP="00C70B62">
            <w:pPr>
              <w:spacing w:after="0" w:line="240" w:lineRule="auto"/>
              <w:rPr>
                <w:rFonts w:ascii="Times New Roman" w:eastAsia="Times New Roman" w:hAnsi="Times New Roman" w:cs="Times New Roman"/>
                <w:noProof/>
                <w:sz w:val="18"/>
                <w:szCs w:val="18"/>
                <w:lang w:val="en-IE" w:eastAsia="en-IE"/>
              </w:rPr>
            </w:pPr>
          </w:p>
        </w:tc>
        <w:tc>
          <w:tcPr>
            <w:tcW w:w="2268" w:type="dxa"/>
            <w:tcMar>
              <w:top w:w="15" w:type="dxa"/>
              <w:left w:w="91" w:type="dxa"/>
              <w:bottom w:w="0" w:type="dxa"/>
              <w:right w:w="91" w:type="dxa"/>
            </w:tcMar>
            <w:vAlign w:val="center"/>
            <w:hideMark/>
          </w:tcPr>
          <w:p w14:paraId="21C818A5"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4 (9)</w:t>
            </w:r>
          </w:p>
        </w:tc>
        <w:tc>
          <w:tcPr>
            <w:tcW w:w="1843" w:type="dxa"/>
            <w:tcMar>
              <w:top w:w="15" w:type="dxa"/>
              <w:left w:w="91" w:type="dxa"/>
              <w:bottom w:w="0" w:type="dxa"/>
              <w:right w:w="91" w:type="dxa"/>
            </w:tcMar>
            <w:vAlign w:val="center"/>
            <w:hideMark/>
          </w:tcPr>
          <w:p w14:paraId="14663C88"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4 (9)</w:t>
            </w:r>
          </w:p>
        </w:tc>
      </w:tr>
      <w:tr w:rsidR="00D160D3" w:rsidRPr="00D64C25" w14:paraId="3601EC7D" w14:textId="77777777" w:rsidTr="00C24F0C">
        <w:trPr>
          <w:trHeight w:val="8"/>
        </w:trPr>
        <w:tc>
          <w:tcPr>
            <w:tcW w:w="957" w:type="dxa"/>
            <w:shd w:val="clear" w:color="auto" w:fill="E9E9E9"/>
            <w:tcMar>
              <w:top w:w="15" w:type="dxa"/>
              <w:left w:w="91" w:type="dxa"/>
              <w:bottom w:w="0" w:type="dxa"/>
              <w:right w:w="91" w:type="dxa"/>
            </w:tcMar>
            <w:vAlign w:val="center"/>
            <w:hideMark/>
          </w:tcPr>
          <w:p w14:paraId="25E50FDC"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DE</w:t>
            </w:r>
          </w:p>
        </w:tc>
        <w:tc>
          <w:tcPr>
            <w:tcW w:w="2835" w:type="dxa"/>
            <w:shd w:val="clear" w:color="auto" w:fill="E9E9E9"/>
            <w:tcMar>
              <w:top w:w="15" w:type="dxa"/>
              <w:left w:w="91" w:type="dxa"/>
              <w:bottom w:w="0" w:type="dxa"/>
              <w:right w:w="91" w:type="dxa"/>
            </w:tcMar>
            <w:vAlign w:val="center"/>
            <w:hideMark/>
          </w:tcPr>
          <w:p w14:paraId="53F64323" w14:textId="77777777" w:rsidR="00D160D3" w:rsidRPr="00C70B62" w:rsidRDefault="00D160D3" w:rsidP="00C70B62">
            <w:pPr>
              <w:spacing w:after="0" w:line="240" w:lineRule="auto"/>
              <w:rPr>
                <w:rFonts w:ascii="Times New Roman" w:eastAsia="Times New Roman" w:hAnsi="Times New Roman" w:cs="Times New Roman"/>
                <w:noProof/>
                <w:sz w:val="18"/>
                <w:szCs w:val="18"/>
                <w:lang w:val="en-IE" w:eastAsia="en-IE"/>
              </w:rPr>
            </w:pPr>
          </w:p>
        </w:tc>
        <w:tc>
          <w:tcPr>
            <w:tcW w:w="2268" w:type="dxa"/>
            <w:shd w:val="clear" w:color="auto" w:fill="E9E9E9"/>
            <w:tcMar>
              <w:top w:w="15" w:type="dxa"/>
              <w:left w:w="91" w:type="dxa"/>
              <w:bottom w:w="0" w:type="dxa"/>
              <w:right w:w="91" w:type="dxa"/>
            </w:tcMar>
            <w:vAlign w:val="center"/>
            <w:hideMark/>
          </w:tcPr>
          <w:p w14:paraId="297A8775"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25 (50)</w:t>
            </w:r>
          </w:p>
        </w:tc>
        <w:tc>
          <w:tcPr>
            <w:tcW w:w="1843" w:type="dxa"/>
            <w:shd w:val="clear" w:color="auto" w:fill="E9E9E9"/>
            <w:tcMar>
              <w:top w:w="15" w:type="dxa"/>
              <w:left w:w="91" w:type="dxa"/>
              <w:bottom w:w="0" w:type="dxa"/>
              <w:right w:w="91" w:type="dxa"/>
            </w:tcMar>
            <w:vAlign w:val="center"/>
            <w:hideMark/>
          </w:tcPr>
          <w:p w14:paraId="5CAB6300"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25 (50)</w:t>
            </w:r>
          </w:p>
        </w:tc>
      </w:tr>
      <w:tr w:rsidR="00D160D3" w:rsidRPr="00D64C25" w14:paraId="58F2317B" w14:textId="77777777" w:rsidTr="00C24F0C">
        <w:trPr>
          <w:trHeight w:val="8"/>
        </w:trPr>
        <w:tc>
          <w:tcPr>
            <w:tcW w:w="957" w:type="dxa"/>
            <w:tcMar>
              <w:top w:w="15" w:type="dxa"/>
              <w:left w:w="91" w:type="dxa"/>
              <w:bottom w:w="0" w:type="dxa"/>
              <w:right w:w="91" w:type="dxa"/>
            </w:tcMar>
            <w:vAlign w:val="center"/>
            <w:hideMark/>
          </w:tcPr>
          <w:p w14:paraId="02DA4A0F"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DK</w:t>
            </w:r>
          </w:p>
        </w:tc>
        <w:tc>
          <w:tcPr>
            <w:tcW w:w="2835" w:type="dxa"/>
            <w:tcMar>
              <w:top w:w="15" w:type="dxa"/>
              <w:left w:w="91" w:type="dxa"/>
              <w:bottom w:w="0" w:type="dxa"/>
              <w:right w:w="91" w:type="dxa"/>
            </w:tcMar>
            <w:vAlign w:val="center"/>
            <w:hideMark/>
          </w:tcPr>
          <w:p w14:paraId="4592E29F"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(2)</w:t>
            </w:r>
          </w:p>
        </w:tc>
        <w:tc>
          <w:tcPr>
            <w:tcW w:w="2268" w:type="dxa"/>
            <w:tcMar>
              <w:top w:w="15" w:type="dxa"/>
              <w:left w:w="91" w:type="dxa"/>
              <w:bottom w:w="0" w:type="dxa"/>
              <w:right w:w="91" w:type="dxa"/>
            </w:tcMar>
            <w:vAlign w:val="center"/>
            <w:hideMark/>
          </w:tcPr>
          <w:p w14:paraId="2F0CD561"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tcMar>
              <w:top w:w="15" w:type="dxa"/>
              <w:left w:w="91" w:type="dxa"/>
              <w:bottom w:w="0" w:type="dxa"/>
              <w:right w:w="91" w:type="dxa"/>
            </w:tcMar>
            <w:vAlign w:val="center"/>
            <w:hideMark/>
          </w:tcPr>
          <w:p w14:paraId="1A62BCD0"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(2)</w:t>
            </w:r>
          </w:p>
        </w:tc>
      </w:tr>
      <w:tr w:rsidR="00D160D3" w:rsidRPr="00D64C25" w14:paraId="4B9BE981" w14:textId="77777777" w:rsidTr="00C24F0C">
        <w:trPr>
          <w:trHeight w:val="8"/>
        </w:trPr>
        <w:tc>
          <w:tcPr>
            <w:tcW w:w="957" w:type="dxa"/>
            <w:shd w:val="clear" w:color="auto" w:fill="E9E9E9"/>
            <w:tcMar>
              <w:top w:w="15" w:type="dxa"/>
              <w:left w:w="91" w:type="dxa"/>
              <w:bottom w:w="0" w:type="dxa"/>
              <w:right w:w="91" w:type="dxa"/>
            </w:tcMar>
            <w:vAlign w:val="center"/>
            <w:hideMark/>
          </w:tcPr>
          <w:p w14:paraId="5E61252E"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ES</w:t>
            </w:r>
          </w:p>
        </w:tc>
        <w:tc>
          <w:tcPr>
            <w:tcW w:w="2835" w:type="dxa"/>
            <w:shd w:val="clear" w:color="auto" w:fill="E9E9E9"/>
            <w:tcMar>
              <w:top w:w="15" w:type="dxa"/>
              <w:left w:w="91" w:type="dxa"/>
              <w:bottom w:w="0" w:type="dxa"/>
              <w:right w:w="91" w:type="dxa"/>
            </w:tcMar>
            <w:vAlign w:val="center"/>
            <w:hideMark/>
          </w:tcPr>
          <w:p w14:paraId="5168D43C"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2 (4)</w:t>
            </w:r>
          </w:p>
        </w:tc>
        <w:tc>
          <w:tcPr>
            <w:tcW w:w="2268" w:type="dxa"/>
            <w:shd w:val="clear" w:color="auto" w:fill="E9E9E9"/>
            <w:tcMar>
              <w:top w:w="15" w:type="dxa"/>
              <w:left w:w="91" w:type="dxa"/>
              <w:bottom w:w="0" w:type="dxa"/>
              <w:right w:w="91" w:type="dxa"/>
            </w:tcMar>
            <w:vAlign w:val="center"/>
            <w:hideMark/>
          </w:tcPr>
          <w:p w14:paraId="3DA2D199"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shd w:val="clear" w:color="auto" w:fill="E9E9E9"/>
            <w:tcMar>
              <w:top w:w="15" w:type="dxa"/>
              <w:left w:w="91" w:type="dxa"/>
              <w:bottom w:w="0" w:type="dxa"/>
              <w:right w:w="91" w:type="dxa"/>
            </w:tcMar>
            <w:vAlign w:val="center"/>
            <w:hideMark/>
          </w:tcPr>
          <w:p w14:paraId="2A4F9F38"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2 (4)</w:t>
            </w:r>
          </w:p>
        </w:tc>
      </w:tr>
      <w:tr w:rsidR="00D160D3" w:rsidRPr="00D64C25" w14:paraId="72D32506" w14:textId="77777777" w:rsidTr="00C24F0C">
        <w:trPr>
          <w:trHeight w:val="8"/>
        </w:trPr>
        <w:tc>
          <w:tcPr>
            <w:tcW w:w="957" w:type="dxa"/>
            <w:tcMar>
              <w:top w:w="15" w:type="dxa"/>
              <w:left w:w="91" w:type="dxa"/>
              <w:bottom w:w="0" w:type="dxa"/>
              <w:right w:w="91" w:type="dxa"/>
            </w:tcMar>
            <w:vAlign w:val="center"/>
            <w:hideMark/>
          </w:tcPr>
          <w:p w14:paraId="3759E29D"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FR</w:t>
            </w:r>
          </w:p>
        </w:tc>
        <w:tc>
          <w:tcPr>
            <w:tcW w:w="2835" w:type="dxa"/>
            <w:tcMar>
              <w:top w:w="15" w:type="dxa"/>
              <w:left w:w="91" w:type="dxa"/>
              <w:bottom w:w="0" w:type="dxa"/>
              <w:right w:w="91" w:type="dxa"/>
            </w:tcMar>
            <w:vAlign w:val="center"/>
            <w:hideMark/>
          </w:tcPr>
          <w:p w14:paraId="4CAFF972" w14:textId="78D9268E"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3 (16)</w:t>
            </w:r>
          </w:p>
        </w:tc>
        <w:tc>
          <w:tcPr>
            <w:tcW w:w="2268" w:type="dxa"/>
            <w:tcMar>
              <w:top w:w="15" w:type="dxa"/>
              <w:left w:w="91" w:type="dxa"/>
              <w:bottom w:w="0" w:type="dxa"/>
              <w:right w:w="91" w:type="dxa"/>
            </w:tcMar>
            <w:vAlign w:val="center"/>
            <w:hideMark/>
          </w:tcPr>
          <w:p w14:paraId="16015678"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tcMar>
              <w:top w:w="15" w:type="dxa"/>
              <w:left w:w="91" w:type="dxa"/>
              <w:bottom w:w="0" w:type="dxa"/>
              <w:right w:w="91" w:type="dxa"/>
            </w:tcMar>
            <w:vAlign w:val="center"/>
            <w:hideMark/>
          </w:tcPr>
          <w:p w14:paraId="4C5EFB15"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3 (16)</w:t>
            </w:r>
          </w:p>
        </w:tc>
      </w:tr>
      <w:tr w:rsidR="00D160D3" w:rsidRPr="00D64C25" w14:paraId="28557E81" w14:textId="77777777" w:rsidTr="00C24F0C">
        <w:trPr>
          <w:trHeight w:val="8"/>
        </w:trPr>
        <w:tc>
          <w:tcPr>
            <w:tcW w:w="957" w:type="dxa"/>
            <w:shd w:val="clear" w:color="auto" w:fill="E9E9E9"/>
            <w:tcMar>
              <w:top w:w="15" w:type="dxa"/>
              <w:left w:w="91" w:type="dxa"/>
              <w:bottom w:w="0" w:type="dxa"/>
              <w:right w:w="91" w:type="dxa"/>
            </w:tcMar>
            <w:vAlign w:val="center"/>
            <w:hideMark/>
          </w:tcPr>
          <w:p w14:paraId="29405390"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HR</w:t>
            </w:r>
          </w:p>
        </w:tc>
        <w:tc>
          <w:tcPr>
            <w:tcW w:w="2835" w:type="dxa"/>
            <w:shd w:val="clear" w:color="auto" w:fill="E9E9E9"/>
            <w:tcMar>
              <w:top w:w="15" w:type="dxa"/>
              <w:left w:w="91" w:type="dxa"/>
              <w:bottom w:w="0" w:type="dxa"/>
              <w:right w:w="91" w:type="dxa"/>
            </w:tcMar>
            <w:vAlign w:val="center"/>
            <w:hideMark/>
          </w:tcPr>
          <w:p w14:paraId="5DF36A65" w14:textId="3A34A85A"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c>
          <w:tcPr>
            <w:tcW w:w="2268" w:type="dxa"/>
            <w:shd w:val="clear" w:color="auto" w:fill="E9E9E9"/>
            <w:tcMar>
              <w:top w:w="15" w:type="dxa"/>
              <w:left w:w="91" w:type="dxa"/>
              <w:bottom w:w="0" w:type="dxa"/>
              <w:right w:w="91" w:type="dxa"/>
            </w:tcMar>
            <w:vAlign w:val="center"/>
            <w:hideMark/>
          </w:tcPr>
          <w:p w14:paraId="5E45862C"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shd w:val="clear" w:color="auto" w:fill="E9E9E9"/>
            <w:tcMar>
              <w:top w:w="15" w:type="dxa"/>
              <w:left w:w="91" w:type="dxa"/>
              <w:bottom w:w="0" w:type="dxa"/>
              <w:right w:w="91" w:type="dxa"/>
            </w:tcMar>
            <w:vAlign w:val="center"/>
            <w:hideMark/>
          </w:tcPr>
          <w:p w14:paraId="2C392BE3"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r>
      <w:tr w:rsidR="00D160D3" w:rsidRPr="00D64C25" w14:paraId="0819F79E" w14:textId="77777777" w:rsidTr="00C24F0C">
        <w:trPr>
          <w:trHeight w:val="8"/>
        </w:trPr>
        <w:tc>
          <w:tcPr>
            <w:tcW w:w="957" w:type="dxa"/>
            <w:tcMar>
              <w:top w:w="15" w:type="dxa"/>
              <w:left w:w="91" w:type="dxa"/>
              <w:bottom w:w="0" w:type="dxa"/>
              <w:right w:w="91" w:type="dxa"/>
            </w:tcMar>
            <w:vAlign w:val="center"/>
            <w:hideMark/>
          </w:tcPr>
          <w:p w14:paraId="72E2E8F0"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HU</w:t>
            </w:r>
          </w:p>
        </w:tc>
        <w:tc>
          <w:tcPr>
            <w:tcW w:w="2835" w:type="dxa"/>
            <w:tcMar>
              <w:top w:w="15" w:type="dxa"/>
              <w:left w:w="91" w:type="dxa"/>
              <w:bottom w:w="0" w:type="dxa"/>
              <w:right w:w="91" w:type="dxa"/>
            </w:tcMar>
            <w:vAlign w:val="center"/>
            <w:hideMark/>
          </w:tcPr>
          <w:p w14:paraId="0DCCA172" w14:textId="3DA9155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2 (5)</w:t>
            </w:r>
          </w:p>
        </w:tc>
        <w:tc>
          <w:tcPr>
            <w:tcW w:w="2268" w:type="dxa"/>
            <w:tcMar>
              <w:top w:w="15" w:type="dxa"/>
              <w:left w:w="91" w:type="dxa"/>
              <w:bottom w:w="0" w:type="dxa"/>
              <w:right w:w="91" w:type="dxa"/>
            </w:tcMar>
            <w:vAlign w:val="center"/>
            <w:hideMark/>
          </w:tcPr>
          <w:p w14:paraId="7E5A5326"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tcMar>
              <w:top w:w="15" w:type="dxa"/>
              <w:left w:w="91" w:type="dxa"/>
              <w:bottom w:w="0" w:type="dxa"/>
              <w:right w:w="91" w:type="dxa"/>
            </w:tcMar>
            <w:vAlign w:val="center"/>
            <w:hideMark/>
          </w:tcPr>
          <w:p w14:paraId="6A34D69B"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2 (5)</w:t>
            </w:r>
          </w:p>
        </w:tc>
      </w:tr>
      <w:tr w:rsidR="00D160D3" w:rsidRPr="00D64C25" w14:paraId="4B5CBB56" w14:textId="77777777" w:rsidTr="00C24F0C">
        <w:trPr>
          <w:trHeight w:val="8"/>
        </w:trPr>
        <w:tc>
          <w:tcPr>
            <w:tcW w:w="957" w:type="dxa"/>
            <w:shd w:val="clear" w:color="auto" w:fill="E9E9E9"/>
            <w:tcMar>
              <w:top w:w="15" w:type="dxa"/>
              <w:left w:w="91" w:type="dxa"/>
              <w:bottom w:w="0" w:type="dxa"/>
              <w:right w:w="91" w:type="dxa"/>
            </w:tcMar>
            <w:vAlign w:val="center"/>
            <w:hideMark/>
          </w:tcPr>
          <w:p w14:paraId="673D0CD0"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IT</w:t>
            </w:r>
          </w:p>
        </w:tc>
        <w:tc>
          <w:tcPr>
            <w:tcW w:w="2835" w:type="dxa"/>
            <w:shd w:val="clear" w:color="auto" w:fill="E9E9E9"/>
            <w:tcMar>
              <w:top w:w="15" w:type="dxa"/>
              <w:left w:w="91" w:type="dxa"/>
              <w:bottom w:w="0" w:type="dxa"/>
              <w:right w:w="91" w:type="dxa"/>
            </w:tcMar>
            <w:vAlign w:val="center"/>
            <w:hideMark/>
          </w:tcPr>
          <w:p w14:paraId="193AABBA" w14:textId="77777777" w:rsidR="00D160D3" w:rsidRPr="00C70B62" w:rsidRDefault="00D160D3" w:rsidP="00C70B62">
            <w:pPr>
              <w:spacing w:after="0" w:line="240" w:lineRule="auto"/>
              <w:rPr>
                <w:rFonts w:ascii="Times New Roman" w:eastAsia="Times New Roman" w:hAnsi="Times New Roman" w:cs="Times New Roman"/>
                <w:noProof/>
                <w:sz w:val="18"/>
                <w:szCs w:val="18"/>
                <w:lang w:val="en-IE" w:eastAsia="en-IE"/>
              </w:rPr>
            </w:pPr>
          </w:p>
        </w:tc>
        <w:tc>
          <w:tcPr>
            <w:tcW w:w="2268" w:type="dxa"/>
            <w:shd w:val="clear" w:color="auto" w:fill="E9E9E9"/>
            <w:tcMar>
              <w:top w:w="15" w:type="dxa"/>
              <w:left w:w="91" w:type="dxa"/>
              <w:bottom w:w="0" w:type="dxa"/>
              <w:right w:w="91" w:type="dxa"/>
            </w:tcMar>
            <w:vAlign w:val="center"/>
            <w:hideMark/>
          </w:tcPr>
          <w:p w14:paraId="7ADACE37"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3 (13)</w:t>
            </w:r>
          </w:p>
        </w:tc>
        <w:tc>
          <w:tcPr>
            <w:tcW w:w="1843" w:type="dxa"/>
            <w:shd w:val="clear" w:color="auto" w:fill="E9E9E9"/>
            <w:tcMar>
              <w:top w:w="15" w:type="dxa"/>
              <w:left w:w="91" w:type="dxa"/>
              <w:bottom w:w="0" w:type="dxa"/>
              <w:right w:w="91" w:type="dxa"/>
            </w:tcMar>
            <w:vAlign w:val="center"/>
            <w:hideMark/>
          </w:tcPr>
          <w:p w14:paraId="37261768"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3 (13)</w:t>
            </w:r>
          </w:p>
        </w:tc>
      </w:tr>
      <w:tr w:rsidR="00D160D3" w:rsidRPr="00D64C25" w14:paraId="5095E243" w14:textId="77777777" w:rsidTr="00C24F0C">
        <w:trPr>
          <w:trHeight w:val="8"/>
        </w:trPr>
        <w:tc>
          <w:tcPr>
            <w:tcW w:w="957" w:type="dxa"/>
            <w:tcMar>
              <w:top w:w="15" w:type="dxa"/>
              <w:left w:w="91" w:type="dxa"/>
              <w:bottom w:w="0" w:type="dxa"/>
              <w:right w:w="91" w:type="dxa"/>
            </w:tcMar>
            <w:vAlign w:val="center"/>
            <w:hideMark/>
          </w:tcPr>
          <w:p w14:paraId="3F8BA1D1"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LV</w:t>
            </w:r>
          </w:p>
        </w:tc>
        <w:tc>
          <w:tcPr>
            <w:tcW w:w="2835" w:type="dxa"/>
            <w:tcMar>
              <w:top w:w="15" w:type="dxa"/>
              <w:left w:w="91" w:type="dxa"/>
              <w:bottom w:w="0" w:type="dxa"/>
              <w:right w:w="91" w:type="dxa"/>
            </w:tcMar>
            <w:vAlign w:val="center"/>
            <w:hideMark/>
          </w:tcPr>
          <w:p w14:paraId="21867F58"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c>
          <w:tcPr>
            <w:tcW w:w="2268" w:type="dxa"/>
            <w:tcMar>
              <w:top w:w="15" w:type="dxa"/>
              <w:left w:w="91" w:type="dxa"/>
              <w:bottom w:w="0" w:type="dxa"/>
              <w:right w:w="91" w:type="dxa"/>
            </w:tcMar>
            <w:vAlign w:val="center"/>
            <w:hideMark/>
          </w:tcPr>
          <w:p w14:paraId="3FD0143B"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tcMar>
              <w:top w:w="15" w:type="dxa"/>
              <w:left w:w="91" w:type="dxa"/>
              <w:bottom w:w="0" w:type="dxa"/>
              <w:right w:w="91" w:type="dxa"/>
            </w:tcMar>
            <w:vAlign w:val="center"/>
            <w:hideMark/>
          </w:tcPr>
          <w:p w14:paraId="2CA4FD4B"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r>
      <w:tr w:rsidR="00D160D3" w:rsidRPr="00D64C25" w14:paraId="23B62CEC" w14:textId="77777777" w:rsidTr="00C24F0C">
        <w:trPr>
          <w:trHeight w:val="8"/>
        </w:trPr>
        <w:tc>
          <w:tcPr>
            <w:tcW w:w="957" w:type="dxa"/>
            <w:shd w:val="clear" w:color="auto" w:fill="E9E9E9"/>
            <w:tcMar>
              <w:top w:w="15" w:type="dxa"/>
              <w:left w:w="91" w:type="dxa"/>
              <w:bottom w:w="0" w:type="dxa"/>
              <w:right w:w="91" w:type="dxa"/>
            </w:tcMar>
            <w:vAlign w:val="center"/>
            <w:hideMark/>
          </w:tcPr>
          <w:p w14:paraId="21161123"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NL</w:t>
            </w:r>
          </w:p>
        </w:tc>
        <w:tc>
          <w:tcPr>
            <w:tcW w:w="2835" w:type="dxa"/>
            <w:shd w:val="clear" w:color="auto" w:fill="E9E9E9"/>
            <w:tcMar>
              <w:top w:w="15" w:type="dxa"/>
              <w:left w:w="91" w:type="dxa"/>
              <w:bottom w:w="0" w:type="dxa"/>
              <w:right w:w="91" w:type="dxa"/>
            </w:tcMar>
            <w:vAlign w:val="center"/>
            <w:hideMark/>
          </w:tcPr>
          <w:p w14:paraId="12A9BB55" w14:textId="58EFE934"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3313E81A">
              <w:rPr>
                <w:rFonts w:ascii="Segoe UI" w:eastAsia="Calibri" w:hAnsi="Segoe UI" w:cs="Segoe UI"/>
                <w:noProof/>
                <w:color w:val="000000" w:themeColor="text1"/>
                <w:sz w:val="18"/>
                <w:szCs w:val="18"/>
                <w:lang w:val="en-IE"/>
              </w:rPr>
              <w:t>3 (4)</w:t>
            </w:r>
          </w:p>
        </w:tc>
        <w:tc>
          <w:tcPr>
            <w:tcW w:w="2268" w:type="dxa"/>
            <w:shd w:val="clear" w:color="auto" w:fill="E9E9E9"/>
            <w:tcMar>
              <w:top w:w="15" w:type="dxa"/>
              <w:left w:w="91" w:type="dxa"/>
              <w:bottom w:w="0" w:type="dxa"/>
              <w:right w:w="91" w:type="dxa"/>
            </w:tcMar>
            <w:vAlign w:val="center"/>
            <w:hideMark/>
          </w:tcPr>
          <w:p w14:paraId="148465CD"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(3)</w:t>
            </w:r>
          </w:p>
        </w:tc>
        <w:tc>
          <w:tcPr>
            <w:tcW w:w="1843" w:type="dxa"/>
            <w:shd w:val="clear" w:color="auto" w:fill="E9E9E9"/>
            <w:tcMar>
              <w:top w:w="15" w:type="dxa"/>
              <w:left w:w="91" w:type="dxa"/>
              <w:bottom w:w="0" w:type="dxa"/>
              <w:right w:w="91" w:type="dxa"/>
            </w:tcMar>
            <w:vAlign w:val="center"/>
            <w:hideMark/>
          </w:tcPr>
          <w:p w14:paraId="36422C9C"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4 (7)</w:t>
            </w:r>
          </w:p>
        </w:tc>
      </w:tr>
      <w:tr w:rsidR="00D160D3" w:rsidRPr="00D64C25" w14:paraId="6097B744" w14:textId="77777777" w:rsidTr="00C24F0C">
        <w:trPr>
          <w:trHeight w:val="8"/>
        </w:trPr>
        <w:tc>
          <w:tcPr>
            <w:tcW w:w="957" w:type="dxa"/>
            <w:tcMar>
              <w:top w:w="15" w:type="dxa"/>
              <w:left w:w="91" w:type="dxa"/>
              <w:bottom w:w="0" w:type="dxa"/>
              <w:right w:w="91" w:type="dxa"/>
            </w:tcMar>
            <w:vAlign w:val="center"/>
            <w:hideMark/>
          </w:tcPr>
          <w:p w14:paraId="1EE621D1"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PL</w:t>
            </w:r>
          </w:p>
        </w:tc>
        <w:tc>
          <w:tcPr>
            <w:tcW w:w="2835" w:type="dxa"/>
            <w:tcMar>
              <w:top w:w="15" w:type="dxa"/>
              <w:left w:w="91" w:type="dxa"/>
              <w:bottom w:w="0" w:type="dxa"/>
              <w:right w:w="91" w:type="dxa"/>
            </w:tcMar>
            <w:vAlign w:val="center"/>
            <w:hideMark/>
          </w:tcPr>
          <w:p w14:paraId="4F238A34" w14:textId="1AA478E8"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(7)</w:t>
            </w:r>
          </w:p>
        </w:tc>
        <w:tc>
          <w:tcPr>
            <w:tcW w:w="2268" w:type="dxa"/>
            <w:tcMar>
              <w:top w:w="15" w:type="dxa"/>
              <w:left w:w="91" w:type="dxa"/>
              <w:bottom w:w="0" w:type="dxa"/>
              <w:right w:w="91" w:type="dxa"/>
            </w:tcMar>
            <w:vAlign w:val="center"/>
            <w:hideMark/>
          </w:tcPr>
          <w:p w14:paraId="2179D56B"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tcMar>
              <w:top w:w="15" w:type="dxa"/>
              <w:left w:w="91" w:type="dxa"/>
              <w:bottom w:w="0" w:type="dxa"/>
              <w:right w:w="91" w:type="dxa"/>
            </w:tcMar>
            <w:vAlign w:val="center"/>
            <w:hideMark/>
          </w:tcPr>
          <w:p w14:paraId="59FD2C42"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(7)</w:t>
            </w:r>
          </w:p>
        </w:tc>
      </w:tr>
      <w:tr w:rsidR="00D160D3" w:rsidRPr="00D64C25" w14:paraId="1E717868" w14:textId="77777777" w:rsidTr="00C24F0C">
        <w:trPr>
          <w:trHeight w:val="8"/>
        </w:trPr>
        <w:tc>
          <w:tcPr>
            <w:tcW w:w="957" w:type="dxa"/>
            <w:shd w:val="clear" w:color="auto" w:fill="E9E9E9"/>
            <w:tcMar>
              <w:top w:w="15" w:type="dxa"/>
              <w:left w:w="91" w:type="dxa"/>
              <w:bottom w:w="0" w:type="dxa"/>
              <w:right w:w="91" w:type="dxa"/>
            </w:tcMar>
            <w:vAlign w:val="center"/>
            <w:hideMark/>
          </w:tcPr>
          <w:p w14:paraId="375E9CFF"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PT</w:t>
            </w:r>
          </w:p>
        </w:tc>
        <w:tc>
          <w:tcPr>
            <w:tcW w:w="2835" w:type="dxa"/>
            <w:shd w:val="clear" w:color="auto" w:fill="E9E9E9"/>
            <w:tcMar>
              <w:top w:w="15" w:type="dxa"/>
              <w:left w:w="91" w:type="dxa"/>
              <w:bottom w:w="0" w:type="dxa"/>
              <w:right w:w="91" w:type="dxa"/>
            </w:tcMar>
            <w:vAlign w:val="center"/>
            <w:hideMark/>
          </w:tcPr>
          <w:p w14:paraId="456F7DCA"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c>
          <w:tcPr>
            <w:tcW w:w="2268" w:type="dxa"/>
            <w:shd w:val="clear" w:color="auto" w:fill="E9E9E9"/>
            <w:tcMar>
              <w:top w:w="15" w:type="dxa"/>
              <w:left w:w="91" w:type="dxa"/>
              <w:bottom w:w="0" w:type="dxa"/>
              <w:right w:w="91" w:type="dxa"/>
            </w:tcMar>
            <w:vAlign w:val="center"/>
            <w:hideMark/>
          </w:tcPr>
          <w:p w14:paraId="61397EC7"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shd w:val="clear" w:color="auto" w:fill="E9E9E9"/>
            <w:tcMar>
              <w:top w:w="15" w:type="dxa"/>
              <w:left w:w="91" w:type="dxa"/>
              <w:bottom w:w="0" w:type="dxa"/>
              <w:right w:w="91" w:type="dxa"/>
            </w:tcMar>
            <w:vAlign w:val="center"/>
            <w:hideMark/>
          </w:tcPr>
          <w:p w14:paraId="75C194AC"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r>
      <w:tr w:rsidR="00D160D3" w:rsidRPr="00D64C25" w14:paraId="6A1B8CF4" w14:textId="77777777" w:rsidTr="00C24F0C">
        <w:trPr>
          <w:trHeight w:val="8"/>
        </w:trPr>
        <w:tc>
          <w:tcPr>
            <w:tcW w:w="957" w:type="dxa"/>
            <w:tcMar>
              <w:top w:w="15" w:type="dxa"/>
              <w:left w:w="91" w:type="dxa"/>
              <w:bottom w:w="0" w:type="dxa"/>
              <w:right w:w="91" w:type="dxa"/>
            </w:tcMar>
            <w:vAlign w:val="center"/>
            <w:hideMark/>
          </w:tcPr>
          <w:p w14:paraId="0224F33E"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RO</w:t>
            </w:r>
          </w:p>
        </w:tc>
        <w:tc>
          <w:tcPr>
            <w:tcW w:w="2835" w:type="dxa"/>
            <w:tcMar>
              <w:top w:w="15" w:type="dxa"/>
              <w:left w:w="91" w:type="dxa"/>
              <w:bottom w:w="0" w:type="dxa"/>
              <w:right w:w="91" w:type="dxa"/>
            </w:tcMar>
            <w:vAlign w:val="center"/>
            <w:hideMark/>
          </w:tcPr>
          <w:p w14:paraId="7B586974"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3313E81A">
              <w:rPr>
                <w:rFonts w:ascii="Segoe UI" w:eastAsia="Calibri" w:hAnsi="Segoe UI" w:cs="Segoe UI"/>
                <w:noProof/>
                <w:color w:val="000000" w:themeColor="text1"/>
                <w:sz w:val="18"/>
                <w:szCs w:val="18"/>
                <w:lang w:val="en-IE"/>
              </w:rPr>
              <w:t>2 (6)</w:t>
            </w:r>
          </w:p>
        </w:tc>
        <w:tc>
          <w:tcPr>
            <w:tcW w:w="2268" w:type="dxa"/>
            <w:tcMar>
              <w:top w:w="15" w:type="dxa"/>
              <w:left w:w="91" w:type="dxa"/>
              <w:bottom w:w="0" w:type="dxa"/>
              <w:right w:w="91" w:type="dxa"/>
            </w:tcMar>
            <w:vAlign w:val="center"/>
            <w:hideMark/>
          </w:tcPr>
          <w:p w14:paraId="09D2798F"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tcMar>
              <w:top w:w="15" w:type="dxa"/>
              <w:left w:w="91" w:type="dxa"/>
              <w:bottom w:w="0" w:type="dxa"/>
              <w:right w:w="91" w:type="dxa"/>
            </w:tcMar>
            <w:vAlign w:val="center"/>
            <w:hideMark/>
          </w:tcPr>
          <w:p w14:paraId="6A8E2482"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2 (6)</w:t>
            </w:r>
          </w:p>
        </w:tc>
      </w:tr>
      <w:tr w:rsidR="00D160D3" w:rsidRPr="00D64C25" w14:paraId="29CD0EEF" w14:textId="77777777" w:rsidTr="00C24F0C">
        <w:trPr>
          <w:trHeight w:val="8"/>
        </w:trPr>
        <w:tc>
          <w:tcPr>
            <w:tcW w:w="957" w:type="dxa"/>
            <w:shd w:val="clear" w:color="auto" w:fill="E9E9E9"/>
            <w:tcMar>
              <w:top w:w="15" w:type="dxa"/>
              <w:left w:w="91" w:type="dxa"/>
              <w:bottom w:w="0" w:type="dxa"/>
              <w:right w:w="91" w:type="dxa"/>
            </w:tcMar>
            <w:vAlign w:val="center"/>
            <w:hideMark/>
          </w:tcPr>
          <w:p w14:paraId="3DFB64E7"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SE</w:t>
            </w:r>
          </w:p>
        </w:tc>
        <w:tc>
          <w:tcPr>
            <w:tcW w:w="2835" w:type="dxa"/>
            <w:shd w:val="clear" w:color="auto" w:fill="E9E9E9"/>
            <w:tcMar>
              <w:top w:w="15" w:type="dxa"/>
              <w:left w:w="91" w:type="dxa"/>
              <w:bottom w:w="0" w:type="dxa"/>
              <w:right w:w="91" w:type="dxa"/>
            </w:tcMar>
            <w:vAlign w:val="center"/>
            <w:hideMark/>
          </w:tcPr>
          <w:p w14:paraId="6398A20E"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1(1)</w:t>
            </w:r>
          </w:p>
        </w:tc>
        <w:tc>
          <w:tcPr>
            <w:tcW w:w="2268" w:type="dxa"/>
            <w:shd w:val="clear" w:color="auto" w:fill="E9E9E9"/>
            <w:tcMar>
              <w:top w:w="15" w:type="dxa"/>
              <w:left w:w="91" w:type="dxa"/>
              <w:bottom w:w="0" w:type="dxa"/>
              <w:right w:w="91" w:type="dxa"/>
            </w:tcMar>
            <w:vAlign w:val="center"/>
            <w:hideMark/>
          </w:tcPr>
          <w:p w14:paraId="718DE666"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shd w:val="clear" w:color="auto" w:fill="E9E9E9"/>
            <w:tcMar>
              <w:top w:w="15" w:type="dxa"/>
              <w:left w:w="91" w:type="dxa"/>
              <w:bottom w:w="0" w:type="dxa"/>
              <w:right w:w="91" w:type="dxa"/>
            </w:tcMar>
            <w:vAlign w:val="center"/>
            <w:hideMark/>
          </w:tcPr>
          <w:p w14:paraId="6BCCC5CC"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1 (1)</w:t>
            </w:r>
          </w:p>
        </w:tc>
      </w:tr>
      <w:tr w:rsidR="00D160D3" w:rsidRPr="00D64C25" w14:paraId="087693F5" w14:textId="77777777" w:rsidTr="00C24F0C">
        <w:trPr>
          <w:trHeight w:val="8"/>
        </w:trPr>
        <w:tc>
          <w:tcPr>
            <w:tcW w:w="957" w:type="dxa"/>
            <w:tcMar>
              <w:top w:w="15" w:type="dxa"/>
              <w:left w:w="91" w:type="dxa"/>
              <w:bottom w:w="0" w:type="dxa"/>
              <w:right w:w="91" w:type="dxa"/>
            </w:tcMar>
            <w:vAlign w:val="center"/>
            <w:hideMark/>
          </w:tcPr>
          <w:p w14:paraId="3AC2A8FD"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r w:rsidRPr="00C70B62">
              <w:rPr>
                <w:rFonts w:ascii="Segoe UI" w:eastAsia="Calibri" w:hAnsi="Segoe UI" w:cs="Segoe UI"/>
                <w:b/>
                <w:bCs/>
                <w:noProof/>
                <w:color w:val="000000"/>
                <w:sz w:val="18"/>
                <w:szCs w:val="18"/>
                <w:lang w:val="en-IE"/>
              </w:rPr>
              <w:t>SK</w:t>
            </w:r>
          </w:p>
        </w:tc>
        <w:tc>
          <w:tcPr>
            <w:tcW w:w="2835" w:type="dxa"/>
            <w:tcMar>
              <w:top w:w="15" w:type="dxa"/>
              <w:left w:w="91" w:type="dxa"/>
              <w:bottom w:w="0" w:type="dxa"/>
              <w:right w:w="91" w:type="dxa"/>
            </w:tcMar>
            <w:vAlign w:val="center"/>
            <w:hideMark/>
          </w:tcPr>
          <w:p w14:paraId="32E69EE7" w14:textId="4B25555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3313E81A">
              <w:rPr>
                <w:rFonts w:ascii="Segoe UI" w:eastAsia="Calibri" w:hAnsi="Segoe UI" w:cs="Segoe UI"/>
                <w:noProof/>
                <w:color w:val="000000" w:themeColor="text1"/>
                <w:sz w:val="18"/>
                <w:szCs w:val="18"/>
                <w:lang w:val="en-IE"/>
              </w:rPr>
              <w:t>2 (2)</w:t>
            </w:r>
          </w:p>
        </w:tc>
        <w:tc>
          <w:tcPr>
            <w:tcW w:w="2268" w:type="dxa"/>
            <w:tcMar>
              <w:top w:w="15" w:type="dxa"/>
              <w:left w:w="91" w:type="dxa"/>
              <w:bottom w:w="0" w:type="dxa"/>
              <w:right w:w="91" w:type="dxa"/>
            </w:tcMar>
            <w:vAlign w:val="center"/>
            <w:hideMark/>
          </w:tcPr>
          <w:p w14:paraId="546ACED8" w14:textId="77777777" w:rsidR="00D160D3" w:rsidRPr="00C70B62" w:rsidRDefault="00D160D3" w:rsidP="00C70B62">
            <w:pPr>
              <w:spacing w:after="0" w:line="240" w:lineRule="auto"/>
              <w:rPr>
                <w:rFonts w:ascii="Segoe UI" w:eastAsia="Calibri" w:hAnsi="Segoe UI" w:cs="Segoe UI"/>
                <w:noProof/>
                <w:color w:val="000000"/>
                <w:sz w:val="18"/>
                <w:szCs w:val="18"/>
                <w:lang w:val="en-IE"/>
              </w:rPr>
            </w:pPr>
          </w:p>
        </w:tc>
        <w:tc>
          <w:tcPr>
            <w:tcW w:w="1843" w:type="dxa"/>
            <w:tcMar>
              <w:top w:w="15" w:type="dxa"/>
              <w:left w:w="91" w:type="dxa"/>
              <w:bottom w:w="0" w:type="dxa"/>
              <w:right w:w="91" w:type="dxa"/>
            </w:tcMar>
            <w:vAlign w:val="center"/>
            <w:hideMark/>
          </w:tcPr>
          <w:p w14:paraId="208E26E3" w14:textId="77777777" w:rsidR="00D160D3" w:rsidRPr="00C70B62" w:rsidRDefault="00D160D3" w:rsidP="00C70B62">
            <w:pPr>
              <w:spacing w:after="0" w:line="240" w:lineRule="auto"/>
              <w:jc w:val="center"/>
              <w:rPr>
                <w:rFonts w:ascii="Segoe UI" w:eastAsia="Calibri" w:hAnsi="Segoe UI" w:cs="Segoe UI"/>
                <w:noProof/>
                <w:color w:val="000000"/>
                <w:sz w:val="18"/>
                <w:szCs w:val="18"/>
                <w:lang w:val="en-IE"/>
              </w:rPr>
            </w:pPr>
            <w:r w:rsidRPr="00C70B62">
              <w:rPr>
                <w:rFonts w:ascii="Segoe UI" w:eastAsia="Calibri" w:hAnsi="Segoe UI" w:cs="Segoe UI"/>
                <w:noProof/>
                <w:color w:val="000000"/>
                <w:sz w:val="18"/>
                <w:szCs w:val="18"/>
                <w:lang w:val="en-IE"/>
              </w:rPr>
              <w:t>2 (2)</w:t>
            </w:r>
          </w:p>
        </w:tc>
      </w:tr>
      <w:tr w:rsidR="00D160D3" w:rsidRPr="00D64C25" w14:paraId="569749AA" w14:textId="77777777" w:rsidTr="00C24F0C">
        <w:trPr>
          <w:trHeight w:val="8"/>
        </w:trPr>
        <w:tc>
          <w:tcPr>
            <w:tcW w:w="957" w:type="dxa"/>
            <w:tcBorders>
              <w:top w:val="nil"/>
              <w:left w:val="nil"/>
              <w:bottom w:val="single" w:sz="8" w:space="0" w:color="4D4D4D"/>
              <w:right w:val="nil"/>
            </w:tcBorders>
            <w:shd w:val="clear" w:color="auto" w:fill="E9E9E9"/>
            <w:tcMar>
              <w:top w:w="15" w:type="dxa"/>
              <w:left w:w="91" w:type="dxa"/>
              <w:bottom w:w="0" w:type="dxa"/>
              <w:right w:w="91" w:type="dxa"/>
            </w:tcMar>
            <w:vAlign w:val="center"/>
            <w:hideMark/>
          </w:tcPr>
          <w:p w14:paraId="4816C80A" w14:textId="77777777" w:rsidR="00D160D3" w:rsidRPr="00C70B62" w:rsidRDefault="00D160D3" w:rsidP="00C70B62">
            <w:pPr>
              <w:spacing w:after="0" w:line="240" w:lineRule="auto"/>
              <w:rPr>
                <w:rFonts w:ascii="Segoe UI" w:eastAsia="Calibri" w:hAnsi="Segoe UI" w:cs="Segoe UI"/>
                <w:b/>
                <w:bCs/>
                <w:noProof/>
                <w:color w:val="000000"/>
                <w:sz w:val="18"/>
                <w:szCs w:val="18"/>
                <w:lang w:val="en-IE"/>
              </w:rPr>
            </w:pPr>
            <w:r w:rsidRPr="00C70B62">
              <w:rPr>
                <w:rFonts w:ascii="Segoe UI" w:eastAsia="Calibri" w:hAnsi="Segoe UI" w:cs="Segoe UI"/>
                <w:b/>
                <w:bCs/>
                <w:noProof/>
                <w:color w:val="000000"/>
                <w:sz w:val="18"/>
                <w:szCs w:val="18"/>
                <w:lang w:val="en-IE"/>
              </w:rPr>
              <w:t>TOTAL</w:t>
            </w:r>
          </w:p>
        </w:tc>
        <w:tc>
          <w:tcPr>
            <w:tcW w:w="2835" w:type="dxa"/>
            <w:tcBorders>
              <w:top w:val="nil"/>
              <w:left w:val="nil"/>
              <w:bottom w:val="single" w:sz="8" w:space="0" w:color="4D4D4D"/>
              <w:right w:val="nil"/>
            </w:tcBorders>
            <w:shd w:val="clear" w:color="auto" w:fill="E9E9E9"/>
            <w:tcMar>
              <w:top w:w="15" w:type="dxa"/>
              <w:left w:w="91" w:type="dxa"/>
              <w:bottom w:w="0" w:type="dxa"/>
              <w:right w:w="91" w:type="dxa"/>
            </w:tcMar>
            <w:vAlign w:val="center"/>
            <w:hideMark/>
          </w:tcPr>
          <w:p w14:paraId="3383B73A" w14:textId="32BF2F01" w:rsidR="00D160D3" w:rsidRPr="00C70B62" w:rsidRDefault="00D160D3" w:rsidP="00C70B62">
            <w:pPr>
              <w:spacing w:after="0" w:line="240" w:lineRule="auto"/>
              <w:jc w:val="center"/>
              <w:rPr>
                <w:rFonts w:ascii="Segoe UI" w:eastAsia="Calibri" w:hAnsi="Segoe UI" w:cs="Segoe UI"/>
                <w:b/>
                <w:bCs/>
                <w:noProof/>
                <w:color w:val="000000"/>
                <w:sz w:val="18"/>
                <w:szCs w:val="18"/>
                <w:lang w:val="en-IE"/>
              </w:rPr>
            </w:pPr>
            <w:r w:rsidRPr="3313E81A">
              <w:rPr>
                <w:rFonts w:ascii="Segoe UI" w:eastAsia="Calibri" w:hAnsi="Segoe UI" w:cs="Segoe UI"/>
                <w:b/>
                <w:bCs/>
                <w:noProof/>
                <w:color w:val="000000" w:themeColor="text1"/>
                <w:sz w:val="18"/>
                <w:szCs w:val="18"/>
                <w:lang w:val="en-IE"/>
              </w:rPr>
              <w:t>22(52)</w:t>
            </w:r>
          </w:p>
        </w:tc>
        <w:tc>
          <w:tcPr>
            <w:tcW w:w="2268" w:type="dxa"/>
            <w:tcBorders>
              <w:top w:val="nil"/>
              <w:left w:val="nil"/>
              <w:bottom w:val="single" w:sz="8" w:space="0" w:color="4D4D4D"/>
              <w:right w:val="nil"/>
            </w:tcBorders>
            <w:shd w:val="clear" w:color="auto" w:fill="E9E9E9"/>
            <w:tcMar>
              <w:top w:w="15" w:type="dxa"/>
              <w:left w:w="91" w:type="dxa"/>
              <w:bottom w:w="0" w:type="dxa"/>
              <w:right w:w="91" w:type="dxa"/>
            </w:tcMar>
            <w:vAlign w:val="center"/>
            <w:hideMark/>
          </w:tcPr>
          <w:p w14:paraId="5F18F174" w14:textId="6B7B0138" w:rsidR="00D160D3" w:rsidRPr="00C70B62" w:rsidRDefault="00D160D3" w:rsidP="00C70B62">
            <w:pPr>
              <w:spacing w:after="0" w:line="240" w:lineRule="auto"/>
              <w:jc w:val="center"/>
              <w:rPr>
                <w:rFonts w:ascii="Segoe UI" w:eastAsia="Calibri" w:hAnsi="Segoe UI" w:cs="Segoe UI"/>
                <w:b/>
                <w:bCs/>
                <w:noProof/>
                <w:color w:val="000000"/>
                <w:sz w:val="18"/>
                <w:szCs w:val="18"/>
                <w:lang w:val="en-IE"/>
              </w:rPr>
            </w:pPr>
            <w:r w:rsidRPr="00C70B62">
              <w:rPr>
                <w:rFonts w:ascii="Segoe UI" w:eastAsia="Calibri" w:hAnsi="Segoe UI" w:cs="Segoe UI"/>
                <w:b/>
                <w:bCs/>
                <w:noProof/>
                <w:color w:val="000000"/>
                <w:sz w:val="18"/>
                <w:szCs w:val="18"/>
                <w:lang w:val="en-IE"/>
              </w:rPr>
              <w:t>37 (83)</w:t>
            </w:r>
          </w:p>
        </w:tc>
        <w:tc>
          <w:tcPr>
            <w:tcW w:w="1843" w:type="dxa"/>
            <w:tcBorders>
              <w:top w:val="nil"/>
              <w:left w:val="nil"/>
              <w:bottom w:val="single" w:sz="8" w:space="0" w:color="4D4D4D"/>
              <w:right w:val="nil"/>
            </w:tcBorders>
            <w:shd w:val="clear" w:color="auto" w:fill="E9E9E9"/>
            <w:tcMar>
              <w:top w:w="15" w:type="dxa"/>
              <w:left w:w="91" w:type="dxa"/>
              <w:bottom w:w="0" w:type="dxa"/>
              <w:right w:w="91" w:type="dxa"/>
            </w:tcMar>
            <w:vAlign w:val="center"/>
            <w:hideMark/>
          </w:tcPr>
          <w:p w14:paraId="5AF3D09F" w14:textId="77777777" w:rsidR="00D160D3" w:rsidRPr="00C70B62" w:rsidRDefault="00D160D3" w:rsidP="00C70B62">
            <w:pPr>
              <w:spacing w:after="0" w:line="240" w:lineRule="auto"/>
              <w:jc w:val="center"/>
              <w:rPr>
                <w:rFonts w:ascii="Segoe UI" w:eastAsia="Calibri" w:hAnsi="Segoe UI" w:cs="Segoe UI"/>
                <w:b/>
                <w:bCs/>
                <w:noProof/>
                <w:color w:val="000000"/>
                <w:sz w:val="18"/>
                <w:szCs w:val="18"/>
                <w:lang w:val="en-IE"/>
              </w:rPr>
            </w:pPr>
            <w:r w:rsidRPr="00C70B62">
              <w:rPr>
                <w:rFonts w:ascii="Segoe UI" w:eastAsia="Calibri" w:hAnsi="Segoe UI" w:cs="Segoe UI"/>
                <w:b/>
                <w:bCs/>
                <w:noProof/>
                <w:color w:val="000000"/>
                <w:sz w:val="18"/>
                <w:szCs w:val="18"/>
                <w:lang w:val="en-IE"/>
              </w:rPr>
              <w:t>59 (135)</w:t>
            </w:r>
          </w:p>
        </w:tc>
      </w:tr>
    </w:tbl>
    <w:p w14:paraId="4D3D352F" w14:textId="6CBF5E68" w:rsidR="00C70B62" w:rsidRPr="00C70B62" w:rsidRDefault="00C70B62" w:rsidP="00C70B62">
      <w:pPr>
        <w:spacing w:after="0" w:line="240" w:lineRule="auto"/>
        <w:rPr>
          <w:rFonts w:ascii="Times New Roman" w:eastAsia="Calibri" w:hAnsi="Times New Roman" w:cs="Times New Roman"/>
          <w:noProof/>
          <w:color w:val="000000"/>
          <w:sz w:val="20"/>
          <w:szCs w:val="20"/>
          <w:lang w:val="en-GB"/>
        </w:rPr>
      </w:pPr>
    </w:p>
    <w:p w14:paraId="7A12E516" w14:textId="77777777" w:rsidR="00C70B62" w:rsidRPr="005D42B6" w:rsidRDefault="00C70B62" w:rsidP="005D42B6">
      <w:pPr>
        <w:spacing w:after="80" w:line="257" w:lineRule="auto"/>
        <w:jc w:val="both"/>
        <w:rPr>
          <w:rFonts w:ascii="Times New Roman" w:eastAsia="Times New Roman" w:hAnsi="Times New Roman" w:cs="Times New Roman"/>
          <w:noProof/>
          <w:sz w:val="24"/>
          <w:szCs w:val="20"/>
          <w:lang w:val="en-GB" w:eastAsia="en-IE"/>
        </w:rPr>
      </w:pPr>
    </w:p>
    <w:p w14:paraId="63BF6104" w14:textId="32E475AD" w:rsidR="005D42B6" w:rsidRPr="005D42B6" w:rsidRDefault="005D42B6" w:rsidP="005D42B6">
      <w:pPr>
        <w:spacing w:after="80" w:line="257" w:lineRule="auto"/>
        <w:jc w:val="both"/>
        <w:rPr>
          <w:rFonts w:ascii="Times New Roman" w:eastAsia="Times New Roman" w:hAnsi="Times New Roman" w:cs="Times New Roman"/>
          <w:noProof/>
          <w:sz w:val="24"/>
          <w:szCs w:val="24"/>
          <w:lang w:val="en-GB" w:eastAsia="en-IE"/>
        </w:rPr>
      </w:pPr>
      <w:r w:rsidRPr="005D42B6">
        <w:rPr>
          <w:rFonts w:ascii="Times New Roman" w:eastAsia="Times New Roman" w:hAnsi="Times New Roman" w:cs="Times New Roman"/>
          <w:noProof/>
          <w:sz w:val="24"/>
          <w:szCs w:val="24"/>
          <w:lang w:val="en-GB" w:eastAsia="en-IE"/>
        </w:rPr>
        <w:t xml:space="preserve">To support Member States with the issuance of draft certifications, the Commission </w:t>
      </w:r>
      <w:r w:rsidRPr="45380DDC">
        <w:rPr>
          <w:rFonts w:ascii="Times New Roman" w:eastAsia="Times New Roman" w:hAnsi="Times New Roman" w:cs="Times New Roman"/>
          <w:noProof/>
          <w:sz w:val="24"/>
          <w:szCs w:val="24"/>
          <w:lang w:val="en-GB" w:eastAsia="en-IE"/>
        </w:rPr>
        <w:t>organi</w:t>
      </w:r>
      <w:r w:rsidR="35EE7B33" w:rsidRPr="45380DDC">
        <w:rPr>
          <w:rFonts w:ascii="Times New Roman" w:eastAsia="Times New Roman" w:hAnsi="Times New Roman" w:cs="Times New Roman"/>
          <w:noProof/>
          <w:sz w:val="24"/>
          <w:szCs w:val="24"/>
          <w:lang w:val="en-GB" w:eastAsia="en-IE"/>
        </w:rPr>
        <w:t>s</w:t>
      </w:r>
      <w:r w:rsidRPr="45380DDC">
        <w:rPr>
          <w:rFonts w:ascii="Times New Roman" w:eastAsia="Times New Roman" w:hAnsi="Times New Roman" w:cs="Times New Roman"/>
          <w:noProof/>
          <w:sz w:val="24"/>
          <w:szCs w:val="24"/>
          <w:lang w:val="en-GB" w:eastAsia="en-IE"/>
        </w:rPr>
        <w:t>ed</w:t>
      </w:r>
      <w:r w:rsidRPr="005D42B6">
        <w:rPr>
          <w:rFonts w:ascii="Times New Roman" w:eastAsia="Times New Roman" w:hAnsi="Times New Roman" w:cs="Times New Roman"/>
          <w:noProof/>
          <w:sz w:val="24"/>
          <w:szCs w:val="24"/>
          <w:lang w:val="en-GB" w:eastAsia="en-IE"/>
        </w:rPr>
        <w:t xml:space="preserve"> special sessions of the Gas Coordination Group to provide practical guidance for certifying SSOs and </w:t>
      </w:r>
      <w:r w:rsidR="00EA12B9">
        <w:rPr>
          <w:rFonts w:ascii="Times New Roman" w:eastAsia="Times New Roman" w:hAnsi="Times New Roman" w:cs="Times New Roman"/>
          <w:noProof/>
          <w:sz w:val="24"/>
          <w:szCs w:val="24"/>
          <w:lang w:val="en-GB" w:eastAsia="en-IE"/>
        </w:rPr>
        <w:t xml:space="preserve">storage </w:t>
      </w:r>
      <w:r w:rsidRPr="005D42B6">
        <w:rPr>
          <w:rFonts w:ascii="Times New Roman" w:eastAsia="Times New Roman" w:hAnsi="Times New Roman" w:cs="Times New Roman"/>
          <w:noProof/>
          <w:sz w:val="24"/>
          <w:szCs w:val="24"/>
          <w:lang w:val="en-GB" w:eastAsia="en-IE"/>
        </w:rPr>
        <w:t xml:space="preserve">owners. The Commission recalled that the certification </w:t>
      </w:r>
      <w:r w:rsidR="005A1F7C" w:rsidRPr="005D42B6">
        <w:rPr>
          <w:rFonts w:ascii="Times New Roman" w:eastAsia="Times New Roman" w:hAnsi="Times New Roman" w:cs="Times New Roman"/>
          <w:noProof/>
          <w:sz w:val="24"/>
          <w:szCs w:val="24"/>
          <w:lang w:val="en-GB" w:eastAsia="en-IE"/>
        </w:rPr>
        <w:t>sh</w:t>
      </w:r>
      <w:r w:rsidR="005A1F7C">
        <w:rPr>
          <w:rFonts w:ascii="Times New Roman" w:eastAsia="Times New Roman" w:hAnsi="Times New Roman" w:cs="Times New Roman"/>
          <w:noProof/>
          <w:sz w:val="24"/>
          <w:szCs w:val="24"/>
          <w:lang w:val="en-GB" w:eastAsia="en-IE"/>
        </w:rPr>
        <w:t>ould</w:t>
      </w:r>
      <w:r w:rsidR="005A1F7C" w:rsidRPr="005D42B6">
        <w:rPr>
          <w:rFonts w:ascii="Times New Roman" w:eastAsia="Times New Roman" w:hAnsi="Times New Roman" w:cs="Times New Roman"/>
          <w:noProof/>
          <w:sz w:val="24"/>
          <w:szCs w:val="24"/>
          <w:lang w:val="en-GB" w:eastAsia="en-IE"/>
        </w:rPr>
        <w:t xml:space="preserve"> </w:t>
      </w:r>
      <w:r w:rsidRPr="005D42B6">
        <w:rPr>
          <w:rFonts w:ascii="Times New Roman" w:eastAsia="Times New Roman" w:hAnsi="Times New Roman" w:cs="Times New Roman"/>
          <w:noProof/>
          <w:sz w:val="24"/>
          <w:szCs w:val="24"/>
          <w:lang w:val="en-GB" w:eastAsia="en-IE"/>
        </w:rPr>
        <w:t xml:space="preserve">reduce risk for security of gas supply at regional, national, or Union-wide level resulting, </w:t>
      </w:r>
      <w:r w:rsidRPr="005D42B6">
        <w:rPr>
          <w:rFonts w:ascii="Times New Roman" w:eastAsia="Times New Roman" w:hAnsi="Times New Roman" w:cs="Times New Roman"/>
          <w:i/>
          <w:iCs/>
          <w:noProof/>
          <w:sz w:val="24"/>
          <w:szCs w:val="24"/>
          <w:lang w:val="en-GB" w:eastAsia="en-IE"/>
        </w:rPr>
        <w:t>inter alia</w:t>
      </w:r>
      <w:r w:rsidRPr="005D42B6">
        <w:rPr>
          <w:rFonts w:ascii="Times New Roman" w:eastAsia="Times New Roman" w:hAnsi="Times New Roman" w:cs="Times New Roman"/>
          <w:noProof/>
          <w:sz w:val="24"/>
          <w:szCs w:val="24"/>
          <w:lang w:val="en-GB" w:eastAsia="en-IE"/>
        </w:rPr>
        <w:t xml:space="preserve">, from: </w:t>
      </w:r>
    </w:p>
    <w:p w14:paraId="3FF9BFF4" w14:textId="3C6B2271" w:rsidR="005D42B6" w:rsidRPr="001F044F" w:rsidRDefault="005D42B6" w:rsidP="001F044F">
      <w:pPr>
        <w:pStyle w:val="ListParagraph"/>
        <w:numPr>
          <w:ilvl w:val="0"/>
          <w:numId w:val="39"/>
        </w:numPr>
        <w:spacing w:after="80" w:line="257" w:lineRule="auto"/>
        <w:jc w:val="both"/>
        <w:rPr>
          <w:rFonts w:ascii="Times New Roman" w:eastAsia="Times New Roman" w:hAnsi="Times New Roman" w:cs="Times New Roman"/>
          <w:noProof/>
          <w:sz w:val="24"/>
          <w:szCs w:val="20"/>
          <w:lang w:val="en-GB" w:eastAsia="en-IE"/>
        </w:rPr>
      </w:pPr>
      <w:r w:rsidRPr="001F044F">
        <w:rPr>
          <w:rFonts w:ascii="Times New Roman" w:eastAsia="Times New Roman" w:hAnsi="Times New Roman" w:cs="Times New Roman"/>
          <w:noProof/>
          <w:sz w:val="24"/>
          <w:szCs w:val="24"/>
          <w:lang w:val="en-GB" w:eastAsia="en-IE"/>
        </w:rPr>
        <w:t>ownership, supply or other commercial relationships that could negatively affect the incentives and the ability of the storage system operator to fill the underground gas storage facility;</w:t>
      </w:r>
    </w:p>
    <w:p w14:paraId="6B45C3E3" w14:textId="33D61479" w:rsidR="005D42B6" w:rsidRPr="001F044F" w:rsidRDefault="005D42B6" w:rsidP="001F044F">
      <w:pPr>
        <w:pStyle w:val="ListParagraph"/>
        <w:numPr>
          <w:ilvl w:val="0"/>
          <w:numId w:val="39"/>
        </w:numPr>
        <w:spacing w:after="80" w:line="257" w:lineRule="auto"/>
        <w:jc w:val="both"/>
        <w:rPr>
          <w:rFonts w:ascii="Times New Roman" w:eastAsia="Times New Roman" w:hAnsi="Times New Roman" w:cs="Times New Roman"/>
          <w:noProof/>
          <w:sz w:val="24"/>
          <w:szCs w:val="24"/>
          <w:lang w:val="en-GB" w:eastAsia="en-IE"/>
        </w:rPr>
      </w:pPr>
      <w:r w:rsidRPr="001F044F">
        <w:rPr>
          <w:rFonts w:ascii="Times New Roman" w:eastAsia="Times New Roman" w:hAnsi="Times New Roman" w:cs="Times New Roman"/>
          <w:noProof/>
          <w:sz w:val="24"/>
          <w:szCs w:val="24"/>
          <w:lang w:val="en-GB" w:eastAsia="en-IE"/>
        </w:rPr>
        <w:t xml:space="preserve">the rights and obligations of the Union with respect to a third country arising under international law, including any agreement concluded with one or more third countries to which the Union is a party, and which addresses the issue of the security of energy supply; </w:t>
      </w:r>
    </w:p>
    <w:p w14:paraId="6E78C9E8" w14:textId="31BA4147" w:rsidR="005D42B6" w:rsidRPr="001F044F" w:rsidRDefault="005D42B6" w:rsidP="001F044F">
      <w:pPr>
        <w:pStyle w:val="ListParagraph"/>
        <w:numPr>
          <w:ilvl w:val="0"/>
          <w:numId w:val="39"/>
        </w:numPr>
        <w:spacing w:after="80" w:line="257" w:lineRule="auto"/>
        <w:jc w:val="both"/>
        <w:rPr>
          <w:rFonts w:ascii="Times New Roman" w:eastAsia="Times New Roman" w:hAnsi="Times New Roman" w:cs="Times New Roman"/>
          <w:noProof/>
          <w:sz w:val="24"/>
          <w:szCs w:val="20"/>
          <w:lang w:val="en-GB" w:eastAsia="en-IE"/>
        </w:rPr>
      </w:pPr>
      <w:r w:rsidRPr="001F044F">
        <w:rPr>
          <w:rFonts w:ascii="Times New Roman" w:eastAsia="Times New Roman" w:hAnsi="Times New Roman" w:cs="Times New Roman"/>
          <w:noProof/>
          <w:sz w:val="24"/>
          <w:szCs w:val="24"/>
          <w:lang w:val="en-GB" w:eastAsia="en-IE"/>
        </w:rPr>
        <w:t>the rights and obligations of the Member States concerned with respect to a third country arising under agreements concluded by the Member States concerned with one or more third countries, in so far as those agreements comply with Union law; or</w:t>
      </w:r>
    </w:p>
    <w:p w14:paraId="2AE6BF98" w14:textId="12FCCAAD" w:rsidR="005D42B6" w:rsidRPr="007D1226" w:rsidRDefault="005D42B6" w:rsidP="001F044F">
      <w:pPr>
        <w:pStyle w:val="ListParagraph"/>
        <w:numPr>
          <w:ilvl w:val="0"/>
          <w:numId w:val="39"/>
        </w:numPr>
        <w:spacing w:after="80" w:line="257" w:lineRule="auto"/>
        <w:jc w:val="both"/>
        <w:rPr>
          <w:rFonts w:ascii="Times New Roman" w:eastAsia="Times New Roman" w:hAnsi="Times New Roman" w:cs="Times New Roman"/>
          <w:noProof/>
          <w:sz w:val="24"/>
          <w:szCs w:val="20"/>
          <w:lang w:val="en-GB" w:eastAsia="en-IE"/>
        </w:rPr>
      </w:pPr>
      <w:r w:rsidRPr="001F044F">
        <w:rPr>
          <w:rFonts w:ascii="Times New Roman" w:eastAsia="Times New Roman" w:hAnsi="Times New Roman" w:cs="Times New Roman"/>
          <w:noProof/>
          <w:sz w:val="24"/>
          <w:szCs w:val="24"/>
          <w:lang w:val="en-GB" w:eastAsia="en-IE"/>
        </w:rPr>
        <w:t>any other specific facts and circumstances of the case.</w:t>
      </w:r>
    </w:p>
    <w:p w14:paraId="16391A4D" w14:textId="4D01AE09" w:rsidR="005D42B6" w:rsidRPr="005D42B6" w:rsidRDefault="005D42B6" w:rsidP="005D42B6">
      <w:pPr>
        <w:keepNext/>
        <w:numPr>
          <w:ilvl w:val="0"/>
          <w:numId w:val="35"/>
        </w:numPr>
        <w:tabs>
          <w:tab w:val="num" w:pos="1485"/>
        </w:tabs>
        <w:spacing w:before="240" w:after="80" w:line="240" w:lineRule="auto"/>
        <w:ind w:left="1485" w:hanging="283"/>
        <w:jc w:val="both"/>
        <w:outlineLvl w:val="0"/>
        <w:rPr>
          <w:rFonts w:ascii="Times New Roman" w:eastAsia="Times New Roman" w:hAnsi="Times New Roman" w:cs="Times New Roman"/>
          <w:b/>
          <w:smallCaps/>
          <w:noProof/>
          <w:sz w:val="24"/>
          <w:szCs w:val="20"/>
          <w:lang w:val="en-GB" w:eastAsia="en-IE"/>
        </w:rPr>
      </w:pPr>
      <w:r w:rsidRPr="005D42B6">
        <w:rPr>
          <w:rFonts w:ascii="Times New Roman" w:eastAsia="Times New Roman" w:hAnsi="Times New Roman" w:cs="Times New Roman"/>
          <w:b/>
          <w:smallCaps/>
          <w:noProof/>
          <w:sz w:val="24"/>
          <w:szCs w:val="20"/>
          <w:lang w:val="en-GB" w:eastAsia="en-IE"/>
        </w:rPr>
        <w:t xml:space="preserve">Compliance with the storage filling objectives </w:t>
      </w:r>
    </w:p>
    <w:p w14:paraId="11FBC041" w14:textId="3A7AC49A" w:rsidR="00D64C25" w:rsidRDefault="003058AA" w:rsidP="005D42B6">
      <w:pPr>
        <w:spacing w:after="80" w:line="240" w:lineRule="auto"/>
        <w:jc w:val="both"/>
        <w:rPr>
          <w:rFonts w:ascii="Times New Roman" w:eastAsia="Times New Roman" w:hAnsi="Times New Roman" w:cs="Times New Roman"/>
          <w:noProof/>
          <w:color w:val="000000"/>
          <w:sz w:val="24"/>
          <w:szCs w:val="24"/>
          <w:lang w:val="en-GB" w:eastAsia="en-IE"/>
        </w:rPr>
      </w:pPr>
      <w:r w:rsidRPr="6581250A">
        <w:rPr>
          <w:rFonts w:ascii="Times New Roman" w:eastAsia="Times New Roman" w:hAnsi="Times New Roman" w:cs="Times New Roman"/>
          <w:noProof/>
          <w:color w:val="000000" w:themeColor="text1"/>
          <w:sz w:val="24"/>
          <w:szCs w:val="24"/>
          <w:lang w:val="en-GB" w:eastAsia="en-IE"/>
        </w:rPr>
        <w:t xml:space="preserve">In order to </w:t>
      </w:r>
      <w:r w:rsidR="00F06682" w:rsidRPr="6581250A">
        <w:rPr>
          <w:rFonts w:ascii="Times New Roman" w:eastAsia="Times New Roman" w:hAnsi="Times New Roman" w:cs="Times New Roman"/>
          <w:noProof/>
          <w:color w:val="000000" w:themeColor="text1"/>
          <w:sz w:val="24"/>
          <w:szCs w:val="24"/>
          <w:lang w:val="en-GB" w:eastAsia="en-IE"/>
        </w:rPr>
        <w:t xml:space="preserve">ensure security of </w:t>
      </w:r>
      <w:r w:rsidR="00DD3528" w:rsidRPr="6581250A">
        <w:rPr>
          <w:rFonts w:ascii="Times New Roman" w:eastAsia="Times New Roman" w:hAnsi="Times New Roman" w:cs="Times New Roman"/>
          <w:noProof/>
          <w:color w:val="000000" w:themeColor="text1"/>
          <w:sz w:val="24"/>
          <w:szCs w:val="24"/>
          <w:lang w:val="en-GB" w:eastAsia="en-IE"/>
        </w:rPr>
        <w:t xml:space="preserve">gas </w:t>
      </w:r>
      <w:r w:rsidR="00F06682" w:rsidRPr="6581250A">
        <w:rPr>
          <w:rFonts w:ascii="Times New Roman" w:eastAsia="Times New Roman" w:hAnsi="Times New Roman" w:cs="Times New Roman"/>
          <w:noProof/>
          <w:color w:val="000000" w:themeColor="text1"/>
          <w:sz w:val="24"/>
          <w:szCs w:val="24"/>
          <w:lang w:val="en-GB" w:eastAsia="en-IE"/>
        </w:rPr>
        <w:t xml:space="preserve">supply </w:t>
      </w:r>
      <w:r w:rsidR="00AA07BA">
        <w:rPr>
          <w:rFonts w:ascii="Times New Roman" w:eastAsia="Times New Roman" w:hAnsi="Times New Roman" w:cs="Times New Roman"/>
          <w:noProof/>
          <w:color w:val="000000" w:themeColor="text1"/>
          <w:sz w:val="24"/>
          <w:szCs w:val="24"/>
          <w:lang w:val="en-GB" w:eastAsia="en-IE"/>
        </w:rPr>
        <w:t>over</w:t>
      </w:r>
      <w:r w:rsidR="00F06682" w:rsidRPr="6581250A">
        <w:rPr>
          <w:rFonts w:ascii="Times New Roman" w:eastAsia="Times New Roman" w:hAnsi="Times New Roman" w:cs="Times New Roman"/>
          <w:noProof/>
          <w:color w:val="000000" w:themeColor="text1"/>
          <w:sz w:val="24"/>
          <w:szCs w:val="24"/>
          <w:lang w:val="en-GB" w:eastAsia="en-IE"/>
        </w:rPr>
        <w:t xml:space="preserve"> the years</w:t>
      </w:r>
      <w:r w:rsidR="00ED29D3" w:rsidRPr="6581250A">
        <w:rPr>
          <w:rFonts w:ascii="Times New Roman" w:eastAsia="Times New Roman" w:hAnsi="Times New Roman" w:cs="Times New Roman"/>
          <w:noProof/>
          <w:color w:val="000000" w:themeColor="text1"/>
          <w:sz w:val="24"/>
          <w:szCs w:val="24"/>
          <w:lang w:val="en-GB" w:eastAsia="en-IE"/>
        </w:rPr>
        <w:t xml:space="preserve"> and to comply with </w:t>
      </w:r>
      <w:r w:rsidR="0030401A" w:rsidRPr="6581250A">
        <w:rPr>
          <w:rFonts w:ascii="Times New Roman" w:eastAsia="Times New Roman" w:hAnsi="Times New Roman" w:cs="Times New Roman"/>
          <w:noProof/>
          <w:color w:val="000000" w:themeColor="text1"/>
          <w:sz w:val="24"/>
          <w:szCs w:val="24"/>
          <w:lang w:val="en-GB" w:eastAsia="en-IE"/>
        </w:rPr>
        <w:t xml:space="preserve">the gas storage </w:t>
      </w:r>
      <w:r w:rsidR="00ED29D3" w:rsidRPr="6581250A">
        <w:rPr>
          <w:rFonts w:ascii="Times New Roman" w:eastAsia="Times New Roman" w:hAnsi="Times New Roman" w:cs="Times New Roman"/>
          <w:noProof/>
          <w:color w:val="000000" w:themeColor="text1"/>
          <w:sz w:val="24"/>
          <w:szCs w:val="24"/>
          <w:lang w:val="en-GB" w:eastAsia="en-IE"/>
        </w:rPr>
        <w:t xml:space="preserve">target </w:t>
      </w:r>
      <w:r w:rsidR="0030401A" w:rsidRPr="6581250A">
        <w:rPr>
          <w:rFonts w:ascii="Times New Roman" w:eastAsia="Times New Roman" w:hAnsi="Times New Roman" w:cs="Times New Roman"/>
          <w:noProof/>
          <w:color w:val="000000" w:themeColor="text1"/>
          <w:sz w:val="24"/>
          <w:szCs w:val="24"/>
          <w:lang w:val="en-GB" w:eastAsia="en-IE"/>
        </w:rPr>
        <w:t xml:space="preserve">of 90% </w:t>
      </w:r>
      <w:r w:rsidR="00ED29D3" w:rsidRPr="6581250A">
        <w:rPr>
          <w:rFonts w:ascii="Times New Roman" w:eastAsia="Times New Roman" w:hAnsi="Times New Roman" w:cs="Times New Roman"/>
          <w:noProof/>
          <w:color w:val="000000" w:themeColor="text1"/>
          <w:sz w:val="24"/>
          <w:szCs w:val="24"/>
          <w:lang w:val="en-GB" w:eastAsia="en-IE"/>
        </w:rPr>
        <w:t>on 1</w:t>
      </w:r>
      <w:r w:rsidR="00ED29D3" w:rsidRPr="6581250A">
        <w:rPr>
          <w:rFonts w:ascii="Times New Roman" w:eastAsia="Times New Roman" w:hAnsi="Times New Roman" w:cs="Times New Roman"/>
          <w:noProof/>
          <w:color w:val="000000" w:themeColor="text1"/>
          <w:sz w:val="24"/>
          <w:szCs w:val="24"/>
          <w:vertAlign w:val="superscript"/>
          <w:lang w:val="en-GB" w:eastAsia="en-IE"/>
        </w:rPr>
        <w:t xml:space="preserve"> </w:t>
      </w:r>
      <w:r w:rsidR="00ED29D3" w:rsidRPr="6581250A">
        <w:rPr>
          <w:rFonts w:ascii="Times New Roman" w:eastAsia="Times New Roman" w:hAnsi="Times New Roman" w:cs="Times New Roman"/>
          <w:noProof/>
          <w:color w:val="000000" w:themeColor="text1"/>
          <w:sz w:val="24"/>
          <w:szCs w:val="24"/>
          <w:lang w:val="en-GB" w:eastAsia="en-IE"/>
        </w:rPr>
        <w:t>November of each year, t</w:t>
      </w:r>
      <w:r w:rsidR="00F06682" w:rsidRPr="6581250A">
        <w:rPr>
          <w:rFonts w:ascii="Times New Roman" w:eastAsia="Times New Roman" w:hAnsi="Times New Roman" w:cs="Times New Roman"/>
          <w:noProof/>
          <w:color w:val="000000" w:themeColor="text1"/>
          <w:sz w:val="24"/>
          <w:szCs w:val="24"/>
          <w:lang w:val="en-GB" w:eastAsia="en-IE"/>
        </w:rPr>
        <w:t xml:space="preserve">he Gas Storage Regulation </w:t>
      </w:r>
      <w:r w:rsidR="0052418F" w:rsidRPr="6581250A">
        <w:rPr>
          <w:rFonts w:ascii="Times New Roman" w:eastAsia="Times New Roman" w:hAnsi="Times New Roman" w:cs="Times New Roman"/>
          <w:noProof/>
          <w:color w:val="000000" w:themeColor="text1"/>
          <w:sz w:val="24"/>
          <w:szCs w:val="24"/>
          <w:lang w:val="en-GB" w:eastAsia="en-IE"/>
        </w:rPr>
        <w:t>has</w:t>
      </w:r>
      <w:r w:rsidR="00283F79" w:rsidRPr="6581250A">
        <w:rPr>
          <w:rFonts w:ascii="Times New Roman" w:eastAsia="Times New Roman" w:hAnsi="Times New Roman" w:cs="Times New Roman"/>
          <w:noProof/>
          <w:color w:val="000000" w:themeColor="text1"/>
          <w:sz w:val="24"/>
          <w:szCs w:val="24"/>
          <w:lang w:val="en-GB" w:eastAsia="en-IE"/>
        </w:rPr>
        <w:t xml:space="preserve"> </w:t>
      </w:r>
      <w:r w:rsidR="0052418F" w:rsidRPr="6581250A">
        <w:rPr>
          <w:rFonts w:ascii="Times New Roman" w:eastAsia="Times New Roman" w:hAnsi="Times New Roman" w:cs="Times New Roman"/>
          <w:noProof/>
          <w:color w:val="000000" w:themeColor="text1"/>
          <w:sz w:val="24"/>
          <w:szCs w:val="24"/>
          <w:lang w:val="en-GB" w:eastAsia="en-IE"/>
        </w:rPr>
        <w:t xml:space="preserve">conferred </w:t>
      </w:r>
      <w:r w:rsidR="35A428EB" w:rsidRPr="45380DDC">
        <w:rPr>
          <w:rFonts w:ascii="Times New Roman" w:eastAsia="Times New Roman" w:hAnsi="Times New Roman" w:cs="Times New Roman"/>
          <w:noProof/>
          <w:color w:val="000000" w:themeColor="text1"/>
          <w:sz w:val="24"/>
          <w:szCs w:val="24"/>
          <w:lang w:val="en-GB" w:eastAsia="en-IE"/>
        </w:rPr>
        <w:t xml:space="preserve">implementing powers </w:t>
      </w:r>
      <w:r w:rsidR="00FF03E4" w:rsidRPr="6581250A">
        <w:rPr>
          <w:rFonts w:ascii="Times New Roman" w:eastAsia="Times New Roman" w:hAnsi="Times New Roman" w:cs="Times New Roman"/>
          <w:noProof/>
          <w:color w:val="000000" w:themeColor="text1"/>
          <w:sz w:val="24"/>
          <w:szCs w:val="24"/>
          <w:lang w:val="en-GB" w:eastAsia="en-IE"/>
        </w:rPr>
        <w:t xml:space="preserve">to </w:t>
      </w:r>
      <w:r w:rsidR="00F06682" w:rsidRPr="6581250A">
        <w:rPr>
          <w:rFonts w:ascii="Times New Roman" w:eastAsia="Times New Roman" w:hAnsi="Times New Roman" w:cs="Times New Roman"/>
          <w:noProof/>
          <w:color w:val="000000" w:themeColor="text1"/>
          <w:sz w:val="24"/>
          <w:szCs w:val="24"/>
          <w:lang w:val="en-GB" w:eastAsia="en-IE"/>
        </w:rPr>
        <w:t xml:space="preserve">the Commission </w:t>
      </w:r>
      <w:r w:rsidR="00283F79" w:rsidRPr="6581250A">
        <w:rPr>
          <w:rFonts w:ascii="Times New Roman" w:eastAsia="Times New Roman" w:hAnsi="Times New Roman" w:cs="Times New Roman"/>
          <w:noProof/>
          <w:color w:val="000000" w:themeColor="text1"/>
          <w:sz w:val="24"/>
          <w:szCs w:val="24"/>
          <w:lang w:val="en-GB" w:eastAsia="en-IE"/>
        </w:rPr>
        <w:t>t</w:t>
      </w:r>
      <w:r w:rsidR="00283F79" w:rsidRPr="6581250A">
        <w:rPr>
          <w:rFonts w:ascii="Times New Roman" w:eastAsia="Times New Roman" w:hAnsi="Times New Roman" w:cs="Times New Roman"/>
          <w:noProof/>
          <w:color w:val="000000" w:themeColor="text1"/>
          <w:sz w:val="24"/>
          <w:szCs w:val="24"/>
          <w:lang w:eastAsia="en-IE"/>
        </w:rPr>
        <w:t>o set the filling trajectory for each Member State with underground gas storage facilities from 2023 and the following years</w:t>
      </w:r>
      <w:r w:rsidR="00B90C1B" w:rsidRPr="6581250A">
        <w:rPr>
          <w:rFonts w:ascii="Times New Roman" w:eastAsia="Times New Roman" w:hAnsi="Times New Roman" w:cs="Times New Roman"/>
          <w:noProof/>
          <w:color w:val="000000" w:themeColor="text1"/>
          <w:sz w:val="24"/>
          <w:szCs w:val="24"/>
          <w:lang w:eastAsia="en-IE"/>
        </w:rPr>
        <w:t>, as</w:t>
      </w:r>
      <w:r w:rsidR="00283F79" w:rsidRPr="6581250A">
        <w:rPr>
          <w:rFonts w:ascii="Times New Roman" w:eastAsia="Times New Roman" w:hAnsi="Times New Roman" w:cs="Times New Roman"/>
          <w:noProof/>
          <w:color w:val="000000" w:themeColor="text1"/>
          <w:sz w:val="24"/>
          <w:szCs w:val="24"/>
          <w:lang w:eastAsia="en-IE"/>
        </w:rPr>
        <w:t xml:space="preserve"> based on the draft filling trajectory submitted by each such Member State</w:t>
      </w:r>
      <w:r w:rsidR="00B90C1B" w:rsidRPr="6581250A">
        <w:rPr>
          <w:rFonts w:ascii="Times New Roman" w:eastAsia="Times New Roman" w:hAnsi="Times New Roman" w:cs="Times New Roman"/>
          <w:noProof/>
          <w:color w:val="000000" w:themeColor="text1"/>
          <w:sz w:val="24"/>
          <w:szCs w:val="24"/>
          <w:lang w:eastAsia="en-IE"/>
        </w:rPr>
        <w:t>.</w:t>
      </w:r>
      <w:r w:rsidR="00283F79" w:rsidRPr="6581250A">
        <w:rPr>
          <w:rFonts w:ascii="Times New Roman" w:eastAsia="Times New Roman" w:hAnsi="Times New Roman" w:cs="Times New Roman"/>
          <w:noProof/>
          <w:color w:val="000000" w:themeColor="text1"/>
          <w:sz w:val="24"/>
          <w:szCs w:val="24"/>
          <w:lang w:val="en-GB" w:eastAsia="en-IE"/>
        </w:rPr>
        <w:t xml:space="preserve"> </w:t>
      </w:r>
      <w:r w:rsidR="002518AB" w:rsidRPr="6581250A">
        <w:rPr>
          <w:rFonts w:ascii="Times New Roman" w:eastAsia="Times New Roman" w:hAnsi="Times New Roman" w:cs="Times New Roman"/>
          <w:noProof/>
          <w:color w:val="000000" w:themeColor="text1"/>
          <w:sz w:val="24"/>
          <w:szCs w:val="24"/>
          <w:lang w:val="en-GB" w:eastAsia="en-IE"/>
        </w:rPr>
        <w:t>In 2023, a</w:t>
      </w:r>
      <w:r w:rsidR="00A7477E" w:rsidRPr="6581250A">
        <w:rPr>
          <w:rFonts w:ascii="Times New Roman" w:eastAsia="Times New Roman" w:hAnsi="Times New Roman" w:cs="Times New Roman"/>
          <w:noProof/>
          <w:color w:val="000000" w:themeColor="text1"/>
          <w:sz w:val="24"/>
          <w:szCs w:val="24"/>
          <w:lang w:val="en-GB" w:eastAsia="en-IE"/>
        </w:rPr>
        <w:t xml:space="preserve">ccording to Article 6a of the </w:t>
      </w:r>
      <w:r w:rsidR="00323B27" w:rsidRPr="6581250A">
        <w:rPr>
          <w:rFonts w:ascii="Times New Roman" w:eastAsia="Times New Roman" w:hAnsi="Times New Roman" w:cs="Times New Roman"/>
          <w:noProof/>
          <w:color w:val="000000" w:themeColor="text1"/>
          <w:sz w:val="24"/>
          <w:szCs w:val="24"/>
          <w:lang w:val="en-GB" w:eastAsia="en-IE"/>
        </w:rPr>
        <w:t>Regulation (EU) 2017/1938, as inserted by the Gas Storage Regulation, a</w:t>
      </w:r>
      <w:r w:rsidR="52663728" w:rsidRPr="005D42B6">
        <w:rPr>
          <w:rFonts w:ascii="Times New Roman" w:eastAsia="Times New Roman" w:hAnsi="Times New Roman" w:cs="Times New Roman"/>
          <w:noProof/>
          <w:color w:val="000000"/>
          <w:sz w:val="24"/>
          <w:szCs w:val="24"/>
          <w:lang w:val="en-GB" w:eastAsia="en-IE"/>
        </w:rPr>
        <w:t>ll Member States complied with the intermedia</w:t>
      </w:r>
      <w:r w:rsidR="379D988A" w:rsidRPr="7A542D98">
        <w:rPr>
          <w:rFonts w:ascii="Times New Roman" w:eastAsia="Times New Roman" w:hAnsi="Times New Roman" w:cs="Times New Roman"/>
          <w:noProof/>
          <w:color w:val="000000" w:themeColor="text1"/>
          <w:sz w:val="24"/>
          <w:szCs w:val="24"/>
          <w:lang w:val="en-GB" w:eastAsia="en-IE"/>
        </w:rPr>
        <w:t>te</w:t>
      </w:r>
      <w:r w:rsidR="52663728" w:rsidRPr="005D42B6">
        <w:rPr>
          <w:rFonts w:ascii="Times New Roman" w:eastAsia="Times New Roman" w:hAnsi="Times New Roman" w:cs="Times New Roman"/>
          <w:noProof/>
          <w:color w:val="000000"/>
          <w:sz w:val="24"/>
          <w:szCs w:val="24"/>
          <w:lang w:val="en-GB" w:eastAsia="en-IE"/>
        </w:rPr>
        <w:t xml:space="preserve"> targets set for 2023 by the Implementing Regulation (EU/2022/2301)</w:t>
      </w:r>
      <w:r w:rsidR="001D1063">
        <w:rPr>
          <w:rFonts w:ascii="Times New Roman" w:eastAsia="Times New Roman" w:hAnsi="Times New Roman" w:cs="Times New Roman"/>
          <w:noProof/>
          <w:color w:val="000000"/>
          <w:sz w:val="24"/>
          <w:szCs w:val="24"/>
          <w:lang w:val="en-GB" w:eastAsia="en-IE"/>
        </w:rPr>
        <w:t>,</w:t>
      </w:r>
      <w:r w:rsidR="52663728" w:rsidRPr="005D42B6">
        <w:rPr>
          <w:rFonts w:ascii="Times New Roman" w:eastAsia="Times New Roman" w:hAnsi="Times New Roman" w:cs="Times New Roman"/>
          <w:noProof/>
          <w:color w:val="000000"/>
          <w:sz w:val="24"/>
          <w:szCs w:val="24"/>
          <w:lang w:val="en-GB" w:eastAsia="en-IE"/>
        </w:rPr>
        <w:t xml:space="preserve"> adopted on 23 November 2022</w:t>
      </w:r>
      <w:r w:rsidR="001D1063">
        <w:rPr>
          <w:rFonts w:ascii="Times New Roman" w:eastAsia="Times New Roman" w:hAnsi="Times New Roman" w:cs="Times New Roman"/>
          <w:noProof/>
          <w:color w:val="000000"/>
          <w:sz w:val="24"/>
          <w:szCs w:val="24"/>
          <w:lang w:val="en-GB" w:eastAsia="en-IE"/>
        </w:rPr>
        <w:t>.</w:t>
      </w:r>
      <w:r w:rsidR="005757BB" w:rsidRPr="6581250A">
        <w:rPr>
          <w:rFonts w:ascii="Times New Roman" w:eastAsia="Times New Roman" w:hAnsi="Times New Roman" w:cs="Times New Roman"/>
          <w:noProof/>
          <w:color w:val="000000" w:themeColor="text1"/>
          <w:sz w:val="24"/>
          <w:szCs w:val="24"/>
          <w:lang w:val="en-GB" w:eastAsia="en-IE"/>
        </w:rPr>
        <w:t xml:space="preserve"> </w:t>
      </w:r>
      <w:r w:rsidR="21AC3FFA" w:rsidRPr="005D42B6">
        <w:rPr>
          <w:rFonts w:ascii="Times New Roman" w:eastAsia="Times New Roman" w:hAnsi="Times New Roman" w:cs="Times New Roman"/>
          <w:noProof/>
          <w:color w:val="000000"/>
          <w:sz w:val="24"/>
          <w:szCs w:val="24"/>
          <w:lang w:val="en-GB" w:eastAsia="en-IE"/>
        </w:rPr>
        <w:t>S</w:t>
      </w:r>
      <w:r w:rsidR="52663728" w:rsidRPr="005D42B6">
        <w:rPr>
          <w:rFonts w:ascii="Times New Roman" w:eastAsia="Times New Roman" w:hAnsi="Times New Roman" w:cs="Times New Roman"/>
          <w:noProof/>
          <w:color w:val="000000"/>
          <w:sz w:val="24"/>
          <w:szCs w:val="24"/>
          <w:lang w:val="en-GB" w:eastAsia="en-IE"/>
        </w:rPr>
        <w:t>everal Member States reached 100% (or surpassed their declared capacity</w:t>
      </w:r>
      <w:r w:rsidR="005D42B6" w:rsidRPr="005D42B6">
        <w:rPr>
          <w:rFonts w:ascii="Times New Roman" w:eastAsia="Times New Roman" w:hAnsi="Times New Roman" w:cs="Times New Roman"/>
          <w:noProof/>
          <w:color w:val="000000"/>
          <w:sz w:val="24"/>
          <w:szCs w:val="24"/>
          <w:vertAlign w:val="superscript"/>
          <w:lang w:val="en-GB" w:eastAsia="en-IE"/>
        </w:rPr>
        <w:footnoteReference w:id="7"/>
      </w:r>
      <w:r w:rsidR="52663728" w:rsidRPr="005D42B6">
        <w:rPr>
          <w:rFonts w:ascii="Times New Roman" w:eastAsia="Times New Roman" w:hAnsi="Times New Roman" w:cs="Times New Roman"/>
          <w:noProof/>
          <w:color w:val="000000"/>
          <w:sz w:val="24"/>
          <w:szCs w:val="24"/>
          <w:lang w:val="en-GB" w:eastAsia="en-IE"/>
        </w:rPr>
        <w:t xml:space="preserve">) </w:t>
      </w:r>
      <w:r w:rsidR="00D17B64" w:rsidRPr="6581250A">
        <w:rPr>
          <w:rFonts w:ascii="Times New Roman" w:eastAsia="Times New Roman" w:hAnsi="Times New Roman" w:cs="Times New Roman"/>
          <w:noProof/>
          <w:color w:val="000000" w:themeColor="text1"/>
          <w:sz w:val="24"/>
          <w:szCs w:val="24"/>
          <w:lang w:val="en-GB" w:eastAsia="en-IE"/>
        </w:rPr>
        <w:t xml:space="preserve">before the </w:t>
      </w:r>
      <w:r w:rsidR="52663728" w:rsidRPr="005D42B6">
        <w:rPr>
          <w:rFonts w:ascii="Times New Roman" w:eastAsia="Times New Roman" w:hAnsi="Times New Roman" w:cs="Times New Roman"/>
          <w:noProof/>
          <w:color w:val="000000"/>
          <w:sz w:val="24"/>
          <w:szCs w:val="24"/>
          <w:lang w:val="en-GB" w:eastAsia="en-IE"/>
        </w:rPr>
        <w:t>1 November</w:t>
      </w:r>
      <w:r w:rsidR="005757BB" w:rsidRPr="6581250A">
        <w:rPr>
          <w:rFonts w:ascii="Times New Roman" w:eastAsia="Times New Roman" w:hAnsi="Times New Roman" w:cs="Times New Roman"/>
          <w:noProof/>
          <w:color w:val="000000" w:themeColor="text1"/>
          <w:sz w:val="24"/>
          <w:szCs w:val="24"/>
          <w:lang w:val="en-GB" w:eastAsia="en-IE"/>
        </w:rPr>
        <w:t xml:space="preserve"> 2023</w:t>
      </w:r>
      <w:r w:rsidR="001D1063">
        <w:rPr>
          <w:rFonts w:ascii="Times New Roman" w:eastAsia="Times New Roman" w:hAnsi="Times New Roman" w:cs="Times New Roman"/>
          <w:noProof/>
          <w:color w:val="000000" w:themeColor="text1"/>
          <w:sz w:val="24"/>
          <w:szCs w:val="24"/>
          <w:lang w:val="en-GB" w:eastAsia="en-IE"/>
        </w:rPr>
        <w:t>.</w:t>
      </w:r>
      <w:r w:rsidR="52663728" w:rsidRPr="005D42B6">
        <w:rPr>
          <w:rFonts w:ascii="Times New Roman" w:eastAsia="Times New Roman" w:hAnsi="Times New Roman" w:cs="Times New Roman"/>
          <w:noProof/>
          <w:color w:val="000000"/>
          <w:sz w:val="24"/>
          <w:szCs w:val="24"/>
          <w:lang w:val="en-GB" w:eastAsia="en-IE"/>
        </w:rPr>
        <w:t xml:space="preserve"> The Commission therefore did not have to take measures in 2023 to ensure compliance with the filling trajectories and filling targets. </w:t>
      </w:r>
      <w:bookmarkStart w:id="8" w:name="_Ref153968321"/>
    </w:p>
    <w:p w14:paraId="67CA77DF" w14:textId="77777777" w:rsidR="00F45CB1" w:rsidRDefault="00F45CB1" w:rsidP="005D42B6">
      <w:pPr>
        <w:spacing w:after="80" w:line="240" w:lineRule="auto"/>
        <w:jc w:val="both"/>
        <w:rPr>
          <w:rFonts w:ascii="Times New Roman" w:eastAsia="Times New Roman" w:hAnsi="Times New Roman" w:cs="Times New Roman"/>
          <w:noProof/>
          <w:color w:val="000000"/>
          <w:sz w:val="24"/>
          <w:szCs w:val="24"/>
          <w:lang w:val="en-GB" w:eastAsia="en-IE"/>
        </w:rPr>
      </w:pPr>
    </w:p>
    <w:p w14:paraId="0B47BC01" w14:textId="77777777" w:rsidR="000D7182" w:rsidRDefault="000D7182">
      <w:pPr>
        <w:rPr>
          <w:rFonts w:ascii="Times New Roman" w:eastAsia="Times New Roman" w:hAnsi="Times New Roman" w:cs="Times New Roman"/>
          <w:b/>
          <w:bCs/>
          <w:noProof/>
          <w:sz w:val="20"/>
          <w:szCs w:val="20"/>
          <w:lang w:val="en-GB" w:eastAsia="en-IE"/>
        </w:rPr>
      </w:pPr>
      <w:r>
        <w:rPr>
          <w:rFonts w:ascii="Times New Roman" w:eastAsia="Times New Roman" w:hAnsi="Times New Roman" w:cs="Times New Roman"/>
          <w:b/>
          <w:bCs/>
          <w:noProof/>
          <w:sz w:val="20"/>
          <w:szCs w:val="20"/>
          <w:lang w:val="en-GB" w:eastAsia="en-IE"/>
        </w:rPr>
        <w:br w:type="page"/>
      </w:r>
    </w:p>
    <w:p w14:paraId="1FB1DD23" w14:textId="51D6B7EE" w:rsidR="00F45CB1" w:rsidRDefault="005D42B6" w:rsidP="007D1226">
      <w:pPr>
        <w:spacing w:after="120" w:line="240" w:lineRule="auto"/>
        <w:rPr>
          <w:rFonts w:ascii="Times New Roman" w:eastAsia="Calibri" w:hAnsi="Times New Roman" w:cs="Times New Roman"/>
          <w:b/>
          <w:bCs/>
          <w:noProof/>
          <w:sz w:val="20"/>
          <w:szCs w:val="20"/>
          <w:lang w:val="en-GB" w:eastAsia="en-IE"/>
        </w:rPr>
      </w:pPr>
      <w:r w:rsidRPr="005D42B6">
        <w:rPr>
          <w:rFonts w:ascii="Times New Roman" w:eastAsia="Times New Roman" w:hAnsi="Times New Roman" w:cs="Times New Roman"/>
          <w:b/>
          <w:bCs/>
          <w:noProof/>
          <w:sz w:val="20"/>
          <w:szCs w:val="20"/>
          <w:lang w:val="en-GB" w:eastAsia="en-IE"/>
        </w:rPr>
        <w:t xml:space="preserve">Table </w:t>
      </w:r>
      <w:r w:rsidRPr="005D42B6">
        <w:rPr>
          <w:rFonts w:ascii="Times New Roman" w:eastAsia="Times New Roman" w:hAnsi="Times New Roman" w:cs="Times New Roman"/>
          <w:b/>
          <w:bCs/>
          <w:noProof/>
          <w:sz w:val="20"/>
          <w:szCs w:val="20"/>
          <w:lang w:val="en-GB" w:eastAsia="en-IE"/>
        </w:rPr>
        <w:fldChar w:fldCharType="begin"/>
      </w:r>
      <w:r w:rsidRPr="005D42B6">
        <w:rPr>
          <w:rFonts w:ascii="Times New Roman" w:eastAsia="Times New Roman" w:hAnsi="Times New Roman" w:cs="Times New Roman"/>
          <w:b/>
          <w:bCs/>
          <w:noProof/>
          <w:sz w:val="20"/>
          <w:szCs w:val="20"/>
          <w:lang w:val="en-GB" w:eastAsia="en-IE"/>
        </w:rPr>
        <w:instrText xml:space="preserve"> SEQ Table \* ARABIC </w:instrText>
      </w:r>
      <w:r w:rsidRPr="005D42B6">
        <w:rPr>
          <w:rFonts w:ascii="Times New Roman" w:eastAsia="Times New Roman" w:hAnsi="Times New Roman" w:cs="Times New Roman"/>
          <w:b/>
          <w:bCs/>
          <w:noProof/>
          <w:sz w:val="20"/>
          <w:szCs w:val="20"/>
          <w:lang w:val="en-GB" w:eastAsia="en-IE"/>
        </w:rPr>
        <w:fldChar w:fldCharType="separate"/>
      </w:r>
      <w:r w:rsidR="00063A2B">
        <w:rPr>
          <w:rFonts w:ascii="Times New Roman" w:eastAsia="Times New Roman" w:hAnsi="Times New Roman" w:cs="Times New Roman"/>
          <w:b/>
          <w:bCs/>
          <w:noProof/>
          <w:sz w:val="20"/>
          <w:szCs w:val="20"/>
          <w:lang w:val="en-GB" w:eastAsia="en-IE"/>
        </w:rPr>
        <w:t>3</w:t>
      </w:r>
      <w:r w:rsidRPr="005D42B6">
        <w:rPr>
          <w:rFonts w:ascii="Times New Roman" w:eastAsia="Times New Roman" w:hAnsi="Times New Roman" w:cs="Times New Roman"/>
          <w:b/>
          <w:bCs/>
          <w:noProof/>
          <w:sz w:val="20"/>
          <w:szCs w:val="20"/>
          <w:lang w:val="en-GB" w:eastAsia="en-IE"/>
        </w:rPr>
        <w:fldChar w:fldCharType="end"/>
      </w:r>
      <w:bookmarkEnd w:id="8"/>
      <w:r w:rsidRPr="005D42B6">
        <w:rPr>
          <w:rFonts w:ascii="Times New Roman" w:eastAsia="Times New Roman" w:hAnsi="Times New Roman" w:cs="Times New Roman"/>
          <w:b/>
          <w:bCs/>
          <w:noProof/>
          <w:sz w:val="20"/>
          <w:szCs w:val="20"/>
          <w:lang w:val="en-GB" w:eastAsia="en-IE"/>
        </w:rPr>
        <w:t xml:space="preserve"> - </w:t>
      </w:r>
      <w:r w:rsidRPr="005D42B6">
        <w:rPr>
          <w:rFonts w:ascii="Times New Roman" w:eastAsia="Calibri" w:hAnsi="Times New Roman" w:cs="Times New Roman"/>
          <w:b/>
          <w:bCs/>
          <w:noProof/>
          <w:sz w:val="20"/>
          <w:szCs w:val="20"/>
          <w:lang w:val="en-GB" w:eastAsia="en-IE"/>
        </w:rPr>
        <w:t>Compliance with the filling targets of storage Regulation for 2023</w:t>
      </w:r>
    </w:p>
    <w:p w14:paraId="35C94448" w14:textId="5D65A683" w:rsidR="005D42B6" w:rsidRPr="005D42B6" w:rsidRDefault="005D42B6" w:rsidP="002710CC">
      <w:pPr>
        <w:spacing w:after="80" w:line="240" w:lineRule="auto"/>
        <w:rPr>
          <w:rFonts w:ascii="Times New Roman" w:eastAsia="Calibri" w:hAnsi="Times New Roman" w:cs="Times New Roman"/>
          <w:noProof/>
          <w:sz w:val="24"/>
          <w:szCs w:val="20"/>
          <w:lang w:val="en-GB" w:eastAsia="en-IE"/>
        </w:rPr>
      </w:pPr>
      <w:r w:rsidRPr="005D42B6">
        <w:rPr>
          <w:rFonts w:ascii="Times New Roman" w:eastAsia="Times New Roman" w:hAnsi="Times New Roman" w:cs="Times New Roman"/>
          <w:noProof/>
          <w:sz w:val="24"/>
          <w:szCs w:val="20"/>
          <w:lang w:val="en-GB" w:eastAsia="en-GB"/>
        </w:rPr>
        <w:drawing>
          <wp:inline distT="0" distB="0" distL="0" distR="0" wp14:anchorId="6409785B" wp14:editId="5A5B3797">
            <wp:extent cx="5478985" cy="371798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818"/>
                    <a:stretch/>
                  </pic:blipFill>
                  <pic:spPr bwMode="auto">
                    <a:xfrm>
                      <a:off x="0" y="0"/>
                      <a:ext cx="5515368" cy="3742674"/>
                    </a:xfrm>
                    <a:prstGeom prst="rect">
                      <a:avLst/>
                    </a:prstGeom>
                    <a:ln>
                      <a:noFill/>
                    </a:ln>
                    <a:extLst>
                      <a:ext uri="{53640926-AAD7-44D8-BBD7-CCE9431645EC}">
                        <a14:shadowObscured xmlns:a14="http://schemas.microsoft.com/office/drawing/2010/main"/>
                      </a:ext>
                    </a:extLst>
                  </pic:spPr>
                </pic:pic>
              </a:graphicData>
            </a:graphic>
          </wp:inline>
        </w:drawing>
      </w:r>
    </w:p>
    <w:p w14:paraId="738C2C56" w14:textId="4AB82E58" w:rsidR="001F044F" w:rsidRPr="009D79FE" w:rsidRDefault="005D42B6" w:rsidP="005D42B6">
      <w:pPr>
        <w:spacing w:after="120" w:line="240" w:lineRule="auto"/>
        <w:jc w:val="both"/>
        <w:rPr>
          <w:rFonts w:ascii="Times New Roman" w:eastAsia="Times New Roman" w:hAnsi="Times New Roman" w:cs="Times New Roman"/>
          <w:i/>
          <w:iCs/>
          <w:noProof/>
          <w:color w:val="000000"/>
          <w:sz w:val="20"/>
          <w:szCs w:val="20"/>
          <w:lang w:val="en-GB" w:eastAsia="en-IE"/>
        </w:rPr>
      </w:pPr>
      <w:r w:rsidRPr="009D79FE">
        <w:rPr>
          <w:rFonts w:ascii="Times New Roman" w:eastAsia="Times New Roman" w:hAnsi="Times New Roman" w:cs="Times New Roman"/>
          <w:i/>
          <w:iCs/>
          <w:noProof/>
          <w:color w:val="000000"/>
          <w:sz w:val="20"/>
          <w:szCs w:val="20"/>
          <w:lang w:val="en-GB" w:eastAsia="en-IE"/>
        </w:rPr>
        <w:t>Source: filling levels based on GIE AGSI+</w:t>
      </w:r>
    </w:p>
    <w:p w14:paraId="7F41D0D4" w14:textId="259F83B3" w:rsidR="005D42B6" w:rsidRPr="005D42B6" w:rsidRDefault="005757BB" w:rsidP="005D42B6">
      <w:pPr>
        <w:spacing w:after="120" w:line="240" w:lineRule="auto"/>
        <w:jc w:val="both"/>
        <w:rPr>
          <w:rFonts w:ascii="Times New Roman" w:eastAsia="Times New Roman" w:hAnsi="Times New Roman" w:cs="Times New Roman"/>
          <w:noProof/>
          <w:sz w:val="24"/>
          <w:szCs w:val="24"/>
          <w:lang w:val="en-GB" w:eastAsia="en-IE"/>
        </w:rPr>
      </w:pPr>
      <w:r>
        <w:rPr>
          <w:rFonts w:ascii="Times New Roman" w:eastAsia="Times New Roman" w:hAnsi="Times New Roman" w:cs="Times New Roman"/>
          <w:noProof/>
          <w:color w:val="000000"/>
          <w:sz w:val="24"/>
          <w:szCs w:val="24"/>
          <w:lang w:val="en-GB" w:eastAsia="en-IE"/>
        </w:rPr>
        <w:t>O</w:t>
      </w:r>
      <w:r w:rsidR="52663728" w:rsidRPr="005D42B6">
        <w:rPr>
          <w:rFonts w:ascii="Times New Roman" w:eastAsia="Times New Roman" w:hAnsi="Times New Roman" w:cs="Times New Roman"/>
          <w:noProof/>
          <w:color w:val="000000"/>
          <w:sz w:val="24"/>
          <w:szCs w:val="24"/>
          <w:lang w:val="en-GB" w:eastAsia="en-IE"/>
        </w:rPr>
        <w:t>n 20 November 2023</w:t>
      </w:r>
      <w:r w:rsidR="001D1063">
        <w:rPr>
          <w:rFonts w:ascii="Times New Roman" w:eastAsia="Times New Roman" w:hAnsi="Times New Roman" w:cs="Times New Roman"/>
          <w:noProof/>
          <w:color w:val="000000"/>
          <w:sz w:val="24"/>
          <w:szCs w:val="24"/>
          <w:lang w:val="en-GB" w:eastAsia="en-IE"/>
        </w:rPr>
        <w:t>,</w:t>
      </w:r>
      <w:r w:rsidR="52663728" w:rsidRPr="005D42B6">
        <w:rPr>
          <w:rFonts w:ascii="Times New Roman" w:eastAsia="Times New Roman" w:hAnsi="Times New Roman" w:cs="Times New Roman"/>
          <w:noProof/>
          <w:color w:val="000000"/>
          <w:sz w:val="24"/>
          <w:szCs w:val="24"/>
          <w:lang w:val="en-GB" w:eastAsia="en-IE"/>
        </w:rPr>
        <w:t xml:space="preserve"> the Commission set out</w:t>
      </w:r>
      <w:r w:rsidR="00F6555F">
        <w:rPr>
          <w:rFonts w:ascii="Times New Roman" w:eastAsia="Times New Roman" w:hAnsi="Times New Roman" w:cs="Times New Roman"/>
          <w:noProof/>
          <w:color w:val="000000"/>
          <w:sz w:val="24"/>
          <w:szCs w:val="24"/>
          <w:lang w:val="en-GB" w:eastAsia="en-IE"/>
        </w:rPr>
        <w:t>,</w:t>
      </w:r>
      <w:r w:rsidR="52663728" w:rsidRPr="005D42B6">
        <w:rPr>
          <w:rFonts w:ascii="Times New Roman" w:eastAsia="Times New Roman" w:hAnsi="Times New Roman" w:cs="Times New Roman"/>
          <w:noProof/>
          <w:color w:val="000000"/>
          <w:sz w:val="24"/>
          <w:szCs w:val="24"/>
          <w:lang w:val="en-GB" w:eastAsia="en-IE"/>
        </w:rPr>
        <w:t xml:space="preserve"> by means of an Implementing Regulation</w:t>
      </w:r>
      <w:r w:rsidR="005D42B6" w:rsidRPr="005D42B6">
        <w:rPr>
          <w:rFonts w:ascii="Times New Roman" w:eastAsia="Times New Roman" w:hAnsi="Times New Roman" w:cs="Times New Roman"/>
          <w:noProof/>
          <w:color w:val="000000"/>
          <w:sz w:val="24"/>
          <w:szCs w:val="24"/>
          <w:vertAlign w:val="superscript"/>
          <w:lang w:val="en-GB" w:eastAsia="en-IE"/>
        </w:rPr>
        <w:footnoteReference w:id="8"/>
      </w:r>
      <w:r w:rsidR="00F6555F">
        <w:rPr>
          <w:rFonts w:ascii="Times New Roman" w:eastAsia="Times New Roman" w:hAnsi="Times New Roman" w:cs="Times New Roman"/>
          <w:noProof/>
          <w:color w:val="000000"/>
          <w:sz w:val="24"/>
          <w:szCs w:val="24"/>
          <w:lang w:val="en-GB" w:eastAsia="en-IE"/>
        </w:rPr>
        <w:t>,</w:t>
      </w:r>
      <w:r w:rsidR="52663728" w:rsidRPr="005D42B6">
        <w:rPr>
          <w:rFonts w:ascii="Times New Roman" w:eastAsia="Times New Roman" w:hAnsi="Times New Roman" w:cs="Times New Roman"/>
          <w:noProof/>
          <w:color w:val="000000"/>
          <w:sz w:val="24"/>
          <w:szCs w:val="24"/>
          <w:lang w:val="en-GB" w:eastAsia="en-IE"/>
        </w:rPr>
        <w:t xml:space="preserve"> the intermediate gas storage filling targets that Member States must meet in</w:t>
      </w:r>
      <w:r>
        <w:rPr>
          <w:rFonts w:ascii="Times New Roman" w:eastAsia="Times New Roman" w:hAnsi="Times New Roman" w:cs="Times New Roman"/>
          <w:noProof/>
          <w:color w:val="000000"/>
          <w:sz w:val="24"/>
          <w:szCs w:val="24"/>
          <w:lang w:val="en-GB" w:eastAsia="en-IE"/>
        </w:rPr>
        <w:t xml:space="preserve"> 2024</w:t>
      </w:r>
      <w:r w:rsidR="52663728" w:rsidRPr="005D42B6">
        <w:rPr>
          <w:rFonts w:ascii="Times New Roman" w:eastAsia="Times New Roman" w:hAnsi="Times New Roman" w:cs="Times New Roman"/>
          <w:noProof/>
          <w:color w:val="000000"/>
          <w:sz w:val="24"/>
          <w:szCs w:val="24"/>
          <w:lang w:val="en-GB" w:eastAsia="en-IE"/>
        </w:rPr>
        <w:t xml:space="preserve">. As envisaged under </w:t>
      </w:r>
      <w:r w:rsidR="00233BD1">
        <w:rPr>
          <w:rFonts w:ascii="Times New Roman" w:eastAsia="Times New Roman" w:hAnsi="Times New Roman" w:cs="Times New Roman"/>
          <w:noProof/>
          <w:color w:val="000000"/>
          <w:sz w:val="24"/>
          <w:szCs w:val="24"/>
          <w:lang w:val="en-GB" w:eastAsia="en-IE"/>
        </w:rPr>
        <w:t xml:space="preserve">Article </w:t>
      </w:r>
      <w:r w:rsidR="00DB67B6">
        <w:rPr>
          <w:rFonts w:ascii="Times New Roman" w:eastAsia="Times New Roman" w:hAnsi="Times New Roman" w:cs="Times New Roman"/>
          <w:noProof/>
          <w:color w:val="000000"/>
          <w:sz w:val="24"/>
          <w:szCs w:val="24"/>
          <w:lang w:val="en-GB" w:eastAsia="en-IE"/>
        </w:rPr>
        <w:t xml:space="preserve">6a(7) of </w:t>
      </w:r>
      <w:r w:rsidR="001755E8">
        <w:rPr>
          <w:rFonts w:ascii="Times New Roman" w:eastAsia="Times New Roman" w:hAnsi="Times New Roman" w:cs="Times New Roman"/>
          <w:noProof/>
          <w:color w:val="000000"/>
          <w:sz w:val="24"/>
          <w:szCs w:val="24"/>
          <w:lang w:val="en-GB" w:eastAsia="en-IE"/>
        </w:rPr>
        <w:t xml:space="preserve">the </w:t>
      </w:r>
      <w:r w:rsidR="001755E8" w:rsidRPr="001755E8">
        <w:rPr>
          <w:rFonts w:ascii="Times New Roman" w:eastAsia="Times New Roman" w:hAnsi="Times New Roman" w:cs="Times New Roman"/>
          <w:noProof/>
          <w:color w:val="000000"/>
          <w:sz w:val="24"/>
          <w:szCs w:val="24"/>
          <w:lang w:val="en-GB" w:eastAsia="en-IE"/>
        </w:rPr>
        <w:t xml:space="preserve">Regulation (EU) 2017/1938, as inserted by the Gas Storage Regulation, </w:t>
      </w:r>
      <w:r w:rsidR="52663728" w:rsidRPr="005D42B6">
        <w:rPr>
          <w:rFonts w:ascii="Times New Roman" w:eastAsia="Times New Roman" w:hAnsi="Times New Roman" w:cs="Times New Roman"/>
          <w:noProof/>
          <w:color w:val="000000"/>
          <w:sz w:val="24"/>
          <w:szCs w:val="24"/>
          <w:lang w:val="en-GB" w:eastAsia="en-IE"/>
        </w:rPr>
        <w:t xml:space="preserve">the Implementing Regulation defines the intermediate targets for </w:t>
      </w:r>
      <w:r>
        <w:rPr>
          <w:rFonts w:ascii="Times New Roman" w:eastAsia="Times New Roman" w:hAnsi="Times New Roman" w:cs="Times New Roman"/>
          <w:noProof/>
          <w:color w:val="000000"/>
          <w:sz w:val="24"/>
          <w:szCs w:val="24"/>
          <w:lang w:val="en-GB" w:eastAsia="en-IE"/>
        </w:rPr>
        <w:t xml:space="preserve">each of </w:t>
      </w:r>
      <w:r w:rsidR="52663728" w:rsidRPr="005D42B6">
        <w:rPr>
          <w:rFonts w:ascii="Times New Roman" w:eastAsia="Times New Roman" w:hAnsi="Times New Roman" w:cs="Times New Roman"/>
          <w:noProof/>
          <w:color w:val="000000"/>
          <w:sz w:val="24"/>
          <w:szCs w:val="24"/>
          <w:lang w:val="en-GB" w:eastAsia="en-IE"/>
        </w:rPr>
        <w:t xml:space="preserve">1 February, 1 May, 1 July and 1 September 2024 for those Member States with underground storage on their territory and </w:t>
      </w:r>
      <w:r w:rsidR="52663728" w:rsidRPr="000841D1">
        <w:rPr>
          <w:rFonts w:ascii="Times New Roman" w:eastAsia="Times New Roman" w:hAnsi="Times New Roman" w:cs="Times New Roman"/>
          <w:noProof/>
          <w:color w:val="000000"/>
          <w:sz w:val="24"/>
          <w:szCs w:val="24"/>
          <w:lang w:val="en-GB" w:eastAsia="en-IE"/>
        </w:rPr>
        <w:t>connected to their market area.</w:t>
      </w:r>
      <w:r w:rsidR="52663728" w:rsidRPr="005D42B6">
        <w:rPr>
          <w:rFonts w:ascii="Times New Roman" w:eastAsia="Times New Roman" w:hAnsi="Times New Roman" w:cs="Times New Roman"/>
          <w:noProof/>
          <w:color w:val="000000"/>
          <w:sz w:val="24"/>
          <w:szCs w:val="24"/>
          <w:lang w:val="en-GB" w:eastAsia="en-IE"/>
        </w:rPr>
        <w:t xml:space="preserve"> These targets were based on the proposals made by Member States, the filling rates of the previous 5 years and the Commission’s assessment of the general security of supply </w:t>
      </w:r>
      <w:r w:rsidR="001D1063" w:rsidRPr="005D42B6">
        <w:rPr>
          <w:rFonts w:ascii="Times New Roman" w:eastAsia="Times New Roman" w:hAnsi="Times New Roman" w:cs="Times New Roman"/>
          <w:noProof/>
          <w:color w:val="000000"/>
          <w:sz w:val="24"/>
          <w:szCs w:val="24"/>
          <w:lang w:val="en-GB" w:eastAsia="en-IE"/>
        </w:rPr>
        <w:t>situation</w:t>
      </w:r>
      <w:r w:rsidR="001D1063">
        <w:rPr>
          <w:rFonts w:ascii="Times New Roman" w:eastAsia="Times New Roman" w:hAnsi="Times New Roman" w:cs="Times New Roman"/>
          <w:noProof/>
          <w:color w:val="000000"/>
          <w:sz w:val="24"/>
          <w:szCs w:val="24"/>
          <w:lang w:val="en-GB" w:eastAsia="en-IE"/>
        </w:rPr>
        <w:t xml:space="preserve"> and</w:t>
      </w:r>
      <w:r>
        <w:rPr>
          <w:rFonts w:ascii="Times New Roman" w:eastAsia="Times New Roman" w:hAnsi="Times New Roman" w:cs="Times New Roman"/>
          <w:noProof/>
          <w:color w:val="000000"/>
          <w:sz w:val="24"/>
          <w:szCs w:val="24"/>
          <w:lang w:val="en-GB" w:eastAsia="en-IE"/>
        </w:rPr>
        <w:t xml:space="preserve"> aim at ensuring that the 90% overall storage filling goal is </w:t>
      </w:r>
      <w:r w:rsidR="00A34C1B" w:rsidRPr="45380DDC">
        <w:rPr>
          <w:rFonts w:ascii="Times New Roman" w:eastAsia="Times New Roman" w:hAnsi="Times New Roman" w:cs="Times New Roman"/>
          <w:noProof/>
          <w:color w:val="000000" w:themeColor="text1"/>
          <w:sz w:val="24"/>
          <w:szCs w:val="24"/>
          <w:lang w:val="en-GB" w:eastAsia="en-IE"/>
        </w:rPr>
        <w:t>reached by</w:t>
      </w:r>
      <w:r>
        <w:rPr>
          <w:rFonts w:ascii="Times New Roman" w:eastAsia="Times New Roman" w:hAnsi="Times New Roman" w:cs="Times New Roman"/>
          <w:noProof/>
          <w:color w:val="000000"/>
          <w:sz w:val="24"/>
          <w:szCs w:val="24"/>
          <w:lang w:val="en-GB" w:eastAsia="en-IE"/>
        </w:rPr>
        <w:t xml:space="preserve"> 1 November 2024.</w:t>
      </w:r>
    </w:p>
    <w:p w14:paraId="1AF54D94" w14:textId="77777777" w:rsidR="005D42B6" w:rsidRPr="005D42B6" w:rsidRDefault="005D42B6" w:rsidP="005D42B6">
      <w:pPr>
        <w:spacing w:after="0" w:line="240" w:lineRule="auto"/>
        <w:rPr>
          <w:rFonts w:ascii="Times New Roman" w:eastAsia="Times New Roman" w:hAnsi="Times New Roman" w:cs="Times New Roman"/>
          <w:b/>
          <w:bCs/>
          <w:iCs/>
          <w:noProof/>
          <w:sz w:val="20"/>
          <w:szCs w:val="20"/>
          <w:lang w:val="en-GB" w:eastAsia="en-IE"/>
        </w:rPr>
      </w:pPr>
      <w:r w:rsidRPr="005D42B6">
        <w:rPr>
          <w:rFonts w:ascii="Times New Roman" w:eastAsia="Times New Roman" w:hAnsi="Times New Roman" w:cs="Times New Roman"/>
          <w:b/>
          <w:bCs/>
          <w:i/>
          <w:iCs/>
          <w:noProof/>
          <w:sz w:val="20"/>
          <w:szCs w:val="20"/>
          <w:lang w:val="en-GB" w:eastAsia="en-IE"/>
        </w:rPr>
        <w:br w:type="page"/>
      </w:r>
    </w:p>
    <w:p w14:paraId="4FADE448" w14:textId="1321065C" w:rsidR="005D42B6" w:rsidRDefault="52663728" w:rsidP="007D1226">
      <w:pPr>
        <w:spacing w:after="120" w:line="240" w:lineRule="auto"/>
        <w:rPr>
          <w:rFonts w:ascii="Times New Roman" w:eastAsia="Yu Mincho" w:hAnsi="Times New Roman" w:cs="Times New Roman"/>
          <w:b/>
          <w:bCs/>
          <w:noProof/>
          <w:sz w:val="20"/>
          <w:szCs w:val="20"/>
          <w:lang w:val="en-GB" w:eastAsia="en-IE"/>
        </w:rPr>
      </w:pPr>
      <w:r w:rsidRPr="3313E81A">
        <w:rPr>
          <w:rFonts w:ascii="Times New Roman" w:eastAsia="Times New Roman" w:hAnsi="Times New Roman" w:cs="Times New Roman"/>
          <w:b/>
          <w:bCs/>
          <w:noProof/>
          <w:sz w:val="20"/>
          <w:szCs w:val="20"/>
          <w:lang w:val="en-GB" w:eastAsia="en-IE"/>
        </w:rPr>
        <w:t xml:space="preserve">Table </w:t>
      </w:r>
      <w:r w:rsidR="005D42B6" w:rsidRPr="3313E81A">
        <w:rPr>
          <w:rFonts w:ascii="Times New Roman" w:eastAsia="Times New Roman" w:hAnsi="Times New Roman" w:cs="Times New Roman"/>
          <w:b/>
          <w:bCs/>
          <w:noProof/>
          <w:sz w:val="20"/>
          <w:szCs w:val="20"/>
          <w:lang w:val="en-GB" w:eastAsia="en-IE"/>
        </w:rPr>
        <w:fldChar w:fldCharType="begin"/>
      </w:r>
      <w:r w:rsidR="005D42B6" w:rsidRPr="3313E81A">
        <w:rPr>
          <w:rFonts w:ascii="Times New Roman" w:eastAsia="Times New Roman" w:hAnsi="Times New Roman" w:cs="Times New Roman"/>
          <w:b/>
          <w:bCs/>
          <w:noProof/>
          <w:sz w:val="20"/>
          <w:szCs w:val="20"/>
          <w:lang w:val="en-GB" w:eastAsia="en-IE"/>
        </w:rPr>
        <w:instrText xml:space="preserve"> SEQ Table \* ARABIC </w:instrText>
      </w:r>
      <w:r w:rsidR="005D42B6" w:rsidRPr="3313E81A">
        <w:rPr>
          <w:rFonts w:ascii="Times New Roman" w:eastAsia="Times New Roman" w:hAnsi="Times New Roman" w:cs="Times New Roman"/>
          <w:b/>
          <w:bCs/>
          <w:noProof/>
          <w:sz w:val="20"/>
          <w:szCs w:val="20"/>
          <w:lang w:val="en-GB" w:eastAsia="en-IE"/>
        </w:rPr>
        <w:fldChar w:fldCharType="separate"/>
      </w:r>
      <w:r w:rsidR="00063A2B">
        <w:rPr>
          <w:rFonts w:ascii="Times New Roman" w:eastAsia="Times New Roman" w:hAnsi="Times New Roman" w:cs="Times New Roman"/>
          <w:b/>
          <w:bCs/>
          <w:noProof/>
          <w:sz w:val="20"/>
          <w:szCs w:val="20"/>
          <w:lang w:val="en-GB" w:eastAsia="en-IE"/>
        </w:rPr>
        <w:t>4</w:t>
      </w:r>
      <w:r w:rsidR="005D42B6" w:rsidRPr="3313E81A">
        <w:rPr>
          <w:rFonts w:ascii="Times New Roman" w:eastAsia="Times New Roman" w:hAnsi="Times New Roman" w:cs="Times New Roman"/>
          <w:b/>
          <w:bCs/>
          <w:noProof/>
          <w:sz w:val="20"/>
          <w:szCs w:val="20"/>
          <w:lang w:val="en-GB" w:eastAsia="en-IE"/>
        </w:rPr>
        <w:fldChar w:fldCharType="end"/>
      </w:r>
      <w:r w:rsidRPr="3313E81A">
        <w:rPr>
          <w:rFonts w:ascii="Times New Roman" w:eastAsia="Times New Roman" w:hAnsi="Times New Roman" w:cs="Times New Roman"/>
          <w:b/>
          <w:bCs/>
          <w:noProof/>
          <w:sz w:val="20"/>
          <w:szCs w:val="20"/>
          <w:lang w:val="en-GB" w:eastAsia="en-IE"/>
        </w:rPr>
        <w:t xml:space="preserve"> - </w:t>
      </w:r>
      <w:r w:rsidRPr="3313E81A">
        <w:rPr>
          <w:rFonts w:ascii="Times New Roman" w:eastAsia="Yu Mincho" w:hAnsi="Times New Roman" w:cs="Times New Roman"/>
          <w:b/>
          <w:bCs/>
          <w:noProof/>
          <w:sz w:val="20"/>
          <w:szCs w:val="20"/>
          <w:lang w:val="en-GB" w:eastAsia="en-IE"/>
        </w:rPr>
        <w:t>Intermediate targets for 2024 for Member States with underground gas storage facilities, as adopted by Commission Implementing Regulation (EU) 2023/2633</w:t>
      </w:r>
      <w:r w:rsidR="005D42B6" w:rsidRPr="3313E81A">
        <w:rPr>
          <w:rFonts w:ascii="Times New Roman" w:eastAsia="Times New Roman" w:hAnsi="Times New Roman" w:cs="Times New Roman"/>
          <w:b/>
          <w:bCs/>
          <w:noProof/>
          <w:sz w:val="20"/>
          <w:szCs w:val="20"/>
          <w:vertAlign w:val="superscript"/>
          <w:lang w:val="en-GB" w:eastAsia="en-IE"/>
        </w:rPr>
        <w:footnoteReference w:id="9"/>
      </w:r>
      <w:r w:rsidRPr="3313E81A">
        <w:rPr>
          <w:rFonts w:ascii="Times New Roman" w:eastAsia="Yu Mincho" w:hAnsi="Times New Roman" w:cs="Times New Roman"/>
          <w:b/>
          <w:bCs/>
          <w:noProof/>
          <w:sz w:val="20"/>
          <w:szCs w:val="20"/>
          <w:lang w:val="en-GB" w:eastAsia="en-IE"/>
        </w:rPr>
        <w:t>.</w:t>
      </w:r>
    </w:p>
    <w:p w14:paraId="5D1B7CDD" w14:textId="77777777" w:rsidR="005D42B6" w:rsidRPr="005D42B6" w:rsidRDefault="005D42B6" w:rsidP="009D79FE">
      <w:pPr>
        <w:spacing w:after="0" w:line="240" w:lineRule="auto"/>
        <w:rPr>
          <w:rFonts w:ascii="Times New Roman" w:eastAsia="Times New Roman" w:hAnsi="Times New Roman" w:cs="Times New Roman"/>
          <w:i/>
          <w:noProof/>
          <w:szCs w:val="20"/>
          <w:lang w:val="en-GB" w:eastAsia="en-IE"/>
        </w:rPr>
      </w:pPr>
      <w:r w:rsidRPr="005D42B6">
        <w:rPr>
          <w:rFonts w:ascii="Times New Roman" w:eastAsia="Times New Roman" w:hAnsi="Times New Roman" w:cs="Times New Roman"/>
          <w:i/>
          <w:noProof/>
          <w:sz w:val="24"/>
          <w:szCs w:val="24"/>
          <w:lang w:val="en-GB" w:eastAsia="en-GB"/>
        </w:rPr>
        <w:drawing>
          <wp:inline distT="0" distB="0" distL="0" distR="0" wp14:anchorId="78707158" wp14:editId="0CB946D7">
            <wp:extent cx="5176185" cy="39794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7135" cy="4057080"/>
                    </a:xfrm>
                    <a:prstGeom prst="rect">
                      <a:avLst/>
                    </a:prstGeom>
                  </pic:spPr>
                </pic:pic>
              </a:graphicData>
            </a:graphic>
          </wp:inline>
        </w:drawing>
      </w:r>
    </w:p>
    <w:p w14:paraId="02921AE8" w14:textId="77777777" w:rsidR="005D42B6" w:rsidRPr="005D42B6" w:rsidRDefault="005D42B6" w:rsidP="005D42B6">
      <w:pPr>
        <w:keepNext/>
        <w:numPr>
          <w:ilvl w:val="0"/>
          <w:numId w:val="35"/>
        </w:numPr>
        <w:tabs>
          <w:tab w:val="num" w:pos="1485"/>
        </w:tabs>
        <w:spacing w:before="240" w:after="240" w:line="240" w:lineRule="auto"/>
        <w:ind w:left="1485" w:hanging="283"/>
        <w:jc w:val="both"/>
        <w:outlineLvl w:val="0"/>
        <w:rPr>
          <w:rFonts w:ascii="Times New Roman" w:eastAsia="Times New Roman" w:hAnsi="Times New Roman" w:cs="Times New Roman"/>
          <w:b/>
          <w:smallCaps/>
          <w:noProof/>
          <w:sz w:val="24"/>
          <w:szCs w:val="20"/>
          <w:lang w:val="en-GB" w:eastAsia="en-IE"/>
        </w:rPr>
      </w:pPr>
      <w:r w:rsidRPr="005D42B6">
        <w:rPr>
          <w:rFonts w:ascii="Times New Roman" w:eastAsia="Times New Roman" w:hAnsi="Times New Roman" w:cs="Times New Roman"/>
          <w:b/>
          <w:smallCaps/>
          <w:noProof/>
          <w:sz w:val="24"/>
          <w:szCs w:val="20"/>
          <w:lang w:val="en-GB" w:eastAsia="en-IE"/>
        </w:rPr>
        <w:t>Implementation of the gas Storage Regulation in 2024</w:t>
      </w:r>
    </w:p>
    <w:p w14:paraId="4F0328C3" w14:textId="6F674943" w:rsidR="005D42B6" w:rsidRPr="005D42B6" w:rsidRDefault="005D42B6" w:rsidP="005D42B6">
      <w:pPr>
        <w:spacing w:after="120" w:line="240" w:lineRule="auto"/>
        <w:jc w:val="both"/>
        <w:rPr>
          <w:rFonts w:ascii="Times New Roman" w:eastAsia="Times New Roman" w:hAnsi="Times New Roman" w:cs="Times New Roman"/>
          <w:noProof/>
          <w:sz w:val="24"/>
          <w:szCs w:val="24"/>
          <w:lang w:val="en-GB" w:eastAsia="en-IE"/>
        </w:rPr>
      </w:pPr>
      <w:r w:rsidRPr="00B53793">
        <w:rPr>
          <w:rFonts w:ascii="Times New Roman" w:eastAsia="Times New Roman" w:hAnsi="Times New Roman" w:cs="Times New Roman"/>
          <w:noProof/>
          <w:sz w:val="24"/>
          <w:szCs w:val="24"/>
          <w:lang w:val="en-GB" w:eastAsia="en-IE"/>
        </w:rPr>
        <w:t>The</w:t>
      </w:r>
      <w:r w:rsidR="00EB2F5E" w:rsidRPr="00245C6E">
        <w:rPr>
          <w:rFonts w:ascii="Times New Roman" w:eastAsia="Times New Roman" w:hAnsi="Times New Roman" w:cs="Times New Roman"/>
          <w:noProof/>
          <w:sz w:val="24"/>
          <w:szCs w:val="24"/>
          <w:lang w:val="en-GB" w:eastAsia="en-IE"/>
        </w:rPr>
        <w:t xml:space="preserve"> intermediate </w:t>
      </w:r>
      <w:r w:rsidRPr="00B53793">
        <w:rPr>
          <w:rFonts w:ascii="Times New Roman" w:eastAsia="Times New Roman" w:hAnsi="Times New Roman" w:cs="Times New Roman"/>
          <w:noProof/>
          <w:sz w:val="24"/>
          <w:szCs w:val="24"/>
          <w:lang w:val="en-GB" w:eastAsia="en-IE"/>
        </w:rPr>
        <w:t>targets of the filling trajectories are based on the input from Member States and an assessment by the Commission of the general situation of security of suppl</w:t>
      </w:r>
      <w:r w:rsidRPr="00007173">
        <w:rPr>
          <w:rFonts w:ascii="Times New Roman" w:eastAsia="Times New Roman" w:hAnsi="Times New Roman" w:cs="Times New Roman"/>
          <w:noProof/>
          <w:sz w:val="24"/>
          <w:szCs w:val="24"/>
          <w:lang w:val="en-GB" w:eastAsia="en-IE"/>
        </w:rPr>
        <w:t>y.</w:t>
      </w:r>
      <w:r>
        <w:rPr>
          <w:noProof/>
        </w:rPr>
        <w:br/>
      </w:r>
      <w:r w:rsidR="5ACE70C0" w:rsidRPr="00245C6E">
        <w:rPr>
          <w:rFonts w:ascii="Times New Roman" w:hAnsi="Times New Roman" w:cs="Times New Roman"/>
          <w:noProof/>
          <w:sz w:val="24"/>
          <w:szCs w:val="24"/>
        </w:rPr>
        <w:t xml:space="preserve">The </w:t>
      </w:r>
      <w:r w:rsidR="71098B73" w:rsidRPr="00245C6E">
        <w:rPr>
          <w:rFonts w:ascii="Times New Roman" w:hAnsi="Times New Roman" w:cs="Times New Roman"/>
          <w:noProof/>
          <w:sz w:val="24"/>
          <w:szCs w:val="24"/>
        </w:rPr>
        <w:t>Member States’</w:t>
      </w:r>
      <w:r w:rsidR="22188E96" w:rsidRPr="00245C6E">
        <w:rPr>
          <w:rFonts w:ascii="Times New Roman" w:hAnsi="Times New Roman" w:cs="Times New Roman"/>
          <w:noProof/>
          <w:sz w:val="24"/>
          <w:szCs w:val="24"/>
        </w:rPr>
        <w:t xml:space="preserve"> </w:t>
      </w:r>
      <w:r w:rsidR="14A1C8F9" w:rsidRPr="00245C6E">
        <w:rPr>
          <w:rFonts w:ascii="Times New Roman" w:hAnsi="Times New Roman" w:cs="Times New Roman"/>
          <w:noProof/>
          <w:sz w:val="24"/>
          <w:szCs w:val="24"/>
        </w:rPr>
        <w:t>filling</w:t>
      </w:r>
      <w:r w:rsidR="27BF716F" w:rsidRPr="00245C6E">
        <w:rPr>
          <w:rFonts w:ascii="Times New Roman" w:hAnsi="Times New Roman" w:cs="Times New Roman"/>
          <w:noProof/>
          <w:sz w:val="24"/>
          <w:szCs w:val="24"/>
        </w:rPr>
        <w:t xml:space="preserve"> trajectories proposed </w:t>
      </w:r>
      <w:r w:rsidR="401A5A7F" w:rsidRPr="00245C6E">
        <w:rPr>
          <w:rFonts w:ascii="Times New Roman" w:hAnsi="Times New Roman" w:cs="Times New Roman"/>
          <w:noProof/>
          <w:sz w:val="24"/>
          <w:szCs w:val="24"/>
        </w:rPr>
        <w:t>for 2024</w:t>
      </w:r>
      <w:r w:rsidR="27BF716F" w:rsidRPr="00245C6E">
        <w:rPr>
          <w:rFonts w:ascii="Times New Roman" w:hAnsi="Times New Roman" w:cs="Times New Roman"/>
          <w:noProof/>
          <w:sz w:val="24"/>
          <w:szCs w:val="24"/>
        </w:rPr>
        <w:t xml:space="preserve"> </w:t>
      </w:r>
      <w:r w:rsidR="175EC84E" w:rsidRPr="00245C6E">
        <w:rPr>
          <w:rFonts w:ascii="Times New Roman" w:hAnsi="Times New Roman" w:cs="Times New Roman"/>
          <w:noProof/>
          <w:sz w:val="24"/>
          <w:szCs w:val="24"/>
        </w:rPr>
        <w:t xml:space="preserve">were similar to the </w:t>
      </w:r>
      <w:r w:rsidR="36BBC4F3" w:rsidRPr="00245C6E">
        <w:rPr>
          <w:rFonts w:ascii="Times New Roman" w:hAnsi="Times New Roman" w:cs="Times New Roman"/>
          <w:noProof/>
          <w:sz w:val="24"/>
          <w:szCs w:val="24"/>
        </w:rPr>
        <w:t>trajectories</w:t>
      </w:r>
      <w:r w:rsidR="175EC84E" w:rsidRPr="00245C6E">
        <w:rPr>
          <w:rFonts w:ascii="Times New Roman" w:hAnsi="Times New Roman" w:cs="Times New Roman"/>
          <w:noProof/>
          <w:sz w:val="24"/>
          <w:szCs w:val="24"/>
        </w:rPr>
        <w:t xml:space="preserve"> adopted in 2023</w:t>
      </w:r>
      <w:r w:rsidR="14A1C8F9" w:rsidRPr="00245C6E">
        <w:rPr>
          <w:rFonts w:ascii="Times New Roman" w:hAnsi="Times New Roman" w:cs="Times New Roman"/>
          <w:noProof/>
          <w:sz w:val="24"/>
          <w:szCs w:val="24"/>
        </w:rPr>
        <w:t>.</w:t>
      </w:r>
      <w:r w:rsidR="1EB31853">
        <w:rPr>
          <w:noProof/>
        </w:rPr>
        <w:t xml:space="preserve"> </w:t>
      </w:r>
      <w:r w:rsidRPr="3D6DA300">
        <w:rPr>
          <w:rFonts w:ascii="Times New Roman" w:eastAsia="Times New Roman" w:hAnsi="Times New Roman" w:cs="Times New Roman"/>
          <w:noProof/>
          <w:sz w:val="24"/>
          <w:szCs w:val="24"/>
          <w:lang w:val="en-GB" w:eastAsia="en-IE"/>
        </w:rPr>
        <w:t>The</w:t>
      </w:r>
      <w:r w:rsidRPr="00B53793">
        <w:rPr>
          <w:rFonts w:ascii="Times New Roman" w:eastAsia="Times New Roman" w:hAnsi="Times New Roman" w:cs="Times New Roman"/>
          <w:noProof/>
          <w:sz w:val="24"/>
          <w:szCs w:val="24"/>
          <w:lang w:val="en-GB" w:eastAsia="en-IE"/>
        </w:rPr>
        <w:t xml:space="preserve"> assessment of the security of gas supply for the gas year 2023-2024 (from 1 October 2023 to 30 September 2024), based primarily on the results of the </w:t>
      </w:r>
      <w:hyperlink r:id="rId26">
        <w:r w:rsidR="027FA74C" w:rsidRPr="4C3A17FE">
          <w:rPr>
            <w:rFonts w:ascii="Times New Roman" w:eastAsia="Times New Roman" w:hAnsi="Times New Roman" w:cs="Times New Roman"/>
            <w:noProof/>
            <w:color w:val="0563C1"/>
            <w:sz w:val="24"/>
            <w:szCs w:val="24"/>
            <w:u w:val="single"/>
            <w:lang w:val="en-GB" w:eastAsia="en-IE"/>
          </w:rPr>
          <w:t>ENTSOG Winter Supply Outlook 2023/24</w:t>
        </w:r>
      </w:hyperlink>
      <w:r w:rsidRPr="00B53793">
        <w:rPr>
          <w:rFonts w:ascii="Times New Roman" w:eastAsia="Times New Roman" w:hAnsi="Times New Roman" w:cs="Times New Roman"/>
          <w:noProof/>
          <w:sz w:val="24"/>
          <w:szCs w:val="24"/>
          <w:lang w:val="en-GB" w:eastAsia="en-IE"/>
        </w:rPr>
        <w:t xml:space="preserve">, </w:t>
      </w:r>
      <w:r w:rsidRPr="68CC1A4D">
        <w:rPr>
          <w:rFonts w:ascii="Times New Roman" w:eastAsia="Times New Roman" w:hAnsi="Times New Roman" w:cs="Times New Roman"/>
          <w:noProof/>
          <w:sz w:val="24"/>
          <w:szCs w:val="24"/>
          <w:lang w:val="en-GB" w:eastAsia="en-IE"/>
        </w:rPr>
        <w:t>indicates</w:t>
      </w:r>
      <w:r w:rsidRPr="00B53793">
        <w:rPr>
          <w:rFonts w:ascii="Times New Roman" w:eastAsia="Times New Roman" w:hAnsi="Times New Roman" w:cs="Times New Roman"/>
          <w:noProof/>
          <w:sz w:val="24"/>
          <w:szCs w:val="24"/>
          <w:lang w:val="en-GB" w:eastAsia="en-IE"/>
        </w:rPr>
        <w:t xml:space="preserve"> that the </w:t>
      </w:r>
      <w:r w:rsidR="00675EE1" w:rsidRPr="00B53793">
        <w:rPr>
          <w:rFonts w:ascii="Times New Roman" w:eastAsia="Times New Roman" w:hAnsi="Times New Roman" w:cs="Times New Roman"/>
          <w:noProof/>
          <w:sz w:val="24"/>
          <w:szCs w:val="24"/>
          <w:lang w:val="en-GB" w:eastAsia="en-IE"/>
        </w:rPr>
        <w:t>intermedia</w:t>
      </w:r>
      <w:r w:rsidR="00675EE1" w:rsidRPr="006E6E00">
        <w:rPr>
          <w:rFonts w:ascii="Times New Roman" w:eastAsia="Times New Roman" w:hAnsi="Times New Roman" w:cs="Times New Roman"/>
          <w:noProof/>
          <w:sz w:val="24"/>
          <w:szCs w:val="24"/>
          <w:lang w:val="en-GB" w:eastAsia="en-IE"/>
        </w:rPr>
        <w:t>te</w:t>
      </w:r>
      <w:r w:rsidR="00675EE1" w:rsidRPr="00B53793">
        <w:rPr>
          <w:rFonts w:ascii="Times New Roman" w:eastAsia="Times New Roman" w:hAnsi="Times New Roman" w:cs="Times New Roman"/>
          <w:noProof/>
          <w:sz w:val="24"/>
          <w:szCs w:val="24"/>
          <w:lang w:val="en-GB" w:eastAsia="en-IE"/>
        </w:rPr>
        <w:t xml:space="preserve"> </w:t>
      </w:r>
      <w:r w:rsidRPr="00B53793">
        <w:rPr>
          <w:rFonts w:ascii="Times New Roman" w:eastAsia="Times New Roman" w:hAnsi="Times New Roman" w:cs="Times New Roman"/>
          <w:noProof/>
          <w:sz w:val="24"/>
          <w:szCs w:val="24"/>
          <w:lang w:val="en-GB" w:eastAsia="en-IE"/>
        </w:rPr>
        <w:t xml:space="preserve">targets as originally proposed by Member States might require an upward adjustment if the supply-demand conditions were altered with respect to the previous year. </w:t>
      </w:r>
      <w:r w:rsidR="1643AED8" w:rsidRPr="3B5A50E8">
        <w:rPr>
          <w:rFonts w:ascii="Times New Roman" w:eastAsia="Times New Roman" w:hAnsi="Times New Roman" w:cs="Times New Roman"/>
          <w:noProof/>
          <w:sz w:val="24"/>
          <w:szCs w:val="24"/>
          <w:lang w:val="en-GB" w:eastAsia="en-IE"/>
        </w:rPr>
        <w:t xml:space="preserve">Moreover, when following the advice of the </w:t>
      </w:r>
      <w:r w:rsidRPr="00B53793">
        <w:rPr>
          <w:rFonts w:ascii="Times New Roman" w:eastAsia="Times New Roman" w:hAnsi="Times New Roman" w:cs="Times New Roman"/>
          <w:noProof/>
          <w:sz w:val="24"/>
          <w:szCs w:val="24"/>
          <w:lang w:val="en-GB" w:eastAsia="en-IE"/>
        </w:rPr>
        <w:t xml:space="preserve">Members of the Gas Coordination Group </w:t>
      </w:r>
      <w:r w:rsidR="617BE0F7" w:rsidRPr="3B5A50E8">
        <w:rPr>
          <w:rFonts w:ascii="Times New Roman" w:eastAsia="Times New Roman" w:hAnsi="Times New Roman" w:cs="Times New Roman"/>
          <w:noProof/>
          <w:sz w:val="24"/>
          <w:szCs w:val="24"/>
          <w:lang w:val="en-GB" w:eastAsia="en-IE"/>
        </w:rPr>
        <w:t xml:space="preserve">to keep </w:t>
      </w:r>
      <w:r w:rsidR="00675EE1" w:rsidRPr="00B53793">
        <w:rPr>
          <w:rFonts w:ascii="Times New Roman" w:eastAsia="Times New Roman" w:hAnsi="Times New Roman" w:cs="Times New Roman"/>
          <w:noProof/>
          <w:sz w:val="24"/>
          <w:szCs w:val="24"/>
          <w:lang w:val="en-GB" w:eastAsia="en-IE"/>
        </w:rPr>
        <w:t>intermedia</w:t>
      </w:r>
      <w:r w:rsidR="00675EE1" w:rsidRPr="00245C6E">
        <w:rPr>
          <w:rFonts w:ascii="Times New Roman" w:eastAsia="Times New Roman" w:hAnsi="Times New Roman" w:cs="Times New Roman"/>
          <w:noProof/>
          <w:sz w:val="24"/>
          <w:szCs w:val="24"/>
          <w:lang w:val="en-GB" w:eastAsia="en-IE"/>
        </w:rPr>
        <w:t>te</w:t>
      </w:r>
      <w:r w:rsidR="00675EE1" w:rsidRPr="00B53793">
        <w:rPr>
          <w:rFonts w:ascii="Times New Roman" w:eastAsia="Times New Roman" w:hAnsi="Times New Roman" w:cs="Times New Roman"/>
          <w:noProof/>
          <w:sz w:val="24"/>
          <w:szCs w:val="24"/>
          <w:lang w:val="en-GB" w:eastAsia="en-IE"/>
        </w:rPr>
        <w:t xml:space="preserve"> </w:t>
      </w:r>
      <w:r w:rsidRPr="00B53793">
        <w:rPr>
          <w:rFonts w:ascii="Times New Roman" w:eastAsia="Times New Roman" w:hAnsi="Times New Roman" w:cs="Times New Roman"/>
          <w:noProof/>
          <w:sz w:val="24"/>
          <w:szCs w:val="24"/>
          <w:lang w:val="en-GB" w:eastAsia="en-IE"/>
        </w:rPr>
        <w:t xml:space="preserve">targets aligned with 2022-2023 </w:t>
      </w:r>
      <w:r w:rsidR="01B48ED5" w:rsidRPr="3B5A50E8">
        <w:rPr>
          <w:rFonts w:ascii="Times New Roman" w:eastAsia="Times New Roman" w:hAnsi="Times New Roman" w:cs="Times New Roman"/>
          <w:noProof/>
          <w:sz w:val="24"/>
          <w:szCs w:val="24"/>
          <w:lang w:val="en-GB" w:eastAsia="en-IE"/>
        </w:rPr>
        <w:t xml:space="preserve">as proposed by </w:t>
      </w:r>
      <w:r w:rsidR="54F129EB" w:rsidRPr="3B5A50E8">
        <w:rPr>
          <w:rFonts w:ascii="Times New Roman" w:eastAsia="Times New Roman" w:hAnsi="Times New Roman" w:cs="Times New Roman"/>
          <w:noProof/>
          <w:sz w:val="24"/>
          <w:szCs w:val="24"/>
          <w:lang w:val="en-GB" w:eastAsia="en-IE"/>
        </w:rPr>
        <w:t>Member States</w:t>
      </w:r>
      <w:r w:rsidR="50E9FB05" w:rsidRPr="3B5A50E8">
        <w:rPr>
          <w:rFonts w:ascii="Times New Roman" w:eastAsia="Times New Roman" w:hAnsi="Times New Roman" w:cs="Times New Roman"/>
          <w:noProof/>
          <w:sz w:val="24"/>
          <w:szCs w:val="24"/>
          <w:lang w:val="en-GB" w:eastAsia="en-IE"/>
        </w:rPr>
        <w:t xml:space="preserve"> </w:t>
      </w:r>
      <w:r w:rsidR="00727C0C">
        <w:rPr>
          <w:rFonts w:ascii="Times New Roman" w:eastAsia="Times New Roman" w:hAnsi="Times New Roman" w:cs="Times New Roman"/>
          <w:noProof/>
          <w:sz w:val="24"/>
          <w:szCs w:val="24"/>
          <w:lang w:val="en-GB" w:eastAsia="en-IE"/>
        </w:rPr>
        <w:t xml:space="preserve">and </w:t>
      </w:r>
      <w:r w:rsidR="50E9FB05" w:rsidRPr="3B5A50E8">
        <w:rPr>
          <w:rFonts w:ascii="Times New Roman" w:eastAsia="Times New Roman" w:hAnsi="Times New Roman" w:cs="Times New Roman"/>
          <w:noProof/>
          <w:sz w:val="24"/>
          <w:szCs w:val="24"/>
          <w:lang w:val="en-GB" w:eastAsia="en-IE"/>
        </w:rPr>
        <w:t xml:space="preserve">give </w:t>
      </w:r>
      <w:r w:rsidRPr="00B53793">
        <w:rPr>
          <w:rFonts w:ascii="Times New Roman" w:eastAsia="Times New Roman" w:hAnsi="Times New Roman" w:cs="Times New Roman"/>
          <w:noProof/>
          <w:sz w:val="24"/>
          <w:szCs w:val="24"/>
          <w:lang w:val="en-GB" w:eastAsia="en-IE"/>
        </w:rPr>
        <w:t xml:space="preserve">a maximum </w:t>
      </w:r>
      <w:r w:rsidR="53665C48" w:rsidRPr="3B5A50E8">
        <w:rPr>
          <w:rFonts w:ascii="Times New Roman" w:eastAsia="Times New Roman" w:hAnsi="Times New Roman" w:cs="Times New Roman"/>
          <w:noProof/>
          <w:sz w:val="24"/>
          <w:szCs w:val="24"/>
          <w:lang w:val="en-GB" w:eastAsia="en-IE"/>
        </w:rPr>
        <w:t xml:space="preserve">of </w:t>
      </w:r>
      <w:r w:rsidRPr="00B53793">
        <w:rPr>
          <w:rFonts w:ascii="Times New Roman" w:eastAsia="Times New Roman" w:hAnsi="Times New Roman" w:cs="Times New Roman"/>
          <w:noProof/>
          <w:sz w:val="24"/>
          <w:szCs w:val="24"/>
          <w:lang w:val="en-GB" w:eastAsia="en-IE"/>
        </w:rPr>
        <w:t>market flexibility</w:t>
      </w:r>
      <w:r w:rsidR="3021FE22" w:rsidRPr="3B5A50E8">
        <w:rPr>
          <w:rFonts w:ascii="Times New Roman" w:eastAsia="Times New Roman" w:hAnsi="Times New Roman" w:cs="Times New Roman"/>
          <w:noProof/>
          <w:sz w:val="24"/>
          <w:szCs w:val="24"/>
          <w:lang w:val="en-GB" w:eastAsia="en-IE"/>
        </w:rPr>
        <w:t xml:space="preserve">, the </w:t>
      </w:r>
      <w:r w:rsidR="2BE7D08E" w:rsidRPr="3B5A50E8">
        <w:rPr>
          <w:rFonts w:ascii="Times New Roman" w:eastAsia="Times New Roman" w:hAnsi="Times New Roman" w:cs="Times New Roman"/>
          <w:noProof/>
          <w:sz w:val="24"/>
          <w:szCs w:val="24"/>
          <w:lang w:val="en-GB" w:eastAsia="en-IE"/>
        </w:rPr>
        <w:t>Commission h</w:t>
      </w:r>
      <w:r w:rsidR="4B97E420" w:rsidRPr="3B5A50E8">
        <w:rPr>
          <w:rFonts w:ascii="Times New Roman" w:eastAsia="Times New Roman" w:hAnsi="Times New Roman" w:cs="Times New Roman"/>
          <w:noProof/>
          <w:sz w:val="24"/>
          <w:szCs w:val="24"/>
          <w:lang w:val="en-GB" w:eastAsia="en-IE"/>
        </w:rPr>
        <w:t>ad</w:t>
      </w:r>
      <w:r w:rsidR="2BE7D08E" w:rsidRPr="3B5A50E8">
        <w:rPr>
          <w:rFonts w:ascii="Times New Roman" w:eastAsia="Times New Roman" w:hAnsi="Times New Roman" w:cs="Times New Roman"/>
          <w:noProof/>
          <w:sz w:val="24"/>
          <w:szCs w:val="24"/>
          <w:lang w:val="en-GB" w:eastAsia="en-IE"/>
        </w:rPr>
        <w:t xml:space="preserve"> made clear that</w:t>
      </w:r>
      <w:r w:rsidRPr="00A65D3E">
        <w:rPr>
          <w:rFonts w:ascii="Times New Roman" w:eastAsia="Times New Roman" w:hAnsi="Times New Roman" w:cs="Times New Roman"/>
          <w:noProof/>
          <w:sz w:val="24"/>
          <w:szCs w:val="24"/>
          <w:lang w:val="en-GB" w:eastAsia="en-IE"/>
        </w:rPr>
        <w:t xml:space="preserve"> demand reduction efforts </w:t>
      </w:r>
      <w:r w:rsidR="06943E0F" w:rsidRPr="3B5A50E8">
        <w:rPr>
          <w:rFonts w:ascii="Times New Roman" w:eastAsia="Times New Roman" w:hAnsi="Times New Roman" w:cs="Times New Roman"/>
          <w:noProof/>
          <w:sz w:val="24"/>
          <w:szCs w:val="24"/>
          <w:lang w:val="en-GB" w:eastAsia="en-IE"/>
        </w:rPr>
        <w:t xml:space="preserve">should </w:t>
      </w:r>
      <w:r w:rsidRPr="00A65D3E">
        <w:rPr>
          <w:rFonts w:ascii="Times New Roman" w:eastAsia="Times New Roman" w:hAnsi="Times New Roman" w:cs="Times New Roman"/>
          <w:noProof/>
          <w:sz w:val="24"/>
          <w:szCs w:val="24"/>
          <w:lang w:val="en-GB" w:eastAsia="en-IE"/>
        </w:rPr>
        <w:t>continue</w:t>
      </w:r>
      <w:r w:rsidR="18F6F027" w:rsidRPr="3B5A50E8">
        <w:rPr>
          <w:rFonts w:ascii="Times New Roman" w:eastAsia="Times New Roman" w:hAnsi="Times New Roman" w:cs="Times New Roman"/>
          <w:noProof/>
          <w:sz w:val="24"/>
          <w:szCs w:val="24"/>
          <w:lang w:val="en-GB" w:eastAsia="en-IE"/>
        </w:rPr>
        <w:t xml:space="preserve"> in order </w:t>
      </w:r>
      <w:r w:rsidR="557471A9" w:rsidRPr="3B5A50E8">
        <w:rPr>
          <w:rFonts w:ascii="Times New Roman" w:eastAsia="Times New Roman" w:hAnsi="Times New Roman" w:cs="Times New Roman"/>
          <w:noProof/>
          <w:sz w:val="24"/>
          <w:szCs w:val="24"/>
          <w:lang w:val="en-GB" w:eastAsia="en-IE"/>
        </w:rPr>
        <w:t>t</w:t>
      </w:r>
      <w:r w:rsidR="18F6F027" w:rsidRPr="3B5A50E8">
        <w:rPr>
          <w:rFonts w:ascii="Times New Roman" w:eastAsia="Times New Roman" w:hAnsi="Times New Roman" w:cs="Times New Roman"/>
          <w:noProof/>
          <w:sz w:val="24"/>
          <w:szCs w:val="24"/>
          <w:lang w:val="en-GB" w:eastAsia="en-IE"/>
        </w:rPr>
        <w:t xml:space="preserve">o provide the same level of security of supply. </w:t>
      </w:r>
    </w:p>
    <w:p w14:paraId="3CECC1DE" w14:textId="6781A674" w:rsidR="00727C0C" w:rsidRDefault="5BCD55D3" w:rsidP="1AF23F63">
      <w:pPr>
        <w:spacing w:after="120" w:line="240" w:lineRule="auto"/>
        <w:jc w:val="both"/>
        <w:rPr>
          <w:rFonts w:ascii="Times New Roman" w:eastAsia="Times New Roman" w:hAnsi="Times New Roman" w:cs="Times New Roman"/>
          <w:noProof/>
          <w:sz w:val="24"/>
          <w:szCs w:val="24"/>
          <w:lang w:val="en-GB" w:eastAsia="en-IE"/>
        </w:rPr>
      </w:pPr>
      <w:r w:rsidRPr="5787C8F7">
        <w:rPr>
          <w:rFonts w:ascii="Times New Roman" w:eastAsia="Times New Roman" w:hAnsi="Times New Roman" w:cs="Times New Roman"/>
          <w:noProof/>
          <w:sz w:val="24"/>
          <w:szCs w:val="24"/>
          <w:lang w:val="en-GB" w:eastAsia="en-IE"/>
        </w:rPr>
        <w:t xml:space="preserve">Based </w:t>
      </w:r>
      <w:r w:rsidR="00007173" w:rsidRPr="5787C8F7">
        <w:rPr>
          <w:rFonts w:ascii="Times New Roman" w:eastAsia="Times New Roman" w:hAnsi="Times New Roman" w:cs="Times New Roman"/>
          <w:noProof/>
          <w:sz w:val="24"/>
          <w:szCs w:val="24"/>
          <w:lang w:val="en-GB" w:eastAsia="en-IE"/>
        </w:rPr>
        <w:t>on</w:t>
      </w:r>
      <w:r w:rsidR="00007173" w:rsidRPr="005D42B6">
        <w:rPr>
          <w:rFonts w:ascii="Times New Roman" w:eastAsia="Times New Roman" w:hAnsi="Times New Roman" w:cs="Times New Roman"/>
          <w:noProof/>
          <w:sz w:val="24"/>
          <w:szCs w:val="24"/>
          <w:lang w:val="en-GB" w:eastAsia="en-IE"/>
        </w:rPr>
        <w:t xml:space="preserve"> analysis</w:t>
      </w:r>
      <w:r w:rsidR="005D42B6" w:rsidRPr="005D42B6">
        <w:rPr>
          <w:rFonts w:ascii="Times New Roman" w:eastAsia="Times New Roman" w:hAnsi="Times New Roman" w:cs="Times New Roman"/>
          <w:noProof/>
          <w:sz w:val="24"/>
          <w:szCs w:val="24"/>
          <w:lang w:val="en-GB" w:eastAsia="en-IE"/>
        </w:rPr>
        <w:t xml:space="preserve"> </w:t>
      </w:r>
      <w:r w:rsidR="03F40454" w:rsidRPr="5787C8F7">
        <w:rPr>
          <w:rFonts w:ascii="Times New Roman" w:eastAsia="Times New Roman" w:hAnsi="Times New Roman" w:cs="Times New Roman"/>
          <w:noProof/>
          <w:sz w:val="24"/>
          <w:szCs w:val="24"/>
          <w:lang w:val="en-GB" w:eastAsia="en-IE"/>
        </w:rPr>
        <w:t xml:space="preserve">using </w:t>
      </w:r>
      <w:r w:rsidR="00A67EF5">
        <w:rPr>
          <w:rFonts w:ascii="Times New Roman" w:eastAsia="Times New Roman" w:hAnsi="Times New Roman" w:cs="Times New Roman"/>
          <w:noProof/>
          <w:sz w:val="24"/>
          <w:szCs w:val="24"/>
          <w:lang w:val="en-GB" w:eastAsia="en-IE"/>
        </w:rPr>
        <w:t xml:space="preserve">the </w:t>
      </w:r>
      <w:r w:rsidR="005D42B6" w:rsidRPr="005D42B6">
        <w:rPr>
          <w:rFonts w:ascii="Times New Roman" w:eastAsia="Times New Roman" w:hAnsi="Times New Roman" w:cs="Times New Roman"/>
          <w:noProof/>
          <w:sz w:val="24"/>
          <w:szCs w:val="24"/>
          <w:lang w:val="en-GB" w:eastAsia="en-IE"/>
        </w:rPr>
        <w:t>ENTSOG outlook</w:t>
      </w:r>
      <w:r w:rsidR="00403802">
        <w:rPr>
          <w:rStyle w:val="FootnoteReference"/>
          <w:rFonts w:ascii="Times New Roman" w:eastAsia="Times New Roman" w:hAnsi="Times New Roman" w:cs="Times New Roman"/>
          <w:noProof/>
          <w:sz w:val="24"/>
          <w:szCs w:val="24"/>
          <w:lang w:val="en-GB" w:eastAsia="en-IE"/>
        </w:rPr>
        <w:footnoteReference w:id="10"/>
      </w:r>
      <w:r w:rsidR="001D1063">
        <w:rPr>
          <w:rFonts w:ascii="Times New Roman" w:eastAsia="Times New Roman" w:hAnsi="Times New Roman" w:cs="Times New Roman"/>
          <w:noProof/>
          <w:sz w:val="24"/>
          <w:szCs w:val="24"/>
          <w:lang w:val="en-GB" w:eastAsia="en-IE"/>
        </w:rPr>
        <w:t>,</w:t>
      </w:r>
      <w:r w:rsidR="005D42B6" w:rsidRPr="005D42B6">
        <w:rPr>
          <w:rFonts w:ascii="Times New Roman" w:eastAsia="Times New Roman" w:hAnsi="Times New Roman" w:cs="Times New Roman"/>
          <w:noProof/>
          <w:sz w:val="24"/>
          <w:szCs w:val="24"/>
          <w:lang w:val="en-GB" w:eastAsia="en-IE"/>
        </w:rPr>
        <w:t xml:space="preserve"> </w:t>
      </w:r>
      <w:r w:rsidR="24988053" w:rsidRPr="5787C8F7">
        <w:rPr>
          <w:rFonts w:ascii="Times New Roman" w:eastAsia="Times New Roman" w:hAnsi="Times New Roman" w:cs="Times New Roman"/>
          <w:noProof/>
          <w:sz w:val="24"/>
          <w:szCs w:val="24"/>
          <w:lang w:val="en-GB" w:eastAsia="en-IE"/>
        </w:rPr>
        <w:t xml:space="preserve">the Commission estimated (see </w:t>
      </w:r>
      <w:r w:rsidR="001D1063" w:rsidRPr="5787C8F7">
        <w:rPr>
          <w:rFonts w:ascii="Times New Roman" w:eastAsia="Times New Roman" w:hAnsi="Times New Roman" w:cs="Times New Roman"/>
          <w:noProof/>
          <w:sz w:val="24"/>
          <w:szCs w:val="24"/>
          <w:lang w:val="en-GB" w:eastAsia="en-IE"/>
        </w:rPr>
        <w:t xml:space="preserve">recital </w:t>
      </w:r>
      <w:r w:rsidR="001D1063">
        <w:rPr>
          <w:rFonts w:ascii="Times New Roman" w:eastAsia="Times New Roman" w:hAnsi="Times New Roman" w:cs="Times New Roman"/>
          <w:noProof/>
          <w:sz w:val="24"/>
          <w:szCs w:val="24"/>
          <w:lang w:val="en-GB" w:eastAsia="en-IE"/>
        </w:rPr>
        <w:t>8 of the I</w:t>
      </w:r>
      <w:r w:rsidR="24988053" w:rsidRPr="5787C8F7">
        <w:rPr>
          <w:rFonts w:ascii="Times New Roman" w:eastAsia="Times New Roman" w:hAnsi="Times New Roman" w:cs="Times New Roman"/>
          <w:noProof/>
          <w:sz w:val="24"/>
          <w:szCs w:val="24"/>
          <w:lang w:val="en-GB" w:eastAsia="en-IE"/>
        </w:rPr>
        <w:t xml:space="preserve">mplementing </w:t>
      </w:r>
      <w:r w:rsidR="001D1063">
        <w:rPr>
          <w:rFonts w:ascii="Times New Roman" w:eastAsia="Times New Roman" w:hAnsi="Times New Roman" w:cs="Times New Roman"/>
          <w:noProof/>
          <w:sz w:val="24"/>
          <w:szCs w:val="24"/>
          <w:lang w:val="en-GB" w:eastAsia="en-IE"/>
        </w:rPr>
        <w:t>A</w:t>
      </w:r>
      <w:r w:rsidR="24988053" w:rsidRPr="5787C8F7">
        <w:rPr>
          <w:rFonts w:ascii="Times New Roman" w:eastAsia="Times New Roman" w:hAnsi="Times New Roman" w:cs="Times New Roman"/>
          <w:noProof/>
          <w:sz w:val="24"/>
          <w:szCs w:val="24"/>
          <w:lang w:val="en-GB" w:eastAsia="en-IE"/>
        </w:rPr>
        <w:t>ct of November 2023) that the EU should reach at least</w:t>
      </w:r>
      <w:r w:rsidR="75261674" w:rsidRPr="5787C8F7">
        <w:rPr>
          <w:rFonts w:ascii="Times New Roman" w:eastAsia="Times New Roman" w:hAnsi="Times New Roman" w:cs="Times New Roman"/>
          <w:noProof/>
          <w:sz w:val="24"/>
          <w:szCs w:val="24"/>
          <w:lang w:val="en-GB" w:eastAsia="en-IE"/>
        </w:rPr>
        <w:t xml:space="preserve"> </w:t>
      </w:r>
      <w:r w:rsidR="24988053" w:rsidRPr="5787C8F7">
        <w:rPr>
          <w:rFonts w:ascii="Times New Roman" w:eastAsia="Times New Roman" w:hAnsi="Times New Roman" w:cs="Times New Roman"/>
          <w:noProof/>
          <w:sz w:val="24"/>
          <w:szCs w:val="24"/>
          <w:lang w:val="en-GB" w:eastAsia="en-IE"/>
        </w:rPr>
        <w:t xml:space="preserve">45% in May </w:t>
      </w:r>
      <w:r w:rsidR="003D39C0">
        <w:rPr>
          <w:rFonts w:ascii="Times New Roman" w:eastAsia="Times New Roman" w:hAnsi="Times New Roman" w:cs="Times New Roman"/>
          <w:noProof/>
          <w:sz w:val="24"/>
          <w:szCs w:val="24"/>
          <w:lang w:val="en-GB" w:eastAsia="en-IE"/>
        </w:rPr>
        <w:t>20</w:t>
      </w:r>
      <w:r w:rsidR="00A87B41">
        <w:rPr>
          <w:rFonts w:ascii="Times New Roman" w:eastAsia="Times New Roman" w:hAnsi="Times New Roman" w:cs="Times New Roman"/>
          <w:noProof/>
          <w:sz w:val="24"/>
          <w:szCs w:val="24"/>
          <w:lang w:val="en-GB" w:eastAsia="en-IE"/>
        </w:rPr>
        <w:t xml:space="preserve">24 </w:t>
      </w:r>
      <w:r w:rsidR="71EE75B2" w:rsidRPr="5787C8F7">
        <w:rPr>
          <w:rFonts w:ascii="Times New Roman" w:eastAsia="Times New Roman" w:hAnsi="Times New Roman" w:cs="Times New Roman"/>
          <w:noProof/>
          <w:sz w:val="24"/>
          <w:szCs w:val="24"/>
          <w:lang w:val="en-GB" w:eastAsia="en-IE"/>
        </w:rPr>
        <w:t xml:space="preserve">to </w:t>
      </w:r>
      <w:r w:rsidR="00CC5BE0" w:rsidRPr="00245C6E">
        <w:rPr>
          <w:rFonts w:ascii="Times New Roman" w:eastAsia="Times New Roman" w:hAnsi="Times New Roman" w:cs="Times New Roman"/>
          <w:noProof/>
          <w:sz w:val="24"/>
          <w:szCs w:val="24"/>
          <w:lang w:val="en-GB" w:eastAsia="en-IE"/>
        </w:rPr>
        <w:t>facilitate storage refilling in the event of higher demand and/or reduced supply during summer 2024</w:t>
      </w:r>
      <w:r w:rsidR="00727C0C">
        <w:rPr>
          <w:rFonts w:ascii="Times New Roman" w:eastAsia="Times New Roman" w:hAnsi="Times New Roman" w:cs="Times New Roman"/>
          <w:noProof/>
          <w:sz w:val="24"/>
          <w:szCs w:val="24"/>
          <w:lang w:val="en-GB" w:eastAsia="en-IE"/>
        </w:rPr>
        <w:t>. N</w:t>
      </w:r>
      <w:r w:rsidR="00CC5BE0" w:rsidRPr="00245C6E">
        <w:rPr>
          <w:rFonts w:ascii="Times New Roman" w:eastAsia="Times New Roman" w:hAnsi="Times New Roman" w:cs="Times New Roman"/>
          <w:noProof/>
          <w:sz w:val="24"/>
          <w:szCs w:val="24"/>
          <w:lang w:val="en-GB" w:eastAsia="en-IE"/>
        </w:rPr>
        <w:t>ot reach</w:t>
      </w:r>
      <w:r w:rsidR="00727C0C">
        <w:rPr>
          <w:rFonts w:ascii="Times New Roman" w:eastAsia="Times New Roman" w:hAnsi="Times New Roman" w:cs="Times New Roman"/>
          <w:noProof/>
          <w:sz w:val="24"/>
          <w:szCs w:val="24"/>
          <w:lang w:val="en-GB" w:eastAsia="en-IE"/>
        </w:rPr>
        <w:t xml:space="preserve">ing this target </w:t>
      </w:r>
      <w:r w:rsidR="00CC5BE0" w:rsidRPr="00245C6E">
        <w:rPr>
          <w:rFonts w:ascii="Times New Roman" w:eastAsia="Times New Roman" w:hAnsi="Times New Roman" w:cs="Times New Roman"/>
          <w:noProof/>
          <w:sz w:val="24"/>
          <w:szCs w:val="24"/>
          <w:lang w:val="en-GB" w:eastAsia="en-IE"/>
        </w:rPr>
        <w:t xml:space="preserve">could pose a serious risk of not meeting the 90% storage target of 1 November 2024. </w:t>
      </w:r>
      <w:r w:rsidR="00CC5BE0" w:rsidRPr="005D42B6">
        <w:rPr>
          <w:rFonts w:ascii="Times New Roman" w:eastAsia="Times New Roman" w:hAnsi="Times New Roman" w:cs="Times New Roman"/>
          <w:noProof/>
          <w:sz w:val="24"/>
          <w:szCs w:val="24"/>
          <w:lang w:val="en-GB" w:eastAsia="en-IE"/>
        </w:rPr>
        <w:t xml:space="preserve"> </w:t>
      </w:r>
      <w:r w:rsidR="00B16ABA">
        <w:rPr>
          <w:rFonts w:ascii="Times New Roman" w:eastAsia="Times New Roman" w:hAnsi="Times New Roman" w:cs="Times New Roman"/>
          <w:noProof/>
          <w:sz w:val="24"/>
          <w:szCs w:val="24"/>
          <w:lang w:val="en-GB" w:eastAsia="en-IE"/>
        </w:rPr>
        <w:t xml:space="preserve">This </w:t>
      </w:r>
      <w:r w:rsidR="008505CA">
        <w:rPr>
          <w:rFonts w:ascii="Times New Roman" w:eastAsia="Times New Roman" w:hAnsi="Times New Roman" w:cs="Times New Roman"/>
          <w:noProof/>
          <w:sz w:val="24"/>
          <w:szCs w:val="24"/>
          <w:lang w:val="en-GB" w:eastAsia="en-IE"/>
        </w:rPr>
        <w:t>intermediary target ensures</w:t>
      </w:r>
      <w:r w:rsidR="005D42B6" w:rsidRPr="005D42B6">
        <w:rPr>
          <w:rFonts w:ascii="Times New Roman" w:eastAsia="Times New Roman" w:hAnsi="Times New Roman" w:cs="Times New Roman"/>
          <w:noProof/>
          <w:sz w:val="24"/>
          <w:szCs w:val="24"/>
          <w:lang w:val="en-GB" w:eastAsia="en-IE"/>
        </w:rPr>
        <w:t xml:space="preserve"> the necessary flexibility to meet the 90% filling targe</w:t>
      </w:r>
      <w:r w:rsidR="00A87B41">
        <w:rPr>
          <w:rFonts w:ascii="Times New Roman" w:eastAsia="Times New Roman" w:hAnsi="Times New Roman" w:cs="Times New Roman"/>
          <w:noProof/>
          <w:sz w:val="24"/>
          <w:szCs w:val="24"/>
          <w:lang w:val="en-GB" w:eastAsia="en-IE"/>
        </w:rPr>
        <w:t>t by 1 November 2024</w:t>
      </w:r>
      <w:r w:rsidR="005D42B6" w:rsidRPr="005D42B6">
        <w:rPr>
          <w:rFonts w:ascii="Times New Roman" w:eastAsia="Times New Roman" w:hAnsi="Times New Roman" w:cs="Times New Roman"/>
          <w:noProof/>
          <w:sz w:val="24"/>
          <w:szCs w:val="24"/>
          <w:lang w:val="en-GB" w:eastAsia="en-IE"/>
        </w:rPr>
        <w:t>, even without Russian supplies during the summer, provided that other supplies are kept at current levels and with sustained gas demand reduction</w:t>
      </w:r>
      <w:r w:rsidR="00007173">
        <w:rPr>
          <w:rFonts w:ascii="Times New Roman" w:eastAsia="Times New Roman" w:hAnsi="Times New Roman" w:cs="Times New Roman"/>
          <w:noProof/>
          <w:sz w:val="24"/>
          <w:szCs w:val="24"/>
          <w:lang w:val="en-GB" w:eastAsia="en-IE"/>
        </w:rPr>
        <w:t xml:space="preserve"> (</w:t>
      </w:r>
      <w:r w:rsidR="33E53F44" w:rsidRPr="5787C8F7">
        <w:rPr>
          <w:rFonts w:ascii="Times New Roman" w:eastAsia="Times New Roman" w:hAnsi="Times New Roman" w:cs="Times New Roman"/>
          <w:noProof/>
          <w:sz w:val="24"/>
          <w:szCs w:val="24"/>
          <w:lang w:val="en-GB" w:eastAsia="en-IE"/>
        </w:rPr>
        <w:t>F</w:t>
      </w:r>
      <w:r w:rsidR="0052E598" w:rsidRPr="5787C8F7">
        <w:rPr>
          <w:rFonts w:ascii="Times New Roman" w:eastAsia="Times New Roman" w:hAnsi="Times New Roman" w:cs="Times New Roman"/>
          <w:noProof/>
          <w:sz w:val="24"/>
          <w:szCs w:val="24"/>
          <w:lang w:val="en-GB" w:eastAsia="en-IE"/>
        </w:rPr>
        <w:t>igure 3</w:t>
      </w:r>
      <w:r w:rsidR="00007173">
        <w:rPr>
          <w:rFonts w:ascii="Times New Roman" w:eastAsia="Times New Roman" w:hAnsi="Times New Roman" w:cs="Times New Roman"/>
          <w:noProof/>
          <w:sz w:val="24"/>
          <w:szCs w:val="24"/>
          <w:lang w:val="en-GB" w:eastAsia="en-IE"/>
        </w:rPr>
        <w:t>)</w:t>
      </w:r>
      <w:r w:rsidR="0052E598" w:rsidRPr="5787C8F7">
        <w:rPr>
          <w:rFonts w:ascii="Times New Roman" w:eastAsia="Times New Roman" w:hAnsi="Times New Roman" w:cs="Times New Roman"/>
          <w:noProof/>
          <w:sz w:val="24"/>
          <w:szCs w:val="24"/>
          <w:lang w:val="en-GB" w:eastAsia="en-IE"/>
        </w:rPr>
        <w:t>.</w:t>
      </w:r>
      <w:r w:rsidR="0052E598" w:rsidRPr="62AAD2F6">
        <w:rPr>
          <w:rFonts w:ascii="Times New Roman" w:eastAsia="Times New Roman" w:hAnsi="Times New Roman" w:cs="Times New Roman"/>
          <w:noProof/>
          <w:sz w:val="24"/>
          <w:szCs w:val="24"/>
          <w:lang w:val="en-GB" w:eastAsia="en-IE"/>
        </w:rPr>
        <w:t xml:space="preserve"> </w:t>
      </w:r>
    </w:p>
    <w:p w14:paraId="761DAB1B" w14:textId="77777777" w:rsidR="009E0BE4" w:rsidRDefault="009E0BE4" w:rsidP="1AF23F63">
      <w:pPr>
        <w:spacing w:after="120" w:line="240" w:lineRule="auto"/>
        <w:jc w:val="both"/>
        <w:rPr>
          <w:rFonts w:ascii="Times New Roman" w:eastAsia="Times New Roman" w:hAnsi="Times New Roman" w:cs="Times New Roman"/>
          <w:noProof/>
          <w:sz w:val="24"/>
          <w:szCs w:val="24"/>
          <w:lang w:val="en-GB" w:eastAsia="en-IE"/>
        </w:rPr>
      </w:pPr>
    </w:p>
    <w:p w14:paraId="387F39F7" w14:textId="5283B2B8" w:rsidR="009E0BE4" w:rsidRPr="009E0BE4" w:rsidRDefault="009E0BE4" w:rsidP="007D1226">
      <w:pPr>
        <w:spacing w:after="120" w:line="240" w:lineRule="auto"/>
        <w:jc w:val="both"/>
        <w:rPr>
          <w:rFonts w:ascii="Times New Roman" w:eastAsia="Times New Roman" w:hAnsi="Times New Roman" w:cs="Times New Roman"/>
          <w:b/>
          <w:bCs/>
          <w:iCs/>
          <w:noProof/>
          <w:sz w:val="20"/>
          <w:szCs w:val="20"/>
          <w:lang w:val="en-GB" w:eastAsia="en-IE"/>
        </w:rPr>
      </w:pPr>
      <w:r w:rsidRPr="009E0BE4">
        <w:rPr>
          <w:rFonts w:ascii="Times New Roman" w:eastAsia="Times New Roman" w:hAnsi="Times New Roman" w:cs="Times New Roman"/>
          <w:b/>
          <w:bCs/>
          <w:iCs/>
          <w:noProof/>
          <w:sz w:val="20"/>
          <w:szCs w:val="20"/>
          <w:lang w:val="en-GB" w:eastAsia="en-IE"/>
        </w:rPr>
        <w:t xml:space="preserve">Figure </w:t>
      </w:r>
      <w:r w:rsidRPr="009E0BE4">
        <w:rPr>
          <w:rFonts w:ascii="Times New Roman" w:eastAsia="Times New Roman" w:hAnsi="Times New Roman" w:cs="Times New Roman"/>
          <w:b/>
          <w:bCs/>
          <w:iCs/>
          <w:noProof/>
          <w:sz w:val="20"/>
          <w:szCs w:val="20"/>
          <w:lang w:val="en-GB" w:eastAsia="en-IE"/>
        </w:rPr>
        <w:fldChar w:fldCharType="begin"/>
      </w:r>
      <w:r w:rsidRPr="009E0BE4">
        <w:rPr>
          <w:rFonts w:ascii="Times New Roman" w:eastAsia="Times New Roman" w:hAnsi="Times New Roman" w:cs="Times New Roman"/>
          <w:b/>
          <w:bCs/>
          <w:iCs/>
          <w:noProof/>
          <w:sz w:val="20"/>
          <w:szCs w:val="20"/>
          <w:lang w:val="en-GB" w:eastAsia="en-IE"/>
        </w:rPr>
        <w:instrText xml:space="preserve"> SEQ Figure \* ARABIC </w:instrText>
      </w:r>
      <w:r w:rsidRPr="009E0BE4">
        <w:rPr>
          <w:rFonts w:ascii="Times New Roman" w:eastAsia="Times New Roman" w:hAnsi="Times New Roman" w:cs="Times New Roman"/>
          <w:b/>
          <w:bCs/>
          <w:iCs/>
          <w:noProof/>
          <w:sz w:val="20"/>
          <w:szCs w:val="20"/>
          <w:lang w:val="en-GB" w:eastAsia="en-IE"/>
        </w:rPr>
        <w:fldChar w:fldCharType="separate"/>
      </w:r>
      <w:r w:rsidRPr="009E0BE4">
        <w:rPr>
          <w:rFonts w:ascii="Times New Roman" w:eastAsia="Times New Roman" w:hAnsi="Times New Roman" w:cs="Times New Roman"/>
          <w:b/>
          <w:bCs/>
          <w:iCs/>
          <w:noProof/>
          <w:sz w:val="20"/>
          <w:szCs w:val="20"/>
          <w:lang w:val="en-GB" w:eastAsia="en-IE"/>
        </w:rPr>
        <w:t>3</w:t>
      </w:r>
      <w:r w:rsidRPr="009E0BE4">
        <w:rPr>
          <w:rFonts w:ascii="Times New Roman" w:eastAsia="Times New Roman" w:hAnsi="Times New Roman" w:cs="Times New Roman"/>
          <w:b/>
          <w:bCs/>
          <w:iCs/>
          <w:noProof/>
          <w:sz w:val="20"/>
          <w:szCs w:val="20"/>
          <w:lang w:val="en-GB" w:eastAsia="en-IE"/>
        </w:rPr>
        <w:fldChar w:fldCharType="end"/>
      </w:r>
      <w:r w:rsidRPr="009E0BE4">
        <w:rPr>
          <w:rFonts w:ascii="Times New Roman" w:eastAsia="Times New Roman" w:hAnsi="Times New Roman" w:cs="Times New Roman"/>
          <w:b/>
          <w:bCs/>
          <w:iCs/>
          <w:noProof/>
          <w:sz w:val="20"/>
          <w:szCs w:val="20"/>
          <w:lang w:val="en-GB" w:eastAsia="en-IE"/>
        </w:rPr>
        <w:t xml:space="preserve">: Evolution of the European UGS filling level under full Russian supply disruption in a reference scenario with LNG supply potential as observed in 2022-2023 and low LNG (40% decreased) targets for February and May, aiming at reaching collectively 45% filing level in </w:t>
      </w:r>
      <w:r w:rsidR="00F45CB1" w:rsidRPr="009E0BE4">
        <w:rPr>
          <w:rFonts w:ascii="Times New Roman" w:eastAsia="Times New Roman" w:hAnsi="Times New Roman" w:cs="Times New Roman"/>
          <w:b/>
          <w:bCs/>
          <w:iCs/>
          <w:noProof/>
          <w:sz w:val="20"/>
          <w:szCs w:val="20"/>
          <w:lang w:val="en-GB" w:eastAsia="en-IE"/>
        </w:rPr>
        <w:t>May.</w:t>
      </w:r>
    </w:p>
    <w:p w14:paraId="3CFF2FDC" w14:textId="77777777" w:rsidR="59D7779A" w:rsidRDefault="7B76F589" w:rsidP="1AF23F63">
      <w:pPr>
        <w:spacing w:after="120" w:line="240" w:lineRule="auto"/>
        <w:jc w:val="both"/>
        <w:rPr>
          <w:noProof/>
        </w:rPr>
      </w:pPr>
      <w:r>
        <w:rPr>
          <w:noProof/>
          <w:lang w:val="en-GB" w:eastAsia="en-GB"/>
        </w:rPr>
        <w:drawing>
          <wp:inline distT="0" distB="0" distL="0" distR="0" wp14:anchorId="17604070" wp14:editId="1E920932">
            <wp:extent cx="5953125" cy="3772535"/>
            <wp:effectExtent l="0" t="0" r="9525" b="0"/>
            <wp:docPr id="935900681" name="Picture 93590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900681"/>
                    <pic:cNvPicPr/>
                  </pic:nvPicPr>
                  <pic:blipFill>
                    <a:blip r:embed="rId27">
                      <a:extLst>
                        <a:ext uri="{28A0092B-C50C-407E-A947-70E740481C1C}">
                          <a14:useLocalDpi xmlns:a14="http://schemas.microsoft.com/office/drawing/2010/main" val="0"/>
                        </a:ext>
                      </a:extLst>
                    </a:blip>
                    <a:stretch>
                      <a:fillRect/>
                    </a:stretch>
                  </pic:blipFill>
                  <pic:spPr>
                    <a:xfrm>
                      <a:off x="0" y="0"/>
                      <a:ext cx="5953692" cy="3772894"/>
                    </a:xfrm>
                    <a:prstGeom prst="rect">
                      <a:avLst/>
                    </a:prstGeom>
                  </pic:spPr>
                </pic:pic>
              </a:graphicData>
            </a:graphic>
          </wp:inline>
        </w:drawing>
      </w:r>
    </w:p>
    <w:p w14:paraId="203962E8" w14:textId="5286B5A7" w:rsidR="47E9FAA3" w:rsidRPr="009D79FE" w:rsidRDefault="47E9FAA3" w:rsidP="70462C3E">
      <w:pPr>
        <w:spacing w:after="120" w:line="240" w:lineRule="auto"/>
        <w:jc w:val="both"/>
        <w:rPr>
          <w:rFonts w:ascii="Times New Roman" w:hAnsi="Times New Roman" w:cs="Times New Roman"/>
          <w:i/>
          <w:iCs/>
          <w:noProof/>
          <w:sz w:val="20"/>
          <w:szCs w:val="20"/>
        </w:rPr>
      </w:pPr>
      <w:r w:rsidRPr="009D79FE">
        <w:rPr>
          <w:rFonts w:ascii="Times New Roman" w:hAnsi="Times New Roman" w:cs="Times New Roman"/>
          <w:i/>
          <w:iCs/>
          <w:noProof/>
          <w:sz w:val="20"/>
          <w:szCs w:val="20"/>
        </w:rPr>
        <w:t>Source: ENTSOG Winter Outlook 2023-2024</w:t>
      </w:r>
      <w:r w:rsidR="04F1288C" w:rsidRPr="009D79FE">
        <w:rPr>
          <w:rFonts w:ascii="Times New Roman" w:hAnsi="Times New Roman" w:cs="Times New Roman"/>
          <w:i/>
          <w:iCs/>
          <w:noProof/>
          <w:sz w:val="20"/>
          <w:szCs w:val="20"/>
        </w:rPr>
        <w:t xml:space="preserve"> </w:t>
      </w:r>
    </w:p>
    <w:p w14:paraId="36975701" w14:textId="77777777" w:rsidR="009D79FE" w:rsidRDefault="009D79FE" w:rsidP="005D42B6">
      <w:pPr>
        <w:spacing w:after="80" w:line="240" w:lineRule="auto"/>
        <w:jc w:val="both"/>
        <w:rPr>
          <w:rFonts w:ascii="Times New Roman" w:eastAsia="Times New Roman" w:hAnsi="Times New Roman" w:cs="Times New Roman"/>
          <w:b/>
          <w:bCs/>
          <w:noProof/>
          <w:sz w:val="24"/>
          <w:szCs w:val="24"/>
          <w:lang w:val="en-GB" w:eastAsia="en-IE"/>
        </w:rPr>
      </w:pPr>
    </w:p>
    <w:p w14:paraId="64B2E2CE" w14:textId="37E06534" w:rsidR="005D42B6" w:rsidRPr="005D42B6" w:rsidRDefault="005D42B6" w:rsidP="005D42B6">
      <w:pPr>
        <w:spacing w:after="80" w:line="240" w:lineRule="auto"/>
        <w:jc w:val="both"/>
        <w:rPr>
          <w:rFonts w:ascii="Times New Roman" w:eastAsia="Times New Roman" w:hAnsi="Times New Roman" w:cs="Times New Roman"/>
          <w:b/>
          <w:bCs/>
          <w:noProof/>
          <w:sz w:val="24"/>
          <w:szCs w:val="24"/>
          <w:lang w:val="en-GB" w:eastAsia="en-IE"/>
        </w:rPr>
      </w:pPr>
      <w:r w:rsidRPr="005D42B6">
        <w:rPr>
          <w:rFonts w:ascii="Times New Roman" w:eastAsia="Times New Roman" w:hAnsi="Times New Roman" w:cs="Times New Roman"/>
          <w:b/>
          <w:bCs/>
          <w:noProof/>
          <w:sz w:val="24"/>
          <w:szCs w:val="24"/>
          <w:lang w:val="en-GB" w:eastAsia="en-IE"/>
        </w:rPr>
        <w:t>Energy Community outlook</w:t>
      </w:r>
    </w:p>
    <w:p w14:paraId="3DB3E542" w14:textId="108CD3A5" w:rsidR="005D42B6" w:rsidRPr="005D42B6" w:rsidRDefault="005D42B6" w:rsidP="005D42B6">
      <w:pPr>
        <w:spacing w:after="80" w:line="257" w:lineRule="auto"/>
        <w:jc w:val="both"/>
        <w:rPr>
          <w:rFonts w:ascii="Times New Roman" w:eastAsia="Times New Roman" w:hAnsi="Times New Roman" w:cs="Times New Roman"/>
          <w:noProof/>
          <w:sz w:val="24"/>
          <w:szCs w:val="24"/>
          <w:lang w:val="en-GB" w:eastAsia="en-IE"/>
        </w:rPr>
      </w:pPr>
      <w:r w:rsidRPr="005D42B6">
        <w:rPr>
          <w:rFonts w:ascii="Times New Roman" w:eastAsia="Times New Roman" w:hAnsi="Times New Roman" w:cs="Times New Roman"/>
          <w:noProof/>
          <w:sz w:val="24"/>
          <w:szCs w:val="24"/>
          <w:lang w:val="en-GB" w:eastAsia="en-IE"/>
        </w:rPr>
        <w:t xml:space="preserve">In line with the developments in the EU, the Energy Community </w:t>
      </w:r>
      <w:r w:rsidR="00D21413">
        <w:rPr>
          <w:rFonts w:ascii="Times New Roman" w:eastAsia="Times New Roman" w:hAnsi="Times New Roman" w:cs="Times New Roman"/>
          <w:noProof/>
          <w:sz w:val="24"/>
          <w:szCs w:val="24"/>
          <w:lang w:val="en-GB" w:eastAsia="en-IE"/>
        </w:rPr>
        <w:t>transposed</w:t>
      </w:r>
      <w:r w:rsidRPr="005D42B6">
        <w:rPr>
          <w:rFonts w:ascii="Times New Roman" w:eastAsia="Times New Roman" w:hAnsi="Times New Roman" w:cs="Times New Roman"/>
          <w:noProof/>
          <w:sz w:val="24"/>
          <w:szCs w:val="24"/>
          <w:lang w:val="en-GB" w:eastAsia="en-IE"/>
        </w:rPr>
        <w:t xml:space="preserve"> the Storage Regulation (EU) 2022/1032 at unprecedented speed. It requires the Contracting Parties to ensure that their undergoing storage is filled up to at least 90% of its capacity by 1 November. The Regulation also imposes the obligation on the Contracting Parties to ensure that storage system operators located on their territories are certified. </w:t>
      </w:r>
    </w:p>
    <w:p w14:paraId="396EE873" w14:textId="0EB6648B" w:rsidR="005D42B6" w:rsidRPr="005D42B6" w:rsidRDefault="005D42B6" w:rsidP="005D42B6">
      <w:pPr>
        <w:spacing w:after="80" w:line="257" w:lineRule="auto"/>
        <w:jc w:val="both"/>
        <w:rPr>
          <w:rFonts w:ascii="Times New Roman" w:eastAsia="Times New Roman" w:hAnsi="Times New Roman" w:cs="Times New Roman"/>
          <w:noProof/>
          <w:sz w:val="24"/>
          <w:szCs w:val="24"/>
          <w:lang w:val="en-GB" w:eastAsia="en-IE"/>
        </w:rPr>
      </w:pPr>
      <w:r w:rsidRPr="005D42B6">
        <w:rPr>
          <w:rFonts w:ascii="Times New Roman" w:eastAsia="Times New Roman" w:hAnsi="Times New Roman" w:cs="Times New Roman"/>
          <w:noProof/>
          <w:sz w:val="24"/>
          <w:szCs w:val="24"/>
          <w:lang w:val="en-GB" w:eastAsia="en-IE"/>
        </w:rPr>
        <w:t xml:space="preserve">According to the </w:t>
      </w:r>
      <w:hyperlink r:id="rId28" w:history="1">
        <w:r w:rsidRPr="005D42B6">
          <w:rPr>
            <w:rFonts w:ascii="Times New Roman" w:eastAsia="Times New Roman" w:hAnsi="Times New Roman" w:cs="Times New Roman"/>
            <w:noProof/>
            <w:color w:val="0563C1"/>
            <w:sz w:val="24"/>
            <w:szCs w:val="24"/>
            <w:u w:val="single"/>
            <w:lang w:val="en-GB" w:eastAsia="en-IE"/>
          </w:rPr>
          <w:t>report by the Energy Community Secretariat on the implementation of Storage Regulation</w:t>
        </w:r>
      </w:hyperlink>
      <w:r w:rsidRPr="005D42B6">
        <w:rPr>
          <w:rFonts w:ascii="Times New Roman" w:eastAsia="Times New Roman" w:hAnsi="Times New Roman" w:cs="Times New Roman"/>
          <w:noProof/>
          <w:sz w:val="24"/>
          <w:szCs w:val="24"/>
          <w:lang w:val="en-GB" w:eastAsia="en-IE"/>
        </w:rPr>
        <w:t xml:space="preserve">, of 1 June 2023, Serbia and Ukraine, Contracting parties with gas storage facilities, fulfilled the targets including intermediary targets.  The Report calls for Contracting Parties without storages to make additional efforts to implement the storage obligations and use available instruments in place, such as signing Burden Sharing Agreements and ensuring </w:t>
      </w:r>
      <w:r w:rsidR="00A77E8D">
        <w:rPr>
          <w:rFonts w:ascii="Times New Roman" w:eastAsia="Times New Roman" w:hAnsi="Times New Roman" w:cs="Times New Roman"/>
          <w:noProof/>
          <w:sz w:val="24"/>
          <w:szCs w:val="24"/>
          <w:lang w:val="en-GB" w:eastAsia="en-IE"/>
        </w:rPr>
        <w:t>they</w:t>
      </w:r>
      <w:r w:rsidR="00A77E8D" w:rsidRPr="005D42B6">
        <w:rPr>
          <w:rFonts w:ascii="Times New Roman" w:eastAsia="Times New Roman" w:hAnsi="Times New Roman" w:cs="Times New Roman"/>
          <w:noProof/>
          <w:sz w:val="24"/>
          <w:szCs w:val="24"/>
          <w:lang w:val="en-GB" w:eastAsia="en-IE"/>
        </w:rPr>
        <w:t xml:space="preserve"> </w:t>
      </w:r>
      <w:r w:rsidRPr="005D42B6">
        <w:rPr>
          <w:rFonts w:ascii="Times New Roman" w:eastAsia="Times New Roman" w:hAnsi="Times New Roman" w:cs="Times New Roman"/>
          <w:noProof/>
          <w:sz w:val="24"/>
          <w:szCs w:val="24"/>
          <w:lang w:val="en-GB" w:eastAsia="en-IE"/>
        </w:rPr>
        <w:t>have storage capacities for a portion of their annual demand (at least 15%) in the neighbouring countries.</w:t>
      </w:r>
    </w:p>
    <w:p w14:paraId="2FE1F355" w14:textId="5A036633" w:rsidR="0047483A" w:rsidRPr="0047483A" w:rsidRDefault="00BE4F5D" w:rsidP="007D1226">
      <w:pPr>
        <w:spacing w:after="0" w:line="257" w:lineRule="auto"/>
        <w:jc w:val="both"/>
        <w:rPr>
          <w:rFonts w:ascii="Times New Roman" w:eastAsia="Times New Roman" w:hAnsi="Times New Roman" w:cs="Times New Roman"/>
          <w:noProof/>
          <w:sz w:val="24"/>
          <w:szCs w:val="20"/>
          <w:lang w:val="en-GB" w:eastAsia="en-IE"/>
        </w:rPr>
      </w:pPr>
      <w:r w:rsidRPr="00BE4F5D">
        <w:rPr>
          <w:rFonts w:ascii="Times New Roman" w:eastAsia="Times New Roman" w:hAnsi="Times New Roman" w:cs="Times New Roman"/>
          <w:noProof/>
          <w:sz w:val="24"/>
          <w:szCs w:val="24"/>
          <w:lang w:val="en-GB" w:eastAsia="en-IE"/>
        </w:rPr>
        <w:t xml:space="preserve">Ukraine transposed the majority of the requirements from Regulation (EU) 2022/1032, fulfilled the obligations concerning the storage system operator and the trajectory levels of gas in the storages. </w:t>
      </w:r>
      <w:r w:rsidR="005D42B6" w:rsidRPr="005D42B6">
        <w:rPr>
          <w:rFonts w:ascii="Times New Roman" w:eastAsia="Times New Roman" w:hAnsi="Times New Roman" w:cs="Times New Roman"/>
          <w:noProof/>
          <w:sz w:val="24"/>
          <w:szCs w:val="24"/>
          <w:lang w:val="en-GB" w:eastAsia="en-IE"/>
        </w:rPr>
        <w:t>Regarding the certification of SSOs in the Energy Community, only Ukraine and Serbia have storage capacities. In Ukraine, Ukrtransgaz has been certified in April 2023 and Serbia has not yet transposed the Regulation as the legal basis for certification.</w:t>
      </w:r>
      <w:r w:rsidR="005D42B6" w:rsidRPr="005D42B6">
        <w:rPr>
          <w:rFonts w:ascii="Times New Roman" w:eastAsia="Times New Roman" w:hAnsi="Times New Roman" w:cs="Times New Roman"/>
          <w:noProof/>
          <w:sz w:val="24"/>
          <w:szCs w:val="20"/>
          <w:lang w:val="en-GB" w:eastAsia="en-IE"/>
        </w:rPr>
        <w:t xml:space="preserve"> </w:t>
      </w:r>
      <w:r w:rsidR="0047483A" w:rsidRPr="0047483A">
        <w:rPr>
          <w:rFonts w:ascii="Times New Roman" w:eastAsia="Times New Roman" w:hAnsi="Times New Roman" w:cs="Times New Roman"/>
          <w:noProof/>
          <w:sz w:val="24"/>
          <w:szCs w:val="20"/>
          <w:lang w:val="en-GB" w:eastAsia="en-IE"/>
        </w:rPr>
        <w:t>In addition, Ukraine storage and transmission system operators performed a storage stress-test, based on a set of selected scenarios aiming to identify whether the gas stored by foreign traders under warehouse custom regime could be evacuated to the owners in a crisis.</w:t>
      </w:r>
    </w:p>
    <w:p w14:paraId="79CC3343" w14:textId="77777777" w:rsidR="005D42B6" w:rsidRPr="005D42B6" w:rsidRDefault="005D42B6" w:rsidP="007D1226">
      <w:pPr>
        <w:spacing w:after="0" w:line="257" w:lineRule="auto"/>
        <w:jc w:val="both"/>
        <w:rPr>
          <w:rFonts w:ascii="Times New Roman" w:eastAsia="Times New Roman" w:hAnsi="Times New Roman" w:cs="Times New Roman"/>
          <w:noProof/>
          <w:sz w:val="24"/>
          <w:szCs w:val="20"/>
          <w:lang w:val="en-GB" w:eastAsia="en-IE"/>
        </w:rPr>
      </w:pPr>
      <w:r w:rsidRPr="005D42B6">
        <w:rPr>
          <w:rFonts w:ascii="Times New Roman" w:eastAsia="Times New Roman" w:hAnsi="Times New Roman" w:cs="Times New Roman"/>
          <w:noProof/>
          <w:sz w:val="24"/>
          <w:szCs w:val="24"/>
          <w:lang w:val="en-GB" w:eastAsia="en-IE"/>
        </w:rPr>
        <w:t xml:space="preserve">On 13 November 2023, the Energy Community Secretariat adopted comprehensive storage filling trajectories for 2024. </w:t>
      </w:r>
    </w:p>
    <w:p w14:paraId="29D78C73" w14:textId="2C851F16" w:rsidR="005D42B6" w:rsidRPr="005D42B6" w:rsidRDefault="005D42B6" w:rsidP="005D42B6">
      <w:pPr>
        <w:keepNext/>
        <w:numPr>
          <w:ilvl w:val="0"/>
          <w:numId w:val="35"/>
        </w:numPr>
        <w:tabs>
          <w:tab w:val="num" w:pos="1485"/>
        </w:tabs>
        <w:spacing w:before="240" w:after="80" w:line="240" w:lineRule="auto"/>
        <w:ind w:left="1485" w:hanging="283"/>
        <w:jc w:val="both"/>
        <w:outlineLvl w:val="0"/>
        <w:rPr>
          <w:rFonts w:ascii="Times New Roman" w:eastAsia="Times New Roman" w:hAnsi="Times New Roman" w:cs="Times New Roman"/>
          <w:b/>
          <w:smallCaps/>
          <w:noProof/>
          <w:sz w:val="24"/>
          <w:szCs w:val="20"/>
          <w:lang w:val="en-GB" w:eastAsia="en-IE"/>
        </w:rPr>
      </w:pPr>
      <w:r w:rsidRPr="005D42B6">
        <w:rPr>
          <w:rFonts w:ascii="Times New Roman" w:eastAsia="Times New Roman" w:hAnsi="Times New Roman" w:cs="Times New Roman"/>
          <w:b/>
          <w:smallCaps/>
          <w:noProof/>
          <w:sz w:val="24"/>
          <w:szCs w:val="20"/>
          <w:lang w:val="en-GB" w:eastAsia="en-IE"/>
        </w:rPr>
        <w:t>Analysis of potential effects on gas prices</w:t>
      </w:r>
    </w:p>
    <w:p w14:paraId="4D33DC09" w14:textId="77777777" w:rsidR="005D42B6" w:rsidRPr="00CA66C1" w:rsidRDefault="005D42B6" w:rsidP="005D42B6">
      <w:pPr>
        <w:spacing w:after="80" w:line="240" w:lineRule="auto"/>
        <w:jc w:val="both"/>
        <w:rPr>
          <w:rFonts w:ascii="Times New Roman" w:eastAsia="Arial" w:hAnsi="Times New Roman" w:cs="Times New Roman"/>
          <w:noProof/>
          <w:color w:val="333333"/>
          <w:sz w:val="24"/>
          <w:szCs w:val="24"/>
          <w:lang w:val="en-GB" w:eastAsia="en-IE"/>
        </w:rPr>
      </w:pPr>
      <w:r w:rsidRPr="00CA66C1">
        <w:rPr>
          <w:rFonts w:ascii="Times New Roman" w:eastAsia="Arial" w:hAnsi="Times New Roman" w:cs="Times New Roman"/>
          <w:noProof/>
          <w:color w:val="333333"/>
          <w:sz w:val="24"/>
          <w:szCs w:val="24"/>
          <w:lang w:val="en-GB" w:eastAsia="en-IE"/>
        </w:rPr>
        <w:t>Storages are key to ease tension in the markets as they can provide large quantities to the market when the supply is tight, and therefore mitigate price fluctuations and spikes.</w:t>
      </w:r>
    </w:p>
    <w:p w14:paraId="598D3151" w14:textId="77777777" w:rsidR="005D42B6" w:rsidRPr="00CA66C1" w:rsidRDefault="005D42B6" w:rsidP="005D42B6">
      <w:pPr>
        <w:spacing w:after="80" w:line="257" w:lineRule="auto"/>
        <w:jc w:val="both"/>
        <w:rPr>
          <w:rFonts w:ascii="Times New Roman" w:eastAsia="Arial" w:hAnsi="Times New Roman" w:cs="Times New Roman"/>
          <w:noProof/>
          <w:color w:val="000000"/>
          <w:sz w:val="24"/>
          <w:szCs w:val="24"/>
          <w:lang w:val="en-GB" w:eastAsia="en-IE"/>
        </w:rPr>
      </w:pPr>
      <w:r w:rsidRPr="00CA66C1">
        <w:rPr>
          <w:rFonts w:ascii="Times New Roman" w:eastAsia="Arial" w:hAnsi="Times New Roman" w:cs="Times New Roman"/>
          <w:noProof/>
          <w:color w:val="000000"/>
          <w:sz w:val="24"/>
          <w:szCs w:val="24"/>
          <w:lang w:val="en-GB" w:eastAsia="en-IE"/>
        </w:rPr>
        <w:t xml:space="preserve">Gas demand tends to be price-inelastic in the short term. Consequently, market tightness due to supply scarcity can rapidly translate into significant price increases. In this context, the availability of flexibility sources, such as the storage, is paramount to increase short-term available supply and preserve the demand-supply balance in the system. </w:t>
      </w:r>
    </w:p>
    <w:p w14:paraId="18A9C76C" w14:textId="63CAA1FD" w:rsidR="005D42B6" w:rsidRPr="00CA66C1" w:rsidRDefault="005D42B6" w:rsidP="005D42B6">
      <w:pPr>
        <w:spacing w:after="80" w:line="257" w:lineRule="auto"/>
        <w:jc w:val="both"/>
        <w:rPr>
          <w:rFonts w:ascii="Times New Roman" w:eastAsia="Arial" w:hAnsi="Times New Roman" w:cs="Times New Roman"/>
          <w:noProof/>
          <w:color w:val="000000"/>
          <w:sz w:val="24"/>
          <w:szCs w:val="24"/>
          <w:lang w:val="en-GB" w:eastAsia="en-IE"/>
        </w:rPr>
      </w:pPr>
      <w:r w:rsidRPr="00CA66C1">
        <w:rPr>
          <w:rFonts w:ascii="Times New Roman" w:eastAsia="Arial" w:hAnsi="Times New Roman" w:cs="Times New Roman"/>
          <w:noProof/>
          <w:color w:val="000000"/>
          <w:sz w:val="24"/>
          <w:szCs w:val="24"/>
          <w:lang w:val="en-GB" w:eastAsia="en-IE"/>
        </w:rPr>
        <w:t>The storage role in alleviating price pressure is widely acknowledged in the industry and in the economic literature.</w:t>
      </w:r>
      <w:r w:rsidR="00D21413" w:rsidRPr="00CA66C1">
        <w:rPr>
          <w:rFonts w:ascii="Times New Roman" w:eastAsia="Arial" w:hAnsi="Times New Roman" w:cs="Times New Roman"/>
          <w:noProof/>
          <w:color w:val="000000"/>
          <w:sz w:val="24"/>
          <w:szCs w:val="24"/>
          <w:lang w:val="en-GB" w:eastAsia="en-IE"/>
        </w:rPr>
        <w:t xml:space="preserve"> </w:t>
      </w:r>
    </w:p>
    <w:p w14:paraId="4454294A" w14:textId="77777777" w:rsidR="005D42B6" w:rsidRPr="00CA66C1" w:rsidRDefault="005D42B6" w:rsidP="005D42B6">
      <w:pPr>
        <w:spacing w:after="80" w:line="257" w:lineRule="auto"/>
        <w:jc w:val="both"/>
        <w:rPr>
          <w:rFonts w:ascii="Times New Roman" w:eastAsia="Arial" w:hAnsi="Times New Roman" w:cs="Times New Roman"/>
          <w:noProof/>
          <w:color w:val="000000"/>
          <w:sz w:val="24"/>
          <w:szCs w:val="24"/>
          <w:lang w:val="en-GB" w:eastAsia="en-IE"/>
        </w:rPr>
      </w:pPr>
      <w:r w:rsidRPr="00CA66C1">
        <w:rPr>
          <w:rFonts w:ascii="Times New Roman" w:eastAsia="Arial" w:hAnsi="Times New Roman" w:cs="Times New Roman"/>
          <w:noProof/>
          <w:color w:val="000000"/>
          <w:sz w:val="24"/>
          <w:szCs w:val="24"/>
          <w:lang w:val="en-GB" w:eastAsia="en-IE"/>
        </w:rPr>
        <w:t xml:space="preserve">For example, the International Energy Agency noted in the </w:t>
      </w:r>
      <w:hyperlink r:id="rId29" w:history="1">
        <w:r w:rsidRPr="00CA66C1">
          <w:rPr>
            <w:rFonts w:ascii="Times New Roman" w:eastAsia="Arial" w:hAnsi="Times New Roman" w:cs="Times New Roman"/>
            <w:noProof/>
            <w:color w:val="0563C1"/>
            <w:sz w:val="24"/>
            <w:szCs w:val="24"/>
            <w:u w:val="single"/>
            <w:lang w:val="en-GB" w:eastAsia="en-IE"/>
          </w:rPr>
          <w:t>Medium-Term Gas Report 2023</w:t>
        </w:r>
      </w:hyperlink>
      <w:r w:rsidRPr="00CA66C1">
        <w:rPr>
          <w:rFonts w:ascii="Times New Roman" w:eastAsia="Arial" w:hAnsi="Times New Roman" w:cs="Times New Roman"/>
          <w:noProof/>
          <w:color w:val="000000"/>
          <w:sz w:val="24"/>
          <w:szCs w:val="24"/>
          <w:lang w:val="en-GB" w:eastAsia="en-IE"/>
        </w:rPr>
        <w:t xml:space="preserve"> that high storage level, together with subdued demand, ‘</w:t>
      </w:r>
      <w:r w:rsidRPr="00CA66C1">
        <w:rPr>
          <w:rFonts w:ascii="Times New Roman" w:eastAsia="Arial" w:hAnsi="Times New Roman" w:cs="Times New Roman"/>
          <w:i/>
          <w:iCs/>
          <w:noProof/>
          <w:color w:val="000000"/>
          <w:sz w:val="24"/>
          <w:szCs w:val="24"/>
          <w:lang w:val="en-GB" w:eastAsia="en-IE"/>
        </w:rPr>
        <w:t>weighed on spot gas prices in Europe’</w:t>
      </w:r>
      <w:r w:rsidRPr="00CA66C1">
        <w:rPr>
          <w:rFonts w:ascii="Times New Roman" w:eastAsia="Arial" w:hAnsi="Times New Roman" w:cs="Times New Roman"/>
          <w:noProof/>
          <w:color w:val="000000"/>
          <w:sz w:val="24"/>
          <w:szCs w:val="24"/>
          <w:lang w:val="en-GB" w:eastAsia="en-IE"/>
        </w:rPr>
        <w:t xml:space="preserve"> in the third quarter of 2023. Similarly, in its </w:t>
      </w:r>
      <w:hyperlink r:id="rId30" w:history="1">
        <w:r w:rsidRPr="00CA66C1">
          <w:rPr>
            <w:rFonts w:ascii="Times New Roman" w:eastAsia="Arial" w:hAnsi="Times New Roman" w:cs="Times New Roman"/>
            <w:noProof/>
            <w:color w:val="0563C1"/>
            <w:sz w:val="24"/>
            <w:szCs w:val="24"/>
            <w:u w:val="single"/>
            <w:lang w:val="en-GB" w:eastAsia="en-IE"/>
          </w:rPr>
          <w:t>report</w:t>
        </w:r>
      </w:hyperlink>
      <w:r w:rsidRPr="00CA66C1">
        <w:rPr>
          <w:rFonts w:ascii="Times New Roman" w:eastAsia="Arial" w:hAnsi="Times New Roman" w:cs="Times New Roman"/>
          <w:noProof/>
          <w:color w:val="000000"/>
          <w:sz w:val="24"/>
          <w:szCs w:val="24"/>
          <w:lang w:val="en-GB" w:eastAsia="en-IE"/>
        </w:rPr>
        <w:t xml:space="preserve"> of June 2023 ACER indicated that ‘</w:t>
      </w:r>
      <w:r w:rsidRPr="00CA66C1">
        <w:rPr>
          <w:rFonts w:ascii="Times New Roman" w:eastAsia="Arial" w:hAnsi="Times New Roman" w:cs="Times New Roman"/>
          <w:i/>
          <w:iCs/>
          <w:noProof/>
          <w:color w:val="000000"/>
          <w:sz w:val="24"/>
          <w:szCs w:val="24"/>
          <w:lang w:val="en-GB" w:eastAsia="en-IE"/>
        </w:rPr>
        <w:t>storage filling levels are significantly above last years’ average and have contributed to driving prices down</w:t>
      </w:r>
      <w:r w:rsidRPr="00CA66C1">
        <w:rPr>
          <w:rFonts w:ascii="Times New Roman" w:eastAsia="Arial" w:hAnsi="Times New Roman" w:cs="Times New Roman"/>
          <w:noProof/>
          <w:color w:val="000000"/>
          <w:sz w:val="24"/>
          <w:szCs w:val="24"/>
          <w:lang w:val="en-GB" w:eastAsia="en-IE"/>
        </w:rPr>
        <w:t xml:space="preserve">.’ </w:t>
      </w:r>
    </w:p>
    <w:p w14:paraId="6BC0D86B" w14:textId="2380E3AA" w:rsidR="005D42B6" w:rsidRPr="005D42B6" w:rsidRDefault="52663728" w:rsidP="005D42B6">
      <w:pPr>
        <w:spacing w:after="80" w:line="257" w:lineRule="auto"/>
        <w:jc w:val="both"/>
        <w:rPr>
          <w:rFonts w:ascii="Times New Roman" w:eastAsia="Arial" w:hAnsi="Times New Roman" w:cs="Times New Roman"/>
          <w:noProof/>
          <w:color w:val="000000"/>
          <w:sz w:val="24"/>
          <w:szCs w:val="24"/>
          <w:lang w:val="en-GB" w:eastAsia="en-IE"/>
        </w:rPr>
      </w:pPr>
      <w:r w:rsidRPr="00CA66C1">
        <w:rPr>
          <w:rFonts w:ascii="Times New Roman" w:eastAsia="Arial" w:hAnsi="Times New Roman" w:cs="Times New Roman"/>
          <w:noProof/>
          <w:color w:val="000000"/>
          <w:sz w:val="24"/>
          <w:szCs w:val="24"/>
          <w:lang w:val="en-GB" w:eastAsia="en-IE"/>
        </w:rPr>
        <w:t>Several economic articles assessed the impact of gas storage on prices. For example, Brown and Yücel (What Drives Natural Gas Prices, 2008) looked at the US gas data between 1997 and 2007 and found that storage above the seasonal norm depresses natural gas prices. Hulshof et al. (2015)</w:t>
      </w:r>
      <w:r w:rsidR="005D42B6" w:rsidRPr="00CA66C1">
        <w:rPr>
          <w:rFonts w:ascii="Times New Roman" w:eastAsia="Arial" w:hAnsi="Times New Roman" w:cs="Times New Roman"/>
          <w:noProof/>
          <w:color w:val="000000"/>
          <w:sz w:val="24"/>
          <w:szCs w:val="24"/>
          <w:vertAlign w:val="superscript"/>
          <w:lang w:val="en-GB" w:eastAsia="en-IE"/>
        </w:rPr>
        <w:footnoteReference w:id="11"/>
      </w:r>
      <w:r w:rsidRPr="00CA66C1">
        <w:rPr>
          <w:rFonts w:ascii="Times New Roman" w:eastAsia="Arial" w:hAnsi="Times New Roman" w:cs="Times New Roman"/>
          <w:noProof/>
          <w:color w:val="000000"/>
          <w:sz w:val="24"/>
          <w:szCs w:val="24"/>
          <w:vertAlign w:val="superscript"/>
          <w:lang w:val="en-GB" w:eastAsia="en-IE"/>
        </w:rPr>
        <w:t xml:space="preserve"> </w:t>
      </w:r>
      <w:r w:rsidRPr="00CA66C1">
        <w:rPr>
          <w:rFonts w:ascii="Times New Roman" w:eastAsia="Arial" w:hAnsi="Times New Roman" w:cs="Times New Roman"/>
          <w:noProof/>
          <w:color w:val="000000"/>
          <w:sz w:val="24"/>
          <w:szCs w:val="24"/>
          <w:lang w:val="en-GB" w:eastAsia="en-IE"/>
        </w:rPr>
        <w:t>analysed the TTF day-ahead spot price during the period 2011–2014 and similarly found that when the filling degree of storage facilities is below the average, spot prices tend to be higher. Obadi and Korcek (2020)</w:t>
      </w:r>
      <w:r w:rsidR="005D42B6" w:rsidRPr="00CA66C1">
        <w:rPr>
          <w:rFonts w:ascii="Times New Roman" w:eastAsia="Arial" w:hAnsi="Times New Roman" w:cs="Times New Roman"/>
          <w:noProof/>
          <w:color w:val="000000"/>
          <w:sz w:val="24"/>
          <w:szCs w:val="24"/>
          <w:vertAlign w:val="superscript"/>
          <w:lang w:val="en-GB" w:eastAsia="en-IE"/>
        </w:rPr>
        <w:footnoteReference w:id="12"/>
      </w:r>
      <w:r w:rsidRPr="00CA66C1">
        <w:rPr>
          <w:rFonts w:ascii="Times New Roman" w:eastAsia="Arial" w:hAnsi="Times New Roman" w:cs="Times New Roman"/>
          <w:noProof/>
          <w:color w:val="000000"/>
          <w:sz w:val="24"/>
          <w:szCs w:val="24"/>
          <w:lang w:val="en-GB" w:eastAsia="en-IE"/>
        </w:rPr>
        <w:t xml:space="preserve"> also looked at the TTF prices between 2016 and 2019 and concluded that storage levels below historic average result in tighter markets which inevitably lead to upward pressure on prices.</w:t>
      </w:r>
      <w:r w:rsidR="00D21413" w:rsidRPr="1AF23F63">
        <w:rPr>
          <w:rFonts w:ascii="Times New Roman" w:eastAsia="Arial" w:hAnsi="Times New Roman" w:cs="Times New Roman"/>
          <w:noProof/>
          <w:color w:val="000000" w:themeColor="text1"/>
          <w:sz w:val="24"/>
          <w:szCs w:val="24"/>
          <w:lang w:val="en-GB" w:eastAsia="en-IE"/>
        </w:rPr>
        <w:t xml:space="preserve"> </w:t>
      </w:r>
    </w:p>
    <w:p w14:paraId="603B6739" w14:textId="77777777" w:rsidR="005D42B6" w:rsidRPr="005D42B6" w:rsidRDefault="005D42B6" w:rsidP="005D42B6">
      <w:pPr>
        <w:spacing w:after="80" w:line="257" w:lineRule="auto"/>
        <w:jc w:val="both"/>
        <w:rPr>
          <w:rFonts w:ascii="Times New Roman" w:eastAsia="Arial" w:hAnsi="Times New Roman" w:cs="Times New Roman"/>
          <w:noProof/>
          <w:color w:val="000000"/>
          <w:sz w:val="24"/>
          <w:szCs w:val="24"/>
          <w:lang w:val="en-GB" w:eastAsia="en-IE"/>
        </w:rPr>
      </w:pPr>
      <w:r w:rsidRPr="005D42B6">
        <w:rPr>
          <w:rFonts w:ascii="Times New Roman" w:eastAsia="Arial" w:hAnsi="Times New Roman" w:cs="Times New Roman"/>
          <w:noProof/>
          <w:color w:val="000000"/>
          <w:sz w:val="24"/>
          <w:szCs w:val="24"/>
          <w:lang w:val="en-GB" w:eastAsia="en-IE"/>
        </w:rPr>
        <w:t>As shown in the graph below, wholesale gas prices have been fluctuating between 30 and 50 EUR/MWh in recent months. While still significantly</w:t>
      </w:r>
      <w:r w:rsidRPr="005D42B6">
        <w:rPr>
          <w:rFonts w:ascii="Times New Roman" w:eastAsia="Arial" w:hAnsi="Times New Roman" w:cs="Times New Roman"/>
          <w:noProof/>
          <w:sz w:val="24"/>
          <w:szCs w:val="24"/>
          <w:lang w:val="en-GB" w:eastAsia="en-IE"/>
        </w:rPr>
        <w:t xml:space="preserve"> </w:t>
      </w:r>
      <w:r w:rsidRPr="005D42B6">
        <w:rPr>
          <w:rFonts w:ascii="Times New Roman" w:eastAsia="Arial" w:hAnsi="Times New Roman" w:cs="Times New Roman"/>
          <w:noProof/>
          <w:color w:val="000000"/>
          <w:sz w:val="24"/>
          <w:szCs w:val="24"/>
          <w:lang w:val="en-GB" w:eastAsia="en-IE"/>
        </w:rPr>
        <w:t xml:space="preserve">higher than pre-crisis, prices have fallen considerably since the peak of the crisis in summer 2022 when prices reached unprecedented levels above 300 EUR/MWh. </w:t>
      </w:r>
    </w:p>
    <w:p w14:paraId="2CFCB932" w14:textId="77777777" w:rsidR="00C70B62" w:rsidRDefault="005D42B6" w:rsidP="005D42B6">
      <w:pPr>
        <w:spacing w:after="80" w:line="257" w:lineRule="auto"/>
        <w:jc w:val="both"/>
        <w:rPr>
          <w:rFonts w:ascii="Times New Roman" w:eastAsia="Arial" w:hAnsi="Times New Roman" w:cs="Times New Roman"/>
          <w:noProof/>
          <w:color w:val="000000"/>
          <w:sz w:val="24"/>
          <w:szCs w:val="24"/>
          <w:lang w:val="en-GB" w:eastAsia="en-IE"/>
        </w:rPr>
      </w:pPr>
      <w:r w:rsidRPr="005D42B6">
        <w:rPr>
          <w:rFonts w:ascii="Times New Roman" w:eastAsia="Arial" w:hAnsi="Times New Roman" w:cs="Times New Roman"/>
          <w:noProof/>
          <w:color w:val="000000"/>
          <w:sz w:val="24"/>
          <w:szCs w:val="24"/>
          <w:lang w:val="en-GB" w:eastAsia="en-IE"/>
        </w:rPr>
        <w:t>Member States and the Commission put in place a comprehensive package of measures that together contributed to improve the market situation and helped alleviate the pressure on price. The commitment to store minimum volumes of gas prior to the winter, as set out in Regulation (EU) 2022/1032 played an important role in this set of initiatives and the very high level of storage filling observed since late Autumn 2022 has been a key (while not the unique) determinant in easing the market tension and driving gas prices down.</w:t>
      </w:r>
    </w:p>
    <w:p w14:paraId="0E64AB0C" w14:textId="77777777" w:rsidR="001F044F" w:rsidRDefault="001F044F" w:rsidP="005D42B6">
      <w:pPr>
        <w:spacing w:after="80" w:line="257" w:lineRule="auto"/>
        <w:jc w:val="both"/>
        <w:rPr>
          <w:rFonts w:ascii="Times New Roman" w:eastAsia="Arial" w:hAnsi="Times New Roman" w:cs="Times New Roman"/>
          <w:noProof/>
          <w:color w:val="000000"/>
          <w:sz w:val="24"/>
          <w:szCs w:val="24"/>
          <w:lang w:val="en-GB" w:eastAsia="en-IE"/>
        </w:rPr>
      </w:pPr>
    </w:p>
    <w:p w14:paraId="658B56CC" w14:textId="2F4D624F" w:rsidR="005D42B6" w:rsidRPr="005D42B6" w:rsidRDefault="7728F074" w:rsidP="009D79FE">
      <w:pPr>
        <w:spacing w:after="80" w:line="257" w:lineRule="auto"/>
        <w:rPr>
          <w:rFonts w:ascii="Times New Roman" w:eastAsia="Times New Roman" w:hAnsi="Times New Roman" w:cs="Times New Roman"/>
          <w:b/>
          <w:bCs/>
          <w:iCs/>
          <w:noProof/>
          <w:sz w:val="20"/>
          <w:szCs w:val="20"/>
          <w:lang w:val="en-GB" w:eastAsia="en-IE"/>
        </w:rPr>
      </w:pPr>
      <w:r w:rsidRPr="56B1566D">
        <w:rPr>
          <w:rFonts w:ascii="Times New Roman" w:eastAsia="Times New Roman" w:hAnsi="Times New Roman" w:cs="Times New Roman"/>
          <w:b/>
          <w:bCs/>
          <w:noProof/>
          <w:sz w:val="20"/>
          <w:szCs w:val="20"/>
          <w:lang w:val="en-GB" w:eastAsia="en-IE"/>
        </w:rPr>
        <w:t xml:space="preserve">Figure </w:t>
      </w:r>
      <w:r w:rsidR="006B549B">
        <w:rPr>
          <w:rFonts w:ascii="Times New Roman" w:eastAsia="Times New Roman" w:hAnsi="Times New Roman" w:cs="Times New Roman"/>
          <w:b/>
          <w:bCs/>
          <w:iCs/>
          <w:noProof/>
          <w:sz w:val="20"/>
          <w:szCs w:val="20"/>
          <w:lang w:val="en-GB" w:eastAsia="en-IE"/>
        </w:rPr>
        <w:t>4</w:t>
      </w:r>
      <w:r w:rsidR="005D42B6" w:rsidRPr="005D42B6">
        <w:rPr>
          <w:rFonts w:ascii="Times New Roman" w:eastAsia="Times New Roman" w:hAnsi="Times New Roman" w:cs="Times New Roman"/>
          <w:b/>
          <w:bCs/>
          <w:iCs/>
          <w:noProof/>
          <w:sz w:val="20"/>
          <w:szCs w:val="20"/>
          <w:lang w:val="en-GB" w:eastAsia="en-IE"/>
        </w:rPr>
        <w:t xml:space="preserve"> - TTF month-ahead prices – January 2021 - September 2023</w:t>
      </w:r>
    </w:p>
    <w:p w14:paraId="2D8DB650" w14:textId="77777777" w:rsidR="005D42B6" w:rsidRPr="005D42B6" w:rsidRDefault="005D42B6" w:rsidP="009D79FE">
      <w:pPr>
        <w:spacing w:after="80" w:line="257" w:lineRule="auto"/>
        <w:rPr>
          <w:rFonts w:ascii="Calibri" w:eastAsia="Calibri" w:hAnsi="Calibri" w:cs="Calibri"/>
          <w:noProof/>
          <w:color w:val="000000"/>
          <w:sz w:val="24"/>
          <w:szCs w:val="20"/>
          <w:lang w:val="en-GB" w:eastAsia="en-IE"/>
        </w:rPr>
      </w:pPr>
      <w:r w:rsidRPr="005D42B6">
        <w:rPr>
          <w:rFonts w:ascii="Times New Roman" w:eastAsia="Times New Roman" w:hAnsi="Times New Roman" w:cs="Times New Roman"/>
          <w:noProof/>
          <w:sz w:val="24"/>
          <w:szCs w:val="20"/>
          <w:lang w:val="en-GB" w:eastAsia="en-GB"/>
        </w:rPr>
        <w:drawing>
          <wp:inline distT="0" distB="0" distL="0" distR="0" wp14:anchorId="724E379D" wp14:editId="266AF21C">
            <wp:extent cx="4751296" cy="2895600"/>
            <wp:effectExtent l="0" t="0" r="0" b="0"/>
            <wp:docPr id="638601520" name="Picture 63860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601520"/>
                    <pic:cNvPicPr/>
                  </pic:nvPicPr>
                  <pic:blipFill>
                    <a:blip r:embed="rId31">
                      <a:extLst>
                        <a:ext uri="{28A0092B-C50C-407E-A947-70E740481C1C}">
                          <a14:useLocalDpi xmlns:a14="http://schemas.microsoft.com/office/drawing/2010/main" val="0"/>
                        </a:ext>
                      </a:extLst>
                    </a:blip>
                    <a:stretch>
                      <a:fillRect/>
                    </a:stretch>
                  </pic:blipFill>
                  <pic:spPr>
                    <a:xfrm>
                      <a:off x="0" y="0"/>
                      <a:ext cx="4756291" cy="2898644"/>
                    </a:xfrm>
                    <a:prstGeom prst="rect">
                      <a:avLst/>
                    </a:prstGeom>
                  </pic:spPr>
                </pic:pic>
              </a:graphicData>
            </a:graphic>
          </wp:inline>
        </w:drawing>
      </w:r>
    </w:p>
    <w:p w14:paraId="3097EB9D" w14:textId="77777777" w:rsidR="005D42B6" w:rsidRPr="009D79FE" w:rsidRDefault="005D42B6" w:rsidP="005D42B6">
      <w:pPr>
        <w:spacing w:after="80" w:line="257" w:lineRule="auto"/>
        <w:jc w:val="both"/>
        <w:rPr>
          <w:rFonts w:ascii="Times New Roman" w:eastAsia="Arial" w:hAnsi="Times New Roman" w:cs="Times New Roman"/>
          <w:i/>
          <w:noProof/>
          <w:color w:val="333333"/>
          <w:sz w:val="20"/>
          <w:szCs w:val="20"/>
          <w:lang w:val="en-GB" w:eastAsia="en-IE"/>
        </w:rPr>
      </w:pPr>
      <w:r w:rsidRPr="009D79FE">
        <w:rPr>
          <w:rFonts w:ascii="Times New Roman" w:eastAsia="Arial" w:hAnsi="Times New Roman" w:cs="Times New Roman"/>
          <w:i/>
          <w:noProof/>
          <w:color w:val="333333"/>
          <w:sz w:val="20"/>
          <w:szCs w:val="20"/>
          <w:lang w:val="en-GB" w:eastAsia="en-IE"/>
        </w:rPr>
        <w:t>Source: ENER based on S&amp;P Global data</w:t>
      </w:r>
    </w:p>
    <w:p w14:paraId="4F36A3A0" w14:textId="77777777" w:rsidR="005D42B6" w:rsidRPr="005D42B6" w:rsidRDefault="005D42B6" w:rsidP="005D42B6">
      <w:pPr>
        <w:keepNext/>
        <w:numPr>
          <w:ilvl w:val="0"/>
          <w:numId w:val="35"/>
        </w:numPr>
        <w:tabs>
          <w:tab w:val="num" w:pos="1485"/>
        </w:tabs>
        <w:spacing w:before="240" w:after="80" w:line="240" w:lineRule="auto"/>
        <w:ind w:left="1485" w:hanging="283"/>
        <w:jc w:val="both"/>
        <w:outlineLvl w:val="0"/>
        <w:rPr>
          <w:rFonts w:ascii="Times New Roman" w:eastAsia="Times New Roman" w:hAnsi="Times New Roman" w:cs="Times New Roman"/>
          <w:b/>
          <w:smallCaps/>
          <w:noProof/>
          <w:sz w:val="24"/>
          <w:szCs w:val="20"/>
          <w:lang w:val="en-GB" w:eastAsia="en-IE"/>
        </w:rPr>
      </w:pPr>
      <w:r w:rsidRPr="005D42B6">
        <w:rPr>
          <w:rFonts w:ascii="Times New Roman" w:eastAsia="Times New Roman" w:hAnsi="Times New Roman" w:cs="Times New Roman"/>
          <w:b/>
          <w:smallCaps/>
          <w:noProof/>
          <w:sz w:val="24"/>
          <w:szCs w:val="20"/>
          <w:lang w:val="en-GB" w:eastAsia="en-IE"/>
        </w:rPr>
        <w:t>Conclusion</w:t>
      </w:r>
    </w:p>
    <w:p w14:paraId="7E3016CD" w14:textId="023DD655" w:rsidR="005D42B6" w:rsidRPr="005D42B6" w:rsidRDefault="52663728" w:rsidP="005D42B6">
      <w:pPr>
        <w:spacing w:after="80" w:line="240" w:lineRule="auto"/>
        <w:jc w:val="both"/>
        <w:rPr>
          <w:rFonts w:ascii="Times New Roman" w:eastAsia="Times New Roman" w:hAnsi="Times New Roman" w:cs="Times New Roman"/>
          <w:noProof/>
          <w:color w:val="000000"/>
          <w:sz w:val="24"/>
          <w:szCs w:val="24"/>
          <w:lang w:val="en-GB" w:eastAsia="en-IE"/>
        </w:rPr>
      </w:pPr>
      <w:r w:rsidRPr="005D42B6">
        <w:rPr>
          <w:rFonts w:ascii="Times New Roman" w:eastAsia="Times New Roman" w:hAnsi="Times New Roman" w:cs="Times New Roman"/>
          <w:noProof/>
          <w:color w:val="000000"/>
          <w:sz w:val="24"/>
          <w:szCs w:val="24"/>
          <w:lang w:val="en-GB" w:eastAsia="en-IE"/>
        </w:rPr>
        <w:t>In 2023, all the objectives set by the Storage Regulation have been met or surpassed. The 90% storage target was met</w:t>
      </w:r>
      <w:r w:rsidR="00F1478E" w:rsidRPr="5D525BCB">
        <w:rPr>
          <w:rFonts w:ascii="Times New Roman" w:eastAsia="Times New Roman" w:hAnsi="Times New Roman" w:cs="Times New Roman"/>
          <w:noProof/>
          <w:color w:val="000000" w:themeColor="text1"/>
          <w:sz w:val="24"/>
          <w:szCs w:val="24"/>
          <w:lang w:val="en-GB" w:eastAsia="en-IE"/>
        </w:rPr>
        <w:t xml:space="preserve"> by</w:t>
      </w:r>
      <w:r w:rsidRPr="005D42B6">
        <w:rPr>
          <w:rFonts w:ascii="Times New Roman" w:eastAsia="Times New Roman" w:hAnsi="Times New Roman" w:cs="Times New Roman"/>
          <w:noProof/>
          <w:color w:val="000000"/>
          <w:sz w:val="24"/>
          <w:szCs w:val="24"/>
          <w:lang w:val="en-GB" w:eastAsia="en-IE"/>
        </w:rPr>
        <w:t xml:space="preserve"> mid-August, and on 1 November gas storage levels were reported </w:t>
      </w:r>
      <w:r w:rsidR="00036C6A" w:rsidRPr="5D525BCB">
        <w:rPr>
          <w:rFonts w:ascii="Times New Roman" w:eastAsia="Times New Roman" w:hAnsi="Times New Roman" w:cs="Times New Roman"/>
          <w:noProof/>
          <w:color w:val="000000" w:themeColor="text1"/>
          <w:sz w:val="24"/>
          <w:szCs w:val="24"/>
          <w:lang w:val="en-GB" w:eastAsia="en-IE"/>
        </w:rPr>
        <w:t xml:space="preserve">over </w:t>
      </w:r>
      <w:r w:rsidRPr="005D42B6">
        <w:rPr>
          <w:rFonts w:ascii="Times New Roman" w:eastAsia="Times New Roman" w:hAnsi="Times New Roman" w:cs="Times New Roman"/>
          <w:noProof/>
          <w:color w:val="000000"/>
          <w:sz w:val="24"/>
          <w:szCs w:val="24"/>
          <w:lang w:val="en-GB" w:eastAsia="en-IE"/>
        </w:rPr>
        <w:t xml:space="preserve">99%. At the end of 2023, the average level was still close to record high levels, </w:t>
      </w:r>
      <w:r w:rsidR="00727C0C">
        <w:rPr>
          <w:rFonts w:ascii="Times New Roman" w:eastAsia="Times New Roman" w:hAnsi="Times New Roman" w:cs="Times New Roman"/>
          <w:noProof/>
          <w:color w:val="000000"/>
          <w:sz w:val="24"/>
          <w:szCs w:val="24"/>
          <w:lang w:val="en-GB" w:eastAsia="en-IE"/>
        </w:rPr>
        <w:t>above 85%</w:t>
      </w:r>
      <w:r w:rsidR="005D42B6" w:rsidRPr="005D42B6">
        <w:rPr>
          <w:rFonts w:ascii="Times New Roman" w:eastAsia="Times New Roman" w:hAnsi="Times New Roman" w:cs="Times New Roman"/>
          <w:noProof/>
          <w:color w:val="000000"/>
          <w:sz w:val="24"/>
          <w:szCs w:val="24"/>
          <w:vertAlign w:val="superscript"/>
          <w:lang w:val="en-GB" w:eastAsia="en-IE"/>
        </w:rPr>
        <w:footnoteReference w:id="13"/>
      </w:r>
      <w:r w:rsidRPr="005D42B6">
        <w:rPr>
          <w:rFonts w:ascii="Times New Roman" w:eastAsia="Times New Roman" w:hAnsi="Times New Roman" w:cs="Times New Roman"/>
          <w:noProof/>
          <w:color w:val="000000"/>
          <w:sz w:val="24"/>
          <w:szCs w:val="24"/>
          <w:lang w:val="en-GB" w:eastAsia="en-IE"/>
        </w:rPr>
        <w:t>. The measures implemented by the Member States</w:t>
      </w:r>
      <w:r w:rsidR="6BF7E64E" w:rsidRPr="3FD030AE">
        <w:rPr>
          <w:rFonts w:ascii="Times New Roman" w:eastAsia="Times New Roman" w:hAnsi="Times New Roman" w:cs="Times New Roman"/>
          <w:noProof/>
          <w:color w:val="000000" w:themeColor="text1"/>
          <w:sz w:val="24"/>
          <w:szCs w:val="24"/>
          <w:lang w:val="en-GB" w:eastAsia="en-IE"/>
        </w:rPr>
        <w:t xml:space="preserve">, </w:t>
      </w:r>
      <w:r w:rsidR="001A60E2">
        <w:rPr>
          <w:rFonts w:ascii="Times New Roman" w:eastAsia="Times New Roman" w:hAnsi="Times New Roman" w:cs="Times New Roman"/>
          <w:noProof/>
          <w:color w:val="000000" w:themeColor="text1"/>
          <w:sz w:val="24"/>
          <w:szCs w:val="24"/>
          <w:lang w:val="en-GB" w:eastAsia="en-IE"/>
        </w:rPr>
        <w:t>supported by</w:t>
      </w:r>
      <w:r w:rsidR="0A882BAC" w:rsidRPr="027C4F7E">
        <w:rPr>
          <w:rFonts w:ascii="Times New Roman" w:eastAsia="Times New Roman" w:hAnsi="Times New Roman" w:cs="Times New Roman"/>
          <w:noProof/>
          <w:color w:val="000000" w:themeColor="text1"/>
          <w:sz w:val="24"/>
          <w:szCs w:val="24"/>
          <w:lang w:val="en-GB" w:eastAsia="en-IE"/>
        </w:rPr>
        <w:t xml:space="preserve"> the g</w:t>
      </w:r>
      <w:r w:rsidR="6BF7E64E" w:rsidRPr="027C4F7E">
        <w:rPr>
          <w:rFonts w:ascii="Times New Roman" w:eastAsia="Times New Roman" w:hAnsi="Times New Roman" w:cs="Times New Roman"/>
          <w:noProof/>
          <w:color w:val="000000" w:themeColor="text1"/>
          <w:sz w:val="24"/>
          <w:szCs w:val="24"/>
          <w:lang w:val="en-IE"/>
        </w:rPr>
        <w:t>as</w:t>
      </w:r>
      <w:r w:rsidR="6BF7E64E" w:rsidRPr="3FD030AE">
        <w:rPr>
          <w:rFonts w:ascii="Times New Roman" w:eastAsia="Times New Roman" w:hAnsi="Times New Roman" w:cs="Times New Roman"/>
          <w:noProof/>
          <w:color w:val="000000" w:themeColor="text1"/>
          <w:sz w:val="24"/>
          <w:szCs w:val="24"/>
          <w:lang w:val="en-IE"/>
        </w:rPr>
        <w:t xml:space="preserve"> demand reduction, </w:t>
      </w:r>
      <w:r w:rsidRPr="005D42B6">
        <w:rPr>
          <w:rFonts w:ascii="Times New Roman" w:eastAsia="Times New Roman" w:hAnsi="Times New Roman" w:cs="Times New Roman"/>
          <w:noProof/>
          <w:color w:val="000000"/>
          <w:sz w:val="24"/>
          <w:szCs w:val="24"/>
          <w:lang w:val="en-GB" w:eastAsia="en-IE"/>
        </w:rPr>
        <w:t>both in terms of level and timing, proved efficient for market participants to keep storage levels at an adequate level through 2023</w:t>
      </w:r>
      <w:r w:rsidR="336C261A" w:rsidRPr="05787A6E">
        <w:rPr>
          <w:rFonts w:ascii="Times New Roman" w:eastAsia="Times New Roman" w:hAnsi="Times New Roman" w:cs="Times New Roman"/>
          <w:noProof/>
          <w:color w:val="000000" w:themeColor="text1"/>
          <w:sz w:val="24"/>
          <w:szCs w:val="24"/>
          <w:lang w:val="en-GB" w:eastAsia="en-IE"/>
        </w:rPr>
        <w:t xml:space="preserve"> and fulfil the storage target</w:t>
      </w:r>
      <w:r w:rsidRPr="005D42B6">
        <w:rPr>
          <w:rFonts w:ascii="Times New Roman" w:eastAsia="Times New Roman" w:hAnsi="Times New Roman" w:cs="Times New Roman"/>
          <w:noProof/>
          <w:color w:val="000000"/>
          <w:sz w:val="24"/>
          <w:szCs w:val="24"/>
          <w:lang w:val="en-GB" w:eastAsia="en-IE"/>
        </w:rPr>
        <w:t xml:space="preserve">. The fulfilment of the objectives ahead of the regulatory schedule even allowed to further inject </w:t>
      </w:r>
      <w:r w:rsidR="00D21413" w:rsidRPr="5D525BCB">
        <w:rPr>
          <w:rFonts w:ascii="Times New Roman" w:eastAsia="Times New Roman" w:hAnsi="Times New Roman" w:cs="Times New Roman"/>
          <w:noProof/>
          <w:color w:val="000000" w:themeColor="text1"/>
          <w:sz w:val="24"/>
          <w:szCs w:val="24"/>
          <w:lang w:val="en-GB" w:eastAsia="en-IE"/>
        </w:rPr>
        <w:t xml:space="preserve">additional </w:t>
      </w:r>
      <w:r w:rsidRPr="005D42B6">
        <w:rPr>
          <w:rFonts w:ascii="Times New Roman" w:eastAsia="Times New Roman" w:hAnsi="Times New Roman" w:cs="Times New Roman"/>
          <w:noProof/>
          <w:color w:val="000000"/>
          <w:sz w:val="24"/>
          <w:szCs w:val="24"/>
          <w:lang w:val="en-GB" w:eastAsia="en-IE"/>
        </w:rPr>
        <w:t>2.5 bcm in Ukraine storages over the summer</w:t>
      </w:r>
      <w:r w:rsidR="038EC979" w:rsidRPr="25C8A409">
        <w:rPr>
          <w:rFonts w:ascii="Times New Roman" w:eastAsia="Times New Roman" w:hAnsi="Times New Roman" w:cs="Times New Roman"/>
          <w:noProof/>
          <w:color w:val="000000" w:themeColor="text1"/>
          <w:sz w:val="24"/>
          <w:szCs w:val="24"/>
          <w:lang w:val="en-GB" w:eastAsia="en-IE"/>
        </w:rPr>
        <w:t xml:space="preserve"> </w:t>
      </w:r>
      <w:r w:rsidR="038EC979" w:rsidRPr="25C8A409">
        <w:rPr>
          <w:rFonts w:ascii="Times New Roman" w:eastAsia="Times New Roman" w:hAnsi="Times New Roman" w:cs="Times New Roman"/>
          <w:noProof/>
          <w:color w:val="000000" w:themeColor="text1"/>
          <w:sz w:val="24"/>
          <w:szCs w:val="24"/>
          <w:lang w:val="en-IE"/>
        </w:rPr>
        <w:t>mutually reinforcing the security of gas supply of the EU and Ukraine</w:t>
      </w:r>
      <w:r w:rsidRPr="005D42B6">
        <w:rPr>
          <w:rFonts w:ascii="Times New Roman" w:eastAsia="Times New Roman" w:hAnsi="Times New Roman" w:cs="Times New Roman"/>
          <w:noProof/>
          <w:color w:val="000000"/>
          <w:sz w:val="24"/>
          <w:szCs w:val="24"/>
          <w:lang w:val="en-GB" w:eastAsia="en-IE"/>
        </w:rPr>
        <w:t xml:space="preserve">. </w:t>
      </w:r>
    </w:p>
    <w:p w14:paraId="15E7A2F9" w14:textId="0C6CBF19" w:rsidR="005D42B6" w:rsidRPr="005D42B6" w:rsidRDefault="005D42B6" w:rsidP="005D42B6">
      <w:pPr>
        <w:spacing w:after="80" w:line="240" w:lineRule="auto"/>
        <w:jc w:val="both"/>
        <w:rPr>
          <w:rFonts w:ascii="Times New Roman" w:eastAsia="Times New Roman" w:hAnsi="Times New Roman" w:cs="Times New Roman"/>
          <w:noProof/>
          <w:color w:val="000000"/>
          <w:sz w:val="24"/>
          <w:szCs w:val="24"/>
          <w:lang w:val="en-GB" w:eastAsia="en-IE"/>
        </w:rPr>
      </w:pPr>
      <w:r w:rsidRPr="005D42B6">
        <w:rPr>
          <w:rFonts w:ascii="Times New Roman" w:eastAsia="Times New Roman" w:hAnsi="Times New Roman" w:cs="Times New Roman"/>
          <w:noProof/>
          <w:color w:val="000000"/>
          <w:sz w:val="24"/>
          <w:szCs w:val="24"/>
          <w:lang w:val="en-GB" w:eastAsia="en-IE"/>
        </w:rPr>
        <w:t>The mechanism of minimum intermediary targets leave</w:t>
      </w:r>
      <w:r w:rsidR="00F6555F">
        <w:rPr>
          <w:rFonts w:ascii="Times New Roman" w:eastAsia="Times New Roman" w:hAnsi="Times New Roman" w:cs="Times New Roman"/>
          <w:noProof/>
          <w:color w:val="000000"/>
          <w:sz w:val="24"/>
          <w:szCs w:val="24"/>
          <w:lang w:val="en-GB" w:eastAsia="en-IE"/>
        </w:rPr>
        <w:t>s</w:t>
      </w:r>
      <w:r w:rsidRPr="005D42B6">
        <w:rPr>
          <w:rFonts w:ascii="Times New Roman" w:eastAsia="Times New Roman" w:hAnsi="Times New Roman" w:cs="Times New Roman"/>
          <w:noProof/>
          <w:color w:val="000000"/>
          <w:sz w:val="24"/>
          <w:szCs w:val="24"/>
          <w:lang w:val="en-GB" w:eastAsia="en-IE"/>
        </w:rPr>
        <w:t xml:space="preserve"> ample room for Member States to set their own measures</w:t>
      </w:r>
      <w:r w:rsidR="008C7832">
        <w:rPr>
          <w:rFonts w:ascii="Times New Roman" w:eastAsia="Times New Roman" w:hAnsi="Times New Roman" w:cs="Times New Roman"/>
          <w:noProof/>
          <w:color w:val="000000"/>
          <w:sz w:val="24"/>
          <w:szCs w:val="24"/>
          <w:lang w:val="en-GB" w:eastAsia="en-IE"/>
        </w:rPr>
        <w:t xml:space="preserve"> and schedules</w:t>
      </w:r>
      <w:r w:rsidRPr="005D42B6">
        <w:rPr>
          <w:rFonts w:ascii="Times New Roman" w:eastAsia="Times New Roman" w:hAnsi="Times New Roman" w:cs="Times New Roman"/>
          <w:noProof/>
          <w:color w:val="000000"/>
          <w:sz w:val="24"/>
          <w:szCs w:val="24"/>
          <w:lang w:val="en-GB" w:eastAsia="en-IE"/>
        </w:rPr>
        <w:t xml:space="preserve">. Achieving the objectives set by storage regulation greatly helped strengthen the security of supply in winter 2023/24, which in turn reduced the risk premium in the gas market at the end of the year. </w:t>
      </w:r>
    </w:p>
    <w:p w14:paraId="7263DE88" w14:textId="1F11FD88" w:rsidR="005D42B6" w:rsidRPr="005D42B6" w:rsidRDefault="005D42B6" w:rsidP="005D42B6">
      <w:pPr>
        <w:spacing w:after="80" w:line="240" w:lineRule="auto"/>
        <w:jc w:val="both"/>
        <w:rPr>
          <w:rFonts w:ascii="Times New Roman" w:eastAsia="Times New Roman" w:hAnsi="Times New Roman" w:cs="Times New Roman"/>
          <w:noProof/>
          <w:color w:val="000000"/>
          <w:sz w:val="24"/>
          <w:szCs w:val="24"/>
          <w:lang w:val="en-GB" w:eastAsia="en-IE"/>
        </w:rPr>
      </w:pPr>
      <w:r w:rsidRPr="5787C8F7">
        <w:rPr>
          <w:rFonts w:ascii="Times New Roman" w:eastAsia="Times New Roman" w:hAnsi="Times New Roman" w:cs="Times New Roman"/>
          <w:noProof/>
          <w:color w:val="000000" w:themeColor="text1"/>
          <w:sz w:val="24"/>
          <w:szCs w:val="24"/>
          <w:lang w:val="en-GB" w:eastAsia="en-IE"/>
        </w:rPr>
        <w:t xml:space="preserve">With the obligation to certify </w:t>
      </w:r>
      <w:r w:rsidR="0047712F" w:rsidRPr="5787C8F7">
        <w:rPr>
          <w:rFonts w:ascii="Times New Roman" w:eastAsia="Times New Roman" w:hAnsi="Times New Roman" w:cs="Times New Roman"/>
          <w:noProof/>
          <w:color w:val="000000" w:themeColor="text1"/>
          <w:sz w:val="24"/>
          <w:szCs w:val="24"/>
          <w:lang w:val="en-GB" w:eastAsia="en-IE"/>
        </w:rPr>
        <w:t xml:space="preserve">gas </w:t>
      </w:r>
      <w:r w:rsidR="008C7832" w:rsidRPr="5787C8F7">
        <w:rPr>
          <w:rFonts w:ascii="Times New Roman" w:eastAsia="Times New Roman" w:hAnsi="Times New Roman" w:cs="Times New Roman"/>
          <w:noProof/>
          <w:color w:val="000000" w:themeColor="text1"/>
          <w:sz w:val="24"/>
          <w:szCs w:val="24"/>
          <w:lang w:val="en-GB" w:eastAsia="en-IE"/>
        </w:rPr>
        <w:t>storage</w:t>
      </w:r>
      <w:r w:rsidRPr="5787C8F7">
        <w:rPr>
          <w:rFonts w:ascii="Times New Roman" w:eastAsia="Times New Roman" w:hAnsi="Times New Roman" w:cs="Times New Roman"/>
          <w:noProof/>
          <w:color w:val="000000" w:themeColor="text1"/>
          <w:sz w:val="24"/>
          <w:szCs w:val="24"/>
          <w:lang w:val="en-GB" w:eastAsia="en-IE"/>
        </w:rPr>
        <w:t xml:space="preserve">, the Storage Regulation aims at avoiding any detrimental influence of non-EU countries on the filling of storage sites. </w:t>
      </w:r>
      <w:r w:rsidR="008C7832" w:rsidRPr="5787C8F7">
        <w:rPr>
          <w:rFonts w:ascii="Times New Roman" w:eastAsia="Times New Roman" w:hAnsi="Times New Roman" w:cs="Times New Roman"/>
          <w:noProof/>
          <w:color w:val="000000" w:themeColor="text1"/>
          <w:sz w:val="24"/>
          <w:szCs w:val="24"/>
          <w:lang w:val="en-GB" w:eastAsia="en-IE"/>
        </w:rPr>
        <w:t xml:space="preserve">The certification process is well advanced for a substantial share of the storage operators and sites. </w:t>
      </w:r>
      <w:r w:rsidR="00F6555F" w:rsidRPr="5787C8F7">
        <w:rPr>
          <w:rFonts w:ascii="Times New Roman" w:eastAsia="Times New Roman" w:hAnsi="Times New Roman" w:cs="Times New Roman"/>
          <w:noProof/>
          <w:color w:val="000000" w:themeColor="text1"/>
          <w:sz w:val="24"/>
          <w:szCs w:val="24"/>
          <w:lang w:val="en-GB" w:eastAsia="en-IE"/>
        </w:rPr>
        <w:t xml:space="preserve">The Commission is </w:t>
      </w:r>
      <w:r w:rsidR="001233B8" w:rsidRPr="5787C8F7">
        <w:rPr>
          <w:rFonts w:ascii="Times New Roman" w:eastAsia="Times New Roman" w:hAnsi="Times New Roman" w:cs="Times New Roman"/>
          <w:noProof/>
          <w:color w:val="000000" w:themeColor="text1"/>
          <w:sz w:val="24"/>
          <w:szCs w:val="24"/>
          <w:lang w:val="en-GB" w:eastAsia="en-IE"/>
        </w:rPr>
        <w:t>i</w:t>
      </w:r>
      <w:r w:rsidR="00F6555F" w:rsidRPr="5787C8F7">
        <w:rPr>
          <w:rFonts w:ascii="Times New Roman" w:eastAsia="Times New Roman" w:hAnsi="Times New Roman" w:cs="Times New Roman"/>
          <w:noProof/>
          <w:color w:val="000000" w:themeColor="text1"/>
          <w:sz w:val="24"/>
          <w:szCs w:val="24"/>
          <w:lang w:val="en-GB" w:eastAsia="en-IE"/>
        </w:rPr>
        <w:t xml:space="preserve">n contact with the </w:t>
      </w:r>
      <w:r w:rsidRPr="5787C8F7">
        <w:rPr>
          <w:rFonts w:ascii="Times New Roman" w:eastAsia="Times New Roman" w:hAnsi="Times New Roman" w:cs="Times New Roman"/>
          <w:noProof/>
          <w:color w:val="000000" w:themeColor="text1"/>
          <w:sz w:val="24"/>
          <w:szCs w:val="24"/>
          <w:lang w:val="en-GB" w:eastAsia="en-IE"/>
        </w:rPr>
        <w:t xml:space="preserve">Member States </w:t>
      </w:r>
      <w:r w:rsidR="00F6555F" w:rsidRPr="5787C8F7">
        <w:rPr>
          <w:rFonts w:ascii="Times New Roman" w:eastAsia="Times New Roman" w:hAnsi="Times New Roman" w:cs="Times New Roman"/>
          <w:noProof/>
          <w:color w:val="000000" w:themeColor="text1"/>
          <w:sz w:val="24"/>
          <w:szCs w:val="24"/>
          <w:lang w:val="en-GB" w:eastAsia="en-IE"/>
        </w:rPr>
        <w:t xml:space="preserve">which </w:t>
      </w:r>
      <w:r w:rsidRPr="5787C8F7">
        <w:rPr>
          <w:rFonts w:ascii="Times New Roman" w:eastAsia="Times New Roman" w:hAnsi="Times New Roman" w:cs="Times New Roman"/>
          <w:noProof/>
          <w:color w:val="000000" w:themeColor="text1"/>
          <w:sz w:val="24"/>
          <w:szCs w:val="24"/>
          <w:lang w:val="en-GB" w:eastAsia="en-IE"/>
        </w:rPr>
        <w:t>still need to submit draft certification decisions</w:t>
      </w:r>
      <w:r w:rsidR="00F6555F" w:rsidRPr="5787C8F7">
        <w:rPr>
          <w:rFonts w:ascii="Times New Roman" w:eastAsia="Times New Roman" w:hAnsi="Times New Roman" w:cs="Times New Roman"/>
          <w:noProof/>
          <w:color w:val="000000" w:themeColor="text1"/>
          <w:sz w:val="24"/>
          <w:szCs w:val="24"/>
          <w:lang w:val="en-GB" w:eastAsia="en-IE"/>
        </w:rPr>
        <w:t xml:space="preserve">. </w:t>
      </w:r>
      <w:r w:rsidR="4E6B27A5" w:rsidRPr="5787C8F7">
        <w:rPr>
          <w:rFonts w:ascii="Times New Roman" w:eastAsia="Times New Roman" w:hAnsi="Times New Roman" w:cs="Times New Roman"/>
          <w:noProof/>
          <w:color w:val="000000" w:themeColor="text1"/>
          <w:sz w:val="24"/>
          <w:szCs w:val="24"/>
          <w:lang w:val="en-GB" w:eastAsia="en-IE"/>
        </w:rPr>
        <w:t xml:space="preserve">While </w:t>
      </w:r>
      <w:r w:rsidR="4BD1289F" w:rsidRPr="5787C8F7">
        <w:rPr>
          <w:rFonts w:ascii="Times New Roman" w:eastAsia="Times New Roman" w:hAnsi="Times New Roman" w:cs="Times New Roman"/>
          <w:noProof/>
          <w:color w:val="000000" w:themeColor="text1"/>
          <w:sz w:val="24"/>
          <w:szCs w:val="24"/>
          <w:lang w:val="en-GB" w:eastAsia="en-IE"/>
        </w:rPr>
        <w:t>a</w:t>
      </w:r>
      <w:r w:rsidR="000A26E6" w:rsidRPr="5787C8F7">
        <w:rPr>
          <w:rFonts w:ascii="Times New Roman" w:eastAsia="Times New Roman" w:hAnsi="Times New Roman" w:cs="Times New Roman"/>
          <w:noProof/>
          <w:color w:val="000000" w:themeColor="text1"/>
          <w:sz w:val="24"/>
          <w:szCs w:val="24"/>
          <w:lang w:val="en-GB" w:eastAsia="en-IE"/>
        </w:rPr>
        <w:t xml:space="preserve"> number of </w:t>
      </w:r>
      <w:r w:rsidR="00CB4E9F" w:rsidRPr="5787C8F7">
        <w:rPr>
          <w:rFonts w:ascii="Times New Roman" w:eastAsia="Times New Roman" w:hAnsi="Times New Roman" w:cs="Times New Roman"/>
          <w:noProof/>
          <w:color w:val="000000" w:themeColor="text1"/>
          <w:sz w:val="24"/>
          <w:szCs w:val="24"/>
          <w:lang w:val="en-GB" w:eastAsia="en-IE"/>
        </w:rPr>
        <w:t>certifications</w:t>
      </w:r>
      <w:r w:rsidR="000A26E6" w:rsidRPr="5787C8F7">
        <w:rPr>
          <w:rFonts w:ascii="Times New Roman" w:eastAsia="Times New Roman" w:hAnsi="Times New Roman" w:cs="Times New Roman"/>
          <w:noProof/>
          <w:color w:val="000000" w:themeColor="text1"/>
          <w:sz w:val="24"/>
          <w:szCs w:val="24"/>
          <w:lang w:val="en-GB" w:eastAsia="en-IE"/>
        </w:rPr>
        <w:t xml:space="preserve"> are still pending</w:t>
      </w:r>
      <w:r w:rsidR="004261D6" w:rsidRPr="5787C8F7">
        <w:rPr>
          <w:rFonts w:ascii="Times New Roman" w:eastAsia="Times New Roman" w:hAnsi="Times New Roman" w:cs="Times New Roman"/>
          <w:noProof/>
          <w:color w:val="000000" w:themeColor="text1"/>
          <w:sz w:val="24"/>
          <w:szCs w:val="24"/>
          <w:lang w:val="en-GB" w:eastAsia="en-IE"/>
        </w:rPr>
        <w:t xml:space="preserve">, </w:t>
      </w:r>
      <w:r w:rsidRPr="5787C8F7">
        <w:rPr>
          <w:rFonts w:ascii="Times New Roman" w:eastAsia="Times New Roman" w:hAnsi="Times New Roman" w:cs="Times New Roman"/>
          <w:noProof/>
          <w:color w:val="000000" w:themeColor="text1"/>
          <w:sz w:val="24"/>
          <w:szCs w:val="24"/>
          <w:lang w:val="en-GB" w:eastAsia="en-IE"/>
        </w:rPr>
        <w:t>there is</w:t>
      </w:r>
      <w:r w:rsidR="00F35CB0" w:rsidRPr="5787C8F7">
        <w:rPr>
          <w:rFonts w:ascii="Times New Roman" w:eastAsia="Times New Roman" w:hAnsi="Times New Roman" w:cs="Times New Roman"/>
          <w:noProof/>
          <w:color w:val="000000" w:themeColor="text1"/>
          <w:sz w:val="24"/>
          <w:szCs w:val="24"/>
          <w:lang w:val="en-GB" w:eastAsia="en-IE"/>
        </w:rPr>
        <w:t xml:space="preserve"> currently</w:t>
      </w:r>
      <w:r w:rsidRPr="5787C8F7">
        <w:rPr>
          <w:rFonts w:ascii="Times New Roman" w:eastAsia="Times New Roman" w:hAnsi="Times New Roman" w:cs="Times New Roman"/>
          <w:noProof/>
          <w:color w:val="000000" w:themeColor="text1"/>
          <w:sz w:val="24"/>
          <w:szCs w:val="24"/>
          <w:lang w:val="en-GB" w:eastAsia="en-IE"/>
        </w:rPr>
        <w:t xml:space="preserve"> no </w:t>
      </w:r>
      <w:r w:rsidRPr="00007173">
        <w:rPr>
          <w:rFonts w:ascii="Times New Roman" w:eastAsia="Times New Roman" w:hAnsi="Times New Roman" w:cs="Times New Roman"/>
          <w:noProof/>
          <w:color w:val="000000" w:themeColor="text1"/>
          <w:sz w:val="24"/>
          <w:szCs w:val="24"/>
          <w:lang w:val="en-GB" w:eastAsia="en-IE"/>
        </w:rPr>
        <w:t xml:space="preserve">available evidence that storage ownership or storage operators </w:t>
      </w:r>
      <w:r w:rsidR="00F6555F" w:rsidRPr="00007173">
        <w:rPr>
          <w:rFonts w:ascii="Times New Roman" w:eastAsia="Times New Roman" w:hAnsi="Times New Roman" w:cs="Times New Roman"/>
          <w:noProof/>
          <w:color w:val="000000" w:themeColor="text1"/>
          <w:sz w:val="24"/>
          <w:szCs w:val="24"/>
          <w:lang w:val="en-GB" w:eastAsia="en-IE"/>
        </w:rPr>
        <w:t xml:space="preserve">could </w:t>
      </w:r>
      <w:r w:rsidRPr="00007173">
        <w:rPr>
          <w:rFonts w:ascii="Times New Roman" w:eastAsia="Times New Roman" w:hAnsi="Times New Roman" w:cs="Times New Roman"/>
          <w:noProof/>
          <w:color w:val="000000" w:themeColor="text1"/>
          <w:sz w:val="24"/>
          <w:szCs w:val="24"/>
          <w:lang w:val="en-GB" w:eastAsia="en-IE"/>
        </w:rPr>
        <w:t xml:space="preserve">put the security of gas supply of the EU at </w:t>
      </w:r>
      <w:r w:rsidR="006D1B5D" w:rsidRPr="00007173">
        <w:rPr>
          <w:rFonts w:ascii="Times New Roman" w:eastAsia="Times New Roman" w:hAnsi="Times New Roman" w:cs="Times New Roman"/>
          <w:noProof/>
          <w:color w:val="000000" w:themeColor="text1"/>
          <w:sz w:val="24"/>
          <w:szCs w:val="24"/>
          <w:lang w:val="en-GB" w:eastAsia="en-IE"/>
        </w:rPr>
        <w:t xml:space="preserve">immediate </w:t>
      </w:r>
      <w:r w:rsidRPr="00007173">
        <w:rPr>
          <w:rFonts w:ascii="Times New Roman" w:eastAsia="Times New Roman" w:hAnsi="Times New Roman" w:cs="Times New Roman"/>
          <w:noProof/>
          <w:color w:val="000000" w:themeColor="text1"/>
          <w:sz w:val="24"/>
          <w:szCs w:val="24"/>
          <w:lang w:val="en-GB" w:eastAsia="en-IE"/>
        </w:rPr>
        <w:t>risk.</w:t>
      </w:r>
      <w:r w:rsidRPr="5787C8F7">
        <w:rPr>
          <w:rFonts w:ascii="Times New Roman" w:eastAsia="Times New Roman" w:hAnsi="Times New Roman" w:cs="Times New Roman"/>
          <w:noProof/>
          <w:color w:val="000000" w:themeColor="text1"/>
          <w:sz w:val="24"/>
          <w:szCs w:val="24"/>
          <w:lang w:val="en-GB" w:eastAsia="en-IE"/>
        </w:rPr>
        <w:t xml:space="preserve"> </w:t>
      </w:r>
    </w:p>
    <w:p w14:paraId="611E166C" w14:textId="216C1F14" w:rsidR="005D42B6" w:rsidRDefault="005D42B6" w:rsidP="005D42B6">
      <w:pPr>
        <w:spacing w:after="0" w:line="240" w:lineRule="auto"/>
        <w:jc w:val="both"/>
        <w:rPr>
          <w:rFonts w:ascii="Times New Roman" w:eastAsia="Times New Roman" w:hAnsi="Times New Roman" w:cs="Times New Roman"/>
          <w:noProof/>
          <w:color w:val="000000"/>
          <w:sz w:val="24"/>
          <w:szCs w:val="24"/>
          <w:lang w:val="en-GB" w:eastAsia="en-IE"/>
        </w:rPr>
      </w:pPr>
      <w:r w:rsidRPr="4EF885D2">
        <w:rPr>
          <w:rFonts w:ascii="Times New Roman" w:eastAsia="Times New Roman" w:hAnsi="Times New Roman" w:cs="Times New Roman"/>
          <w:noProof/>
          <w:color w:val="000000" w:themeColor="text1"/>
          <w:sz w:val="24"/>
          <w:szCs w:val="24"/>
          <w:lang w:val="en-GB" w:eastAsia="en-IE"/>
        </w:rPr>
        <w:t>It is widely acknowledged that storage levels have had a positive effect with respect to gas prices although it is difficult to assess precisely to which extent. The trajectories and targets set by the regulation therefore contributed to alleviate the pressure on gas prices by setting minimum storage levels that were largely surpassed in 2023. Gas market volatility and gas prices were significantly lower in 2023 compared to 2022.</w:t>
      </w:r>
      <w:r w:rsidR="00727C0C">
        <w:rPr>
          <w:rFonts w:ascii="Times New Roman" w:eastAsia="Times New Roman" w:hAnsi="Times New Roman" w:cs="Times New Roman"/>
          <w:noProof/>
          <w:color w:val="000000" w:themeColor="text1"/>
          <w:sz w:val="24"/>
          <w:szCs w:val="24"/>
          <w:lang w:val="en-GB" w:eastAsia="en-IE"/>
        </w:rPr>
        <w:t xml:space="preserve"> </w:t>
      </w:r>
      <w:r w:rsidRPr="7A542D98">
        <w:rPr>
          <w:rFonts w:ascii="Times New Roman" w:eastAsia="Times New Roman" w:hAnsi="Times New Roman" w:cs="Times New Roman"/>
          <w:noProof/>
          <w:color w:val="000000" w:themeColor="text1"/>
          <w:sz w:val="24"/>
          <w:szCs w:val="24"/>
          <w:lang w:val="en-GB" w:eastAsia="en-IE"/>
        </w:rPr>
        <w:t xml:space="preserve">Furthermore, it is essential to consider the effects of the </w:t>
      </w:r>
      <w:r w:rsidR="008C7832" w:rsidRPr="7A542D98">
        <w:rPr>
          <w:rFonts w:ascii="Times New Roman" w:eastAsia="Times New Roman" w:hAnsi="Times New Roman" w:cs="Times New Roman"/>
          <w:noProof/>
          <w:color w:val="000000" w:themeColor="text1"/>
          <w:sz w:val="24"/>
          <w:szCs w:val="24"/>
          <w:lang w:val="en-GB" w:eastAsia="en-IE"/>
        </w:rPr>
        <w:t xml:space="preserve">storage </w:t>
      </w:r>
      <w:r w:rsidRPr="7A542D98">
        <w:rPr>
          <w:rFonts w:ascii="Times New Roman" w:eastAsia="Times New Roman" w:hAnsi="Times New Roman" w:cs="Times New Roman"/>
          <w:noProof/>
          <w:color w:val="000000" w:themeColor="text1"/>
          <w:sz w:val="24"/>
          <w:szCs w:val="24"/>
          <w:lang w:val="en-GB" w:eastAsia="en-IE"/>
        </w:rPr>
        <w:t xml:space="preserve">together with the </w:t>
      </w:r>
      <w:r w:rsidR="008C7832" w:rsidRPr="7A542D98">
        <w:rPr>
          <w:rFonts w:ascii="Times New Roman" w:eastAsia="Times New Roman" w:hAnsi="Times New Roman" w:cs="Times New Roman"/>
          <w:noProof/>
          <w:color w:val="000000" w:themeColor="text1"/>
          <w:sz w:val="24"/>
          <w:szCs w:val="24"/>
          <w:lang w:val="en-GB" w:eastAsia="en-IE"/>
        </w:rPr>
        <w:t xml:space="preserve">reduction of </w:t>
      </w:r>
      <w:r w:rsidR="009C106F" w:rsidRPr="7A542D98">
        <w:rPr>
          <w:rFonts w:ascii="Times New Roman" w:eastAsia="Times New Roman" w:hAnsi="Times New Roman" w:cs="Times New Roman"/>
          <w:noProof/>
          <w:color w:val="000000" w:themeColor="text1"/>
          <w:sz w:val="24"/>
          <w:szCs w:val="24"/>
          <w:lang w:val="en-GB" w:eastAsia="en-IE"/>
        </w:rPr>
        <w:t>demand.</w:t>
      </w:r>
      <w:r w:rsidRPr="7A542D98">
        <w:rPr>
          <w:rFonts w:ascii="Times New Roman" w:eastAsia="Times New Roman" w:hAnsi="Times New Roman" w:cs="Times New Roman"/>
          <w:noProof/>
          <w:color w:val="000000" w:themeColor="text1"/>
          <w:sz w:val="24"/>
          <w:szCs w:val="24"/>
          <w:lang w:val="en-GB" w:eastAsia="en-IE"/>
        </w:rPr>
        <w:t xml:space="preserve"> </w:t>
      </w:r>
      <w:r w:rsidR="00A21B06" w:rsidRPr="7A542D98">
        <w:rPr>
          <w:rFonts w:ascii="Times New Roman" w:eastAsia="Times New Roman" w:hAnsi="Times New Roman" w:cs="Times New Roman"/>
          <w:noProof/>
          <w:color w:val="000000" w:themeColor="text1"/>
          <w:sz w:val="24"/>
          <w:szCs w:val="24"/>
          <w:lang w:val="en-GB" w:eastAsia="en-IE"/>
        </w:rPr>
        <w:t>T</w:t>
      </w:r>
      <w:r w:rsidR="00D779CD" w:rsidRPr="7A542D98">
        <w:rPr>
          <w:rFonts w:ascii="Times New Roman" w:eastAsia="Times New Roman" w:hAnsi="Times New Roman" w:cs="Times New Roman"/>
          <w:noProof/>
          <w:color w:val="000000" w:themeColor="text1"/>
          <w:sz w:val="24"/>
          <w:szCs w:val="24"/>
          <w:lang w:val="en-GB" w:eastAsia="en-IE"/>
        </w:rPr>
        <w:t>he reduction of d</w:t>
      </w:r>
      <w:r w:rsidR="00D86E54" w:rsidRPr="7A542D98">
        <w:rPr>
          <w:rFonts w:ascii="Times New Roman" w:eastAsia="Times New Roman" w:hAnsi="Times New Roman" w:cs="Times New Roman"/>
          <w:noProof/>
          <w:color w:val="000000" w:themeColor="text1"/>
          <w:sz w:val="24"/>
          <w:szCs w:val="24"/>
          <w:lang w:val="en-GB" w:eastAsia="en-IE"/>
        </w:rPr>
        <w:t xml:space="preserve">emand </w:t>
      </w:r>
      <w:r w:rsidR="11C20F50" w:rsidRPr="7A542D98">
        <w:rPr>
          <w:rFonts w:ascii="Times New Roman" w:eastAsia="Times New Roman" w:hAnsi="Times New Roman" w:cs="Times New Roman"/>
          <w:noProof/>
          <w:color w:val="000000" w:themeColor="text1"/>
          <w:sz w:val="24"/>
          <w:szCs w:val="24"/>
          <w:lang w:val="en-GB" w:eastAsia="en-IE"/>
        </w:rPr>
        <w:t>will continue to be a crucial factor to achieve a sufficient</w:t>
      </w:r>
      <w:r w:rsidR="00D86E54" w:rsidRPr="7A542D98">
        <w:rPr>
          <w:rFonts w:ascii="Times New Roman" w:eastAsia="Times New Roman" w:hAnsi="Times New Roman" w:cs="Times New Roman"/>
          <w:noProof/>
          <w:color w:val="000000" w:themeColor="text1"/>
          <w:sz w:val="24"/>
          <w:szCs w:val="24"/>
          <w:lang w:val="en-GB" w:eastAsia="en-IE"/>
        </w:rPr>
        <w:t xml:space="preserve"> level of </w:t>
      </w:r>
      <w:r w:rsidR="003E3711" w:rsidRPr="7A542D98">
        <w:rPr>
          <w:rFonts w:ascii="Times New Roman" w:eastAsia="Times New Roman" w:hAnsi="Times New Roman" w:cs="Times New Roman"/>
          <w:noProof/>
          <w:color w:val="000000" w:themeColor="text1"/>
          <w:sz w:val="24"/>
          <w:szCs w:val="24"/>
          <w:lang w:val="en-GB" w:eastAsia="en-IE"/>
        </w:rPr>
        <w:t xml:space="preserve">storage </w:t>
      </w:r>
      <w:r w:rsidR="00D86E54" w:rsidRPr="7A542D98">
        <w:rPr>
          <w:rFonts w:ascii="Times New Roman" w:eastAsia="Times New Roman" w:hAnsi="Times New Roman" w:cs="Times New Roman"/>
          <w:noProof/>
          <w:color w:val="000000" w:themeColor="text1"/>
          <w:sz w:val="24"/>
          <w:szCs w:val="24"/>
          <w:lang w:val="en-GB" w:eastAsia="en-IE"/>
        </w:rPr>
        <w:t>filling</w:t>
      </w:r>
      <w:r w:rsidR="00A201F0" w:rsidRPr="7A542D98">
        <w:rPr>
          <w:rFonts w:ascii="Times New Roman" w:eastAsia="Times New Roman" w:hAnsi="Times New Roman" w:cs="Times New Roman"/>
          <w:noProof/>
          <w:color w:val="000000" w:themeColor="text1"/>
          <w:sz w:val="24"/>
          <w:szCs w:val="24"/>
          <w:lang w:val="en-GB" w:eastAsia="en-IE"/>
        </w:rPr>
        <w:t>,</w:t>
      </w:r>
      <w:r w:rsidR="00A201F0" w:rsidRPr="00A201F0">
        <w:rPr>
          <w:noProof/>
        </w:rPr>
        <w:t xml:space="preserve"> </w:t>
      </w:r>
      <w:r w:rsidR="00A201F0" w:rsidRPr="7A542D98">
        <w:rPr>
          <w:rFonts w:ascii="Times New Roman" w:eastAsia="Times New Roman" w:hAnsi="Times New Roman" w:cs="Times New Roman"/>
          <w:noProof/>
          <w:color w:val="000000" w:themeColor="text1"/>
          <w:sz w:val="24"/>
          <w:szCs w:val="24"/>
          <w:lang w:val="en-GB" w:eastAsia="en-IE"/>
        </w:rPr>
        <w:t>which is part of the same security of supply architecture as demand-side measures</w:t>
      </w:r>
      <w:r w:rsidR="00D86E54" w:rsidRPr="7A542D98">
        <w:rPr>
          <w:rFonts w:ascii="Times New Roman" w:eastAsia="Times New Roman" w:hAnsi="Times New Roman" w:cs="Times New Roman"/>
          <w:noProof/>
          <w:color w:val="000000" w:themeColor="text1"/>
          <w:sz w:val="24"/>
          <w:szCs w:val="24"/>
          <w:lang w:val="en-GB" w:eastAsia="en-IE"/>
        </w:rPr>
        <w:t xml:space="preserve">. </w:t>
      </w:r>
      <w:bookmarkStart w:id="9" w:name="_Ref154046060"/>
      <w:bookmarkStart w:id="10" w:name="_Ref154046055"/>
    </w:p>
    <w:p w14:paraId="4004655E" w14:textId="77777777" w:rsidR="00727C0C" w:rsidRDefault="00727C0C">
      <w:pPr>
        <w:rPr>
          <w:rFonts w:ascii="Times New Roman" w:eastAsia="Times New Roman" w:hAnsi="Times New Roman" w:cs="Times New Roman"/>
          <w:i/>
          <w:noProof/>
          <w:sz w:val="24"/>
          <w:lang w:val="en-GB" w:eastAsia="en-IE"/>
        </w:rPr>
      </w:pPr>
      <w:r>
        <w:rPr>
          <w:rFonts w:ascii="Times New Roman" w:eastAsia="Times New Roman" w:hAnsi="Times New Roman" w:cs="Times New Roman"/>
          <w:i/>
          <w:noProof/>
          <w:sz w:val="24"/>
          <w:lang w:val="en-GB" w:eastAsia="en-IE"/>
        </w:rPr>
        <w:br w:type="page"/>
      </w:r>
    </w:p>
    <w:p w14:paraId="43649525" w14:textId="60854491" w:rsidR="005D42B6" w:rsidRPr="009E0BE4" w:rsidRDefault="000D7182" w:rsidP="009E0BE4">
      <w:pPr>
        <w:spacing w:before="160" w:after="240" w:line="240" w:lineRule="auto"/>
        <w:jc w:val="center"/>
        <w:rPr>
          <w:rFonts w:ascii="Times New Roman" w:eastAsia="Times New Roman" w:hAnsi="Times New Roman" w:cs="Times New Roman"/>
          <w:b/>
          <w:bCs/>
          <w:iCs/>
          <w:noProof/>
          <w:sz w:val="24"/>
          <w:szCs w:val="24"/>
          <w:lang w:val="en-GB" w:eastAsia="en-IE"/>
        </w:rPr>
      </w:pPr>
      <w:r>
        <w:rPr>
          <w:rFonts w:ascii="Times New Roman" w:eastAsia="Times New Roman" w:hAnsi="Times New Roman" w:cs="Times New Roman"/>
          <w:b/>
          <w:bCs/>
          <w:iCs/>
          <w:noProof/>
          <w:sz w:val="24"/>
          <w:lang w:val="en-GB" w:eastAsia="en-IE"/>
        </w:rPr>
        <w:t>ANNEX</w:t>
      </w:r>
      <w:bookmarkEnd w:id="9"/>
      <w:r w:rsidR="005D42B6" w:rsidRPr="009E0BE4">
        <w:rPr>
          <w:rFonts w:ascii="Times New Roman" w:eastAsia="Times New Roman" w:hAnsi="Times New Roman" w:cs="Times New Roman"/>
          <w:b/>
          <w:bCs/>
          <w:iCs/>
          <w:noProof/>
          <w:sz w:val="24"/>
          <w:lang w:val="en-GB" w:eastAsia="en-IE"/>
        </w:rPr>
        <w:t xml:space="preserve"> - </w:t>
      </w:r>
      <w:r w:rsidR="005D42B6" w:rsidRPr="009E0BE4">
        <w:rPr>
          <w:rFonts w:ascii="Times New Roman" w:eastAsia="Times New Roman" w:hAnsi="Times New Roman" w:cs="Times New Roman"/>
          <w:b/>
          <w:bCs/>
          <w:iCs/>
          <w:noProof/>
          <w:sz w:val="24"/>
          <w:szCs w:val="24"/>
          <w:lang w:val="en-GB" w:eastAsia="en-IE"/>
        </w:rPr>
        <w:t>Detailed table of measures implemented per Member State with UGS</w:t>
      </w:r>
      <w:bookmarkEnd w:id="10"/>
    </w:p>
    <w:tbl>
      <w:tblPr>
        <w:tblW w:w="9578" w:type="dxa"/>
        <w:tblInd w:w="-26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44"/>
        <w:gridCol w:w="567"/>
        <w:gridCol w:w="6767"/>
      </w:tblGrid>
      <w:tr w:rsidR="00407097" w:rsidRPr="005D42B6" w14:paraId="7990B716" w14:textId="77777777" w:rsidTr="004A32F1">
        <w:tc>
          <w:tcPr>
            <w:tcW w:w="224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4BA97E5"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Measure  (as suggested in 6b of the Regulation)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561E272"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MS</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738D003"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Description</w:t>
            </w:r>
            <w:r w:rsidRPr="005D42B6">
              <w:rPr>
                <w:rFonts w:ascii="Times New Roman" w:eastAsia="Times New Roman" w:hAnsi="Times New Roman" w:cs="Times New Roman"/>
                <w:noProof/>
                <w:sz w:val="20"/>
                <w:szCs w:val="20"/>
                <w:lang w:eastAsia="en-IE"/>
              </w:rPr>
              <w:t xml:space="preserve"> </w:t>
            </w:r>
          </w:p>
        </w:tc>
      </w:tr>
      <w:tr w:rsidR="008051F6" w:rsidRPr="005D42B6" w14:paraId="6839FF8C" w14:textId="77777777" w:rsidTr="005D42B6">
        <w:tc>
          <w:tcPr>
            <w:tcW w:w="2244" w:type="dxa"/>
            <w:tcBorders>
              <w:top w:val="single" w:sz="8" w:space="0" w:color="auto"/>
              <w:left w:val="single" w:sz="8" w:space="0" w:color="auto"/>
              <w:bottom w:val="single" w:sz="8" w:space="0" w:color="000000"/>
              <w:right w:val="single" w:sz="8" w:space="0" w:color="auto"/>
            </w:tcBorders>
            <w:tcMar>
              <w:top w:w="15" w:type="dxa"/>
              <w:left w:w="15" w:type="dxa"/>
              <w:bottom w:w="15" w:type="dxa"/>
              <w:right w:w="15" w:type="dxa"/>
            </w:tcMar>
            <w:vAlign w:val="center"/>
          </w:tcPr>
          <w:p w14:paraId="3FCCC971"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Minimum volume in gas storage</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E58D708"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AT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13E25B9"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Gas suppliers of protected customers required to fulfil the Supply Standard (Art. 6 of SoS Regulation) </w:t>
            </w:r>
          </w:p>
        </w:tc>
      </w:tr>
      <w:tr w:rsidR="008051F6" w:rsidRPr="005D42B6" w14:paraId="291FF65B" w14:textId="77777777" w:rsidTr="004A32F1">
        <w:tc>
          <w:tcPr>
            <w:tcW w:w="2244" w:type="dxa"/>
            <w:tcBorders>
              <w:left w:val="single" w:sz="0" w:space="0" w:color="auto"/>
              <w:right w:val="single" w:sz="0" w:space="0" w:color="auto"/>
            </w:tcBorders>
            <w:vAlign w:val="center"/>
          </w:tcPr>
          <w:p w14:paraId="140D99CB"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68D1C4DB"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BG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279E3AB"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Market participants with clients with irregular consumption obligated to maintain a strategic reserve related the security of supply and seasonal fluctuation</w:t>
            </w:r>
          </w:p>
        </w:tc>
      </w:tr>
      <w:tr w:rsidR="008051F6" w:rsidRPr="005D42B6" w14:paraId="1457941B" w14:textId="77777777" w:rsidTr="004A32F1">
        <w:tc>
          <w:tcPr>
            <w:tcW w:w="2244" w:type="dxa"/>
            <w:tcBorders>
              <w:left w:val="single" w:sz="0" w:space="0" w:color="auto"/>
              <w:right w:val="single" w:sz="0" w:space="0" w:color="auto"/>
            </w:tcBorders>
            <w:vAlign w:val="center"/>
          </w:tcPr>
          <w:p w14:paraId="4A3AD5BA"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4E262426"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CZ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845AF01"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Gas traders directly supplying gas obligated to maintain gas stocks corresponding to 30 days of exceptionally high gas demand</w:t>
            </w:r>
          </w:p>
        </w:tc>
      </w:tr>
      <w:tr w:rsidR="008051F6" w:rsidRPr="005D42B6" w14:paraId="281A6087" w14:textId="77777777" w:rsidTr="004A32F1">
        <w:tc>
          <w:tcPr>
            <w:tcW w:w="2244" w:type="dxa"/>
            <w:tcBorders>
              <w:left w:val="single" w:sz="0" w:space="0" w:color="auto"/>
              <w:right w:val="single" w:sz="0" w:space="0" w:color="auto"/>
            </w:tcBorders>
            <w:vAlign w:val="center"/>
          </w:tcPr>
          <w:p w14:paraId="7ED98202"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795D7B63"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ES</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2537E21"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Suppliers obligated to maintain gas stocks corresponding to 27.5 days of their consumption in previous year</w:t>
            </w:r>
          </w:p>
        </w:tc>
      </w:tr>
      <w:tr w:rsidR="008051F6" w:rsidRPr="005D42B6" w14:paraId="09C81821" w14:textId="77777777" w:rsidTr="004A32F1">
        <w:tc>
          <w:tcPr>
            <w:tcW w:w="2244" w:type="dxa"/>
            <w:tcBorders>
              <w:left w:val="single" w:sz="0" w:space="0" w:color="auto"/>
              <w:right w:val="single" w:sz="0" w:space="0" w:color="auto"/>
            </w:tcBorders>
            <w:vAlign w:val="center"/>
          </w:tcPr>
          <w:p w14:paraId="16F5D8C9"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708A6445"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HU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8358F53"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Universal gas suppliers obligated to maintain security stocks based on the winter peak consumption of the last 120 months</w:t>
            </w:r>
          </w:p>
        </w:tc>
      </w:tr>
      <w:tr w:rsidR="008051F6" w:rsidRPr="005D42B6" w14:paraId="5EFA6284" w14:textId="77777777" w:rsidTr="004A32F1">
        <w:tc>
          <w:tcPr>
            <w:tcW w:w="2244" w:type="dxa"/>
            <w:tcBorders>
              <w:left w:val="single" w:sz="0" w:space="0" w:color="auto"/>
              <w:right w:val="single" w:sz="0" w:space="0" w:color="auto"/>
            </w:tcBorders>
            <w:vAlign w:val="center"/>
          </w:tcPr>
          <w:p w14:paraId="5C526D92"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61427418"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PT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D6CB8CD"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Market participants obligated to maintain security and additional reserves</w:t>
            </w:r>
          </w:p>
        </w:tc>
      </w:tr>
      <w:tr w:rsidR="008051F6" w:rsidRPr="005D42B6" w14:paraId="2C33CBA3" w14:textId="77777777" w:rsidTr="004A32F1">
        <w:tc>
          <w:tcPr>
            <w:tcW w:w="2244" w:type="dxa"/>
            <w:tcBorders>
              <w:left w:val="single" w:sz="0" w:space="0" w:color="auto"/>
              <w:right w:val="single" w:sz="0" w:space="0" w:color="auto"/>
            </w:tcBorders>
            <w:vAlign w:val="center"/>
          </w:tcPr>
          <w:p w14:paraId="46A25E2F"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5E04110E"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RO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D0F3A13" w14:textId="77777777" w:rsidR="005D42B6" w:rsidRPr="005D42B6" w:rsidRDefault="005D42B6" w:rsidP="005D42B6">
            <w:pPr>
              <w:spacing w:after="0" w:line="240" w:lineRule="auto"/>
              <w:ind w:left="130" w:right="87"/>
              <w:jc w:val="both"/>
              <w:rPr>
                <w:rFonts w:ascii="Times New Roman" w:eastAsia="Calibri" w:hAnsi="Times New Roman" w:cs="Times New Roman"/>
                <w:noProof/>
                <w:sz w:val="20"/>
                <w:szCs w:val="20"/>
                <w:lang w:val="en-GB" w:eastAsia="en-IE"/>
              </w:rPr>
            </w:pPr>
            <w:r w:rsidRPr="005D42B6">
              <w:rPr>
                <w:rFonts w:ascii="Times New Roman" w:eastAsia="Calibri" w:hAnsi="Times New Roman" w:cs="Times New Roman"/>
                <w:noProof/>
                <w:sz w:val="20"/>
                <w:szCs w:val="20"/>
                <w:lang w:val="en-GB" w:eastAsia="en-IE"/>
              </w:rPr>
              <w:t xml:space="preserve"> Gas suppliers and heat producers obligated to establish and maintain gas stocks until the end of October each year</w:t>
            </w:r>
          </w:p>
        </w:tc>
      </w:tr>
      <w:tr w:rsidR="008051F6" w:rsidRPr="005D42B6" w14:paraId="334DC5C4" w14:textId="77777777" w:rsidTr="005D42B6">
        <w:tc>
          <w:tcPr>
            <w:tcW w:w="2244" w:type="dxa"/>
            <w:tcBorders>
              <w:left w:val="single" w:sz="0" w:space="0" w:color="auto"/>
              <w:bottom w:val="single" w:sz="0" w:space="0" w:color="000000"/>
              <w:right w:val="single" w:sz="0" w:space="0" w:color="auto"/>
            </w:tcBorders>
            <w:vAlign w:val="center"/>
          </w:tcPr>
          <w:p w14:paraId="5A17F2CC"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63CA59FE"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SK </w:t>
            </w:r>
          </w:p>
        </w:tc>
        <w:tc>
          <w:tcPr>
            <w:tcW w:w="6767" w:type="dxa"/>
            <w:tcBorders>
              <w:top w:val="single" w:sz="8" w:space="0" w:color="auto"/>
              <w:left w:val="single" w:sz="8" w:space="0" w:color="auto"/>
              <w:bottom w:val="single" w:sz="8" w:space="0" w:color="000000"/>
              <w:right w:val="single" w:sz="8" w:space="0" w:color="000000"/>
            </w:tcBorders>
            <w:tcMar>
              <w:top w:w="15" w:type="dxa"/>
              <w:left w:w="15" w:type="dxa"/>
              <w:bottom w:w="15" w:type="dxa"/>
              <w:right w:w="15" w:type="dxa"/>
            </w:tcMar>
            <w:vAlign w:val="center"/>
          </w:tcPr>
          <w:p w14:paraId="64EB55F7" w14:textId="77777777" w:rsidR="005D42B6" w:rsidRPr="005D42B6" w:rsidRDefault="005D42B6" w:rsidP="005D42B6">
            <w:pPr>
              <w:spacing w:after="0" w:line="240" w:lineRule="auto"/>
              <w:ind w:left="130" w:right="87"/>
              <w:jc w:val="both"/>
              <w:rPr>
                <w:rFonts w:ascii="Times New Roman" w:eastAsia="Calibri" w:hAnsi="Times New Roman" w:cs="Times New Roman"/>
                <w:noProof/>
                <w:sz w:val="20"/>
                <w:szCs w:val="20"/>
                <w:lang w:val="en-GB" w:eastAsia="en-IE"/>
              </w:rPr>
            </w:pPr>
            <w:r w:rsidRPr="005D42B6">
              <w:rPr>
                <w:rFonts w:ascii="Times New Roman" w:eastAsia="Calibri" w:hAnsi="Times New Roman" w:cs="Times New Roman"/>
                <w:noProof/>
                <w:sz w:val="20"/>
                <w:szCs w:val="20"/>
                <w:lang w:val="en-GB" w:eastAsia="en-IE"/>
              </w:rPr>
              <w:t xml:space="preserve"> Secure gas volumes to meet the supply standard. The Ministry decides whether these volumes must be stored or contractually secured</w:t>
            </w:r>
          </w:p>
        </w:tc>
      </w:tr>
      <w:tr w:rsidR="008051F6" w:rsidRPr="005D42B6" w14:paraId="120A6552" w14:textId="77777777" w:rsidTr="005D42B6">
        <w:tc>
          <w:tcPr>
            <w:tcW w:w="224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49A8AC4C"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2.Tender capacities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6E6AD02"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BE </w:t>
            </w:r>
          </w:p>
        </w:tc>
        <w:tc>
          <w:tcPr>
            <w:tcW w:w="6767" w:type="dxa"/>
            <w:tcBorders>
              <w:top w:val="single" w:sz="8" w:space="0" w:color="000000"/>
              <w:left w:val="single" w:sz="8" w:space="0" w:color="auto"/>
              <w:bottom w:val="single" w:sz="8" w:space="0" w:color="auto"/>
              <w:right w:val="single" w:sz="8" w:space="0" w:color="auto"/>
            </w:tcBorders>
            <w:tcMar>
              <w:top w:w="15" w:type="dxa"/>
              <w:left w:w="15" w:type="dxa"/>
              <w:bottom w:w="15" w:type="dxa"/>
              <w:right w:w="15" w:type="dxa"/>
            </w:tcMar>
            <w:vAlign w:val="center"/>
          </w:tcPr>
          <w:p w14:paraId="3A8817EB"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S</w:t>
            </w:r>
            <w:r w:rsidRPr="005D42B6">
              <w:rPr>
                <w:rFonts w:ascii="Times New Roman" w:eastAsia="Times New Roman" w:hAnsi="Times New Roman" w:cs="Times New Roman"/>
                <w:noProof/>
                <w:sz w:val="20"/>
                <w:szCs w:val="20"/>
                <w:lang w:val="en-GB" w:eastAsia="en-IE"/>
              </w:rPr>
              <w:t>SOs</w:t>
            </w:r>
            <w:r w:rsidRPr="005D42B6">
              <w:rPr>
                <w:rFonts w:ascii="Times New Roman" w:eastAsia="Times New Roman" w:hAnsi="Times New Roman" w:cs="Times New Roman"/>
                <w:noProof/>
                <w:sz w:val="20"/>
                <w:szCs w:val="20"/>
                <w:lang w:eastAsia="en-IE"/>
              </w:rPr>
              <w:t xml:space="preserve"> to tender capacities to market participants via auctions </w:t>
            </w:r>
          </w:p>
        </w:tc>
      </w:tr>
      <w:tr w:rsidR="008051F6" w:rsidRPr="005D42B6" w14:paraId="5C52FAD6" w14:textId="77777777" w:rsidTr="005D42B6">
        <w:trPr>
          <w:trHeight w:val="368"/>
        </w:trPr>
        <w:tc>
          <w:tcPr>
            <w:tcW w:w="224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33DDB130"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AE35354"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DK</w:t>
            </w:r>
          </w:p>
        </w:tc>
        <w:tc>
          <w:tcPr>
            <w:tcW w:w="6767" w:type="dxa"/>
            <w:tcBorders>
              <w:top w:val="single" w:sz="8" w:space="0" w:color="000000"/>
              <w:left w:val="single" w:sz="8" w:space="0" w:color="auto"/>
              <w:bottom w:val="single" w:sz="8" w:space="0" w:color="auto"/>
              <w:right w:val="single" w:sz="8" w:space="0" w:color="auto"/>
            </w:tcBorders>
            <w:tcMar>
              <w:top w:w="15" w:type="dxa"/>
              <w:left w:w="15" w:type="dxa"/>
              <w:bottom w:w="15" w:type="dxa"/>
              <w:right w:w="15" w:type="dxa"/>
            </w:tcMar>
            <w:vAlign w:val="center"/>
          </w:tcPr>
          <w:p w14:paraId="5E00B600"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Tender capacities via auctions</w:t>
            </w:r>
            <w:r w:rsidRPr="005D42B6">
              <w:rPr>
                <w:rFonts w:ascii="Times New Roman" w:eastAsia="Times New Roman" w:hAnsi="Times New Roman" w:cs="Times New Roman"/>
                <w:noProof/>
                <w:sz w:val="20"/>
                <w:szCs w:val="20"/>
                <w:vertAlign w:val="superscript"/>
                <w:lang w:val="en-GB" w:eastAsia="en-IE"/>
              </w:rPr>
              <w:t>*</w:t>
            </w:r>
          </w:p>
        </w:tc>
      </w:tr>
      <w:tr w:rsidR="008051F6" w:rsidRPr="005D42B6" w14:paraId="794CACED" w14:textId="77777777" w:rsidTr="004A32F1">
        <w:tc>
          <w:tcPr>
            <w:tcW w:w="2244" w:type="dxa"/>
            <w:tcBorders>
              <w:left w:val="single" w:sz="0" w:space="0" w:color="auto"/>
              <w:right w:val="single" w:sz="0" w:space="0" w:color="auto"/>
            </w:tcBorders>
            <w:vAlign w:val="center"/>
          </w:tcPr>
          <w:p w14:paraId="766DBF9A"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6B5C6B4E"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ES</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38D92FC"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Capacity obligation directly assigned, and the remaining is auctioned</w:t>
            </w:r>
          </w:p>
        </w:tc>
      </w:tr>
      <w:tr w:rsidR="008051F6" w:rsidRPr="005D42B6" w14:paraId="4FA00CD4" w14:textId="77777777" w:rsidTr="004A32F1">
        <w:tc>
          <w:tcPr>
            <w:tcW w:w="2244" w:type="dxa"/>
            <w:tcBorders>
              <w:left w:val="single" w:sz="0" w:space="0" w:color="auto"/>
              <w:right w:val="single" w:sz="0" w:space="0" w:color="auto"/>
            </w:tcBorders>
            <w:vAlign w:val="center"/>
          </w:tcPr>
          <w:p w14:paraId="0D930912"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5CCFAC83"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FR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61A078A"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Holders of storage have the obligation to store 85% of the booked capacity by 1 November each year </w:t>
            </w:r>
          </w:p>
        </w:tc>
      </w:tr>
      <w:tr w:rsidR="008051F6" w:rsidRPr="005D42B6" w14:paraId="1DC0FEBA" w14:textId="77777777" w:rsidTr="004A32F1">
        <w:tc>
          <w:tcPr>
            <w:tcW w:w="2244" w:type="dxa"/>
            <w:tcBorders>
              <w:left w:val="single" w:sz="0" w:space="0" w:color="auto"/>
              <w:right w:val="single" w:sz="0" w:space="0" w:color="auto"/>
            </w:tcBorders>
            <w:vAlign w:val="center"/>
          </w:tcPr>
          <w:p w14:paraId="4A18F6BC"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3ABE5C58"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IT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3E971D6"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 xml:space="preserve"> Increased number of auctions for monthly storage capacity products.</w:t>
            </w:r>
          </w:p>
        </w:tc>
      </w:tr>
      <w:tr w:rsidR="008051F6" w:rsidRPr="005D42B6" w14:paraId="03882F9B" w14:textId="77777777" w:rsidTr="004A32F1">
        <w:tc>
          <w:tcPr>
            <w:tcW w:w="2244" w:type="dxa"/>
            <w:tcBorders>
              <w:left w:val="single" w:sz="0" w:space="0" w:color="auto"/>
              <w:bottom w:val="single" w:sz="0" w:space="0" w:color="auto"/>
              <w:right w:val="single" w:sz="0" w:space="0" w:color="auto"/>
            </w:tcBorders>
            <w:vAlign w:val="center"/>
          </w:tcPr>
          <w:p w14:paraId="0FF8F333"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5C96A5E5"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PT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A672F24"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  Market participants to book capacity exclusively for the security and additional reserves</w:t>
            </w:r>
          </w:p>
        </w:tc>
      </w:tr>
      <w:tr w:rsidR="008051F6" w:rsidRPr="005D42B6" w14:paraId="3AB36D8E" w14:textId="77777777" w:rsidTr="004A32F1">
        <w:tc>
          <w:tcPr>
            <w:tcW w:w="224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1A96F147"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3.1. Balancing stock managed by TSO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BB2EB77"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IT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9FFF054"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color w:val="FF0000"/>
                <w:sz w:val="20"/>
                <w:szCs w:val="20"/>
                <w:lang w:val="en-GB" w:eastAsia="en-IE"/>
              </w:rPr>
            </w:pPr>
            <w:r w:rsidRPr="005D42B6">
              <w:rPr>
                <w:rFonts w:ascii="Times New Roman" w:eastAsia="Times New Roman" w:hAnsi="Times New Roman" w:cs="Times New Roman"/>
                <w:noProof/>
                <w:sz w:val="20"/>
                <w:szCs w:val="20"/>
                <w:lang w:eastAsia="en-IE"/>
              </w:rPr>
              <w:t xml:space="preserve">  Procurement of gas and injection for operation of transmission and storage</w:t>
            </w:r>
          </w:p>
        </w:tc>
      </w:tr>
      <w:tr w:rsidR="008051F6" w:rsidRPr="005D42B6" w14:paraId="056471D1" w14:textId="77777777" w:rsidTr="005D42B6">
        <w:trPr>
          <w:trHeight w:val="572"/>
        </w:trPr>
        <w:tc>
          <w:tcPr>
            <w:tcW w:w="2244" w:type="dxa"/>
            <w:tcBorders>
              <w:top w:val="single" w:sz="8" w:space="0" w:color="auto"/>
              <w:left w:val="single" w:sz="8" w:space="0" w:color="000000"/>
              <w:bottom w:val="single" w:sz="8" w:space="0" w:color="000000"/>
              <w:right w:val="single" w:sz="8" w:space="0" w:color="000000"/>
            </w:tcBorders>
            <w:tcMar>
              <w:top w:w="15" w:type="dxa"/>
              <w:left w:w="15" w:type="dxa"/>
              <w:bottom w:w="15" w:type="dxa"/>
              <w:right w:w="15" w:type="dxa"/>
            </w:tcMar>
            <w:vAlign w:val="center"/>
          </w:tcPr>
          <w:p w14:paraId="107EAC6B"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3.2. Obligations imposed on designated entities </w:t>
            </w: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66A93174"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CZ</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3DB0BE8"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Storage users obligated to store sufficient gas in accordance with the filling trajectories</w:t>
            </w:r>
          </w:p>
        </w:tc>
      </w:tr>
      <w:tr w:rsidR="008051F6" w:rsidRPr="005D42B6" w14:paraId="26ECAA99" w14:textId="77777777" w:rsidTr="005D42B6">
        <w:tc>
          <w:tcPr>
            <w:tcW w:w="2244" w:type="dxa"/>
            <w:tcBorders>
              <w:top w:val="single" w:sz="8" w:space="0" w:color="auto"/>
              <w:left w:val="single" w:sz="8" w:space="0" w:color="000000"/>
              <w:bottom w:val="single" w:sz="8" w:space="0" w:color="000000"/>
              <w:right w:val="single" w:sz="8" w:space="0" w:color="000000"/>
            </w:tcBorders>
            <w:tcMar>
              <w:top w:w="15" w:type="dxa"/>
              <w:left w:w="15" w:type="dxa"/>
              <w:bottom w:w="15" w:type="dxa"/>
              <w:right w:w="15" w:type="dxa"/>
            </w:tcMar>
            <w:vAlign w:val="center"/>
          </w:tcPr>
          <w:p w14:paraId="796F0AAE"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33F9B869"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DE</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E247016"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Obligations of THE to conduct tenders for storage options</w:t>
            </w:r>
          </w:p>
        </w:tc>
      </w:tr>
      <w:tr w:rsidR="008051F6" w:rsidRPr="005D42B6" w14:paraId="5E5228AE" w14:textId="77777777" w:rsidTr="005D42B6">
        <w:tc>
          <w:tcPr>
            <w:tcW w:w="2244" w:type="dxa"/>
            <w:tcBorders>
              <w:top w:val="single" w:sz="8" w:space="0" w:color="auto"/>
              <w:left w:val="single" w:sz="8" w:space="0" w:color="000000"/>
              <w:bottom w:val="single" w:sz="8" w:space="0" w:color="000000"/>
              <w:right w:val="single" w:sz="8" w:space="0" w:color="000000"/>
            </w:tcBorders>
            <w:tcMar>
              <w:top w:w="15" w:type="dxa"/>
              <w:left w:w="15" w:type="dxa"/>
              <w:bottom w:w="15" w:type="dxa"/>
              <w:right w:w="15" w:type="dxa"/>
            </w:tcMar>
            <w:vAlign w:val="center"/>
          </w:tcPr>
          <w:p w14:paraId="605988AC"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65DD0733"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DK</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B6A0BC3"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Energinet responsible for procuring filling requirements and emergency storage</w:t>
            </w:r>
          </w:p>
        </w:tc>
      </w:tr>
      <w:tr w:rsidR="008051F6" w:rsidRPr="005D42B6" w14:paraId="7CACA670" w14:textId="77777777" w:rsidTr="005D42B6">
        <w:tc>
          <w:tcPr>
            <w:tcW w:w="2244" w:type="dxa"/>
            <w:tcBorders>
              <w:left w:val="single" w:sz="8" w:space="0" w:color="000000"/>
              <w:right w:val="single" w:sz="8" w:space="0" w:color="000000"/>
            </w:tcBorders>
            <w:vAlign w:val="center"/>
          </w:tcPr>
          <w:p w14:paraId="10EF8A55"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509AA0AA"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IT</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7128607"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Only in case of activated crisis level </w:t>
            </w:r>
          </w:p>
        </w:tc>
      </w:tr>
      <w:tr w:rsidR="008051F6" w:rsidRPr="005D42B6" w14:paraId="71DE0A86" w14:textId="77777777" w:rsidTr="005D42B6">
        <w:tc>
          <w:tcPr>
            <w:tcW w:w="2244" w:type="dxa"/>
            <w:tcBorders>
              <w:left w:val="single" w:sz="8" w:space="0" w:color="000000"/>
              <w:bottom w:val="single" w:sz="8" w:space="0" w:color="auto"/>
              <w:right w:val="single" w:sz="8" w:space="0" w:color="000000"/>
            </w:tcBorders>
            <w:tcMar>
              <w:top w:w="15" w:type="dxa"/>
              <w:left w:w="15" w:type="dxa"/>
              <w:bottom w:w="15" w:type="dxa"/>
              <w:right w:w="15" w:type="dxa"/>
            </w:tcMar>
            <w:vAlign w:val="center"/>
          </w:tcPr>
          <w:p w14:paraId="067A061C"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1249178C"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PL</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9191241"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Gas suppliers and final consumers importing gas must maintain mandatory gas stocks covering 30 days of imports</w:t>
            </w:r>
          </w:p>
        </w:tc>
      </w:tr>
      <w:tr w:rsidR="008051F6" w:rsidRPr="005D42B6" w14:paraId="5264BB5C" w14:textId="77777777" w:rsidTr="004A32F1">
        <w:tc>
          <w:tcPr>
            <w:tcW w:w="224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6E469862"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4.Coordinated instruments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550E269"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B0AA4E5"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  </w:t>
            </w:r>
          </w:p>
        </w:tc>
      </w:tr>
      <w:tr w:rsidR="00407097" w:rsidRPr="005D42B6" w14:paraId="4DA74339" w14:textId="77777777" w:rsidTr="004A32F1">
        <w:tc>
          <w:tcPr>
            <w:tcW w:w="224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D748DE9"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5.Voluntary joint procurement mechanisms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B752D82"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95FDCD2"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  </w:t>
            </w:r>
          </w:p>
        </w:tc>
      </w:tr>
      <w:tr w:rsidR="00407097" w:rsidRPr="005D42B6" w14:paraId="7F3683BA" w14:textId="77777777" w:rsidTr="004A32F1">
        <w:tc>
          <w:tcPr>
            <w:tcW w:w="224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4CAC0DE"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6.Financial incentives for market participants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155D25A"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BE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4738809"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  Incentivize market participants to fill gas in storages</w:t>
            </w:r>
            <w:r w:rsidRPr="005D42B6">
              <w:rPr>
                <w:rFonts w:ascii="Times New Roman" w:eastAsia="Times New Roman" w:hAnsi="Times New Roman" w:cs="Times New Roman"/>
                <w:noProof/>
                <w:sz w:val="20"/>
                <w:szCs w:val="20"/>
                <w:vertAlign w:val="superscript"/>
                <w:lang w:val="en-GB" w:eastAsia="en-IE"/>
              </w:rPr>
              <w:t>*</w:t>
            </w:r>
          </w:p>
        </w:tc>
      </w:tr>
      <w:tr w:rsidR="008051F6" w:rsidRPr="005D42B6" w14:paraId="4E578D36" w14:textId="77777777" w:rsidTr="004A32F1">
        <w:tc>
          <w:tcPr>
            <w:tcW w:w="2244" w:type="dxa"/>
            <w:tcBorders>
              <w:left w:val="single" w:sz="0" w:space="0" w:color="auto"/>
              <w:right w:val="single" w:sz="0" w:space="0" w:color="auto"/>
            </w:tcBorders>
            <w:vAlign w:val="center"/>
          </w:tcPr>
          <w:p w14:paraId="69687B31"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684AF41E"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CZ</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E8423A1"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Financial incentives provided to CEZ for delivering gas from the Dutch Eemshaven LNG terminal to the Czech VTP (3 bcm/y)</w:t>
            </w:r>
          </w:p>
        </w:tc>
      </w:tr>
      <w:tr w:rsidR="008051F6" w:rsidRPr="005D42B6" w14:paraId="17EF606C" w14:textId="77777777" w:rsidTr="004A32F1">
        <w:tc>
          <w:tcPr>
            <w:tcW w:w="2244" w:type="dxa"/>
            <w:tcBorders>
              <w:left w:val="single" w:sz="0" w:space="0" w:color="auto"/>
              <w:right w:val="single" w:sz="0" w:space="0" w:color="auto"/>
            </w:tcBorders>
            <w:vAlign w:val="center"/>
          </w:tcPr>
          <w:p w14:paraId="0FD13387"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67B26C86"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DK</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2FA5082"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  Incentivize market participants to fill gas in storages</w:t>
            </w:r>
            <w:r w:rsidRPr="005D42B6">
              <w:rPr>
                <w:rFonts w:ascii="Times New Roman" w:eastAsia="Times New Roman" w:hAnsi="Times New Roman" w:cs="Times New Roman"/>
                <w:noProof/>
                <w:sz w:val="20"/>
                <w:szCs w:val="20"/>
                <w:vertAlign w:val="superscript"/>
                <w:lang w:val="en-GB" w:eastAsia="en-IE"/>
              </w:rPr>
              <w:t>*</w:t>
            </w:r>
          </w:p>
        </w:tc>
      </w:tr>
      <w:tr w:rsidR="008051F6" w:rsidRPr="005D42B6" w14:paraId="241B7FB3" w14:textId="77777777" w:rsidTr="004A32F1">
        <w:tc>
          <w:tcPr>
            <w:tcW w:w="2244" w:type="dxa"/>
            <w:tcBorders>
              <w:left w:val="single" w:sz="0" w:space="0" w:color="auto"/>
              <w:right w:val="single" w:sz="0" w:space="0" w:color="auto"/>
            </w:tcBorders>
            <w:vAlign w:val="center"/>
          </w:tcPr>
          <w:p w14:paraId="5552D6DD"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6609CF00"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ES</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157105D"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Costs of the technical manager are recovered from the state budget and from the market participants</w:t>
            </w:r>
          </w:p>
        </w:tc>
      </w:tr>
      <w:tr w:rsidR="008051F6" w:rsidRPr="005D42B6" w14:paraId="444904A6" w14:textId="77777777" w:rsidTr="004A32F1">
        <w:tc>
          <w:tcPr>
            <w:tcW w:w="2244" w:type="dxa"/>
            <w:tcBorders>
              <w:left w:val="single" w:sz="0" w:space="0" w:color="auto"/>
              <w:right w:val="single" w:sz="0" w:space="0" w:color="auto"/>
            </w:tcBorders>
            <w:vAlign w:val="center"/>
          </w:tcPr>
          <w:p w14:paraId="4DFECD8B"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43202D54"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IT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477D591"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 Contracts for differences. Provision of a stock premium. Penalty for stocks below the level assigned by storage operator.</w:t>
            </w:r>
            <w:r w:rsidRPr="005D42B6">
              <w:rPr>
                <w:rFonts w:ascii="Times New Roman" w:eastAsia="Times New Roman" w:hAnsi="Times New Roman" w:cs="Times New Roman"/>
                <w:noProof/>
                <w:sz w:val="20"/>
                <w:szCs w:val="20"/>
                <w:vertAlign w:val="superscript"/>
                <w:lang w:val="en-GB" w:eastAsia="en-IE"/>
              </w:rPr>
              <w:t>*</w:t>
            </w:r>
          </w:p>
        </w:tc>
      </w:tr>
      <w:tr w:rsidR="008051F6" w:rsidRPr="005D42B6" w14:paraId="4816CC00" w14:textId="77777777" w:rsidTr="004A32F1">
        <w:tc>
          <w:tcPr>
            <w:tcW w:w="2244" w:type="dxa"/>
            <w:tcBorders>
              <w:left w:val="single" w:sz="0" w:space="0" w:color="auto"/>
              <w:bottom w:val="single" w:sz="0" w:space="0" w:color="auto"/>
              <w:right w:val="single" w:sz="0" w:space="0" w:color="auto"/>
            </w:tcBorders>
            <w:vAlign w:val="center"/>
          </w:tcPr>
          <w:p w14:paraId="40444080"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156B536E"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NL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16C7023"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Subsidy scheme extended for 2023-2024 (insurance type in case market conditions are not favorable during injection season). UGS Bergermeer not included. </w:t>
            </w:r>
          </w:p>
        </w:tc>
      </w:tr>
      <w:tr w:rsidR="008051F6" w:rsidRPr="005D42B6" w14:paraId="7F45DFBF" w14:textId="77777777" w:rsidTr="005D42B6">
        <w:tc>
          <w:tcPr>
            <w:tcW w:w="224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D9CFB4F"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7. Unused booked capacities </w:t>
            </w: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7A61E155"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AT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80E7FB4"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Requiring capacity holders to use or release unused booked capacities </w:t>
            </w:r>
          </w:p>
        </w:tc>
      </w:tr>
      <w:tr w:rsidR="008051F6" w:rsidRPr="005D42B6" w14:paraId="337482F3" w14:textId="77777777" w:rsidTr="005D42B6">
        <w:tc>
          <w:tcPr>
            <w:tcW w:w="2244" w:type="dxa"/>
            <w:tcBorders>
              <w:left w:val="single" w:sz="8" w:space="0" w:color="000000"/>
              <w:right w:val="single" w:sz="8" w:space="0" w:color="000000"/>
            </w:tcBorders>
            <w:vAlign w:val="center"/>
          </w:tcPr>
          <w:p w14:paraId="36A5ADE7"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0D0D5927"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BE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421E5AA"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Measure approved by NRA (use-it-or-lose-it) </w:t>
            </w:r>
          </w:p>
        </w:tc>
      </w:tr>
      <w:tr w:rsidR="008051F6" w:rsidRPr="005D42B6" w14:paraId="299B9C7E" w14:textId="77777777" w:rsidTr="005D42B6">
        <w:tc>
          <w:tcPr>
            <w:tcW w:w="2244" w:type="dxa"/>
            <w:tcBorders>
              <w:left w:val="single" w:sz="8" w:space="0" w:color="000000"/>
              <w:right w:val="single" w:sz="8" w:space="0" w:color="000000"/>
            </w:tcBorders>
            <w:vAlign w:val="center"/>
          </w:tcPr>
          <w:p w14:paraId="17D0761A"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334F8469"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CZ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C977622"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Releasing booked capacity back to the market if this is underutilized by a storage user </w:t>
            </w:r>
          </w:p>
        </w:tc>
      </w:tr>
      <w:tr w:rsidR="008051F6" w:rsidRPr="005D42B6" w14:paraId="22688119" w14:textId="77777777" w:rsidTr="005D42B6">
        <w:tc>
          <w:tcPr>
            <w:tcW w:w="2244" w:type="dxa"/>
            <w:tcBorders>
              <w:left w:val="single" w:sz="8" w:space="0" w:color="000000"/>
              <w:right w:val="single" w:sz="8" w:space="0" w:color="000000"/>
            </w:tcBorders>
            <w:vAlign w:val="center"/>
          </w:tcPr>
          <w:p w14:paraId="51CF52B5"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19A4C7CB"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DE</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19168A6"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SSOs</w:t>
            </w:r>
            <w:r w:rsidRPr="005D42B6">
              <w:rPr>
                <w:rFonts w:ascii="Times New Roman" w:eastAsia="Times New Roman" w:hAnsi="Times New Roman" w:cs="Times New Roman"/>
                <w:noProof/>
                <w:sz w:val="20"/>
                <w:szCs w:val="20"/>
                <w:lang w:eastAsia="en-IE"/>
              </w:rPr>
              <w:t xml:space="preserve"> release booked but unused capacity to THE </w:t>
            </w:r>
          </w:p>
        </w:tc>
      </w:tr>
      <w:tr w:rsidR="008051F6" w:rsidRPr="005D42B6" w14:paraId="3657AABD" w14:textId="77777777" w:rsidTr="005D42B6">
        <w:tc>
          <w:tcPr>
            <w:tcW w:w="2244" w:type="dxa"/>
            <w:tcBorders>
              <w:left w:val="single" w:sz="8" w:space="0" w:color="000000"/>
              <w:right w:val="single" w:sz="8" w:space="0" w:color="000000"/>
            </w:tcBorders>
            <w:vAlign w:val="center"/>
          </w:tcPr>
          <w:p w14:paraId="1E2D58ED"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4CB94274"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ES</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A374B7B"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Oversubscription and buy-back mechanism</w:t>
            </w:r>
          </w:p>
        </w:tc>
      </w:tr>
      <w:tr w:rsidR="008051F6" w:rsidRPr="005D42B6" w14:paraId="27A894BB" w14:textId="77777777" w:rsidTr="005D42B6">
        <w:tc>
          <w:tcPr>
            <w:tcW w:w="2244" w:type="dxa"/>
            <w:tcBorders>
              <w:left w:val="single" w:sz="8" w:space="0" w:color="000000"/>
              <w:bottom w:val="single" w:sz="8" w:space="0" w:color="auto"/>
              <w:right w:val="single" w:sz="8" w:space="0" w:color="000000"/>
            </w:tcBorders>
            <w:tcMar>
              <w:top w:w="15" w:type="dxa"/>
              <w:left w:w="15" w:type="dxa"/>
              <w:bottom w:w="15" w:type="dxa"/>
              <w:right w:w="15" w:type="dxa"/>
            </w:tcMar>
            <w:vAlign w:val="center"/>
          </w:tcPr>
          <w:p w14:paraId="5C3DF4A4"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4FDF2B91"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HR</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F973A69"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Calibri" w:hAnsi="Times New Roman" w:cs="Times New Roman"/>
                <w:noProof/>
                <w:sz w:val="20"/>
                <w:szCs w:val="20"/>
                <w:lang w:eastAsia="en-IE"/>
              </w:rPr>
              <w:t>Automatically ceding unused capacity to other storage companies, or to state energy company HEP</w:t>
            </w:r>
            <w:r w:rsidRPr="005D42B6">
              <w:rPr>
                <w:rFonts w:ascii="Times New Roman" w:eastAsia="Times New Roman" w:hAnsi="Times New Roman" w:cs="Times New Roman"/>
                <w:noProof/>
                <w:sz w:val="20"/>
                <w:szCs w:val="20"/>
                <w:vertAlign w:val="superscript"/>
                <w:lang w:val="en-GB" w:eastAsia="en-IE"/>
              </w:rPr>
              <w:t>*</w:t>
            </w:r>
          </w:p>
        </w:tc>
      </w:tr>
      <w:tr w:rsidR="008051F6" w:rsidRPr="005D42B6" w14:paraId="52A3A199" w14:textId="77777777" w:rsidTr="004A32F1">
        <w:tc>
          <w:tcPr>
            <w:tcW w:w="224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095E8176"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8.Strategic storage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9992FD6"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AT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4CCDF69"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20 TWh of strategic gas reserves intended for security of supply purposes only </w:t>
            </w:r>
          </w:p>
        </w:tc>
      </w:tr>
      <w:tr w:rsidR="008051F6" w:rsidRPr="005D42B6" w14:paraId="223257DE" w14:textId="77777777" w:rsidTr="004A32F1">
        <w:tc>
          <w:tcPr>
            <w:tcW w:w="2244" w:type="dxa"/>
            <w:tcBorders>
              <w:left w:val="single" w:sz="0" w:space="0" w:color="auto"/>
              <w:right w:val="single" w:sz="0" w:space="0" w:color="auto"/>
            </w:tcBorders>
            <w:vAlign w:val="center"/>
          </w:tcPr>
          <w:p w14:paraId="6A7B5E58"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19DF482A"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BG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5E01FD8"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Bulgartransgaz is obliged to maintain up to a maximum 70 mcm related to the security of supplies </w:t>
            </w:r>
          </w:p>
        </w:tc>
      </w:tr>
      <w:tr w:rsidR="008051F6" w:rsidRPr="005D42B6" w14:paraId="1559E40C" w14:textId="77777777" w:rsidTr="004A32F1">
        <w:tc>
          <w:tcPr>
            <w:tcW w:w="2244" w:type="dxa"/>
            <w:tcBorders>
              <w:left w:val="single" w:sz="0" w:space="0" w:color="auto"/>
              <w:right w:val="single" w:sz="0" w:space="0" w:color="auto"/>
            </w:tcBorders>
            <w:vAlign w:val="center"/>
          </w:tcPr>
          <w:p w14:paraId="0061B48C"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3F580A9E"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CZ</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F9C2C3D"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ASMR to maintain gas stocks to be used in case of crisis</w:t>
            </w:r>
          </w:p>
        </w:tc>
      </w:tr>
      <w:tr w:rsidR="008051F6" w:rsidRPr="005D42B6" w14:paraId="6C48E994" w14:textId="77777777" w:rsidTr="004A32F1">
        <w:tc>
          <w:tcPr>
            <w:tcW w:w="2244" w:type="dxa"/>
            <w:tcBorders>
              <w:left w:val="single" w:sz="0" w:space="0" w:color="auto"/>
              <w:right w:val="single" w:sz="0" w:space="0" w:color="auto"/>
            </w:tcBorders>
            <w:vAlign w:val="center"/>
          </w:tcPr>
          <w:p w14:paraId="348E6991"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5674A4E9"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DE</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3E75230"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Part of the storage options tendered by THE maintained in storage with a call-off option</w:t>
            </w:r>
          </w:p>
        </w:tc>
      </w:tr>
      <w:tr w:rsidR="008051F6" w:rsidRPr="005D42B6" w14:paraId="3C84658D" w14:textId="77777777" w:rsidTr="004A32F1">
        <w:tc>
          <w:tcPr>
            <w:tcW w:w="2244" w:type="dxa"/>
            <w:tcBorders>
              <w:left w:val="single" w:sz="0" w:space="0" w:color="auto"/>
              <w:right w:val="single" w:sz="0" w:space="0" w:color="auto"/>
            </w:tcBorders>
            <w:vAlign w:val="center"/>
          </w:tcPr>
          <w:p w14:paraId="4435D36B"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5FFC8510"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DK</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589A4CE"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State-</w:t>
            </w:r>
            <w:r w:rsidRPr="005D42B6">
              <w:rPr>
                <w:rFonts w:ascii="Times New Roman" w:eastAsia="Times New Roman" w:hAnsi="Times New Roman" w:cs="Times New Roman"/>
                <w:noProof/>
                <w:sz w:val="20"/>
                <w:szCs w:val="20"/>
                <w:lang w:val="en-GB" w:eastAsia="en-IE"/>
              </w:rPr>
              <w:t>owned</w:t>
            </w:r>
            <w:r w:rsidRPr="005D42B6">
              <w:rPr>
                <w:rFonts w:ascii="Times New Roman" w:eastAsia="Times New Roman" w:hAnsi="Times New Roman" w:cs="Times New Roman"/>
                <w:noProof/>
                <w:sz w:val="20"/>
                <w:szCs w:val="20"/>
                <w:lang w:eastAsia="en-IE"/>
              </w:rPr>
              <w:t xml:space="preserve"> TSO holds strategic stocks</w:t>
            </w:r>
            <w:r w:rsidRPr="005D42B6">
              <w:rPr>
                <w:rFonts w:ascii="Times New Roman" w:eastAsia="Times New Roman" w:hAnsi="Times New Roman" w:cs="Times New Roman"/>
                <w:noProof/>
                <w:sz w:val="20"/>
                <w:szCs w:val="20"/>
                <w:vertAlign w:val="superscript"/>
                <w:lang w:val="en-GB" w:eastAsia="en-IE"/>
              </w:rPr>
              <w:t>*</w:t>
            </w:r>
            <w:r w:rsidRPr="005D42B6" w:rsidDel="00951B57">
              <w:rPr>
                <w:rFonts w:ascii="Times New Roman" w:eastAsia="Times New Roman" w:hAnsi="Times New Roman" w:cs="Times New Roman"/>
                <w:noProof/>
                <w:color w:val="FF0000"/>
                <w:sz w:val="20"/>
                <w:szCs w:val="20"/>
                <w:lang w:val="en-GB" w:eastAsia="en-IE"/>
              </w:rPr>
              <w:t xml:space="preserve"> </w:t>
            </w:r>
          </w:p>
        </w:tc>
      </w:tr>
      <w:tr w:rsidR="008051F6" w:rsidRPr="005D42B6" w14:paraId="033421A6" w14:textId="77777777" w:rsidTr="004A32F1">
        <w:tc>
          <w:tcPr>
            <w:tcW w:w="2244" w:type="dxa"/>
            <w:tcBorders>
              <w:left w:val="single" w:sz="0" w:space="0" w:color="auto"/>
              <w:right w:val="single" w:sz="0" w:space="0" w:color="auto"/>
            </w:tcBorders>
            <w:vAlign w:val="center"/>
          </w:tcPr>
          <w:p w14:paraId="3E38AFA9"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1FB7AD47"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ES</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47F5030"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Gas stocks of the 20 days out of the 27.5 that are minimum obligation</w:t>
            </w:r>
          </w:p>
        </w:tc>
      </w:tr>
      <w:tr w:rsidR="008051F6" w:rsidRPr="005D42B6" w14:paraId="2011F152" w14:textId="77777777" w:rsidTr="004A32F1">
        <w:tc>
          <w:tcPr>
            <w:tcW w:w="2244" w:type="dxa"/>
            <w:tcBorders>
              <w:left w:val="single" w:sz="0" w:space="0" w:color="auto"/>
              <w:bottom w:val="single" w:sz="0" w:space="0" w:color="auto"/>
              <w:right w:val="single" w:sz="0" w:space="0" w:color="auto"/>
            </w:tcBorders>
            <w:vAlign w:val="center"/>
          </w:tcPr>
          <w:p w14:paraId="01FB997A"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2C3B8B55"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HU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35CF439"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  Maintaining two distinct gas reserves: the natural gas security stocks and the special natural gas stocks</w:t>
            </w:r>
          </w:p>
        </w:tc>
      </w:tr>
      <w:tr w:rsidR="008051F6" w:rsidRPr="005D42B6" w14:paraId="013BB07B" w14:textId="77777777" w:rsidTr="004A32F1">
        <w:tc>
          <w:tcPr>
            <w:tcW w:w="2244" w:type="dxa"/>
            <w:tcBorders>
              <w:left w:val="single" w:sz="0" w:space="0" w:color="auto"/>
              <w:right w:val="single" w:sz="0" w:space="0" w:color="auto"/>
            </w:tcBorders>
            <w:vAlign w:val="center"/>
          </w:tcPr>
          <w:p w14:paraId="6B639C9F"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677C64B0"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IT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A2FA78E"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  49.3 TWh (4.62 bcm) strategic reserves that can only be withdrawn in case of emergency</w:t>
            </w:r>
          </w:p>
        </w:tc>
      </w:tr>
      <w:tr w:rsidR="008051F6" w:rsidRPr="005D42B6" w14:paraId="06E40E45" w14:textId="77777777" w:rsidTr="004A32F1">
        <w:tc>
          <w:tcPr>
            <w:tcW w:w="2244" w:type="dxa"/>
            <w:tcBorders>
              <w:left w:val="single" w:sz="0" w:space="0" w:color="auto"/>
              <w:bottom w:val="single" w:sz="0" w:space="0" w:color="auto"/>
              <w:right w:val="single" w:sz="0" w:space="0" w:color="auto"/>
            </w:tcBorders>
            <w:vAlign w:val="center"/>
          </w:tcPr>
          <w:p w14:paraId="69EE1381"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6D6F3E3D"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LV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FB3918F"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Strategic reserve for 2023 defined in the Law: 1.8-2.2 TWh </w:t>
            </w:r>
          </w:p>
        </w:tc>
      </w:tr>
      <w:tr w:rsidR="008051F6" w:rsidRPr="005D42B6" w14:paraId="33CD56F1" w14:textId="77777777" w:rsidTr="005D42B6">
        <w:tc>
          <w:tcPr>
            <w:tcW w:w="224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76040F15"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9.Appointment of a dedicated entity </w:t>
            </w: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14C3844E"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ES</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BB75890"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The technical system manager (Enagás GTS) to cover the gas stocks’ obligations</w:t>
            </w:r>
          </w:p>
        </w:tc>
      </w:tr>
      <w:tr w:rsidR="008051F6" w:rsidRPr="005D42B6" w14:paraId="4DF39DA2" w14:textId="77777777" w:rsidTr="005D42B6">
        <w:tc>
          <w:tcPr>
            <w:tcW w:w="224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678D3217"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2EC794B1"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DE</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9A01933"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THE to purchase and inject its own gas to meet the filling targets</w:t>
            </w:r>
          </w:p>
        </w:tc>
      </w:tr>
      <w:tr w:rsidR="008051F6" w:rsidRPr="005D42B6" w14:paraId="3B4DB1FE" w14:textId="77777777" w:rsidTr="005D42B6">
        <w:tc>
          <w:tcPr>
            <w:tcW w:w="2244" w:type="dxa"/>
            <w:tcBorders>
              <w:left w:val="single" w:sz="8" w:space="0" w:color="000000"/>
              <w:right w:val="single" w:sz="8" w:space="0" w:color="000000"/>
            </w:tcBorders>
            <w:vAlign w:val="center"/>
          </w:tcPr>
          <w:p w14:paraId="15F31D1B"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2AB052B3"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IT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9617837"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Snam and GSE tasked to ensure that sufficient gas is in storage during winter period</w:t>
            </w:r>
          </w:p>
        </w:tc>
      </w:tr>
      <w:tr w:rsidR="008051F6" w:rsidRPr="005D42B6" w14:paraId="1FF6BCD9" w14:textId="77777777" w:rsidTr="005D42B6">
        <w:tc>
          <w:tcPr>
            <w:tcW w:w="2244" w:type="dxa"/>
            <w:tcBorders>
              <w:left w:val="single" w:sz="8" w:space="0" w:color="000000"/>
              <w:right w:val="single" w:sz="8" w:space="0" w:color="000000"/>
            </w:tcBorders>
            <w:vAlign w:val="center"/>
          </w:tcPr>
          <w:p w14:paraId="2EB23936"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0649A197"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FR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1C8D095"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val="en-GB" w:eastAsia="en-IE"/>
              </w:rPr>
              <w:t>SSOs</w:t>
            </w:r>
            <w:r w:rsidRPr="005D42B6">
              <w:rPr>
                <w:rFonts w:ascii="Times New Roman" w:eastAsia="Times New Roman" w:hAnsi="Times New Roman" w:cs="Times New Roman"/>
                <w:noProof/>
                <w:sz w:val="20"/>
                <w:szCs w:val="20"/>
                <w:lang w:eastAsia="en-IE"/>
              </w:rPr>
              <w:t xml:space="preserve"> responsible for filling the gap to meet the filling targets, upon government request </w:t>
            </w:r>
          </w:p>
        </w:tc>
      </w:tr>
      <w:tr w:rsidR="008051F6" w:rsidRPr="005D42B6" w14:paraId="16C78FA2" w14:textId="77777777" w:rsidTr="005D42B6">
        <w:tc>
          <w:tcPr>
            <w:tcW w:w="2244" w:type="dxa"/>
            <w:tcBorders>
              <w:left w:val="single" w:sz="8" w:space="0" w:color="000000"/>
              <w:right w:val="single" w:sz="8" w:space="0" w:color="000000"/>
            </w:tcBorders>
            <w:vAlign w:val="center"/>
          </w:tcPr>
          <w:p w14:paraId="57B786B4"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36B7983C"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NL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C57FE67"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Appointment of a designated party to fill up to 20 TWh of UGS Bergermeer (actual storing 14.1 TWh) </w:t>
            </w:r>
          </w:p>
        </w:tc>
      </w:tr>
      <w:tr w:rsidR="008051F6" w:rsidRPr="005D42B6" w14:paraId="5E4811E3" w14:textId="77777777" w:rsidTr="005D42B6">
        <w:tc>
          <w:tcPr>
            <w:tcW w:w="2244" w:type="dxa"/>
            <w:tcBorders>
              <w:left w:val="single" w:sz="8" w:space="0" w:color="000000"/>
              <w:bottom w:val="single" w:sz="8" w:space="0" w:color="auto"/>
              <w:right w:val="single" w:sz="8" w:space="0" w:color="000000"/>
            </w:tcBorders>
            <w:tcMar>
              <w:top w:w="15" w:type="dxa"/>
              <w:left w:w="15" w:type="dxa"/>
              <w:bottom w:w="15" w:type="dxa"/>
              <w:right w:w="15" w:type="dxa"/>
            </w:tcMar>
            <w:vAlign w:val="center"/>
          </w:tcPr>
          <w:p w14:paraId="00DE0802"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single" w:sz="8" w:space="0" w:color="000000"/>
              <w:bottom w:val="single" w:sz="8" w:space="0" w:color="auto"/>
              <w:right w:val="single" w:sz="8" w:space="0" w:color="auto"/>
            </w:tcBorders>
            <w:tcMar>
              <w:top w:w="15" w:type="dxa"/>
              <w:left w:w="15" w:type="dxa"/>
              <w:bottom w:w="15" w:type="dxa"/>
              <w:right w:w="15" w:type="dxa"/>
            </w:tcMar>
            <w:vAlign w:val="center"/>
          </w:tcPr>
          <w:p w14:paraId="60E5D325"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SE</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BE228E7"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Swedegas responsible for ensuring meeting the filling targets</w:t>
            </w:r>
          </w:p>
        </w:tc>
      </w:tr>
      <w:tr w:rsidR="008051F6" w:rsidRPr="005D42B6" w14:paraId="619B1194" w14:textId="77777777" w:rsidTr="004A32F1">
        <w:tc>
          <w:tcPr>
            <w:tcW w:w="224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0DE327EE"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10. Discounts storage tariffs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E7F8F9B"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BE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EB50559"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Offering capacity at reserve prices at a discount compared to the regulated tariff</w:t>
            </w:r>
          </w:p>
        </w:tc>
      </w:tr>
      <w:tr w:rsidR="008051F6" w:rsidRPr="005D42B6" w14:paraId="34713581" w14:textId="77777777" w:rsidTr="004A32F1">
        <w:tc>
          <w:tcPr>
            <w:tcW w:w="2244" w:type="dxa"/>
            <w:tcBorders>
              <w:left w:val="single" w:sz="0" w:space="0" w:color="auto"/>
              <w:bottom w:val="single" w:sz="0" w:space="0" w:color="auto"/>
              <w:right w:val="single" w:sz="0" w:space="0" w:color="auto"/>
            </w:tcBorders>
            <w:vAlign w:val="center"/>
          </w:tcPr>
          <w:p w14:paraId="14FE4A56"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7A768A79"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ES</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0AB3DDE"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Discounts offered for market participants that meet their obligation for minimum stocks and for storage users that procured capacity via auctions and filled 90% of their booked capacity on 1 November</w:t>
            </w:r>
          </w:p>
        </w:tc>
      </w:tr>
      <w:tr w:rsidR="008051F6" w:rsidRPr="005D42B6" w14:paraId="33EBEE10" w14:textId="77777777" w:rsidTr="004A32F1">
        <w:tc>
          <w:tcPr>
            <w:tcW w:w="224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761E771E"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11. Capital and operational expenditures </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9CCB143"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BE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CB91875"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Last resort solution</w:t>
            </w:r>
            <w:r w:rsidRPr="005D42B6">
              <w:rPr>
                <w:rFonts w:ascii="Times New Roman" w:eastAsia="Times New Roman" w:hAnsi="Times New Roman" w:cs="Times New Roman"/>
                <w:noProof/>
                <w:sz w:val="20"/>
                <w:szCs w:val="20"/>
                <w:vertAlign w:val="superscript"/>
                <w:lang w:val="en-GB" w:eastAsia="en-IE"/>
              </w:rPr>
              <w:t>*</w:t>
            </w:r>
          </w:p>
        </w:tc>
      </w:tr>
      <w:tr w:rsidR="008051F6" w:rsidRPr="005D42B6" w14:paraId="6C63C534" w14:textId="77777777" w:rsidTr="004A32F1">
        <w:tc>
          <w:tcPr>
            <w:tcW w:w="2244" w:type="dxa"/>
            <w:tcBorders>
              <w:left w:val="single" w:sz="0" w:space="0" w:color="auto"/>
              <w:bottom w:val="single" w:sz="0" w:space="0" w:color="auto"/>
              <w:right w:val="single" w:sz="0" w:space="0" w:color="auto"/>
            </w:tcBorders>
            <w:vAlign w:val="center"/>
          </w:tcPr>
          <w:p w14:paraId="7D18A012" w14:textId="77777777" w:rsidR="005D42B6" w:rsidRPr="005D42B6" w:rsidRDefault="005D42B6" w:rsidP="005D42B6">
            <w:pPr>
              <w:tabs>
                <w:tab w:val="left" w:pos="1994"/>
              </w:tabs>
              <w:spacing w:after="0" w:line="240" w:lineRule="auto"/>
              <w:ind w:left="151" w:right="190"/>
              <w:jc w:val="both"/>
              <w:rPr>
                <w:rFonts w:ascii="Times New Roman" w:eastAsia="Times New Roman" w:hAnsi="Times New Roman" w:cs="Times New Roman"/>
                <w:noProof/>
                <w:sz w:val="20"/>
                <w:szCs w:val="20"/>
                <w:lang w:val="en-GB" w:eastAsia="en-IE"/>
              </w:rPr>
            </w:pPr>
          </w:p>
        </w:tc>
        <w:tc>
          <w:tcPr>
            <w:tcW w:w="56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14:paraId="34C1BE96" w14:textId="77777777" w:rsidR="005D42B6" w:rsidRPr="005D42B6" w:rsidRDefault="005D42B6" w:rsidP="005D42B6">
            <w:pPr>
              <w:tabs>
                <w:tab w:val="left" w:pos="559"/>
              </w:tabs>
              <w:spacing w:after="0" w:line="240" w:lineRule="auto"/>
              <w:ind w:left="127" w:right="10"/>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 xml:space="preserve">IT </w:t>
            </w:r>
          </w:p>
        </w:tc>
        <w:tc>
          <w:tcPr>
            <w:tcW w:w="676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7B957A3" w14:textId="77777777" w:rsidR="005D42B6" w:rsidRPr="005D42B6" w:rsidRDefault="005D42B6" w:rsidP="005D42B6">
            <w:pPr>
              <w:spacing w:after="0" w:line="240" w:lineRule="auto"/>
              <w:ind w:left="130" w:right="87"/>
              <w:jc w:val="both"/>
              <w:rPr>
                <w:rFonts w:ascii="Times New Roman" w:eastAsia="Times New Roman" w:hAnsi="Times New Roman" w:cs="Times New Roman"/>
                <w:noProof/>
                <w:sz w:val="20"/>
                <w:szCs w:val="20"/>
                <w:lang w:val="en-GB" w:eastAsia="en-IE"/>
              </w:rPr>
            </w:pPr>
            <w:r w:rsidRPr="005D42B6">
              <w:rPr>
                <w:rFonts w:ascii="Times New Roman" w:eastAsia="Times New Roman" w:hAnsi="Times New Roman" w:cs="Times New Roman"/>
                <w:noProof/>
                <w:sz w:val="20"/>
                <w:szCs w:val="20"/>
                <w:lang w:eastAsia="en-IE"/>
              </w:rPr>
              <w:t>In place if any cost remains uncovered. Otherwise, the system decreases the tariff scheme on final customers using the extras from storage auction revenues.</w:t>
            </w:r>
          </w:p>
        </w:tc>
      </w:tr>
    </w:tbl>
    <w:p w14:paraId="4A91568C" w14:textId="77777777" w:rsidR="005D42B6" w:rsidRPr="005D42B6" w:rsidRDefault="005D42B6" w:rsidP="005D42B6">
      <w:pPr>
        <w:spacing w:after="0" w:line="240" w:lineRule="auto"/>
        <w:jc w:val="both"/>
        <w:rPr>
          <w:rFonts w:ascii="Times New Roman" w:eastAsia="Times New Roman" w:hAnsi="Times New Roman" w:cs="Times New Roman"/>
          <w:noProof/>
          <w:lang w:val="en-GB" w:eastAsia="en-IE"/>
        </w:rPr>
      </w:pPr>
      <w:r w:rsidRPr="005D42B6">
        <w:rPr>
          <w:rFonts w:ascii="Times New Roman" w:eastAsia="Times New Roman" w:hAnsi="Times New Roman" w:cs="Times New Roman"/>
          <w:noProof/>
          <w:sz w:val="20"/>
          <w:szCs w:val="20"/>
          <w:vertAlign w:val="superscript"/>
          <w:lang w:val="en-GB" w:eastAsia="en-IE"/>
        </w:rPr>
        <w:t>*</w:t>
      </w:r>
      <w:r w:rsidRPr="005D42B6">
        <w:rPr>
          <w:rFonts w:ascii="Times New Roman" w:eastAsia="Times New Roman" w:hAnsi="Times New Roman" w:cs="Times New Roman"/>
          <w:noProof/>
          <w:sz w:val="20"/>
          <w:szCs w:val="20"/>
          <w:lang w:val="en-GB" w:eastAsia="en-IE"/>
        </w:rPr>
        <w:t xml:space="preserve">Measure collected by Commission that is not part of the </w:t>
      </w:r>
      <w:hyperlink r:id="rId32">
        <w:r w:rsidRPr="005D42B6">
          <w:rPr>
            <w:rFonts w:ascii="Times New Roman" w:eastAsia="Times New Roman" w:hAnsi="Times New Roman" w:cs="Times New Roman"/>
            <w:noProof/>
            <w:color w:val="0563C1"/>
            <w:sz w:val="20"/>
            <w:szCs w:val="20"/>
            <w:u w:val="single"/>
            <w:lang w:val="en-GB" w:eastAsia="en-IE"/>
          </w:rPr>
          <w:t>2023 ACER gas storage report</w:t>
        </w:r>
      </w:hyperlink>
    </w:p>
    <w:p w14:paraId="0083D7AF" w14:textId="1F487560" w:rsidR="005D42B6" w:rsidRPr="005D42B6" w:rsidRDefault="005D42B6" w:rsidP="00C70B62">
      <w:pPr>
        <w:spacing w:after="120" w:line="240" w:lineRule="auto"/>
        <w:jc w:val="both"/>
        <w:rPr>
          <w:rFonts w:ascii="Times New Roman" w:eastAsia="Times New Roman" w:hAnsi="Times New Roman" w:cs="Times New Roman"/>
          <w:noProof/>
          <w:sz w:val="24"/>
          <w:szCs w:val="20"/>
          <w:lang w:val="en-GB" w:eastAsia="en-IE"/>
        </w:rPr>
      </w:pPr>
      <w:r w:rsidRPr="005D42B6">
        <w:rPr>
          <w:rFonts w:ascii="Times New Roman" w:eastAsia="Times New Roman" w:hAnsi="Times New Roman" w:cs="Times New Roman"/>
          <w:noProof/>
          <w:sz w:val="20"/>
          <w:szCs w:val="20"/>
          <w:lang w:val="en-GB" w:eastAsia="en-IE"/>
        </w:rPr>
        <w:t>Source: Member States' responses to EC survey and ACER gas storage report 2023</w:t>
      </w:r>
      <w:r w:rsidR="00135929">
        <w:rPr>
          <w:rFonts w:ascii="Times New Roman" w:eastAsia="Times New Roman" w:hAnsi="Times New Roman" w:cs="Times New Roman"/>
          <w:noProof/>
          <w:sz w:val="20"/>
          <w:szCs w:val="20"/>
          <w:lang w:val="en-GB" w:eastAsia="en-IE"/>
        </w:rPr>
        <w:t>.</w:t>
      </w:r>
    </w:p>
    <w:p w14:paraId="3C4EE684" w14:textId="77777777" w:rsidR="002B764A" w:rsidRPr="005D42B6" w:rsidRDefault="002B764A" w:rsidP="005D42B6">
      <w:pPr>
        <w:spacing w:line="276" w:lineRule="auto"/>
        <w:rPr>
          <w:rFonts w:ascii="Times New Roman" w:eastAsia="Times New Roman" w:hAnsi="Times New Roman" w:cs="Times New Roman"/>
          <w:b/>
          <w:i/>
          <w:noProof/>
          <w:sz w:val="24"/>
          <w:szCs w:val="24"/>
          <w:lang w:val="en-GB" w:eastAsia="fr-BE"/>
        </w:rPr>
      </w:pPr>
    </w:p>
    <w:sectPr w:rsidR="002B764A" w:rsidRPr="005D42B6" w:rsidSect="00227DA3">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77637" w14:textId="77777777" w:rsidR="0026256E" w:rsidRDefault="0026256E" w:rsidP="005750BF">
      <w:pPr>
        <w:spacing w:after="0" w:line="240" w:lineRule="auto"/>
      </w:pPr>
      <w:r>
        <w:separator/>
      </w:r>
    </w:p>
  </w:endnote>
  <w:endnote w:type="continuationSeparator" w:id="0">
    <w:p w14:paraId="758CD8DE" w14:textId="77777777" w:rsidR="0026256E" w:rsidRDefault="0026256E" w:rsidP="005750BF">
      <w:pPr>
        <w:spacing w:after="0" w:line="240" w:lineRule="auto"/>
      </w:pPr>
      <w:r>
        <w:continuationSeparator/>
      </w:r>
    </w:p>
  </w:endnote>
  <w:endnote w:type="continuationNotice" w:id="1">
    <w:p w14:paraId="48D9C0AA" w14:textId="77777777" w:rsidR="0026256E" w:rsidRDefault="00262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F8D1" w14:textId="5F6F8FF6" w:rsidR="007D3465" w:rsidRPr="007D3465" w:rsidRDefault="007D3465" w:rsidP="007D3465">
    <w:pPr>
      <w:pStyle w:val="FooterCoverPage"/>
      <w:rPr>
        <w:rFonts w:ascii="Arial" w:hAnsi="Arial" w:cs="Arial"/>
        <w:b/>
        <w:sz w:val="48"/>
      </w:rPr>
    </w:pPr>
    <w:r w:rsidRPr="007D3465">
      <w:rPr>
        <w:rFonts w:ascii="Arial" w:hAnsi="Arial" w:cs="Arial"/>
        <w:b/>
        <w:sz w:val="48"/>
      </w:rPr>
      <w:t>EN</w:t>
    </w:r>
    <w:r w:rsidRPr="007D3465">
      <w:rPr>
        <w:rFonts w:ascii="Arial" w:hAnsi="Arial" w:cs="Arial"/>
        <w:b/>
        <w:sz w:val="48"/>
      </w:rPr>
      <w:tab/>
    </w:r>
    <w:r w:rsidRPr="007D3465">
      <w:rPr>
        <w:rFonts w:ascii="Arial" w:hAnsi="Arial" w:cs="Arial"/>
        <w:b/>
        <w:sz w:val="48"/>
      </w:rPr>
      <w:tab/>
    </w:r>
    <w:r w:rsidRPr="007D3465">
      <w:tab/>
    </w:r>
    <w:r w:rsidRPr="007D346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5A59" w14:textId="6C5C3F79" w:rsidR="007D3465" w:rsidRPr="007D3465" w:rsidRDefault="007D3465" w:rsidP="007D3465">
    <w:pPr>
      <w:pStyle w:val="FooterCoverPage"/>
      <w:rPr>
        <w:rFonts w:ascii="Arial" w:hAnsi="Arial" w:cs="Arial"/>
        <w:b/>
        <w:sz w:val="48"/>
      </w:rPr>
    </w:pPr>
    <w:r w:rsidRPr="007D3465">
      <w:rPr>
        <w:rFonts w:ascii="Arial" w:hAnsi="Arial" w:cs="Arial"/>
        <w:b/>
        <w:sz w:val="48"/>
      </w:rPr>
      <w:t>EN</w:t>
    </w:r>
    <w:r w:rsidRPr="007D3465">
      <w:rPr>
        <w:rFonts w:ascii="Arial" w:hAnsi="Arial" w:cs="Arial"/>
        <w:b/>
        <w:sz w:val="48"/>
      </w:rPr>
      <w:tab/>
    </w:r>
    <w:r w:rsidRPr="007D3465">
      <w:rPr>
        <w:rFonts w:ascii="Arial" w:hAnsi="Arial" w:cs="Arial"/>
        <w:b/>
        <w:sz w:val="48"/>
      </w:rPr>
      <w:tab/>
    </w:r>
    <w:r w:rsidRPr="007D3465">
      <w:tab/>
    </w:r>
    <w:r w:rsidRPr="007D346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AAD3" w14:textId="77777777" w:rsidR="007D3465" w:rsidRPr="007D3465" w:rsidRDefault="007D3465" w:rsidP="007D346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D318" w14:textId="77777777" w:rsidR="00227DA3" w:rsidRDefault="00227D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52873"/>
      <w:docPartObj>
        <w:docPartGallery w:val="Page Numbers (Bottom of Page)"/>
        <w:docPartUnique/>
      </w:docPartObj>
    </w:sdtPr>
    <w:sdtEndPr>
      <w:rPr>
        <w:noProof/>
      </w:rPr>
    </w:sdtEndPr>
    <w:sdtContent>
      <w:p w14:paraId="18722797" w14:textId="748E5A98" w:rsidR="00227DA3" w:rsidRDefault="00227DA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D3465">
          <w:rPr>
            <w:noProof/>
          </w:rPr>
          <w:t>1</w:t>
        </w:r>
        <w:r>
          <w:rPr>
            <w:color w:val="2B579A"/>
            <w:shd w:val="clear" w:color="auto" w:fill="E6E6E6"/>
          </w:rPr>
          <w:fldChar w:fldCharType="end"/>
        </w:r>
      </w:p>
    </w:sdtContent>
  </w:sdt>
  <w:p w14:paraId="6E659236" w14:textId="77777777" w:rsidR="00227DA3" w:rsidRDefault="00227D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6E6F" w14:textId="77777777" w:rsidR="00227DA3" w:rsidRDefault="00227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A9EE" w14:textId="77777777" w:rsidR="0026256E" w:rsidRDefault="0026256E" w:rsidP="005750BF">
      <w:pPr>
        <w:spacing w:after="0" w:line="240" w:lineRule="auto"/>
      </w:pPr>
      <w:r>
        <w:separator/>
      </w:r>
    </w:p>
  </w:footnote>
  <w:footnote w:type="continuationSeparator" w:id="0">
    <w:p w14:paraId="75559B06" w14:textId="77777777" w:rsidR="0026256E" w:rsidRDefault="0026256E" w:rsidP="005750BF">
      <w:pPr>
        <w:spacing w:after="0" w:line="240" w:lineRule="auto"/>
      </w:pPr>
      <w:r>
        <w:continuationSeparator/>
      </w:r>
    </w:p>
  </w:footnote>
  <w:footnote w:type="continuationNotice" w:id="1">
    <w:p w14:paraId="776208D0" w14:textId="77777777" w:rsidR="0026256E" w:rsidRDefault="0026256E">
      <w:pPr>
        <w:spacing w:after="0" w:line="240" w:lineRule="auto"/>
      </w:pPr>
    </w:p>
  </w:footnote>
  <w:footnote w:id="2">
    <w:p w14:paraId="106C25C9" w14:textId="764EB51A" w:rsidR="00DE4593" w:rsidRPr="00C24F0C" w:rsidRDefault="00DE4593" w:rsidP="00C24F0C">
      <w:pPr>
        <w:pStyle w:val="FootnoteText"/>
        <w:jc w:val="both"/>
        <w:rPr>
          <w:rFonts w:ascii="Times New Roman" w:hAnsi="Times New Roman" w:cs="Times New Roman"/>
        </w:rPr>
      </w:pPr>
      <w:r w:rsidRPr="00C24F0C">
        <w:rPr>
          <w:rStyle w:val="FootnoteReference"/>
          <w:rFonts w:ascii="Times New Roman" w:hAnsi="Times New Roman" w:cs="Times New Roman"/>
        </w:rPr>
        <w:footnoteRef/>
      </w:r>
      <w:r w:rsidRPr="00C24F0C">
        <w:rPr>
          <w:rFonts w:ascii="Times New Roman" w:hAnsi="Times New Roman" w:cs="Times New Roman"/>
        </w:rPr>
        <w:t xml:space="preserve"> As defined by  Directive (EU) 2022/2557 on the resilience of critical entities,  ‘critical infrastructure’ means an asset, a facility, equipment, a network or a system, or a part of an asset, a facility, equipment, a network or a system, which is necessary for the provision of an essential service; according to the Annex of the Directive, Storage system operators (SSOs) fall furthermore in its scope as types of entities in energy sector, sub-sector gas</w:t>
      </w:r>
      <w:r w:rsidR="00E43669" w:rsidRPr="00C24F0C">
        <w:rPr>
          <w:rFonts w:ascii="Times New Roman" w:hAnsi="Times New Roman" w:cs="Times New Roman"/>
        </w:rPr>
        <w:t>.</w:t>
      </w:r>
      <w:r w:rsidRPr="00C24F0C">
        <w:rPr>
          <w:rFonts w:ascii="Times New Roman" w:hAnsi="Times New Roman" w:cs="Times New Roman"/>
        </w:rPr>
        <w:t xml:space="preserve"> </w:t>
      </w:r>
    </w:p>
  </w:footnote>
  <w:footnote w:id="3">
    <w:p w14:paraId="69359DAB" w14:textId="19CDC455" w:rsidR="005D42B6" w:rsidRPr="00122230" w:rsidRDefault="005D42B6" w:rsidP="005D42B6">
      <w:pPr>
        <w:pStyle w:val="FootnoteText"/>
        <w:rPr>
          <w:lang w:val="en-IE"/>
        </w:rPr>
      </w:pPr>
      <w:r>
        <w:rPr>
          <w:rStyle w:val="FootnoteReference"/>
        </w:rPr>
        <w:footnoteRef/>
      </w:r>
      <w:r>
        <w:t xml:space="preserve"> </w:t>
      </w:r>
      <w:r w:rsidRPr="005D42B6">
        <w:rPr>
          <w:rFonts w:ascii="Times New Roman" w:hAnsi="Times New Roman" w:cs="Times New Roman"/>
        </w:rPr>
        <w:t>Regulation (EU) 2022/1032 amending Regulations (EU) 2017/1938 and (EC) No 715/2009</w:t>
      </w:r>
      <w:r w:rsidR="001D1063">
        <w:rPr>
          <w:rFonts w:ascii="Times New Roman" w:hAnsi="Times New Roman" w:cs="Times New Roman"/>
        </w:rPr>
        <w:t>.</w:t>
      </w:r>
    </w:p>
  </w:footnote>
  <w:footnote w:id="4">
    <w:p w14:paraId="6034835E" w14:textId="223828DD" w:rsidR="005E6D60" w:rsidRPr="00A06558" w:rsidRDefault="005E6D60">
      <w:pPr>
        <w:pStyle w:val="FootnoteText"/>
        <w:rPr>
          <w:rFonts w:ascii="Times New Roman" w:hAnsi="Times New Roman" w:cs="Times New Roman"/>
          <w:lang w:val="en-IE"/>
        </w:rPr>
      </w:pPr>
      <w:r w:rsidRPr="00A06558">
        <w:rPr>
          <w:rStyle w:val="FootnoteReference"/>
          <w:rFonts w:ascii="Times New Roman" w:hAnsi="Times New Roman" w:cs="Times New Roman"/>
        </w:rPr>
        <w:footnoteRef/>
      </w:r>
      <w:r w:rsidRPr="00A06558">
        <w:rPr>
          <w:rFonts w:ascii="Times New Roman" w:hAnsi="Times New Roman" w:cs="Times New Roman"/>
        </w:rPr>
        <w:t xml:space="preserve"> OPINION No 11/2023 OF THE EUROPEAN UNION AGENCY FOR THE COOPERATION OF ENERGY REGULATORS of 14 December 2023 on ENTSOG’s Winter Supply Outlook 2023/2024, </w:t>
      </w:r>
      <w:hyperlink r:id="rId1" w:history="1">
        <w:r w:rsidR="003F0089" w:rsidRPr="00A06558">
          <w:rPr>
            <w:rStyle w:val="Hyperlink"/>
            <w:rFonts w:ascii="Times New Roman" w:hAnsi="Times New Roman" w:cs="Times New Roman"/>
          </w:rPr>
          <w:t>ACER_Opinion_11-2023_on_ENTSOG_Winter_Supply_Outlook_2023-2024.pdf (europa.eu)</w:t>
        </w:r>
      </w:hyperlink>
      <w:r w:rsidR="001D1063" w:rsidRPr="00A06558">
        <w:rPr>
          <w:rFonts w:ascii="Times New Roman" w:hAnsi="Times New Roman" w:cs="Times New Roman"/>
        </w:rPr>
        <w:t>.</w:t>
      </w:r>
    </w:p>
  </w:footnote>
  <w:footnote w:id="5">
    <w:p w14:paraId="6192A191" w14:textId="0AB897A5" w:rsidR="000D7182" w:rsidRPr="000D7182" w:rsidRDefault="000D7182">
      <w:pPr>
        <w:pStyle w:val="FootnoteText"/>
        <w:rPr>
          <w:rFonts w:ascii="Times New Roman" w:hAnsi="Times New Roman" w:cs="Times New Roman"/>
          <w:sz w:val="18"/>
          <w:szCs w:val="18"/>
        </w:rPr>
      </w:pPr>
      <w:r w:rsidRPr="000D7182">
        <w:rPr>
          <w:rStyle w:val="FootnoteReference"/>
          <w:rFonts w:ascii="Times New Roman" w:hAnsi="Times New Roman" w:cs="Times New Roman"/>
          <w:sz w:val="18"/>
          <w:szCs w:val="18"/>
        </w:rPr>
        <w:footnoteRef/>
      </w:r>
      <w:r w:rsidRPr="000D7182">
        <w:rPr>
          <w:rFonts w:ascii="Times New Roman" w:hAnsi="Times New Roman" w:cs="Times New Roman"/>
          <w:sz w:val="18"/>
          <w:szCs w:val="18"/>
        </w:rPr>
        <w:t xml:space="preserve"> </w:t>
      </w:r>
      <w:r w:rsidRPr="000D7182">
        <w:rPr>
          <w:rFonts w:ascii="Times New Roman" w:eastAsia="Calibri" w:hAnsi="Times New Roman" w:cs="Times New Roman"/>
          <w:color w:val="000000"/>
          <w:sz w:val="18"/>
          <w:szCs w:val="18"/>
          <w:lang w:val="en-GB"/>
        </w:rPr>
        <w:t>The certifications are issued by operator and/or by storage site.</w:t>
      </w:r>
    </w:p>
  </w:footnote>
  <w:footnote w:id="6">
    <w:p w14:paraId="2703358B" w14:textId="36895C8E" w:rsidR="000D7182" w:rsidRPr="000D7182" w:rsidRDefault="000D7182">
      <w:pPr>
        <w:pStyle w:val="FootnoteText"/>
      </w:pPr>
      <w:r w:rsidRPr="000D7182">
        <w:rPr>
          <w:rStyle w:val="FootnoteReference"/>
          <w:rFonts w:ascii="Times New Roman" w:hAnsi="Times New Roman" w:cs="Times New Roman"/>
          <w:sz w:val="18"/>
          <w:szCs w:val="18"/>
        </w:rPr>
        <w:footnoteRef/>
      </w:r>
      <w:r w:rsidRPr="000D7182">
        <w:rPr>
          <w:rFonts w:ascii="Times New Roman" w:hAnsi="Times New Roman" w:cs="Times New Roman"/>
          <w:sz w:val="18"/>
          <w:szCs w:val="18"/>
        </w:rPr>
        <w:t xml:space="preserve"> </w:t>
      </w:r>
      <w:r w:rsidRPr="000D7182">
        <w:rPr>
          <w:rFonts w:ascii="Times New Roman" w:eastAsia="Calibri" w:hAnsi="Times New Roman" w:cs="Times New Roman"/>
          <w:color w:val="000000"/>
          <w:sz w:val="18"/>
          <w:szCs w:val="18"/>
          <w:lang w:val="en-GB"/>
        </w:rPr>
        <w:t xml:space="preserve">Based on exchange with MSs, GIE AGSI+ and </w:t>
      </w:r>
      <w:hyperlink r:id="rId2" w:history="1">
        <w:r w:rsidRPr="000D7182">
          <w:rPr>
            <w:rFonts w:ascii="Times New Roman" w:eastAsia="Calibri" w:hAnsi="Times New Roman" w:cs="Times New Roman"/>
            <w:color w:val="000000"/>
            <w:sz w:val="18"/>
            <w:szCs w:val="18"/>
            <w:u w:val="single"/>
            <w:lang w:val="en-GB"/>
          </w:rPr>
          <w:t xml:space="preserve">ACER and VIS </w:t>
        </w:r>
      </w:hyperlink>
      <w:hyperlink r:id="rId3" w:history="1">
        <w:r w:rsidRPr="000D7182">
          <w:rPr>
            <w:rFonts w:ascii="Times New Roman" w:eastAsia="Calibri" w:hAnsi="Times New Roman" w:cs="Times New Roman"/>
            <w:color w:val="000000"/>
            <w:sz w:val="18"/>
            <w:szCs w:val="18"/>
            <w:u w:val="single"/>
            <w:lang w:val="en-GB"/>
          </w:rPr>
          <w:t>Gas Storage report 2023</w:t>
        </w:r>
      </w:hyperlink>
      <w:r w:rsidRPr="000D7182">
        <w:rPr>
          <w:rFonts w:ascii="Times New Roman" w:eastAsia="Calibri" w:hAnsi="Times New Roman" w:cs="Times New Roman"/>
          <w:color w:val="000000"/>
          <w:sz w:val="18"/>
          <w:szCs w:val="18"/>
          <w:u w:val="single"/>
          <w:lang w:val="en-GB"/>
        </w:rPr>
        <w:t>.</w:t>
      </w:r>
    </w:p>
  </w:footnote>
  <w:footnote w:id="7">
    <w:p w14:paraId="48EE9578" w14:textId="77777777" w:rsidR="005D42B6" w:rsidRDefault="005D42B6" w:rsidP="005D42B6">
      <w:pPr>
        <w:pStyle w:val="FootnoteText"/>
      </w:pPr>
      <w:r w:rsidRPr="02E876B3">
        <w:rPr>
          <w:rStyle w:val="FootnoteReference"/>
        </w:rPr>
        <w:footnoteRef/>
      </w:r>
      <w:r>
        <w:t xml:space="preserve"> </w:t>
      </w:r>
      <w:r w:rsidRPr="005D42B6">
        <w:rPr>
          <w:rFonts w:ascii="Times New Roman" w:hAnsi="Times New Roman" w:cs="Times New Roman"/>
          <w:color w:val="000000"/>
        </w:rPr>
        <w:t>The physical storage capacity of some storage facilities could, under certain conditions, be higher than the working gas volume reported by the storage operators.</w:t>
      </w:r>
    </w:p>
  </w:footnote>
  <w:footnote w:id="8">
    <w:p w14:paraId="03E8E919" w14:textId="2B53A4E2" w:rsidR="005D42B6" w:rsidRDefault="005D42B6" w:rsidP="005D42B6">
      <w:pPr>
        <w:spacing w:after="0"/>
      </w:pPr>
      <w:r w:rsidRPr="0C95BBA6">
        <w:rPr>
          <w:rStyle w:val="FootnoteReference"/>
        </w:rPr>
        <w:footnoteRef/>
      </w:r>
      <w:r>
        <w:t xml:space="preserve"> </w:t>
      </w:r>
      <w:r w:rsidRPr="005D42B6">
        <w:rPr>
          <w:rFonts w:ascii="Times New Roman" w:hAnsi="Times New Roman" w:cs="Times New Roman"/>
          <w:color w:val="000000"/>
          <w:sz w:val="20"/>
        </w:rPr>
        <w:t>Commission Implementing Regulation (EU) 2023/2633</w:t>
      </w:r>
      <w:r w:rsidR="001D1063">
        <w:rPr>
          <w:color w:val="000000"/>
          <w:sz w:val="20"/>
        </w:rPr>
        <w:t>.</w:t>
      </w:r>
    </w:p>
  </w:footnote>
  <w:footnote w:id="9">
    <w:p w14:paraId="19432905" w14:textId="77777777" w:rsidR="005D42B6" w:rsidRDefault="005D42B6" w:rsidP="005D42B6">
      <w:pPr>
        <w:pStyle w:val="FootnoteText"/>
      </w:pPr>
      <w:r w:rsidRPr="0C95BBA6">
        <w:rPr>
          <w:rStyle w:val="FootnoteReference"/>
        </w:rPr>
        <w:footnoteRef/>
      </w:r>
      <w:r>
        <w:t xml:space="preserve"> </w:t>
      </w:r>
      <w:r w:rsidRPr="005D42B6">
        <w:rPr>
          <w:rFonts w:ascii="Times New Roman" w:hAnsi="Times New Roman" w:cs="Times New Roman"/>
        </w:rPr>
        <w:t>The table is subject to the pro rata obligations of each Member State under Regulation (EU) 2017/1938, in particular Articles 6a, 6b and 6c thereof.</w:t>
      </w:r>
    </w:p>
  </w:footnote>
  <w:footnote w:id="10">
    <w:p w14:paraId="4B10AD78" w14:textId="2596F454" w:rsidR="00403802" w:rsidRPr="00403802" w:rsidRDefault="00403802" w:rsidP="00133BBC">
      <w:pPr>
        <w:pStyle w:val="FootnoteText"/>
        <w:jc w:val="both"/>
      </w:pPr>
      <w:r>
        <w:rPr>
          <w:rStyle w:val="FootnoteReference"/>
        </w:rPr>
        <w:footnoteRef/>
      </w:r>
      <w:hyperlink r:id="rId4" w:history="1">
        <w:r w:rsidRPr="00133BBC">
          <w:rPr>
            <w:rFonts w:ascii="Times New Roman" w:hAnsi="Times New Roman" w:cs="Times New Roman"/>
            <w:color w:val="0000FF"/>
            <w:u w:val="single"/>
          </w:rPr>
          <w:t>entsog.eu/sites/default/files/2023-10/SO0052-23_Winter Supply Outlook 2023-24 with Summer 2024 Overview.pdf</w:t>
        </w:r>
      </w:hyperlink>
      <w:r w:rsidR="009F52D0">
        <w:rPr>
          <w:rFonts w:ascii="Times New Roman" w:hAnsi="Times New Roman" w:cs="Times New Roman"/>
          <w:color w:val="0000FF"/>
          <w:u w:val="single"/>
        </w:rPr>
        <w:t>.</w:t>
      </w:r>
    </w:p>
  </w:footnote>
  <w:footnote w:id="11">
    <w:p w14:paraId="5E3668A3" w14:textId="703C3146" w:rsidR="005D42B6" w:rsidRPr="00727C0C" w:rsidRDefault="005D42B6" w:rsidP="005D42B6">
      <w:pPr>
        <w:pStyle w:val="FootnoteText"/>
        <w:rPr>
          <w:rFonts w:ascii="Times New Roman" w:hAnsi="Times New Roman" w:cs="Times New Roman"/>
          <w:lang w:val="en-IE"/>
        </w:rPr>
      </w:pPr>
      <w:r>
        <w:rPr>
          <w:rStyle w:val="FootnoteReference"/>
        </w:rPr>
        <w:footnoteRef/>
      </w:r>
      <w:r>
        <w:t xml:space="preserve"> </w:t>
      </w:r>
      <w:hyperlink r:id="rId5" w:history="1">
        <w:r w:rsidRPr="00727C0C">
          <w:rPr>
            <w:rFonts w:ascii="Times New Roman" w:hAnsi="Times New Roman" w:cs="Times New Roman"/>
            <w:color w:val="0000FF"/>
            <w:u w:val="single"/>
          </w:rPr>
          <w:t>What Drives Natural Gas Prices? on JSTOR</w:t>
        </w:r>
      </w:hyperlink>
      <w:r w:rsidR="009F52D0">
        <w:rPr>
          <w:rFonts w:ascii="Times New Roman" w:hAnsi="Times New Roman" w:cs="Times New Roman"/>
          <w:color w:val="0000FF"/>
          <w:u w:val="single"/>
        </w:rPr>
        <w:t>.</w:t>
      </w:r>
    </w:p>
  </w:footnote>
  <w:footnote w:id="12">
    <w:p w14:paraId="6859187E" w14:textId="503B5007" w:rsidR="005D42B6" w:rsidRPr="00727C0C" w:rsidRDefault="005D42B6" w:rsidP="005D42B6">
      <w:pPr>
        <w:pStyle w:val="FootnoteText"/>
        <w:rPr>
          <w:rFonts w:ascii="Times New Roman" w:hAnsi="Times New Roman" w:cs="Times New Roman"/>
          <w:lang w:val="en-IE"/>
        </w:rPr>
      </w:pPr>
      <w:r w:rsidRPr="00727C0C">
        <w:rPr>
          <w:rStyle w:val="FootnoteReference"/>
          <w:rFonts w:ascii="Times New Roman" w:hAnsi="Times New Roman" w:cs="Times New Roman"/>
        </w:rPr>
        <w:footnoteRef/>
      </w:r>
      <w:r w:rsidRPr="00727C0C">
        <w:rPr>
          <w:rFonts w:ascii="Times New Roman" w:hAnsi="Times New Roman" w:cs="Times New Roman"/>
        </w:rPr>
        <w:t xml:space="preserve"> </w:t>
      </w:r>
      <w:hyperlink r:id="rId6" w:history="1">
        <w:r w:rsidRPr="00727C0C">
          <w:rPr>
            <w:rFonts w:ascii="Times New Roman" w:hAnsi="Times New Roman" w:cs="Times New Roman"/>
            <w:color w:val="0000FF"/>
            <w:u w:val="single"/>
          </w:rPr>
          <w:t>EconPapers: Examining the Drivers of Natural Gas Price in Europe - Focus on the Role of Speculators (repec.org)</w:t>
        </w:r>
      </w:hyperlink>
      <w:r w:rsidR="009F52D0">
        <w:rPr>
          <w:rFonts w:ascii="Times New Roman" w:hAnsi="Times New Roman" w:cs="Times New Roman"/>
          <w:color w:val="0000FF"/>
          <w:u w:val="single"/>
        </w:rPr>
        <w:t>.</w:t>
      </w:r>
    </w:p>
  </w:footnote>
  <w:footnote w:id="13">
    <w:p w14:paraId="3D0D8D77" w14:textId="77777777" w:rsidR="005D42B6" w:rsidRPr="00232696" w:rsidRDefault="005D42B6" w:rsidP="005D42B6">
      <w:pPr>
        <w:pStyle w:val="FootnoteText"/>
        <w:rPr>
          <w:lang w:val="en-IE"/>
        </w:rPr>
      </w:pPr>
      <w:r>
        <w:rPr>
          <w:rStyle w:val="FootnoteReference"/>
        </w:rPr>
        <w:footnoteRef/>
      </w:r>
      <w:r>
        <w:t xml:space="preserve"> </w:t>
      </w:r>
      <w:r w:rsidRPr="005D42B6">
        <w:rPr>
          <w:rFonts w:ascii="Times New Roman" w:hAnsi="Times New Roman" w:cs="Times New Roman"/>
          <w:lang w:val="en-IE"/>
        </w:rPr>
        <w:t xml:space="preserve">86.40 % at EU level as from </w:t>
      </w:r>
      <w:hyperlink r:id="rId7" w:history="1">
        <w:r w:rsidRPr="005D42B6">
          <w:rPr>
            <w:rFonts w:ascii="Times New Roman" w:hAnsi="Times New Roman" w:cs="Times New Roman"/>
            <w:color w:val="0000FF"/>
            <w:sz w:val="22"/>
            <w:szCs w:val="22"/>
            <w:u w:val="single"/>
          </w:rPr>
          <w:t>Gas Infrastructure Europe - AGSI (gie.eu)</w:t>
        </w:r>
      </w:hyperlink>
      <w:r w:rsidRPr="005D42B6">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EC9F3" w14:textId="77777777" w:rsidR="007D3465" w:rsidRPr="007D3465" w:rsidRDefault="007D3465" w:rsidP="007D3465">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04166" w14:textId="77777777" w:rsidR="007D3465" w:rsidRPr="007D3465" w:rsidRDefault="007D3465" w:rsidP="007D346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B59F" w14:textId="77777777" w:rsidR="007D3465" w:rsidRPr="007D3465" w:rsidRDefault="007D3465" w:rsidP="007D346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235C" w14:textId="77777777" w:rsidR="00227DA3" w:rsidRDefault="00227D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27DA3" w14:paraId="4AEB6D15" w14:textId="77777777" w:rsidTr="003765DC">
      <w:trPr>
        <w:trHeight w:val="300"/>
      </w:trPr>
      <w:tc>
        <w:tcPr>
          <w:tcW w:w="3120" w:type="dxa"/>
        </w:tcPr>
        <w:p w14:paraId="0DCB7618" w14:textId="77777777" w:rsidR="00227DA3" w:rsidRDefault="00227DA3" w:rsidP="003765DC">
          <w:pPr>
            <w:pStyle w:val="Header"/>
            <w:ind w:left="-115"/>
          </w:pPr>
        </w:p>
      </w:tc>
      <w:tc>
        <w:tcPr>
          <w:tcW w:w="3120" w:type="dxa"/>
        </w:tcPr>
        <w:p w14:paraId="517E282C" w14:textId="77777777" w:rsidR="00227DA3" w:rsidRDefault="00227DA3" w:rsidP="003765DC">
          <w:pPr>
            <w:pStyle w:val="Header"/>
            <w:jc w:val="center"/>
          </w:pPr>
        </w:p>
      </w:tc>
      <w:tc>
        <w:tcPr>
          <w:tcW w:w="3120" w:type="dxa"/>
        </w:tcPr>
        <w:p w14:paraId="6FD7F553" w14:textId="77777777" w:rsidR="00227DA3" w:rsidRDefault="00227DA3" w:rsidP="003765DC">
          <w:pPr>
            <w:pStyle w:val="Header"/>
            <w:ind w:right="-115"/>
            <w:jc w:val="right"/>
          </w:pPr>
        </w:p>
      </w:tc>
    </w:tr>
  </w:tbl>
  <w:p w14:paraId="44C4A940" w14:textId="77777777" w:rsidR="00227DA3" w:rsidRDefault="00227DA3" w:rsidP="003765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28E6B" w14:textId="77777777" w:rsidR="00227DA3" w:rsidRDefault="00227DA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1B08"/>
    <w:multiLevelType w:val="hybridMultilevel"/>
    <w:tmpl w:val="FFFFFFFF"/>
    <w:lvl w:ilvl="0" w:tplc="CF0ED30E">
      <w:start w:val="3"/>
      <w:numFmt w:val="decimal"/>
      <w:lvlText w:val="%1."/>
      <w:lvlJc w:val="left"/>
      <w:pPr>
        <w:ind w:left="720" w:hanging="360"/>
      </w:pPr>
    </w:lvl>
    <w:lvl w:ilvl="1" w:tplc="66BA448E">
      <w:start w:val="1"/>
      <w:numFmt w:val="lowerLetter"/>
      <w:lvlText w:val="%2."/>
      <w:lvlJc w:val="left"/>
      <w:pPr>
        <w:ind w:left="1440" w:hanging="360"/>
      </w:pPr>
    </w:lvl>
    <w:lvl w:ilvl="2" w:tplc="8AB82612">
      <w:start w:val="1"/>
      <w:numFmt w:val="lowerRoman"/>
      <w:lvlText w:val="%3."/>
      <w:lvlJc w:val="right"/>
      <w:pPr>
        <w:ind w:left="2160" w:hanging="180"/>
      </w:pPr>
    </w:lvl>
    <w:lvl w:ilvl="3" w:tplc="F716ACC0">
      <w:start w:val="1"/>
      <w:numFmt w:val="decimal"/>
      <w:lvlText w:val="%4."/>
      <w:lvlJc w:val="left"/>
      <w:pPr>
        <w:ind w:left="2880" w:hanging="360"/>
      </w:pPr>
    </w:lvl>
    <w:lvl w:ilvl="4" w:tplc="CD70CF0C">
      <w:start w:val="1"/>
      <w:numFmt w:val="lowerLetter"/>
      <w:lvlText w:val="%5."/>
      <w:lvlJc w:val="left"/>
      <w:pPr>
        <w:ind w:left="3600" w:hanging="360"/>
      </w:pPr>
    </w:lvl>
    <w:lvl w:ilvl="5" w:tplc="784C5F2C">
      <w:start w:val="1"/>
      <w:numFmt w:val="lowerRoman"/>
      <w:lvlText w:val="%6."/>
      <w:lvlJc w:val="right"/>
      <w:pPr>
        <w:ind w:left="4320" w:hanging="180"/>
      </w:pPr>
    </w:lvl>
    <w:lvl w:ilvl="6" w:tplc="99FAA438">
      <w:start w:val="1"/>
      <w:numFmt w:val="decimal"/>
      <w:lvlText w:val="%7."/>
      <w:lvlJc w:val="left"/>
      <w:pPr>
        <w:ind w:left="5040" w:hanging="360"/>
      </w:pPr>
    </w:lvl>
    <w:lvl w:ilvl="7" w:tplc="70D2BFF0">
      <w:start w:val="1"/>
      <w:numFmt w:val="lowerLetter"/>
      <w:lvlText w:val="%8."/>
      <w:lvlJc w:val="left"/>
      <w:pPr>
        <w:ind w:left="5760" w:hanging="360"/>
      </w:pPr>
    </w:lvl>
    <w:lvl w:ilvl="8" w:tplc="E59C2AD0">
      <w:start w:val="1"/>
      <w:numFmt w:val="lowerRoman"/>
      <w:lvlText w:val="%9."/>
      <w:lvlJc w:val="right"/>
      <w:pPr>
        <w:ind w:left="6480" w:hanging="180"/>
      </w:pPr>
    </w:lvl>
  </w:abstractNum>
  <w:abstractNum w:abstractNumId="1" w15:restartNumberingAfterBreak="0">
    <w:nsid w:val="0CDA449F"/>
    <w:multiLevelType w:val="hybridMultilevel"/>
    <w:tmpl w:val="12581A3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241BC"/>
    <w:multiLevelType w:val="hybridMultilevel"/>
    <w:tmpl w:val="978E9B76"/>
    <w:lvl w:ilvl="0" w:tplc="69346852">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00DA083"/>
    <w:multiLevelType w:val="hybridMultilevel"/>
    <w:tmpl w:val="FFFFFFFF"/>
    <w:lvl w:ilvl="0" w:tplc="CA1C1B96">
      <w:start w:val="1"/>
      <w:numFmt w:val="bullet"/>
      <w:lvlText w:val="o"/>
      <w:lvlJc w:val="left"/>
      <w:pPr>
        <w:ind w:left="720" w:hanging="360"/>
      </w:pPr>
      <w:rPr>
        <w:rFonts w:ascii="Courier New" w:hAnsi="Courier New" w:hint="default"/>
      </w:rPr>
    </w:lvl>
    <w:lvl w:ilvl="1" w:tplc="CB3AF30C">
      <w:start w:val="1"/>
      <w:numFmt w:val="bullet"/>
      <w:lvlText w:val="o"/>
      <w:lvlJc w:val="left"/>
      <w:pPr>
        <w:ind w:left="1440" w:hanging="360"/>
      </w:pPr>
      <w:rPr>
        <w:rFonts w:ascii="Courier New" w:hAnsi="Courier New" w:hint="default"/>
      </w:rPr>
    </w:lvl>
    <w:lvl w:ilvl="2" w:tplc="B4B065F6">
      <w:start w:val="1"/>
      <w:numFmt w:val="bullet"/>
      <w:lvlText w:val=""/>
      <w:lvlJc w:val="left"/>
      <w:pPr>
        <w:ind w:left="2160" w:hanging="360"/>
      </w:pPr>
      <w:rPr>
        <w:rFonts w:ascii="Wingdings" w:hAnsi="Wingdings" w:hint="default"/>
      </w:rPr>
    </w:lvl>
    <w:lvl w:ilvl="3" w:tplc="ECBC82B8">
      <w:start w:val="1"/>
      <w:numFmt w:val="bullet"/>
      <w:lvlText w:val=""/>
      <w:lvlJc w:val="left"/>
      <w:pPr>
        <w:ind w:left="2880" w:hanging="360"/>
      </w:pPr>
      <w:rPr>
        <w:rFonts w:ascii="Symbol" w:hAnsi="Symbol" w:hint="default"/>
      </w:rPr>
    </w:lvl>
    <w:lvl w:ilvl="4" w:tplc="38BC1268">
      <w:start w:val="1"/>
      <w:numFmt w:val="bullet"/>
      <w:lvlText w:val="o"/>
      <w:lvlJc w:val="left"/>
      <w:pPr>
        <w:ind w:left="3600" w:hanging="360"/>
      </w:pPr>
      <w:rPr>
        <w:rFonts w:ascii="Courier New" w:hAnsi="Courier New" w:hint="default"/>
      </w:rPr>
    </w:lvl>
    <w:lvl w:ilvl="5" w:tplc="9B546F1C">
      <w:start w:val="1"/>
      <w:numFmt w:val="bullet"/>
      <w:lvlText w:val=""/>
      <w:lvlJc w:val="left"/>
      <w:pPr>
        <w:ind w:left="4320" w:hanging="360"/>
      </w:pPr>
      <w:rPr>
        <w:rFonts w:ascii="Wingdings" w:hAnsi="Wingdings" w:hint="default"/>
      </w:rPr>
    </w:lvl>
    <w:lvl w:ilvl="6" w:tplc="FD6A7798">
      <w:start w:val="1"/>
      <w:numFmt w:val="bullet"/>
      <w:lvlText w:val=""/>
      <w:lvlJc w:val="left"/>
      <w:pPr>
        <w:ind w:left="5040" w:hanging="360"/>
      </w:pPr>
      <w:rPr>
        <w:rFonts w:ascii="Symbol" w:hAnsi="Symbol" w:hint="default"/>
      </w:rPr>
    </w:lvl>
    <w:lvl w:ilvl="7" w:tplc="7FD8FC6C">
      <w:start w:val="1"/>
      <w:numFmt w:val="bullet"/>
      <w:lvlText w:val="o"/>
      <w:lvlJc w:val="left"/>
      <w:pPr>
        <w:ind w:left="5760" w:hanging="360"/>
      </w:pPr>
      <w:rPr>
        <w:rFonts w:ascii="Courier New" w:hAnsi="Courier New" w:hint="default"/>
      </w:rPr>
    </w:lvl>
    <w:lvl w:ilvl="8" w:tplc="6A4C80F8">
      <w:start w:val="1"/>
      <w:numFmt w:val="bullet"/>
      <w:lvlText w:val=""/>
      <w:lvlJc w:val="left"/>
      <w:pPr>
        <w:ind w:left="6480" w:hanging="360"/>
      </w:pPr>
      <w:rPr>
        <w:rFonts w:ascii="Wingdings" w:hAnsi="Wingdings" w:hint="default"/>
      </w:rPr>
    </w:lvl>
  </w:abstractNum>
  <w:abstractNum w:abstractNumId="5" w15:restartNumberingAfterBreak="0">
    <w:nsid w:val="26BB0ED1"/>
    <w:multiLevelType w:val="hybridMultilevel"/>
    <w:tmpl w:val="AB9AE2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7F10606"/>
    <w:multiLevelType w:val="hybridMultilevel"/>
    <w:tmpl w:val="D0C46442"/>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27338F"/>
    <w:multiLevelType w:val="hybridMultilevel"/>
    <w:tmpl w:val="8AC0515C"/>
    <w:lvl w:ilvl="0" w:tplc="18090011">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1722A79"/>
    <w:multiLevelType w:val="hybridMultilevel"/>
    <w:tmpl w:val="63A4E00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1E3F426"/>
    <w:multiLevelType w:val="hybridMultilevel"/>
    <w:tmpl w:val="FFFFFFFF"/>
    <w:lvl w:ilvl="0" w:tplc="16A418CA">
      <w:start w:val="1"/>
      <w:numFmt w:val="decimal"/>
      <w:lvlText w:val="%1."/>
      <w:lvlJc w:val="left"/>
      <w:pPr>
        <w:ind w:left="720" w:hanging="360"/>
      </w:pPr>
    </w:lvl>
    <w:lvl w:ilvl="1" w:tplc="6B54CE00">
      <w:start w:val="1"/>
      <w:numFmt w:val="lowerLetter"/>
      <w:lvlText w:val="%2."/>
      <w:lvlJc w:val="left"/>
      <w:pPr>
        <w:ind w:left="1440" w:hanging="360"/>
      </w:pPr>
    </w:lvl>
    <w:lvl w:ilvl="2" w:tplc="530C78F8">
      <w:start w:val="1"/>
      <w:numFmt w:val="lowerRoman"/>
      <w:lvlText w:val="%3."/>
      <w:lvlJc w:val="right"/>
      <w:pPr>
        <w:ind w:left="2160" w:hanging="180"/>
      </w:pPr>
    </w:lvl>
    <w:lvl w:ilvl="3" w:tplc="5CC0A308">
      <w:start w:val="1"/>
      <w:numFmt w:val="decimal"/>
      <w:lvlText w:val="%4."/>
      <w:lvlJc w:val="left"/>
      <w:pPr>
        <w:ind w:left="2880" w:hanging="360"/>
      </w:pPr>
    </w:lvl>
    <w:lvl w:ilvl="4" w:tplc="EC668FEA">
      <w:start w:val="1"/>
      <w:numFmt w:val="lowerLetter"/>
      <w:lvlText w:val="%5."/>
      <w:lvlJc w:val="left"/>
      <w:pPr>
        <w:ind w:left="3600" w:hanging="360"/>
      </w:pPr>
    </w:lvl>
    <w:lvl w:ilvl="5" w:tplc="6DD02124">
      <w:start w:val="1"/>
      <w:numFmt w:val="lowerRoman"/>
      <w:lvlText w:val="%6."/>
      <w:lvlJc w:val="right"/>
      <w:pPr>
        <w:ind w:left="4320" w:hanging="180"/>
      </w:pPr>
    </w:lvl>
    <w:lvl w:ilvl="6" w:tplc="C6FE8D32">
      <w:start w:val="1"/>
      <w:numFmt w:val="decimal"/>
      <w:lvlText w:val="%7."/>
      <w:lvlJc w:val="left"/>
      <w:pPr>
        <w:ind w:left="5040" w:hanging="360"/>
      </w:pPr>
    </w:lvl>
    <w:lvl w:ilvl="7" w:tplc="23084194">
      <w:start w:val="1"/>
      <w:numFmt w:val="lowerLetter"/>
      <w:lvlText w:val="%8."/>
      <w:lvlJc w:val="left"/>
      <w:pPr>
        <w:ind w:left="5760" w:hanging="360"/>
      </w:pPr>
    </w:lvl>
    <w:lvl w:ilvl="8" w:tplc="2BAA8280">
      <w:start w:val="1"/>
      <w:numFmt w:val="lowerRoman"/>
      <w:lvlText w:val="%9."/>
      <w:lvlJc w:val="right"/>
      <w:pPr>
        <w:ind w:left="6480" w:hanging="180"/>
      </w:pPr>
    </w:lvl>
  </w:abstractNum>
  <w:abstractNum w:abstractNumId="11" w15:restartNumberingAfterBreak="0">
    <w:nsid w:val="33F1723C"/>
    <w:multiLevelType w:val="hybridMultilevel"/>
    <w:tmpl w:val="8862AEE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99D6B9B"/>
    <w:multiLevelType w:val="hybridMultilevel"/>
    <w:tmpl w:val="E03AA01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C42C11"/>
    <w:multiLevelType w:val="hybridMultilevel"/>
    <w:tmpl w:val="FFE824F0"/>
    <w:lvl w:ilvl="0" w:tplc="B86A512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BBC61CD"/>
    <w:multiLevelType w:val="hybridMultilevel"/>
    <w:tmpl w:val="7268A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AC3C72"/>
    <w:multiLevelType w:val="hybridMultilevel"/>
    <w:tmpl w:val="FFFFFFFF"/>
    <w:lvl w:ilvl="0" w:tplc="18782E5C">
      <w:start w:val="2"/>
      <w:numFmt w:val="decimal"/>
      <w:lvlText w:val="%1."/>
      <w:lvlJc w:val="left"/>
      <w:pPr>
        <w:ind w:left="720" w:hanging="360"/>
      </w:pPr>
    </w:lvl>
    <w:lvl w:ilvl="1" w:tplc="E36650E8">
      <w:start w:val="1"/>
      <w:numFmt w:val="lowerLetter"/>
      <w:lvlText w:val="%2."/>
      <w:lvlJc w:val="left"/>
      <w:pPr>
        <w:ind w:left="1440" w:hanging="360"/>
      </w:pPr>
    </w:lvl>
    <w:lvl w:ilvl="2" w:tplc="5928C75E">
      <w:start w:val="1"/>
      <w:numFmt w:val="lowerRoman"/>
      <w:lvlText w:val="%3."/>
      <w:lvlJc w:val="right"/>
      <w:pPr>
        <w:ind w:left="2160" w:hanging="180"/>
      </w:pPr>
    </w:lvl>
    <w:lvl w:ilvl="3" w:tplc="E4FA015E">
      <w:start w:val="1"/>
      <w:numFmt w:val="decimal"/>
      <w:lvlText w:val="%4."/>
      <w:lvlJc w:val="left"/>
      <w:pPr>
        <w:ind w:left="2880" w:hanging="360"/>
      </w:pPr>
    </w:lvl>
    <w:lvl w:ilvl="4" w:tplc="D3223ED8">
      <w:start w:val="1"/>
      <w:numFmt w:val="lowerLetter"/>
      <w:lvlText w:val="%5."/>
      <w:lvlJc w:val="left"/>
      <w:pPr>
        <w:ind w:left="3600" w:hanging="360"/>
      </w:pPr>
    </w:lvl>
    <w:lvl w:ilvl="5" w:tplc="3954D548">
      <w:start w:val="1"/>
      <w:numFmt w:val="lowerRoman"/>
      <w:lvlText w:val="%6."/>
      <w:lvlJc w:val="right"/>
      <w:pPr>
        <w:ind w:left="4320" w:hanging="180"/>
      </w:pPr>
    </w:lvl>
    <w:lvl w:ilvl="6" w:tplc="DCEE37BA">
      <w:start w:val="1"/>
      <w:numFmt w:val="decimal"/>
      <w:lvlText w:val="%7."/>
      <w:lvlJc w:val="left"/>
      <w:pPr>
        <w:ind w:left="5040" w:hanging="360"/>
      </w:pPr>
    </w:lvl>
    <w:lvl w:ilvl="7" w:tplc="3C7E3C10">
      <w:start w:val="1"/>
      <w:numFmt w:val="lowerLetter"/>
      <w:lvlText w:val="%8."/>
      <w:lvlJc w:val="left"/>
      <w:pPr>
        <w:ind w:left="5760" w:hanging="360"/>
      </w:pPr>
    </w:lvl>
    <w:lvl w:ilvl="8" w:tplc="B6428036">
      <w:start w:val="1"/>
      <w:numFmt w:val="lowerRoman"/>
      <w:lvlText w:val="%9."/>
      <w:lvlJc w:val="right"/>
      <w:pPr>
        <w:ind w:left="6480" w:hanging="180"/>
      </w:pPr>
    </w:lvl>
  </w:abstractNum>
  <w:abstractNum w:abstractNumId="16" w15:restartNumberingAfterBreak="0">
    <w:nsid w:val="4813B616"/>
    <w:multiLevelType w:val="hybridMultilevel"/>
    <w:tmpl w:val="FFFFFFFF"/>
    <w:lvl w:ilvl="0" w:tplc="DAAEBF80">
      <w:start w:val="1"/>
      <w:numFmt w:val="bullet"/>
      <w:lvlText w:val="-"/>
      <w:lvlJc w:val="left"/>
      <w:pPr>
        <w:ind w:left="720" w:hanging="360"/>
      </w:pPr>
      <w:rPr>
        <w:rFonts w:ascii="Calibri" w:hAnsi="Calibri" w:hint="default"/>
      </w:rPr>
    </w:lvl>
    <w:lvl w:ilvl="1" w:tplc="42A2B8CC">
      <w:start w:val="1"/>
      <w:numFmt w:val="bullet"/>
      <w:lvlText w:val="o"/>
      <w:lvlJc w:val="left"/>
      <w:pPr>
        <w:ind w:left="1440" w:hanging="360"/>
      </w:pPr>
      <w:rPr>
        <w:rFonts w:ascii="Courier New" w:hAnsi="Courier New" w:hint="default"/>
      </w:rPr>
    </w:lvl>
    <w:lvl w:ilvl="2" w:tplc="F8FED570">
      <w:start w:val="1"/>
      <w:numFmt w:val="bullet"/>
      <w:lvlText w:val=""/>
      <w:lvlJc w:val="left"/>
      <w:pPr>
        <w:ind w:left="2160" w:hanging="360"/>
      </w:pPr>
      <w:rPr>
        <w:rFonts w:ascii="Wingdings" w:hAnsi="Wingdings" w:hint="default"/>
      </w:rPr>
    </w:lvl>
    <w:lvl w:ilvl="3" w:tplc="D0D639BE">
      <w:start w:val="1"/>
      <w:numFmt w:val="bullet"/>
      <w:lvlText w:val=""/>
      <w:lvlJc w:val="left"/>
      <w:pPr>
        <w:ind w:left="2880" w:hanging="360"/>
      </w:pPr>
      <w:rPr>
        <w:rFonts w:ascii="Symbol" w:hAnsi="Symbol" w:hint="default"/>
      </w:rPr>
    </w:lvl>
    <w:lvl w:ilvl="4" w:tplc="9E4C4B0A">
      <w:start w:val="1"/>
      <w:numFmt w:val="bullet"/>
      <w:lvlText w:val="o"/>
      <w:lvlJc w:val="left"/>
      <w:pPr>
        <w:ind w:left="3600" w:hanging="360"/>
      </w:pPr>
      <w:rPr>
        <w:rFonts w:ascii="Courier New" w:hAnsi="Courier New" w:hint="default"/>
      </w:rPr>
    </w:lvl>
    <w:lvl w:ilvl="5" w:tplc="13F87FD6">
      <w:start w:val="1"/>
      <w:numFmt w:val="bullet"/>
      <w:lvlText w:val=""/>
      <w:lvlJc w:val="left"/>
      <w:pPr>
        <w:ind w:left="4320" w:hanging="360"/>
      </w:pPr>
      <w:rPr>
        <w:rFonts w:ascii="Wingdings" w:hAnsi="Wingdings" w:hint="default"/>
      </w:rPr>
    </w:lvl>
    <w:lvl w:ilvl="6" w:tplc="A8EE520E">
      <w:start w:val="1"/>
      <w:numFmt w:val="bullet"/>
      <w:lvlText w:val=""/>
      <w:lvlJc w:val="left"/>
      <w:pPr>
        <w:ind w:left="5040" w:hanging="360"/>
      </w:pPr>
      <w:rPr>
        <w:rFonts w:ascii="Symbol" w:hAnsi="Symbol" w:hint="default"/>
      </w:rPr>
    </w:lvl>
    <w:lvl w:ilvl="7" w:tplc="3FECC3AE">
      <w:start w:val="1"/>
      <w:numFmt w:val="bullet"/>
      <w:lvlText w:val="o"/>
      <w:lvlJc w:val="left"/>
      <w:pPr>
        <w:ind w:left="5760" w:hanging="360"/>
      </w:pPr>
      <w:rPr>
        <w:rFonts w:ascii="Courier New" w:hAnsi="Courier New" w:hint="default"/>
      </w:rPr>
    </w:lvl>
    <w:lvl w:ilvl="8" w:tplc="654EFAD8">
      <w:start w:val="1"/>
      <w:numFmt w:val="bullet"/>
      <w:lvlText w:val=""/>
      <w:lvlJc w:val="left"/>
      <w:pPr>
        <w:ind w:left="6480" w:hanging="360"/>
      </w:pPr>
      <w:rPr>
        <w:rFonts w:ascii="Wingdings" w:hAnsi="Wingdings" w:hint="default"/>
      </w:rPr>
    </w:lvl>
  </w:abstractNum>
  <w:abstractNum w:abstractNumId="17" w15:restartNumberingAfterBreak="0">
    <w:nsid w:val="4B204359"/>
    <w:multiLevelType w:val="hybridMultilevel"/>
    <w:tmpl w:val="4372D746"/>
    <w:lvl w:ilvl="0" w:tplc="24E4A5B2">
      <w:start w:val="1"/>
      <w:numFmt w:val="lowerLetter"/>
      <w:lvlText w:val="(%1)"/>
      <w:lvlJc w:val="left"/>
      <w:pPr>
        <w:ind w:left="770" w:hanging="41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B6EF24"/>
    <w:multiLevelType w:val="hybridMultilevel"/>
    <w:tmpl w:val="FFFFFFFF"/>
    <w:lvl w:ilvl="0" w:tplc="546AD8CE">
      <w:start w:val="1"/>
      <w:numFmt w:val="decimal"/>
      <w:lvlText w:val="%1."/>
      <w:lvlJc w:val="left"/>
      <w:pPr>
        <w:ind w:left="720" w:hanging="360"/>
      </w:pPr>
    </w:lvl>
    <w:lvl w:ilvl="1" w:tplc="E4541200">
      <w:start w:val="1"/>
      <w:numFmt w:val="lowerLetter"/>
      <w:lvlText w:val="%2."/>
      <w:lvlJc w:val="left"/>
      <w:pPr>
        <w:ind w:left="1440" w:hanging="360"/>
      </w:pPr>
    </w:lvl>
    <w:lvl w:ilvl="2" w:tplc="FFB08A90">
      <w:start w:val="1"/>
      <w:numFmt w:val="lowerRoman"/>
      <w:lvlText w:val="%3."/>
      <w:lvlJc w:val="right"/>
      <w:pPr>
        <w:ind w:left="2160" w:hanging="180"/>
      </w:pPr>
    </w:lvl>
    <w:lvl w:ilvl="3" w:tplc="1E82EBB2">
      <w:start w:val="1"/>
      <w:numFmt w:val="decimal"/>
      <w:lvlText w:val="%4."/>
      <w:lvlJc w:val="left"/>
      <w:pPr>
        <w:ind w:left="2880" w:hanging="360"/>
      </w:pPr>
    </w:lvl>
    <w:lvl w:ilvl="4" w:tplc="98AEBB8E">
      <w:start w:val="1"/>
      <w:numFmt w:val="lowerLetter"/>
      <w:lvlText w:val="%5."/>
      <w:lvlJc w:val="left"/>
      <w:pPr>
        <w:ind w:left="3600" w:hanging="360"/>
      </w:pPr>
    </w:lvl>
    <w:lvl w:ilvl="5" w:tplc="AE4663B0">
      <w:start w:val="1"/>
      <w:numFmt w:val="lowerRoman"/>
      <w:lvlText w:val="%6."/>
      <w:lvlJc w:val="right"/>
      <w:pPr>
        <w:ind w:left="4320" w:hanging="180"/>
      </w:pPr>
    </w:lvl>
    <w:lvl w:ilvl="6" w:tplc="B418AB60">
      <w:start w:val="1"/>
      <w:numFmt w:val="decimal"/>
      <w:lvlText w:val="%7."/>
      <w:lvlJc w:val="left"/>
      <w:pPr>
        <w:ind w:left="5040" w:hanging="360"/>
      </w:pPr>
    </w:lvl>
    <w:lvl w:ilvl="7" w:tplc="F3721444">
      <w:start w:val="1"/>
      <w:numFmt w:val="lowerLetter"/>
      <w:lvlText w:val="%8."/>
      <w:lvlJc w:val="left"/>
      <w:pPr>
        <w:ind w:left="5760" w:hanging="360"/>
      </w:pPr>
    </w:lvl>
    <w:lvl w:ilvl="8" w:tplc="C14272BE">
      <w:start w:val="1"/>
      <w:numFmt w:val="lowerRoman"/>
      <w:lvlText w:val="%9."/>
      <w:lvlJc w:val="right"/>
      <w:pPr>
        <w:ind w:left="6480" w:hanging="180"/>
      </w:pPr>
    </w:lvl>
  </w:abstractNum>
  <w:abstractNum w:abstractNumId="19" w15:restartNumberingAfterBreak="0">
    <w:nsid w:val="50370591"/>
    <w:multiLevelType w:val="hybridMultilevel"/>
    <w:tmpl w:val="D0C464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266F3C"/>
    <w:multiLevelType w:val="hybridMultilevel"/>
    <w:tmpl w:val="54FA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84B1B"/>
    <w:multiLevelType w:val="hybridMultilevel"/>
    <w:tmpl w:val="ADE2684E"/>
    <w:lvl w:ilvl="0" w:tplc="5CB4D590">
      <w:start w:val="1119"/>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D82FD3"/>
    <w:multiLevelType w:val="hybridMultilevel"/>
    <w:tmpl w:val="BEDA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B3E71"/>
    <w:multiLevelType w:val="hybridMultilevel"/>
    <w:tmpl w:val="0ED099AA"/>
    <w:lvl w:ilvl="0" w:tplc="EE3050A4">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E4D6F34"/>
    <w:multiLevelType w:val="hybridMultilevel"/>
    <w:tmpl w:val="E38E5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633744"/>
    <w:multiLevelType w:val="hybridMultilevel"/>
    <w:tmpl w:val="7194CB4C"/>
    <w:lvl w:ilvl="0" w:tplc="08224A50">
      <w:start w:val="1"/>
      <w:numFmt w:val="upp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5EDF1C13"/>
    <w:multiLevelType w:val="hybridMultilevel"/>
    <w:tmpl w:val="FFFFFFFF"/>
    <w:lvl w:ilvl="0" w:tplc="D8DCECCC">
      <w:start w:val="4"/>
      <w:numFmt w:val="decimal"/>
      <w:lvlText w:val="%1."/>
      <w:lvlJc w:val="left"/>
      <w:pPr>
        <w:ind w:left="720" w:hanging="360"/>
      </w:pPr>
    </w:lvl>
    <w:lvl w:ilvl="1" w:tplc="FD6222C2">
      <w:start w:val="1"/>
      <w:numFmt w:val="lowerLetter"/>
      <w:lvlText w:val="%2."/>
      <w:lvlJc w:val="left"/>
      <w:pPr>
        <w:ind w:left="1440" w:hanging="360"/>
      </w:pPr>
    </w:lvl>
    <w:lvl w:ilvl="2" w:tplc="F1F62DE8">
      <w:start w:val="1"/>
      <w:numFmt w:val="lowerRoman"/>
      <w:lvlText w:val="%3."/>
      <w:lvlJc w:val="right"/>
      <w:pPr>
        <w:ind w:left="2160" w:hanging="180"/>
      </w:pPr>
    </w:lvl>
    <w:lvl w:ilvl="3" w:tplc="A73419F8">
      <w:start w:val="1"/>
      <w:numFmt w:val="decimal"/>
      <w:lvlText w:val="%4."/>
      <w:lvlJc w:val="left"/>
      <w:pPr>
        <w:ind w:left="2880" w:hanging="360"/>
      </w:pPr>
    </w:lvl>
    <w:lvl w:ilvl="4" w:tplc="BCEE6904">
      <w:start w:val="1"/>
      <w:numFmt w:val="lowerLetter"/>
      <w:lvlText w:val="%5."/>
      <w:lvlJc w:val="left"/>
      <w:pPr>
        <w:ind w:left="3600" w:hanging="360"/>
      </w:pPr>
    </w:lvl>
    <w:lvl w:ilvl="5" w:tplc="3AAAF466">
      <w:start w:val="1"/>
      <w:numFmt w:val="lowerRoman"/>
      <w:lvlText w:val="%6."/>
      <w:lvlJc w:val="right"/>
      <w:pPr>
        <w:ind w:left="4320" w:hanging="180"/>
      </w:pPr>
    </w:lvl>
    <w:lvl w:ilvl="6" w:tplc="B472FCAA">
      <w:start w:val="1"/>
      <w:numFmt w:val="decimal"/>
      <w:lvlText w:val="%7."/>
      <w:lvlJc w:val="left"/>
      <w:pPr>
        <w:ind w:left="5040" w:hanging="360"/>
      </w:pPr>
    </w:lvl>
    <w:lvl w:ilvl="7" w:tplc="C562C86E">
      <w:start w:val="1"/>
      <w:numFmt w:val="lowerLetter"/>
      <w:lvlText w:val="%8."/>
      <w:lvlJc w:val="left"/>
      <w:pPr>
        <w:ind w:left="5760" w:hanging="360"/>
      </w:pPr>
    </w:lvl>
    <w:lvl w:ilvl="8" w:tplc="C996FFC6">
      <w:start w:val="1"/>
      <w:numFmt w:val="lowerRoman"/>
      <w:lvlText w:val="%9."/>
      <w:lvlJc w:val="right"/>
      <w:pPr>
        <w:ind w:left="6480" w:hanging="180"/>
      </w:pPr>
    </w:lvl>
  </w:abstractNum>
  <w:abstractNum w:abstractNumId="27" w15:restartNumberingAfterBreak="0">
    <w:nsid w:val="64FC6578"/>
    <w:multiLevelType w:val="hybridMultilevel"/>
    <w:tmpl w:val="C9D2F9DC"/>
    <w:lvl w:ilvl="0" w:tplc="EE3050A4">
      <w:start w:val="1"/>
      <w:numFmt w:val="bullet"/>
      <w:lvlText w:val="-"/>
      <w:lvlJc w:val="left"/>
      <w:pPr>
        <w:ind w:left="720" w:hanging="360"/>
      </w:pPr>
      <w:rPr>
        <w:rFonts w:ascii="Calibri" w:hAnsi="Calibri" w:hint="default"/>
      </w:rPr>
    </w:lvl>
    <w:lvl w:ilvl="1" w:tplc="1AC098D6">
      <w:start w:val="1"/>
      <w:numFmt w:val="bullet"/>
      <w:lvlText w:val="o"/>
      <w:lvlJc w:val="left"/>
      <w:pPr>
        <w:ind w:left="1440" w:hanging="360"/>
      </w:pPr>
      <w:rPr>
        <w:rFonts w:ascii="Courier New" w:hAnsi="Courier New" w:hint="default"/>
      </w:rPr>
    </w:lvl>
    <w:lvl w:ilvl="2" w:tplc="BF943092">
      <w:start w:val="1"/>
      <w:numFmt w:val="bullet"/>
      <w:lvlText w:val=""/>
      <w:lvlJc w:val="left"/>
      <w:pPr>
        <w:ind w:left="2160" w:hanging="360"/>
      </w:pPr>
      <w:rPr>
        <w:rFonts w:ascii="Wingdings" w:hAnsi="Wingdings" w:hint="default"/>
      </w:rPr>
    </w:lvl>
    <w:lvl w:ilvl="3" w:tplc="9F527AAE">
      <w:start w:val="1"/>
      <w:numFmt w:val="bullet"/>
      <w:lvlText w:val=""/>
      <w:lvlJc w:val="left"/>
      <w:pPr>
        <w:ind w:left="2880" w:hanging="360"/>
      </w:pPr>
      <w:rPr>
        <w:rFonts w:ascii="Symbol" w:hAnsi="Symbol" w:hint="default"/>
      </w:rPr>
    </w:lvl>
    <w:lvl w:ilvl="4" w:tplc="E0863892">
      <w:start w:val="1"/>
      <w:numFmt w:val="bullet"/>
      <w:lvlText w:val="o"/>
      <w:lvlJc w:val="left"/>
      <w:pPr>
        <w:ind w:left="3600" w:hanging="360"/>
      </w:pPr>
      <w:rPr>
        <w:rFonts w:ascii="Courier New" w:hAnsi="Courier New" w:hint="default"/>
      </w:rPr>
    </w:lvl>
    <w:lvl w:ilvl="5" w:tplc="C20AA568">
      <w:start w:val="1"/>
      <w:numFmt w:val="bullet"/>
      <w:lvlText w:val=""/>
      <w:lvlJc w:val="left"/>
      <w:pPr>
        <w:ind w:left="4320" w:hanging="360"/>
      </w:pPr>
      <w:rPr>
        <w:rFonts w:ascii="Wingdings" w:hAnsi="Wingdings" w:hint="default"/>
      </w:rPr>
    </w:lvl>
    <w:lvl w:ilvl="6" w:tplc="2A8A65E0">
      <w:start w:val="1"/>
      <w:numFmt w:val="bullet"/>
      <w:lvlText w:val=""/>
      <w:lvlJc w:val="left"/>
      <w:pPr>
        <w:ind w:left="5040" w:hanging="360"/>
      </w:pPr>
      <w:rPr>
        <w:rFonts w:ascii="Symbol" w:hAnsi="Symbol" w:hint="default"/>
      </w:rPr>
    </w:lvl>
    <w:lvl w:ilvl="7" w:tplc="BA840688">
      <w:start w:val="1"/>
      <w:numFmt w:val="bullet"/>
      <w:lvlText w:val="o"/>
      <w:lvlJc w:val="left"/>
      <w:pPr>
        <w:ind w:left="5760" w:hanging="360"/>
      </w:pPr>
      <w:rPr>
        <w:rFonts w:ascii="Courier New" w:hAnsi="Courier New" w:hint="default"/>
      </w:rPr>
    </w:lvl>
    <w:lvl w:ilvl="8" w:tplc="F43E6ED8">
      <w:start w:val="1"/>
      <w:numFmt w:val="bullet"/>
      <w:lvlText w:val=""/>
      <w:lvlJc w:val="left"/>
      <w:pPr>
        <w:ind w:left="6480" w:hanging="360"/>
      </w:pPr>
      <w:rPr>
        <w:rFonts w:ascii="Wingdings" w:hAnsi="Wingdings" w:hint="default"/>
      </w:rPr>
    </w:lvl>
  </w:abstractNum>
  <w:abstractNum w:abstractNumId="28" w15:restartNumberingAfterBreak="0">
    <w:nsid w:val="687F1BF2"/>
    <w:multiLevelType w:val="hybridMultilevel"/>
    <w:tmpl w:val="FAB0C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95EF9"/>
    <w:multiLevelType w:val="hybridMultilevel"/>
    <w:tmpl w:val="2A520B2C"/>
    <w:lvl w:ilvl="0" w:tplc="18090001">
      <w:start w:val="1"/>
      <w:numFmt w:val="bullet"/>
      <w:lvlText w:val=""/>
      <w:lvlJc w:val="left"/>
      <w:pPr>
        <w:ind w:left="720" w:hanging="360"/>
      </w:pPr>
      <w:rPr>
        <w:rFonts w:ascii="Symbol" w:hAnsi="Symbol" w:hint="default"/>
      </w:rPr>
    </w:lvl>
    <w:lvl w:ilvl="1" w:tplc="47BA2F74">
      <w:start w:val="1"/>
      <w:numFmt w:val="lowerLetter"/>
      <w:lvlText w:val="%2."/>
      <w:lvlJc w:val="left"/>
      <w:pPr>
        <w:ind w:left="1440" w:hanging="360"/>
      </w:pPr>
    </w:lvl>
    <w:lvl w:ilvl="2" w:tplc="01567F1C">
      <w:start w:val="1"/>
      <w:numFmt w:val="lowerRoman"/>
      <w:lvlText w:val="%3."/>
      <w:lvlJc w:val="right"/>
      <w:pPr>
        <w:ind w:left="2160" w:hanging="180"/>
      </w:pPr>
    </w:lvl>
    <w:lvl w:ilvl="3" w:tplc="FA4A9F62">
      <w:start w:val="1"/>
      <w:numFmt w:val="decimal"/>
      <w:lvlText w:val="%4."/>
      <w:lvlJc w:val="left"/>
      <w:pPr>
        <w:ind w:left="2880" w:hanging="360"/>
      </w:pPr>
    </w:lvl>
    <w:lvl w:ilvl="4" w:tplc="D8B41E6C">
      <w:start w:val="1"/>
      <w:numFmt w:val="lowerLetter"/>
      <w:lvlText w:val="%5."/>
      <w:lvlJc w:val="left"/>
      <w:pPr>
        <w:ind w:left="3600" w:hanging="360"/>
      </w:pPr>
    </w:lvl>
    <w:lvl w:ilvl="5" w:tplc="7EE8E6D0">
      <w:start w:val="1"/>
      <w:numFmt w:val="lowerRoman"/>
      <w:lvlText w:val="%6."/>
      <w:lvlJc w:val="right"/>
      <w:pPr>
        <w:ind w:left="4320" w:hanging="180"/>
      </w:pPr>
    </w:lvl>
    <w:lvl w:ilvl="6" w:tplc="5F2695C8">
      <w:start w:val="1"/>
      <w:numFmt w:val="decimal"/>
      <w:lvlText w:val="%7."/>
      <w:lvlJc w:val="left"/>
      <w:pPr>
        <w:ind w:left="5040" w:hanging="360"/>
      </w:pPr>
    </w:lvl>
    <w:lvl w:ilvl="7" w:tplc="BEA4248A">
      <w:start w:val="1"/>
      <w:numFmt w:val="lowerLetter"/>
      <w:lvlText w:val="%8."/>
      <w:lvlJc w:val="left"/>
      <w:pPr>
        <w:ind w:left="5760" w:hanging="360"/>
      </w:pPr>
    </w:lvl>
    <w:lvl w:ilvl="8" w:tplc="20B07E46">
      <w:start w:val="1"/>
      <w:numFmt w:val="lowerRoman"/>
      <w:lvlText w:val="%9."/>
      <w:lvlJc w:val="right"/>
      <w:pPr>
        <w:ind w:left="6480" w:hanging="180"/>
      </w:pPr>
    </w:lvl>
  </w:abstractNum>
  <w:abstractNum w:abstractNumId="30" w15:restartNumberingAfterBreak="0">
    <w:nsid w:val="6A9109A6"/>
    <w:multiLevelType w:val="hybridMultilevel"/>
    <w:tmpl w:val="13FE4BEE"/>
    <w:lvl w:ilvl="0" w:tplc="FFFFFFF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CBD50D1"/>
    <w:multiLevelType w:val="hybridMultilevel"/>
    <w:tmpl w:val="75DE54BC"/>
    <w:lvl w:ilvl="0" w:tplc="798C895E">
      <w:start w:val="202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615FD1"/>
    <w:multiLevelType w:val="hybridMultilevel"/>
    <w:tmpl w:val="4FDAAEAC"/>
    <w:lvl w:ilvl="0" w:tplc="816C8F5E">
      <w:start w:val="1"/>
      <w:numFmt w:val="decimal"/>
      <w:lvlText w:val="%1)"/>
      <w:lvlJc w:val="left"/>
      <w:pPr>
        <w:ind w:left="720" w:hanging="360"/>
      </w:pPr>
      <w:rPr>
        <w:rFonts w:ascii="Times New Roman" w:eastAsia="Times New Roman" w:hAnsi="Times New Roman"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063588D"/>
    <w:multiLevelType w:val="hybridMultilevel"/>
    <w:tmpl w:val="10249F0C"/>
    <w:lvl w:ilvl="0" w:tplc="B0DECA14">
      <w:start w:val="1"/>
      <w:numFmt w:val="upp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7123D55"/>
    <w:multiLevelType w:val="hybridMultilevel"/>
    <w:tmpl w:val="4DC0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6B6F6"/>
    <w:multiLevelType w:val="hybridMultilevel"/>
    <w:tmpl w:val="FFFFFFFF"/>
    <w:lvl w:ilvl="0" w:tplc="B4442140">
      <w:start w:val="5"/>
      <w:numFmt w:val="decimal"/>
      <w:lvlText w:val="%1."/>
      <w:lvlJc w:val="left"/>
      <w:pPr>
        <w:ind w:left="720" w:hanging="360"/>
      </w:pPr>
    </w:lvl>
    <w:lvl w:ilvl="1" w:tplc="E6DC0F22">
      <w:start w:val="1"/>
      <w:numFmt w:val="lowerLetter"/>
      <w:lvlText w:val="%2."/>
      <w:lvlJc w:val="left"/>
      <w:pPr>
        <w:ind w:left="1440" w:hanging="360"/>
      </w:pPr>
    </w:lvl>
    <w:lvl w:ilvl="2" w:tplc="E4D69CA4">
      <w:start w:val="1"/>
      <w:numFmt w:val="lowerRoman"/>
      <w:lvlText w:val="%3."/>
      <w:lvlJc w:val="right"/>
      <w:pPr>
        <w:ind w:left="2160" w:hanging="180"/>
      </w:pPr>
    </w:lvl>
    <w:lvl w:ilvl="3" w:tplc="D068A3E4">
      <w:start w:val="1"/>
      <w:numFmt w:val="decimal"/>
      <w:lvlText w:val="%4."/>
      <w:lvlJc w:val="left"/>
      <w:pPr>
        <w:ind w:left="2880" w:hanging="360"/>
      </w:pPr>
    </w:lvl>
    <w:lvl w:ilvl="4" w:tplc="E55C7D04">
      <w:start w:val="1"/>
      <w:numFmt w:val="lowerLetter"/>
      <w:lvlText w:val="%5."/>
      <w:lvlJc w:val="left"/>
      <w:pPr>
        <w:ind w:left="3600" w:hanging="360"/>
      </w:pPr>
    </w:lvl>
    <w:lvl w:ilvl="5" w:tplc="9C78524E">
      <w:start w:val="1"/>
      <w:numFmt w:val="lowerRoman"/>
      <w:lvlText w:val="%6."/>
      <w:lvlJc w:val="right"/>
      <w:pPr>
        <w:ind w:left="4320" w:hanging="180"/>
      </w:pPr>
    </w:lvl>
    <w:lvl w:ilvl="6" w:tplc="E8DCD6DE">
      <w:start w:val="1"/>
      <w:numFmt w:val="decimal"/>
      <w:lvlText w:val="%7."/>
      <w:lvlJc w:val="left"/>
      <w:pPr>
        <w:ind w:left="5040" w:hanging="360"/>
      </w:pPr>
    </w:lvl>
    <w:lvl w:ilvl="7" w:tplc="AF5AAFCE">
      <w:start w:val="1"/>
      <w:numFmt w:val="lowerLetter"/>
      <w:lvlText w:val="%8."/>
      <w:lvlJc w:val="left"/>
      <w:pPr>
        <w:ind w:left="5760" w:hanging="360"/>
      </w:pPr>
    </w:lvl>
    <w:lvl w:ilvl="8" w:tplc="EC7AB09A">
      <w:start w:val="1"/>
      <w:numFmt w:val="lowerRoman"/>
      <w:lvlText w:val="%9."/>
      <w:lvlJc w:val="right"/>
      <w:pPr>
        <w:ind w:left="6480" w:hanging="180"/>
      </w:pPr>
    </w:lvl>
  </w:abstractNum>
  <w:abstractNum w:abstractNumId="36" w15:restartNumberingAfterBreak="0">
    <w:nsid w:val="7D144018"/>
    <w:multiLevelType w:val="hybridMultilevel"/>
    <w:tmpl w:val="936AF1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7D58742F"/>
    <w:multiLevelType w:val="hybridMultilevel"/>
    <w:tmpl w:val="E848B3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8"/>
  </w:num>
  <w:num w:numId="4">
    <w:abstractNumId w:val="1"/>
  </w:num>
  <w:num w:numId="5">
    <w:abstractNumId w:val="9"/>
  </w:num>
  <w:num w:numId="6">
    <w:abstractNumId w:val="37"/>
  </w:num>
  <w:num w:numId="7">
    <w:abstractNumId w:val="32"/>
  </w:num>
  <w:num w:numId="8">
    <w:abstractNumId w:val="13"/>
  </w:num>
  <w:num w:numId="9">
    <w:abstractNumId w:val="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6"/>
  </w:num>
  <w:num w:numId="16">
    <w:abstractNumId w:val="34"/>
  </w:num>
  <w:num w:numId="17">
    <w:abstractNumId w:val="28"/>
  </w:num>
  <w:num w:numId="18">
    <w:abstractNumId w:val="20"/>
  </w:num>
  <w:num w:numId="19">
    <w:abstractNumId w:val="22"/>
  </w:num>
  <w:num w:numId="20">
    <w:abstractNumId w:val="7"/>
  </w:num>
  <w:num w:numId="21">
    <w:abstractNumId w:val="7"/>
  </w:num>
  <w:num w:numId="22">
    <w:abstractNumId w:val="7"/>
  </w:num>
  <w:num w:numId="23">
    <w:abstractNumId w:val="24"/>
  </w:num>
  <w:num w:numId="24">
    <w:abstractNumId w:val="21"/>
  </w:num>
  <w:num w:numId="25">
    <w:abstractNumId w:val="19"/>
  </w:num>
  <w:num w:numId="26">
    <w:abstractNumId w:val="14"/>
  </w:num>
  <w:num w:numId="27">
    <w:abstractNumId w:val="2"/>
  </w:num>
  <w:num w:numId="28">
    <w:abstractNumId w:val="4"/>
  </w:num>
  <w:num w:numId="29">
    <w:abstractNumId w:val="31"/>
  </w:num>
  <w:num w:numId="30">
    <w:abstractNumId w:val="35"/>
  </w:num>
  <w:num w:numId="31">
    <w:abstractNumId w:val="26"/>
  </w:num>
  <w:num w:numId="32">
    <w:abstractNumId w:val="0"/>
  </w:num>
  <w:num w:numId="33">
    <w:abstractNumId w:val="15"/>
  </w:num>
  <w:num w:numId="34">
    <w:abstractNumId w:val="10"/>
  </w:num>
  <w:num w:numId="35">
    <w:abstractNumId w:val="18"/>
  </w:num>
  <w:num w:numId="36">
    <w:abstractNumId w:val="12"/>
  </w:num>
  <w:num w:numId="37">
    <w:abstractNumId w:val="16"/>
  </w:num>
  <w:num w:numId="38">
    <w:abstractNumId w:val="23"/>
  </w:num>
  <w:num w:numId="39">
    <w:abstractNumId w:val="1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it-IT"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48449CC1-C2EC-4752-813E-BB0D6433897D"/>
    <w:docVar w:name="LW_COVERPAGE_TYPE" w:val="1"/>
    <w:docVar w:name="LW_CROSSREFERENCE" w:val="&lt;UNUSED&gt;"/>
    <w:docVar w:name="LW_DocType" w:val="NORMAL"/>
    <w:docVar w:name="LW_EMISSION" w:val="27.2.2024"/>
    <w:docVar w:name="LW_EMISSION_ISODATE" w:val="2024-02-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8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certain aspects concerning gas storage based on Regulation (EU) 2017/1938 of the European Parliament and of the Council&lt;/FMT&gt;_x000d__x000d__x000d__x000d__x000b_"/>
    <w:docVar w:name="LW_TYPE.DOC.CP" w:val="REPORT FROM THE COMMISSION TO THE EUROPEAN PARLIAMENT AND THE COUNCIL"/>
    <w:docVar w:name="LwApiVersions" w:val="LW4CoDe 1.24.4.0; LW 9.0, Build 20240125"/>
  </w:docVars>
  <w:rsids>
    <w:rsidRoot w:val="0090392B"/>
    <w:rsid w:val="000001E5"/>
    <w:rsid w:val="000004B1"/>
    <w:rsid w:val="00001C4B"/>
    <w:rsid w:val="000025F6"/>
    <w:rsid w:val="000025FE"/>
    <w:rsid w:val="00003B10"/>
    <w:rsid w:val="00004122"/>
    <w:rsid w:val="000046DF"/>
    <w:rsid w:val="00005167"/>
    <w:rsid w:val="000054E0"/>
    <w:rsid w:val="000061AC"/>
    <w:rsid w:val="00006829"/>
    <w:rsid w:val="00007173"/>
    <w:rsid w:val="00007410"/>
    <w:rsid w:val="000077C7"/>
    <w:rsid w:val="0000869E"/>
    <w:rsid w:val="00010E94"/>
    <w:rsid w:val="00013704"/>
    <w:rsid w:val="00013C3E"/>
    <w:rsid w:val="000140F2"/>
    <w:rsid w:val="0001411D"/>
    <w:rsid w:val="000153EA"/>
    <w:rsid w:val="00015E63"/>
    <w:rsid w:val="00015E80"/>
    <w:rsid w:val="00016038"/>
    <w:rsid w:val="00016323"/>
    <w:rsid w:val="00016ABF"/>
    <w:rsid w:val="00017D66"/>
    <w:rsid w:val="000207FF"/>
    <w:rsid w:val="00021E4E"/>
    <w:rsid w:val="0002209B"/>
    <w:rsid w:val="000231A5"/>
    <w:rsid w:val="000233F8"/>
    <w:rsid w:val="00024020"/>
    <w:rsid w:val="000245BB"/>
    <w:rsid w:val="00025260"/>
    <w:rsid w:val="00026105"/>
    <w:rsid w:val="000264AC"/>
    <w:rsid w:val="0002721D"/>
    <w:rsid w:val="00027820"/>
    <w:rsid w:val="00030355"/>
    <w:rsid w:val="000308E5"/>
    <w:rsid w:val="00030E67"/>
    <w:rsid w:val="00031079"/>
    <w:rsid w:val="00031209"/>
    <w:rsid w:val="0003391D"/>
    <w:rsid w:val="000339EE"/>
    <w:rsid w:val="00033F06"/>
    <w:rsid w:val="000343EF"/>
    <w:rsid w:val="00034857"/>
    <w:rsid w:val="00034B59"/>
    <w:rsid w:val="00035AE0"/>
    <w:rsid w:val="00035CA0"/>
    <w:rsid w:val="000366A4"/>
    <w:rsid w:val="00036C6A"/>
    <w:rsid w:val="0003788E"/>
    <w:rsid w:val="00037BF5"/>
    <w:rsid w:val="00037E5D"/>
    <w:rsid w:val="00040096"/>
    <w:rsid w:val="000408AD"/>
    <w:rsid w:val="00041438"/>
    <w:rsid w:val="00041A5F"/>
    <w:rsid w:val="00041B95"/>
    <w:rsid w:val="00042038"/>
    <w:rsid w:val="000422C3"/>
    <w:rsid w:val="00042A49"/>
    <w:rsid w:val="000454CF"/>
    <w:rsid w:val="0004643E"/>
    <w:rsid w:val="00046D6C"/>
    <w:rsid w:val="000475BF"/>
    <w:rsid w:val="00047852"/>
    <w:rsid w:val="00047B14"/>
    <w:rsid w:val="00050D7E"/>
    <w:rsid w:val="00050E1B"/>
    <w:rsid w:val="00051710"/>
    <w:rsid w:val="00052750"/>
    <w:rsid w:val="00052F9B"/>
    <w:rsid w:val="0005370A"/>
    <w:rsid w:val="00055709"/>
    <w:rsid w:val="000561B7"/>
    <w:rsid w:val="000569B5"/>
    <w:rsid w:val="0005788B"/>
    <w:rsid w:val="00060126"/>
    <w:rsid w:val="0006069C"/>
    <w:rsid w:val="00061FF1"/>
    <w:rsid w:val="00062497"/>
    <w:rsid w:val="00062499"/>
    <w:rsid w:val="0006252A"/>
    <w:rsid w:val="00063A2B"/>
    <w:rsid w:val="00064099"/>
    <w:rsid w:val="000643B2"/>
    <w:rsid w:val="00064E3B"/>
    <w:rsid w:val="00065003"/>
    <w:rsid w:val="000651FA"/>
    <w:rsid w:val="000654F8"/>
    <w:rsid w:val="00065D42"/>
    <w:rsid w:val="000660C8"/>
    <w:rsid w:val="000664EF"/>
    <w:rsid w:val="000669CF"/>
    <w:rsid w:val="00066D38"/>
    <w:rsid w:val="000707F1"/>
    <w:rsid w:val="0007222F"/>
    <w:rsid w:val="00073DAC"/>
    <w:rsid w:val="00074343"/>
    <w:rsid w:val="00074643"/>
    <w:rsid w:val="00080772"/>
    <w:rsid w:val="00080DEB"/>
    <w:rsid w:val="000820F2"/>
    <w:rsid w:val="00082597"/>
    <w:rsid w:val="000836F2"/>
    <w:rsid w:val="000841D1"/>
    <w:rsid w:val="00084632"/>
    <w:rsid w:val="00084DA2"/>
    <w:rsid w:val="0008505C"/>
    <w:rsid w:val="00085962"/>
    <w:rsid w:val="000862D6"/>
    <w:rsid w:val="00086614"/>
    <w:rsid w:val="00086EAA"/>
    <w:rsid w:val="00087346"/>
    <w:rsid w:val="00090221"/>
    <w:rsid w:val="000912E2"/>
    <w:rsid w:val="000915BF"/>
    <w:rsid w:val="00091609"/>
    <w:rsid w:val="00091AF0"/>
    <w:rsid w:val="00091B13"/>
    <w:rsid w:val="00093B6B"/>
    <w:rsid w:val="00093BA5"/>
    <w:rsid w:val="000959D3"/>
    <w:rsid w:val="00097562"/>
    <w:rsid w:val="00097607"/>
    <w:rsid w:val="000979A5"/>
    <w:rsid w:val="000A0AC8"/>
    <w:rsid w:val="000A0FBD"/>
    <w:rsid w:val="000A179E"/>
    <w:rsid w:val="000A19E2"/>
    <w:rsid w:val="000A1BF7"/>
    <w:rsid w:val="000A26E6"/>
    <w:rsid w:val="000A2C60"/>
    <w:rsid w:val="000A2CA8"/>
    <w:rsid w:val="000A3713"/>
    <w:rsid w:val="000A3946"/>
    <w:rsid w:val="000A474F"/>
    <w:rsid w:val="000A54DA"/>
    <w:rsid w:val="000A5B95"/>
    <w:rsid w:val="000A62F8"/>
    <w:rsid w:val="000A6CDB"/>
    <w:rsid w:val="000A7A71"/>
    <w:rsid w:val="000B0DA9"/>
    <w:rsid w:val="000B119D"/>
    <w:rsid w:val="000B1523"/>
    <w:rsid w:val="000B1A1E"/>
    <w:rsid w:val="000B30AC"/>
    <w:rsid w:val="000B3C68"/>
    <w:rsid w:val="000B457F"/>
    <w:rsid w:val="000B490C"/>
    <w:rsid w:val="000B497C"/>
    <w:rsid w:val="000B505F"/>
    <w:rsid w:val="000B52ED"/>
    <w:rsid w:val="000B59CE"/>
    <w:rsid w:val="000B5AE5"/>
    <w:rsid w:val="000B6A94"/>
    <w:rsid w:val="000B6F17"/>
    <w:rsid w:val="000C09F0"/>
    <w:rsid w:val="000C0E77"/>
    <w:rsid w:val="000C16A1"/>
    <w:rsid w:val="000C18EC"/>
    <w:rsid w:val="000C236C"/>
    <w:rsid w:val="000C2BC1"/>
    <w:rsid w:val="000C3203"/>
    <w:rsid w:val="000C348C"/>
    <w:rsid w:val="000C36E6"/>
    <w:rsid w:val="000C3A53"/>
    <w:rsid w:val="000C4C2A"/>
    <w:rsid w:val="000C500A"/>
    <w:rsid w:val="000C55F6"/>
    <w:rsid w:val="000C6445"/>
    <w:rsid w:val="000C69C1"/>
    <w:rsid w:val="000C78BC"/>
    <w:rsid w:val="000D06D5"/>
    <w:rsid w:val="000D0F7B"/>
    <w:rsid w:val="000D22AB"/>
    <w:rsid w:val="000D28B0"/>
    <w:rsid w:val="000D30D3"/>
    <w:rsid w:val="000D336C"/>
    <w:rsid w:val="000D4542"/>
    <w:rsid w:val="000D5E36"/>
    <w:rsid w:val="000D5FEB"/>
    <w:rsid w:val="000D6CFD"/>
    <w:rsid w:val="000D6F65"/>
    <w:rsid w:val="000D6F8D"/>
    <w:rsid w:val="000D7182"/>
    <w:rsid w:val="000D71F6"/>
    <w:rsid w:val="000D780E"/>
    <w:rsid w:val="000D7D1E"/>
    <w:rsid w:val="000E0CC9"/>
    <w:rsid w:val="000E0EEB"/>
    <w:rsid w:val="000E15BE"/>
    <w:rsid w:val="000E22B2"/>
    <w:rsid w:val="000E3826"/>
    <w:rsid w:val="000E51E8"/>
    <w:rsid w:val="000E5D4F"/>
    <w:rsid w:val="000E69F7"/>
    <w:rsid w:val="000F18F3"/>
    <w:rsid w:val="000F1A71"/>
    <w:rsid w:val="000F1CC0"/>
    <w:rsid w:val="000F1DE0"/>
    <w:rsid w:val="000F2390"/>
    <w:rsid w:val="000F2409"/>
    <w:rsid w:val="000F265C"/>
    <w:rsid w:val="000F2E36"/>
    <w:rsid w:val="000F4275"/>
    <w:rsid w:val="000F4636"/>
    <w:rsid w:val="000F4699"/>
    <w:rsid w:val="000F495A"/>
    <w:rsid w:val="000F5A17"/>
    <w:rsid w:val="000F5D41"/>
    <w:rsid w:val="000F602F"/>
    <w:rsid w:val="000F7020"/>
    <w:rsid w:val="000F73A2"/>
    <w:rsid w:val="000F7ED8"/>
    <w:rsid w:val="00100626"/>
    <w:rsid w:val="00101CAB"/>
    <w:rsid w:val="00101F74"/>
    <w:rsid w:val="00102E33"/>
    <w:rsid w:val="001038EE"/>
    <w:rsid w:val="00103D87"/>
    <w:rsid w:val="00106D3D"/>
    <w:rsid w:val="00107F4B"/>
    <w:rsid w:val="00110466"/>
    <w:rsid w:val="00110B34"/>
    <w:rsid w:val="001110E2"/>
    <w:rsid w:val="00111B27"/>
    <w:rsid w:val="00112515"/>
    <w:rsid w:val="00112905"/>
    <w:rsid w:val="00112EE3"/>
    <w:rsid w:val="00113BBA"/>
    <w:rsid w:val="00113FD0"/>
    <w:rsid w:val="00114D7E"/>
    <w:rsid w:val="001158E7"/>
    <w:rsid w:val="00116C6E"/>
    <w:rsid w:val="00116E3A"/>
    <w:rsid w:val="00117A94"/>
    <w:rsid w:val="001205C2"/>
    <w:rsid w:val="00120B64"/>
    <w:rsid w:val="00121863"/>
    <w:rsid w:val="00122A5B"/>
    <w:rsid w:val="001233B8"/>
    <w:rsid w:val="001234BE"/>
    <w:rsid w:val="001237EB"/>
    <w:rsid w:val="00123D74"/>
    <w:rsid w:val="001248EB"/>
    <w:rsid w:val="00124DB7"/>
    <w:rsid w:val="0012530C"/>
    <w:rsid w:val="00125BA0"/>
    <w:rsid w:val="00126876"/>
    <w:rsid w:val="00130B83"/>
    <w:rsid w:val="0013140F"/>
    <w:rsid w:val="0013248E"/>
    <w:rsid w:val="00133BBC"/>
    <w:rsid w:val="00134DF2"/>
    <w:rsid w:val="0013575E"/>
    <w:rsid w:val="001358A9"/>
    <w:rsid w:val="00135929"/>
    <w:rsid w:val="001360FD"/>
    <w:rsid w:val="001363C0"/>
    <w:rsid w:val="00136DC3"/>
    <w:rsid w:val="001377C1"/>
    <w:rsid w:val="001397FD"/>
    <w:rsid w:val="00140F64"/>
    <w:rsid w:val="00140F99"/>
    <w:rsid w:val="00141907"/>
    <w:rsid w:val="00141AB7"/>
    <w:rsid w:val="00141D04"/>
    <w:rsid w:val="00142082"/>
    <w:rsid w:val="001424D9"/>
    <w:rsid w:val="00142886"/>
    <w:rsid w:val="00143A87"/>
    <w:rsid w:val="00144010"/>
    <w:rsid w:val="00145A03"/>
    <w:rsid w:val="00145EF1"/>
    <w:rsid w:val="001461BD"/>
    <w:rsid w:val="00146D5B"/>
    <w:rsid w:val="001505EC"/>
    <w:rsid w:val="0015105F"/>
    <w:rsid w:val="00151377"/>
    <w:rsid w:val="00152597"/>
    <w:rsid w:val="001542A8"/>
    <w:rsid w:val="00155560"/>
    <w:rsid w:val="001563BA"/>
    <w:rsid w:val="00156514"/>
    <w:rsid w:val="0015699E"/>
    <w:rsid w:val="0016129D"/>
    <w:rsid w:val="001620CB"/>
    <w:rsid w:val="00162597"/>
    <w:rsid w:val="00163814"/>
    <w:rsid w:val="00163EED"/>
    <w:rsid w:val="00164458"/>
    <w:rsid w:val="00164580"/>
    <w:rsid w:val="0016487E"/>
    <w:rsid w:val="0016528A"/>
    <w:rsid w:val="001654B6"/>
    <w:rsid w:val="00166576"/>
    <w:rsid w:val="001667A2"/>
    <w:rsid w:val="00166A1C"/>
    <w:rsid w:val="00166CCC"/>
    <w:rsid w:val="00167748"/>
    <w:rsid w:val="00167B17"/>
    <w:rsid w:val="00167C39"/>
    <w:rsid w:val="00170024"/>
    <w:rsid w:val="00171F54"/>
    <w:rsid w:val="00172398"/>
    <w:rsid w:val="0017399E"/>
    <w:rsid w:val="00173F09"/>
    <w:rsid w:val="00174406"/>
    <w:rsid w:val="001755E8"/>
    <w:rsid w:val="00180BEB"/>
    <w:rsid w:val="001811CA"/>
    <w:rsid w:val="00181856"/>
    <w:rsid w:val="00181ABE"/>
    <w:rsid w:val="00181D52"/>
    <w:rsid w:val="0018204C"/>
    <w:rsid w:val="001822E4"/>
    <w:rsid w:val="001825FC"/>
    <w:rsid w:val="00183340"/>
    <w:rsid w:val="0018334F"/>
    <w:rsid w:val="001834B3"/>
    <w:rsid w:val="0018395F"/>
    <w:rsid w:val="00184224"/>
    <w:rsid w:val="0018503D"/>
    <w:rsid w:val="00185411"/>
    <w:rsid w:val="00185822"/>
    <w:rsid w:val="001863CC"/>
    <w:rsid w:val="001866D8"/>
    <w:rsid w:val="001867D7"/>
    <w:rsid w:val="001869BB"/>
    <w:rsid w:val="00186AD4"/>
    <w:rsid w:val="001870B7"/>
    <w:rsid w:val="00187899"/>
    <w:rsid w:val="00187A1A"/>
    <w:rsid w:val="00187AD9"/>
    <w:rsid w:val="00187B85"/>
    <w:rsid w:val="00187D1D"/>
    <w:rsid w:val="001910EA"/>
    <w:rsid w:val="00191453"/>
    <w:rsid w:val="0019148C"/>
    <w:rsid w:val="00191DC9"/>
    <w:rsid w:val="0019246B"/>
    <w:rsid w:val="001935EE"/>
    <w:rsid w:val="0019407D"/>
    <w:rsid w:val="00194B25"/>
    <w:rsid w:val="00194B9C"/>
    <w:rsid w:val="001964AE"/>
    <w:rsid w:val="00196EE8"/>
    <w:rsid w:val="001976E5"/>
    <w:rsid w:val="00197951"/>
    <w:rsid w:val="00197F36"/>
    <w:rsid w:val="001A0339"/>
    <w:rsid w:val="001A03EC"/>
    <w:rsid w:val="001A0E18"/>
    <w:rsid w:val="001A0EA5"/>
    <w:rsid w:val="001A1545"/>
    <w:rsid w:val="001A18C8"/>
    <w:rsid w:val="001A1B2B"/>
    <w:rsid w:val="001A1B66"/>
    <w:rsid w:val="001A33C4"/>
    <w:rsid w:val="001A3FF2"/>
    <w:rsid w:val="001A4228"/>
    <w:rsid w:val="001A5092"/>
    <w:rsid w:val="001A5A74"/>
    <w:rsid w:val="001A60E2"/>
    <w:rsid w:val="001A7B37"/>
    <w:rsid w:val="001AFA91"/>
    <w:rsid w:val="001B05D5"/>
    <w:rsid w:val="001B1072"/>
    <w:rsid w:val="001B3652"/>
    <w:rsid w:val="001B39C2"/>
    <w:rsid w:val="001B4AFA"/>
    <w:rsid w:val="001B5035"/>
    <w:rsid w:val="001B5B9C"/>
    <w:rsid w:val="001B724F"/>
    <w:rsid w:val="001B726D"/>
    <w:rsid w:val="001C090D"/>
    <w:rsid w:val="001C1380"/>
    <w:rsid w:val="001C269D"/>
    <w:rsid w:val="001C3602"/>
    <w:rsid w:val="001C3B7B"/>
    <w:rsid w:val="001C43E5"/>
    <w:rsid w:val="001C45BA"/>
    <w:rsid w:val="001C4813"/>
    <w:rsid w:val="001C4B4C"/>
    <w:rsid w:val="001C4D2C"/>
    <w:rsid w:val="001C5635"/>
    <w:rsid w:val="001C5D8A"/>
    <w:rsid w:val="001C6032"/>
    <w:rsid w:val="001C6FAC"/>
    <w:rsid w:val="001C71DB"/>
    <w:rsid w:val="001C732C"/>
    <w:rsid w:val="001C75A0"/>
    <w:rsid w:val="001C75BC"/>
    <w:rsid w:val="001C7E56"/>
    <w:rsid w:val="001D01DC"/>
    <w:rsid w:val="001D1063"/>
    <w:rsid w:val="001D10D1"/>
    <w:rsid w:val="001D1A67"/>
    <w:rsid w:val="001D1E52"/>
    <w:rsid w:val="001D225B"/>
    <w:rsid w:val="001D251E"/>
    <w:rsid w:val="001D3402"/>
    <w:rsid w:val="001D4CBC"/>
    <w:rsid w:val="001D50FB"/>
    <w:rsid w:val="001D5516"/>
    <w:rsid w:val="001D5CF7"/>
    <w:rsid w:val="001D613F"/>
    <w:rsid w:val="001D642A"/>
    <w:rsid w:val="001D6D34"/>
    <w:rsid w:val="001D764E"/>
    <w:rsid w:val="001D7D2B"/>
    <w:rsid w:val="001E068D"/>
    <w:rsid w:val="001E0889"/>
    <w:rsid w:val="001E18A3"/>
    <w:rsid w:val="001E1AB6"/>
    <w:rsid w:val="001E3200"/>
    <w:rsid w:val="001E3573"/>
    <w:rsid w:val="001E36EF"/>
    <w:rsid w:val="001E418B"/>
    <w:rsid w:val="001E5ED0"/>
    <w:rsid w:val="001E6056"/>
    <w:rsid w:val="001E62D6"/>
    <w:rsid w:val="001E6E9F"/>
    <w:rsid w:val="001E725E"/>
    <w:rsid w:val="001E77B7"/>
    <w:rsid w:val="001E79CA"/>
    <w:rsid w:val="001E7CEE"/>
    <w:rsid w:val="001F044F"/>
    <w:rsid w:val="001F08EB"/>
    <w:rsid w:val="001F0BEA"/>
    <w:rsid w:val="001F0E3A"/>
    <w:rsid w:val="001F10C6"/>
    <w:rsid w:val="001F1D9B"/>
    <w:rsid w:val="001F1EDF"/>
    <w:rsid w:val="001F2FAA"/>
    <w:rsid w:val="001F45AE"/>
    <w:rsid w:val="001F46A0"/>
    <w:rsid w:val="001F4B0C"/>
    <w:rsid w:val="001F7EB0"/>
    <w:rsid w:val="001F8097"/>
    <w:rsid w:val="002002B9"/>
    <w:rsid w:val="002003D0"/>
    <w:rsid w:val="002018CF"/>
    <w:rsid w:val="00201D23"/>
    <w:rsid w:val="00202E5B"/>
    <w:rsid w:val="00203499"/>
    <w:rsid w:val="00204729"/>
    <w:rsid w:val="0020478B"/>
    <w:rsid w:val="00204DC5"/>
    <w:rsid w:val="00204E1B"/>
    <w:rsid w:val="00205366"/>
    <w:rsid w:val="00205747"/>
    <w:rsid w:val="00205C96"/>
    <w:rsid w:val="002060F6"/>
    <w:rsid w:val="002070F0"/>
    <w:rsid w:val="00207381"/>
    <w:rsid w:val="002077E3"/>
    <w:rsid w:val="002104D7"/>
    <w:rsid w:val="00210671"/>
    <w:rsid w:val="002116B7"/>
    <w:rsid w:val="002120B1"/>
    <w:rsid w:val="00212760"/>
    <w:rsid w:val="00212F06"/>
    <w:rsid w:val="00213FC4"/>
    <w:rsid w:val="0021436C"/>
    <w:rsid w:val="00215175"/>
    <w:rsid w:val="00215AD0"/>
    <w:rsid w:val="00215C2F"/>
    <w:rsid w:val="0021637E"/>
    <w:rsid w:val="00217362"/>
    <w:rsid w:val="0021781F"/>
    <w:rsid w:val="00217AA4"/>
    <w:rsid w:val="00217D70"/>
    <w:rsid w:val="002208B2"/>
    <w:rsid w:val="00220C44"/>
    <w:rsid w:val="00221893"/>
    <w:rsid w:val="00221F76"/>
    <w:rsid w:val="00222122"/>
    <w:rsid w:val="00222484"/>
    <w:rsid w:val="002229FD"/>
    <w:rsid w:val="00222D76"/>
    <w:rsid w:val="00225147"/>
    <w:rsid w:val="002256EC"/>
    <w:rsid w:val="00225791"/>
    <w:rsid w:val="002263D7"/>
    <w:rsid w:val="0022664D"/>
    <w:rsid w:val="00227DA3"/>
    <w:rsid w:val="00227E85"/>
    <w:rsid w:val="0023018D"/>
    <w:rsid w:val="002301E1"/>
    <w:rsid w:val="002305A5"/>
    <w:rsid w:val="00230707"/>
    <w:rsid w:val="0023091E"/>
    <w:rsid w:val="00231739"/>
    <w:rsid w:val="002329AC"/>
    <w:rsid w:val="00233413"/>
    <w:rsid w:val="00233BD1"/>
    <w:rsid w:val="002346DA"/>
    <w:rsid w:val="002347AE"/>
    <w:rsid w:val="00234E4E"/>
    <w:rsid w:val="00235930"/>
    <w:rsid w:val="0023672D"/>
    <w:rsid w:val="00236A7C"/>
    <w:rsid w:val="00236EDB"/>
    <w:rsid w:val="002371A6"/>
    <w:rsid w:val="00237F2C"/>
    <w:rsid w:val="002388A3"/>
    <w:rsid w:val="0024060B"/>
    <w:rsid w:val="00241F0E"/>
    <w:rsid w:val="00242000"/>
    <w:rsid w:val="00243C29"/>
    <w:rsid w:val="00243E23"/>
    <w:rsid w:val="002449CB"/>
    <w:rsid w:val="00244CA2"/>
    <w:rsid w:val="00244FF9"/>
    <w:rsid w:val="002451FA"/>
    <w:rsid w:val="0024523A"/>
    <w:rsid w:val="0024542A"/>
    <w:rsid w:val="0024565D"/>
    <w:rsid w:val="00245C6E"/>
    <w:rsid w:val="00245DA6"/>
    <w:rsid w:val="00247EDA"/>
    <w:rsid w:val="00247FBC"/>
    <w:rsid w:val="00250379"/>
    <w:rsid w:val="0025053D"/>
    <w:rsid w:val="002518AB"/>
    <w:rsid w:val="00251AD4"/>
    <w:rsid w:val="00252D83"/>
    <w:rsid w:val="00253057"/>
    <w:rsid w:val="002533AC"/>
    <w:rsid w:val="002540D5"/>
    <w:rsid w:val="002543F8"/>
    <w:rsid w:val="002544E5"/>
    <w:rsid w:val="002547A9"/>
    <w:rsid w:val="00255EA9"/>
    <w:rsid w:val="00257999"/>
    <w:rsid w:val="00257ACC"/>
    <w:rsid w:val="00257E0B"/>
    <w:rsid w:val="00257EE9"/>
    <w:rsid w:val="00260159"/>
    <w:rsid w:val="00260905"/>
    <w:rsid w:val="00260BB4"/>
    <w:rsid w:val="00260C04"/>
    <w:rsid w:val="00261CD0"/>
    <w:rsid w:val="00262280"/>
    <w:rsid w:val="002622E4"/>
    <w:rsid w:val="0026256E"/>
    <w:rsid w:val="002634DD"/>
    <w:rsid w:val="00263924"/>
    <w:rsid w:val="00263A16"/>
    <w:rsid w:val="00264405"/>
    <w:rsid w:val="00265B81"/>
    <w:rsid w:val="00266044"/>
    <w:rsid w:val="002669D7"/>
    <w:rsid w:val="00266D35"/>
    <w:rsid w:val="002673F7"/>
    <w:rsid w:val="00267657"/>
    <w:rsid w:val="002710CC"/>
    <w:rsid w:val="0027191E"/>
    <w:rsid w:val="00271924"/>
    <w:rsid w:val="00271F26"/>
    <w:rsid w:val="0027291C"/>
    <w:rsid w:val="00272AE5"/>
    <w:rsid w:val="00272C63"/>
    <w:rsid w:val="002736F0"/>
    <w:rsid w:val="00273E0C"/>
    <w:rsid w:val="00274480"/>
    <w:rsid w:val="002744B9"/>
    <w:rsid w:val="00274E17"/>
    <w:rsid w:val="00275130"/>
    <w:rsid w:val="0027630E"/>
    <w:rsid w:val="002772AB"/>
    <w:rsid w:val="0027761D"/>
    <w:rsid w:val="00277C89"/>
    <w:rsid w:val="0028018B"/>
    <w:rsid w:val="00280555"/>
    <w:rsid w:val="0028068A"/>
    <w:rsid w:val="00280EEC"/>
    <w:rsid w:val="00281565"/>
    <w:rsid w:val="00281D84"/>
    <w:rsid w:val="00282308"/>
    <w:rsid w:val="0028244E"/>
    <w:rsid w:val="00282474"/>
    <w:rsid w:val="002824C6"/>
    <w:rsid w:val="002824DD"/>
    <w:rsid w:val="00282629"/>
    <w:rsid w:val="00282940"/>
    <w:rsid w:val="00283270"/>
    <w:rsid w:val="00283F79"/>
    <w:rsid w:val="0028445C"/>
    <w:rsid w:val="00284AB4"/>
    <w:rsid w:val="00284E45"/>
    <w:rsid w:val="00284E9D"/>
    <w:rsid w:val="002858C7"/>
    <w:rsid w:val="00285BF6"/>
    <w:rsid w:val="00286EE2"/>
    <w:rsid w:val="002878BD"/>
    <w:rsid w:val="00290245"/>
    <w:rsid w:val="00290E6F"/>
    <w:rsid w:val="00290F5D"/>
    <w:rsid w:val="00291A62"/>
    <w:rsid w:val="002924BD"/>
    <w:rsid w:val="00292DEB"/>
    <w:rsid w:val="00293C22"/>
    <w:rsid w:val="00293EC6"/>
    <w:rsid w:val="00294692"/>
    <w:rsid w:val="00295DB8"/>
    <w:rsid w:val="00295F8C"/>
    <w:rsid w:val="00296285"/>
    <w:rsid w:val="00296479"/>
    <w:rsid w:val="00296EAF"/>
    <w:rsid w:val="00296FB2"/>
    <w:rsid w:val="00297549"/>
    <w:rsid w:val="002978BF"/>
    <w:rsid w:val="00297A1D"/>
    <w:rsid w:val="00297C44"/>
    <w:rsid w:val="002A0539"/>
    <w:rsid w:val="002A06EF"/>
    <w:rsid w:val="002A162E"/>
    <w:rsid w:val="002A16DC"/>
    <w:rsid w:val="002A1CA1"/>
    <w:rsid w:val="002A1D61"/>
    <w:rsid w:val="002A23A5"/>
    <w:rsid w:val="002A2810"/>
    <w:rsid w:val="002A2CE3"/>
    <w:rsid w:val="002A378A"/>
    <w:rsid w:val="002A3851"/>
    <w:rsid w:val="002A4024"/>
    <w:rsid w:val="002A4AD7"/>
    <w:rsid w:val="002A63AE"/>
    <w:rsid w:val="002A656F"/>
    <w:rsid w:val="002A67CF"/>
    <w:rsid w:val="002A71CC"/>
    <w:rsid w:val="002A7C2C"/>
    <w:rsid w:val="002A7E15"/>
    <w:rsid w:val="002A7EC5"/>
    <w:rsid w:val="002B14F4"/>
    <w:rsid w:val="002B2FDF"/>
    <w:rsid w:val="002B3F91"/>
    <w:rsid w:val="002B57A5"/>
    <w:rsid w:val="002B663C"/>
    <w:rsid w:val="002B764A"/>
    <w:rsid w:val="002C00DB"/>
    <w:rsid w:val="002C10B5"/>
    <w:rsid w:val="002C111C"/>
    <w:rsid w:val="002C178D"/>
    <w:rsid w:val="002C1B97"/>
    <w:rsid w:val="002C215E"/>
    <w:rsid w:val="002C29FC"/>
    <w:rsid w:val="002C2D22"/>
    <w:rsid w:val="002C33DD"/>
    <w:rsid w:val="002C37E0"/>
    <w:rsid w:val="002C4974"/>
    <w:rsid w:val="002C4CD2"/>
    <w:rsid w:val="002C51C3"/>
    <w:rsid w:val="002C5656"/>
    <w:rsid w:val="002C5EA4"/>
    <w:rsid w:val="002C5EA5"/>
    <w:rsid w:val="002C7A70"/>
    <w:rsid w:val="002D08BB"/>
    <w:rsid w:val="002D12C6"/>
    <w:rsid w:val="002D216F"/>
    <w:rsid w:val="002D3492"/>
    <w:rsid w:val="002D34D7"/>
    <w:rsid w:val="002D3876"/>
    <w:rsid w:val="002D5F20"/>
    <w:rsid w:val="002D656C"/>
    <w:rsid w:val="002D6590"/>
    <w:rsid w:val="002D65C8"/>
    <w:rsid w:val="002D7425"/>
    <w:rsid w:val="002D7902"/>
    <w:rsid w:val="002D8FB3"/>
    <w:rsid w:val="002E0112"/>
    <w:rsid w:val="002E0BF2"/>
    <w:rsid w:val="002E1E72"/>
    <w:rsid w:val="002E1EE9"/>
    <w:rsid w:val="002E2A6C"/>
    <w:rsid w:val="002E36F2"/>
    <w:rsid w:val="002E3E34"/>
    <w:rsid w:val="002E427B"/>
    <w:rsid w:val="002E492C"/>
    <w:rsid w:val="002E5D3D"/>
    <w:rsid w:val="002E6CE6"/>
    <w:rsid w:val="002E7334"/>
    <w:rsid w:val="002E7951"/>
    <w:rsid w:val="002F05F7"/>
    <w:rsid w:val="002F0764"/>
    <w:rsid w:val="002F09A7"/>
    <w:rsid w:val="002F0F01"/>
    <w:rsid w:val="002F196E"/>
    <w:rsid w:val="002F2179"/>
    <w:rsid w:val="002F276E"/>
    <w:rsid w:val="002F2CFF"/>
    <w:rsid w:val="002F3254"/>
    <w:rsid w:val="002F3C6D"/>
    <w:rsid w:val="002F3CDD"/>
    <w:rsid w:val="002F3E16"/>
    <w:rsid w:val="002F4D86"/>
    <w:rsid w:val="002F61CD"/>
    <w:rsid w:val="002F665B"/>
    <w:rsid w:val="002F6725"/>
    <w:rsid w:val="002F6CB7"/>
    <w:rsid w:val="002F72EA"/>
    <w:rsid w:val="00301B20"/>
    <w:rsid w:val="00302F3D"/>
    <w:rsid w:val="00302F49"/>
    <w:rsid w:val="0030324F"/>
    <w:rsid w:val="0030401A"/>
    <w:rsid w:val="003047EC"/>
    <w:rsid w:val="00305687"/>
    <w:rsid w:val="003058AA"/>
    <w:rsid w:val="00305CAB"/>
    <w:rsid w:val="00307FDD"/>
    <w:rsid w:val="003105A5"/>
    <w:rsid w:val="00310897"/>
    <w:rsid w:val="00310FC3"/>
    <w:rsid w:val="00312FEF"/>
    <w:rsid w:val="003132BC"/>
    <w:rsid w:val="003137B9"/>
    <w:rsid w:val="00314D38"/>
    <w:rsid w:val="00315FA9"/>
    <w:rsid w:val="00315FFF"/>
    <w:rsid w:val="0031730E"/>
    <w:rsid w:val="00317E8E"/>
    <w:rsid w:val="0032003F"/>
    <w:rsid w:val="0032022D"/>
    <w:rsid w:val="00323B27"/>
    <w:rsid w:val="003248F6"/>
    <w:rsid w:val="003249CB"/>
    <w:rsid w:val="00324CFE"/>
    <w:rsid w:val="00324EBA"/>
    <w:rsid w:val="00325B90"/>
    <w:rsid w:val="00327990"/>
    <w:rsid w:val="0033011A"/>
    <w:rsid w:val="003302B0"/>
    <w:rsid w:val="00330BE4"/>
    <w:rsid w:val="00330D57"/>
    <w:rsid w:val="00331E4D"/>
    <w:rsid w:val="003329EC"/>
    <w:rsid w:val="003337D3"/>
    <w:rsid w:val="00333895"/>
    <w:rsid w:val="003338A1"/>
    <w:rsid w:val="00334110"/>
    <w:rsid w:val="003354C5"/>
    <w:rsid w:val="00335650"/>
    <w:rsid w:val="00336A2C"/>
    <w:rsid w:val="0033724A"/>
    <w:rsid w:val="0033773E"/>
    <w:rsid w:val="00337A63"/>
    <w:rsid w:val="00337B13"/>
    <w:rsid w:val="00340B7C"/>
    <w:rsid w:val="00342251"/>
    <w:rsid w:val="00342E04"/>
    <w:rsid w:val="0034305C"/>
    <w:rsid w:val="0034311E"/>
    <w:rsid w:val="0034362E"/>
    <w:rsid w:val="00343E3C"/>
    <w:rsid w:val="0034443C"/>
    <w:rsid w:val="003446A8"/>
    <w:rsid w:val="00344F2B"/>
    <w:rsid w:val="00345529"/>
    <w:rsid w:val="00346582"/>
    <w:rsid w:val="00346748"/>
    <w:rsid w:val="003469D6"/>
    <w:rsid w:val="00351B00"/>
    <w:rsid w:val="00351B18"/>
    <w:rsid w:val="003521F2"/>
    <w:rsid w:val="00353022"/>
    <w:rsid w:val="003530F1"/>
    <w:rsid w:val="0035345D"/>
    <w:rsid w:val="003534AD"/>
    <w:rsid w:val="003536D2"/>
    <w:rsid w:val="00355F02"/>
    <w:rsid w:val="00355F61"/>
    <w:rsid w:val="00356CDD"/>
    <w:rsid w:val="00356DB8"/>
    <w:rsid w:val="00357DBB"/>
    <w:rsid w:val="0036083C"/>
    <w:rsid w:val="00360AD1"/>
    <w:rsid w:val="00360E7A"/>
    <w:rsid w:val="00363930"/>
    <w:rsid w:val="0036480A"/>
    <w:rsid w:val="0036540A"/>
    <w:rsid w:val="0037048F"/>
    <w:rsid w:val="00370668"/>
    <w:rsid w:val="00370CC9"/>
    <w:rsid w:val="00370EF1"/>
    <w:rsid w:val="003720E3"/>
    <w:rsid w:val="00373B73"/>
    <w:rsid w:val="00374645"/>
    <w:rsid w:val="00374887"/>
    <w:rsid w:val="003757BA"/>
    <w:rsid w:val="003763D3"/>
    <w:rsid w:val="003765DC"/>
    <w:rsid w:val="0037686A"/>
    <w:rsid w:val="003769CC"/>
    <w:rsid w:val="00376A57"/>
    <w:rsid w:val="00377CFC"/>
    <w:rsid w:val="003803ED"/>
    <w:rsid w:val="00380878"/>
    <w:rsid w:val="00381016"/>
    <w:rsid w:val="003817B9"/>
    <w:rsid w:val="00381C67"/>
    <w:rsid w:val="003820D4"/>
    <w:rsid w:val="0038280C"/>
    <w:rsid w:val="0038301D"/>
    <w:rsid w:val="00384072"/>
    <w:rsid w:val="003844E8"/>
    <w:rsid w:val="00384CF2"/>
    <w:rsid w:val="003860FB"/>
    <w:rsid w:val="003866A0"/>
    <w:rsid w:val="00386A8E"/>
    <w:rsid w:val="00387718"/>
    <w:rsid w:val="00390482"/>
    <w:rsid w:val="00390FA0"/>
    <w:rsid w:val="0039147C"/>
    <w:rsid w:val="00391F05"/>
    <w:rsid w:val="00391F3A"/>
    <w:rsid w:val="00393393"/>
    <w:rsid w:val="00393A8B"/>
    <w:rsid w:val="00394077"/>
    <w:rsid w:val="00394B7C"/>
    <w:rsid w:val="00394E09"/>
    <w:rsid w:val="00395393"/>
    <w:rsid w:val="00395F31"/>
    <w:rsid w:val="003962E9"/>
    <w:rsid w:val="003964AD"/>
    <w:rsid w:val="0039659A"/>
    <w:rsid w:val="0039688B"/>
    <w:rsid w:val="003A1325"/>
    <w:rsid w:val="003A1C7B"/>
    <w:rsid w:val="003A1CB6"/>
    <w:rsid w:val="003A2AEA"/>
    <w:rsid w:val="003A5E49"/>
    <w:rsid w:val="003A6441"/>
    <w:rsid w:val="003A6E17"/>
    <w:rsid w:val="003A75E8"/>
    <w:rsid w:val="003A76C5"/>
    <w:rsid w:val="003A7B6A"/>
    <w:rsid w:val="003A7FA6"/>
    <w:rsid w:val="003B04AC"/>
    <w:rsid w:val="003B0922"/>
    <w:rsid w:val="003B0997"/>
    <w:rsid w:val="003B0B53"/>
    <w:rsid w:val="003B11CB"/>
    <w:rsid w:val="003B20D8"/>
    <w:rsid w:val="003B2225"/>
    <w:rsid w:val="003B2CC3"/>
    <w:rsid w:val="003B39EF"/>
    <w:rsid w:val="003B50EF"/>
    <w:rsid w:val="003B5173"/>
    <w:rsid w:val="003B51C4"/>
    <w:rsid w:val="003B52D7"/>
    <w:rsid w:val="003B5ABD"/>
    <w:rsid w:val="003B5FD1"/>
    <w:rsid w:val="003B6698"/>
    <w:rsid w:val="003B6C2A"/>
    <w:rsid w:val="003B7978"/>
    <w:rsid w:val="003C01A7"/>
    <w:rsid w:val="003C0640"/>
    <w:rsid w:val="003C26FC"/>
    <w:rsid w:val="003C2DB6"/>
    <w:rsid w:val="003C2E09"/>
    <w:rsid w:val="003C369D"/>
    <w:rsid w:val="003C3CC2"/>
    <w:rsid w:val="003C3EC3"/>
    <w:rsid w:val="003C4483"/>
    <w:rsid w:val="003C4590"/>
    <w:rsid w:val="003C530E"/>
    <w:rsid w:val="003C5660"/>
    <w:rsid w:val="003C6B2A"/>
    <w:rsid w:val="003C6FBC"/>
    <w:rsid w:val="003C74AF"/>
    <w:rsid w:val="003C7607"/>
    <w:rsid w:val="003D05B2"/>
    <w:rsid w:val="003D116E"/>
    <w:rsid w:val="003D1BE7"/>
    <w:rsid w:val="003D1E5D"/>
    <w:rsid w:val="003D39C0"/>
    <w:rsid w:val="003D3AEE"/>
    <w:rsid w:val="003D4F9C"/>
    <w:rsid w:val="003D5669"/>
    <w:rsid w:val="003D6739"/>
    <w:rsid w:val="003D7CA2"/>
    <w:rsid w:val="003E07F1"/>
    <w:rsid w:val="003E1739"/>
    <w:rsid w:val="003E2625"/>
    <w:rsid w:val="003E29FA"/>
    <w:rsid w:val="003E2A4F"/>
    <w:rsid w:val="003E2B8E"/>
    <w:rsid w:val="003E36FE"/>
    <w:rsid w:val="003E3711"/>
    <w:rsid w:val="003E5B06"/>
    <w:rsid w:val="003F0089"/>
    <w:rsid w:val="003F0610"/>
    <w:rsid w:val="003F0BFD"/>
    <w:rsid w:val="003F1DC8"/>
    <w:rsid w:val="003F1FED"/>
    <w:rsid w:val="003F2380"/>
    <w:rsid w:val="003F335F"/>
    <w:rsid w:val="003F35C9"/>
    <w:rsid w:val="003F3879"/>
    <w:rsid w:val="003F4833"/>
    <w:rsid w:val="003F5081"/>
    <w:rsid w:val="003F5650"/>
    <w:rsid w:val="003F63DB"/>
    <w:rsid w:val="003F71A7"/>
    <w:rsid w:val="003F7744"/>
    <w:rsid w:val="004002A3"/>
    <w:rsid w:val="00400633"/>
    <w:rsid w:val="004006AD"/>
    <w:rsid w:val="00400C2D"/>
    <w:rsid w:val="004013E0"/>
    <w:rsid w:val="00401408"/>
    <w:rsid w:val="004019DD"/>
    <w:rsid w:val="00401F24"/>
    <w:rsid w:val="00402126"/>
    <w:rsid w:val="00402F53"/>
    <w:rsid w:val="00403802"/>
    <w:rsid w:val="004042A7"/>
    <w:rsid w:val="00404991"/>
    <w:rsid w:val="00404CAC"/>
    <w:rsid w:val="00405A2A"/>
    <w:rsid w:val="00405B9F"/>
    <w:rsid w:val="00406099"/>
    <w:rsid w:val="004069B5"/>
    <w:rsid w:val="00406A88"/>
    <w:rsid w:val="00407097"/>
    <w:rsid w:val="00407582"/>
    <w:rsid w:val="00407950"/>
    <w:rsid w:val="0041221C"/>
    <w:rsid w:val="00412B16"/>
    <w:rsid w:val="0041362D"/>
    <w:rsid w:val="00413850"/>
    <w:rsid w:val="00414162"/>
    <w:rsid w:val="00414C9D"/>
    <w:rsid w:val="004152B9"/>
    <w:rsid w:val="004155A0"/>
    <w:rsid w:val="00416BDF"/>
    <w:rsid w:val="00416C94"/>
    <w:rsid w:val="00417098"/>
    <w:rsid w:val="0041EC02"/>
    <w:rsid w:val="00420241"/>
    <w:rsid w:val="004204C8"/>
    <w:rsid w:val="0042059C"/>
    <w:rsid w:val="004207AC"/>
    <w:rsid w:val="0042092F"/>
    <w:rsid w:val="004218CA"/>
    <w:rsid w:val="00421B8C"/>
    <w:rsid w:val="00421BFD"/>
    <w:rsid w:val="00422489"/>
    <w:rsid w:val="004225B6"/>
    <w:rsid w:val="00422947"/>
    <w:rsid w:val="0042565E"/>
    <w:rsid w:val="004261D6"/>
    <w:rsid w:val="004265A4"/>
    <w:rsid w:val="004265FF"/>
    <w:rsid w:val="00426804"/>
    <w:rsid w:val="00427E8B"/>
    <w:rsid w:val="00427F96"/>
    <w:rsid w:val="004301F4"/>
    <w:rsid w:val="00430E3E"/>
    <w:rsid w:val="0043253E"/>
    <w:rsid w:val="004328BF"/>
    <w:rsid w:val="00432B9C"/>
    <w:rsid w:val="00433178"/>
    <w:rsid w:val="0043356B"/>
    <w:rsid w:val="00433E7B"/>
    <w:rsid w:val="00434C40"/>
    <w:rsid w:val="0043525C"/>
    <w:rsid w:val="00436A9F"/>
    <w:rsid w:val="0043723A"/>
    <w:rsid w:val="004375CC"/>
    <w:rsid w:val="00437786"/>
    <w:rsid w:val="004402EB"/>
    <w:rsid w:val="00442FFC"/>
    <w:rsid w:val="00443926"/>
    <w:rsid w:val="00443B08"/>
    <w:rsid w:val="00443BAC"/>
    <w:rsid w:val="00444493"/>
    <w:rsid w:val="00444914"/>
    <w:rsid w:val="004458FB"/>
    <w:rsid w:val="0044594C"/>
    <w:rsid w:val="004459A1"/>
    <w:rsid w:val="00445A6F"/>
    <w:rsid w:val="00445C3E"/>
    <w:rsid w:val="00446CE8"/>
    <w:rsid w:val="00446E66"/>
    <w:rsid w:val="00447D40"/>
    <w:rsid w:val="00450452"/>
    <w:rsid w:val="00450636"/>
    <w:rsid w:val="004506FA"/>
    <w:rsid w:val="00450B2F"/>
    <w:rsid w:val="00450DAF"/>
    <w:rsid w:val="00451C75"/>
    <w:rsid w:val="0045244C"/>
    <w:rsid w:val="004524EF"/>
    <w:rsid w:val="00452A1F"/>
    <w:rsid w:val="0045318C"/>
    <w:rsid w:val="00453CB7"/>
    <w:rsid w:val="00454EF3"/>
    <w:rsid w:val="004553D1"/>
    <w:rsid w:val="004557E8"/>
    <w:rsid w:val="00456341"/>
    <w:rsid w:val="0045638F"/>
    <w:rsid w:val="0045761F"/>
    <w:rsid w:val="00457776"/>
    <w:rsid w:val="004613F8"/>
    <w:rsid w:val="00461A7E"/>
    <w:rsid w:val="00461C7D"/>
    <w:rsid w:val="0046209F"/>
    <w:rsid w:val="00462118"/>
    <w:rsid w:val="004624D6"/>
    <w:rsid w:val="00462A24"/>
    <w:rsid w:val="00463E30"/>
    <w:rsid w:val="004642A8"/>
    <w:rsid w:val="004645B4"/>
    <w:rsid w:val="00466346"/>
    <w:rsid w:val="00466696"/>
    <w:rsid w:val="0046745F"/>
    <w:rsid w:val="00467640"/>
    <w:rsid w:val="00467F09"/>
    <w:rsid w:val="00470B56"/>
    <w:rsid w:val="00470D93"/>
    <w:rsid w:val="00472C94"/>
    <w:rsid w:val="004744B6"/>
    <w:rsid w:val="0047483A"/>
    <w:rsid w:val="00474E12"/>
    <w:rsid w:val="00475A18"/>
    <w:rsid w:val="004767BF"/>
    <w:rsid w:val="00476A57"/>
    <w:rsid w:val="0047712F"/>
    <w:rsid w:val="00477373"/>
    <w:rsid w:val="00477BAD"/>
    <w:rsid w:val="004804F9"/>
    <w:rsid w:val="0048071D"/>
    <w:rsid w:val="00481019"/>
    <w:rsid w:val="004810D7"/>
    <w:rsid w:val="00481BFF"/>
    <w:rsid w:val="004836DC"/>
    <w:rsid w:val="0048414F"/>
    <w:rsid w:val="0048424B"/>
    <w:rsid w:val="00484D8F"/>
    <w:rsid w:val="00484F3C"/>
    <w:rsid w:val="00485541"/>
    <w:rsid w:val="00486A26"/>
    <w:rsid w:val="00486AEE"/>
    <w:rsid w:val="00487A2F"/>
    <w:rsid w:val="004909FC"/>
    <w:rsid w:val="00491AF2"/>
    <w:rsid w:val="00491B26"/>
    <w:rsid w:val="00492BA4"/>
    <w:rsid w:val="00493D26"/>
    <w:rsid w:val="0049452A"/>
    <w:rsid w:val="00496386"/>
    <w:rsid w:val="00497E18"/>
    <w:rsid w:val="004A0E16"/>
    <w:rsid w:val="004A15DD"/>
    <w:rsid w:val="004A2956"/>
    <w:rsid w:val="004A2E3A"/>
    <w:rsid w:val="004A30B4"/>
    <w:rsid w:val="004A3277"/>
    <w:rsid w:val="004A32F1"/>
    <w:rsid w:val="004A33AE"/>
    <w:rsid w:val="004A3ECB"/>
    <w:rsid w:val="004A49B7"/>
    <w:rsid w:val="004A51F9"/>
    <w:rsid w:val="004A75B9"/>
    <w:rsid w:val="004B03F6"/>
    <w:rsid w:val="004B1E35"/>
    <w:rsid w:val="004B218C"/>
    <w:rsid w:val="004B3A58"/>
    <w:rsid w:val="004B4D8C"/>
    <w:rsid w:val="004B5077"/>
    <w:rsid w:val="004B5976"/>
    <w:rsid w:val="004B5DB2"/>
    <w:rsid w:val="004BB05A"/>
    <w:rsid w:val="004C2325"/>
    <w:rsid w:val="004C2694"/>
    <w:rsid w:val="004C3E75"/>
    <w:rsid w:val="004C5A6C"/>
    <w:rsid w:val="004C69A5"/>
    <w:rsid w:val="004C6FCC"/>
    <w:rsid w:val="004D010B"/>
    <w:rsid w:val="004D01D2"/>
    <w:rsid w:val="004D09B9"/>
    <w:rsid w:val="004D1014"/>
    <w:rsid w:val="004D2339"/>
    <w:rsid w:val="004D252B"/>
    <w:rsid w:val="004D2AC8"/>
    <w:rsid w:val="004D2FBA"/>
    <w:rsid w:val="004D33AD"/>
    <w:rsid w:val="004D46C0"/>
    <w:rsid w:val="004D533B"/>
    <w:rsid w:val="004D5837"/>
    <w:rsid w:val="004D5916"/>
    <w:rsid w:val="004D59E7"/>
    <w:rsid w:val="004D5DD1"/>
    <w:rsid w:val="004D61A3"/>
    <w:rsid w:val="004D77E2"/>
    <w:rsid w:val="004D7E26"/>
    <w:rsid w:val="004D893B"/>
    <w:rsid w:val="004E020D"/>
    <w:rsid w:val="004E07FD"/>
    <w:rsid w:val="004E09B5"/>
    <w:rsid w:val="004E18FC"/>
    <w:rsid w:val="004E19A1"/>
    <w:rsid w:val="004E2A3A"/>
    <w:rsid w:val="004E2E20"/>
    <w:rsid w:val="004E35B3"/>
    <w:rsid w:val="004E4249"/>
    <w:rsid w:val="004E43C3"/>
    <w:rsid w:val="004E4926"/>
    <w:rsid w:val="004E4ABF"/>
    <w:rsid w:val="004E4FF3"/>
    <w:rsid w:val="004E550D"/>
    <w:rsid w:val="004E7931"/>
    <w:rsid w:val="004F0C51"/>
    <w:rsid w:val="004F1B27"/>
    <w:rsid w:val="004F1EE0"/>
    <w:rsid w:val="004F2E58"/>
    <w:rsid w:val="004F3465"/>
    <w:rsid w:val="004F3977"/>
    <w:rsid w:val="004F3D61"/>
    <w:rsid w:val="004F5C10"/>
    <w:rsid w:val="004F5FDC"/>
    <w:rsid w:val="004F640D"/>
    <w:rsid w:val="004F64E5"/>
    <w:rsid w:val="004F6AF4"/>
    <w:rsid w:val="00500B10"/>
    <w:rsid w:val="00500BDA"/>
    <w:rsid w:val="00500D69"/>
    <w:rsid w:val="00502D47"/>
    <w:rsid w:val="005039EE"/>
    <w:rsid w:val="00503B4B"/>
    <w:rsid w:val="00504395"/>
    <w:rsid w:val="005048D3"/>
    <w:rsid w:val="005050F3"/>
    <w:rsid w:val="00507584"/>
    <w:rsid w:val="0051096D"/>
    <w:rsid w:val="00510E6B"/>
    <w:rsid w:val="005112A4"/>
    <w:rsid w:val="00513651"/>
    <w:rsid w:val="00513A3E"/>
    <w:rsid w:val="00514E48"/>
    <w:rsid w:val="00514F70"/>
    <w:rsid w:val="00515A1D"/>
    <w:rsid w:val="00515B1B"/>
    <w:rsid w:val="00515C77"/>
    <w:rsid w:val="00516681"/>
    <w:rsid w:val="00517639"/>
    <w:rsid w:val="00521FF4"/>
    <w:rsid w:val="0052418F"/>
    <w:rsid w:val="00525AD4"/>
    <w:rsid w:val="00525E50"/>
    <w:rsid w:val="005263C3"/>
    <w:rsid w:val="00526855"/>
    <w:rsid w:val="00526872"/>
    <w:rsid w:val="00527C5C"/>
    <w:rsid w:val="0052E598"/>
    <w:rsid w:val="005309BC"/>
    <w:rsid w:val="0053245A"/>
    <w:rsid w:val="00532EC1"/>
    <w:rsid w:val="005335A8"/>
    <w:rsid w:val="0053382D"/>
    <w:rsid w:val="00533848"/>
    <w:rsid w:val="00533A12"/>
    <w:rsid w:val="00534932"/>
    <w:rsid w:val="005355D1"/>
    <w:rsid w:val="00535891"/>
    <w:rsid w:val="00535D38"/>
    <w:rsid w:val="00536875"/>
    <w:rsid w:val="00536B82"/>
    <w:rsid w:val="0053749F"/>
    <w:rsid w:val="00537558"/>
    <w:rsid w:val="00540391"/>
    <w:rsid w:val="0054117E"/>
    <w:rsid w:val="00542B23"/>
    <w:rsid w:val="00542E48"/>
    <w:rsid w:val="005440AC"/>
    <w:rsid w:val="0054456B"/>
    <w:rsid w:val="0054596E"/>
    <w:rsid w:val="0054607D"/>
    <w:rsid w:val="00547008"/>
    <w:rsid w:val="0054767D"/>
    <w:rsid w:val="005501A9"/>
    <w:rsid w:val="0055184B"/>
    <w:rsid w:val="00551E4C"/>
    <w:rsid w:val="005525CA"/>
    <w:rsid w:val="00553AD2"/>
    <w:rsid w:val="00553B25"/>
    <w:rsid w:val="00553CB3"/>
    <w:rsid w:val="00554B1A"/>
    <w:rsid w:val="00554CF2"/>
    <w:rsid w:val="00555DD6"/>
    <w:rsid w:val="005567D2"/>
    <w:rsid w:val="00556B31"/>
    <w:rsid w:val="00557BC8"/>
    <w:rsid w:val="00557EAA"/>
    <w:rsid w:val="005616BC"/>
    <w:rsid w:val="005620E6"/>
    <w:rsid w:val="005630F2"/>
    <w:rsid w:val="00563843"/>
    <w:rsid w:val="00563D20"/>
    <w:rsid w:val="00563D52"/>
    <w:rsid w:val="005644C9"/>
    <w:rsid w:val="00564EBC"/>
    <w:rsid w:val="005668A6"/>
    <w:rsid w:val="005676DE"/>
    <w:rsid w:val="00567CB0"/>
    <w:rsid w:val="00570936"/>
    <w:rsid w:val="00572498"/>
    <w:rsid w:val="0057354E"/>
    <w:rsid w:val="00573926"/>
    <w:rsid w:val="005740B2"/>
    <w:rsid w:val="00574FDC"/>
    <w:rsid w:val="005750BF"/>
    <w:rsid w:val="005750F8"/>
    <w:rsid w:val="00575535"/>
    <w:rsid w:val="005757BB"/>
    <w:rsid w:val="005766BB"/>
    <w:rsid w:val="00576E44"/>
    <w:rsid w:val="00577018"/>
    <w:rsid w:val="0058070B"/>
    <w:rsid w:val="00580DF7"/>
    <w:rsid w:val="00582E59"/>
    <w:rsid w:val="00583E9A"/>
    <w:rsid w:val="0058506D"/>
    <w:rsid w:val="00585D92"/>
    <w:rsid w:val="00585FE5"/>
    <w:rsid w:val="0058635B"/>
    <w:rsid w:val="00587355"/>
    <w:rsid w:val="0059189E"/>
    <w:rsid w:val="00591D16"/>
    <w:rsid w:val="00591FF5"/>
    <w:rsid w:val="00592126"/>
    <w:rsid w:val="005936B7"/>
    <w:rsid w:val="00593A59"/>
    <w:rsid w:val="00593BDE"/>
    <w:rsid w:val="00593E77"/>
    <w:rsid w:val="00594A94"/>
    <w:rsid w:val="0059537C"/>
    <w:rsid w:val="00596A59"/>
    <w:rsid w:val="00597BB7"/>
    <w:rsid w:val="005A0357"/>
    <w:rsid w:val="005A060B"/>
    <w:rsid w:val="005A07FF"/>
    <w:rsid w:val="005A11AB"/>
    <w:rsid w:val="005A16AC"/>
    <w:rsid w:val="005A1CED"/>
    <w:rsid w:val="005A1F7C"/>
    <w:rsid w:val="005A1F99"/>
    <w:rsid w:val="005A2352"/>
    <w:rsid w:val="005A4ECB"/>
    <w:rsid w:val="005A52DF"/>
    <w:rsid w:val="005A611E"/>
    <w:rsid w:val="005A78E6"/>
    <w:rsid w:val="005A7913"/>
    <w:rsid w:val="005A7F82"/>
    <w:rsid w:val="005B0388"/>
    <w:rsid w:val="005B054C"/>
    <w:rsid w:val="005B0601"/>
    <w:rsid w:val="005B06A7"/>
    <w:rsid w:val="005B080A"/>
    <w:rsid w:val="005B29F6"/>
    <w:rsid w:val="005B2DC0"/>
    <w:rsid w:val="005B32A1"/>
    <w:rsid w:val="005B34D4"/>
    <w:rsid w:val="005B362A"/>
    <w:rsid w:val="005B39C9"/>
    <w:rsid w:val="005B46C7"/>
    <w:rsid w:val="005B5334"/>
    <w:rsid w:val="005B6950"/>
    <w:rsid w:val="005B6DDE"/>
    <w:rsid w:val="005B7AA1"/>
    <w:rsid w:val="005C021F"/>
    <w:rsid w:val="005C0292"/>
    <w:rsid w:val="005C04CB"/>
    <w:rsid w:val="005C0537"/>
    <w:rsid w:val="005C070D"/>
    <w:rsid w:val="005C0779"/>
    <w:rsid w:val="005C17B4"/>
    <w:rsid w:val="005C19AA"/>
    <w:rsid w:val="005C3AED"/>
    <w:rsid w:val="005C4D7F"/>
    <w:rsid w:val="005C5333"/>
    <w:rsid w:val="005C59E4"/>
    <w:rsid w:val="005C5CBF"/>
    <w:rsid w:val="005C5CC0"/>
    <w:rsid w:val="005C5DAE"/>
    <w:rsid w:val="005C615D"/>
    <w:rsid w:val="005C65BF"/>
    <w:rsid w:val="005C68C2"/>
    <w:rsid w:val="005C6D88"/>
    <w:rsid w:val="005C7534"/>
    <w:rsid w:val="005D0EA3"/>
    <w:rsid w:val="005D19ED"/>
    <w:rsid w:val="005D3AC1"/>
    <w:rsid w:val="005D3D5A"/>
    <w:rsid w:val="005D42B6"/>
    <w:rsid w:val="005D50E9"/>
    <w:rsid w:val="005D53A6"/>
    <w:rsid w:val="005D5C06"/>
    <w:rsid w:val="005D73D0"/>
    <w:rsid w:val="005E00F4"/>
    <w:rsid w:val="005E06A4"/>
    <w:rsid w:val="005E1E25"/>
    <w:rsid w:val="005E29BF"/>
    <w:rsid w:val="005E2BEF"/>
    <w:rsid w:val="005E38D6"/>
    <w:rsid w:val="005E3F5C"/>
    <w:rsid w:val="005E41C4"/>
    <w:rsid w:val="005E5F8A"/>
    <w:rsid w:val="005E6D60"/>
    <w:rsid w:val="005E7DEE"/>
    <w:rsid w:val="005EAD34"/>
    <w:rsid w:val="005F0A7A"/>
    <w:rsid w:val="005F10CA"/>
    <w:rsid w:val="005F1EC9"/>
    <w:rsid w:val="005F2308"/>
    <w:rsid w:val="005F2388"/>
    <w:rsid w:val="005F2BF1"/>
    <w:rsid w:val="005F2F9F"/>
    <w:rsid w:val="005F3C1B"/>
    <w:rsid w:val="005F3CEC"/>
    <w:rsid w:val="005F496C"/>
    <w:rsid w:val="005F5063"/>
    <w:rsid w:val="005F5CA1"/>
    <w:rsid w:val="005F5F37"/>
    <w:rsid w:val="005F6780"/>
    <w:rsid w:val="005F6CB1"/>
    <w:rsid w:val="005F7327"/>
    <w:rsid w:val="005F76EA"/>
    <w:rsid w:val="005F77E4"/>
    <w:rsid w:val="005F7823"/>
    <w:rsid w:val="005F7F15"/>
    <w:rsid w:val="006003DD"/>
    <w:rsid w:val="00600AAF"/>
    <w:rsid w:val="00600D7F"/>
    <w:rsid w:val="006017E3"/>
    <w:rsid w:val="0060209E"/>
    <w:rsid w:val="0060219F"/>
    <w:rsid w:val="00602953"/>
    <w:rsid w:val="006033DF"/>
    <w:rsid w:val="00603FCD"/>
    <w:rsid w:val="0060523C"/>
    <w:rsid w:val="006060AD"/>
    <w:rsid w:val="006063CE"/>
    <w:rsid w:val="00606E9A"/>
    <w:rsid w:val="006078FB"/>
    <w:rsid w:val="00607B35"/>
    <w:rsid w:val="0061025E"/>
    <w:rsid w:val="0061046F"/>
    <w:rsid w:val="00610636"/>
    <w:rsid w:val="00610A0D"/>
    <w:rsid w:val="00610BF6"/>
    <w:rsid w:val="00611AE0"/>
    <w:rsid w:val="006120F1"/>
    <w:rsid w:val="0061342A"/>
    <w:rsid w:val="006134FF"/>
    <w:rsid w:val="0061368E"/>
    <w:rsid w:val="00613786"/>
    <w:rsid w:val="00614191"/>
    <w:rsid w:val="00614215"/>
    <w:rsid w:val="0061561C"/>
    <w:rsid w:val="00617882"/>
    <w:rsid w:val="00621060"/>
    <w:rsid w:val="00621A53"/>
    <w:rsid w:val="00622B41"/>
    <w:rsid w:val="006233BC"/>
    <w:rsid w:val="00623BDF"/>
    <w:rsid w:val="00623F4B"/>
    <w:rsid w:val="006240BE"/>
    <w:rsid w:val="00624520"/>
    <w:rsid w:val="0062505B"/>
    <w:rsid w:val="006254CD"/>
    <w:rsid w:val="00625D33"/>
    <w:rsid w:val="00626628"/>
    <w:rsid w:val="006267CA"/>
    <w:rsid w:val="0062697D"/>
    <w:rsid w:val="0062754C"/>
    <w:rsid w:val="00627989"/>
    <w:rsid w:val="00627E9A"/>
    <w:rsid w:val="00627FB0"/>
    <w:rsid w:val="00630412"/>
    <w:rsid w:val="00630416"/>
    <w:rsid w:val="00630807"/>
    <w:rsid w:val="00630968"/>
    <w:rsid w:val="00630C9F"/>
    <w:rsid w:val="0063317E"/>
    <w:rsid w:val="0063378C"/>
    <w:rsid w:val="0063382E"/>
    <w:rsid w:val="006345C6"/>
    <w:rsid w:val="00635FD6"/>
    <w:rsid w:val="00636B08"/>
    <w:rsid w:val="00637607"/>
    <w:rsid w:val="00637849"/>
    <w:rsid w:val="0063791D"/>
    <w:rsid w:val="00637D7F"/>
    <w:rsid w:val="00641227"/>
    <w:rsid w:val="00641274"/>
    <w:rsid w:val="0064181A"/>
    <w:rsid w:val="00641BC1"/>
    <w:rsid w:val="00642B08"/>
    <w:rsid w:val="00643075"/>
    <w:rsid w:val="006433D2"/>
    <w:rsid w:val="006433DD"/>
    <w:rsid w:val="00643448"/>
    <w:rsid w:val="00643F3E"/>
    <w:rsid w:val="00644331"/>
    <w:rsid w:val="006443D9"/>
    <w:rsid w:val="00644A04"/>
    <w:rsid w:val="00644F43"/>
    <w:rsid w:val="006466C7"/>
    <w:rsid w:val="006470FC"/>
    <w:rsid w:val="006471A4"/>
    <w:rsid w:val="00650400"/>
    <w:rsid w:val="00650B87"/>
    <w:rsid w:val="00651046"/>
    <w:rsid w:val="00651792"/>
    <w:rsid w:val="00651FE4"/>
    <w:rsid w:val="0065250C"/>
    <w:rsid w:val="00653104"/>
    <w:rsid w:val="006533B5"/>
    <w:rsid w:val="00654370"/>
    <w:rsid w:val="006547ED"/>
    <w:rsid w:val="00654960"/>
    <w:rsid w:val="00655315"/>
    <w:rsid w:val="00655552"/>
    <w:rsid w:val="00655804"/>
    <w:rsid w:val="00655EFC"/>
    <w:rsid w:val="00656DB2"/>
    <w:rsid w:val="00657268"/>
    <w:rsid w:val="0065772C"/>
    <w:rsid w:val="00661BF8"/>
    <w:rsid w:val="0066306B"/>
    <w:rsid w:val="006632B6"/>
    <w:rsid w:val="006655D4"/>
    <w:rsid w:val="00665697"/>
    <w:rsid w:val="00665BE8"/>
    <w:rsid w:val="00665FA5"/>
    <w:rsid w:val="0066670D"/>
    <w:rsid w:val="00666811"/>
    <w:rsid w:val="00667496"/>
    <w:rsid w:val="0066831F"/>
    <w:rsid w:val="00671224"/>
    <w:rsid w:val="00671504"/>
    <w:rsid w:val="00671CB3"/>
    <w:rsid w:val="00671F9B"/>
    <w:rsid w:val="006728C1"/>
    <w:rsid w:val="00672AC5"/>
    <w:rsid w:val="00673F31"/>
    <w:rsid w:val="00674516"/>
    <w:rsid w:val="00674A63"/>
    <w:rsid w:val="0067561B"/>
    <w:rsid w:val="00675EE1"/>
    <w:rsid w:val="006760B4"/>
    <w:rsid w:val="00676FC6"/>
    <w:rsid w:val="00677145"/>
    <w:rsid w:val="0067737D"/>
    <w:rsid w:val="0067750C"/>
    <w:rsid w:val="006803E4"/>
    <w:rsid w:val="00680962"/>
    <w:rsid w:val="00680B61"/>
    <w:rsid w:val="00681A57"/>
    <w:rsid w:val="00681D3B"/>
    <w:rsid w:val="006836E0"/>
    <w:rsid w:val="00684C67"/>
    <w:rsid w:val="00684D2D"/>
    <w:rsid w:val="00685E70"/>
    <w:rsid w:val="00685F00"/>
    <w:rsid w:val="00686287"/>
    <w:rsid w:val="006863B1"/>
    <w:rsid w:val="00686C65"/>
    <w:rsid w:val="00687224"/>
    <w:rsid w:val="006903A3"/>
    <w:rsid w:val="006922EE"/>
    <w:rsid w:val="006933FF"/>
    <w:rsid w:val="00693B7C"/>
    <w:rsid w:val="00693E7A"/>
    <w:rsid w:val="0069414D"/>
    <w:rsid w:val="00694683"/>
    <w:rsid w:val="00694928"/>
    <w:rsid w:val="00694C48"/>
    <w:rsid w:val="00694D02"/>
    <w:rsid w:val="006953CB"/>
    <w:rsid w:val="006955E5"/>
    <w:rsid w:val="00695DDC"/>
    <w:rsid w:val="006960AD"/>
    <w:rsid w:val="00696F42"/>
    <w:rsid w:val="00697190"/>
    <w:rsid w:val="006A0A37"/>
    <w:rsid w:val="006A0BBA"/>
    <w:rsid w:val="006A0F8D"/>
    <w:rsid w:val="006A1666"/>
    <w:rsid w:val="006A16C4"/>
    <w:rsid w:val="006A1E32"/>
    <w:rsid w:val="006A2045"/>
    <w:rsid w:val="006A2180"/>
    <w:rsid w:val="006A22D8"/>
    <w:rsid w:val="006A2B14"/>
    <w:rsid w:val="006A2F66"/>
    <w:rsid w:val="006A30B0"/>
    <w:rsid w:val="006A35C0"/>
    <w:rsid w:val="006A3A7B"/>
    <w:rsid w:val="006A55C4"/>
    <w:rsid w:val="006A5F0F"/>
    <w:rsid w:val="006A5F6F"/>
    <w:rsid w:val="006B00FA"/>
    <w:rsid w:val="006B23DF"/>
    <w:rsid w:val="006B2E11"/>
    <w:rsid w:val="006B3825"/>
    <w:rsid w:val="006B43EB"/>
    <w:rsid w:val="006B544A"/>
    <w:rsid w:val="006B549B"/>
    <w:rsid w:val="006B5C85"/>
    <w:rsid w:val="006B5CB9"/>
    <w:rsid w:val="006B7001"/>
    <w:rsid w:val="006C2080"/>
    <w:rsid w:val="006C26C8"/>
    <w:rsid w:val="006C2EE2"/>
    <w:rsid w:val="006C3700"/>
    <w:rsid w:val="006C3891"/>
    <w:rsid w:val="006C44F9"/>
    <w:rsid w:val="006C4552"/>
    <w:rsid w:val="006C47F7"/>
    <w:rsid w:val="006C55C0"/>
    <w:rsid w:val="006C6FBC"/>
    <w:rsid w:val="006C7917"/>
    <w:rsid w:val="006C7ACD"/>
    <w:rsid w:val="006D0073"/>
    <w:rsid w:val="006D0213"/>
    <w:rsid w:val="006D0D62"/>
    <w:rsid w:val="006D0E5E"/>
    <w:rsid w:val="006D19E9"/>
    <w:rsid w:val="006D1B5D"/>
    <w:rsid w:val="006D2380"/>
    <w:rsid w:val="006D2EE4"/>
    <w:rsid w:val="006D3D1A"/>
    <w:rsid w:val="006D4824"/>
    <w:rsid w:val="006D627E"/>
    <w:rsid w:val="006D6683"/>
    <w:rsid w:val="006D6BCD"/>
    <w:rsid w:val="006D6E7A"/>
    <w:rsid w:val="006E008F"/>
    <w:rsid w:val="006E0094"/>
    <w:rsid w:val="006E123F"/>
    <w:rsid w:val="006E1459"/>
    <w:rsid w:val="006E1A3F"/>
    <w:rsid w:val="006E1BC1"/>
    <w:rsid w:val="006E20E5"/>
    <w:rsid w:val="006E20EC"/>
    <w:rsid w:val="006E28E7"/>
    <w:rsid w:val="006E45E6"/>
    <w:rsid w:val="006E5ADD"/>
    <w:rsid w:val="006E68A7"/>
    <w:rsid w:val="006E6E00"/>
    <w:rsid w:val="006E6F65"/>
    <w:rsid w:val="006F010A"/>
    <w:rsid w:val="006F16A6"/>
    <w:rsid w:val="006F19C3"/>
    <w:rsid w:val="006F23BA"/>
    <w:rsid w:val="006F2617"/>
    <w:rsid w:val="006F2D4C"/>
    <w:rsid w:val="006F3E5A"/>
    <w:rsid w:val="006F40A8"/>
    <w:rsid w:val="006F5317"/>
    <w:rsid w:val="006F5FD5"/>
    <w:rsid w:val="006F6294"/>
    <w:rsid w:val="006F6363"/>
    <w:rsid w:val="006F674D"/>
    <w:rsid w:val="006F6ACC"/>
    <w:rsid w:val="006F6BDC"/>
    <w:rsid w:val="006F7AF8"/>
    <w:rsid w:val="006F7B87"/>
    <w:rsid w:val="007012F4"/>
    <w:rsid w:val="00701652"/>
    <w:rsid w:val="007028CA"/>
    <w:rsid w:val="007031DC"/>
    <w:rsid w:val="007031FC"/>
    <w:rsid w:val="007040A1"/>
    <w:rsid w:val="00704E91"/>
    <w:rsid w:val="007055B3"/>
    <w:rsid w:val="007060F3"/>
    <w:rsid w:val="00706F2C"/>
    <w:rsid w:val="00707A0E"/>
    <w:rsid w:val="007105F2"/>
    <w:rsid w:val="007108EF"/>
    <w:rsid w:val="0071129D"/>
    <w:rsid w:val="00711ADE"/>
    <w:rsid w:val="007126D6"/>
    <w:rsid w:val="00713D48"/>
    <w:rsid w:val="007145AE"/>
    <w:rsid w:val="00714D5C"/>
    <w:rsid w:val="00714DB8"/>
    <w:rsid w:val="00716547"/>
    <w:rsid w:val="0071684D"/>
    <w:rsid w:val="007168EE"/>
    <w:rsid w:val="00716FD8"/>
    <w:rsid w:val="007173A8"/>
    <w:rsid w:val="0071785F"/>
    <w:rsid w:val="00717AD4"/>
    <w:rsid w:val="00720008"/>
    <w:rsid w:val="007203EC"/>
    <w:rsid w:val="00720706"/>
    <w:rsid w:val="00720D05"/>
    <w:rsid w:val="007211E0"/>
    <w:rsid w:val="007216EA"/>
    <w:rsid w:val="007221AC"/>
    <w:rsid w:val="007226B1"/>
    <w:rsid w:val="0072497F"/>
    <w:rsid w:val="00724DB6"/>
    <w:rsid w:val="00726764"/>
    <w:rsid w:val="00726BD8"/>
    <w:rsid w:val="007272EF"/>
    <w:rsid w:val="00727B01"/>
    <w:rsid w:val="00727C0C"/>
    <w:rsid w:val="007303A1"/>
    <w:rsid w:val="007325CB"/>
    <w:rsid w:val="0073313B"/>
    <w:rsid w:val="007339C2"/>
    <w:rsid w:val="00733F61"/>
    <w:rsid w:val="00733FA2"/>
    <w:rsid w:val="0073439A"/>
    <w:rsid w:val="00734FFE"/>
    <w:rsid w:val="00735006"/>
    <w:rsid w:val="0073548A"/>
    <w:rsid w:val="00735FA0"/>
    <w:rsid w:val="007367D2"/>
    <w:rsid w:val="00737087"/>
    <w:rsid w:val="007407A7"/>
    <w:rsid w:val="007416A5"/>
    <w:rsid w:val="00741808"/>
    <w:rsid w:val="007419C3"/>
    <w:rsid w:val="00742E75"/>
    <w:rsid w:val="00743688"/>
    <w:rsid w:val="00744B46"/>
    <w:rsid w:val="00744D08"/>
    <w:rsid w:val="00745684"/>
    <w:rsid w:val="007457C9"/>
    <w:rsid w:val="00745812"/>
    <w:rsid w:val="00745C7D"/>
    <w:rsid w:val="0074669D"/>
    <w:rsid w:val="007474D2"/>
    <w:rsid w:val="00747F65"/>
    <w:rsid w:val="00750794"/>
    <w:rsid w:val="00750C10"/>
    <w:rsid w:val="00750D29"/>
    <w:rsid w:val="00751D0E"/>
    <w:rsid w:val="007531E8"/>
    <w:rsid w:val="00753465"/>
    <w:rsid w:val="00753763"/>
    <w:rsid w:val="0075395A"/>
    <w:rsid w:val="00753B97"/>
    <w:rsid w:val="0075477D"/>
    <w:rsid w:val="00754929"/>
    <w:rsid w:val="007567A7"/>
    <w:rsid w:val="007573DD"/>
    <w:rsid w:val="00757934"/>
    <w:rsid w:val="00757AB1"/>
    <w:rsid w:val="00757B60"/>
    <w:rsid w:val="007605DC"/>
    <w:rsid w:val="007615A9"/>
    <w:rsid w:val="00761FC5"/>
    <w:rsid w:val="00763202"/>
    <w:rsid w:val="007632B4"/>
    <w:rsid w:val="00763B14"/>
    <w:rsid w:val="007642C4"/>
    <w:rsid w:val="00764A70"/>
    <w:rsid w:val="0076540D"/>
    <w:rsid w:val="00765F50"/>
    <w:rsid w:val="007672F0"/>
    <w:rsid w:val="007674E6"/>
    <w:rsid w:val="007712BC"/>
    <w:rsid w:val="00771347"/>
    <w:rsid w:val="007714BA"/>
    <w:rsid w:val="007720A4"/>
    <w:rsid w:val="00772942"/>
    <w:rsid w:val="00772D36"/>
    <w:rsid w:val="007734D3"/>
    <w:rsid w:val="00773A68"/>
    <w:rsid w:val="00773B00"/>
    <w:rsid w:val="0077496B"/>
    <w:rsid w:val="00774CEC"/>
    <w:rsid w:val="00776873"/>
    <w:rsid w:val="00776EEA"/>
    <w:rsid w:val="00777309"/>
    <w:rsid w:val="007773E5"/>
    <w:rsid w:val="00777B58"/>
    <w:rsid w:val="00780DC0"/>
    <w:rsid w:val="00781C5F"/>
    <w:rsid w:val="00781C65"/>
    <w:rsid w:val="00781CBE"/>
    <w:rsid w:val="00782790"/>
    <w:rsid w:val="00782BD3"/>
    <w:rsid w:val="00782E5B"/>
    <w:rsid w:val="00782FBA"/>
    <w:rsid w:val="00783020"/>
    <w:rsid w:val="00783261"/>
    <w:rsid w:val="00783AEB"/>
    <w:rsid w:val="00783DBF"/>
    <w:rsid w:val="0078492F"/>
    <w:rsid w:val="00784BB0"/>
    <w:rsid w:val="00784BE2"/>
    <w:rsid w:val="00784F82"/>
    <w:rsid w:val="00785222"/>
    <w:rsid w:val="00785507"/>
    <w:rsid w:val="007856AD"/>
    <w:rsid w:val="007856B6"/>
    <w:rsid w:val="00785840"/>
    <w:rsid w:val="007864C3"/>
    <w:rsid w:val="00787027"/>
    <w:rsid w:val="007873A2"/>
    <w:rsid w:val="00787437"/>
    <w:rsid w:val="00790976"/>
    <w:rsid w:val="007909FB"/>
    <w:rsid w:val="00791BA5"/>
    <w:rsid w:val="00791F3A"/>
    <w:rsid w:val="007922DB"/>
    <w:rsid w:val="00792F57"/>
    <w:rsid w:val="00792FF8"/>
    <w:rsid w:val="007933A8"/>
    <w:rsid w:val="0079347F"/>
    <w:rsid w:val="0079355E"/>
    <w:rsid w:val="00793F21"/>
    <w:rsid w:val="00794143"/>
    <w:rsid w:val="007941A3"/>
    <w:rsid w:val="007943FB"/>
    <w:rsid w:val="00794650"/>
    <w:rsid w:val="0079584A"/>
    <w:rsid w:val="00796C52"/>
    <w:rsid w:val="00797442"/>
    <w:rsid w:val="0079769A"/>
    <w:rsid w:val="00797DBB"/>
    <w:rsid w:val="00797DC2"/>
    <w:rsid w:val="007A01ED"/>
    <w:rsid w:val="007A037D"/>
    <w:rsid w:val="007A06F8"/>
    <w:rsid w:val="007A0733"/>
    <w:rsid w:val="007A18B4"/>
    <w:rsid w:val="007A249F"/>
    <w:rsid w:val="007A2815"/>
    <w:rsid w:val="007A318E"/>
    <w:rsid w:val="007A399D"/>
    <w:rsid w:val="007A3C88"/>
    <w:rsid w:val="007A3FE5"/>
    <w:rsid w:val="007A4681"/>
    <w:rsid w:val="007A493C"/>
    <w:rsid w:val="007A4966"/>
    <w:rsid w:val="007A6906"/>
    <w:rsid w:val="007A69D5"/>
    <w:rsid w:val="007A6ED4"/>
    <w:rsid w:val="007A7383"/>
    <w:rsid w:val="007A75C6"/>
    <w:rsid w:val="007A7905"/>
    <w:rsid w:val="007B03BD"/>
    <w:rsid w:val="007B07A5"/>
    <w:rsid w:val="007B0D49"/>
    <w:rsid w:val="007B144A"/>
    <w:rsid w:val="007B148F"/>
    <w:rsid w:val="007B15C9"/>
    <w:rsid w:val="007B1627"/>
    <w:rsid w:val="007B186F"/>
    <w:rsid w:val="007B1FC2"/>
    <w:rsid w:val="007B233B"/>
    <w:rsid w:val="007B26A8"/>
    <w:rsid w:val="007B3954"/>
    <w:rsid w:val="007B49CD"/>
    <w:rsid w:val="007B4C60"/>
    <w:rsid w:val="007B4DF2"/>
    <w:rsid w:val="007B5031"/>
    <w:rsid w:val="007B5F67"/>
    <w:rsid w:val="007B6724"/>
    <w:rsid w:val="007B77B3"/>
    <w:rsid w:val="007B78C4"/>
    <w:rsid w:val="007C0452"/>
    <w:rsid w:val="007C103D"/>
    <w:rsid w:val="007C1480"/>
    <w:rsid w:val="007C2823"/>
    <w:rsid w:val="007C2E12"/>
    <w:rsid w:val="007C3262"/>
    <w:rsid w:val="007C344C"/>
    <w:rsid w:val="007C3A9F"/>
    <w:rsid w:val="007C3EAE"/>
    <w:rsid w:val="007C5223"/>
    <w:rsid w:val="007C5F02"/>
    <w:rsid w:val="007C5FD8"/>
    <w:rsid w:val="007D074B"/>
    <w:rsid w:val="007D0B21"/>
    <w:rsid w:val="007D0B3E"/>
    <w:rsid w:val="007D1226"/>
    <w:rsid w:val="007D1271"/>
    <w:rsid w:val="007D3465"/>
    <w:rsid w:val="007D3D69"/>
    <w:rsid w:val="007D42ED"/>
    <w:rsid w:val="007D5EFF"/>
    <w:rsid w:val="007E0815"/>
    <w:rsid w:val="007E0AB8"/>
    <w:rsid w:val="007E0B41"/>
    <w:rsid w:val="007E0EB4"/>
    <w:rsid w:val="007E1518"/>
    <w:rsid w:val="007E15DB"/>
    <w:rsid w:val="007E1B30"/>
    <w:rsid w:val="007E2E78"/>
    <w:rsid w:val="007E5B51"/>
    <w:rsid w:val="007E6807"/>
    <w:rsid w:val="007E6F2B"/>
    <w:rsid w:val="007F166D"/>
    <w:rsid w:val="007F2BE4"/>
    <w:rsid w:val="007F348A"/>
    <w:rsid w:val="007F3FA6"/>
    <w:rsid w:val="007F428B"/>
    <w:rsid w:val="007F44BA"/>
    <w:rsid w:val="007F5044"/>
    <w:rsid w:val="007F5DDE"/>
    <w:rsid w:val="007F6028"/>
    <w:rsid w:val="007F628B"/>
    <w:rsid w:val="007F69A6"/>
    <w:rsid w:val="007F69D0"/>
    <w:rsid w:val="007F7D15"/>
    <w:rsid w:val="008014DD"/>
    <w:rsid w:val="00801A2B"/>
    <w:rsid w:val="008021D1"/>
    <w:rsid w:val="00803311"/>
    <w:rsid w:val="008036D7"/>
    <w:rsid w:val="00803CBE"/>
    <w:rsid w:val="00803DE2"/>
    <w:rsid w:val="00804DFC"/>
    <w:rsid w:val="00805076"/>
    <w:rsid w:val="008050F9"/>
    <w:rsid w:val="008051F6"/>
    <w:rsid w:val="00806AEA"/>
    <w:rsid w:val="00807027"/>
    <w:rsid w:val="00811AD6"/>
    <w:rsid w:val="00811CA7"/>
    <w:rsid w:val="00812559"/>
    <w:rsid w:val="00812BC3"/>
    <w:rsid w:val="00813D49"/>
    <w:rsid w:val="00814487"/>
    <w:rsid w:val="00814A0D"/>
    <w:rsid w:val="008163E4"/>
    <w:rsid w:val="00816F93"/>
    <w:rsid w:val="00817803"/>
    <w:rsid w:val="0082026E"/>
    <w:rsid w:val="00822963"/>
    <w:rsid w:val="00823559"/>
    <w:rsid w:val="0082403E"/>
    <w:rsid w:val="0082497B"/>
    <w:rsid w:val="008253B1"/>
    <w:rsid w:val="00825E64"/>
    <w:rsid w:val="00825E9D"/>
    <w:rsid w:val="00826305"/>
    <w:rsid w:val="008264DE"/>
    <w:rsid w:val="00826BD6"/>
    <w:rsid w:val="008278D0"/>
    <w:rsid w:val="00827943"/>
    <w:rsid w:val="00830105"/>
    <w:rsid w:val="00831409"/>
    <w:rsid w:val="00831644"/>
    <w:rsid w:val="00831653"/>
    <w:rsid w:val="00832D95"/>
    <w:rsid w:val="008331CE"/>
    <w:rsid w:val="00833303"/>
    <w:rsid w:val="0083410A"/>
    <w:rsid w:val="00835967"/>
    <w:rsid w:val="00836184"/>
    <w:rsid w:val="0083709B"/>
    <w:rsid w:val="00837522"/>
    <w:rsid w:val="00837DF0"/>
    <w:rsid w:val="008403F3"/>
    <w:rsid w:val="00840785"/>
    <w:rsid w:val="00840A45"/>
    <w:rsid w:val="00840AD4"/>
    <w:rsid w:val="00842106"/>
    <w:rsid w:val="0084235E"/>
    <w:rsid w:val="00842529"/>
    <w:rsid w:val="0084354F"/>
    <w:rsid w:val="00843F16"/>
    <w:rsid w:val="00844328"/>
    <w:rsid w:val="00844F20"/>
    <w:rsid w:val="008452E8"/>
    <w:rsid w:val="00845E3E"/>
    <w:rsid w:val="00846821"/>
    <w:rsid w:val="008469D4"/>
    <w:rsid w:val="00846BDE"/>
    <w:rsid w:val="00846D26"/>
    <w:rsid w:val="008475D0"/>
    <w:rsid w:val="008477B9"/>
    <w:rsid w:val="0085010F"/>
    <w:rsid w:val="008505CA"/>
    <w:rsid w:val="00850926"/>
    <w:rsid w:val="008511B3"/>
    <w:rsid w:val="00851271"/>
    <w:rsid w:val="008515A7"/>
    <w:rsid w:val="00851774"/>
    <w:rsid w:val="0085367C"/>
    <w:rsid w:val="008538B9"/>
    <w:rsid w:val="00853921"/>
    <w:rsid w:val="008539DF"/>
    <w:rsid w:val="008539FC"/>
    <w:rsid w:val="00853A35"/>
    <w:rsid w:val="00853F1F"/>
    <w:rsid w:val="0085413E"/>
    <w:rsid w:val="00854556"/>
    <w:rsid w:val="008545B8"/>
    <w:rsid w:val="0085570D"/>
    <w:rsid w:val="0085578B"/>
    <w:rsid w:val="00855864"/>
    <w:rsid w:val="00856A42"/>
    <w:rsid w:val="00860559"/>
    <w:rsid w:val="0086061E"/>
    <w:rsid w:val="0086096D"/>
    <w:rsid w:val="00861087"/>
    <w:rsid w:val="008615F0"/>
    <w:rsid w:val="00862815"/>
    <w:rsid w:val="008629FE"/>
    <w:rsid w:val="00862F73"/>
    <w:rsid w:val="00863A66"/>
    <w:rsid w:val="00863C13"/>
    <w:rsid w:val="008642AA"/>
    <w:rsid w:val="00864ABE"/>
    <w:rsid w:val="00864F07"/>
    <w:rsid w:val="00865429"/>
    <w:rsid w:val="0086581C"/>
    <w:rsid w:val="00866A4C"/>
    <w:rsid w:val="00867750"/>
    <w:rsid w:val="00870356"/>
    <w:rsid w:val="00871535"/>
    <w:rsid w:val="00871647"/>
    <w:rsid w:val="00872673"/>
    <w:rsid w:val="00872A5A"/>
    <w:rsid w:val="00872B78"/>
    <w:rsid w:val="00874F22"/>
    <w:rsid w:val="008757EA"/>
    <w:rsid w:val="00875FC5"/>
    <w:rsid w:val="008761A1"/>
    <w:rsid w:val="008761B6"/>
    <w:rsid w:val="00876B68"/>
    <w:rsid w:val="00877548"/>
    <w:rsid w:val="00877880"/>
    <w:rsid w:val="00877C3E"/>
    <w:rsid w:val="00880325"/>
    <w:rsid w:val="00880D39"/>
    <w:rsid w:val="00882932"/>
    <w:rsid w:val="00882A10"/>
    <w:rsid w:val="00882B91"/>
    <w:rsid w:val="00882E3C"/>
    <w:rsid w:val="008831B4"/>
    <w:rsid w:val="00883B8B"/>
    <w:rsid w:val="00884C05"/>
    <w:rsid w:val="00884CC0"/>
    <w:rsid w:val="008862F7"/>
    <w:rsid w:val="008869B7"/>
    <w:rsid w:val="00886BBD"/>
    <w:rsid w:val="00887124"/>
    <w:rsid w:val="0088745B"/>
    <w:rsid w:val="00890C1F"/>
    <w:rsid w:val="008916B2"/>
    <w:rsid w:val="0089204D"/>
    <w:rsid w:val="0089276B"/>
    <w:rsid w:val="00893D71"/>
    <w:rsid w:val="00894128"/>
    <w:rsid w:val="00895293"/>
    <w:rsid w:val="0089540D"/>
    <w:rsid w:val="008959A4"/>
    <w:rsid w:val="00895EBF"/>
    <w:rsid w:val="0089606E"/>
    <w:rsid w:val="00896CE6"/>
    <w:rsid w:val="00897990"/>
    <w:rsid w:val="008A0BF5"/>
    <w:rsid w:val="008A21ED"/>
    <w:rsid w:val="008A2DFA"/>
    <w:rsid w:val="008A398B"/>
    <w:rsid w:val="008A49EB"/>
    <w:rsid w:val="008A514B"/>
    <w:rsid w:val="008A54B0"/>
    <w:rsid w:val="008A5AA3"/>
    <w:rsid w:val="008A6084"/>
    <w:rsid w:val="008A71C1"/>
    <w:rsid w:val="008A7DC7"/>
    <w:rsid w:val="008B28CB"/>
    <w:rsid w:val="008B2BA7"/>
    <w:rsid w:val="008B4232"/>
    <w:rsid w:val="008B44E3"/>
    <w:rsid w:val="008B4E7F"/>
    <w:rsid w:val="008B5776"/>
    <w:rsid w:val="008B5CF8"/>
    <w:rsid w:val="008B7B1A"/>
    <w:rsid w:val="008B7C35"/>
    <w:rsid w:val="008BF1E8"/>
    <w:rsid w:val="008C0A3B"/>
    <w:rsid w:val="008C0E04"/>
    <w:rsid w:val="008C0EAF"/>
    <w:rsid w:val="008C2B66"/>
    <w:rsid w:val="008C3125"/>
    <w:rsid w:val="008C333B"/>
    <w:rsid w:val="008C3806"/>
    <w:rsid w:val="008C3C12"/>
    <w:rsid w:val="008C45B1"/>
    <w:rsid w:val="008C6034"/>
    <w:rsid w:val="008C6925"/>
    <w:rsid w:val="008C757D"/>
    <w:rsid w:val="008C765B"/>
    <w:rsid w:val="008C7832"/>
    <w:rsid w:val="008C7FE7"/>
    <w:rsid w:val="008D0878"/>
    <w:rsid w:val="008D1C2D"/>
    <w:rsid w:val="008D30A5"/>
    <w:rsid w:val="008D3386"/>
    <w:rsid w:val="008D47FB"/>
    <w:rsid w:val="008D4834"/>
    <w:rsid w:val="008D5379"/>
    <w:rsid w:val="008D5DB6"/>
    <w:rsid w:val="008D604C"/>
    <w:rsid w:val="008D65E2"/>
    <w:rsid w:val="008D67A1"/>
    <w:rsid w:val="008D7230"/>
    <w:rsid w:val="008D7605"/>
    <w:rsid w:val="008E0517"/>
    <w:rsid w:val="008E14C0"/>
    <w:rsid w:val="008E15C6"/>
    <w:rsid w:val="008E1E89"/>
    <w:rsid w:val="008E28C9"/>
    <w:rsid w:val="008E28EA"/>
    <w:rsid w:val="008E4285"/>
    <w:rsid w:val="008E49E0"/>
    <w:rsid w:val="008E4CC8"/>
    <w:rsid w:val="008E52FE"/>
    <w:rsid w:val="008E57E9"/>
    <w:rsid w:val="008E5E23"/>
    <w:rsid w:val="008E652C"/>
    <w:rsid w:val="008E65AF"/>
    <w:rsid w:val="008E711A"/>
    <w:rsid w:val="008E78D0"/>
    <w:rsid w:val="008E7B36"/>
    <w:rsid w:val="008F0677"/>
    <w:rsid w:val="008F13FF"/>
    <w:rsid w:val="008F1F57"/>
    <w:rsid w:val="008F2865"/>
    <w:rsid w:val="008F2990"/>
    <w:rsid w:val="008F2E01"/>
    <w:rsid w:val="008F3401"/>
    <w:rsid w:val="008F3EF9"/>
    <w:rsid w:val="008F42C7"/>
    <w:rsid w:val="008F45F4"/>
    <w:rsid w:val="008F51B3"/>
    <w:rsid w:val="008F522C"/>
    <w:rsid w:val="008F6938"/>
    <w:rsid w:val="008F726F"/>
    <w:rsid w:val="008F76F1"/>
    <w:rsid w:val="008F7FF7"/>
    <w:rsid w:val="00900AEF"/>
    <w:rsid w:val="00900DA0"/>
    <w:rsid w:val="00901BD7"/>
    <w:rsid w:val="0090210D"/>
    <w:rsid w:val="009026E4"/>
    <w:rsid w:val="00902E66"/>
    <w:rsid w:val="00902E86"/>
    <w:rsid w:val="00903470"/>
    <w:rsid w:val="0090392B"/>
    <w:rsid w:val="00903B2C"/>
    <w:rsid w:val="00903D98"/>
    <w:rsid w:val="009055E9"/>
    <w:rsid w:val="00905A11"/>
    <w:rsid w:val="00905FAC"/>
    <w:rsid w:val="0090626E"/>
    <w:rsid w:val="00907439"/>
    <w:rsid w:val="00907E68"/>
    <w:rsid w:val="0091054B"/>
    <w:rsid w:val="00910A8E"/>
    <w:rsid w:val="0091110E"/>
    <w:rsid w:val="009112F6"/>
    <w:rsid w:val="009118D7"/>
    <w:rsid w:val="0091242A"/>
    <w:rsid w:val="0091247A"/>
    <w:rsid w:val="00912CEB"/>
    <w:rsid w:val="00913097"/>
    <w:rsid w:val="00913451"/>
    <w:rsid w:val="00914419"/>
    <w:rsid w:val="0091487F"/>
    <w:rsid w:val="00914930"/>
    <w:rsid w:val="0091565C"/>
    <w:rsid w:val="00916232"/>
    <w:rsid w:val="0091635F"/>
    <w:rsid w:val="0091716B"/>
    <w:rsid w:val="009206FB"/>
    <w:rsid w:val="009209B4"/>
    <w:rsid w:val="00920DC5"/>
    <w:rsid w:val="00921270"/>
    <w:rsid w:val="00922DDE"/>
    <w:rsid w:val="009236DD"/>
    <w:rsid w:val="009237F9"/>
    <w:rsid w:val="00923E2C"/>
    <w:rsid w:val="00924C20"/>
    <w:rsid w:val="00925A28"/>
    <w:rsid w:val="009263B9"/>
    <w:rsid w:val="0092653E"/>
    <w:rsid w:val="00926BDD"/>
    <w:rsid w:val="00927177"/>
    <w:rsid w:val="00927235"/>
    <w:rsid w:val="0092772D"/>
    <w:rsid w:val="00927CFC"/>
    <w:rsid w:val="00931537"/>
    <w:rsid w:val="00931654"/>
    <w:rsid w:val="00931CA0"/>
    <w:rsid w:val="009334EC"/>
    <w:rsid w:val="009347EC"/>
    <w:rsid w:val="00934D90"/>
    <w:rsid w:val="00937561"/>
    <w:rsid w:val="00940C27"/>
    <w:rsid w:val="00940FA2"/>
    <w:rsid w:val="009416B5"/>
    <w:rsid w:val="00941CB9"/>
    <w:rsid w:val="00942829"/>
    <w:rsid w:val="00942ACE"/>
    <w:rsid w:val="00942BC7"/>
    <w:rsid w:val="00942BED"/>
    <w:rsid w:val="00943172"/>
    <w:rsid w:val="0094784E"/>
    <w:rsid w:val="00947974"/>
    <w:rsid w:val="00950A62"/>
    <w:rsid w:val="00951142"/>
    <w:rsid w:val="00951BE8"/>
    <w:rsid w:val="00952737"/>
    <w:rsid w:val="0095279C"/>
    <w:rsid w:val="009543A5"/>
    <w:rsid w:val="009544ED"/>
    <w:rsid w:val="00954AF0"/>
    <w:rsid w:val="00954B0E"/>
    <w:rsid w:val="00954BC2"/>
    <w:rsid w:val="00955EEF"/>
    <w:rsid w:val="00955F24"/>
    <w:rsid w:val="009564E1"/>
    <w:rsid w:val="00956B56"/>
    <w:rsid w:val="00957073"/>
    <w:rsid w:val="00957A9E"/>
    <w:rsid w:val="00957B30"/>
    <w:rsid w:val="00957E25"/>
    <w:rsid w:val="00960103"/>
    <w:rsid w:val="00960440"/>
    <w:rsid w:val="00960597"/>
    <w:rsid w:val="00961C72"/>
    <w:rsid w:val="00961F1B"/>
    <w:rsid w:val="00962639"/>
    <w:rsid w:val="00962D29"/>
    <w:rsid w:val="00962F1A"/>
    <w:rsid w:val="00963CD2"/>
    <w:rsid w:val="00964540"/>
    <w:rsid w:val="009649A2"/>
    <w:rsid w:val="00964BBC"/>
    <w:rsid w:val="00965D79"/>
    <w:rsid w:val="009661DB"/>
    <w:rsid w:val="00966A7E"/>
    <w:rsid w:val="00966C16"/>
    <w:rsid w:val="00966E72"/>
    <w:rsid w:val="00966F80"/>
    <w:rsid w:val="009675C4"/>
    <w:rsid w:val="00967D27"/>
    <w:rsid w:val="00967D34"/>
    <w:rsid w:val="009701E9"/>
    <w:rsid w:val="00970334"/>
    <w:rsid w:val="00971A72"/>
    <w:rsid w:val="00972384"/>
    <w:rsid w:val="00972548"/>
    <w:rsid w:val="00972606"/>
    <w:rsid w:val="00972EA8"/>
    <w:rsid w:val="00972EBD"/>
    <w:rsid w:val="009730E2"/>
    <w:rsid w:val="009733BF"/>
    <w:rsid w:val="00973D2D"/>
    <w:rsid w:val="00973F1B"/>
    <w:rsid w:val="00974888"/>
    <w:rsid w:val="009752F3"/>
    <w:rsid w:val="00975C76"/>
    <w:rsid w:val="00976DA2"/>
    <w:rsid w:val="00980FC3"/>
    <w:rsid w:val="009820AE"/>
    <w:rsid w:val="0098286E"/>
    <w:rsid w:val="0098380F"/>
    <w:rsid w:val="00983941"/>
    <w:rsid w:val="009858BC"/>
    <w:rsid w:val="009865CF"/>
    <w:rsid w:val="00986780"/>
    <w:rsid w:val="00987DAA"/>
    <w:rsid w:val="00987FBF"/>
    <w:rsid w:val="009900E3"/>
    <w:rsid w:val="00991865"/>
    <w:rsid w:val="00992518"/>
    <w:rsid w:val="00992CB8"/>
    <w:rsid w:val="00992D33"/>
    <w:rsid w:val="00993325"/>
    <w:rsid w:val="00993924"/>
    <w:rsid w:val="00993C1D"/>
    <w:rsid w:val="009943B9"/>
    <w:rsid w:val="00994779"/>
    <w:rsid w:val="00994B63"/>
    <w:rsid w:val="00995FCF"/>
    <w:rsid w:val="00996159"/>
    <w:rsid w:val="009963D5"/>
    <w:rsid w:val="0099745A"/>
    <w:rsid w:val="009A051F"/>
    <w:rsid w:val="009A103C"/>
    <w:rsid w:val="009A157A"/>
    <w:rsid w:val="009A19D4"/>
    <w:rsid w:val="009A2313"/>
    <w:rsid w:val="009A2C37"/>
    <w:rsid w:val="009A32C4"/>
    <w:rsid w:val="009A3CB0"/>
    <w:rsid w:val="009A51D4"/>
    <w:rsid w:val="009A6273"/>
    <w:rsid w:val="009A6AFF"/>
    <w:rsid w:val="009A73C6"/>
    <w:rsid w:val="009B0295"/>
    <w:rsid w:val="009B0FC9"/>
    <w:rsid w:val="009B1480"/>
    <w:rsid w:val="009B1E91"/>
    <w:rsid w:val="009B21F8"/>
    <w:rsid w:val="009B2D34"/>
    <w:rsid w:val="009B400F"/>
    <w:rsid w:val="009B4958"/>
    <w:rsid w:val="009B4C00"/>
    <w:rsid w:val="009B5523"/>
    <w:rsid w:val="009B6E84"/>
    <w:rsid w:val="009B73A3"/>
    <w:rsid w:val="009B7938"/>
    <w:rsid w:val="009B7AB8"/>
    <w:rsid w:val="009B7BC7"/>
    <w:rsid w:val="009C106F"/>
    <w:rsid w:val="009C1255"/>
    <w:rsid w:val="009C16C9"/>
    <w:rsid w:val="009C19A9"/>
    <w:rsid w:val="009C2DB7"/>
    <w:rsid w:val="009C376C"/>
    <w:rsid w:val="009C44CC"/>
    <w:rsid w:val="009C46EF"/>
    <w:rsid w:val="009C4CE3"/>
    <w:rsid w:val="009C5277"/>
    <w:rsid w:val="009C53F8"/>
    <w:rsid w:val="009C734C"/>
    <w:rsid w:val="009C73CD"/>
    <w:rsid w:val="009C7F17"/>
    <w:rsid w:val="009D0180"/>
    <w:rsid w:val="009D1670"/>
    <w:rsid w:val="009D2FAC"/>
    <w:rsid w:val="009D3B31"/>
    <w:rsid w:val="009D43FB"/>
    <w:rsid w:val="009D4911"/>
    <w:rsid w:val="009D5173"/>
    <w:rsid w:val="009D581A"/>
    <w:rsid w:val="009D6216"/>
    <w:rsid w:val="009D72C6"/>
    <w:rsid w:val="009D79FE"/>
    <w:rsid w:val="009D7B84"/>
    <w:rsid w:val="009D7B96"/>
    <w:rsid w:val="009E04FC"/>
    <w:rsid w:val="009E0BE4"/>
    <w:rsid w:val="009E1199"/>
    <w:rsid w:val="009E1B6D"/>
    <w:rsid w:val="009E1E23"/>
    <w:rsid w:val="009E33EB"/>
    <w:rsid w:val="009E3B1B"/>
    <w:rsid w:val="009E4A6A"/>
    <w:rsid w:val="009E541D"/>
    <w:rsid w:val="009E6EFE"/>
    <w:rsid w:val="009F088F"/>
    <w:rsid w:val="009F35AD"/>
    <w:rsid w:val="009F3D47"/>
    <w:rsid w:val="009F4264"/>
    <w:rsid w:val="009F4EB2"/>
    <w:rsid w:val="009F4F76"/>
    <w:rsid w:val="009F52D0"/>
    <w:rsid w:val="009F54B2"/>
    <w:rsid w:val="009F55E4"/>
    <w:rsid w:val="009F58A0"/>
    <w:rsid w:val="009F6248"/>
    <w:rsid w:val="009F69CF"/>
    <w:rsid w:val="00A01791"/>
    <w:rsid w:val="00A01999"/>
    <w:rsid w:val="00A01EC4"/>
    <w:rsid w:val="00A0215A"/>
    <w:rsid w:val="00A02EA6"/>
    <w:rsid w:val="00A04DB6"/>
    <w:rsid w:val="00A055F8"/>
    <w:rsid w:val="00A063FB"/>
    <w:rsid w:val="00A06558"/>
    <w:rsid w:val="00A06C96"/>
    <w:rsid w:val="00A0728C"/>
    <w:rsid w:val="00A075FE"/>
    <w:rsid w:val="00A07A0F"/>
    <w:rsid w:val="00A07D73"/>
    <w:rsid w:val="00A10F57"/>
    <w:rsid w:val="00A1206B"/>
    <w:rsid w:val="00A13351"/>
    <w:rsid w:val="00A14D13"/>
    <w:rsid w:val="00A15611"/>
    <w:rsid w:val="00A1564B"/>
    <w:rsid w:val="00A1611A"/>
    <w:rsid w:val="00A166A8"/>
    <w:rsid w:val="00A1675C"/>
    <w:rsid w:val="00A168F8"/>
    <w:rsid w:val="00A2002D"/>
    <w:rsid w:val="00A201DF"/>
    <w:rsid w:val="00A201F0"/>
    <w:rsid w:val="00A20EE9"/>
    <w:rsid w:val="00A2138A"/>
    <w:rsid w:val="00A21B06"/>
    <w:rsid w:val="00A225FC"/>
    <w:rsid w:val="00A22B33"/>
    <w:rsid w:val="00A22B8A"/>
    <w:rsid w:val="00A22D37"/>
    <w:rsid w:val="00A23D43"/>
    <w:rsid w:val="00A24781"/>
    <w:rsid w:val="00A25156"/>
    <w:rsid w:val="00A255C6"/>
    <w:rsid w:val="00A2642D"/>
    <w:rsid w:val="00A265FC"/>
    <w:rsid w:val="00A26947"/>
    <w:rsid w:val="00A26FE5"/>
    <w:rsid w:val="00A2715D"/>
    <w:rsid w:val="00A27BF6"/>
    <w:rsid w:val="00A30311"/>
    <w:rsid w:val="00A3087D"/>
    <w:rsid w:val="00A313C4"/>
    <w:rsid w:val="00A31CAC"/>
    <w:rsid w:val="00A32D97"/>
    <w:rsid w:val="00A33AAA"/>
    <w:rsid w:val="00A3486C"/>
    <w:rsid w:val="00A34C1B"/>
    <w:rsid w:val="00A3518F"/>
    <w:rsid w:val="00A35BC7"/>
    <w:rsid w:val="00A364EC"/>
    <w:rsid w:val="00A3770A"/>
    <w:rsid w:val="00A37824"/>
    <w:rsid w:val="00A37C10"/>
    <w:rsid w:val="00A40629"/>
    <w:rsid w:val="00A40AF7"/>
    <w:rsid w:val="00A41024"/>
    <w:rsid w:val="00A42738"/>
    <w:rsid w:val="00A42829"/>
    <w:rsid w:val="00A42AB1"/>
    <w:rsid w:val="00A440B3"/>
    <w:rsid w:val="00A4430F"/>
    <w:rsid w:val="00A460EE"/>
    <w:rsid w:val="00A465C1"/>
    <w:rsid w:val="00A46E27"/>
    <w:rsid w:val="00A47A87"/>
    <w:rsid w:val="00A523FF"/>
    <w:rsid w:val="00A52E8B"/>
    <w:rsid w:val="00A52EC6"/>
    <w:rsid w:val="00A52ECB"/>
    <w:rsid w:val="00A53108"/>
    <w:rsid w:val="00A53F63"/>
    <w:rsid w:val="00A55E2A"/>
    <w:rsid w:val="00A55E62"/>
    <w:rsid w:val="00A564E8"/>
    <w:rsid w:val="00A5728D"/>
    <w:rsid w:val="00A574A1"/>
    <w:rsid w:val="00A57CA3"/>
    <w:rsid w:val="00A60C3C"/>
    <w:rsid w:val="00A60D13"/>
    <w:rsid w:val="00A61F95"/>
    <w:rsid w:val="00A61FBF"/>
    <w:rsid w:val="00A623AB"/>
    <w:rsid w:val="00A62439"/>
    <w:rsid w:val="00A644D9"/>
    <w:rsid w:val="00A646E2"/>
    <w:rsid w:val="00A649E2"/>
    <w:rsid w:val="00A64CD7"/>
    <w:rsid w:val="00A64FC6"/>
    <w:rsid w:val="00A65CB4"/>
    <w:rsid w:val="00A65D3E"/>
    <w:rsid w:val="00A66B6C"/>
    <w:rsid w:val="00A6716E"/>
    <w:rsid w:val="00A677B0"/>
    <w:rsid w:val="00A678F8"/>
    <w:rsid w:val="00A67EF5"/>
    <w:rsid w:val="00A707F1"/>
    <w:rsid w:val="00A70DC2"/>
    <w:rsid w:val="00A70F48"/>
    <w:rsid w:val="00A712D5"/>
    <w:rsid w:val="00A7199F"/>
    <w:rsid w:val="00A721F9"/>
    <w:rsid w:val="00A72666"/>
    <w:rsid w:val="00A72CC7"/>
    <w:rsid w:val="00A73346"/>
    <w:rsid w:val="00A73347"/>
    <w:rsid w:val="00A736B2"/>
    <w:rsid w:val="00A73A75"/>
    <w:rsid w:val="00A7477E"/>
    <w:rsid w:val="00A749D4"/>
    <w:rsid w:val="00A753CD"/>
    <w:rsid w:val="00A75482"/>
    <w:rsid w:val="00A75A3D"/>
    <w:rsid w:val="00A76EF2"/>
    <w:rsid w:val="00A774F3"/>
    <w:rsid w:val="00A77E8D"/>
    <w:rsid w:val="00A77EAE"/>
    <w:rsid w:val="00A802C3"/>
    <w:rsid w:val="00A804A8"/>
    <w:rsid w:val="00A807E6"/>
    <w:rsid w:val="00A81153"/>
    <w:rsid w:val="00A81C32"/>
    <w:rsid w:val="00A82222"/>
    <w:rsid w:val="00A82630"/>
    <w:rsid w:val="00A82AEA"/>
    <w:rsid w:val="00A83093"/>
    <w:rsid w:val="00A83495"/>
    <w:rsid w:val="00A83F84"/>
    <w:rsid w:val="00A85325"/>
    <w:rsid w:val="00A8584D"/>
    <w:rsid w:val="00A86C98"/>
    <w:rsid w:val="00A87185"/>
    <w:rsid w:val="00A87B41"/>
    <w:rsid w:val="00A90AA0"/>
    <w:rsid w:val="00A910F3"/>
    <w:rsid w:val="00A912E6"/>
    <w:rsid w:val="00A9180A"/>
    <w:rsid w:val="00A91B1D"/>
    <w:rsid w:val="00A92461"/>
    <w:rsid w:val="00A929B3"/>
    <w:rsid w:val="00A92AAC"/>
    <w:rsid w:val="00A93803"/>
    <w:rsid w:val="00A9539A"/>
    <w:rsid w:val="00A95458"/>
    <w:rsid w:val="00A9575B"/>
    <w:rsid w:val="00A9590B"/>
    <w:rsid w:val="00A96907"/>
    <w:rsid w:val="00A97890"/>
    <w:rsid w:val="00AA07BA"/>
    <w:rsid w:val="00AA08E8"/>
    <w:rsid w:val="00AA0C07"/>
    <w:rsid w:val="00AA1DC2"/>
    <w:rsid w:val="00AA40AA"/>
    <w:rsid w:val="00AA4EB2"/>
    <w:rsid w:val="00AA5158"/>
    <w:rsid w:val="00AA5C92"/>
    <w:rsid w:val="00AA5DB3"/>
    <w:rsid w:val="00AA6566"/>
    <w:rsid w:val="00AA664C"/>
    <w:rsid w:val="00AA7174"/>
    <w:rsid w:val="00AA742C"/>
    <w:rsid w:val="00AA7C13"/>
    <w:rsid w:val="00AA7CC4"/>
    <w:rsid w:val="00AB09E2"/>
    <w:rsid w:val="00AB0DF5"/>
    <w:rsid w:val="00AB2251"/>
    <w:rsid w:val="00AB253B"/>
    <w:rsid w:val="00AB3D54"/>
    <w:rsid w:val="00AB4A5F"/>
    <w:rsid w:val="00AB57E3"/>
    <w:rsid w:val="00AB6A42"/>
    <w:rsid w:val="00AB6C6B"/>
    <w:rsid w:val="00AB6FA7"/>
    <w:rsid w:val="00AB6FC7"/>
    <w:rsid w:val="00AB7CC6"/>
    <w:rsid w:val="00AB7D8C"/>
    <w:rsid w:val="00AC0340"/>
    <w:rsid w:val="00AC04CE"/>
    <w:rsid w:val="00AC0617"/>
    <w:rsid w:val="00AC0A74"/>
    <w:rsid w:val="00AC0EBB"/>
    <w:rsid w:val="00AC12C5"/>
    <w:rsid w:val="00AC1EAD"/>
    <w:rsid w:val="00AC380F"/>
    <w:rsid w:val="00AC47C6"/>
    <w:rsid w:val="00AC70FA"/>
    <w:rsid w:val="00AC74C1"/>
    <w:rsid w:val="00AC7AB9"/>
    <w:rsid w:val="00AD09EE"/>
    <w:rsid w:val="00AD0ABC"/>
    <w:rsid w:val="00AD1AE9"/>
    <w:rsid w:val="00AD1C0F"/>
    <w:rsid w:val="00AD1FDB"/>
    <w:rsid w:val="00AD3399"/>
    <w:rsid w:val="00AD4582"/>
    <w:rsid w:val="00AD4E5C"/>
    <w:rsid w:val="00AD5467"/>
    <w:rsid w:val="00AD620E"/>
    <w:rsid w:val="00AD6B68"/>
    <w:rsid w:val="00AD6F5C"/>
    <w:rsid w:val="00AD734D"/>
    <w:rsid w:val="00AD7B17"/>
    <w:rsid w:val="00AD7B96"/>
    <w:rsid w:val="00AD7C98"/>
    <w:rsid w:val="00AE1743"/>
    <w:rsid w:val="00AE2C83"/>
    <w:rsid w:val="00AE3396"/>
    <w:rsid w:val="00AE4A95"/>
    <w:rsid w:val="00AE4F0D"/>
    <w:rsid w:val="00AE6167"/>
    <w:rsid w:val="00AE6407"/>
    <w:rsid w:val="00AE65ED"/>
    <w:rsid w:val="00AE6834"/>
    <w:rsid w:val="00AE6B09"/>
    <w:rsid w:val="00AE6CA9"/>
    <w:rsid w:val="00AE7180"/>
    <w:rsid w:val="00AE75D9"/>
    <w:rsid w:val="00AE7B80"/>
    <w:rsid w:val="00AF1253"/>
    <w:rsid w:val="00AF14C0"/>
    <w:rsid w:val="00AF159E"/>
    <w:rsid w:val="00AF1D3C"/>
    <w:rsid w:val="00AF1F34"/>
    <w:rsid w:val="00AF1F61"/>
    <w:rsid w:val="00AF2A8B"/>
    <w:rsid w:val="00AF2B3A"/>
    <w:rsid w:val="00AF4422"/>
    <w:rsid w:val="00AF47C3"/>
    <w:rsid w:val="00AF4822"/>
    <w:rsid w:val="00AF5755"/>
    <w:rsid w:val="00AF63C2"/>
    <w:rsid w:val="00AF73B9"/>
    <w:rsid w:val="00AF7465"/>
    <w:rsid w:val="00AF76AB"/>
    <w:rsid w:val="00B00E3C"/>
    <w:rsid w:val="00B018BF"/>
    <w:rsid w:val="00B020E6"/>
    <w:rsid w:val="00B025E2"/>
    <w:rsid w:val="00B02A83"/>
    <w:rsid w:val="00B02D1D"/>
    <w:rsid w:val="00B049F1"/>
    <w:rsid w:val="00B04A98"/>
    <w:rsid w:val="00B04D89"/>
    <w:rsid w:val="00B05FBC"/>
    <w:rsid w:val="00B0615D"/>
    <w:rsid w:val="00B073E9"/>
    <w:rsid w:val="00B07C89"/>
    <w:rsid w:val="00B10599"/>
    <w:rsid w:val="00B10BD6"/>
    <w:rsid w:val="00B11EAC"/>
    <w:rsid w:val="00B123C6"/>
    <w:rsid w:val="00B13022"/>
    <w:rsid w:val="00B13211"/>
    <w:rsid w:val="00B1391F"/>
    <w:rsid w:val="00B13D8F"/>
    <w:rsid w:val="00B1400B"/>
    <w:rsid w:val="00B14522"/>
    <w:rsid w:val="00B14F92"/>
    <w:rsid w:val="00B15608"/>
    <w:rsid w:val="00B16ABA"/>
    <w:rsid w:val="00B1719C"/>
    <w:rsid w:val="00B1793D"/>
    <w:rsid w:val="00B2092A"/>
    <w:rsid w:val="00B21270"/>
    <w:rsid w:val="00B21741"/>
    <w:rsid w:val="00B218BC"/>
    <w:rsid w:val="00B21B52"/>
    <w:rsid w:val="00B2204B"/>
    <w:rsid w:val="00B2323E"/>
    <w:rsid w:val="00B237C8"/>
    <w:rsid w:val="00B239A3"/>
    <w:rsid w:val="00B23A8A"/>
    <w:rsid w:val="00B23C4C"/>
    <w:rsid w:val="00B23EA6"/>
    <w:rsid w:val="00B25069"/>
    <w:rsid w:val="00B25F63"/>
    <w:rsid w:val="00B26375"/>
    <w:rsid w:val="00B26815"/>
    <w:rsid w:val="00B26C0B"/>
    <w:rsid w:val="00B27346"/>
    <w:rsid w:val="00B273F6"/>
    <w:rsid w:val="00B305F2"/>
    <w:rsid w:val="00B30826"/>
    <w:rsid w:val="00B30896"/>
    <w:rsid w:val="00B30901"/>
    <w:rsid w:val="00B3191D"/>
    <w:rsid w:val="00B31FB3"/>
    <w:rsid w:val="00B327A0"/>
    <w:rsid w:val="00B32B08"/>
    <w:rsid w:val="00B32EB8"/>
    <w:rsid w:val="00B33468"/>
    <w:rsid w:val="00B33DF8"/>
    <w:rsid w:val="00B34354"/>
    <w:rsid w:val="00B34429"/>
    <w:rsid w:val="00B34D73"/>
    <w:rsid w:val="00B3517F"/>
    <w:rsid w:val="00B368CC"/>
    <w:rsid w:val="00B36F8E"/>
    <w:rsid w:val="00B3721D"/>
    <w:rsid w:val="00B37B97"/>
    <w:rsid w:val="00B40655"/>
    <w:rsid w:val="00B406E6"/>
    <w:rsid w:val="00B40D5B"/>
    <w:rsid w:val="00B4122E"/>
    <w:rsid w:val="00B41B52"/>
    <w:rsid w:val="00B4261F"/>
    <w:rsid w:val="00B42AF6"/>
    <w:rsid w:val="00B42FDA"/>
    <w:rsid w:val="00B43000"/>
    <w:rsid w:val="00B433CA"/>
    <w:rsid w:val="00B44580"/>
    <w:rsid w:val="00B44DEC"/>
    <w:rsid w:val="00B45042"/>
    <w:rsid w:val="00B452D3"/>
    <w:rsid w:val="00B46662"/>
    <w:rsid w:val="00B4759F"/>
    <w:rsid w:val="00B50014"/>
    <w:rsid w:val="00B50955"/>
    <w:rsid w:val="00B50E10"/>
    <w:rsid w:val="00B50EB1"/>
    <w:rsid w:val="00B51220"/>
    <w:rsid w:val="00B513F2"/>
    <w:rsid w:val="00B5155C"/>
    <w:rsid w:val="00B51989"/>
    <w:rsid w:val="00B51FD1"/>
    <w:rsid w:val="00B52FAB"/>
    <w:rsid w:val="00B53484"/>
    <w:rsid w:val="00B53793"/>
    <w:rsid w:val="00B5395E"/>
    <w:rsid w:val="00B53D0C"/>
    <w:rsid w:val="00B53DBF"/>
    <w:rsid w:val="00B54198"/>
    <w:rsid w:val="00B545AD"/>
    <w:rsid w:val="00B547DC"/>
    <w:rsid w:val="00B56A13"/>
    <w:rsid w:val="00B56C36"/>
    <w:rsid w:val="00B57F23"/>
    <w:rsid w:val="00B603BA"/>
    <w:rsid w:val="00B60AE9"/>
    <w:rsid w:val="00B61874"/>
    <w:rsid w:val="00B61F58"/>
    <w:rsid w:val="00B62243"/>
    <w:rsid w:val="00B65369"/>
    <w:rsid w:val="00B663F6"/>
    <w:rsid w:val="00B703BF"/>
    <w:rsid w:val="00B70BCA"/>
    <w:rsid w:val="00B70FFD"/>
    <w:rsid w:val="00B712DB"/>
    <w:rsid w:val="00B71528"/>
    <w:rsid w:val="00B71A16"/>
    <w:rsid w:val="00B71CE3"/>
    <w:rsid w:val="00B724E5"/>
    <w:rsid w:val="00B7261E"/>
    <w:rsid w:val="00B72765"/>
    <w:rsid w:val="00B72D48"/>
    <w:rsid w:val="00B73D85"/>
    <w:rsid w:val="00B74F42"/>
    <w:rsid w:val="00B75388"/>
    <w:rsid w:val="00B75673"/>
    <w:rsid w:val="00B75DDF"/>
    <w:rsid w:val="00B7678C"/>
    <w:rsid w:val="00B77707"/>
    <w:rsid w:val="00B814CD"/>
    <w:rsid w:val="00B822BE"/>
    <w:rsid w:val="00B82C81"/>
    <w:rsid w:val="00B82E6A"/>
    <w:rsid w:val="00B83AE4"/>
    <w:rsid w:val="00B8407E"/>
    <w:rsid w:val="00B847FD"/>
    <w:rsid w:val="00B84DC4"/>
    <w:rsid w:val="00B855D5"/>
    <w:rsid w:val="00B86B25"/>
    <w:rsid w:val="00B90711"/>
    <w:rsid w:val="00B909A7"/>
    <w:rsid w:val="00B90C1B"/>
    <w:rsid w:val="00B92101"/>
    <w:rsid w:val="00B924A5"/>
    <w:rsid w:val="00B93397"/>
    <w:rsid w:val="00B93668"/>
    <w:rsid w:val="00B93A96"/>
    <w:rsid w:val="00B944DA"/>
    <w:rsid w:val="00B94BD6"/>
    <w:rsid w:val="00B950B3"/>
    <w:rsid w:val="00B95675"/>
    <w:rsid w:val="00B96113"/>
    <w:rsid w:val="00B969CA"/>
    <w:rsid w:val="00B979B2"/>
    <w:rsid w:val="00BA0964"/>
    <w:rsid w:val="00BA1CE1"/>
    <w:rsid w:val="00BA2D78"/>
    <w:rsid w:val="00BA3D6F"/>
    <w:rsid w:val="00BA3D97"/>
    <w:rsid w:val="00BA451E"/>
    <w:rsid w:val="00BA474D"/>
    <w:rsid w:val="00BA4A01"/>
    <w:rsid w:val="00BA4AD3"/>
    <w:rsid w:val="00BA5482"/>
    <w:rsid w:val="00BA58C0"/>
    <w:rsid w:val="00BA68BE"/>
    <w:rsid w:val="00BA6AFB"/>
    <w:rsid w:val="00BA7817"/>
    <w:rsid w:val="00BA7ED3"/>
    <w:rsid w:val="00BB0021"/>
    <w:rsid w:val="00BB00C8"/>
    <w:rsid w:val="00BB00FA"/>
    <w:rsid w:val="00BB1577"/>
    <w:rsid w:val="00BB17B7"/>
    <w:rsid w:val="00BB2224"/>
    <w:rsid w:val="00BB280F"/>
    <w:rsid w:val="00BB2A45"/>
    <w:rsid w:val="00BB2B23"/>
    <w:rsid w:val="00BB2C57"/>
    <w:rsid w:val="00BB3ED1"/>
    <w:rsid w:val="00BB4003"/>
    <w:rsid w:val="00BB4513"/>
    <w:rsid w:val="00BB4758"/>
    <w:rsid w:val="00BB4886"/>
    <w:rsid w:val="00BB4C6B"/>
    <w:rsid w:val="00BB5542"/>
    <w:rsid w:val="00BB559A"/>
    <w:rsid w:val="00BB5E0F"/>
    <w:rsid w:val="00BB5E99"/>
    <w:rsid w:val="00BB5F0B"/>
    <w:rsid w:val="00BB6583"/>
    <w:rsid w:val="00BB6828"/>
    <w:rsid w:val="00BB7A2F"/>
    <w:rsid w:val="00BB7C94"/>
    <w:rsid w:val="00BC054E"/>
    <w:rsid w:val="00BC0848"/>
    <w:rsid w:val="00BC0AF3"/>
    <w:rsid w:val="00BC0F1C"/>
    <w:rsid w:val="00BC158E"/>
    <w:rsid w:val="00BC32E3"/>
    <w:rsid w:val="00BC3A69"/>
    <w:rsid w:val="00BC4A27"/>
    <w:rsid w:val="00BC4E2D"/>
    <w:rsid w:val="00BC5307"/>
    <w:rsid w:val="00BC6683"/>
    <w:rsid w:val="00BC6BEF"/>
    <w:rsid w:val="00BC6C42"/>
    <w:rsid w:val="00BC73D2"/>
    <w:rsid w:val="00BC745F"/>
    <w:rsid w:val="00BC7A2A"/>
    <w:rsid w:val="00BC8D87"/>
    <w:rsid w:val="00BD117F"/>
    <w:rsid w:val="00BD2119"/>
    <w:rsid w:val="00BD293C"/>
    <w:rsid w:val="00BD3026"/>
    <w:rsid w:val="00BD3512"/>
    <w:rsid w:val="00BD50EF"/>
    <w:rsid w:val="00BD5912"/>
    <w:rsid w:val="00BD595E"/>
    <w:rsid w:val="00BD5E42"/>
    <w:rsid w:val="00BD6187"/>
    <w:rsid w:val="00BD69F3"/>
    <w:rsid w:val="00BD6C18"/>
    <w:rsid w:val="00BD6D8E"/>
    <w:rsid w:val="00BD7A74"/>
    <w:rsid w:val="00BE0066"/>
    <w:rsid w:val="00BE0C24"/>
    <w:rsid w:val="00BE14DD"/>
    <w:rsid w:val="00BE1838"/>
    <w:rsid w:val="00BE3CD6"/>
    <w:rsid w:val="00BE4F5D"/>
    <w:rsid w:val="00BE5123"/>
    <w:rsid w:val="00BE5E5D"/>
    <w:rsid w:val="00BE6003"/>
    <w:rsid w:val="00BE6086"/>
    <w:rsid w:val="00BE6163"/>
    <w:rsid w:val="00BE6E62"/>
    <w:rsid w:val="00BE6F7E"/>
    <w:rsid w:val="00BF0726"/>
    <w:rsid w:val="00BF1596"/>
    <w:rsid w:val="00BF2F36"/>
    <w:rsid w:val="00BF3D2E"/>
    <w:rsid w:val="00BF3DDD"/>
    <w:rsid w:val="00BF3EB7"/>
    <w:rsid w:val="00BF42E1"/>
    <w:rsid w:val="00BF4771"/>
    <w:rsid w:val="00BF4919"/>
    <w:rsid w:val="00BF577F"/>
    <w:rsid w:val="00BF60D3"/>
    <w:rsid w:val="00BF641D"/>
    <w:rsid w:val="00BF673A"/>
    <w:rsid w:val="00BF6BB3"/>
    <w:rsid w:val="00BF6BDA"/>
    <w:rsid w:val="00BF75ED"/>
    <w:rsid w:val="00BF78F3"/>
    <w:rsid w:val="00C0014C"/>
    <w:rsid w:val="00C00BE5"/>
    <w:rsid w:val="00C016A7"/>
    <w:rsid w:val="00C0249D"/>
    <w:rsid w:val="00C026D4"/>
    <w:rsid w:val="00C029A7"/>
    <w:rsid w:val="00C030D7"/>
    <w:rsid w:val="00C03C0E"/>
    <w:rsid w:val="00C04639"/>
    <w:rsid w:val="00C048E7"/>
    <w:rsid w:val="00C04FAA"/>
    <w:rsid w:val="00C0541A"/>
    <w:rsid w:val="00C05DD7"/>
    <w:rsid w:val="00C06932"/>
    <w:rsid w:val="00C069B8"/>
    <w:rsid w:val="00C06A7F"/>
    <w:rsid w:val="00C0701C"/>
    <w:rsid w:val="00C071DF"/>
    <w:rsid w:val="00C07EFB"/>
    <w:rsid w:val="00C1041C"/>
    <w:rsid w:val="00C10447"/>
    <w:rsid w:val="00C10771"/>
    <w:rsid w:val="00C10E02"/>
    <w:rsid w:val="00C10F77"/>
    <w:rsid w:val="00C11401"/>
    <w:rsid w:val="00C118B3"/>
    <w:rsid w:val="00C1238D"/>
    <w:rsid w:val="00C12E90"/>
    <w:rsid w:val="00C130B6"/>
    <w:rsid w:val="00C13AC2"/>
    <w:rsid w:val="00C140BF"/>
    <w:rsid w:val="00C141F3"/>
    <w:rsid w:val="00C1672F"/>
    <w:rsid w:val="00C168B8"/>
    <w:rsid w:val="00C16C42"/>
    <w:rsid w:val="00C16DE6"/>
    <w:rsid w:val="00C17285"/>
    <w:rsid w:val="00C17434"/>
    <w:rsid w:val="00C204D5"/>
    <w:rsid w:val="00C205AE"/>
    <w:rsid w:val="00C20E0F"/>
    <w:rsid w:val="00C20FD7"/>
    <w:rsid w:val="00C218A3"/>
    <w:rsid w:val="00C23D50"/>
    <w:rsid w:val="00C240B9"/>
    <w:rsid w:val="00C245E6"/>
    <w:rsid w:val="00C24B51"/>
    <w:rsid w:val="00C24DBD"/>
    <w:rsid w:val="00C24F0C"/>
    <w:rsid w:val="00C26013"/>
    <w:rsid w:val="00C2637C"/>
    <w:rsid w:val="00C2640E"/>
    <w:rsid w:val="00C26EC8"/>
    <w:rsid w:val="00C2761C"/>
    <w:rsid w:val="00C27948"/>
    <w:rsid w:val="00C30715"/>
    <w:rsid w:val="00C314F1"/>
    <w:rsid w:val="00C338ED"/>
    <w:rsid w:val="00C33BBB"/>
    <w:rsid w:val="00C34194"/>
    <w:rsid w:val="00C35874"/>
    <w:rsid w:val="00C367A8"/>
    <w:rsid w:val="00C36FAB"/>
    <w:rsid w:val="00C3703C"/>
    <w:rsid w:val="00C37A63"/>
    <w:rsid w:val="00C37D0B"/>
    <w:rsid w:val="00C4057D"/>
    <w:rsid w:val="00C4125C"/>
    <w:rsid w:val="00C41372"/>
    <w:rsid w:val="00C418DD"/>
    <w:rsid w:val="00C41950"/>
    <w:rsid w:val="00C41CB1"/>
    <w:rsid w:val="00C43D8A"/>
    <w:rsid w:val="00C44A53"/>
    <w:rsid w:val="00C450B4"/>
    <w:rsid w:val="00C4574D"/>
    <w:rsid w:val="00C46195"/>
    <w:rsid w:val="00C4659B"/>
    <w:rsid w:val="00C46A52"/>
    <w:rsid w:val="00C47967"/>
    <w:rsid w:val="00C47D6F"/>
    <w:rsid w:val="00C509C4"/>
    <w:rsid w:val="00C52892"/>
    <w:rsid w:val="00C538E2"/>
    <w:rsid w:val="00C53940"/>
    <w:rsid w:val="00C53B25"/>
    <w:rsid w:val="00C53D7F"/>
    <w:rsid w:val="00C540FF"/>
    <w:rsid w:val="00C55871"/>
    <w:rsid w:val="00C56710"/>
    <w:rsid w:val="00C57240"/>
    <w:rsid w:val="00C578B9"/>
    <w:rsid w:val="00C60281"/>
    <w:rsid w:val="00C60E15"/>
    <w:rsid w:val="00C60EA0"/>
    <w:rsid w:val="00C6235D"/>
    <w:rsid w:val="00C62BC3"/>
    <w:rsid w:val="00C637A0"/>
    <w:rsid w:val="00C651DA"/>
    <w:rsid w:val="00C656C6"/>
    <w:rsid w:val="00C6598A"/>
    <w:rsid w:val="00C65F47"/>
    <w:rsid w:val="00C6606D"/>
    <w:rsid w:val="00C669B5"/>
    <w:rsid w:val="00C673BC"/>
    <w:rsid w:val="00C67CD1"/>
    <w:rsid w:val="00C67CE5"/>
    <w:rsid w:val="00C67FFD"/>
    <w:rsid w:val="00C70B62"/>
    <w:rsid w:val="00C70C0B"/>
    <w:rsid w:val="00C71CE4"/>
    <w:rsid w:val="00C72240"/>
    <w:rsid w:val="00C72AFF"/>
    <w:rsid w:val="00C73AD0"/>
    <w:rsid w:val="00C73B23"/>
    <w:rsid w:val="00C73DAB"/>
    <w:rsid w:val="00C74078"/>
    <w:rsid w:val="00C74415"/>
    <w:rsid w:val="00C74FFA"/>
    <w:rsid w:val="00C75022"/>
    <w:rsid w:val="00C75114"/>
    <w:rsid w:val="00C75F93"/>
    <w:rsid w:val="00C77E9C"/>
    <w:rsid w:val="00C77EF4"/>
    <w:rsid w:val="00C8077F"/>
    <w:rsid w:val="00C808C1"/>
    <w:rsid w:val="00C80915"/>
    <w:rsid w:val="00C82285"/>
    <w:rsid w:val="00C82B6E"/>
    <w:rsid w:val="00C834E6"/>
    <w:rsid w:val="00C834EB"/>
    <w:rsid w:val="00C83D05"/>
    <w:rsid w:val="00C84A77"/>
    <w:rsid w:val="00C85125"/>
    <w:rsid w:val="00C8585D"/>
    <w:rsid w:val="00C85A11"/>
    <w:rsid w:val="00C8681A"/>
    <w:rsid w:val="00C87773"/>
    <w:rsid w:val="00C8785B"/>
    <w:rsid w:val="00C87A0C"/>
    <w:rsid w:val="00C87B85"/>
    <w:rsid w:val="00C91A81"/>
    <w:rsid w:val="00C91DB0"/>
    <w:rsid w:val="00C91E7C"/>
    <w:rsid w:val="00C92210"/>
    <w:rsid w:val="00C92C55"/>
    <w:rsid w:val="00C92D41"/>
    <w:rsid w:val="00C931EE"/>
    <w:rsid w:val="00C93E2C"/>
    <w:rsid w:val="00C93EAC"/>
    <w:rsid w:val="00C94A1E"/>
    <w:rsid w:val="00C94FFB"/>
    <w:rsid w:val="00C950C8"/>
    <w:rsid w:val="00C95CB6"/>
    <w:rsid w:val="00C9637E"/>
    <w:rsid w:val="00C9677D"/>
    <w:rsid w:val="00C9690A"/>
    <w:rsid w:val="00C96D2D"/>
    <w:rsid w:val="00C96D49"/>
    <w:rsid w:val="00C97195"/>
    <w:rsid w:val="00C97984"/>
    <w:rsid w:val="00C97A44"/>
    <w:rsid w:val="00CA0058"/>
    <w:rsid w:val="00CA05C4"/>
    <w:rsid w:val="00CA0C77"/>
    <w:rsid w:val="00CA3708"/>
    <w:rsid w:val="00CA49C6"/>
    <w:rsid w:val="00CA59D2"/>
    <w:rsid w:val="00CA66C1"/>
    <w:rsid w:val="00CA671E"/>
    <w:rsid w:val="00CA6A6C"/>
    <w:rsid w:val="00CA736E"/>
    <w:rsid w:val="00CA7779"/>
    <w:rsid w:val="00CB06AF"/>
    <w:rsid w:val="00CB1CF3"/>
    <w:rsid w:val="00CB1EBD"/>
    <w:rsid w:val="00CB28BB"/>
    <w:rsid w:val="00CB2FF3"/>
    <w:rsid w:val="00CB4E9F"/>
    <w:rsid w:val="00CB7807"/>
    <w:rsid w:val="00CB7872"/>
    <w:rsid w:val="00CB78F4"/>
    <w:rsid w:val="00CB7BC7"/>
    <w:rsid w:val="00CC05C8"/>
    <w:rsid w:val="00CC0746"/>
    <w:rsid w:val="00CC145D"/>
    <w:rsid w:val="00CC15F9"/>
    <w:rsid w:val="00CC1F32"/>
    <w:rsid w:val="00CC250F"/>
    <w:rsid w:val="00CC33C7"/>
    <w:rsid w:val="00CC39CB"/>
    <w:rsid w:val="00CC48A6"/>
    <w:rsid w:val="00CC5BE0"/>
    <w:rsid w:val="00CC5DCF"/>
    <w:rsid w:val="00CC7849"/>
    <w:rsid w:val="00CC7F72"/>
    <w:rsid w:val="00CD0514"/>
    <w:rsid w:val="00CD0544"/>
    <w:rsid w:val="00CD1C45"/>
    <w:rsid w:val="00CD1E18"/>
    <w:rsid w:val="00CD2105"/>
    <w:rsid w:val="00CD2D31"/>
    <w:rsid w:val="00CD3155"/>
    <w:rsid w:val="00CD3564"/>
    <w:rsid w:val="00CD4453"/>
    <w:rsid w:val="00CD523D"/>
    <w:rsid w:val="00CD5A47"/>
    <w:rsid w:val="00CD6023"/>
    <w:rsid w:val="00CD6800"/>
    <w:rsid w:val="00CD7363"/>
    <w:rsid w:val="00CD7431"/>
    <w:rsid w:val="00CD75F8"/>
    <w:rsid w:val="00CE01BA"/>
    <w:rsid w:val="00CE0276"/>
    <w:rsid w:val="00CE0B11"/>
    <w:rsid w:val="00CE17E2"/>
    <w:rsid w:val="00CE1CB1"/>
    <w:rsid w:val="00CE1D7E"/>
    <w:rsid w:val="00CE3E5A"/>
    <w:rsid w:val="00CE4701"/>
    <w:rsid w:val="00CE4A1F"/>
    <w:rsid w:val="00CE4C23"/>
    <w:rsid w:val="00CE5508"/>
    <w:rsid w:val="00CE6672"/>
    <w:rsid w:val="00CE71FE"/>
    <w:rsid w:val="00CE789E"/>
    <w:rsid w:val="00CE7E94"/>
    <w:rsid w:val="00CF1E53"/>
    <w:rsid w:val="00CF2E18"/>
    <w:rsid w:val="00CF4C8C"/>
    <w:rsid w:val="00CF75D9"/>
    <w:rsid w:val="00CF7F1B"/>
    <w:rsid w:val="00D0121B"/>
    <w:rsid w:val="00D013AF"/>
    <w:rsid w:val="00D02B7B"/>
    <w:rsid w:val="00D05A5E"/>
    <w:rsid w:val="00D06EF9"/>
    <w:rsid w:val="00D0746D"/>
    <w:rsid w:val="00D07A0C"/>
    <w:rsid w:val="00D106C3"/>
    <w:rsid w:val="00D110A0"/>
    <w:rsid w:val="00D111A5"/>
    <w:rsid w:val="00D113B5"/>
    <w:rsid w:val="00D12C7E"/>
    <w:rsid w:val="00D12D2B"/>
    <w:rsid w:val="00D13304"/>
    <w:rsid w:val="00D13397"/>
    <w:rsid w:val="00D14EAA"/>
    <w:rsid w:val="00D15489"/>
    <w:rsid w:val="00D156AA"/>
    <w:rsid w:val="00D160D3"/>
    <w:rsid w:val="00D17B64"/>
    <w:rsid w:val="00D17BD9"/>
    <w:rsid w:val="00D21301"/>
    <w:rsid w:val="00D21413"/>
    <w:rsid w:val="00D22168"/>
    <w:rsid w:val="00D22373"/>
    <w:rsid w:val="00D233CB"/>
    <w:rsid w:val="00D2579C"/>
    <w:rsid w:val="00D279A4"/>
    <w:rsid w:val="00D3037F"/>
    <w:rsid w:val="00D3072E"/>
    <w:rsid w:val="00D30F7A"/>
    <w:rsid w:val="00D31444"/>
    <w:rsid w:val="00D314D1"/>
    <w:rsid w:val="00D31CE9"/>
    <w:rsid w:val="00D32434"/>
    <w:rsid w:val="00D32678"/>
    <w:rsid w:val="00D32E6C"/>
    <w:rsid w:val="00D33209"/>
    <w:rsid w:val="00D35B08"/>
    <w:rsid w:val="00D35D9B"/>
    <w:rsid w:val="00D364D2"/>
    <w:rsid w:val="00D374B7"/>
    <w:rsid w:val="00D37945"/>
    <w:rsid w:val="00D41D32"/>
    <w:rsid w:val="00D41EF6"/>
    <w:rsid w:val="00D42092"/>
    <w:rsid w:val="00D42737"/>
    <w:rsid w:val="00D430C8"/>
    <w:rsid w:val="00D43CC5"/>
    <w:rsid w:val="00D444C4"/>
    <w:rsid w:val="00D4478F"/>
    <w:rsid w:val="00D44E37"/>
    <w:rsid w:val="00D44EC3"/>
    <w:rsid w:val="00D45544"/>
    <w:rsid w:val="00D4554D"/>
    <w:rsid w:val="00D45810"/>
    <w:rsid w:val="00D460A2"/>
    <w:rsid w:val="00D46ED2"/>
    <w:rsid w:val="00D47ED0"/>
    <w:rsid w:val="00D4A77D"/>
    <w:rsid w:val="00D50C52"/>
    <w:rsid w:val="00D50C7B"/>
    <w:rsid w:val="00D50CD1"/>
    <w:rsid w:val="00D52A58"/>
    <w:rsid w:val="00D52AA9"/>
    <w:rsid w:val="00D5398C"/>
    <w:rsid w:val="00D54135"/>
    <w:rsid w:val="00D55249"/>
    <w:rsid w:val="00D558A3"/>
    <w:rsid w:val="00D55C05"/>
    <w:rsid w:val="00D565F0"/>
    <w:rsid w:val="00D56902"/>
    <w:rsid w:val="00D56B89"/>
    <w:rsid w:val="00D56E8E"/>
    <w:rsid w:val="00D575EF"/>
    <w:rsid w:val="00D605AD"/>
    <w:rsid w:val="00D608FE"/>
    <w:rsid w:val="00D61471"/>
    <w:rsid w:val="00D61D0B"/>
    <w:rsid w:val="00D6233A"/>
    <w:rsid w:val="00D624D9"/>
    <w:rsid w:val="00D63D67"/>
    <w:rsid w:val="00D64428"/>
    <w:rsid w:val="00D64C25"/>
    <w:rsid w:val="00D64C57"/>
    <w:rsid w:val="00D65715"/>
    <w:rsid w:val="00D65791"/>
    <w:rsid w:val="00D67735"/>
    <w:rsid w:val="00D67984"/>
    <w:rsid w:val="00D67FA8"/>
    <w:rsid w:val="00D70C52"/>
    <w:rsid w:val="00D728D9"/>
    <w:rsid w:val="00D73D1F"/>
    <w:rsid w:val="00D75507"/>
    <w:rsid w:val="00D75A84"/>
    <w:rsid w:val="00D75ED8"/>
    <w:rsid w:val="00D761C1"/>
    <w:rsid w:val="00D76B9B"/>
    <w:rsid w:val="00D76F48"/>
    <w:rsid w:val="00D776D7"/>
    <w:rsid w:val="00D77938"/>
    <w:rsid w:val="00D779CD"/>
    <w:rsid w:val="00D77B8E"/>
    <w:rsid w:val="00D77FF9"/>
    <w:rsid w:val="00D80EE1"/>
    <w:rsid w:val="00D8200C"/>
    <w:rsid w:val="00D82977"/>
    <w:rsid w:val="00D8333D"/>
    <w:rsid w:val="00D83A2A"/>
    <w:rsid w:val="00D841B7"/>
    <w:rsid w:val="00D848C5"/>
    <w:rsid w:val="00D85014"/>
    <w:rsid w:val="00D853D5"/>
    <w:rsid w:val="00D86D97"/>
    <w:rsid w:val="00D86E54"/>
    <w:rsid w:val="00D877DB"/>
    <w:rsid w:val="00D87C54"/>
    <w:rsid w:val="00D87DDD"/>
    <w:rsid w:val="00D905A0"/>
    <w:rsid w:val="00D90EC3"/>
    <w:rsid w:val="00D9122B"/>
    <w:rsid w:val="00D91794"/>
    <w:rsid w:val="00D92C82"/>
    <w:rsid w:val="00D9314B"/>
    <w:rsid w:val="00D9345C"/>
    <w:rsid w:val="00D93BBC"/>
    <w:rsid w:val="00D94E33"/>
    <w:rsid w:val="00D965D6"/>
    <w:rsid w:val="00D969CC"/>
    <w:rsid w:val="00D97D04"/>
    <w:rsid w:val="00DA09B6"/>
    <w:rsid w:val="00DA13C1"/>
    <w:rsid w:val="00DA166D"/>
    <w:rsid w:val="00DA2598"/>
    <w:rsid w:val="00DA2731"/>
    <w:rsid w:val="00DA2BBA"/>
    <w:rsid w:val="00DA3C0B"/>
    <w:rsid w:val="00DA3FF8"/>
    <w:rsid w:val="00DA46B9"/>
    <w:rsid w:val="00DA4760"/>
    <w:rsid w:val="00DA4913"/>
    <w:rsid w:val="00DA5D04"/>
    <w:rsid w:val="00DA7D28"/>
    <w:rsid w:val="00DA7D64"/>
    <w:rsid w:val="00DB24E2"/>
    <w:rsid w:val="00DB2D25"/>
    <w:rsid w:val="00DB4033"/>
    <w:rsid w:val="00DB44EA"/>
    <w:rsid w:val="00DB4B89"/>
    <w:rsid w:val="00DB4BE6"/>
    <w:rsid w:val="00DB4FBA"/>
    <w:rsid w:val="00DB59BE"/>
    <w:rsid w:val="00DB650F"/>
    <w:rsid w:val="00DB67A5"/>
    <w:rsid w:val="00DB67B6"/>
    <w:rsid w:val="00DB6D4D"/>
    <w:rsid w:val="00DB7178"/>
    <w:rsid w:val="00DB742D"/>
    <w:rsid w:val="00DC052F"/>
    <w:rsid w:val="00DC1112"/>
    <w:rsid w:val="00DC1E3E"/>
    <w:rsid w:val="00DC1E79"/>
    <w:rsid w:val="00DC2677"/>
    <w:rsid w:val="00DC36AB"/>
    <w:rsid w:val="00DC4920"/>
    <w:rsid w:val="00DC4B49"/>
    <w:rsid w:val="00DC4C4F"/>
    <w:rsid w:val="00DC4E3E"/>
    <w:rsid w:val="00DC556F"/>
    <w:rsid w:val="00DC7875"/>
    <w:rsid w:val="00DC7A14"/>
    <w:rsid w:val="00DC7F11"/>
    <w:rsid w:val="00DD074B"/>
    <w:rsid w:val="00DD0879"/>
    <w:rsid w:val="00DD1510"/>
    <w:rsid w:val="00DD1BE5"/>
    <w:rsid w:val="00DD218A"/>
    <w:rsid w:val="00DD3528"/>
    <w:rsid w:val="00DD4AC8"/>
    <w:rsid w:val="00DD56AD"/>
    <w:rsid w:val="00DD5C74"/>
    <w:rsid w:val="00DD63F9"/>
    <w:rsid w:val="00DD7C9C"/>
    <w:rsid w:val="00DE02EF"/>
    <w:rsid w:val="00DE0320"/>
    <w:rsid w:val="00DE0C62"/>
    <w:rsid w:val="00DE1190"/>
    <w:rsid w:val="00DE1214"/>
    <w:rsid w:val="00DE1273"/>
    <w:rsid w:val="00DE1713"/>
    <w:rsid w:val="00DE1B03"/>
    <w:rsid w:val="00DE24D7"/>
    <w:rsid w:val="00DE34B4"/>
    <w:rsid w:val="00DE3CE3"/>
    <w:rsid w:val="00DE4593"/>
    <w:rsid w:val="00DE498D"/>
    <w:rsid w:val="00DE5346"/>
    <w:rsid w:val="00DE5B3C"/>
    <w:rsid w:val="00DE5F88"/>
    <w:rsid w:val="00DE6923"/>
    <w:rsid w:val="00DE7A0D"/>
    <w:rsid w:val="00DE7F99"/>
    <w:rsid w:val="00DF0819"/>
    <w:rsid w:val="00DF0C41"/>
    <w:rsid w:val="00DF2806"/>
    <w:rsid w:val="00DF47D4"/>
    <w:rsid w:val="00DF4C30"/>
    <w:rsid w:val="00DF5540"/>
    <w:rsid w:val="00DF5D15"/>
    <w:rsid w:val="00DF6413"/>
    <w:rsid w:val="00DF6A1D"/>
    <w:rsid w:val="00DF6A91"/>
    <w:rsid w:val="00DF6E7D"/>
    <w:rsid w:val="00DF758B"/>
    <w:rsid w:val="00E0089C"/>
    <w:rsid w:val="00E01031"/>
    <w:rsid w:val="00E02A06"/>
    <w:rsid w:val="00E02A0D"/>
    <w:rsid w:val="00E046DC"/>
    <w:rsid w:val="00E05724"/>
    <w:rsid w:val="00E0664A"/>
    <w:rsid w:val="00E06B04"/>
    <w:rsid w:val="00E1069C"/>
    <w:rsid w:val="00E1075C"/>
    <w:rsid w:val="00E10BCD"/>
    <w:rsid w:val="00E11043"/>
    <w:rsid w:val="00E115C7"/>
    <w:rsid w:val="00E126B6"/>
    <w:rsid w:val="00E12F6A"/>
    <w:rsid w:val="00E14614"/>
    <w:rsid w:val="00E15126"/>
    <w:rsid w:val="00E156C0"/>
    <w:rsid w:val="00E17578"/>
    <w:rsid w:val="00E175B6"/>
    <w:rsid w:val="00E17631"/>
    <w:rsid w:val="00E177DF"/>
    <w:rsid w:val="00E201B4"/>
    <w:rsid w:val="00E2109E"/>
    <w:rsid w:val="00E21CF2"/>
    <w:rsid w:val="00E23D64"/>
    <w:rsid w:val="00E24106"/>
    <w:rsid w:val="00E24274"/>
    <w:rsid w:val="00E24FDF"/>
    <w:rsid w:val="00E2639E"/>
    <w:rsid w:val="00E26DF2"/>
    <w:rsid w:val="00E26FB4"/>
    <w:rsid w:val="00E27B57"/>
    <w:rsid w:val="00E30723"/>
    <w:rsid w:val="00E30843"/>
    <w:rsid w:val="00E30D00"/>
    <w:rsid w:val="00E30E6A"/>
    <w:rsid w:val="00E3148E"/>
    <w:rsid w:val="00E318AD"/>
    <w:rsid w:val="00E31FA1"/>
    <w:rsid w:val="00E32585"/>
    <w:rsid w:val="00E32AF1"/>
    <w:rsid w:val="00E32DA4"/>
    <w:rsid w:val="00E32DDB"/>
    <w:rsid w:val="00E32EEB"/>
    <w:rsid w:val="00E334A5"/>
    <w:rsid w:val="00E334AE"/>
    <w:rsid w:val="00E335C6"/>
    <w:rsid w:val="00E33980"/>
    <w:rsid w:val="00E33B62"/>
    <w:rsid w:val="00E33C99"/>
    <w:rsid w:val="00E3420E"/>
    <w:rsid w:val="00E34AF7"/>
    <w:rsid w:val="00E35117"/>
    <w:rsid w:val="00E35A58"/>
    <w:rsid w:val="00E36A64"/>
    <w:rsid w:val="00E36B0A"/>
    <w:rsid w:val="00E371E2"/>
    <w:rsid w:val="00E37731"/>
    <w:rsid w:val="00E3775C"/>
    <w:rsid w:val="00E40498"/>
    <w:rsid w:val="00E4178B"/>
    <w:rsid w:val="00E42346"/>
    <w:rsid w:val="00E42D9A"/>
    <w:rsid w:val="00E43293"/>
    <w:rsid w:val="00E43669"/>
    <w:rsid w:val="00E4382C"/>
    <w:rsid w:val="00E44198"/>
    <w:rsid w:val="00E4428E"/>
    <w:rsid w:val="00E446A1"/>
    <w:rsid w:val="00E451F2"/>
    <w:rsid w:val="00E45E9F"/>
    <w:rsid w:val="00E46B06"/>
    <w:rsid w:val="00E470CD"/>
    <w:rsid w:val="00E4799C"/>
    <w:rsid w:val="00E509AE"/>
    <w:rsid w:val="00E50F8E"/>
    <w:rsid w:val="00E51383"/>
    <w:rsid w:val="00E5206D"/>
    <w:rsid w:val="00E52A98"/>
    <w:rsid w:val="00E53883"/>
    <w:rsid w:val="00E53E42"/>
    <w:rsid w:val="00E5424D"/>
    <w:rsid w:val="00E55AC1"/>
    <w:rsid w:val="00E55C79"/>
    <w:rsid w:val="00E56163"/>
    <w:rsid w:val="00E57E25"/>
    <w:rsid w:val="00E6088D"/>
    <w:rsid w:val="00E60A37"/>
    <w:rsid w:val="00E60BE0"/>
    <w:rsid w:val="00E61D22"/>
    <w:rsid w:val="00E620BD"/>
    <w:rsid w:val="00E6227F"/>
    <w:rsid w:val="00E63760"/>
    <w:rsid w:val="00E639DE"/>
    <w:rsid w:val="00E63E6D"/>
    <w:rsid w:val="00E640B3"/>
    <w:rsid w:val="00E64307"/>
    <w:rsid w:val="00E64C6A"/>
    <w:rsid w:val="00E64DA6"/>
    <w:rsid w:val="00E65671"/>
    <w:rsid w:val="00E65C4E"/>
    <w:rsid w:val="00E66B03"/>
    <w:rsid w:val="00E66B2F"/>
    <w:rsid w:val="00E6743A"/>
    <w:rsid w:val="00E6796D"/>
    <w:rsid w:val="00E67DFF"/>
    <w:rsid w:val="00E70A7B"/>
    <w:rsid w:val="00E70F63"/>
    <w:rsid w:val="00E7141D"/>
    <w:rsid w:val="00E714C5"/>
    <w:rsid w:val="00E71D53"/>
    <w:rsid w:val="00E72494"/>
    <w:rsid w:val="00E724C8"/>
    <w:rsid w:val="00E72E8C"/>
    <w:rsid w:val="00E73140"/>
    <w:rsid w:val="00E734B7"/>
    <w:rsid w:val="00E7383F"/>
    <w:rsid w:val="00E747EA"/>
    <w:rsid w:val="00E748B9"/>
    <w:rsid w:val="00E74F30"/>
    <w:rsid w:val="00E75A25"/>
    <w:rsid w:val="00E75FC8"/>
    <w:rsid w:val="00E75FDA"/>
    <w:rsid w:val="00E76C58"/>
    <w:rsid w:val="00E772F3"/>
    <w:rsid w:val="00E77A66"/>
    <w:rsid w:val="00E800F6"/>
    <w:rsid w:val="00E80771"/>
    <w:rsid w:val="00E81895"/>
    <w:rsid w:val="00E81E9D"/>
    <w:rsid w:val="00E82C01"/>
    <w:rsid w:val="00E836C5"/>
    <w:rsid w:val="00E84476"/>
    <w:rsid w:val="00E85CD7"/>
    <w:rsid w:val="00E87330"/>
    <w:rsid w:val="00E877E9"/>
    <w:rsid w:val="00E87CD1"/>
    <w:rsid w:val="00E91147"/>
    <w:rsid w:val="00E9150C"/>
    <w:rsid w:val="00E91B29"/>
    <w:rsid w:val="00E925D5"/>
    <w:rsid w:val="00E9323E"/>
    <w:rsid w:val="00E9341F"/>
    <w:rsid w:val="00E93BF7"/>
    <w:rsid w:val="00E93CFD"/>
    <w:rsid w:val="00E951EE"/>
    <w:rsid w:val="00E96084"/>
    <w:rsid w:val="00E961D3"/>
    <w:rsid w:val="00E971AB"/>
    <w:rsid w:val="00E97253"/>
    <w:rsid w:val="00E972A2"/>
    <w:rsid w:val="00E97335"/>
    <w:rsid w:val="00EA05E0"/>
    <w:rsid w:val="00EA12B9"/>
    <w:rsid w:val="00EA13A0"/>
    <w:rsid w:val="00EA21E3"/>
    <w:rsid w:val="00EA2DBA"/>
    <w:rsid w:val="00EA2E87"/>
    <w:rsid w:val="00EA2E92"/>
    <w:rsid w:val="00EA323C"/>
    <w:rsid w:val="00EA3E59"/>
    <w:rsid w:val="00EA3E98"/>
    <w:rsid w:val="00EA403C"/>
    <w:rsid w:val="00EA453B"/>
    <w:rsid w:val="00EA479B"/>
    <w:rsid w:val="00EA4A3C"/>
    <w:rsid w:val="00EA6D5A"/>
    <w:rsid w:val="00EA6F4E"/>
    <w:rsid w:val="00EA76B8"/>
    <w:rsid w:val="00EB1FA1"/>
    <w:rsid w:val="00EB2F5E"/>
    <w:rsid w:val="00EB32DD"/>
    <w:rsid w:val="00EB41C1"/>
    <w:rsid w:val="00EB4C5F"/>
    <w:rsid w:val="00EB54C5"/>
    <w:rsid w:val="00EB5ACA"/>
    <w:rsid w:val="00EB5E77"/>
    <w:rsid w:val="00EB6692"/>
    <w:rsid w:val="00EB6780"/>
    <w:rsid w:val="00EB6A27"/>
    <w:rsid w:val="00EB6C19"/>
    <w:rsid w:val="00EB7510"/>
    <w:rsid w:val="00EB7D90"/>
    <w:rsid w:val="00EC116E"/>
    <w:rsid w:val="00EC1385"/>
    <w:rsid w:val="00EC1B50"/>
    <w:rsid w:val="00EC2FF6"/>
    <w:rsid w:val="00EC30E9"/>
    <w:rsid w:val="00EC33AD"/>
    <w:rsid w:val="00EC47FC"/>
    <w:rsid w:val="00EC4CCE"/>
    <w:rsid w:val="00EC4D12"/>
    <w:rsid w:val="00EC4F13"/>
    <w:rsid w:val="00EC6D69"/>
    <w:rsid w:val="00EC72CF"/>
    <w:rsid w:val="00EC7C21"/>
    <w:rsid w:val="00ED01D4"/>
    <w:rsid w:val="00ED04CD"/>
    <w:rsid w:val="00ED0A7A"/>
    <w:rsid w:val="00ED13A3"/>
    <w:rsid w:val="00ED2272"/>
    <w:rsid w:val="00ED29D3"/>
    <w:rsid w:val="00ED2CD9"/>
    <w:rsid w:val="00ED2E7E"/>
    <w:rsid w:val="00ED350B"/>
    <w:rsid w:val="00ED4902"/>
    <w:rsid w:val="00ED4FDA"/>
    <w:rsid w:val="00ED5744"/>
    <w:rsid w:val="00ED5ECF"/>
    <w:rsid w:val="00ED788A"/>
    <w:rsid w:val="00EE06D0"/>
    <w:rsid w:val="00EE0D62"/>
    <w:rsid w:val="00EE1011"/>
    <w:rsid w:val="00EE1B76"/>
    <w:rsid w:val="00EE1E50"/>
    <w:rsid w:val="00EE2644"/>
    <w:rsid w:val="00EE26F7"/>
    <w:rsid w:val="00EE3250"/>
    <w:rsid w:val="00EE3EE3"/>
    <w:rsid w:val="00EE418E"/>
    <w:rsid w:val="00EE5448"/>
    <w:rsid w:val="00EE58EB"/>
    <w:rsid w:val="00EE5DD5"/>
    <w:rsid w:val="00EE7DA1"/>
    <w:rsid w:val="00EF03A6"/>
    <w:rsid w:val="00EF0764"/>
    <w:rsid w:val="00EF202B"/>
    <w:rsid w:val="00EF257A"/>
    <w:rsid w:val="00EF29FD"/>
    <w:rsid w:val="00EF2B93"/>
    <w:rsid w:val="00EF2D6B"/>
    <w:rsid w:val="00EF38D0"/>
    <w:rsid w:val="00EF43D6"/>
    <w:rsid w:val="00EF4B8D"/>
    <w:rsid w:val="00EF6856"/>
    <w:rsid w:val="00EF739D"/>
    <w:rsid w:val="00EF7CAF"/>
    <w:rsid w:val="00F00CC6"/>
    <w:rsid w:val="00F00D78"/>
    <w:rsid w:val="00F011B3"/>
    <w:rsid w:val="00F014EF"/>
    <w:rsid w:val="00F01744"/>
    <w:rsid w:val="00F01AC4"/>
    <w:rsid w:val="00F01EF1"/>
    <w:rsid w:val="00F0212D"/>
    <w:rsid w:val="00F02CFB"/>
    <w:rsid w:val="00F03292"/>
    <w:rsid w:val="00F03E79"/>
    <w:rsid w:val="00F040A7"/>
    <w:rsid w:val="00F05113"/>
    <w:rsid w:val="00F054C1"/>
    <w:rsid w:val="00F05E7C"/>
    <w:rsid w:val="00F05FE2"/>
    <w:rsid w:val="00F0619C"/>
    <w:rsid w:val="00F06682"/>
    <w:rsid w:val="00F06FD6"/>
    <w:rsid w:val="00F0743F"/>
    <w:rsid w:val="00F07716"/>
    <w:rsid w:val="00F07AFD"/>
    <w:rsid w:val="00F07FCE"/>
    <w:rsid w:val="00F10728"/>
    <w:rsid w:val="00F10DE3"/>
    <w:rsid w:val="00F11171"/>
    <w:rsid w:val="00F1222B"/>
    <w:rsid w:val="00F1266D"/>
    <w:rsid w:val="00F1275B"/>
    <w:rsid w:val="00F1344D"/>
    <w:rsid w:val="00F13524"/>
    <w:rsid w:val="00F1478E"/>
    <w:rsid w:val="00F14A5A"/>
    <w:rsid w:val="00F14DDE"/>
    <w:rsid w:val="00F15437"/>
    <w:rsid w:val="00F156BD"/>
    <w:rsid w:val="00F16388"/>
    <w:rsid w:val="00F17404"/>
    <w:rsid w:val="00F2093A"/>
    <w:rsid w:val="00F2106B"/>
    <w:rsid w:val="00F217DF"/>
    <w:rsid w:val="00F21922"/>
    <w:rsid w:val="00F21C08"/>
    <w:rsid w:val="00F23835"/>
    <w:rsid w:val="00F239F1"/>
    <w:rsid w:val="00F240F3"/>
    <w:rsid w:val="00F25C41"/>
    <w:rsid w:val="00F25DFC"/>
    <w:rsid w:val="00F2647C"/>
    <w:rsid w:val="00F2682C"/>
    <w:rsid w:val="00F26BD0"/>
    <w:rsid w:val="00F27302"/>
    <w:rsid w:val="00F27480"/>
    <w:rsid w:val="00F27AAC"/>
    <w:rsid w:val="00F309CB"/>
    <w:rsid w:val="00F30B44"/>
    <w:rsid w:val="00F30B50"/>
    <w:rsid w:val="00F3384C"/>
    <w:rsid w:val="00F33F3E"/>
    <w:rsid w:val="00F3481F"/>
    <w:rsid w:val="00F35CB0"/>
    <w:rsid w:val="00F3648D"/>
    <w:rsid w:val="00F36EA7"/>
    <w:rsid w:val="00F370BA"/>
    <w:rsid w:val="00F370E0"/>
    <w:rsid w:val="00F3735B"/>
    <w:rsid w:val="00F37436"/>
    <w:rsid w:val="00F37B96"/>
    <w:rsid w:val="00F37BB6"/>
    <w:rsid w:val="00F40E25"/>
    <w:rsid w:val="00F418B5"/>
    <w:rsid w:val="00F41AD8"/>
    <w:rsid w:val="00F4259C"/>
    <w:rsid w:val="00F42ACA"/>
    <w:rsid w:val="00F4305B"/>
    <w:rsid w:val="00F4322B"/>
    <w:rsid w:val="00F43820"/>
    <w:rsid w:val="00F44B9F"/>
    <w:rsid w:val="00F4519E"/>
    <w:rsid w:val="00F4531B"/>
    <w:rsid w:val="00F45BB2"/>
    <w:rsid w:val="00F45CB1"/>
    <w:rsid w:val="00F45D6E"/>
    <w:rsid w:val="00F4696B"/>
    <w:rsid w:val="00F471CE"/>
    <w:rsid w:val="00F475CB"/>
    <w:rsid w:val="00F50A19"/>
    <w:rsid w:val="00F50B16"/>
    <w:rsid w:val="00F50DF8"/>
    <w:rsid w:val="00F518C6"/>
    <w:rsid w:val="00F519B0"/>
    <w:rsid w:val="00F51B5D"/>
    <w:rsid w:val="00F51F25"/>
    <w:rsid w:val="00F52901"/>
    <w:rsid w:val="00F52B4E"/>
    <w:rsid w:val="00F53733"/>
    <w:rsid w:val="00F54640"/>
    <w:rsid w:val="00F54B8A"/>
    <w:rsid w:val="00F5574A"/>
    <w:rsid w:val="00F55DAA"/>
    <w:rsid w:val="00F55ED0"/>
    <w:rsid w:val="00F56996"/>
    <w:rsid w:val="00F57A4E"/>
    <w:rsid w:val="00F62918"/>
    <w:rsid w:val="00F62AB1"/>
    <w:rsid w:val="00F62D67"/>
    <w:rsid w:val="00F63808"/>
    <w:rsid w:val="00F639B9"/>
    <w:rsid w:val="00F63A7F"/>
    <w:rsid w:val="00F63D60"/>
    <w:rsid w:val="00F6430E"/>
    <w:rsid w:val="00F64C4F"/>
    <w:rsid w:val="00F64DC4"/>
    <w:rsid w:val="00F6555F"/>
    <w:rsid w:val="00F66B1A"/>
    <w:rsid w:val="00F70093"/>
    <w:rsid w:val="00F719E7"/>
    <w:rsid w:val="00F72B9B"/>
    <w:rsid w:val="00F72C1E"/>
    <w:rsid w:val="00F72C79"/>
    <w:rsid w:val="00F74C25"/>
    <w:rsid w:val="00F75893"/>
    <w:rsid w:val="00F75D3F"/>
    <w:rsid w:val="00F766EF"/>
    <w:rsid w:val="00F76982"/>
    <w:rsid w:val="00F76AA5"/>
    <w:rsid w:val="00F76DA5"/>
    <w:rsid w:val="00F8085F"/>
    <w:rsid w:val="00F8109B"/>
    <w:rsid w:val="00F827E8"/>
    <w:rsid w:val="00F82CBD"/>
    <w:rsid w:val="00F831AA"/>
    <w:rsid w:val="00F831F0"/>
    <w:rsid w:val="00F83493"/>
    <w:rsid w:val="00F84711"/>
    <w:rsid w:val="00F84B20"/>
    <w:rsid w:val="00F867D0"/>
    <w:rsid w:val="00F86821"/>
    <w:rsid w:val="00F870ED"/>
    <w:rsid w:val="00F92259"/>
    <w:rsid w:val="00F92430"/>
    <w:rsid w:val="00F92A8A"/>
    <w:rsid w:val="00F92E8B"/>
    <w:rsid w:val="00F9331C"/>
    <w:rsid w:val="00F93CC0"/>
    <w:rsid w:val="00F95934"/>
    <w:rsid w:val="00F9655F"/>
    <w:rsid w:val="00F971E5"/>
    <w:rsid w:val="00F97901"/>
    <w:rsid w:val="00F97D87"/>
    <w:rsid w:val="00FA113D"/>
    <w:rsid w:val="00FA1F83"/>
    <w:rsid w:val="00FA2383"/>
    <w:rsid w:val="00FA3A0E"/>
    <w:rsid w:val="00FA3F93"/>
    <w:rsid w:val="00FA41C4"/>
    <w:rsid w:val="00FA4516"/>
    <w:rsid w:val="00FA4ED9"/>
    <w:rsid w:val="00FA5122"/>
    <w:rsid w:val="00FA51E2"/>
    <w:rsid w:val="00FA58FF"/>
    <w:rsid w:val="00FA5DCA"/>
    <w:rsid w:val="00FA754E"/>
    <w:rsid w:val="00FB02EC"/>
    <w:rsid w:val="00FB040A"/>
    <w:rsid w:val="00FB10FE"/>
    <w:rsid w:val="00FB1821"/>
    <w:rsid w:val="00FB52F1"/>
    <w:rsid w:val="00FB5564"/>
    <w:rsid w:val="00FB619B"/>
    <w:rsid w:val="00FB68E0"/>
    <w:rsid w:val="00FB7908"/>
    <w:rsid w:val="00FB7CB3"/>
    <w:rsid w:val="00FB7FA1"/>
    <w:rsid w:val="00FC2CBE"/>
    <w:rsid w:val="00FC3BE6"/>
    <w:rsid w:val="00FC3CD0"/>
    <w:rsid w:val="00FC40F7"/>
    <w:rsid w:val="00FC53D0"/>
    <w:rsid w:val="00FC5A06"/>
    <w:rsid w:val="00FC622F"/>
    <w:rsid w:val="00FC66B8"/>
    <w:rsid w:val="00FC6AA5"/>
    <w:rsid w:val="00FD0868"/>
    <w:rsid w:val="00FD0C30"/>
    <w:rsid w:val="00FD1388"/>
    <w:rsid w:val="00FD1ECE"/>
    <w:rsid w:val="00FD3782"/>
    <w:rsid w:val="00FD41BD"/>
    <w:rsid w:val="00FD4D20"/>
    <w:rsid w:val="00FD5A3D"/>
    <w:rsid w:val="00FD6654"/>
    <w:rsid w:val="00FD73A7"/>
    <w:rsid w:val="00FD7632"/>
    <w:rsid w:val="00FD78D2"/>
    <w:rsid w:val="00FD7B5E"/>
    <w:rsid w:val="00FE05FC"/>
    <w:rsid w:val="00FE0873"/>
    <w:rsid w:val="00FE1AEF"/>
    <w:rsid w:val="00FE238C"/>
    <w:rsid w:val="00FE2443"/>
    <w:rsid w:val="00FE27D3"/>
    <w:rsid w:val="00FE3901"/>
    <w:rsid w:val="00FE3A9F"/>
    <w:rsid w:val="00FE4E6B"/>
    <w:rsid w:val="00FE5123"/>
    <w:rsid w:val="00FE5C04"/>
    <w:rsid w:val="00FE61BD"/>
    <w:rsid w:val="00FE78DF"/>
    <w:rsid w:val="00FE7E8C"/>
    <w:rsid w:val="00FF03E4"/>
    <w:rsid w:val="00FF0920"/>
    <w:rsid w:val="00FF0EDC"/>
    <w:rsid w:val="00FF11AA"/>
    <w:rsid w:val="00FF1F3D"/>
    <w:rsid w:val="00FF4A4E"/>
    <w:rsid w:val="00FF5145"/>
    <w:rsid w:val="00FF5589"/>
    <w:rsid w:val="00FF5CF4"/>
    <w:rsid w:val="00FF5D68"/>
    <w:rsid w:val="00FF6562"/>
    <w:rsid w:val="00FF6D5B"/>
    <w:rsid w:val="0108BFA0"/>
    <w:rsid w:val="010D747A"/>
    <w:rsid w:val="011B3C9B"/>
    <w:rsid w:val="0120CB78"/>
    <w:rsid w:val="01331962"/>
    <w:rsid w:val="0145E386"/>
    <w:rsid w:val="014FE654"/>
    <w:rsid w:val="015A5568"/>
    <w:rsid w:val="01666682"/>
    <w:rsid w:val="017023F9"/>
    <w:rsid w:val="017D58CF"/>
    <w:rsid w:val="019DC9D4"/>
    <w:rsid w:val="019DFA95"/>
    <w:rsid w:val="01B1DAEC"/>
    <w:rsid w:val="01B48ED5"/>
    <w:rsid w:val="01BA8792"/>
    <w:rsid w:val="01BF324F"/>
    <w:rsid w:val="01D78E9E"/>
    <w:rsid w:val="01E5EDD4"/>
    <w:rsid w:val="01EF9F86"/>
    <w:rsid w:val="01F7BEE2"/>
    <w:rsid w:val="0205A86C"/>
    <w:rsid w:val="02099487"/>
    <w:rsid w:val="020B2D88"/>
    <w:rsid w:val="020C2533"/>
    <w:rsid w:val="021611B8"/>
    <w:rsid w:val="022A364F"/>
    <w:rsid w:val="022CD2E2"/>
    <w:rsid w:val="024576FF"/>
    <w:rsid w:val="024A74AD"/>
    <w:rsid w:val="025FAD41"/>
    <w:rsid w:val="0261C151"/>
    <w:rsid w:val="027C4F7E"/>
    <w:rsid w:val="027FA74C"/>
    <w:rsid w:val="0283CCB1"/>
    <w:rsid w:val="028570DA"/>
    <w:rsid w:val="02C890CF"/>
    <w:rsid w:val="02DAC19C"/>
    <w:rsid w:val="02E88631"/>
    <w:rsid w:val="02F37550"/>
    <w:rsid w:val="02F55B80"/>
    <w:rsid w:val="02FBA426"/>
    <w:rsid w:val="030542A4"/>
    <w:rsid w:val="0307B017"/>
    <w:rsid w:val="030F3429"/>
    <w:rsid w:val="032072D2"/>
    <w:rsid w:val="03289596"/>
    <w:rsid w:val="0330534A"/>
    <w:rsid w:val="03337223"/>
    <w:rsid w:val="033BE6A3"/>
    <w:rsid w:val="0354A96A"/>
    <w:rsid w:val="035702B9"/>
    <w:rsid w:val="035B0D48"/>
    <w:rsid w:val="035D2A30"/>
    <w:rsid w:val="035E5120"/>
    <w:rsid w:val="03603440"/>
    <w:rsid w:val="0361B33A"/>
    <w:rsid w:val="0364F325"/>
    <w:rsid w:val="036F0AA6"/>
    <w:rsid w:val="0388F6A5"/>
    <w:rsid w:val="038EC979"/>
    <w:rsid w:val="0395FDB0"/>
    <w:rsid w:val="0396FACA"/>
    <w:rsid w:val="039E519F"/>
    <w:rsid w:val="03AC5273"/>
    <w:rsid w:val="03B06A90"/>
    <w:rsid w:val="03BACDE8"/>
    <w:rsid w:val="03C7A3EE"/>
    <w:rsid w:val="03C9A1F4"/>
    <w:rsid w:val="03CBD3C4"/>
    <w:rsid w:val="03CCBBF1"/>
    <w:rsid w:val="03E14760"/>
    <w:rsid w:val="03E93E0E"/>
    <w:rsid w:val="03F40454"/>
    <w:rsid w:val="03F9FF3B"/>
    <w:rsid w:val="0412B236"/>
    <w:rsid w:val="041FEB8E"/>
    <w:rsid w:val="0420E795"/>
    <w:rsid w:val="042B372C"/>
    <w:rsid w:val="042FDBCA"/>
    <w:rsid w:val="0433DDD1"/>
    <w:rsid w:val="04400823"/>
    <w:rsid w:val="044E3E75"/>
    <w:rsid w:val="044FEB1B"/>
    <w:rsid w:val="04615E1F"/>
    <w:rsid w:val="04796A17"/>
    <w:rsid w:val="04859B63"/>
    <w:rsid w:val="048A6E46"/>
    <w:rsid w:val="048BDE76"/>
    <w:rsid w:val="04986510"/>
    <w:rsid w:val="049AC356"/>
    <w:rsid w:val="04A267B3"/>
    <w:rsid w:val="04AA3D84"/>
    <w:rsid w:val="04AAE808"/>
    <w:rsid w:val="04AD8AD6"/>
    <w:rsid w:val="04B16150"/>
    <w:rsid w:val="04C0BE01"/>
    <w:rsid w:val="04C26863"/>
    <w:rsid w:val="04C3FBB7"/>
    <w:rsid w:val="04CC6FDD"/>
    <w:rsid w:val="04D7C4ED"/>
    <w:rsid w:val="04F1288C"/>
    <w:rsid w:val="04FB2AEF"/>
    <w:rsid w:val="050635C9"/>
    <w:rsid w:val="052D1611"/>
    <w:rsid w:val="0535503E"/>
    <w:rsid w:val="0536B667"/>
    <w:rsid w:val="053863FF"/>
    <w:rsid w:val="05407DC3"/>
    <w:rsid w:val="05465568"/>
    <w:rsid w:val="05533C15"/>
    <w:rsid w:val="0555FA4F"/>
    <w:rsid w:val="055B45C6"/>
    <w:rsid w:val="0570C772"/>
    <w:rsid w:val="05787A6E"/>
    <w:rsid w:val="05820BB4"/>
    <w:rsid w:val="0589332C"/>
    <w:rsid w:val="058AE321"/>
    <w:rsid w:val="058E70EC"/>
    <w:rsid w:val="05911E0F"/>
    <w:rsid w:val="05932340"/>
    <w:rsid w:val="059F77F7"/>
    <w:rsid w:val="05A090BC"/>
    <w:rsid w:val="05A168DC"/>
    <w:rsid w:val="05A3E67F"/>
    <w:rsid w:val="05A9F533"/>
    <w:rsid w:val="05B2FF26"/>
    <w:rsid w:val="05B7C525"/>
    <w:rsid w:val="05B7E0A3"/>
    <w:rsid w:val="05BE2931"/>
    <w:rsid w:val="05BFF3E9"/>
    <w:rsid w:val="05D38D3E"/>
    <w:rsid w:val="05DA1E48"/>
    <w:rsid w:val="05E7796E"/>
    <w:rsid w:val="05EA0ED6"/>
    <w:rsid w:val="05F4D9EC"/>
    <w:rsid w:val="060E60C8"/>
    <w:rsid w:val="061C7808"/>
    <w:rsid w:val="0637DC6A"/>
    <w:rsid w:val="06431AC2"/>
    <w:rsid w:val="064B9E1A"/>
    <w:rsid w:val="066DD4B6"/>
    <w:rsid w:val="06754298"/>
    <w:rsid w:val="067EB712"/>
    <w:rsid w:val="06932F57"/>
    <w:rsid w:val="06943E0F"/>
    <w:rsid w:val="06945BD7"/>
    <w:rsid w:val="069777F6"/>
    <w:rsid w:val="06A4378F"/>
    <w:rsid w:val="06AB4619"/>
    <w:rsid w:val="06C652E4"/>
    <w:rsid w:val="06C9970C"/>
    <w:rsid w:val="06CACDFF"/>
    <w:rsid w:val="06D0C5E6"/>
    <w:rsid w:val="06DCA414"/>
    <w:rsid w:val="06E08BD7"/>
    <w:rsid w:val="06F91A13"/>
    <w:rsid w:val="07076380"/>
    <w:rsid w:val="07090EF1"/>
    <w:rsid w:val="07339B25"/>
    <w:rsid w:val="073C9B97"/>
    <w:rsid w:val="0740BEF1"/>
    <w:rsid w:val="0742456C"/>
    <w:rsid w:val="0744E579"/>
    <w:rsid w:val="075638E1"/>
    <w:rsid w:val="075C153F"/>
    <w:rsid w:val="076BCD65"/>
    <w:rsid w:val="07791B02"/>
    <w:rsid w:val="0781852E"/>
    <w:rsid w:val="0784E884"/>
    <w:rsid w:val="07900CFC"/>
    <w:rsid w:val="07911D36"/>
    <w:rsid w:val="07936D79"/>
    <w:rsid w:val="079722D2"/>
    <w:rsid w:val="079993C2"/>
    <w:rsid w:val="07AA7A42"/>
    <w:rsid w:val="07ADE6D8"/>
    <w:rsid w:val="07B7DB6B"/>
    <w:rsid w:val="07B825A0"/>
    <w:rsid w:val="07C002D6"/>
    <w:rsid w:val="07CB67EC"/>
    <w:rsid w:val="07D47E5F"/>
    <w:rsid w:val="0808E567"/>
    <w:rsid w:val="08118963"/>
    <w:rsid w:val="081A79E4"/>
    <w:rsid w:val="0824CA2E"/>
    <w:rsid w:val="084165E1"/>
    <w:rsid w:val="0841F8C0"/>
    <w:rsid w:val="08461A93"/>
    <w:rsid w:val="08496E15"/>
    <w:rsid w:val="084B218A"/>
    <w:rsid w:val="084D15AB"/>
    <w:rsid w:val="084F9EE6"/>
    <w:rsid w:val="08568A83"/>
    <w:rsid w:val="08570A37"/>
    <w:rsid w:val="08714EDA"/>
    <w:rsid w:val="0871AF42"/>
    <w:rsid w:val="08733078"/>
    <w:rsid w:val="0873961D"/>
    <w:rsid w:val="0880C8F4"/>
    <w:rsid w:val="0884F2DF"/>
    <w:rsid w:val="0887A362"/>
    <w:rsid w:val="088A04B6"/>
    <w:rsid w:val="08958661"/>
    <w:rsid w:val="0897E441"/>
    <w:rsid w:val="089F179E"/>
    <w:rsid w:val="08CF3C4E"/>
    <w:rsid w:val="08E05D22"/>
    <w:rsid w:val="08E9076C"/>
    <w:rsid w:val="08F5F64C"/>
    <w:rsid w:val="08F6DB07"/>
    <w:rsid w:val="08FF0167"/>
    <w:rsid w:val="0919A730"/>
    <w:rsid w:val="0921AF98"/>
    <w:rsid w:val="09230014"/>
    <w:rsid w:val="0923A224"/>
    <w:rsid w:val="0924BCDE"/>
    <w:rsid w:val="092AA057"/>
    <w:rsid w:val="09315126"/>
    <w:rsid w:val="09476005"/>
    <w:rsid w:val="09535CDC"/>
    <w:rsid w:val="09655122"/>
    <w:rsid w:val="096AE0C8"/>
    <w:rsid w:val="096BC4D0"/>
    <w:rsid w:val="096D5279"/>
    <w:rsid w:val="0978688C"/>
    <w:rsid w:val="0985EBC7"/>
    <w:rsid w:val="09883E92"/>
    <w:rsid w:val="098A8518"/>
    <w:rsid w:val="098A9409"/>
    <w:rsid w:val="0994C234"/>
    <w:rsid w:val="0998591C"/>
    <w:rsid w:val="09A191F6"/>
    <w:rsid w:val="09B914E2"/>
    <w:rsid w:val="09BBA82C"/>
    <w:rsid w:val="09C146C5"/>
    <w:rsid w:val="09C55254"/>
    <w:rsid w:val="09C5569E"/>
    <w:rsid w:val="09D1AA8C"/>
    <w:rsid w:val="09D728ED"/>
    <w:rsid w:val="09D86B2F"/>
    <w:rsid w:val="09E89695"/>
    <w:rsid w:val="09E9A170"/>
    <w:rsid w:val="09F7B847"/>
    <w:rsid w:val="09FF273D"/>
    <w:rsid w:val="0A00F1E2"/>
    <w:rsid w:val="0A013A43"/>
    <w:rsid w:val="0A058C12"/>
    <w:rsid w:val="0A123B13"/>
    <w:rsid w:val="0A21ECEB"/>
    <w:rsid w:val="0A335E6A"/>
    <w:rsid w:val="0A339225"/>
    <w:rsid w:val="0A342969"/>
    <w:rsid w:val="0A3892ED"/>
    <w:rsid w:val="0A3C6FCD"/>
    <w:rsid w:val="0A5626A7"/>
    <w:rsid w:val="0A59C1B8"/>
    <w:rsid w:val="0A642CC4"/>
    <w:rsid w:val="0A6640D2"/>
    <w:rsid w:val="0A673DAD"/>
    <w:rsid w:val="0A6EF89E"/>
    <w:rsid w:val="0A72C212"/>
    <w:rsid w:val="0A774E5F"/>
    <w:rsid w:val="0A7B49B6"/>
    <w:rsid w:val="0A7E42F6"/>
    <w:rsid w:val="0A80654B"/>
    <w:rsid w:val="0A80B4C2"/>
    <w:rsid w:val="0A882BAC"/>
    <w:rsid w:val="0A895F10"/>
    <w:rsid w:val="0A8FB804"/>
    <w:rsid w:val="0A9804A9"/>
    <w:rsid w:val="0A9D060F"/>
    <w:rsid w:val="0AA173B8"/>
    <w:rsid w:val="0AA66A40"/>
    <w:rsid w:val="0AA9F657"/>
    <w:rsid w:val="0AAEA5B8"/>
    <w:rsid w:val="0AB50497"/>
    <w:rsid w:val="0AC7ADBE"/>
    <w:rsid w:val="0AD73A1C"/>
    <w:rsid w:val="0ADB2A98"/>
    <w:rsid w:val="0AE84CF3"/>
    <w:rsid w:val="0AFD3DA7"/>
    <w:rsid w:val="0AFE2384"/>
    <w:rsid w:val="0B1353C5"/>
    <w:rsid w:val="0B157609"/>
    <w:rsid w:val="0B1E6B3F"/>
    <w:rsid w:val="0B20A659"/>
    <w:rsid w:val="0B2A768A"/>
    <w:rsid w:val="0B35E452"/>
    <w:rsid w:val="0B40862D"/>
    <w:rsid w:val="0B415317"/>
    <w:rsid w:val="0B4EF009"/>
    <w:rsid w:val="0B55C840"/>
    <w:rsid w:val="0B683B01"/>
    <w:rsid w:val="0B690763"/>
    <w:rsid w:val="0B6CC635"/>
    <w:rsid w:val="0B82D362"/>
    <w:rsid w:val="0B84DF26"/>
    <w:rsid w:val="0B866E9E"/>
    <w:rsid w:val="0B87FE75"/>
    <w:rsid w:val="0B8E067B"/>
    <w:rsid w:val="0B9559CC"/>
    <w:rsid w:val="0B997FD5"/>
    <w:rsid w:val="0B9CE1B0"/>
    <w:rsid w:val="0BDCD4F4"/>
    <w:rsid w:val="0BDDA8CC"/>
    <w:rsid w:val="0BF43AA6"/>
    <w:rsid w:val="0BFF1A76"/>
    <w:rsid w:val="0C058187"/>
    <w:rsid w:val="0C0581A2"/>
    <w:rsid w:val="0C14705F"/>
    <w:rsid w:val="0C281CF2"/>
    <w:rsid w:val="0C353FCC"/>
    <w:rsid w:val="0C3A3602"/>
    <w:rsid w:val="0C4C955C"/>
    <w:rsid w:val="0C53CD10"/>
    <w:rsid w:val="0C561540"/>
    <w:rsid w:val="0C59505A"/>
    <w:rsid w:val="0C5D13E6"/>
    <w:rsid w:val="0C5FCDA5"/>
    <w:rsid w:val="0C64C4E8"/>
    <w:rsid w:val="0C6AC4AF"/>
    <w:rsid w:val="0C6DB840"/>
    <w:rsid w:val="0C73B4CA"/>
    <w:rsid w:val="0C73CEBA"/>
    <w:rsid w:val="0C7B4A9C"/>
    <w:rsid w:val="0C90D936"/>
    <w:rsid w:val="0C9316E1"/>
    <w:rsid w:val="0C944028"/>
    <w:rsid w:val="0C94942C"/>
    <w:rsid w:val="0C9AE7E0"/>
    <w:rsid w:val="0CB45FA2"/>
    <w:rsid w:val="0CCBFDCF"/>
    <w:rsid w:val="0CD40EB9"/>
    <w:rsid w:val="0CD6DCA3"/>
    <w:rsid w:val="0CD8FC8E"/>
    <w:rsid w:val="0CE22AB0"/>
    <w:rsid w:val="0CF2F9D6"/>
    <w:rsid w:val="0CF84223"/>
    <w:rsid w:val="0D0D4DD5"/>
    <w:rsid w:val="0D0F6D94"/>
    <w:rsid w:val="0D12618B"/>
    <w:rsid w:val="0D13FF46"/>
    <w:rsid w:val="0D144CB2"/>
    <w:rsid w:val="0D39224B"/>
    <w:rsid w:val="0D44D814"/>
    <w:rsid w:val="0D48F5E4"/>
    <w:rsid w:val="0D4CB2F5"/>
    <w:rsid w:val="0D4CF122"/>
    <w:rsid w:val="0D559DB7"/>
    <w:rsid w:val="0D59AE73"/>
    <w:rsid w:val="0D604582"/>
    <w:rsid w:val="0D625FFC"/>
    <w:rsid w:val="0D6E925D"/>
    <w:rsid w:val="0D84F95F"/>
    <w:rsid w:val="0D8786B7"/>
    <w:rsid w:val="0D8D1CD3"/>
    <w:rsid w:val="0D97AA80"/>
    <w:rsid w:val="0D9CC76C"/>
    <w:rsid w:val="0DA2EBC6"/>
    <w:rsid w:val="0DBC8FE4"/>
    <w:rsid w:val="0DC6C14E"/>
    <w:rsid w:val="0DCAA705"/>
    <w:rsid w:val="0DCE3853"/>
    <w:rsid w:val="0DD202BD"/>
    <w:rsid w:val="0DD2728A"/>
    <w:rsid w:val="0DDB6933"/>
    <w:rsid w:val="0DE74FA9"/>
    <w:rsid w:val="0DF24DEA"/>
    <w:rsid w:val="0DF45592"/>
    <w:rsid w:val="0DFA035A"/>
    <w:rsid w:val="0DFE685F"/>
    <w:rsid w:val="0E06A6B8"/>
    <w:rsid w:val="0E0A10F1"/>
    <w:rsid w:val="0E0A1486"/>
    <w:rsid w:val="0E0A4757"/>
    <w:rsid w:val="0E0C66D3"/>
    <w:rsid w:val="0E107CA1"/>
    <w:rsid w:val="0E18366A"/>
    <w:rsid w:val="0E23477B"/>
    <w:rsid w:val="0E289EFD"/>
    <w:rsid w:val="0E2C85EA"/>
    <w:rsid w:val="0E30356C"/>
    <w:rsid w:val="0E3BC652"/>
    <w:rsid w:val="0E463E76"/>
    <w:rsid w:val="0E4881F8"/>
    <w:rsid w:val="0E537656"/>
    <w:rsid w:val="0E5415B1"/>
    <w:rsid w:val="0E54890D"/>
    <w:rsid w:val="0E59EBF4"/>
    <w:rsid w:val="0E5AC68E"/>
    <w:rsid w:val="0E5E412C"/>
    <w:rsid w:val="0E683E6A"/>
    <w:rsid w:val="0E79EE8E"/>
    <w:rsid w:val="0E862A29"/>
    <w:rsid w:val="0E892FCC"/>
    <w:rsid w:val="0E8B28DF"/>
    <w:rsid w:val="0E963CDD"/>
    <w:rsid w:val="0EA2B81D"/>
    <w:rsid w:val="0EBD11B1"/>
    <w:rsid w:val="0EBE48F2"/>
    <w:rsid w:val="0ED66A82"/>
    <w:rsid w:val="0EEDE88A"/>
    <w:rsid w:val="0EEE2BFC"/>
    <w:rsid w:val="0EF2F596"/>
    <w:rsid w:val="0F06B802"/>
    <w:rsid w:val="0F0A4CF3"/>
    <w:rsid w:val="0F0D7EB9"/>
    <w:rsid w:val="0F104140"/>
    <w:rsid w:val="0F16ED15"/>
    <w:rsid w:val="0F1AD3AC"/>
    <w:rsid w:val="0F2069CD"/>
    <w:rsid w:val="0F26FCFB"/>
    <w:rsid w:val="0F2D5B54"/>
    <w:rsid w:val="0F36A865"/>
    <w:rsid w:val="0F43C1E3"/>
    <w:rsid w:val="0F468BD8"/>
    <w:rsid w:val="0F516F29"/>
    <w:rsid w:val="0F56FD51"/>
    <w:rsid w:val="0F67C206"/>
    <w:rsid w:val="0F78DC6C"/>
    <w:rsid w:val="0F7EF858"/>
    <w:rsid w:val="0F7F0E83"/>
    <w:rsid w:val="0F80527B"/>
    <w:rsid w:val="0F843089"/>
    <w:rsid w:val="0F8AD65A"/>
    <w:rsid w:val="0F945546"/>
    <w:rsid w:val="0F95D3BB"/>
    <w:rsid w:val="0F9B1EE1"/>
    <w:rsid w:val="0FAB263E"/>
    <w:rsid w:val="0FABAB35"/>
    <w:rsid w:val="0FB96045"/>
    <w:rsid w:val="0FB9CB1C"/>
    <w:rsid w:val="0FBCAF64"/>
    <w:rsid w:val="0FC96247"/>
    <w:rsid w:val="0FD924E2"/>
    <w:rsid w:val="0FE9184B"/>
    <w:rsid w:val="0FEA5385"/>
    <w:rsid w:val="0FF1405D"/>
    <w:rsid w:val="0FF4AAF1"/>
    <w:rsid w:val="0FF8A6B5"/>
    <w:rsid w:val="1003F604"/>
    <w:rsid w:val="1005D07A"/>
    <w:rsid w:val="10083BD1"/>
    <w:rsid w:val="1010E8EC"/>
    <w:rsid w:val="1017A1FC"/>
    <w:rsid w:val="101B3357"/>
    <w:rsid w:val="1023C5F0"/>
    <w:rsid w:val="1037827A"/>
    <w:rsid w:val="104A0CF7"/>
    <w:rsid w:val="104D12DC"/>
    <w:rsid w:val="104F2040"/>
    <w:rsid w:val="10505F9F"/>
    <w:rsid w:val="10573B0E"/>
    <w:rsid w:val="105B7315"/>
    <w:rsid w:val="1066A241"/>
    <w:rsid w:val="10672AD2"/>
    <w:rsid w:val="107EB2B1"/>
    <w:rsid w:val="10819455"/>
    <w:rsid w:val="1082AA8C"/>
    <w:rsid w:val="108491E4"/>
    <w:rsid w:val="1091919A"/>
    <w:rsid w:val="10AFA4DC"/>
    <w:rsid w:val="10BB0D68"/>
    <w:rsid w:val="10CCCC7A"/>
    <w:rsid w:val="10D77B8C"/>
    <w:rsid w:val="10E894B1"/>
    <w:rsid w:val="10F073F4"/>
    <w:rsid w:val="10F4AA90"/>
    <w:rsid w:val="10FE303A"/>
    <w:rsid w:val="11119098"/>
    <w:rsid w:val="111BCA16"/>
    <w:rsid w:val="111E5E73"/>
    <w:rsid w:val="11206945"/>
    <w:rsid w:val="11298A05"/>
    <w:rsid w:val="113C7825"/>
    <w:rsid w:val="113E1EDB"/>
    <w:rsid w:val="1152F01F"/>
    <w:rsid w:val="1168CDE7"/>
    <w:rsid w:val="116E93C9"/>
    <w:rsid w:val="1176AEBF"/>
    <w:rsid w:val="1178C2EB"/>
    <w:rsid w:val="11864790"/>
    <w:rsid w:val="11947716"/>
    <w:rsid w:val="11A111A0"/>
    <w:rsid w:val="11A8D9E4"/>
    <w:rsid w:val="11B4B403"/>
    <w:rsid w:val="11B6D2A7"/>
    <w:rsid w:val="11C20F50"/>
    <w:rsid w:val="11C25B1C"/>
    <w:rsid w:val="11C86A05"/>
    <w:rsid w:val="11D829DC"/>
    <w:rsid w:val="11F48132"/>
    <w:rsid w:val="11FFF6B6"/>
    <w:rsid w:val="1201A35F"/>
    <w:rsid w:val="120CE607"/>
    <w:rsid w:val="1214C7FA"/>
    <w:rsid w:val="121A9023"/>
    <w:rsid w:val="122359D4"/>
    <w:rsid w:val="122C07F6"/>
    <w:rsid w:val="122C1E8C"/>
    <w:rsid w:val="12318B96"/>
    <w:rsid w:val="12452FEE"/>
    <w:rsid w:val="124A5512"/>
    <w:rsid w:val="126244B7"/>
    <w:rsid w:val="126886B0"/>
    <w:rsid w:val="1283CD53"/>
    <w:rsid w:val="12A97096"/>
    <w:rsid w:val="12ACF70D"/>
    <w:rsid w:val="12C5D216"/>
    <w:rsid w:val="12C96645"/>
    <w:rsid w:val="12DCE474"/>
    <w:rsid w:val="12E7D014"/>
    <w:rsid w:val="12E92949"/>
    <w:rsid w:val="130F91B1"/>
    <w:rsid w:val="13109156"/>
    <w:rsid w:val="131446EF"/>
    <w:rsid w:val="13179AB5"/>
    <w:rsid w:val="1324A9EF"/>
    <w:rsid w:val="1329AA6D"/>
    <w:rsid w:val="1344E1A2"/>
    <w:rsid w:val="134552A3"/>
    <w:rsid w:val="134FAF23"/>
    <w:rsid w:val="135ADD4A"/>
    <w:rsid w:val="13612CA8"/>
    <w:rsid w:val="1362F6B1"/>
    <w:rsid w:val="136D36E3"/>
    <w:rsid w:val="136E1535"/>
    <w:rsid w:val="137DDAFE"/>
    <w:rsid w:val="1380A67C"/>
    <w:rsid w:val="13913F43"/>
    <w:rsid w:val="139E88A3"/>
    <w:rsid w:val="13A658C2"/>
    <w:rsid w:val="13BB5E1E"/>
    <w:rsid w:val="13C84135"/>
    <w:rsid w:val="13DFD013"/>
    <w:rsid w:val="13E4CB28"/>
    <w:rsid w:val="13E5C9A8"/>
    <w:rsid w:val="13EC16F8"/>
    <w:rsid w:val="13FCEC33"/>
    <w:rsid w:val="1411104E"/>
    <w:rsid w:val="1412C1F2"/>
    <w:rsid w:val="14246487"/>
    <w:rsid w:val="14713264"/>
    <w:rsid w:val="148CD168"/>
    <w:rsid w:val="1492C113"/>
    <w:rsid w:val="14982A78"/>
    <w:rsid w:val="14A1C8F9"/>
    <w:rsid w:val="14A9864D"/>
    <w:rsid w:val="14AB6212"/>
    <w:rsid w:val="14B413E4"/>
    <w:rsid w:val="14C25F60"/>
    <w:rsid w:val="14C7AA6C"/>
    <w:rsid w:val="14CC17D8"/>
    <w:rsid w:val="14D03BEE"/>
    <w:rsid w:val="14D50663"/>
    <w:rsid w:val="14D6FA84"/>
    <w:rsid w:val="14E3F6A5"/>
    <w:rsid w:val="14EF1BC2"/>
    <w:rsid w:val="14F2AEF8"/>
    <w:rsid w:val="1501EEAB"/>
    <w:rsid w:val="1505818E"/>
    <w:rsid w:val="151BB8F3"/>
    <w:rsid w:val="15299958"/>
    <w:rsid w:val="1530C26D"/>
    <w:rsid w:val="15349E55"/>
    <w:rsid w:val="1534D140"/>
    <w:rsid w:val="153B7CD3"/>
    <w:rsid w:val="153DDD03"/>
    <w:rsid w:val="153E4400"/>
    <w:rsid w:val="154157C9"/>
    <w:rsid w:val="154CDABD"/>
    <w:rsid w:val="1553512E"/>
    <w:rsid w:val="15582357"/>
    <w:rsid w:val="155FDE70"/>
    <w:rsid w:val="1582B95C"/>
    <w:rsid w:val="158EBEA5"/>
    <w:rsid w:val="15906E24"/>
    <w:rsid w:val="15A1354A"/>
    <w:rsid w:val="15B9A6F7"/>
    <w:rsid w:val="15B9CF21"/>
    <w:rsid w:val="15BA97B3"/>
    <w:rsid w:val="15C4D0FF"/>
    <w:rsid w:val="15C5806A"/>
    <w:rsid w:val="15CA8D70"/>
    <w:rsid w:val="15E375BE"/>
    <w:rsid w:val="15E527D9"/>
    <w:rsid w:val="15EF1E78"/>
    <w:rsid w:val="15F051E7"/>
    <w:rsid w:val="15F0CA22"/>
    <w:rsid w:val="16003D0E"/>
    <w:rsid w:val="1604C836"/>
    <w:rsid w:val="160D02C5"/>
    <w:rsid w:val="161F7B6E"/>
    <w:rsid w:val="1624B87B"/>
    <w:rsid w:val="1626EA0E"/>
    <w:rsid w:val="16308F4F"/>
    <w:rsid w:val="16331EBD"/>
    <w:rsid w:val="1643AED8"/>
    <w:rsid w:val="16582F99"/>
    <w:rsid w:val="16674B3C"/>
    <w:rsid w:val="166BFF13"/>
    <w:rsid w:val="16714D25"/>
    <w:rsid w:val="1692BB75"/>
    <w:rsid w:val="169604B1"/>
    <w:rsid w:val="16998CAD"/>
    <w:rsid w:val="169CFD0F"/>
    <w:rsid w:val="169ECC48"/>
    <w:rsid w:val="16A9CDF3"/>
    <w:rsid w:val="16ADA93F"/>
    <w:rsid w:val="16D04DC6"/>
    <w:rsid w:val="16D1E26E"/>
    <w:rsid w:val="16D8D11B"/>
    <w:rsid w:val="16D91261"/>
    <w:rsid w:val="16FF6DAD"/>
    <w:rsid w:val="172A01F4"/>
    <w:rsid w:val="1730EA8A"/>
    <w:rsid w:val="173495F7"/>
    <w:rsid w:val="1735B89E"/>
    <w:rsid w:val="17471E50"/>
    <w:rsid w:val="175D8E85"/>
    <w:rsid w:val="175DFCDA"/>
    <w:rsid w:val="175EC84E"/>
    <w:rsid w:val="17687EDB"/>
    <w:rsid w:val="1775F4A1"/>
    <w:rsid w:val="1784DFB0"/>
    <w:rsid w:val="17857E5F"/>
    <w:rsid w:val="178C2248"/>
    <w:rsid w:val="179BCDF1"/>
    <w:rsid w:val="17AE1E4C"/>
    <w:rsid w:val="17B24424"/>
    <w:rsid w:val="17B6A318"/>
    <w:rsid w:val="17B76BFB"/>
    <w:rsid w:val="17BA3432"/>
    <w:rsid w:val="17BC040A"/>
    <w:rsid w:val="17C24E49"/>
    <w:rsid w:val="17CE69B4"/>
    <w:rsid w:val="17E014C5"/>
    <w:rsid w:val="17EEA717"/>
    <w:rsid w:val="17EED9E8"/>
    <w:rsid w:val="17F94B0E"/>
    <w:rsid w:val="17FB3D92"/>
    <w:rsid w:val="1807DCB0"/>
    <w:rsid w:val="181FEBF8"/>
    <w:rsid w:val="18219A25"/>
    <w:rsid w:val="1828459F"/>
    <w:rsid w:val="182E8323"/>
    <w:rsid w:val="1837DA22"/>
    <w:rsid w:val="183F1FE9"/>
    <w:rsid w:val="1849629D"/>
    <w:rsid w:val="184A75FA"/>
    <w:rsid w:val="18550F33"/>
    <w:rsid w:val="185552EE"/>
    <w:rsid w:val="186D1102"/>
    <w:rsid w:val="18709900"/>
    <w:rsid w:val="18720559"/>
    <w:rsid w:val="1874E2C2"/>
    <w:rsid w:val="1878667C"/>
    <w:rsid w:val="187F2C20"/>
    <w:rsid w:val="188174A2"/>
    <w:rsid w:val="1886D69D"/>
    <w:rsid w:val="1889D1A7"/>
    <w:rsid w:val="188D308C"/>
    <w:rsid w:val="188D653A"/>
    <w:rsid w:val="189558B2"/>
    <w:rsid w:val="189C8438"/>
    <w:rsid w:val="18A1B4CF"/>
    <w:rsid w:val="18A55137"/>
    <w:rsid w:val="18A9538A"/>
    <w:rsid w:val="18B7FC3E"/>
    <w:rsid w:val="18B882DA"/>
    <w:rsid w:val="18BA881D"/>
    <w:rsid w:val="18BAC5A7"/>
    <w:rsid w:val="18BB4CB2"/>
    <w:rsid w:val="18CF8C32"/>
    <w:rsid w:val="18D1D3E7"/>
    <w:rsid w:val="18F6F027"/>
    <w:rsid w:val="18FC89B4"/>
    <w:rsid w:val="18FD932D"/>
    <w:rsid w:val="190BDC2A"/>
    <w:rsid w:val="1911617B"/>
    <w:rsid w:val="192B7B2A"/>
    <w:rsid w:val="193B08CA"/>
    <w:rsid w:val="193B15A1"/>
    <w:rsid w:val="194F33CD"/>
    <w:rsid w:val="196E0EE6"/>
    <w:rsid w:val="1970D787"/>
    <w:rsid w:val="19722BB8"/>
    <w:rsid w:val="197BBDE8"/>
    <w:rsid w:val="19828284"/>
    <w:rsid w:val="1984CDD0"/>
    <w:rsid w:val="19A1BF6B"/>
    <w:rsid w:val="19A5F8E3"/>
    <w:rsid w:val="19B6105D"/>
    <w:rsid w:val="19CF5EFD"/>
    <w:rsid w:val="19D23835"/>
    <w:rsid w:val="19E11C1C"/>
    <w:rsid w:val="19E975C1"/>
    <w:rsid w:val="19EF99B1"/>
    <w:rsid w:val="19F35D21"/>
    <w:rsid w:val="19FE8D5D"/>
    <w:rsid w:val="1A0615C0"/>
    <w:rsid w:val="1A1676AA"/>
    <w:rsid w:val="1A188FBB"/>
    <w:rsid w:val="1A2EDE27"/>
    <w:rsid w:val="1A45544F"/>
    <w:rsid w:val="1A4B5538"/>
    <w:rsid w:val="1A5D8EFD"/>
    <w:rsid w:val="1A62FB84"/>
    <w:rsid w:val="1A65A85C"/>
    <w:rsid w:val="1A6A88AD"/>
    <w:rsid w:val="1A890A93"/>
    <w:rsid w:val="1A89538D"/>
    <w:rsid w:val="1AA3589E"/>
    <w:rsid w:val="1AA5299E"/>
    <w:rsid w:val="1AADB142"/>
    <w:rsid w:val="1AAFD7FD"/>
    <w:rsid w:val="1AB11B28"/>
    <w:rsid w:val="1AB42192"/>
    <w:rsid w:val="1ACC264D"/>
    <w:rsid w:val="1AD01AF5"/>
    <w:rsid w:val="1ADB6F1E"/>
    <w:rsid w:val="1AE0E91A"/>
    <w:rsid w:val="1AF23F63"/>
    <w:rsid w:val="1AF4E0A7"/>
    <w:rsid w:val="1B1496D6"/>
    <w:rsid w:val="1B4077D4"/>
    <w:rsid w:val="1B43FAFD"/>
    <w:rsid w:val="1B647D24"/>
    <w:rsid w:val="1B676ECF"/>
    <w:rsid w:val="1B67A389"/>
    <w:rsid w:val="1B79927E"/>
    <w:rsid w:val="1B8213BC"/>
    <w:rsid w:val="1B91B1D2"/>
    <w:rsid w:val="1B99B56F"/>
    <w:rsid w:val="1BA26F01"/>
    <w:rsid w:val="1BA6B64B"/>
    <w:rsid w:val="1BADDE01"/>
    <w:rsid w:val="1BBEBC3E"/>
    <w:rsid w:val="1BC7E973"/>
    <w:rsid w:val="1BCF8463"/>
    <w:rsid w:val="1BD82A93"/>
    <w:rsid w:val="1BDD9409"/>
    <w:rsid w:val="1BF13758"/>
    <w:rsid w:val="1BF9C687"/>
    <w:rsid w:val="1C019B35"/>
    <w:rsid w:val="1C08A684"/>
    <w:rsid w:val="1C093FCD"/>
    <w:rsid w:val="1C172BFE"/>
    <w:rsid w:val="1C180324"/>
    <w:rsid w:val="1C185CAC"/>
    <w:rsid w:val="1C268FE3"/>
    <w:rsid w:val="1C277758"/>
    <w:rsid w:val="1C2D5D57"/>
    <w:rsid w:val="1C310348"/>
    <w:rsid w:val="1C3123D4"/>
    <w:rsid w:val="1C4C2AF2"/>
    <w:rsid w:val="1C5F936B"/>
    <w:rsid w:val="1C64D5B2"/>
    <w:rsid w:val="1C8011D1"/>
    <w:rsid w:val="1C804836"/>
    <w:rsid w:val="1C83FA0B"/>
    <w:rsid w:val="1C8D7F20"/>
    <w:rsid w:val="1C937CF3"/>
    <w:rsid w:val="1CAC8AFD"/>
    <w:rsid w:val="1CAE2598"/>
    <w:rsid w:val="1CB5715D"/>
    <w:rsid w:val="1CCDE159"/>
    <w:rsid w:val="1CD220C7"/>
    <w:rsid w:val="1CE8E52D"/>
    <w:rsid w:val="1CF05D7B"/>
    <w:rsid w:val="1CF9B53F"/>
    <w:rsid w:val="1D0D812E"/>
    <w:rsid w:val="1D1A555C"/>
    <w:rsid w:val="1D29EA36"/>
    <w:rsid w:val="1D370A84"/>
    <w:rsid w:val="1D3B0983"/>
    <w:rsid w:val="1D516760"/>
    <w:rsid w:val="1D56B52A"/>
    <w:rsid w:val="1D5C26D1"/>
    <w:rsid w:val="1D72412D"/>
    <w:rsid w:val="1D7273FE"/>
    <w:rsid w:val="1D761350"/>
    <w:rsid w:val="1D7A6B69"/>
    <w:rsid w:val="1D87A70C"/>
    <w:rsid w:val="1D8F6368"/>
    <w:rsid w:val="1D9DBD26"/>
    <w:rsid w:val="1DA17D8E"/>
    <w:rsid w:val="1DA35F47"/>
    <w:rsid w:val="1DAEA3FC"/>
    <w:rsid w:val="1DCB357A"/>
    <w:rsid w:val="1DCED941"/>
    <w:rsid w:val="1DE44B16"/>
    <w:rsid w:val="1DF1629C"/>
    <w:rsid w:val="1DFE02AB"/>
    <w:rsid w:val="1E14FBDF"/>
    <w:rsid w:val="1E18737B"/>
    <w:rsid w:val="1E1CE587"/>
    <w:rsid w:val="1E1D5FD0"/>
    <w:rsid w:val="1E294F81"/>
    <w:rsid w:val="1E32B964"/>
    <w:rsid w:val="1E3615D5"/>
    <w:rsid w:val="1E401E27"/>
    <w:rsid w:val="1E447EFE"/>
    <w:rsid w:val="1E67CE5F"/>
    <w:rsid w:val="1E696319"/>
    <w:rsid w:val="1E6BA4D9"/>
    <w:rsid w:val="1E7B0CC4"/>
    <w:rsid w:val="1E7DD71B"/>
    <w:rsid w:val="1E8676F8"/>
    <w:rsid w:val="1E874FB0"/>
    <w:rsid w:val="1E87FC3A"/>
    <w:rsid w:val="1E8A550F"/>
    <w:rsid w:val="1EA72D3C"/>
    <w:rsid w:val="1EA8C568"/>
    <w:rsid w:val="1EAAA909"/>
    <w:rsid w:val="1EABB100"/>
    <w:rsid w:val="1EB07F22"/>
    <w:rsid w:val="1EB31853"/>
    <w:rsid w:val="1EB3747A"/>
    <w:rsid w:val="1EB7D124"/>
    <w:rsid w:val="1ED493FA"/>
    <w:rsid w:val="1EEEAB19"/>
    <w:rsid w:val="1EEEC118"/>
    <w:rsid w:val="1EEF27B5"/>
    <w:rsid w:val="1EFABE5A"/>
    <w:rsid w:val="1F334C0B"/>
    <w:rsid w:val="1F3A6D00"/>
    <w:rsid w:val="1F431BB3"/>
    <w:rsid w:val="1F46074B"/>
    <w:rsid w:val="1F46612D"/>
    <w:rsid w:val="1F544579"/>
    <w:rsid w:val="1F578DB1"/>
    <w:rsid w:val="1F59E8E6"/>
    <w:rsid w:val="1F6F0F0C"/>
    <w:rsid w:val="1F751984"/>
    <w:rsid w:val="1F767ED9"/>
    <w:rsid w:val="1F8A1D99"/>
    <w:rsid w:val="1F92475D"/>
    <w:rsid w:val="1FA0673D"/>
    <w:rsid w:val="1FA2FCB7"/>
    <w:rsid w:val="1FC1171A"/>
    <w:rsid w:val="1FC51FE2"/>
    <w:rsid w:val="1FD705A2"/>
    <w:rsid w:val="1FD95E15"/>
    <w:rsid w:val="20136795"/>
    <w:rsid w:val="202150CA"/>
    <w:rsid w:val="20237A53"/>
    <w:rsid w:val="202A3629"/>
    <w:rsid w:val="2031A0E9"/>
    <w:rsid w:val="2037DCA0"/>
    <w:rsid w:val="20457BBD"/>
    <w:rsid w:val="204B5364"/>
    <w:rsid w:val="204BCB05"/>
    <w:rsid w:val="204C0494"/>
    <w:rsid w:val="204D10FB"/>
    <w:rsid w:val="204F7036"/>
    <w:rsid w:val="205B7ACF"/>
    <w:rsid w:val="2064679A"/>
    <w:rsid w:val="20734388"/>
    <w:rsid w:val="207BB65D"/>
    <w:rsid w:val="2083CC61"/>
    <w:rsid w:val="208EE822"/>
    <w:rsid w:val="20921F2A"/>
    <w:rsid w:val="209D9F46"/>
    <w:rsid w:val="209FBA78"/>
    <w:rsid w:val="20BD2097"/>
    <w:rsid w:val="20C87AF1"/>
    <w:rsid w:val="20CA1523"/>
    <w:rsid w:val="20CAD160"/>
    <w:rsid w:val="20CE5B6E"/>
    <w:rsid w:val="20D0629C"/>
    <w:rsid w:val="20D4881A"/>
    <w:rsid w:val="20DC9857"/>
    <w:rsid w:val="20E7EC49"/>
    <w:rsid w:val="20EE1367"/>
    <w:rsid w:val="20EFCE33"/>
    <w:rsid w:val="20F0B74B"/>
    <w:rsid w:val="2100476B"/>
    <w:rsid w:val="21049F73"/>
    <w:rsid w:val="2105845A"/>
    <w:rsid w:val="210736F2"/>
    <w:rsid w:val="210D93A6"/>
    <w:rsid w:val="2115E268"/>
    <w:rsid w:val="2118FFF8"/>
    <w:rsid w:val="2124A6F4"/>
    <w:rsid w:val="212CA0D2"/>
    <w:rsid w:val="21343474"/>
    <w:rsid w:val="2136C42A"/>
    <w:rsid w:val="2147A387"/>
    <w:rsid w:val="21514649"/>
    <w:rsid w:val="21550092"/>
    <w:rsid w:val="21591B9D"/>
    <w:rsid w:val="2163F47D"/>
    <w:rsid w:val="2165C954"/>
    <w:rsid w:val="216BE799"/>
    <w:rsid w:val="2174EB7F"/>
    <w:rsid w:val="2184EE93"/>
    <w:rsid w:val="218D9BA6"/>
    <w:rsid w:val="219166C6"/>
    <w:rsid w:val="21929EE4"/>
    <w:rsid w:val="2198BC91"/>
    <w:rsid w:val="219926CE"/>
    <w:rsid w:val="21AC3FFA"/>
    <w:rsid w:val="21B289F6"/>
    <w:rsid w:val="21B56E2E"/>
    <w:rsid w:val="21BE47D9"/>
    <w:rsid w:val="21C28890"/>
    <w:rsid w:val="21C6068A"/>
    <w:rsid w:val="21CAC327"/>
    <w:rsid w:val="21D45B09"/>
    <w:rsid w:val="21D53275"/>
    <w:rsid w:val="21E6702D"/>
    <w:rsid w:val="21E7726A"/>
    <w:rsid w:val="21EB567C"/>
    <w:rsid w:val="21F1D2D7"/>
    <w:rsid w:val="21F6847F"/>
    <w:rsid w:val="21FE6F06"/>
    <w:rsid w:val="220BE3F1"/>
    <w:rsid w:val="220D0DE7"/>
    <w:rsid w:val="22188E96"/>
    <w:rsid w:val="2218DAF6"/>
    <w:rsid w:val="221F52A1"/>
    <w:rsid w:val="2228B6D0"/>
    <w:rsid w:val="222E1136"/>
    <w:rsid w:val="2237B4FF"/>
    <w:rsid w:val="223E5D3D"/>
    <w:rsid w:val="22469BCE"/>
    <w:rsid w:val="2254E50C"/>
    <w:rsid w:val="2280F751"/>
    <w:rsid w:val="228F022E"/>
    <w:rsid w:val="228FC062"/>
    <w:rsid w:val="22900CA1"/>
    <w:rsid w:val="22947DB7"/>
    <w:rsid w:val="229CE786"/>
    <w:rsid w:val="22AB76C6"/>
    <w:rsid w:val="22BDCDDF"/>
    <w:rsid w:val="22BF83E4"/>
    <w:rsid w:val="22CACDF0"/>
    <w:rsid w:val="22CCB4E3"/>
    <w:rsid w:val="22D691AE"/>
    <w:rsid w:val="22D6D6DF"/>
    <w:rsid w:val="22D958C8"/>
    <w:rsid w:val="22DBE2D7"/>
    <w:rsid w:val="22E6C80E"/>
    <w:rsid w:val="22F29729"/>
    <w:rsid w:val="22FA1357"/>
    <w:rsid w:val="23001872"/>
    <w:rsid w:val="230AC367"/>
    <w:rsid w:val="231A39ED"/>
    <w:rsid w:val="231E0C75"/>
    <w:rsid w:val="232310E1"/>
    <w:rsid w:val="23276E09"/>
    <w:rsid w:val="232A69AB"/>
    <w:rsid w:val="234C5929"/>
    <w:rsid w:val="234EAC29"/>
    <w:rsid w:val="234F380E"/>
    <w:rsid w:val="235D26F4"/>
    <w:rsid w:val="23658186"/>
    <w:rsid w:val="2374259E"/>
    <w:rsid w:val="2387C92A"/>
    <w:rsid w:val="2396A752"/>
    <w:rsid w:val="239A3F67"/>
    <w:rsid w:val="23BC4429"/>
    <w:rsid w:val="23BD34F8"/>
    <w:rsid w:val="23BEF05D"/>
    <w:rsid w:val="23CF3595"/>
    <w:rsid w:val="23D7ED1F"/>
    <w:rsid w:val="23EB899A"/>
    <w:rsid w:val="23EFBE93"/>
    <w:rsid w:val="23F0B56D"/>
    <w:rsid w:val="23F343ED"/>
    <w:rsid w:val="23FBAF3B"/>
    <w:rsid w:val="240487CB"/>
    <w:rsid w:val="240AD261"/>
    <w:rsid w:val="241725EA"/>
    <w:rsid w:val="241A3A8B"/>
    <w:rsid w:val="242408A8"/>
    <w:rsid w:val="2429728C"/>
    <w:rsid w:val="242D0565"/>
    <w:rsid w:val="242ED25B"/>
    <w:rsid w:val="242F6345"/>
    <w:rsid w:val="24349874"/>
    <w:rsid w:val="243E4D05"/>
    <w:rsid w:val="24485E3B"/>
    <w:rsid w:val="246DE525"/>
    <w:rsid w:val="246E2DD1"/>
    <w:rsid w:val="2477A537"/>
    <w:rsid w:val="247AC3F6"/>
    <w:rsid w:val="247D9EEC"/>
    <w:rsid w:val="24832A67"/>
    <w:rsid w:val="24852F69"/>
    <w:rsid w:val="24962EC9"/>
    <w:rsid w:val="24988053"/>
    <w:rsid w:val="249FFAC7"/>
    <w:rsid w:val="24B98E91"/>
    <w:rsid w:val="24CACB7A"/>
    <w:rsid w:val="24E17222"/>
    <w:rsid w:val="24E62FA4"/>
    <w:rsid w:val="24E789EE"/>
    <w:rsid w:val="24E7E5D0"/>
    <w:rsid w:val="24E8298A"/>
    <w:rsid w:val="25147A1C"/>
    <w:rsid w:val="2514FA1F"/>
    <w:rsid w:val="2517BC8B"/>
    <w:rsid w:val="2518DFA4"/>
    <w:rsid w:val="25249196"/>
    <w:rsid w:val="25306F98"/>
    <w:rsid w:val="253803DB"/>
    <w:rsid w:val="2543F224"/>
    <w:rsid w:val="254412E7"/>
    <w:rsid w:val="254BBD51"/>
    <w:rsid w:val="254DFC82"/>
    <w:rsid w:val="25506168"/>
    <w:rsid w:val="25552032"/>
    <w:rsid w:val="255A033E"/>
    <w:rsid w:val="2569EB9E"/>
    <w:rsid w:val="25912DBF"/>
    <w:rsid w:val="2594D88A"/>
    <w:rsid w:val="25C8A409"/>
    <w:rsid w:val="25D5E2B8"/>
    <w:rsid w:val="25F1E5BB"/>
    <w:rsid w:val="25F42986"/>
    <w:rsid w:val="25F6FC95"/>
    <w:rsid w:val="260F8DDB"/>
    <w:rsid w:val="26181AF7"/>
    <w:rsid w:val="261A7F98"/>
    <w:rsid w:val="2623268F"/>
    <w:rsid w:val="262641FC"/>
    <w:rsid w:val="262BD9E7"/>
    <w:rsid w:val="2639F556"/>
    <w:rsid w:val="264BE610"/>
    <w:rsid w:val="2658965C"/>
    <w:rsid w:val="265C2D9B"/>
    <w:rsid w:val="2661BD41"/>
    <w:rsid w:val="26669733"/>
    <w:rsid w:val="2678468C"/>
    <w:rsid w:val="267F8E55"/>
    <w:rsid w:val="2690EB7B"/>
    <w:rsid w:val="2696DD91"/>
    <w:rsid w:val="26A7739F"/>
    <w:rsid w:val="26A98CE2"/>
    <w:rsid w:val="26B1E9A7"/>
    <w:rsid w:val="26C91281"/>
    <w:rsid w:val="26CF42B3"/>
    <w:rsid w:val="26D73BDE"/>
    <w:rsid w:val="26D75FCB"/>
    <w:rsid w:val="26E506E6"/>
    <w:rsid w:val="27094112"/>
    <w:rsid w:val="27183962"/>
    <w:rsid w:val="271EDE6F"/>
    <w:rsid w:val="272CEE00"/>
    <w:rsid w:val="27461592"/>
    <w:rsid w:val="2747556D"/>
    <w:rsid w:val="275DCB88"/>
    <w:rsid w:val="2769DC44"/>
    <w:rsid w:val="2771C339"/>
    <w:rsid w:val="277F965C"/>
    <w:rsid w:val="278B3D58"/>
    <w:rsid w:val="278F15B0"/>
    <w:rsid w:val="27953B11"/>
    <w:rsid w:val="27AD2364"/>
    <w:rsid w:val="27B4BC62"/>
    <w:rsid w:val="27B5CEAC"/>
    <w:rsid w:val="27B9482D"/>
    <w:rsid w:val="27BA3766"/>
    <w:rsid w:val="27BF716F"/>
    <w:rsid w:val="27C05C81"/>
    <w:rsid w:val="27C3DD3D"/>
    <w:rsid w:val="27C73737"/>
    <w:rsid w:val="27C886EF"/>
    <w:rsid w:val="27DDFB84"/>
    <w:rsid w:val="27E12E33"/>
    <w:rsid w:val="27EE1117"/>
    <w:rsid w:val="27F1F198"/>
    <w:rsid w:val="27F47DBA"/>
    <w:rsid w:val="2804B72D"/>
    <w:rsid w:val="280EEBDB"/>
    <w:rsid w:val="281E85E4"/>
    <w:rsid w:val="28486E46"/>
    <w:rsid w:val="2853A0B8"/>
    <w:rsid w:val="285665DC"/>
    <w:rsid w:val="2859D9BD"/>
    <w:rsid w:val="2859D9F1"/>
    <w:rsid w:val="28632E82"/>
    <w:rsid w:val="286830D3"/>
    <w:rsid w:val="286EAE6B"/>
    <w:rsid w:val="2875AC4D"/>
    <w:rsid w:val="28769D19"/>
    <w:rsid w:val="28898FE4"/>
    <w:rsid w:val="28960905"/>
    <w:rsid w:val="28986B6F"/>
    <w:rsid w:val="28B3E18A"/>
    <w:rsid w:val="28B42F57"/>
    <w:rsid w:val="28BD1E10"/>
    <w:rsid w:val="28C0F107"/>
    <w:rsid w:val="28C1EA9B"/>
    <w:rsid w:val="28D12EF6"/>
    <w:rsid w:val="28D20CAD"/>
    <w:rsid w:val="28D813C3"/>
    <w:rsid w:val="28EFDB1B"/>
    <w:rsid w:val="28F18DFE"/>
    <w:rsid w:val="28F249EB"/>
    <w:rsid w:val="28F2A6C3"/>
    <w:rsid w:val="28F3F996"/>
    <w:rsid w:val="28F58A0D"/>
    <w:rsid w:val="28FC0B3A"/>
    <w:rsid w:val="2909F6AA"/>
    <w:rsid w:val="29152C4E"/>
    <w:rsid w:val="291C4A64"/>
    <w:rsid w:val="292FFC72"/>
    <w:rsid w:val="29398F75"/>
    <w:rsid w:val="293E340F"/>
    <w:rsid w:val="29462D11"/>
    <w:rsid w:val="2954899E"/>
    <w:rsid w:val="295721E5"/>
    <w:rsid w:val="295D3C12"/>
    <w:rsid w:val="29633C30"/>
    <w:rsid w:val="296BA076"/>
    <w:rsid w:val="29895E02"/>
    <w:rsid w:val="298D58C3"/>
    <w:rsid w:val="29A01953"/>
    <w:rsid w:val="29A25DD3"/>
    <w:rsid w:val="29A4B484"/>
    <w:rsid w:val="29A59297"/>
    <w:rsid w:val="29AED26A"/>
    <w:rsid w:val="29B3EF4E"/>
    <w:rsid w:val="29BF2827"/>
    <w:rsid w:val="29C072CB"/>
    <w:rsid w:val="29C206CC"/>
    <w:rsid w:val="29C6F795"/>
    <w:rsid w:val="29C7FAAF"/>
    <w:rsid w:val="29D23F81"/>
    <w:rsid w:val="29E98DFD"/>
    <w:rsid w:val="29EE97C7"/>
    <w:rsid w:val="29F4F831"/>
    <w:rsid w:val="2A06E8E8"/>
    <w:rsid w:val="2A0CB852"/>
    <w:rsid w:val="2A0F008D"/>
    <w:rsid w:val="2A0FFC26"/>
    <w:rsid w:val="2A126D7A"/>
    <w:rsid w:val="2A169E16"/>
    <w:rsid w:val="2A2506C2"/>
    <w:rsid w:val="2A25908A"/>
    <w:rsid w:val="2A2AE1A0"/>
    <w:rsid w:val="2A3B7174"/>
    <w:rsid w:val="2A40E1D4"/>
    <w:rsid w:val="2A473461"/>
    <w:rsid w:val="2A4B2F38"/>
    <w:rsid w:val="2A4F6A77"/>
    <w:rsid w:val="2A6E398B"/>
    <w:rsid w:val="2A72A6A6"/>
    <w:rsid w:val="2A775E2B"/>
    <w:rsid w:val="2A84BB82"/>
    <w:rsid w:val="2A8CD97E"/>
    <w:rsid w:val="2A92D641"/>
    <w:rsid w:val="2AA17D06"/>
    <w:rsid w:val="2AB04447"/>
    <w:rsid w:val="2ABD58D2"/>
    <w:rsid w:val="2AC9E16B"/>
    <w:rsid w:val="2ACC347E"/>
    <w:rsid w:val="2AE456E5"/>
    <w:rsid w:val="2AECAE7A"/>
    <w:rsid w:val="2AF9C9B8"/>
    <w:rsid w:val="2AFA671C"/>
    <w:rsid w:val="2B094F39"/>
    <w:rsid w:val="2B09F6A8"/>
    <w:rsid w:val="2B1588B1"/>
    <w:rsid w:val="2B2634C7"/>
    <w:rsid w:val="2B3202DB"/>
    <w:rsid w:val="2B38DBF7"/>
    <w:rsid w:val="2B3FF5D2"/>
    <w:rsid w:val="2B4292C1"/>
    <w:rsid w:val="2B529039"/>
    <w:rsid w:val="2B572A94"/>
    <w:rsid w:val="2B597993"/>
    <w:rsid w:val="2B60DDE6"/>
    <w:rsid w:val="2B67617D"/>
    <w:rsid w:val="2B688427"/>
    <w:rsid w:val="2B74CEAE"/>
    <w:rsid w:val="2B7AB3F5"/>
    <w:rsid w:val="2B7D361B"/>
    <w:rsid w:val="2B8128A4"/>
    <w:rsid w:val="2B82FE28"/>
    <w:rsid w:val="2B873245"/>
    <w:rsid w:val="2B8E0C3D"/>
    <w:rsid w:val="2B907A1E"/>
    <w:rsid w:val="2B9A2C0E"/>
    <w:rsid w:val="2BA33030"/>
    <w:rsid w:val="2BABE403"/>
    <w:rsid w:val="2BAE3DDB"/>
    <w:rsid w:val="2BB0FC02"/>
    <w:rsid w:val="2BBFF771"/>
    <w:rsid w:val="2BD9C9FF"/>
    <w:rsid w:val="2BE3E34A"/>
    <w:rsid w:val="2BE7D08E"/>
    <w:rsid w:val="2BEA1854"/>
    <w:rsid w:val="2BEA418D"/>
    <w:rsid w:val="2BEBCD4D"/>
    <w:rsid w:val="2BEF4EDA"/>
    <w:rsid w:val="2BF5C480"/>
    <w:rsid w:val="2C01F308"/>
    <w:rsid w:val="2C0958E8"/>
    <w:rsid w:val="2C11B6A0"/>
    <w:rsid w:val="2C58EDBA"/>
    <w:rsid w:val="2C5BBBE8"/>
    <w:rsid w:val="2C64C892"/>
    <w:rsid w:val="2C714658"/>
    <w:rsid w:val="2C7521AE"/>
    <w:rsid w:val="2C771CA7"/>
    <w:rsid w:val="2C7FB6D3"/>
    <w:rsid w:val="2C7FB945"/>
    <w:rsid w:val="2C85CD0C"/>
    <w:rsid w:val="2C8982F8"/>
    <w:rsid w:val="2C930CFB"/>
    <w:rsid w:val="2C9386E4"/>
    <w:rsid w:val="2C9BA47E"/>
    <w:rsid w:val="2CA04E84"/>
    <w:rsid w:val="2CB22CD1"/>
    <w:rsid w:val="2CC43C96"/>
    <w:rsid w:val="2CCBF584"/>
    <w:rsid w:val="2CD275B6"/>
    <w:rsid w:val="2CD48547"/>
    <w:rsid w:val="2CD7591D"/>
    <w:rsid w:val="2CECC899"/>
    <w:rsid w:val="2CEE6B32"/>
    <w:rsid w:val="2CF04095"/>
    <w:rsid w:val="2D1E333A"/>
    <w:rsid w:val="2D27841F"/>
    <w:rsid w:val="2D2C446C"/>
    <w:rsid w:val="2D309502"/>
    <w:rsid w:val="2D3D6803"/>
    <w:rsid w:val="2D413861"/>
    <w:rsid w:val="2D429BBB"/>
    <w:rsid w:val="2D4E5A6E"/>
    <w:rsid w:val="2D513D44"/>
    <w:rsid w:val="2D5194F4"/>
    <w:rsid w:val="2D55DCA1"/>
    <w:rsid w:val="2D5BC7D2"/>
    <w:rsid w:val="2D5D0B2C"/>
    <w:rsid w:val="2D7C05A8"/>
    <w:rsid w:val="2D88B8D3"/>
    <w:rsid w:val="2D8A0975"/>
    <w:rsid w:val="2D8DD3DA"/>
    <w:rsid w:val="2D937140"/>
    <w:rsid w:val="2DA2D5AD"/>
    <w:rsid w:val="2DA5C0C1"/>
    <w:rsid w:val="2DACE7A0"/>
    <w:rsid w:val="2DB5BEC5"/>
    <w:rsid w:val="2DBB28C7"/>
    <w:rsid w:val="2DBCFAFB"/>
    <w:rsid w:val="2DC0118B"/>
    <w:rsid w:val="2DC77D39"/>
    <w:rsid w:val="2DCECCCC"/>
    <w:rsid w:val="2DD01987"/>
    <w:rsid w:val="2DDB7BEE"/>
    <w:rsid w:val="2DE0737D"/>
    <w:rsid w:val="2E0CBDD2"/>
    <w:rsid w:val="2E11CF2D"/>
    <w:rsid w:val="2E181923"/>
    <w:rsid w:val="2E23EF7D"/>
    <w:rsid w:val="2E2889DF"/>
    <w:rsid w:val="2E295023"/>
    <w:rsid w:val="2E2B1590"/>
    <w:rsid w:val="2E329D74"/>
    <w:rsid w:val="2E379CC5"/>
    <w:rsid w:val="2E48A49C"/>
    <w:rsid w:val="2E564DA5"/>
    <w:rsid w:val="2E66E8D2"/>
    <w:rsid w:val="2E7178DD"/>
    <w:rsid w:val="2E74629D"/>
    <w:rsid w:val="2E767FFE"/>
    <w:rsid w:val="2E856DE6"/>
    <w:rsid w:val="2E8CD6DC"/>
    <w:rsid w:val="2E906E71"/>
    <w:rsid w:val="2E96EE76"/>
    <w:rsid w:val="2E999E66"/>
    <w:rsid w:val="2E9B3901"/>
    <w:rsid w:val="2EA85553"/>
    <w:rsid w:val="2EC1BA28"/>
    <w:rsid w:val="2ECB8C0F"/>
    <w:rsid w:val="2EDF3056"/>
    <w:rsid w:val="2EF146C1"/>
    <w:rsid w:val="2EFEDC4E"/>
    <w:rsid w:val="2F0C2D7E"/>
    <w:rsid w:val="2F336814"/>
    <w:rsid w:val="2F487C06"/>
    <w:rsid w:val="2F4A2D8C"/>
    <w:rsid w:val="2F50754C"/>
    <w:rsid w:val="2F56ED16"/>
    <w:rsid w:val="2F61029D"/>
    <w:rsid w:val="2F66C643"/>
    <w:rsid w:val="2F7799FF"/>
    <w:rsid w:val="2F782515"/>
    <w:rsid w:val="2F8F5A20"/>
    <w:rsid w:val="2F9535A7"/>
    <w:rsid w:val="2FA1DBA0"/>
    <w:rsid w:val="2FAB7D55"/>
    <w:rsid w:val="2FAD1039"/>
    <w:rsid w:val="2FAFB6CD"/>
    <w:rsid w:val="2FB3FD53"/>
    <w:rsid w:val="2FB8ABFE"/>
    <w:rsid w:val="2FBCAFF5"/>
    <w:rsid w:val="2FBFCE47"/>
    <w:rsid w:val="2FC56237"/>
    <w:rsid w:val="2FD29CB5"/>
    <w:rsid w:val="2FD31D79"/>
    <w:rsid w:val="2FF32F9D"/>
    <w:rsid w:val="2FFF6C38"/>
    <w:rsid w:val="300D13BA"/>
    <w:rsid w:val="3012A375"/>
    <w:rsid w:val="30187998"/>
    <w:rsid w:val="3021FE22"/>
    <w:rsid w:val="3022DA2E"/>
    <w:rsid w:val="303702E7"/>
    <w:rsid w:val="303BB98F"/>
    <w:rsid w:val="3044C783"/>
    <w:rsid w:val="304A5731"/>
    <w:rsid w:val="3063BCB2"/>
    <w:rsid w:val="30648B75"/>
    <w:rsid w:val="30697F71"/>
    <w:rsid w:val="3071C58E"/>
    <w:rsid w:val="3075EE9C"/>
    <w:rsid w:val="3076E49B"/>
    <w:rsid w:val="30859B7A"/>
    <w:rsid w:val="308BFFDE"/>
    <w:rsid w:val="309612EA"/>
    <w:rsid w:val="30AFBC69"/>
    <w:rsid w:val="30B7F276"/>
    <w:rsid w:val="30EC45AD"/>
    <w:rsid w:val="30ED2DBC"/>
    <w:rsid w:val="30EF4CF2"/>
    <w:rsid w:val="30F1A6EF"/>
    <w:rsid w:val="30F58E39"/>
    <w:rsid w:val="310A5AD9"/>
    <w:rsid w:val="310E0FA3"/>
    <w:rsid w:val="310E3E79"/>
    <w:rsid w:val="3114DA4D"/>
    <w:rsid w:val="31280CE2"/>
    <w:rsid w:val="31316784"/>
    <w:rsid w:val="314463F1"/>
    <w:rsid w:val="314F9450"/>
    <w:rsid w:val="31545C0E"/>
    <w:rsid w:val="31588056"/>
    <w:rsid w:val="31617FC1"/>
    <w:rsid w:val="316292A8"/>
    <w:rsid w:val="316B4A75"/>
    <w:rsid w:val="316E9EEC"/>
    <w:rsid w:val="3170C972"/>
    <w:rsid w:val="3175E051"/>
    <w:rsid w:val="31944B32"/>
    <w:rsid w:val="319E5EF5"/>
    <w:rsid w:val="31A13B6B"/>
    <w:rsid w:val="31A49A94"/>
    <w:rsid w:val="31B03CEC"/>
    <w:rsid w:val="31B93B30"/>
    <w:rsid w:val="31BD8A88"/>
    <w:rsid w:val="31C80F33"/>
    <w:rsid w:val="31C83AD1"/>
    <w:rsid w:val="31F2B6B7"/>
    <w:rsid w:val="31F748AA"/>
    <w:rsid w:val="31FAF542"/>
    <w:rsid w:val="3204817D"/>
    <w:rsid w:val="321C8056"/>
    <w:rsid w:val="3245BEF2"/>
    <w:rsid w:val="324CA751"/>
    <w:rsid w:val="3253C2D7"/>
    <w:rsid w:val="325F94C0"/>
    <w:rsid w:val="32881D0B"/>
    <w:rsid w:val="328FE55D"/>
    <w:rsid w:val="3296CDBD"/>
    <w:rsid w:val="329E9762"/>
    <w:rsid w:val="32A410DD"/>
    <w:rsid w:val="32BEC722"/>
    <w:rsid w:val="32E8B855"/>
    <w:rsid w:val="32F450B7"/>
    <w:rsid w:val="32FDCDC9"/>
    <w:rsid w:val="33008E5B"/>
    <w:rsid w:val="33054737"/>
    <w:rsid w:val="330846FD"/>
    <w:rsid w:val="33097442"/>
    <w:rsid w:val="331005A7"/>
    <w:rsid w:val="3313E81A"/>
    <w:rsid w:val="3321D3CD"/>
    <w:rsid w:val="33266FE7"/>
    <w:rsid w:val="332D35C0"/>
    <w:rsid w:val="3335D7D7"/>
    <w:rsid w:val="33382562"/>
    <w:rsid w:val="333C81A3"/>
    <w:rsid w:val="33435664"/>
    <w:rsid w:val="3362B6F2"/>
    <w:rsid w:val="336A6A79"/>
    <w:rsid w:val="336C261A"/>
    <w:rsid w:val="336C2B9C"/>
    <w:rsid w:val="33767E80"/>
    <w:rsid w:val="338C2A69"/>
    <w:rsid w:val="338F2783"/>
    <w:rsid w:val="339393DD"/>
    <w:rsid w:val="33972FD2"/>
    <w:rsid w:val="33A3657A"/>
    <w:rsid w:val="33A7DC8C"/>
    <w:rsid w:val="33AD891C"/>
    <w:rsid w:val="33B2908B"/>
    <w:rsid w:val="33B3A19A"/>
    <w:rsid w:val="33B9AE79"/>
    <w:rsid w:val="33C245B9"/>
    <w:rsid w:val="33D059EE"/>
    <w:rsid w:val="33E18F53"/>
    <w:rsid w:val="33E53F44"/>
    <w:rsid w:val="33E60605"/>
    <w:rsid w:val="33EF8F1E"/>
    <w:rsid w:val="34084C9C"/>
    <w:rsid w:val="341EE281"/>
    <w:rsid w:val="342278EE"/>
    <w:rsid w:val="3428580B"/>
    <w:rsid w:val="342911FD"/>
    <w:rsid w:val="343757F4"/>
    <w:rsid w:val="3448BCAC"/>
    <w:rsid w:val="344E6FB9"/>
    <w:rsid w:val="3455B576"/>
    <w:rsid w:val="348401BC"/>
    <w:rsid w:val="3484FCC7"/>
    <w:rsid w:val="3487A543"/>
    <w:rsid w:val="348C286F"/>
    <w:rsid w:val="348CFE17"/>
    <w:rsid w:val="349034E2"/>
    <w:rsid w:val="34A2841C"/>
    <w:rsid w:val="34A50626"/>
    <w:rsid w:val="34B50601"/>
    <w:rsid w:val="34B9B0B3"/>
    <w:rsid w:val="34C14207"/>
    <w:rsid w:val="34FD26AB"/>
    <w:rsid w:val="35042ABB"/>
    <w:rsid w:val="35063ADA"/>
    <w:rsid w:val="350A2076"/>
    <w:rsid w:val="350CE2FD"/>
    <w:rsid w:val="351371E3"/>
    <w:rsid w:val="352106E6"/>
    <w:rsid w:val="3522BAE1"/>
    <w:rsid w:val="35254BA9"/>
    <w:rsid w:val="35281E0D"/>
    <w:rsid w:val="352C746E"/>
    <w:rsid w:val="3535D9D8"/>
    <w:rsid w:val="354BB2CE"/>
    <w:rsid w:val="35542118"/>
    <w:rsid w:val="3557F431"/>
    <w:rsid w:val="356F88ED"/>
    <w:rsid w:val="3578CCF6"/>
    <w:rsid w:val="357D0F84"/>
    <w:rsid w:val="3582852C"/>
    <w:rsid w:val="359218CE"/>
    <w:rsid w:val="359514AC"/>
    <w:rsid w:val="35A428EB"/>
    <w:rsid w:val="35A5CF90"/>
    <w:rsid w:val="35A87BEC"/>
    <w:rsid w:val="35AA5136"/>
    <w:rsid w:val="35C113D5"/>
    <w:rsid w:val="35D80904"/>
    <w:rsid w:val="35E1DF78"/>
    <w:rsid w:val="35E3F1BE"/>
    <w:rsid w:val="35E46C36"/>
    <w:rsid w:val="35E8052E"/>
    <w:rsid w:val="35EC0D74"/>
    <w:rsid w:val="35EE7B33"/>
    <w:rsid w:val="35F467BE"/>
    <w:rsid w:val="360C6F42"/>
    <w:rsid w:val="360DCE8D"/>
    <w:rsid w:val="3611383C"/>
    <w:rsid w:val="36230AB8"/>
    <w:rsid w:val="36244D6F"/>
    <w:rsid w:val="3628E64C"/>
    <w:rsid w:val="3631E910"/>
    <w:rsid w:val="3636A8C2"/>
    <w:rsid w:val="363AFEE0"/>
    <w:rsid w:val="363CB80C"/>
    <w:rsid w:val="3641BB99"/>
    <w:rsid w:val="364EC2B1"/>
    <w:rsid w:val="3651EA20"/>
    <w:rsid w:val="3679D72D"/>
    <w:rsid w:val="368FA18F"/>
    <w:rsid w:val="3690F496"/>
    <w:rsid w:val="36971BDF"/>
    <w:rsid w:val="369B8056"/>
    <w:rsid w:val="369CA6FF"/>
    <w:rsid w:val="36A8A4A6"/>
    <w:rsid w:val="36ACF351"/>
    <w:rsid w:val="36BBC4F3"/>
    <w:rsid w:val="36C82EFD"/>
    <w:rsid w:val="36D2BC83"/>
    <w:rsid w:val="36DD01A2"/>
    <w:rsid w:val="36DFE267"/>
    <w:rsid w:val="36E45557"/>
    <w:rsid w:val="36EC55E6"/>
    <w:rsid w:val="36F5B37E"/>
    <w:rsid w:val="36FABC92"/>
    <w:rsid w:val="371A6928"/>
    <w:rsid w:val="3725D239"/>
    <w:rsid w:val="372ED643"/>
    <w:rsid w:val="37350367"/>
    <w:rsid w:val="37366A93"/>
    <w:rsid w:val="3738B477"/>
    <w:rsid w:val="373FB150"/>
    <w:rsid w:val="37421C36"/>
    <w:rsid w:val="374E1598"/>
    <w:rsid w:val="376DDFDA"/>
    <w:rsid w:val="37779853"/>
    <w:rsid w:val="377C5C32"/>
    <w:rsid w:val="378AB051"/>
    <w:rsid w:val="378AF3A6"/>
    <w:rsid w:val="378B2E45"/>
    <w:rsid w:val="3791D62F"/>
    <w:rsid w:val="3798A06F"/>
    <w:rsid w:val="379D988A"/>
    <w:rsid w:val="37A2A146"/>
    <w:rsid w:val="37A74136"/>
    <w:rsid w:val="37CBE0D8"/>
    <w:rsid w:val="37D272A3"/>
    <w:rsid w:val="37DB387E"/>
    <w:rsid w:val="37E7D5C8"/>
    <w:rsid w:val="37E7F961"/>
    <w:rsid w:val="37EC9ED9"/>
    <w:rsid w:val="38099B16"/>
    <w:rsid w:val="380BD8F4"/>
    <w:rsid w:val="380EFD34"/>
    <w:rsid w:val="3820D6EA"/>
    <w:rsid w:val="382251F5"/>
    <w:rsid w:val="38265887"/>
    <w:rsid w:val="3829108B"/>
    <w:rsid w:val="382AA0F4"/>
    <w:rsid w:val="38310FE0"/>
    <w:rsid w:val="383715F7"/>
    <w:rsid w:val="38403329"/>
    <w:rsid w:val="3845501A"/>
    <w:rsid w:val="3847FAC9"/>
    <w:rsid w:val="384C6225"/>
    <w:rsid w:val="3851A0E4"/>
    <w:rsid w:val="38553AEE"/>
    <w:rsid w:val="38596A1C"/>
    <w:rsid w:val="385B9DB3"/>
    <w:rsid w:val="3861ADDD"/>
    <w:rsid w:val="38676F08"/>
    <w:rsid w:val="387177E8"/>
    <w:rsid w:val="38758B99"/>
    <w:rsid w:val="38976719"/>
    <w:rsid w:val="389E2C2A"/>
    <w:rsid w:val="38A0D4B7"/>
    <w:rsid w:val="38A5090C"/>
    <w:rsid w:val="38A532C1"/>
    <w:rsid w:val="38A9DBFE"/>
    <w:rsid w:val="38B586DE"/>
    <w:rsid w:val="38B5CA19"/>
    <w:rsid w:val="38C78BC9"/>
    <w:rsid w:val="38D30E02"/>
    <w:rsid w:val="38E2842B"/>
    <w:rsid w:val="38E6DA49"/>
    <w:rsid w:val="38EECC58"/>
    <w:rsid w:val="38FF0D8B"/>
    <w:rsid w:val="3902AB01"/>
    <w:rsid w:val="390554E3"/>
    <w:rsid w:val="39074F58"/>
    <w:rsid w:val="390AFAE1"/>
    <w:rsid w:val="390C454F"/>
    <w:rsid w:val="391A58F8"/>
    <w:rsid w:val="391EBF84"/>
    <w:rsid w:val="393FDEC8"/>
    <w:rsid w:val="3945332C"/>
    <w:rsid w:val="394A69DE"/>
    <w:rsid w:val="3950FACF"/>
    <w:rsid w:val="3962CF83"/>
    <w:rsid w:val="39711150"/>
    <w:rsid w:val="39761196"/>
    <w:rsid w:val="39867696"/>
    <w:rsid w:val="398E3AAD"/>
    <w:rsid w:val="39962010"/>
    <w:rsid w:val="39AF7FF0"/>
    <w:rsid w:val="39BBEBB5"/>
    <w:rsid w:val="39CE5D90"/>
    <w:rsid w:val="39D32118"/>
    <w:rsid w:val="39E5EE5E"/>
    <w:rsid w:val="39EE35F3"/>
    <w:rsid w:val="39F69AAF"/>
    <w:rsid w:val="39FEE972"/>
    <w:rsid w:val="3A02A86B"/>
    <w:rsid w:val="3A06546B"/>
    <w:rsid w:val="3A0A36D3"/>
    <w:rsid w:val="3A1C18E2"/>
    <w:rsid w:val="3A1D1588"/>
    <w:rsid w:val="3A3C9411"/>
    <w:rsid w:val="3A636CCE"/>
    <w:rsid w:val="3A7F2285"/>
    <w:rsid w:val="3A8447FA"/>
    <w:rsid w:val="3A89907E"/>
    <w:rsid w:val="3A8C760A"/>
    <w:rsid w:val="3A92312C"/>
    <w:rsid w:val="3A99F86E"/>
    <w:rsid w:val="3A9A044F"/>
    <w:rsid w:val="3A9C8B42"/>
    <w:rsid w:val="3AA09E0B"/>
    <w:rsid w:val="3AA1571A"/>
    <w:rsid w:val="3AACFC9F"/>
    <w:rsid w:val="3ABC5B0F"/>
    <w:rsid w:val="3ABCB51E"/>
    <w:rsid w:val="3ABFA169"/>
    <w:rsid w:val="3AC525AC"/>
    <w:rsid w:val="3AD48CF2"/>
    <w:rsid w:val="3ADB9EF7"/>
    <w:rsid w:val="3AECC310"/>
    <w:rsid w:val="3AF44E39"/>
    <w:rsid w:val="3B0E48C5"/>
    <w:rsid w:val="3B1B1660"/>
    <w:rsid w:val="3B2919E9"/>
    <w:rsid w:val="3B2B1227"/>
    <w:rsid w:val="3B499055"/>
    <w:rsid w:val="3B4AC891"/>
    <w:rsid w:val="3B517076"/>
    <w:rsid w:val="3B5A50E8"/>
    <w:rsid w:val="3B5C204B"/>
    <w:rsid w:val="3B6DED71"/>
    <w:rsid w:val="3B7212A3"/>
    <w:rsid w:val="3B757C5E"/>
    <w:rsid w:val="3B78794F"/>
    <w:rsid w:val="3B7B2C0E"/>
    <w:rsid w:val="3B9E1C36"/>
    <w:rsid w:val="3BA6F003"/>
    <w:rsid w:val="3BA768F5"/>
    <w:rsid w:val="3BB67035"/>
    <w:rsid w:val="3BC5CB14"/>
    <w:rsid w:val="3BD56614"/>
    <w:rsid w:val="3BDD14C3"/>
    <w:rsid w:val="3BDF4693"/>
    <w:rsid w:val="3BDF688C"/>
    <w:rsid w:val="3BE67F44"/>
    <w:rsid w:val="3BF75113"/>
    <w:rsid w:val="3C0CB2BD"/>
    <w:rsid w:val="3C109151"/>
    <w:rsid w:val="3C1E0039"/>
    <w:rsid w:val="3C36370F"/>
    <w:rsid w:val="3C3828D2"/>
    <w:rsid w:val="3C3CA1DE"/>
    <w:rsid w:val="3C477B44"/>
    <w:rsid w:val="3C4D9289"/>
    <w:rsid w:val="3C4D9642"/>
    <w:rsid w:val="3C637782"/>
    <w:rsid w:val="3C6BB3DB"/>
    <w:rsid w:val="3C9631F3"/>
    <w:rsid w:val="3C9B8F4E"/>
    <w:rsid w:val="3CA753EE"/>
    <w:rsid w:val="3CB08401"/>
    <w:rsid w:val="3CB6D027"/>
    <w:rsid w:val="3CBBA791"/>
    <w:rsid w:val="3CBDAC0B"/>
    <w:rsid w:val="3CC506F0"/>
    <w:rsid w:val="3CCDD3EF"/>
    <w:rsid w:val="3CCF55A5"/>
    <w:rsid w:val="3CD6DE84"/>
    <w:rsid w:val="3CD7637B"/>
    <w:rsid w:val="3CD85106"/>
    <w:rsid w:val="3CD9D6E5"/>
    <w:rsid w:val="3CDFA63E"/>
    <w:rsid w:val="3CE3DEBB"/>
    <w:rsid w:val="3CE48292"/>
    <w:rsid w:val="3CECEF9E"/>
    <w:rsid w:val="3CF4FD34"/>
    <w:rsid w:val="3CF8454F"/>
    <w:rsid w:val="3CFF64C9"/>
    <w:rsid w:val="3D228DC9"/>
    <w:rsid w:val="3D28E97A"/>
    <w:rsid w:val="3D333223"/>
    <w:rsid w:val="3D39B839"/>
    <w:rsid w:val="3D473E77"/>
    <w:rsid w:val="3D4B09A5"/>
    <w:rsid w:val="3D505DA1"/>
    <w:rsid w:val="3D53875A"/>
    <w:rsid w:val="3D6932C3"/>
    <w:rsid w:val="3D6DA300"/>
    <w:rsid w:val="3D6F408C"/>
    <w:rsid w:val="3D76293A"/>
    <w:rsid w:val="3D7B38ED"/>
    <w:rsid w:val="3D7B6EC0"/>
    <w:rsid w:val="3D7E9831"/>
    <w:rsid w:val="3D7EE032"/>
    <w:rsid w:val="3D804A30"/>
    <w:rsid w:val="3D8E0625"/>
    <w:rsid w:val="3DA7D4DA"/>
    <w:rsid w:val="3DAD5D47"/>
    <w:rsid w:val="3DADDB37"/>
    <w:rsid w:val="3DB23534"/>
    <w:rsid w:val="3DB434A9"/>
    <w:rsid w:val="3DBB53DA"/>
    <w:rsid w:val="3DC95892"/>
    <w:rsid w:val="3DD38535"/>
    <w:rsid w:val="3DD86064"/>
    <w:rsid w:val="3DE4ABF9"/>
    <w:rsid w:val="3DF56EA5"/>
    <w:rsid w:val="3DFDAEC4"/>
    <w:rsid w:val="3E0CFA25"/>
    <w:rsid w:val="3E10E723"/>
    <w:rsid w:val="3E1A34F7"/>
    <w:rsid w:val="3E26D465"/>
    <w:rsid w:val="3E66A460"/>
    <w:rsid w:val="3E6BA726"/>
    <w:rsid w:val="3E89F987"/>
    <w:rsid w:val="3E8A302F"/>
    <w:rsid w:val="3E8D69DE"/>
    <w:rsid w:val="3E956F9D"/>
    <w:rsid w:val="3EA22959"/>
    <w:rsid w:val="3EA97285"/>
    <w:rsid w:val="3EAE77D8"/>
    <w:rsid w:val="3EB1D79D"/>
    <w:rsid w:val="3ED0045B"/>
    <w:rsid w:val="3ED0663F"/>
    <w:rsid w:val="3ED861B4"/>
    <w:rsid w:val="3EE9BAD9"/>
    <w:rsid w:val="3EEDC224"/>
    <w:rsid w:val="3F05CE77"/>
    <w:rsid w:val="3F0A0D61"/>
    <w:rsid w:val="3F0EA532"/>
    <w:rsid w:val="3F174DDD"/>
    <w:rsid w:val="3F1CC335"/>
    <w:rsid w:val="3F1D472C"/>
    <w:rsid w:val="3F201F65"/>
    <w:rsid w:val="3F3BC57B"/>
    <w:rsid w:val="3F42835E"/>
    <w:rsid w:val="3F434D5F"/>
    <w:rsid w:val="3F4AA7FA"/>
    <w:rsid w:val="3F546929"/>
    <w:rsid w:val="3F5D42E1"/>
    <w:rsid w:val="3F5F5766"/>
    <w:rsid w:val="3F6D7572"/>
    <w:rsid w:val="3F7BF612"/>
    <w:rsid w:val="3F968F8A"/>
    <w:rsid w:val="3F96D4FA"/>
    <w:rsid w:val="3F9BD0F2"/>
    <w:rsid w:val="3FA3A69C"/>
    <w:rsid w:val="3FA4D58C"/>
    <w:rsid w:val="3FA6C66C"/>
    <w:rsid w:val="3FAA4220"/>
    <w:rsid w:val="3FB0FD63"/>
    <w:rsid w:val="3FB66F7D"/>
    <w:rsid w:val="3FC5511B"/>
    <w:rsid w:val="3FCA0F29"/>
    <w:rsid w:val="3FCFF83B"/>
    <w:rsid w:val="3FD030AE"/>
    <w:rsid w:val="3FE31277"/>
    <w:rsid w:val="3FE6EF7F"/>
    <w:rsid w:val="3FF9F0DB"/>
    <w:rsid w:val="3FFEB61B"/>
    <w:rsid w:val="4002A692"/>
    <w:rsid w:val="401A5A7F"/>
    <w:rsid w:val="401E1E25"/>
    <w:rsid w:val="40297E50"/>
    <w:rsid w:val="402CDB93"/>
    <w:rsid w:val="4032F192"/>
    <w:rsid w:val="40375B6E"/>
    <w:rsid w:val="4037DF28"/>
    <w:rsid w:val="4038411B"/>
    <w:rsid w:val="403D54A9"/>
    <w:rsid w:val="4048ED81"/>
    <w:rsid w:val="405285B7"/>
    <w:rsid w:val="40659F13"/>
    <w:rsid w:val="406A10EF"/>
    <w:rsid w:val="407ADA18"/>
    <w:rsid w:val="408EEB27"/>
    <w:rsid w:val="4090CFEA"/>
    <w:rsid w:val="409185D8"/>
    <w:rsid w:val="4091E73D"/>
    <w:rsid w:val="4092AE2A"/>
    <w:rsid w:val="4092E6F1"/>
    <w:rsid w:val="40A57F69"/>
    <w:rsid w:val="40A90B3E"/>
    <w:rsid w:val="40AD3972"/>
    <w:rsid w:val="40B0D6E2"/>
    <w:rsid w:val="40BB0280"/>
    <w:rsid w:val="40C08DF6"/>
    <w:rsid w:val="40C0C45B"/>
    <w:rsid w:val="40C48A05"/>
    <w:rsid w:val="40D76B82"/>
    <w:rsid w:val="40DE53BF"/>
    <w:rsid w:val="40EA59B2"/>
    <w:rsid w:val="40EACDC3"/>
    <w:rsid w:val="410980F4"/>
    <w:rsid w:val="4109FBB9"/>
    <w:rsid w:val="4145DAFC"/>
    <w:rsid w:val="41486F61"/>
    <w:rsid w:val="4159887A"/>
    <w:rsid w:val="4168C3D8"/>
    <w:rsid w:val="416F0071"/>
    <w:rsid w:val="41788AED"/>
    <w:rsid w:val="417C4385"/>
    <w:rsid w:val="41829C79"/>
    <w:rsid w:val="4185930C"/>
    <w:rsid w:val="41A86754"/>
    <w:rsid w:val="41A8E99C"/>
    <w:rsid w:val="41B5DB5B"/>
    <w:rsid w:val="41BBC6A0"/>
    <w:rsid w:val="41BD007E"/>
    <w:rsid w:val="41C1016C"/>
    <w:rsid w:val="41C19DED"/>
    <w:rsid w:val="41C656F2"/>
    <w:rsid w:val="41C95F96"/>
    <w:rsid w:val="41D3782B"/>
    <w:rsid w:val="41E856A3"/>
    <w:rsid w:val="41ECEF04"/>
    <w:rsid w:val="41F16A72"/>
    <w:rsid w:val="41FE5F2F"/>
    <w:rsid w:val="42058A81"/>
    <w:rsid w:val="420EE365"/>
    <w:rsid w:val="42233101"/>
    <w:rsid w:val="422ABB88"/>
    <w:rsid w:val="422C0FA9"/>
    <w:rsid w:val="422C3462"/>
    <w:rsid w:val="422D4996"/>
    <w:rsid w:val="422E3B23"/>
    <w:rsid w:val="42413DBC"/>
    <w:rsid w:val="424A88EB"/>
    <w:rsid w:val="425CECA0"/>
    <w:rsid w:val="42632C6A"/>
    <w:rsid w:val="4270FFF1"/>
    <w:rsid w:val="427A05F2"/>
    <w:rsid w:val="427B2DC4"/>
    <w:rsid w:val="428AC8B8"/>
    <w:rsid w:val="429787B0"/>
    <w:rsid w:val="42A6CB5F"/>
    <w:rsid w:val="42C12513"/>
    <w:rsid w:val="42C328E4"/>
    <w:rsid w:val="42D3C36D"/>
    <w:rsid w:val="42E00A45"/>
    <w:rsid w:val="42E235AC"/>
    <w:rsid w:val="42E5E788"/>
    <w:rsid w:val="42E6F113"/>
    <w:rsid w:val="42F10B67"/>
    <w:rsid w:val="43066319"/>
    <w:rsid w:val="430E4BDF"/>
    <w:rsid w:val="430F9EC6"/>
    <w:rsid w:val="431BEF79"/>
    <w:rsid w:val="431DD18B"/>
    <w:rsid w:val="43268D72"/>
    <w:rsid w:val="434307D2"/>
    <w:rsid w:val="434A4250"/>
    <w:rsid w:val="434F40F3"/>
    <w:rsid w:val="435F0E61"/>
    <w:rsid w:val="43612F6D"/>
    <w:rsid w:val="43640A3F"/>
    <w:rsid w:val="436A1D8D"/>
    <w:rsid w:val="436C4E8E"/>
    <w:rsid w:val="4377996C"/>
    <w:rsid w:val="43910C61"/>
    <w:rsid w:val="43922477"/>
    <w:rsid w:val="43959772"/>
    <w:rsid w:val="43A74480"/>
    <w:rsid w:val="43AF353F"/>
    <w:rsid w:val="43B05E62"/>
    <w:rsid w:val="43B55E80"/>
    <w:rsid w:val="43B6607E"/>
    <w:rsid w:val="43CC3DF6"/>
    <w:rsid w:val="43D429D1"/>
    <w:rsid w:val="43D4E429"/>
    <w:rsid w:val="43D93F9A"/>
    <w:rsid w:val="43E12D20"/>
    <w:rsid w:val="43E81FC3"/>
    <w:rsid w:val="43EF74BE"/>
    <w:rsid w:val="4405398A"/>
    <w:rsid w:val="440CA36B"/>
    <w:rsid w:val="44148CB2"/>
    <w:rsid w:val="442CBD77"/>
    <w:rsid w:val="443A425D"/>
    <w:rsid w:val="444A1679"/>
    <w:rsid w:val="444B4D5F"/>
    <w:rsid w:val="446373EE"/>
    <w:rsid w:val="44655656"/>
    <w:rsid w:val="447A7FF7"/>
    <w:rsid w:val="44864A7B"/>
    <w:rsid w:val="44885F5F"/>
    <w:rsid w:val="4488DA31"/>
    <w:rsid w:val="449C8252"/>
    <w:rsid w:val="44A0AC60"/>
    <w:rsid w:val="44A0EF74"/>
    <w:rsid w:val="44A4F6EB"/>
    <w:rsid w:val="44B60A84"/>
    <w:rsid w:val="44B68DD0"/>
    <w:rsid w:val="44C2ED66"/>
    <w:rsid w:val="44C4EEF1"/>
    <w:rsid w:val="44C59EE4"/>
    <w:rsid w:val="44CA9F5A"/>
    <w:rsid w:val="44CFF741"/>
    <w:rsid w:val="44D0AA58"/>
    <w:rsid w:val="44DEE890"/>
    <w:rsid w:val="44FEA2C3"/>
    <w:rsid w:val="45049686"/>
    <w:rsid w:val="45091D5F"/>
    <w:rsid w:val="450CD3C2"/>
    <w:rsid w:val="451F0225"/>
    <w:rsid w:val="4527E801"/>
    <w:rsid w:val="452BFB04"/>
    <w:rsid w:val="45380DDC"/>
    <w:rsid w:val="4542DAF9"/>
    <w:rsid w:val="45465EC7"/>
    <w:rsid w:val="455797C0"/>
    <w:rsid w:val="4561594A"/>
    <w:rsid w:val="4563907B"/>
    <w:rsid w:val="4568B663"/>
    <w:rsid w:val="456C26F4"/>
    <w:rsid w:val="457124A3"/>
    <w:rsid w:val="4572D5E7"/>
    <w:rsid w:val="457D0D5E"/>
    <w:rsid w:val="45886334"/>
    <w:rsid w:val="459EA3E9"/>
    <w:rsid w:val="45A1E213"/>
    <w:rsid w:val="45A6784A"/>
    <w:rsid w:val="45B8C714"/>
    <w:rsid w:val="45BB132E"/>
    <w:rsid w:val="45C98C31"/>
    <w:rsid w:val="45CA2836"/>
    <w:rsid w:val="45D33B74"/>
    <w:rsid w:val="45DEB784"/>
    <w:rsid w:val="45FDDEC6"/>
    <w:rsid w:val="46127035"/>
    <w:rsid w:val="461D29D7"/>
    <w:rsid w:val="4626932E"/>
    <w:rsid w:val="463864B7"/>
    <w:rsid w:val="46456391"/>
    <w:rsid w:val="465A0DA1"/>
    <w:rsid w:val="465CC03B"/>
    <w:rsid w:val="465E054F"/>
    <w:rsid w:val="46627E44"/>
    <w:rsid w:val="466D0400"/>
    <w:rsid w:val="467AAA82"/>
    <w:rsid w:val="467B19C1"/>
    <w:rsid w:val="46836FC5"/>
    <w:rsid w:val="468C5F78"/>
    <w:rsid w:val="4690710B"/>
    <w:rsid w:val="4691F832"/>
    <w:rsid w:val="469ACDE3"/>
    <w:rsid w:val="46B3A224"/>
    <w:rsid w:val="46B83D5B"/>
    <w:rsid w:val="46C534AB"/>
    <w:rsid w:val="46C5B9DD"/>
    <w:rsid w:val="46CE4C92"/>
    <w:rsid w:val="46E52B89"/>
    <w:rsid w:val="46E73C72"/>
    <w:rsid w:val="46FC83AA"/>
    <w:rsid w:val="470B5F3B"/>
    <w:rsid w:val="471267DF"/>
    <w:rsid w:val="4719A854"/>
    <w:rsid w:val="472CF175"/>
    <w:rsid w:val="47349DF8"/>
    <w:rsid w:val="47354E10"/>
    <w:rsid w:val="4735BDA7"/>
    <w:rsid w:val="474850B7"/>
    <w:rsid w:val="474CDDA7"/>
    <w:rsid w:val="474CE66D"/>
    <w:rsid w:val="474E21DB"/>
    <w:rsid w:val="475B45AE"/>
    <w:rsid w:val="47609B0C"/>
    <w:rsid w:val="476BE0A5"/>
    <w:rsid w:val="47781312"/>
    <w:rsid w:val="4778937E"/>
    <w:rsid w:val="477B1F5D"/>
    <w:rsid w:val="477DD951"/>
    <w:rsid w:val="4781424F"/>
    <w:rsid w:val="47903F65"/>
    <w:rsid w:val="47994748"/>
    <w:rsid w:val="47A77632"/>
    <w:rsid w:val="47C5BBD6"/>
    <w:rsid w:val="47C68574"/>
    <w:rsid w:val="47CC40DC"/>
    <w:rsid w:val="47E9FAA3"/>
    <w:rsid w:val="47F161CB"/>
    <w:rsid w:val="47F9D836"/>
    <w:rsid w:val="47FD53C8"/>
    <w:rsid w:val="47FF6058"/>
    <w:rsid w:val="480876CB"/>
    <w:rsid w:val="482B5B9A"/>
    <w:rsid w:val="482C7ADC"/>
    <w:rsid w:val="4832387C"/>
    <w:rsid w:val="483C87F9"/>
    <w:rsid w:val="48478C1E"/>
    <w:rsid w:val="4848A570"/>
    <w:rsid w:val="484D2DA0"/>
    <w:rsid w:val="486194D3"/>
    <w:rsid w:val="48669023"/>
    <w:rsid w:val="4868D7D8"/>
    <w:rsid w:val="486E487B"/>
    <w:rsid w:val="487B26BF"/>
    <w:rsid w:val="487FFE41"/>
    <w:rsid w:val="489726F0"/>
    <w:rsid w:val="489C740A"/>
    <w:rsid w:val="48C955A5"/>
    <w:rsid w:val="48CD844F"/>
    <w:rsid w:val="48CDCAEA"/>
    <w:rsid w:val="48D25779"/>
    <w:rsid w:val="48D5C6DF"/>
    <w:rsid w:val="48DA874D"/>
    <w:rsid w:val="48E6AFA1"/>
    <w:rsid w:val="48E965A4"/>
    <w:rsid w:val="48F2C5B6"/>
    <w:rsid w:val="48F47A10"/>
    <w:rsid w:val="491379EF"/>
    <w:rsid w:val="4915C0CE"/>
    <w:rsid w:val="491FC338"/>
    <w:rsid w:val="49210716"/>
    <w:rsid w:val="49264EA9"/>
    <w:rsid w:val="49369EA7"/>
    <w:rsid w:val="493A22AC"/>
    <w:rsid w:val="494232F1"/>
    <w:rsid w:val="4945B888"/>
    <w:rsid w:val="495A0B15"/>
    <w:rsid w:val="495AB7BD"/>
    <w:rsid w:val="495D2773"/>
    <w:rsid w:val="496E8FC5"/>
    <w:rsid w:val="497CD37A"/>
    <w:rsid w:val="498D830C"/>
    <w:rsid w:val="498FB695"/>
    <w:rsid w:val="4999D63C"/>
    <w:rsid w:val="49A20B92"/>
    <w:rsid w:val="49B08B3C"/>
    <w:rsid w:val="49B22C43"/>
    <w:rsid w:val="49C0939B"/>
    <w:rsid w:val="49C49EE0"/>
    <w:rsid w:val="49C8ED88"/>
    <w:rsid w:val="49D1B560"/>
    <w:rsid w:val="49D94AB4"/>
    <w:rsid w:val="49DA678F"/>
    <w:rsid w:val="49DCB190"/>
    <w:rsid w:val="49DFA059"/>
    <w:rsid w:val="49E55504"/>
    <w:rsid w:val="4A03FFAE"/>
    <w:rsid w:val="4A0A6B1E"/>
    <w:rsid w:val="4A1A7A75"/>
    <w:rsid w:val="4A2B34A0"/>
    <w:rsid w:val="4A2C36D8"/>
    <w:rsid w:val="4A364A9C"/>
    <w:rsid w:val="4A3A5C8F"/>
    <w:rsid w:val="4A3F33CD"/>
    <w:rsid w:val="4A4B69DA"/>
    <w:rsid w:val="4A507E81"/>
    <w:rsid w:val="4A62453D"/>
    <w:rsid w:val="4A66D948"/>
    <w:rsid w:val="4A702710"/>
    <w:rsid w:val="4A7CB240"/>
    <w:rsid w:val="4A7CECC8"/>
    <w:rsid w:val="4A7F537E"/>
    <w:rsid w:val="4A8487C3"/>
    <w:rsid w:val="4A853605"/>
    <w:rsid w:val="4A9C76EF"/>
    <w:rsid w:val="4AA0EA81"/>
    <w:rsid w:val="4AAFDCD5"/>
    <w:rsid w:val="4AC5D52E"/>
    <w:rsid w:val="4AE60DDC"/>
    <w:rsid w:val="4AE6B806"/>
    <w:rsid w:val="4AFB42E3"/>
    <w:rsid w:val="4B053BEC"/>
    <w:rsid w:val="4B0C2F3E"/>
    <w:rsid w:val="4B13097F"/>
    <w:rsid w:val="4B1C0E8E"/>
    <w:rsid w:val="4B1C3B25"/>
    <w:rsid w:val="4B329985"/>
    <w:rsid w:val="4B35A69D"/>
    <w:rsid w:val="4B3ABDBE"/>
    <w:rsid w:val="4B41262A"/>
    <w:rsid w:val="4B44079F"/>
    <w:rsid w:val="4B551469"/>
    <w:rsid w:val="4B558D5E"/>
    <w:rsid w:val="4B577076"/>
    <w:rsid w:val="4B62A52F"/>
    <w:rsid w:val="4B650D60"/>
    <w:rsid w:val="4B68B9F8"/>
    <w:rsid w:val="4B6E5019"/>
    <w:rsid w:val="4B709BEB"/>
    <w:rsid w:val="4B717A04"/>
    <w:rsid w:val="4B8ED1CE"/>
    <w:rsid w:val="4B97E420"/>
    <w:rsid w:val="4BA48346"/>
    <w:rsid w:val="4BB3B7E7"/>
    <w:rsid w:val="4BC45AA1"/>
    <w:rsid w:val="4BD1289F"/>
    <w:rsid w:val="4BDC917B"/>
    <w:rsid w:val="4BE46EE0"/>
    <w:rsid w:val="4BE48DC4"/>
    <w:rsid w:val="4BE8B684"/>
    <w:rsid w:val="4BFCC7BC"/>
    <w:rsid w:val="4C0281E7"/>
    <w:rsid w:val="4C049B0E"/>
    <w:rsid w:val="4C04F473"/>
    <w:rsid w:val="4C068E80"/>
    <w:rsid w:val="4C128336"/>
    <w:rsid w:val="4C1EE6EA"/>
    <w:rsid w:val="4C260FE9"/>
    <w:rsid w:val="4C2C517A"/>
    <w:rsid w:val="4C370BA7"/>
    <w:rsid w:val="4C3A17FE"/>
    <w:rsid w:val="4C3E15A9"/>
    <w:rsid w:val="4C3E8016"/>
    <w:rsid w:val="4C43A405"/>
    <w:rsid w:val="4C43E6F6"/>
    <w:rsid w:val="4C461C5A"/>
    <w:rsid w:val="4C4C86A6"/>
    <w:rsid w:val="4C584DE8"/>
    <w:rsid w:val="4C63E7A9"/>
    <w:rsid w:val="4C68BD7C"/>
    <w:rsid w:val="4C7A2E2A"/>
    <w:rsid w:val="4C812346"/>
    <w:rsid w:val="4CA2AD6D"/>
    <w:rsid w:val="4CAD8884"/>
    <w:rsid w:val="4CADB13E"/>
    <w:rsid w:val="4CB420FC"/>
    <w:rsid w:val="4CBC5082"/>
    <w:rsid w:val="4CBC75AA"/>
    <w:rsid w:val="4CC6D5F2"/>
    <w:rsid w:val="4CCD3D86"/>
    <w:rsid w:val="4CCD91E3"/>
    <w:rsid w:val="4CDA70E5"/>
    <w:rsid w:val="4CE38E57"/>
    <w:rsid w:val="4CE6C3A2"/>
    <w:rsid w:val="4CE94F49"/>
    <w:rsid w:val="4CEC9675"/>
    <w:rsid w:val="4CF77366"/>
    <w:rsid w:val="4CFF7168"/>
    <w:rsid w:val="4D196EA6"/>
    <w:rsid w:val="4D20C7D6"/>
    <w:rsid w:val="4D2CC655"/>
    <w:rsid w:val="4D38C143"/>
    <w:rsid w:val="4D3BA404"/>
    <w:rsid w:val="4D46CC17"/>
    <w:rsid w:val="4D480512"/>
    <w:rsid w:val="4D54025B"/>
    <w:rsid w:val="4D74CE8D"/>
    <w:rsid w:val="4D7C51A1"/>
    <w:rsid w:val="4D8021E0"/>
    <w:rsid w:val="4DA13C0D"/>
    <w:rsid w:val="4DA71BF1"/>
    <w:rsid w:val="4DB3F612"/>
    <w:rsid w:val="4DCBBF9D"/>
    <w:rsid w:val="4DDBFC61"/>
    <w:rsid w:val="4DEA1CFD"/>
    <w:rsid w:val="4DEB6911"/>
    <w:rsid w:val="4DF7BBB3"/>
    <w:rsid w:val="4DF8CEC2"/>
    <w:rsid w:val="4E18FD8D"/>
    <w:rsid w:val="4E1D73E5"/>
    <w:rsid w:val="4E216AB1"/>
    <w:rsid w:val="4E311E38"/>
    <w:rsid w:val="4E3BC805"/>
    <w:rsid w:val="4E4DDD02"/>
    <w:rsid w:val="4E5320B3"/>
    <w:rsid w:val="4E534DA7"/>
    <w:rsid w:val="4E55B112"/>
    <w:rsid w:val="4E66AA55"/>
    <w:rsid w:val="4E6B27A5"/>
    <w:rsid w:val="4E70547D"/>
    <w:rsid w:val="4E7979BE"/>
    <w:rsid w:val="4E7C2508"/>
    <w:rsid w:val="4E7D8081"/>
    <w:rsid w:val="4E829403"/>
    <w:rsid w:val="4E8C155B"/>
    <w:rsid w:val="4E9E8A3F"/>
    <w:rsid w:val="4EA1F07A"/>
    <w:rsid w:val="4EA5DDE1"/>
    <w:rsid w:val="4EBC9EBC"/>
    <w:rsid w:val="4EC6C1A4"/>
    <w:rsid w:val="4ED9484C"/>
    <w:rsid w:val="4EE26196"/>
    <w:rsid w:val="4EE4F463"/>
    <w:rsid w:val="4EE911C6"/>
    <w:rsid w:val="4EF885D2"/>
    <w:rsid w:val="4EFDA7EA"/>
    <w:rsid w:val="4EFF1A47"/>
    <w:rsid w:val="4F027C90"/>
    <w:rsid w:val="4F0612FD"/>
    <w:rsid w:val="4F06CE32"/>
    <w:rsid w:val="4F14AD0B"/>
    <w:rsid w:val="4F1D4253"/>
    <w:rsid w:val="4F251D99"/>
    <w:rsid w:val="4F26C873"/>
    <w:rsid w:val="4F2BE46C"/>
    <w:rsid w:val="4F327031"/>
    <w:rsid w:val="4F454A02"/>
    <w:rsid w:val="4F476CB7"/>
    <w:rsid w:val="4F53B331"/>
    <w:rsid w:val="4F5BC387"/>
    <w:rsid w:val="4F5C10FF"/>
    <w:rsid w:val="4F5F188F"/>
    <w:rsid w:val="4F729D5D"/>
    <w:rsid w:val="4F73A883"/>
    <w:rsid w:val="4F7AB687"/>
    <w:rsid w:val="4F862BA6"/>
    <w:rsid w:val="4F872F2C"/>
    <w:rsid w:val="4F8C0640"/>
    <w:rsid w:val="4F8E572F"/>
    <w:rsid w:val="4F923CD0"/>
    <w:rsid w:val="4F93218E"/>
    <w:rsid w:val="4FAE530A"/>
    <w:rsid w:val="4FBF7E95"/>
    <w:rsid w:val="4FC2108D"/>
    <w:rsid w:val="4FC737B5"/>
    <w:rsid w:val="4FC7CE32"/>
    <w:rsid w:val="4FDE3A56"/>
    <w:rsid w:val="4FE28B87"/>
    <w:rsid w:val="5003E04E"/>
    <w:rsid w:val="5004DE48"/>
    <w:rsid w:val="5009B001"/>
    <w:rsid w:val="500A5CA9"/>
    <w:rsid w:val="500B8101"/>
    <w:rsid w:val="501ADD9C"/>
    <w:rsid w:val="501E6464"/>
    <w:rsid w:val="5026D372"/>
    <w:rsid w:val="5032B174"/>
    <w:rsid w:val="503B9CDB"/>
    <w:rsid w:val="504A02CB"/>
    <w:rsid w:val="504EA6F0"/>
    <w:rsid w:val="504EAFE6"/>
    <w:rsid w:val="505E76F8"/>
    <w:rsid w:val="506564E7"/>
    <w:rsid w:val="50662D21"/>
    <w:rsid w:val="5078B4D2"/>
    <w:rsid w:val="50835CE8"/>
    <w:rsid w:val="50934E68"/>
    <w:rsid w:val="509FAC81"/>
    <w:rsid w:val="50CB2BBB"/>
    <w:rsid w:val="50CDFC81"/>
    <w:rsid w:val="50CE5F58"/>
    <w:rsid w:val="50E9FB05"/>
    <w:rsid w:val="50EDE0E4"/>
    <w:rsid w:val="50F7D6C8"/>
    <w:rsid w:val="50FD72F4"/>
    <w:rsid w:val="50FE7FFD"/>
    <w:rsid w:val="510F364B"/>
    <w:rsid w:val="511163BC"/>
    <w:rsid w:val="5116D70F"/>
    <w:rsid w:val="511BED8B"/>
    <w:rsid w:val="51249159"/>
    <w:rsid w:val="512A2790"/>
    <w:rsid w:val="512D2FA1"/>
    <w:rsid w:val="513320FC"/>
    <w:rsid w:val="5138B4B4"/>
    <w:rsid w:val="513FEF5D"/>
    <w:rsid w:val="516C7DA0"/>
    <w:rsid w:val="5171CCFF"/>
    <w:rsid w:val="51758E62"/>
    <w:rsid w:val="517D2B97"/>
    <w:rsid w:val="517E651F"/>
    <w:rsid w:val="517F12EF"/>
    <w:rsid w:val="5188E230"/>
    <w:rsid w:val="5190376E"/>
    <w:rsid w:val="51972CAC"/>
    <w:rsid w:val="51A035F5"/>
    <w:rsid w:val="51B3183A"/>
    <w:rsid w:val="51B40EDD"/>
    <w:rsid w:val="51B93385"/>
    <w:rsid w:val="51C9832C"/>
    <w:rsid w:val="51CC5927"/>
    <w:rsid w:val="51D98E7E"/>
    <w:rsid w:val="51DB8CD9"/>
    <w:rsid w:val="51DE1BD9"/>
    <w:rsid w:val="51E66AE6"/>
    <w:rsid w:val="51E9047D"/>
    <w:rsid w:val="51E9C6D3"/>
    <w:rsid w:val="51EFEA30"/>
    <w:rsid w:val="520A8F1F"/>
    <w:rsid w:val="520FEF6A"/>
    <w:rsid w:val="52148987"/>
    <w:rsid w:val="52163D0D"/>
    <w:rsid w:val="521CE162"/>
    <w:rsid w:val="52225AFD"/>
    <w:rsid w:val="522948E4"/>
    <w:rsid w:val="5233B5E4"/>
    <w:rsid w:val="52445694"/>
    <w:rsid w:val="5260B57F"/>
    <w:rsid w:val="52663728"/>
    <w:rsid w:val="52AFE599"/>
    <w:rsid w:val="52BECE23"/>
    <w:rsid w:val="52CE09DB"/>
    <w:rsid w:val="52D791D9"/>
    <w:rsid w:val="52EE15D4"/>
    <w:rsid w:val="52EED2DF"/>
    <w:rsid w:val="52FAA997"/>
    <w:rsid w:val="53011F31"/>
    <w:rsid w:val="530470B3"/>
    <w:rsid w:val="530A0CF3"/>
    <w:rsid w:val="531796E7"/>
    <w:rsid w:val="532DAB43"/>
    <w:rsid w:val="532DD20E"/>
    <w:rsid w:val="532F50D8"/>
    <w:rsid w:val="533F8A5B"/>
    <w:rsid w:val="53442086"/>
    <w:rsid w:val="534DC6B7"/>
    <w:rsid w:val="5352BFD1"/>
    <w:rsid w:val="5357E099"/>
    <w:rsid w:val="535CA879"/>
    <w:rsid w:val="5365A778"/>
    <w:rsid w:val="53665C48"/>
    <w:rsid w:val="5366A773"/>
    <w:rsid w:val="536A7512"/>
    <w:rsid w:val="536FD9F5"/>
    <w:rsid w:val="537555E0"/>
    <w:rsid w:val="537BA9C0"/>
    <w:rsid w:val="5383F49F"/>
    <w:rsid w:val="538824D1"/>
    <w:rsid w:val="53AB0932"/>
    <w:rsid w:val="53BBFC39"/>
    <w:rsid w:val="53BD57FC"/>
    <w:rsid w:val="53C0403F"/>
    <w:rsid w:val="53C45DC1"/>
    <w:rsid w:val="53D5750B"/>
    <w:rsid w:val="53D97EA7"/>
    <w:rsid w:val="53DD4E59"/>
    <w:rsid w:val="53EF854F"/>
    <w:rsid w:val="53FF2C8F"/>
    <w:rsid w:val="5404C3A1"/>
    <w:rsid w:val="54131CB1"/>
    <w:rsid w:val="5418F6F4"/>
    <w:rsid w:val="541E6599"/>
    <w:rsid w:val="5427412E"/>
    <w:rsid w:val="5444237E"/>
    <w:rsid w:val="5458DEC9"/>
    <w:rsid w:val="545CA79A"/>
    <w:rsid w:val="5472DAE2"/>
    <w:rsid w:val="548A0A06"/>
    <w:rsid w:val="548E4C20"/>
    <w:rsid w:val="54984ECF"/>
    <w:rsid w:val="54A33073"/>
    <w:rsid w:val="54AE7365"/>
    <w:rsid w:val="54B4A8AF"/>
    <w:rsid w:val="54C0B4F3"/>
    <w:rsid w:val="54C0CF74"/>
    <w:rsid w:val="54C6DAEC"/>
    <w:rsid w:val="54CD3600"/>
    <w:rsid w:val="54D5666F"/>
    <w:rsid w:val="54DEDAFD"/>
    <w:rsid w:val="54ED216C"/>
    <w:rsid w:val="54EE9032"/>
    <w:rsid w:val="54F129EB"/>
    <w:rsid w:val="550159C5"/>
    <w:rsid w:val="5503FE29"/>
    <w:rsid w:val="55086E69"/>
    <w:rsid w:val="5508A2C7"/>
    <w:rsid w:val="550ACD2E"/>
    <w:rsid w:val="5517DD71"/>
    <w:rsid w:val="5518241F"/>
    <w:rsid w:val="5529E946"/>
    <w:rsid w:val="55370980"/>
    <w:rsid w:val="55381A09"/>
    <w:rsid w:val="554922FC"/>
    <w:rsid w:val="554D0B49"/>
    <w:rsid w:val="555AD1F3"/>
    <w:rsid w:val="556E3B29"/>
    <w:rsid w:val="557280E7"/>
    <w:rsid w:val="557471A9"/>
    <w:rsid w:val="55781E31"/>
    <w:rsid w:val="5578A88B"/>
    <w:rsid w:val="5582427F"/>
    <w:rsid w:val="55868F58"/>
    <w:rsid w:val="558E3EAC"/>
    <w:rsid w:val="5595BD28"/>
    <w:rsid w:val="55AD4510"/>
    <w:rsid w:val="55B1AAC7"/>
    <w:rsid w:val="55C99591"/>
    <w:rsid w:val="55DBE5C2"/>
    <w:rsid w:val="55DC1C27"/>
    <w:rsid w:val="55EA14EF"/>
    <w:rsid w:val="55F0CA0F"/>
    <w:rsid w:val="55F7B88D"/>
    <w:rsid w:val="5622A513"/>
    <w:rsid w:val="5623AE8D"/>
    <w:rsid w:val="562630AE"/>
    <w:rsid w:val="564BF41A"/>
    <w:rsid w:val="56549384"/>
    <w:rsid w:val="5662A1DA"/>
    <w:rsid w:val="56639B23"/>
    <w:rsid w:val="567EC2E3"/>
    <w:rsid w:val="5682973C"/>
    <w:rsid w:val="568ABCF9"/>
    <w:rsid w:val="568CCE77"/>
    <w:rsid w:val="56956C6B"/>
    <w:rsid w:val="56999ADB"/>
    <w:rsid w:val="569A8BD7"/>
    <w:rsid w:val="569BE5A3"/>
    <w:rsid w:val="56B1566D"/>
    <w:rsid w:val="56B4475C"/>
    <w:rsid w:val="56C02F98"/>
    <w:rsid w:val="56C64539"/>
    <w:rsid w:val="56C6B478"/>
    <w:rsid w:val="56CBCB0E"/>
    <w:rsid w:val="56F503F2"/>
    <w:rsid w:val="5706D477"/>
    <w:rsid w:val="570DFC8D"/>
    <w:rsid w:val="570EC914"/>
    <w:rsid w:val="5730A5BA"/>
    <w:rsid w:val="574BC8F9"/>
    <w:rsid w:val="5757D4FD"/>
    <w:rsid w:val="57661232"/>
    <w:rsid w:val="576D6120"/>
    <w:rsid w:val="57798C2B"/>
    <w:rsid w:val="577EB542"/>
    <w:rsid w:val="5787C8F7"/>
    <w:rsid w:val="578CA953"/>
    <w:rsid w:val="57A8ED65"/>
    <w:rsid w:val="57AAC97D"/>
    <w:rsid w:val="57AAE4A2"/>
    <w:rsid w:val="57B985E4"/>
    <w:rsid w:val="57BA067E"/>
    <w:rsid w:val="57CC70F8"/>
    <w:rsid w:val="57DD2F54"/>
    <w:rsid w:val="57EB6847"/>
    <w:rsid w:val="57F1DA10"/>
    <w:rsid w:val="57F30991"/>
    <w:rsid w:val="57FF45E4"/>
    <w:rsid w:val="580FCEE7"/>
    <w:rsid w:val="5817F81D"/>
    <w:rsid w:val="581F0A01"/>
    <w:rsid w:val="581FB8EB"/>
    <w:rsid w:val="5829401E"/>
    <w:rsid w:val="582DBD5C"/>
    <w:rsid w:val="58370AA6"/>
    <w:rsid w:val="5843F065"/>
    <w:rsid w:val="58468F77"/>
    <w:rsid w:val="585EF904"/>
    <w:rsid w:val="5865530C"/>
    <w:rsid w:val="586A90C7"/>
    <w:rsid w:val="5875D651"/>
    <w:rsid w:val="587BD8A6"/>
    <w:rsid w:val="587EBB95"/>
    <w:rsid w:val="5882A451"/>
    <w:rsid w:val="588933FF"/>
    <w:rsid w:val="588A61EB"/>
    <w:rsid w:val="58953438"/>
    <w:rsid w:val="58A6AAD0"/>
    <w:rsid w:val="58A6AFB0"/>
    <w:rsid w:val="58C6C38A"/>
    <w:rsid w:val="58E0992D"/>
    <w:rsid w:val="58E1389D"/>
    <w:rsid w:val="58E78BF4"/>
    <w:rsid w:val="58EA5220"/>
    <w:rsid w:val="5932B8E2"/>
    <w:rsid w:val="5970AEB6"/>
    <w:rsid w:val="5974F9EE"/>
    <w:rsid w:val="5986D4BA"/>
    <w:rsid w:val="598BFC22"/>
    <w:rsid w:val="598C3446"/>
    <w:rsid w:val="59A228AC"/>
    <w:rsid w:val="59D35F60"/>
    <w:rsid w:val="59D7779A"/>
    <w:rsid w:val="59E57C3E"/>
    <w:rsid w:val="59F9BB38"/>
    <w:rsid w:val="59FE3A46"/>
    <w:rsid w:val="5A24D28A"/>
    <w:rsid w:val="5A2A3309"/>
    <w:rsid w:val="5A2E5E3F"/>
    <w:rsid w:val="5A309532"/>
    <w:rsid w:val="5A41589C"/>
    <w:rsid w:val="5A44216A"/>
    <w:rsid w:val="5A47C985"/>
    <w:rsid w:val="5A514C08"/>
    <w:rsid w:val="5A5AEB4D"/>
    <w:rsid w:val="5A6CCDF6"/>
    <w:rsid w:val="5A70FDC9"/>
    <w:rsid w:val="5A819FF2"/>
    <w:rsid w:val="5A981A3A"/>
    <w:rsid w:val="5A99EA45"/>
    <w:rsid w:val="5AB2298C"/>
    <w:rsid w:val="5AB4DBF3"/>
    <w:rsid w:val="5AC93D09"/>
    <w:rsid w:val="5ACE70C0"/>
    <w:rsid w:val="5AE8A477"/>
    <w:rsid w:val="5AEE1D35"/>
    <w:rsid w:val="5AF20463"/>
    <w:rsid w:val="5AF4D439"/>
    <w:rsid w:val="5B1DC8B9"/>
    <w:rsid w:val="5B2F2E04"/>
    <w:rsid w:val="5B51A766"/>
    <w:rsid w:val="5B6BF5B4"/>
    <w:rsid w:val="5B771115"/>
    <w:rsid w:val="5B7C2EF8"/>
    <w:rsid w:val="5B84A03E"/>
    <w:rsid w:val="5BB72004"/>
    <w:rsid w:val="5BBD7195"/>
    <w:rsid w:val="5BBDE43B"/>
    <w:rsid w:val="5BBFC372"/>
    <w:rsid w:val="5BC000DB"/>
    <w:rsid w:val="5BCA4601"/>
    <w:rsid w:val="5BCD55D3"/>
    <w:rsid w:val="5BCFF73D"/>
    <w:rsid w:val="5BD34A1B"/>
    <w:rsid w:val="5BE3EE01"/>
    <w:rsid w:val="5BE7EA0F"/>
    <w:rsid w:val="5C060680"/>
    <w:rsid w:val="5C10B3EC"/>
    <w:rsid w:val="5C1BED48"/>
    <w:rsid w:val="5C1EED0E"/>
    <w:rsid w:val="5C21AE5D"/>
    <w:rsid w:val="5C265F97"/>
    <w:rsid w:val="5C2A4087"/>
    <w:rsid w:val="5C3EC4CB"/>
    <w:rsid w:val="5C576AEA"/>
    <w:rsid w:val="5C5A4AEA"/>
    <w:rsid w:val="5C5B7D51"/>
    <w:rsid w:val="5C5E98BF"/>
    <w:rsid w:val="5C6029E1"/>
    <w:rsid w:val="5C743823"/>
    <w:rsid w:val="5C7EC518"/>
    <w:rsid w:val="5C88EC76"/>
    <w:rsid w:val="5C8D467E"/>
    <w:rsid w:val="5C94EECD"/>
    <w:rsid w:val="5CA32D2B"/>
    <w:rsid w:val="5CADB725"/>
    <w:rsid w:val="5CAE7096"/>
    <w:rsid w:val="5CBD385D"/>
    <w:rsid w:val="5CD0DE9A"/>
    <w:rsid w:val="5CEE383C"/>
    <w:rsid w:val="5CF002EE"/>
    <w:rsid w:val="5CF00E81"/>
    <w:rsid w:val="5CF9CF0C"/>
    <w:rsid w:val="5D05181E"/>
    <w:rsid w:val="5D250A9C"/>
    <w:rsid w:val="5D2B3928"/>
    <w:rsid w:val="5D2E165D"/>
    <w:rsid w:val="5D34B39E"/>
    <w:rsid w:val="5D35ABCA"/>
    <w:rsid w:val="5D3A8801"/>
    <w:rsid w:val="5D3B68F9"/>
    <w:rsid w:val="5D525BCB"/>
    <w:rsid w:val="5D53D91E"/>
    <w:rsid w:val="5D631024"/>
    <w:rsid w:val="5D67C9F6"/>
    <w:rsid w:val="5D6A22B4"/>
    <w:rsid w:val="5D6C30DC"/>
    <w:rsid w:val="5D6E9E67"/>
    <w:rsid w:val="5D760E7C"/>
    <w:rsid w:val="5D7B7A5A"/>
    <w:rsid w:val="5D7D1FB1"/>
    <w:rsid w:val="5D8178B0"/>
    <w:rsid w:val="5D9DFE06"/>
    <w:rsid w:val="5DA269A7"/>
    <w:rsid w:val="5DBA9CC0"/>
    <w:rsid w:val="5DBB6524"/>
    <w:rsid w:val="5DC38FDB"/>
    <w:rsid w:val="5DC78864"/>
    <w:rsid w:val="5DC7E971"/>
    <w:rsid w:val="5DD30365"/>
    <w:rsid w:val="5DD9E01D"/>
    <w:rsid w:val="5DDD002B"/>
    <w:rsid w:val="5DE17394"/>
    <w:rsid w:val="5DE698B2"/>
    <w:rsid w:val="5DE8CE2F"/>
    <w:rsid w:val="5DF2B3F3"/>
    <w:rsid w:val="5E038D9F"/>
    <w:rsid w:val="5E0E7116"/>
    <w:rsid w:val="5E1B41AB"/>
    <w:rsid w:val="5E237A70"/>
    <w:rsid w:val="5E28FC27"/>
    <w:rsid w:val="5E2FFB51"/>
    <w:rsid w:val="5E32906D"/>
    <w:rsid w:val="5E47B839"/>
    <w:rsid w:val="5E605203"/>
    <w:rsid w:val="5E6CAB84"/>
    <w:rsid w:val="5E6CE976"/>
    <w:rsid w:val="5E6D38ED"/>
    <w:rsid w:val="5E704E0D"/>
    <w:rsid w:val="5E7552FF"/>
    <w:rsid w:val="5E82F53D"/>
    <w:rsid w:val="5E8C4389"/>
    <w:rsid w:val="5E9099ED"/>
    <w:rsid w:val="5E97BD1A"/>
    <w:rsid w:val="5E9A6940"/>
    <w:rsid w:val="5E9BD847"/>
    <w:rsid w:val="5EC00378"/>
    <w:rsid w:val="5EC00D1A"/>
    <w:rsid w:val="5EC4D70C"/>
    <w:rsid w:val="5EC8A04A"/>
    <w:rsid w:val="5EDF84C9"/>
    <w:rsid w:val="5EE4BD04"/>
    <w:rsid w:val="5EE762E5"/>
    <w:rsid w:val="5EEA5031"/>
    <w:rsid w:val="5EFF45EC"/>
    <w:rsid w:val="5F01E6C3"/>
    <w:rsid w:val="5F058D0D"/>
    <w:rsid w:val="5F0AEE71"/>
    <w:rsid w:val="5F0E57B1"/>
    <w:rsid w:val="5F16731A"/>
    <w:rsid w:val="5F1A3DC0"/>
    <w:rsid w:val="5F298B35"/>
    <w:rsid w:val="5F340C8A"/>
    <w:rsid w:val="5F3B4635"/>
    <w:rsid w:val="5F521537"/>
    <w:rsid w:val="5F5C4092"/>
    <w:rsid w:val="5F7F1AB5"/>
    <w:rsid w:val="5F804020"/>
    <w:rsid w:val="5F95C41E"/>
    <w:rsid w:val="5FA04683"/>
    <w:rsid w:val="5FAA3825"/>
    <w:rsid w:val="5FB094F2"/>
    <w:rsid w:val="5FB6A7FE"/>
    <w:rsid w:val="5FB86C81"/>
    <w:rsid w:val="5FBC0788"/>
    <w:rsid w:val="5FD0A89C"/>
    <w:rsid w:val="5FEBDE22"/>
    <w:rsid w:val="5FEC2381"/>
    <w:rsid w:val="5FF0D790"/>
    <w:rsid w:val="5FF1FEC4"/>
    <w:rsid w:val="5FF2B721"/>
    <w:rsid w:val="5FF441A7"/>
    <w:rsid w:val="6002C85B"/>
    <w:rsid w:val="60297982"/>
    <w:rsid w:val="602BA36D"/>
    <w:rsid w:val="602D8433"/>
    <w:rsid w:val="603EF20B"/>
    <w:rsid w:val="60450AF5"/>
    <w:rsid w:val="60494B38"/>
    <w:rsid w:val="60499811"/>
    <w:rsid w:val="60509728"/>
    <w:rsid w:val="60541966"/>
    <w:rsid w:val="605FDED2"/>
    <w:rsid w:val="606E7071"/>
    <w:rsid w:val="60738B0B"/>
    <w:rsid w:val="6073969E"/>
    <w:rsid w:val="607CF5FD"/>
    <w:rsid w:val="608808C3"/>
    <w:rsid w:val="608956B7"/>
    <w:rsid w:val="608CAC0A"/>
    <w:rsid w:val="60970CFA"/>
    <w:rsid w:val="609A196E"/>
    <w:rsid w:val="60A280A1"/>
    <w:rsid w:val="60B2F9D2"/>
    <w:rsid w:val="60D186F0"/>
    <w:rsid w:val="60D5B4D5"/>
    <w:rsid w:val="60DD7F27"/>
    <w:rsid w:val="60F84908"/>
    <w:rsid w:val="60FA4973"/>
    <w:rsid w:val="610A0514"/>
    <w:rsid w:val="6121C8F9"/>
    <w:rsid w:val="6125F90F"/>
    <w:rsid w:val="61299738"/>
    <w:rsid w:val="614C2D70"/>
    <w:rsid w:val="615C4732"/>
    <w:rsid w:val="616CCAF6"/>
    <w:rsid w:val="61731EE4"/>
    <w:rsid w:val="61776B00"/>
    <w:rsid w:val="617A59D5"/>
    <w:rsid w:val="617BE0F7"/>
    <w:rsid w:val="6183F3CC"/>
    <w:rsid w:val="61A69391"/>
    <w:rsid w:val="61A86FD7"/>
    <w:rsid w:val="61BDFBA7"/>
    <w:rsid w:val="61CDEEC6"/>
    <w:rsid w:val="61D9117E"/>
    <w:rsid w:val="61D9CD37"/>
    <w:rsid w:val="61E5309F"/>
    <w:rsid w:val="61E6769F"/>
    <w:rsid w:val="61F43F60"/>
    <w:rsid w:val="6215E417"/>
    <w:rsid w:val="62205F28"/>
    <w:rsid w:val="62337C49"/>
    <w:rsid w:val="623F5D27"/>
    <w:rsid w:val="624242A3"/>
    <w:rsid w:val="624D61EF"/>
    <w:rsid w:val="6257C712"/>
    <w:rsid w:val="6265CA9B"/>
    <w:rsid w:val="6268A7F3"/>
    <w:rsid w:val="627F9A90"/>
    <w:rsid w:val="6280C7CF"/>
    <w:rsid w:val="62A0383C"/>
    <w:rsid w:val="62AAD2F6"/>
    <w:rsid w:val="62BFF43A"/>
    <w:rsid w:val="62C23D1C"/>
    <w:rsid w:val="62C6A729"/>
    <w:rsid w:val="62C6F0DB"/>
    <w:rsid w:val="62C9AE88"/>
    <w:rsid w:val="62CEA64F"/>
    <w:rsid w:val="62D198C7"/>
    <w:rsid w:val="62D76625"/>
    <w:rsid w:val="6308ABB6"/>
    <w:rsid w:val="630F06F9"/>
    <w:rsid w:val="630FC1F3"/>
    <w:rsid w:val="632534B6"/>
    <w:rsid w:val="63256C2E"/>
    <w:rsid w:val="6327E4DD"/>
    <w:rsid w:val="633D23D8"/>
    <w:rsid w:val="634010AA"/>
    <w:rsid w:val="634561EE"/>
    <w:rsid w:val="6349443E"/>
    <w:rsid w:val="6370D121"/>
    <w:rsid w:val="6375DD19"/>
    <w:rsid w:val="6380A6E3"/>
    <w:rsid w:val="638FE4FB"/>
    <w:rsid w:val="63A60BFB"/>
    <w:rsid w:val="63AAF9F7"/>
    <w:rsid w:val="63C6F525"/>
    <w:rsid w:val="63C7FE6A"/>
    <w:rsid w:val="63CB7EAD"/>
    <w:rsid w:val="63D9D397"/>
    <w:rsid w:val="63DB523B"/>
    <w:rsid w:val="63DDC488"/>
    <w:rsid w:val="63EDCFC3"/>
    <w:rsid w:val="63F0D6DA"/>
    <w:rsid w:val="63F6A660"/>
    <w:rsid w:val="63FAC252"/>
    <w:rsid w:val="63FF41EE"/>
    <w:rsid w:val="64157F61"/>
    <w:rsid w:val="641ACA22"/>
    <w:rsid w:val="64236E9A"/>
    <w:rsid w:val="642567D3"/>
    <w:rsid w:val="642A9147"/>
    <w:rsid w:val="6432D15F"/>
    <w:rsid w:val="643D4EF0"/>
    <w:rsid w:val="6441A550"/>
    <w:rsid w:val="6446C386"/>
    <w:rsid w:val="6457DC88"/>
    <w:rsid w:val="6458B3A6"/>
    <w:rsid w:val="6458F9B2"/>
    <w:rsid w:val="645CA68E"/>
    <w:rsid w:val="648C8988"/>
    <w:rsid w:val="648F4278"/>
    <w:rsid w:val="64A7E2FD"/>
    <w:rsid w:val="64B77953"/>
    <w:rsid w:val="64B8AE95"/>
    <w:rsid w:val="64CEE6ED"/>
    <w:rsid w:val="64F8ED3C"/>
    <w:rsid w:val="64FAFFA3"/>
    <w:rsid w:val="64FB5E55"/>
    <w:rsid w:val="64FD57D4"/>
    <w:rsid w:val="65045CD0"/>
    <w:rsid w:val="6512A454"/>
    <w:rsid w:val="651595A7"/>
    <w:rsid w:val="651CA9D2"/>
    <w:rsid w:val="651D5BD1"/>
    <w:rsid w:val="65259F45"/>
    <w:rsid w:val="652AA080"/>
    <w:rsid w:val="652EA217"/>
    <w:rsid w:val="6535CCA6"/>
    <w:rsid w:val="6540558A"/>
    <w:rsid w:val="6541E1E5"/>
    <w:rsid w:val="65434217"/>
    <w:rsid w:val="65456CA8"/>
    <w:rsid w:val="6549F186"/>
    <w:rsid w:val="654CE85A"/>
    <w:rsid w:val="6565CEE9"/>
    <w:rsid w:val="6581250A"/>
    <w:rsid w:val="658BF31D"/>
    <w:rsid w:val="659C4D88"/>
    <w:rsid w:val="659D917F"/>
    <w:rsid w:val="65A4C4FF"/>
    <w:rsid w:val="65A4DE2C"/>
    <w:rsid w:val="65B259B9"/>
    <w:rsid w:val="65B638C6"/>
    <w:rsid w:val="65DF3B1E"/>
    <w:rsid w:val="65E41289"/>
    <w:rsid w:val="65EB5660"/>
    <w:rsid w:val="6603C717"/>
    <w:rsid w:val="660C0AD4"/>
    <w:rsid w:val="66133B1A"/>
    <w:rsid w:val="66181A44"/>
    <w:rsid w:val="6618CAC0"/>
    <w:rsid w:val="661E5A66"/>
    <w:rsid w:val="662819D3"/>
    <w:rsid w:val="66409289"/>
    <w:rsid w:val="6647AD82"/>
    <w:rsid w:val="664B88F2"/>
    <w:rsid w:val="6656755C"/>
    <w:rsid w:val="66647674"/>
    <w:rsid w:val="666AB74E"/>
    <w:rsid w:val="6680572A"/>
    <w:rsid w:val="6691B195"/>
    <w:rsid w:val="66989F05"/>
    <w:rsid w:val="66A7C73B"/>
    <w:rsid w:val="66AB8E44"/>
    <w:rsid w:val="66BA1A93"/>
    <w:rsid w:val="66C281F0"/>
    <w:rsid w:val="66CED5BA"/>
    <w:rsid w:val="66D33BA7"/>
    <w:rsid w:val="66DC2B7F"/>
    <w:rsid w:val="66DE64DA"/>
    <w:rsid w:val="66EC0637"/>
    <w:rsid w:val="66F1FD37"/>
    <w:rsid w:val="66F2E8DB"/>
    <w:rsid w:val="66F3FF02"/>
    <w:rsid w:val="66FB56F9"/>
    <w:rsid w:val="66FBCD0B"/>
    <w:rsid w:val="6719A296"/>
    <w:rsid w:val="671CE296"/>
    <w:rsid w:val="67307004"/>
    <w:rsid w:val="6746BD7D"/>
    <w:rsid w:val="674D44AF"/>
    <w:rsid w:val="67614CA5"/>
    <w:rsid w:val="6764DE2C"/>
    <w:rsid w:val="676648CA"/>
    <w:rsid w:val="676D2D79"/>
    <w:rsid w:val="6776B65C"/>
    <w:rsid w:val="67849CBC"/>
    <w:rsid w:val="67852414"/>
    <w:rsid w:val="678CB08C"/>
    <w:rsid w:val="678CFE91"/>
    <w:rsid w:val="679AC207"/>
    <w:rsid w:val="679D656D"/>
    <w:rsid w:val="67B46A8E"/>
    <w:rsid w:val="67BB349B"/>
    <w:rsid w:val="67C13412"/>
    <w:rsid w:val="67C99454"/>
    <w:rsid w:val="67CC6A11"/>
    <w:rsid w:val="67DA7566"/>
    <w:rsid w:val="67DAF038"/>
    <w:rsid w:val="67F70CF2"/>
    <w:rsid w:val="67FE5E8E"/>
    <w:rsid w:val="68174CF9"/>
    <w:rsid w:val="681DCE26"/>
    <w:rsid w:val="682019F8"/>
    <w:rsid w:val="682B61CE"/>
    <w:rsid w:val="682F1395"/>
    <w:rsid w:val="682FB412"/>
    <w:rsid w:val="683B4902"/>
    <w:rsid w:val="68420337"/>
    <w:rsid w:val="6844D282"/>
    <w:rsid w:val="6856E713"/>
    <w:rsid w:val="68586327"/>
    <w:rsid w:val="685B7430"/>
    <w:rsid w:val="686F7C59"/>
    <w:rsid w:val="6872FE45"/>
    <w:rsid w:val="687A7235"/>
    <w:rsid w:val="687FFA21"/>
    <w:rsid w:val="68807177"/>
    <w:rsid w:val="68812DA1"/>
    <w:rsid w:val="689D0FE3"/>
    <w:rsid w:val="68A0D97A"/>
    <w:rsid w:val="68AA6188"/>
    <w:rsid w:val="68AD44BA"/>
    <w:rsid w:val="68AECD33"/>
    <w:rsid w:val="68BA95B3"/>
    <w:rsid w:val="68BB2CF0"/>
    <w:rsid w:val="68C3D61A"/>
    <w:rsid w:val="68C7889E"/>
    <w:rsid w:val="68CC1A4D"/>
    <w:rsid w:val="68CE8BED"/>
    <w:rsid w:val="68CFAB00"/>
    <w:rsid w:val="68DCA7D3"/>
    <w:rsid w:val="68E2773D"/>
    <w:rsid w:val="68EB8E80"/>
    <w:rsid w:val="6901B708"/>
    <w:rsid w:val="69100BB5"/>
    <w:rsid w:val="6910ABB0"/>
    <w:rsid w:val="691816AD"/>
    <w:rsid w:val="691BA238"/>
    <w:rsid w:val="692A576D"/>
    <w:rsid w:val="693A3654"/>
    <w:rsid w:val="69431BD4"/>
    <w:rsid w:val="69480ED4"/>
    <w:rsid w:val="6962DC52"/>
    <w:rsid w:val="69651683"/>
    <w:rsid w:val="697FFC0C"/>
    <w:rsid w:val="69829922"/>
    <w:rsid w:val="698A524C"/>
    <w:rsid w:val="698D8F32"/>
    <w:rsid w:val="69996918"/>
    <w:rsid w:val="699E06C1"/>
    <w:rsid w:val="69B143F7"/>
    <w:rsid w:val="69B64849"/>
    <w:rsid w:val="69BB806D"/>
    <w:rsid w:val="69EE8BEC"/>
    <w:rsid w:val="69F7D674"/>
    <w:rsid w:val="69FAA5C1"/>
    <w:rsid w:val="6A048921"/>
    <w:rsid w:val="6A08EA79"/>
    <w:rsid w:val="6A0EF4F1"/>
    <w:rsid w:val="6A332E91"/>
    <w:rsid w:val="6A36AD89"/>
    <w:rsid w:val="6A38669E"/>
    <w:rsid w:val="6A3CAF58"/>
    <w:rsid w:val="6A465984"/>
    <w:rsid w:val="6A49151B"/>
    <w:rsid w:val="6A51F319"/>
    <w:rsid w:val="6A535F00"/>
    <w:rsid w:val="6A60907D"/>
    <w:rsid w:val="6A6CB933"/>
    <w:rsid w:val="6A6DA299"/>
    <w:rsid w:val="6A737DA1"/>
    <w:rsid w:val="6A77366F"/>
    <w:rsid w:val="6A7A2034"/>
    <w:rsid w:val="6A7E8C4C"/>
    <w:rsid w:val="6A9B5BD4"/>
    <w:rsid w:val="6AA037E2"/>
    <w:rsid w:val="6AA0A118"/>
    <w:rsid w:val="6AA0B089"/>
    <w:rsid w:val="6AA45E15"/>
    <w:rsid w:val="6AB1B022"/>
    <w:rsid w:val="6AC1F5D9"/>
    <w:rsid w:val="6AC72AEC"/>
    <w:rsid w:val="6ACDFCAA"/>
    <w:rsid w:val="6ADF2459"/>
    <w:rsid w:val="6AE10F5B"/>
    <w:rsid w:val="6AE91F4D"/>
    <w:rsid w:val="6AFFCA8B"/>
    <w:rsid w:val="6B019C68"/>
    <w:rsid w:val="6B122C53"/>
    <w:rsid w:val="6B13D041"/>
    <w:rsid w:val="6B1D3FA8"/>
    <w:rsid w:val="6B2472B3"/>
    <w:rsid w:val="6B3BC53E"/>
    <w:rsid w:val="6B50484A"/>
    <w:rsid w:val="6B55140A"/>
    <w:rsid w:val="6B6271B8"/>
    <w:rsid w:val="6B66B1F5"/>
    <w:rsid w:val="6B6B2D07"/>
    <w:rsid w:val="6B75B34E"/>
    <w:rsid w:val="6B7F9053"/>
    <w:rsid w:val="6B8C11DE"/>
    <w:rsid w:val="6B96C200"/>
    <w:rsid w:val="6B9BC022"/>
    <w:rsid w:val="6BA8F47B"/>
    <w:rsid w:val="6BAD9D8B"/>
    <w:rsid w:val="6BB2965F"/>
    <w:rsid w:val="6BBB68B1"/>
    <w:rsid w:val="6BD15A03"/>
    <w:rsid w:val="6BD28312"/>
    <w:rsid w:val="6BE110C0"/>
    <w:rsid w:val="6BE62B59"/>
    <w:rsid w:val="6BEE6F16"/>
    <w:rsid w:val="6BF7E64E"/>
    <w:rsid w:val="6BF9F4B8"/>
    <w:rsid w:val="6BFB8DFD"/>
    <w:rsid w:val="6C226DC7"/>
    <w:rsid w:val="6C2C8E97"/>
    <w:rsid w:val="6C2C9A64"/>
    <w:rsid w:val="6C384F4F"/>
    <w:rsid w:val="6C3DB880"/>
    <w:rsid w:val="6C50F7D4"/>
    <w:rsid w:val="6C6A5D7B"/>
    <w:rsid w:val="6C81807F"/>
    <w:rsid w:val="6C8F4940"/>
    <w:rsid w:val="6C974257"/>
    <w:rsid w:val="6C983D7D"/>
    <w:rsid w:val="6C9C549D"/>
    <w:rsid w:val="6C9ED7DD"/>
    <w:rsid w:val="6CA1D6B1"/>
    <w:rsid w:val="6CBF045C"/>
    <w:rsid w:val="6CC5CD45"/>
    <w:rsid w:val="6CC94B50"/>
    <w:rsid w:val="6CD7ABC3"/>
    <w:rsid w:val="6CDACC37"/>
    <w:rsid w:val="6CF303C3"/>
    <w:rsid w:val="6CF7C55F"/>
    <w:rsid w:val="6CF90DA5"/>
    <w:rsid w:val="6CFE8B0A"/>
    <w:rsid w:val="6D01074C"/>
    <w:rsid w:val="6D02196A"/>
    <w:rsid w:val="6D1A506C"/>
    <w:rsid w:val="6D25FAD9"/>
    <w:rsid w:val="6D2BAA77"/>
    <w:rsid w:val="6D2FC60B"/>
    <w:rsid w:val="6D34A070"/>
    <w:rsid w:val="6D374AA7"/>
    <w:rsid w:val="6D4B3023"/>
    <w:rsid w:val="6D5BABD6"/>
    <w:rsid w:val="6D61F3B7"/>
    <w:rsid w:val="6D62C099"/>
    <w:rsid w:val="6D75BE44"/>
    <w:rsid w:val="6D7E4CDF"/>
    <w:rsid w:val="6D80B5DD"/>
    <w:rsid w:val="6D8CBAA2"/>
    <w:rsid w:val="6D8D875B"/>
    <w:rsid w:val="6D94C4C3"/>
    <w:rsid w:val="6D97F7CE"/>
    <w:rsid w:val="6DA29488"/>
    <w:rsid w:val="6DA3C17F"/>
    <w:rsid w:val="6DAC5E8C"/>
    <w:rsid w:val="6DB2FDB7"/>
    <w:rsid w:val="6DBC6570"/>
    <w:rsid w:val="6DBF7A90"/>
    <w:rsid w:val="6DDBC333"/>
    <w:rsid w:val="6DDDE2C2"/>
    <w:rsid w:val="6DE0D0B8"/>
    <w:rsid w:val="6DE23279"/>
    <w:rsid w:val="6DEDA5CC"/>
    <w:rsid w:val="6E096E79"/>
    <w:rsid w:val="6E16211D"/>
    <w:rsid w:val="6E1933E4"/>
    <w:rsid w:val="6E2333DD"/>
    <w:rsid w:val="6E2F38DB"/>
    <w:rsid w:val="6E34D4E4"/>
    <w:rsid w:val="6E608167"/>
    <w:rsid w:val="6E704F3D"/>
    <w:rsid w:val="6E77215C"/>
    <w:rsid w:val="6E79AB3F"/>
    <w:rsid w:val="6E8EF190"/>
    <w:rsid w:val="6E961DA6"/>
    <w:rsid w:val="6EC06620"/>
    <w:rsid w:val="6EC2B1F2"/>
    <w:rsid w:val="6EC63109"/>
    <w:rsid w:val="6EDA308D"/>
    <w:rsid w:val="6EDCD1B8"/>
    <w:rsid w:val="6EDF758E"/>
    <w:rsid w:val="6EE56E6D"/>
    <w:rsid w:val="6EF1F729"/>
    <w:rsid w:val="6EF2345D"/>
    <w:rsid w:val="6EF7DE5C"/>
    <w:rsid w:val="6F03AC38"/>
    <w:rsid w:val="6F0EFD78"/>
    <w:rsid w:val="6F2330A7"/>
    <w:rsid w:val="6F27032F"/>
    <w:rsid w:val="6F30349A"/>
    <w:rsid w:val="6F3087A5"/>
    <w:rsid w:val="6F34DA90"/>
    <w:rsid w:val="6F3B51CE"/>
    <w:rsid w:val="6F3D7537"/>
    <w:rsid w:val="6F4BA788"/>
    <w:rsid w:val="6F4C6A0E"/>
    <w:rsid w:val="6F4F8126"/>
    <w:rsid w:val="6F6616A9"/>
    <w:rsid w:val="6F6CC009"/>
    <w:rsid w:val="6F761986"/>
    <w:rsid w:val="6F76DC64"/>
    <w:rsid w:val="6F95FCFD"/>
    <w:rsid w:val="6F9ECAEF"/>
    <w:rsid w:val="6FB6F29D"/>
    <w:rsid w:val="6FC9459B"/>
    <w:rsid w:val="6FCA6EAC"/>
    <w:rsid w:val="6FCA7054"/>
    <w:rsid w:val="6FCC1339"/>
    <w:rsid w:val="6FCD201B"/>
    <w:rsid w:val="6FDA47E5"/>
    <w:rsid w:val="6FDD860D"/>
    <w:rsid w:val="6FE11F19"/>
    <w:rsid w:val="6FE439B8"/>
    <w:rsid w:val="6FF5615C"/>
    <w:rsid w:val="6FF68FC0"/>
    <w:rsid w:val="6FF76387"/>
    <w:rsid w:val="7007F67E"/>
    <w:rsid w:val="7008C742"/>
    <w:rsid w:val="701695AD"/>
    <w:rsid w:val="701CF6F0"/>
    <w:rsid w:val="7024CC37"/>
    <w:rsid w:val="70314575"/>
    <w:rsid w:val="70462C3E"/>
    <w:rsid w:val="704F6178"/>
    <w:rsid w:val="7065E060"/>
    <w:rsid w:val="706CC8CD"/>
    <w:rsid w:val="708070F9"/>
    <w:rsid w:val="7089716C"/>
    <w:rsid w:val="709A2056"/>
    <w:rsid w:val="70A3903F"/>
    <w:rsid w:val="70B01F93"/>
    <w:rsid w:val="70CAE5C2"/>
    <w:rsid w:val="70D0F811"/>
    <w:rsid w:val="70D47C0B"/>
    <w:rsid w:val="70DCB9A3"/>
    <w:rsid w:val="70F35214"/>
    <w:rsid w:val="70F919AF"/>
    <w:rsid w:val="71098B73"/>
    <w:rsid w:val="71127956"/>
    <w:rsid w:val="7115D25A"/>
    <w:rsid w:val="711E454A"/>
    <w:rsid w:val="711F890B"/>
    <w:rsid w:val="7130D466"/>
    <w:rsid w:val="7130EA4F"/>
    <w:rsid w:val="713DC63D"/>
    <w:rsid w:val="714919EE"/>
    <w:rsid w:val="71613D75"/>
    <w:rsid w:val="717182B3"/>
    <w:rsid w:val="71A0469D"/>
    <w:rsid w:val="71AA422A"/>
    <w:rsid w:val="71BDCFF2"/>
    <w:rsid w:val="71C380A4"/>
    <w:rsid w:val="71D173AD"/>
    <w:rsid w:val="71D9321C"/>
    <w:rsid w:val="71DD0805"/>
    <w:rsid w:val="71E38E7D"/>
    <w:rsid w:val="71EE75B2"/>
    <w:rsid w:val="71F0D2AB"/>
    <w:rsid w:val="71F6BC47"/>
    <w:rsid w:val="7200C2FB"/>
    <w:rsid w:val="72034739"/>
    <w:rsid w:val="7207DFB8"/>
    <w:rsid w:val="7239FCAB"/>
    <w:rsid w:val="72469FB1"/>
    <w:rsid w:val="7248EB3E"/>
    <w:rsid w:val="724E5325"/>
    <w:rsid w:val="724E614A"/>
    <w:rsid w:val="725FF994"/>
    <w:rsid w:val="7263777E"/>
    <w:rsid w:val="726886C1"/>
    <w:rsid w:val="72736A62"/>
    <w:rsid w:val="7273D3DB"/>
    <w:rsid w:val="727413E8"/>
    <w:rsid w:val="727733A0"/>
    <w:rsid w:val="7288E52C"/>
    <w:rsid w:val="728E1432"/>
    <w:rsid w:val="72961E7E"/>
    <w:rsid w:val="729870C1"/>
    <w:rsid w:val="72A27CC8"/>
    <w:rsid w:val="72B5E2AE"/>
    <w:rsid w:val="72BAD2C2"/>
    <w:rsid w:val="72BC9807"/>
    <w:rsid w:val="72BDB38E"/>
    <w:rsid w:val="72E6E077"/>
    <w:rsid w:val="72E9E1A1"/>
    <w:rsid w:val="72F3AAD5"/>
    <w:rsid w:val="72F5DF08"/>
    <w:rsid w:val="72FE1330"/>
    <w:rsid w:val="730B0D99"/>
    <w:rsid w:val="731524A5"/>
    <w:rsid w:val="7316287D"/>
    <w:rsid w:val="73188373"/>
    <w:rsid w:val="7318AB37"/>
    <w:rsid w:val="731FCC24"/>
    <w:rsid w:val="73267064"/>
    <w:rsid w:val="732FD24B"/>
    <w:rsid w:val="7340A56D"/>
    <w:rsid w:val="7340D8A9"/>
    <w:rsid w:val="734FAF02"/>
    <w:rsid w:val="735D9708"/>
    <w:rsid w:val="7365D500"/>
    <w:rsid w:val="736E4DB7"/>
    <w:rsid w:val="737BE23B"/>
    <w:rsid w:val="7381A04D"/>
    <w:rsid w:val="73A28DF7"/>
    <w:rsid w:val="73AE1234"/>
    <w:rsid w:val="73B94CE1"/>
    <w:rsid w:val="73BBEEA5"/>
    <w:rsid w:val="73BF1885"/>
    <w:rsid w:val="73E4AB41"/>
    <w:rsid w:val="73E88060"/>
    <w:rsid w:val="73E914A5"/>
    <w:rsid w:val="73F49921"/>
    <w:rsid w:val="73FA7730"/>
    <w:rsid w:val="740880BC"/>
    <w:rsid w:val="74088FFD"/>
    <w:rsid w:val="740BFC8F"/>
    <w:rsid w:val="74169BEF"/>
    <w:rsid w:val="743DA49E"/>
    <w:rsid w:val="74418E5A"/>
    <w:rsid w:val="744954A1"/>
    <w:rsid w:val="74495FEF"/>
    <w:rsid w:val="744D88BF"/>
    <w:rsid w:val="745F97D5"/>
    <w:rsid w:val="74706103"/>
    <w:rsid w:val="7479B99C"/>
    <w:rsid w:val="74869C8F"/>
    <w:rsid w:val="74A3C46F"/>
    <w:rsid w:val="74A983FF"/>
    <w:rsid w:val="74C4D670"/>
    <w:rsid w:val="74CCB5BF"/>
    <w:rsid w:val="74CE252E"/>
    <w:rsid w:val="74D48B7A"/>
    <w:rsid w:val="74D6DFF5"/>
    <w:rsid w:val="74E24D75"/>
    <w:rsid w:val="74F4B5AD"/>
    <w:rsid w:val="74F95075"/>
    <w:rsid w:val="74FB0F13"/>
    <w:rsid w:val="75037E3A"/>
    <w:rsid w:val="75064DF2"/>
    <w:rsid w:val="7519A770"/>
    <w:rsid w:val="751B9933"/>
    <w:rsid w:val="752181E7"/>
    <w:rsid w:val="75261674"/>
    <w:rsid w:val="7528FDA5"/>
    <w:rsid w:val="75351438"/>
    <w:rsid w:val="7538B20C"/>
    <w:rsid w:val="753AE7FB"/>
    <w:rsid w:val="754D89D7"/>
    <w:rsid w:val="7550AF0D"/>
    <w:rsid w:val="75516949"/>
    <w:rsid w:val="7563FD36"/>
    <w:rsid w:val="75662643"/>
    <w:rsid w:val="756CA282"/>
    <w:rsid w:val="7570442B"/>
    <w:rsid w:val="7572BC80"/>
    <w:rsid w:val="7583ED71"/>
    <w:rsid w:val="758F9B64"/>
    <w:rsid w:val="7593C75D"/>
    <w:rsid w:val="75B3AFC8"/>
    <w:rsid w:val="75B41A58"/>
    <w:rsid w:val="75BC62A1"/>
    <w:rsid w:val="75BF57F9"/>
    <w:rsid w:val="75CF65A2"/>
    <w:rsid w:val="75D749F0"/>
    <w:rsid w:val="75D8E424"/>
    <w:rsid w:val="75E2C011"/>
    <w:rsid w:val="75E69304"/>
    <w:rsid w:val="75E8A16D"/>
    <w:rsid w:val="75FDF74E"/>
    <w:rsid w:val="7629A7E0"/>
    <w:rsid w:val="7632B7C8"/>
    <w:rsid w:val="763FF1F8"/>
    <w:rsid w:val="7649D91D"/>
    <w:rsid w:val="7650B115"/>
    <w:rsid w:val="7656A562"/>
    <w:rsid w:val="7663FA55"/>
    <w:rsid w:val="76670DAC"/>
    <w:rsid w:val="766DB11F"/>
    <w:rsid w:val="76761B7F"/>
    <w:rsid w:val="7683A2E4"/>
    <w:rsid w:val="76BE82A8"/>
    <w:rsid w:val="76C4C0CF"/>
    <w:rsid w:val="76F0A94F"/>
    <w:rsid w:val="7700B6A1"/>
    <w:rsid w:val="770A7971"/>
    <w:rsid w:val="771EF393"/>
    <w:rsid w:val="771F1561"/>
    <w:rsid w:val="7728F074"/>
    <w:rsid w:val="7729CC71"/>
    <w:rsid w:val="772FB6F9"/>
    <w:rsid w:val="773798EC"/>
    <w:rsid w:val="7747402C"/>
    <w:rsid w:val="77488786"/>
    <w:rsid w:val="77513610"/>
    <w:rsid w:val="7753E877"/>
    <w:rsid w:val="775A0F95"/>
    <w:rsid w:val="775F3E6B"/>
    <w:rsid w:val="77787216"/>
    <w:rsid w:val="777A941E"/>
    <w:rsid w:val="777B94A1"/>
    <w:rsid w:val="777DBECB"/>
    <w:rsid w:val="7785D8E2"/>
    <w:rsid w:val="7793E0BD"/>
    <w:rsid w:val="779F6CE4"/>
    <w:rsid w:val="77A03479"/>
    <w:rsid w:val="77A0DB5B"/>
    <w:rsid w:val="77A69A43"/>
    <w:rsid w:val="77ADB0AA"/>
    <w:rsid w:val="77AE22E9"/>
    <w:rsid w:val="77BF8E8C"/>
    <w:rsid w:val="77C09543"/>
    <w:rsid w:val="77C682CF"/>
    <w:rsid w:val="77CB2EF5"/>
    <w:rsid w:val="77D64EFD"/>
    <w:rsid w:val="780ABB7B"/>
    <w:rsid w:val="780B70A2"/>
    <w:rsid w:val="781F5650"/>
    <w:rsid w:val="78209268"/>
    <w:rsid w:val="78287577"/>
    <w:rsid w:val="782A2257"/>
    <w:rsid w:val="782D541D"/>
    <w:rsid w:val="78307B92"/>
    <w:rsid w:val="78313B75"/>
    <w:rsid w:val="783AF20C"/>
    <w:rsid w:val="783B7606"/>
    <w:rsid w:val="78468712"/>
    <w:rsid w:val="7856A768"/>
    <w:rsid w:val="7857F4D3"/>
    <w:rsid w:val="7861E59C"/>
    <w:rsid w:val="7867EF56"/>
    <w:rsid w:val="786F8885"/>
    <w:rsid w:val="7871D03A"/>
    <w:rsid w:val="7872030B"/>
    <w:rsid w:val="7872B81A"/>
    <w:rsid w:val="7877DE89"/>
    <w:rsid w:val="787C0D69"/>
    <w:rsid w:val="7898FA32"/>
    <w:rsid w:val="789F2150"/>
    <w:rsid w:val="78A061DC"/>
    <w:rsid w:val="78ABC75F"/>
    <w:rsid w:val="78CA945E"/>
    <w:rsid w:val="78CDC37E"/>
    <w:rsid w:val="78D18DB5"/>
    <w:rsid w:val="78DDB3B8"/>
    <w:rsid w:val="78DDF121"/>
    <w:rsid w:val="78E01A18"/>
    <w:rsid w:val="78FD8C5C"/>
    <w:rsid w:val="790345FC"/>
    <w:rsid w:val="790FC980"/>
    <w:rsid w:val="79233BCA"/>
    <w:rsid w:val="7928A3C6"/>
    <w:rsid w:val="792ADA23"/>
    <w:rsid w:val="792C9A3F"/>
    <w:rsid w:val="792DFBC9"/>
    <w:rsid w:val="792FE5D4"/>
    <w:rsid w:val="793605F5"/>
    <w:rsid w:val="7938A7EF"/>
    <w:rsid w:val="793BFA80"/>
    <w:rsid w:val="7942D8B8"/>
    <w:rsid w:val="795CF65B"/>
    <w:rsid w:val="7965258A"/>
    <w:rsid w:val="797149F1"/>
    <w:rsid w:val="7972211A"/>
    <w:rsid w:val="797C8FD3"/>
    <w:rsid w:val="799204CA"/>
    <w:rsid w:val="79A1ED4A"/>
    <w:rsid w:val="79A31B22"/>
    <w:rsid w:val="79B4B7E1"/>
    <w:rsid w:val="79BFF30A"/>
    <w:rsid w:val="79CA1D1F"/>
    <w:rsid w:val="79E39507"/>
    <w:rsid w:val="79ECA1DE"/>
    <w:rsid w:val="79EE23D1"/>
    <w:rsid w:val="79EF3194"/>
    <w:rsid w:val="79F2AC83"/>
    <w:rsid w:val="79FBA749"/>
    <w:rsid w:val="7A01535A"/>
    <w:rsid w:val="7A28BF05"/>
    <w:rsid w:val="7A2E28D0"/>
    <w:rsid w:val="7A44E086"/>
    <w:rsid w:val="7A48C9BE"/>
    <w:rsid w:val="7A4BA71E"/>
    <w:rsid w:val="7A542D98"/>
    <w:rsid w:val="7A547322"/>
    <w:rsid w:val="7A587EEF"/>
    <w:rsid w:val="7A66B81D"/>
    <w:rsid w:val="7A6AEA6D"/>
    <w:rsid w:val="7A6BF7ED"/>
    <w:rsid w:val="7A6E5982"/>
    <w:rsid w:val="7A700F8F"/>
    <w:rsid w:val="7A7E99A8"/>
    <w:rsid w:val="7A84F1E1"/>
    <w:rsid w:val="7AB2368E"/>
    <w:rsid w:val="7AB6DFA4"/>
    <w:rsid w:val="7AC215ED"/>
    <w:rsid w:val="7AC30E8F"/>
    <w:rsid w:val="7ACE3099"/>
    <w:rsid w:val="7AD22987"/>
    <w:rsid w:val="7AE168EF"/>
    <w:rsid w:val="7AF268F6"/>
    <w:rsid w:val="7B07FA0C"/>
    <w:rsid w:val="7B0D9D64"/>
    <w:rsid w:val="7B1E0AF7"/>
    <w:rsid w:val="7B1FCC1A"/>
    <w:rsid w:val="7B201FAE"/>
    <w:rsid w:val="7B209AC9"/>
    <w:rsid w:val="7B217955"/>
    <w:rsid w:val="7B3460F0"/>
    <w:rsid w:val="7B37C587"/>
    <w:rsid w:val="7B387724"/>
    <w:rsid w:val="7B4BE195"/>
    <w:rsid w:val="7B5193CB"/>
    <w:rsid w:val="7B5DBA86"/>
    <w:rsid w:val="7B6E5B95"/>
    <w:rsid w:val="7B74EB96"/>
    <w:rsid w:val="7B76F589"/>
    <w:rsid w:val="7B7A6E5A"/>
    <w:rsid w:val="7B83E4BC"/>
    <w:rsid w:val="7B9BAA9C"/>
    <w:rsid w:val="7BB10F0B"/>
    <w:rsid w:val="7BB3B6B0"/>
    <w:rsid w:val="7BC2EB78"/>
    <w:rsid w:val="7BC6AA71"/>
    <w:rsid w:val="7BD00425"/>
    <w:rsid w:val="7BDAA24B"/>
    <w:rsid w:val="7BDD4DD7"/>
    <w:rsid w:val="7BE2CEE1"/>
    <w:rsid w:val="7BF8C881"/>
    <w:rsid w:val="7C0B0A0F"/>
    <w:rsid w:val="7C1CF904"/>
    <w:rsid w:val="7C20C9D4"/>
    <w:rsid w:val="7C210B57"/>
    <w:rsid w:val="7C2288AA"/>
    <w:rsid w:val="7C5374DE"/>
    <w:rsid w:val="7C59DE70"/>
    <w:rsid w:val="7C5ADC99"/>
    <w:rsid w:val="7C626781"/>
    <w:rsid w:val="7C673507"/>
    <w:rsid w:val="7C6B9BB8"/>
    <w:rsid w:val="7C760006"/>
    <w:rsid w:val="7C937F55"/>
    <w:rsid w:val="7C939C6E"/>
    <w:rsid w:val="7CB12EC5"/>
    <w:rsid w:val="7CB19FE9"/>
    <w:rsid w:val="7CC3E93E"/>
    <w:rsid w:val="7CDB3344"/>
    <w:rsid w:val="7CDBB5E0"/>
    <w:rsid w:val="7CDDB6A2"/>
    <w:rsid w:val="7CE2565D"/>
    <w:rsid w:val="7CE68B94"/>
    <w:rsid w:val="7CFC0AFF"/>
    <w:rsid w:val="7CFE9176"/>
    <w:rsid w:val="7D1FEC82"/>
    <w:rsid w:val="7D313779"/>
    <w:rsid w:val="7D3C9859"/>
    <w:rsid w:val="7D5357A0"/>
    <w:rsid w:val="7D55446E"/>
    <w:rsid w:val="7D59E113"/>
    <w:rsid w:val="7D6060A2"/>
    <w:rsid w:val="7D6BDB33"/>
    <w:rsid w:val="7D6C17F3"/>
    <w:rsid w:val="7D79D14A"/>
    <w:rsid w:val="7DBC5086"/>
    <w:rsid w:val="7DCA29D1"/>
    <w:rsid w:val="7DCF7D34"/>
    <w:rsid w:val="7DD15C0C"/>
    <w:rsid w:val="7DDBE21E"/>
    <w:rsid w:val="7DE05CD6"/>
    <w:rsid w:val="7DF0D7E9"/>
    <w:rsid w:val="7DFB5260"/>
    <w:rsid w:val="7DFE582C"/>
    <w:rsid w:val="7E012908"/>
    <w:rsid w:val="7E01A899"/>
    <w:rsid w:val="7E05B709"/>
    <w:rsid w:val="7E076C19"/>
    <w:rsid w:val="7E0C8A41"/>
    <w:rsid w:val="7E11DE75"/>
    <w:rsid w:val="7E1AEAC5"/>
    <w:rsid w:val="7E1BCAD9"/>
    <w:rsid w:val="7E23B7AE"/>
    <w:rsid w:val="7E27F5F7"/>
    <w:rsid w:val="7E5186FE"/>
    <w:rsid w:val="7E60E2FF"/>
    <w:rsid w:val="7E68A7B3"/>
    <w:rsid w:val="7E6A55D8"/>
    <w:rsid w:val="7E6C4925"/>
    <w:rsid w:val="7E8231EE"/>
    <w:rsid w:val="7E97E452"/>
    <w:rsid w:val="7E9FC862"/>
    <w:rsid w:val="7EA0AE56"/>
    <w:rsid w:val="7EA0B2A1"/>
    <w:rsid w:val="7EACC08F"/>
    <w:rsid w:val="7EB284C2"/>
    <w:rsid w:val="7EBA4B9D"/>
    <w:rsid w:val="7EC173A4"/>
    <w:rsid w:val="7EE04EE0"/>
    <w:rsid w:val="7EEBD678"/>
    <w:rsid w:val="7EED4B65"/>
    <w:rsid w:val="7EED752A"/>
    <w:rsid w:val="7EF76B0E"/>
    <w:rsid w:val="7EFC99E6"/>
    <w:rsid w:val="7F074B57"/>
    <w:rsid w:val="7F0C352C"/>
    <w:rsid w:val="7F17573E"/>
    <w:rsid w:val="7F19F1A7"/>
    <w:rsid w:val="7F1FD88F"/>
    <w:rsid w:val="7F2F07CB"/>
    <w:rsid w:val="7F5106BA"/>
    <w:rsid w:val="7F54C266"/>
    <w:rsid w:val="7F680343"/>
    <w:rsid w:val="7F6A5150"/>
    <w:rsid w:val="7F7CC8A1"/>
    <w:rsid w:val="7F8A6EDF"/>
    <w:rsid w:val="7FA44228"/>
    <w:rsid w:val="7FA7877D"/>
    <w:rsid w:val="7FAA44FA"/>
    <w:rsid w:val="7FAFE90C"/>
    <w:rsid w:val="7FB78907"/>
    <w:rsid w:val="7FC64E2A"/>
    <w:rsid w:val="7FC75232"/>
    <w:rsid w:val="7FD3EEBD"/>
    <w:rsid w:val="7FDD18A7"/>
    <w:rsid w:val="7FEA6939"/>
    <w:rsid w:val="7FF77E23"/>
    <w:rsid w:val="7FFD22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F367D6"/>
  <w15:chartTrackingRefBased/>
  <w15:docId w15:val="{F498A498-482C-4271-AAA2-CB40D24F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3E0C"/>
    <w:rPr>
      <w:sz w:val="16"/>
      <w:szCs w:val="16"/>
    </w:rPr>
  </w:style>
  <w:style w:type="paragraph" w:styleId="CommentText">
    <w:name w:val="annotation text"/>
    <w:basedOn w:val="Normal"/>
    <w:link w:val="CommentTextChar"/>
    <w:uiPriority w:val="99"/>
    <w:unhideWhenUsed/>
    <w:rsid w:val="00273E0C"/>
    <w:pPr>
      <w:spacing w:after="240" w:line="240" w:lineRule="auto"/>
      <w:jc w:val="both"/>
    </w:pPr>
    <w:rPr>
      <w:rFonts w:ascii="Times New Roman" w:eastAsia="Times New Roman" w:hAnsi="Times New Roman" w:cs="Times New Roman"/>
      <w:noProof/>
      <w:sz w:val="20"/>
      <w:szCs w:val="20"/>
      <w:lang w:val="en-IE" w:eastAsia="fr-BE"/>
    </w:rPr>
  </w:style>
  <w:style w:type="character" w:customStyle="1" w:styleId="CommentTextChar">
    <w:name w:val="Comment Text Char"/>
    <w:basedOn w:val="DefaultParagraphFont"/>
    <w:link w:val="CommentText"/>
    <w:uiPriority w:val="99"/>
    <w:rsid w:val="00273E0C"/>
    <w:rPr>
      <w:rFonts w:ascii="Times New Roman" w:eastAsia="Times New Roman" w:hAnsi="Times New Roman" w:cs="Times New Roman"/>
      <w:noProof/>
      <w:sz w:val="20"/>
      <w:szCs w:val="20"/>
      <w:lang w:val="en-IE" w:eastAsia="fr-BE"/>
    </w:rPr>
  </w:style>
  <w:style w:type="paragraph" w:styleId="CommentSubject">
    <w:name w:val="annotation subject"/>
    <w:basedOn w:val="CommentText"/>
    <w:next w:val="CommentText"/>
    <w:link w:val="CommentSubjectChar"/>
    <w:uiPriority w:val="99"/>
    <w:semiHidden/>
    <w:unhideWhenUsed/>
    <w:rsid w:val="00896CE6"/>
    <w:pPr>
      <w:spacing w:after="160"/>
      <w:jc w:val="left"/>
    </w:pPr>
    <w:rPr>
      <w:rFonts w:asciiTheme="minorHAnsi" w:eastAsiaTheme="minorHAnsi" w:hAnsiTheme="minorHAnsi" w:cstheme="minorBidi"/>
      <w:b/>
      <w:bCs/>
      <w:noProof w:val="0"/>
      <w:lang w:val="en-US" w:eastAsia="en-US"/>
    </w:rPr>
  </w:style>
  <w:style w:type="character" w:customStyle="1" w:styleId="CommentSubjectChar">
    <w:name w:val="Comment Subject Char"/>
    <w:basedOn w:val="CommentTextChar"/>
    <w:link w:val="CommentSubject"/>
    <w:uiPriority w:val="99"/>
    <w:semiHidden/>
    <w:rsid w:val="00896CE6"/>
    <w:rPr>
      <w:rFonts w:ascii="Times New Roman" w:eastAsia="Times New Roman" w:hAnsi="Times New Roman" w:cs="Times New Roman"/>
      <w:b/>
      <w:bCs/>
      <w:noProof/>
      <w:sz w:val="20"/>
      <w:szCs w:val="20"/>
      <w:lang w:val="en-IE" w:eastAsia="fr-BE"/>
    </w:rPr>
  </w:style>
  <w:style w:type="paragraph" w:styleId="BalloonText">
    <w:name w:val="Balloon Text"/>
    <w:basedOn w:val="Normal"/>
    <w:link w:val="BalloonTextChar"/>
    <w:uiPriority w:val="99"/>
    <w:semiHidden/>
    <w:unhideWhenUsed/>
    <w:rsid w:val="00896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CE6"/>
    <w:rPr>
      <w:rFonts w:ascii="Segoe UI" w:hAnsi="Segoe UI" w:cs="Segoe UI"/>
      <w:sz w:val="18"/>
      <w:szCs w:val="18"/>
    </w:rPr>
  </w:style>
  <w:style w:type="paragraph" w:styleId="ListParagraph">
    <w:name w:val="List Paragraph"/>
    <w:basedOn w:val="Normal"/>
    <w:uiPriority w:val="34"/>
    <w:qFormat/>
    <w:rsid w:val="00603FCD"/>
    <w:pPr>
      <w:ind w:left="720"/>
      <w:contextualSpacing/>
    </w:pPr>
  </w:style>
  <w:style w:type="paragraph" w:styleId="Header">
    <w:name w:val="header"/>
    <w:basedOn w:val="Normal"/>
    <w:link w:val="HeaderChar"/>
    <w:uiPriority w:val="99"/>
    <w:unhideWhenUsed/>
    <w:rsid w:val="000F7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ED8"/>
  </w:style>
  <w:style w:type="paragraph" w:styleId="Footer">
    <w:name w:val="footer"/>
    <w:basedOn w:val="Normal"/>
    <w:link w:val="FooterChar"/>
    <w:uiPriority w:val="99"/>
    <w:unhideWhenUsed/>
    <w:rsid w:val="000F7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ED8"/>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143A8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143A87"/>
  </w:style>
  <w:style w:type="character" w:customStyle="1" w:styleId="eop">
    <w:name w:val="eop"/>
    <w:basedOn w:val="DefaultParagraphFont"/>
    <w:rsid w:val="00143A87"/>
  </w:style>
  <w:style w:type="paragraph" w:styleId="Caption">
    <w:name w:val="caption"/>
    <w:basedOn w:val="Normal"/>
    <w:next w:val="Normal"/>
    <w:uiPriority w:val="35"/>
    <w:unhideWhenUsed/>
    <w:qFormat/>
    <w:rsid w:val="00FB619B"/>
    <w:pPr>
      <w:spacing w:after="200" w:line="240" w:lineRule="auto"/>
    </w:pPr>
    <w:rPr>
      <w:i/>
      <w:iCs/>
      <w:color w:val="44546A" w:themeColor="text2"/>
      <w:sz w:val="18"/>
      <w:szCs w:val="18"/>
    </w:rPr>
  </w:style>
  <w:style w:type="paragraph" w:styleId="Revision">
    <w:name w:val="Revision"/>
    <w:hidden/>
    <w:uiPriority w:val="99"/>
    <w:semiHidden/>
    <w:rsid w:val="00913097"/>
    <w:pPr>
      <w:spacing w:after="0" w:line="240" w:lineRule="auto"/>
    </w:pPr>
  </w:style>
  <w:style w:type="paragraph" w:customStyle="1" w:styleId="LegalNumPar">
    <w:name w:val="LegalNumPar"/>
    <w:basedOn w:val="Normal"/>
    <w:rsid w:val="00913097"/>
    <w:pPr>
      <w:numPr>
        <w:numId w:val="22"/>
      </w:numPr>
      <w:spacing w:line="360" w:lineRule="auto"/>
    </w:pPr>
    <w:rPr>
      <w:sz w:val="24"/>
    </w:rPr>
  </w:style>
  <w:style w:type="paragraph" w:customStyle="1" w:styleId="LegalNumPar2">
    <w:name w:val="LegalNumPar2"/>
    <w:basedOn w:val="Normal"/>
    <w:rsid w:val="00913097"/>
    <w:pPr>
      <w:numPr>
        <w:ilvl w:val="1"/>
        <w:numId w:val="22"/>
      </w:numPr>
      <w:spacing w:line="360" w:lineRule="auto"/>
    </w:pPr>
    <w:rPr>
      <w:sz w:val="24"/>
    </w:rPr>
  </w:style>
  <w:style w:type="paragraph" w:customStyle="1" w:styleId="LegalNumPar3">
    <w:name w:val="LegalNumPar3"/>
    <w:basedOn w:val="Normal"/>
    <w:rsid w:val="00913097"/>
    <w:pPr>
      <w:numPr>
        <w:ilvl w:val="2"/>
        <w:numId w:val="22"/>
      </w:numPr>
      <w:spacing w:line="360" w:lineRule="auto"/>
    </w:pPr>
    <w:rPr>
      <w:sz w:val="24"/>
    </w:rPr>
  </w:style>
  <w:style w:type="table" w:styleId="TableGrid">
    <w:name w:val="Table Grid"/>
    <w:basedOn w:val="TableNormal"/>
    <w:rsid w:val="00AD6B6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D6B68"/>
    <w:pPr>
      <w:spacing w:after="0" w:line="240" w:lineRule="auto"/>
      <w:contextualSpacing/>
    </w:pPr>
    <w:rPr>
      <w:rFonts w:asciiTheme="majorHAnsi" w:eastAsiaTheme="majorEastAsia" w:hAnsiTheme="majorHAnsi" w:cstheme="majorBidi"/>
      <w:spacing w:val="-10"/>
      <w:kern w:val="28"/>
      <w:sz w:val="56"/>
      <w:szCs w:val="56"/>
      <w:lang w:val="en-GB" w:eastAsia="zh-CN"/>
    </w:rPr>
  </w:style>
  <w:style w:type="character" w:customStyle="1" w:styleId="TitleChar">
    <w:name w:val="Title Char"/>
    <w:basedOn w:val="DefaultParagraphFont"/>
    <w:link w:val="Title"/>
    <w:rsid w:val="00AD6B68"/>
    <w:rPr>
      <w:rFonts w:asciiTheme="majorHAnsi" w:eastAsiaTheme="majorEastAsia" w:hAnsiTheme="majorHAnsi" w:cstheme="majorBidi"/>
      <w:spacing w:val="-10"/>
      <w:kern w:val="28"/>
      <w:sz w:val="56"/>
      <w:szCs w:val="56"/>
      <w:lang w:val="en-GB" w:eastAsia="zh-CN"/>
    </w:rPr>
  </w:style>
  <w:style w:type="character" w:styleId="FollowedHyperlink">
    <w:name w:val="FollowedHyperlink"/>
    <w:basedOn w:val="DefaultParagraphFont"/>
    <w:uiPriority w:val="99"/>
    <w:semiHidden/>
    <w:unhideWhenUsed/>
    <w:rsid w:val="00C10447"/>
    <w:rPr>
      <w:color w:val="954F72" w:themeColor="followedHyperlink"/>
      <w:u w:val="single"/>
    </w:rPr>
  </w:style>
  <w:style w:type="character" w:customStyle="1" w:styleId="UnresolvedMention1">
    <w:name w:val="Unresolved Mention1"/>
    <w:basedOn w:val="DefaultParagraphFont"/>
    <w:uiPriority w:val="99"/>
    <w:semiHidden/>
    <w:unhideWhenUsed/>
    <w:rsid w:val="00C10447"/>
    <w:rPr>
      <w:color w:val="605E5C"/>
      <w:shd w:val="clear" w:color="auto" w:fill="E1DFDD"/>
    </w:rPr>
  </w:style>
  <w:style w:type="paragraph" w:customStyle="1" w:styleId="Briefinglist1">
    <w:name w:val="Briefing list 1"/>
    <w:basedOn w:val="Normal"/>
    <w:link w:val="Briefinglist1Char"/>
    <w:rsid w:val="007943FB"/>
    <w:pPr>
      <w:keepLines/>
      <w:numPr>
        <w:numId w:val="27"/>
      </w:numPr>
      <w:spacing w:after="120" w:line="240" w:lineRule="auto"/>
      <w:jc w:val="both"/>
    </w:pPr>
    <w:rPr>
      <w:rFonts w:ascii="Arial" w:eastAsia="Times New Roman" w:hAnsi="Arial" w:cs="Arial"/>
      <w:szCs w:val="24"/>
      <w:lang w:val="en-GB"/>
    </w:rPr>
  </w:style>
  <w:style w:type="character" w:customStyle="1" w:styleId="Briefinglist1Char">
    <w:name w:val="Briefing list 1 Char"/>
    <w:basedOn w:val="DefaultParagraphFont"/>
    <w:link w:val="Briefinglist1"/>
    <w:rsid w:val="007943FB"/>
    <w:rPr>
      <w:rFonts w:ascii="Arial" w:eastAsia="Times New Roman" w:hAnsi="Arial" w:cs="Arial"/>
      <w:szCs w:val="24"/>
      <w:lang w:val="en-GB"/>
    </w:rPr>
  </w:style>
  <w:style w:type="character" w:customStyle="1" w:styleId="Mention1">
    <w:name w:val="Mention1"/>
    <w:basedOn w:val="DefaultParagraphFont"/>
    <w:uiPriority w:val="99"/>
    <w:unhideWhenUsed/>
    <w:rsid w:val="00680962"/>
    <w:rPr>
      <w:color w:val="2B579A"/>
      <w:shd w:val="clear" w:color="auto" w:fill="E6E6E6"/>
    </w:rPr>
  </w:style>
  <w:style w:type="character" w:customStyle="1" w:styleId="Marker">
    <w:name w:val="Marker"/>
    <w:basedOn w:val="DefaultParagraphFont"/>
    <w:rsid w:val="00227DA3"/>
    <w:rPr>
      <w:color w:val="0000FF"/>
      <w:shd w:val="clear" w:color="auto" w:fill="auto"/>
    </w:rPr>
  </w:style>
  <w:style w:type="paragraph" w:customStyle="1" w:styleId="Pagedecouverture">
    <w:name w:val="Page de couverture"/>
    <w:basedOn w:val="Normal"/>
    <w:next w:val="Normal"/>
    <w:rsid w:val="00227DA3"/>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27DA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27DA3"/>
    <w:rPr>
      <w:rFonts w:ascii="Times New Roman" w:hAnsi="Times New Roman" w:cs="Times New Roman"/>
      <w:sz w:val="24"/>
    </w:rPr>
  </w:style>
  <w:style w:type="paragraph" w:customStyle="1" w:styleId="FooterSensitivity">
    <w:name w:val="Footer Sensitivity"/>
    <w:basedOn w:val="Normal"/>
    <w:link w:val="FooterSensitivityChar"/>
    <w:rsid w:val="00227DA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27DA3"/>
    <w:rPr>
      <w:rFonts w:ascii="Times New Roman" w:hAnsi="Times New Roman" w:cs="Times New Roman"/>
      <w:b/>
      <w:sz w:val="32"/>
    </w:rPr>
  </w:style>
  <w:style w:type="paragraph" w:customStyle="1" w:styleId="HeaderCoverPage">
    <w:name w:val="Header Cover Page"/>
    <w:basedOn w:val="Normal"/>
    <w:link w:val="HeaderCoverPageChar"/>
    <w:rsid w:val="00227DA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27DA3"/>
    <w:rPr>
      <w:rFonts w:ascii="Times New Roman" w:hAnsi="Times New Roman" w:cs="Times New Roman"/>
      <w:sz w:val="24"/>
    </w:rPr>
  </w:style>
  <w:style w:type="paragraph" w:customStyle="1" w:styleId="HeaderSensitivity">
    <w:name w:val="Header Sensitivity"/>
    <w:basedOn w:val="Normal"/>
    <w:link w:val="HeaderSensitivityChar"/>
    <w:rsid w:val="00227DA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27DA3"/>
    <w:rPr>
      <w:rFonts w:ascii="Times New Roman" w:hAnsi="Times New Roman" w:cs="Times New Roman"/>
      <w:b/>
      <w:sz w:val="32"/>
    </w:rPr>
  </w:style>
  <w:style w:type="paragraph" w:customStyle="1" w:styleId="HeaderSensitivityRight">
    <w:name w:val="Header Sensitivity Right"/>
    <w:basedOn w:val="Normal"/>
    <w:link w:val="HeaderSensitivityRightChar"/>
    <w:rsid w:val="00227DA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27DA3"/>
    <w:rPr>
      <w:rFonts w:ascii="Times New Roman" w:hAnsi="Times New Roman" w:cs="Times New Roman"/>
      <w:sz w:val="28"/>
    </w:rPr>
  </w:style>
  <w:style w:type="character" w:customStyle="1" w:styleId="Mention2">
    <w:name w:val="Mention2"/>
    <w:basedOn w:val="DefaultParagraphFont"/>
    <w:uiPriority w:val="99"/>
    <w:unhideWhenUsed/>
    <w:rsid w:val="003B52D7"/>
    <w:rPr>
      <w:color w:val="2B579A"/>
      <w:shd w:val="clear" w:color="auto" w:fill="E6E6E6"/>
    </w:rPr>
  </w:style>
  <w:style w:type="character" w:customStyle="1" w:styleId="UnresolvedMention">
    <w:name w:val="Unresolved Mention"/>
    <w:basedOn w:val="DefaultParagraphFont"/>
    <w:uiPriority w:val="99"/>
    <w:semiHidden/>
    <w:unhideWhenUsed/>
    <w:rsid w:val="003F0089"/>
    <w:rPr>
      <w:color w:val="605E5C"/>
      <w:shd w:val="clear" w:color="auto" w:fill="E1DFDD"/>
    </w:rPr>
  </w:style>
  <w:style w:type="character" w:customStyle="1" w:styleId="Mention">
    <w:name w:val="Mention"/>
    <w:basedOn w:val="DefaultParagraphFont"/>
    <w:uiPriority w:val="99"/>
    <w:unhideWhenUsed/>
    <w:rsid w:val="00F25C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8227">
      <w:bodyDiv w:val="1"/>
      <w:marLeft w:val="0"/>
      <w:marRight w:val="0"/>
      <w:marTop w:val="0"/>
      <w:marBottom w:val="0"/>
      <w:divBdr>
        <w:top w:val="none" w:sz="0" w:space="0" w:color="auto"/>
        <w:left w:val="none" w:sz="0" w:space="0" w:color="auto"/>
        <w:bottom w:val="none" w:sz="0" w:space="0" w:color="auto"/>
        <w:right w:val="none" w:sz="0" w:space="0" w:color="auto"/>
      </w:divBdr>
      <w:divsChild>
        <w:div w:id="1673485259">
          <w:marLeft w:val="360"/>
          <w:marRight w:val="0"/>
          <w:marTop w:val="0"/>
          <w:marBottom w:val="0"/>
          <w:divBdr>
            <w:top w:val="none" w:sz="0" w:space="0" w:color="auto"/>
            <w:left w:val="none" w:sz="0" w:space="0" w:color="auto"/>
            <w:bottom w:val="none" w:sz="0" w:space="0" w:color="auto"/>
            <w:right w:val="none" w:sz="0" w:space="0" w:color="auto"/>
          </w:divBdr>
        </w:div>
      </w:divsChild>
    </w:div>
    <w:div w:id="438984807">
      <w:bodyDiv w:val="1"/>
      <w:marLeft w:val="0"/>
      <w:marRight w:val="0"/>
      <w:marTop w:val="0"/>
      <w:marBottom w:val="0"/>
      <w:divBdr>
        <w:top w:val="none" w:sz="0" w:space="0" w:color="auto"/>
        <w:left w:val="none" w:sz="0" w:space="0" w:color="auto"/>
        <w:bottom w:val="none" w:sz="0" w:space="0" w:color="auto"/>
        <w:right w:val="none" w:sz="0" w:space="0" w:color="auto"/>
      </w:divBdr>
      <w:divsChild>
        <w:div w:id="439958649">
          <w:marLeft w:val="0"/>
          <w:marRight w:val="0"/>
          <w:marTop w:val="0"/>
          <w:marBottom w:val="0"/>
          <w:divBdr>
            <w:top w:val="none" w:sz="0" w:space="0" w:color="auto"/>
            <w:left w:val="none" w:sz="0" w:space="0" w:color="auto"/>
            <w:bottom w:val="none" w:sz="0" w:space="0" w:color="auto"/>
            <w:right w:val="none" w:sz="0" w:space="0" w:color="auto"/>
          </w:divBdr>
        </w:div>
        <w:div w:id="1450659099">
          <w:marLeft w:val="0"/>
          <w:marRight w:val="0"/>
          <w:marTop w:val="0"/>
          <w:marBottom w:val="0"/>
          <w:divBdr>
            <w:top w:val="none" w:sz="0" w:space="0" w:color="auto"/>
            <w:left w:val="none" w:sz="0" w:space="0" w:color="auto"/>
            <w:bottom w:val="none" w:sz="0" w:space="0" w:color="auto"/>
            <w:right w:val="none" w:sz="0" w:space="0" w:color="auto"/>
          </w:divBdr>
        </w:div>
      </w:divsChild>
    </w:div>
    <w:div w:id="489827954">
      <w:bodyDiv w:val="1"/>
      <w:marLeft w:val="0"/>
      <w:marRight w:val="0"/>
      <w:marTop w:val="0"/>
      <w:marBottom w:val="0"/>
      <w:divBdr>
        <w:top w:val="none" w:sz="0" w:space="0" w:color="auto"/>
        <w:left w:val="none" w:sz="0" w:space="0" w:color="auto"/>
        <w:bottom w:val="none" w:sz="0" w:space="0" w:color="auto"/>
        <w:right w:val="none" w:sz="0" w:space="0" w:color="auto"/>
      </w:divBdr>
    </w:div>
    <w:div w:id="1443112546">
      <w:bodyDiv w:val="1"/>
      <w:marLeft w:val="0"/>
      <w:marRight w:val="0"/>
      <w:marTop w:val="0"/>
      <w:marBottom w:val="0"/>
      <w:divBdr>
        <w:top w:val="none" w:sz="0" w:space="0" w:color="auto"/>
        <w:left w:val="none" w:sz="0" w:space="0" w:color="auto"/>
        <w:bottom w:val="none" w:sz="0" w:space="0" w:color="auto"/>
        <w:right w:val="none" w:sz="0" w:space="0" w:color="auto"/>
      </w:divBdr>
    </w:div>
    <w:div w:id="1805345957">
      <w:bodyDiv w:val="1"/>
      <w:marLeft w:val="0"/>
      <w:marRight w:val="0"/>
      <w:marTop w:val="0"/>
      <w:marBottom w:val="0"/>
      <w:divBdr>
        <w:top w:val="none" w:sz="0" w:space="0" w:color="auto"/>
        <w:left w:val="none" w:sz="0" w:space="0" w:color="auto"/>
        <w:bottom w:val="none" w:sz="0" w:space="0" w:color="auto"/>
        <w:right w:val="none" w:sz="0" w:space="0" w:color="auto"/>
      </w:divBdr>
    </w:div>
    <w:div w:id="1831024860">
      <w:bodyDiv w:val="1"/>
      <w:marLeft w:val="0"/>
      <w:marRight w:val="0"/>
      <w:marTop w:val="0"/>
      <w:marBottom w:val="0"/>
      <w:divBdr>
        <w:top w:val="none" w:sz="0" w:space="0" w:color="auto"/>
        <w:left w:val="none" w:sz="0" w:space="0" w:color="auto"/>
        <w:bottom w:val="none" w:sz="0" w:space="0" w:color="auto"/>
        <w:right w:val="none" w:sz="0" w:space="0" w:color="auto"/>
      </w:divBdr>
    </w:div>
    <w:div w:id="1851680014">
      <w:bodyDiv w:val="1"/>
      <w:marLeft w:val="0"/>
      <w:marRight w:val="0"/>
      <w:marTop w:val="0"/>
      <w:marBottom w:val="0"/>
      <w:divBdr>
        <w:top w:val="none" w:sz="0" w:space="0" w:color="auto"/>
        <w:left w:val="none" w:sz="0" w:space="0" w:color="auto"/>
        <w:bottom w:val="none" w:sz="0" w:space="0" w:color="auto"/>
        <w:right w:val="none" w:sz="0" w:space="0" w:color="auto"/>
      </w:divBdr>
    </w:div>
    <w:div w:id="2049992437">
      <w:bodyDiv w:val="1"/>
      <w:marLeft w:val="0"/>
      <w:marRight w:val="0"/>
      <w:marTop w:val="0"/>
      <w:marBottom w:val="0"/>
      <w:divBdr>
        <w:top w:val="none" w:sz="0" w:space="0" w:color="auto"/>
        <w:left w:val="none" w:sz="0" w:space="0" w:color="auto"/>
        <w:bottom w:val="none" w:sz="0" w:space="0" w:color="auto"/>
        <w:right w:val="none" w:sz="0" w:space="0" w:color="auto"/>
      </w:divBdr>
      <w:divsChild>
        <w:div w:id="772895418">
          <w:marLeft w:val="0"/>
          <w:marRight w:val="0"/>
          <w:marTop w:val="0"/>
          <w:marBottom w:val="0"/>
          <w:divBdr>
            <w:top w:val="none" w:sz="0" w:space="0" w:color="auto"/>
            <w:left w:val="none" w:sz="0" w:space="0" w:color="auto"/>
            <w:bottom w:val="none" w:sz="0" w:space="0" w:color="auto"/>
            <w:right w:val="none" w:sz="0" w:space="0" w:color="auto"/>
          </w:divBdr>
        </w:div>
        <w:div w:id="1178814702">
          <w:marLeft w:val="0"/>
          <w:marRight w:val="0"/>
          <w:marTop w:val="0"/>
          <w:marBottom w:val="0"/>
          <w:divBdr>
            <w:top w:val="none" w:sz="0" w:space="0" w:color="auto"/>
            <w:left w:val="none" w:sz="0" w:space="0" w:color="auto"/>
            <w:bottom w:val="none" w:sz="0" w:space="0" w:color="auto"/>
            <w:right w:val="none" w:sz="0" w:space="0" w:color="auto"/>
          </w:divBdr>
        </w:div>
        <w:div w:id="1451514867">
          <w:marLeft w:val="0"/>
          <w:marRight w:val="0"/>
          <w:marTop w:val="0"/>
          <w:marBottom w:val="0"/>
          <w:divBdr>
            <w:top w:val="none" w:sz="0" w:space="0" w:color="auto"/>
            <w:left w:val="none" w:sz="0" w:space="0" w:color="auto"/>
            <w:bottom w:val="none" w:sz="0" w:space="0" w:color="auto"/>
            <w:right w:val="none" w:sz="0" w:space="0" w:color="auto"/>
          </w:divBdr>
          <w:divsChild>
            <w:div w:id="531118179">
              <w:marLeft w:val="-75"/>
              <w:marRight w:val="0"/>
              <w:marTop w:val="30"/>
              <w:marBottom w:val="30"/>
              <w:divBdr>
                <w:top w:val="none" w:sz="0" w:space="0" w:color="auto"/>
                <w:left w:val="none" w:sz="0" w:space="0" w:color="auto"/>
                <w:bottom w:val="none" w:sz="0" w:space="0" w:color="auto"/>
                <w:right w:val="none" w:sz="0" w:space="0" w:color="auto"/>
              </w:divBdr>
              <w:divsChild>
                <w:div w:id="205152">
                  <w:marLeft w:val="0"/>
                  <w:marRight w:val="0"/>
                  <w:marTop w:val="0"/>
                  <w:marBottom w:val="0"/>
                  <w:divBdr>
                    <w:top w:val="none" w:sz="0" w:space="0" w:color="auto"/>
                    <w:left w:val="none" w:sz="0" w:space="0" w:color="auto"/>
                    <w:bottom w:val="none" w:sz="0" w:space="0" w:color="auto"/>
                    <w:right w:val="none" w:sz="0" w:space="0" w:color="auto"/>
                  </w:divBdr>
                  <w:divsChild>
                    <w:div w:id="119494137">
                      <w:marLeft w:val="0"/>
                      <w:marRight w:val="0"/>
                      <w:marTop w:val="0"/>
                      <w:marBottom w:val="0"/>
                      <w:divBdr>
                        <w:top w:val="none" w:sz="0" w:space="0" w:color="auto"/>
                        <w:left w:val="none" w:sz="0" w:space="0" w:color="auto"/>
                        <w:bottom w:val="none" w:sz="0" w:space="0" w:color="auto"/>
                        <w:right w:val="none" w:sz="0" w:space="0" w:color="auto"/>
                      </w:divBdr>
                    </w:div>
                    <w:div w:id="352417475">
                      <w:marLeft w:val="0"/>
                      <w:marRight w:val="0"/>
                      <w:marTop w:val="0"/>
                      <w:marBottom w:val="0"/>
                      <w:divBdr>
                        <w:top w:val="none" w:sz="0" w:space="0" w:color="auto"/>
                        <w:left w:val="none" w:sz="0" w:space="0" w:color="auto"/>
                        <w:bottom w:val="none" w:sz="0" w:space="0" w:color="auto"/>
                        <w:right w:val="none" w:sz="0" w:space="0" w:color="auto"/>
                      </w:divBdr>
                    </w:div>
                    <w:div w:id="968585189">
                      <w:marLeft w:val="0"/>
                      <w:marRight w:val="0"/>
                      <w:marTop w:val="0"/>
                      <w:marBottom w:val="0"/>
                      <w:divBdr>
                        <w:top w:val="none" w:sz="0" w:space="0" w:color="auto"/>
                        <w:left w:val="none" w:sz="0" w:space="0" w:color="auto"/>
                        <w:bottom w:val="none" w:sz="0" w:space="0" w:color="auto"/>
                        <w:right w:val="none" w:sz="0" w:space="0" w:color="auto"/>
                      </w:divBdr>
                    </w:div>
                    <w:div w:id="1444618466">
                      <w:marLeft w:val="0"/>
                      <w:marRight w:val="0"/>
                      <w:marTop w:val="0"/>
                      <w:marBottom w:val="0"/>
                      <w:divBdr>
                        <w:top w:val="none" w:sz="0" w:space="0" w:color="auto"/>
                        <w:left w:val="none" w:sz="0" w:space="0" w:color="auto"/>
                        <w:bottom w:val="none" w:sz="0" w:space="0" w:color="auto"/>
                        <w:right w:val="none" w:sz="0" w:space="0" w:color="auto"/>
                      </w:divBdr>
                    </w:div>
                    <w:div w:id="1463108703">
                      <w:marLeft w:val="0"/>
                      <w:marRight w:val="0"/>
                      <w:marTop w:val="0"/>
                      <w:marBottom w:val="0"/>
                      <w:divBdr>
                        <w:top w:val="none" w:sz="0" w:space="0" w:color="auto"/>
                        <w:left w:val="none" w:sz="0" w:space="0" w:color="auto"/>
                        <w:bottom w:val="none" w:sz="0" w:space="0" w:color="auto"/>
                        <w:right w:val="none" w:sz="0" w:space="0" w:color="auto"/>
                      </w:divBdr>
                    </w:div>
                  </w:divsChild>
                </w:div>
                <w:div w:id="35009825">
                  <w:marLeft w:val="0"/>
                  <w:marRight w:val="0"/>
                  <w:marTop w:val="0"/>
                  <w:marBottom w:val="0"/>
                  <w:divBdr>
                    <w:top w:val="none" w:sz="0" w:space="0" w:color="auto"/>
                    <w:left w:val="none" w:sz="0" w:space="0" w:color="auto"/>
                    <w:bottom w:val="none" w:sz="0" w:space="0" w:color="auto"/>
                    <w:right w:val="none" w:sz="0" w:space="0" w:color="auto"/>
                  </w:divBdr>
                  <w:divsChild>
                    <w:div w:id="842940150">
                      <w:marLeft w:val="0"/>
                      <w:marRight w:val="0"/>
                      <w:marTop w:val="0"/>
                      <w:marBottom w:val="0"/>
                      <w:divBdr>
                        <w:top w:val="none" w:sz="0" w:space="0" w:color="auto"/>
                        <w:left w:val="none" w:sz="0" w:space="0" w:color="auto"/>
                        <w:bottom w:val="none" w:sz="0" w:space="0" w:color="auto"/>
                        <w:right w:val="none" w:sz="0" w:space="0" w:color="auto"/>
                      </w:divBdr>
                    </w:div>
                  </w:divsChild>
                </w:div>
                <w:div w:id="56321679">
                  <w:marLeft w:val="0"/>
                  <w:marRight w:val="0"/>
                  <w:marTop w:val="0"/>
                  <w:marBottom w:val="0"/>
                  <w:divBdr>
                    <w:top w:val="none" w:sz="0" w:space="0" w:color="auto"/>
                    <w:left w:val="none" w:sz="0" w:space="0" w:color="auto"/>
                    <w:bottom w:val="none" w:sz="0" w:space="0" w:color="auto"/>
                    <w:right w:val="none" w:sz="0" w:space="0" w:color="auto"/>
                  </w:divBdr>
                  <w:divsChild>
                    <w:div w:id="1697344129">
                      <w:marLeft w:val="0"/>
                      <w:marRight w:val="0"/>
                      <w:marTop w:val="0"/>
                      <w:marBottom w:val="0"/>
                      <w:divBdr>
                        <w:top w:val="none" w:sz="0" w:space="0" w:color="auto"/>
                        <w:left w:val="none" w:sz="0" w:space="0" w:color="auto"/>
                        <w:bottom w:val="none" w:sz="0" w:space="0" w:color="auto"/>
                        <w:right w:val="none" w:sz="0" w:space="0" w:color="auto"/>
                      </w:divBdr>
                    </w:div>
                  </w:divsChild>
                </w:div>
                <w:div w:id="166210097">
                  <w:marLeft w:val="0"/>
                  <w:marRight w:val="0"/>
                  <w:marTop w:val="0"/>
                  <w:marBottom w:val="0"/>
                  <w:divBdr>
                    <w:top w:val="none" w:sz="0" w:space="0" w:color="auto"/>
                    <w:left w:val="none" w:sz="0" w:space="0" w:color="auto"/>
                    <w:bottom w:val="none" w:sz="0" w:space="0" w:color="auto"/>
                    <w:right w:val="none" w:sz="0" w:space="0" w:color="auto"/>
                  </w:divBdr>
                  <w:divsChild>
                    <w:div w:id="2100058629">
                      <w:marLeft w:val="0"/>
                      <w:marRight w:val="0"/>
                      <w:marTop w:val="0"/>
                      <w:marBottom w:val="0"/>
                      <w:divBdr>
                        <w:top w:val="none" w:sz="0" w:space="0" w:color="auto"/>
                        <w:left w:val="none" w:sz="0" w:space="0" w:color="auto"/>
                        <w:bottom w:val="none" w:sz="0" w:space="0" w:color="auto"/>
                        <w:right w:val="none" w:sz="0" w:space="0" w:color="auto"/>
                      </w:divBdr>
                    </w:div>
                  </w:divsChild>
                </w:div>
                <w:div w:id="254216572">
                  <w:marLeft w:val="0"/>
                  <w:marRight w:val="0"/>
                  <w:marTop w:val="0"/>
                  <w:marBottom w:val="0"/>
                  <w:divBdr>
                    <w:top w:val="none" w:sz="0" w:space="0" w:color="auto"/>
                    <w:left w:val="none" w:sz="0" w:space="0" w:color="auto"/>
                    <w:bottom w:val="none" w:sz="0" w:space="0" w:color="auto"/>
                    <w:right w:val="none" w:sz="0" w:space="0" w:color="auto"/>
                  </w:divBdr>
                  <w:divsChild>
                    <w:div w:id="271010899">
                      <w:marLeft w:val="0"/>
                      <w:marRight w:val="0"/>
                      <w:marTop w:val="0"/>
                      <w:marBottom w:val="0"/>
                      <w:divBdr>
                        <w:top w:val="none" w:sz="0" w:space="0" w:color="auto"/>
                        <w:left w:val="none" w:sz="0" w:space="0" w:color="auto"/>
                        <w:bottom w:val="none" w:sz="0" w:space="0" w:color="auto"/>
                        <w:right w:val="none" w:sz="0" w:space="0" w:color="auto"/>
                      </w:divBdr>
                    </w:div>
                    <w:div w:id="301890347">
                      <w:marLeft w:val="0"/>
                      <w:marRight w:val="0"/>
                      <w:marTop w:val="0"/>
                      <w:marBottom w:val="0"/>
                      <w:divBdr>
                        <w:top w:val="none" w:sz="0" w:space="0" w:color="auto"/>
                        <w:left w:val="none" w:sz="0" w:space="0" w:color="auto"/>
                        <w:bottom w:val="none" w:sz="0" w:space="0" w:color="auto"/>
                        <w:right w:val="none" w:sz="0" w:space="0" w:color="auto"/>
                      </w:divBdr>
                    </w:div>
                    <w:div w:id="1008172660">
                      <w:marLeft w:val="0"/>
                      <w:marRight w:val="0"/>
                      <w:marTop w:val="0"/>
                      <w:marBottom w:val="0"/>
                      <w:divBdr>
                        <w:top w:val="none" w:sz="0" w:space="0" w:color="auto"/>
                        <w:left w:val="none" w:sz="0" w:space="0" w:color="auto"/>
                        <w:bottom w:val="none" w:sz="0" w:space="0" w:color="auto"/>
                        <w:right w:val="none" w:sz="0" w:space="0" w:color="auto"/>
                      </w:divBdr>
                    </w:div>
                    <w:div w:id="1030497753">
                      <w:marLeft w:val="0"/>
                      <w:marRight w:val="0"/>
                      <w:marTop w:val="0"/>
                      <w:marBottom w:val="0"/>
                      <w:divBdr>
                        <w:top w:val="none" w:sz="0" w:space="0" w:color="auto"/>
                        <w:left w:val="none" w:sz="0" w:space="0" w:color="auto"/>
                        <w:bottom w:val="none" w:sz="0" w:space="0" w:color="auto"/>
                        <w:right w:val="none" w:sz="0" w:space="0" w:color="auto"/>
                      </w:divBdr>
                    </w:div>
                    <w:div w:id="1156415434">
                      <w:marLeft w:val="0"/>
                      <w:marRight w:val="0"/>
                      <w:marTop w:val="0"/>
                      <w:marBottom w:val="0"/>
                      <w:divBdr>
                        <w:top w:val="none" w:sz="0" w:space="0" w:color="auto"/>
                        <w:left w:val="none" w:sz="0" w:space="0" w:color="auto"/>
                        <w:bottom w:val="none" w:sz="0" w:space="0" w:color="auto"/>
                        <w:right w:val="none" w:sz="0" w:space="0" w:color="auto"/>
                      </w:divBdr>
                    </w:div>
                    <w:div w:id="1217085223">
                      <w:marLeft w:val="0"/>
                      <w:marRight w:val="0"/>
                      <w:marTop w:val="0"/>
                      <w:marBottom w:val="0"/>
                      <w:divBdr>
                        <w:top w:val="none" w:sz="0" w:space="0" w:color="auto"/>
                        <w:left w:val="none" w:sz="0" w:space="0" w:color="auto"/>
                        <w:bottom w:val="none" w:sz="0" w:space="0" w:color="auto"/>
                        <w:right w:val="none" w:sz="0" w:space="0" w:color="auto"/>
                      </w:divBdr>
                    </w:div>
                    <w:div w:id="1345404175">
                      <w:marLeft w:val="0"/>
                      <w:marRight w:val="0"/>
                      <w:marTop w:val="0"/>
                      <w:marBottom w:val="0"/>
                      <w:divBdr>
                        <w:top w:val="none" w:sz="0" w:space="0" w:color="auto"/>
                        <w:left w:val="none" w:sz="0" w:space="0" w:color="auto"/>
                        <w:bottom w:val="none" w:sz="0" w:space="0" w:color="auto"/>
                        <w:right w:val="none" w:sz="0" w:space="0" w:color="auto"/>
                      </w:divBdr>
                    </w:div>
                    <w:div w:id="1915238845">
                      <w:marLeft w:val="0"/>
                      <w:marRight w:val="0"/>
                      <w:marTop w:val="0"/>
                      <w:marBottom w:val="0"/>
                      <w:divBdr>
                        <w:top w:val="none" w:sz="0" w:space="0" w:color="auto"/>
                        <w:left w:val="none" w:sz="0" w:space="0" w:color="auto"/>
                        <w:bottom w:val="none" w:sz="0" w:space="0" w:color="auto"/>
                        <w:right w:val="none" w:sz="0" w:space="0" w:color="auto"/>
                      </w:divBdr>
                    </w:div>
                    <w:div w:id="2109933388">
                      <w:marLeft w:val="0"/>
                      <w:marRight w:val="0"/>
                      <w:marTop w:val="0"/>
                      <w:marBottom w:val="0"/>
                      <w:divBdr>
                        <w:top w:val="none" w:sz="0" w:space="0" w:color="auto"/>
                        <w:left w:val="none" w:sz="0" w:space="0" w:color="auto"/>
                        <w:bottom w:val="none" w:sz="0" w:space="0" w:color="auto"/>
                        <w:right w:val="none" w:sz="0" w:space="0" w:color="auto"/>
                      </w:divBdr>
                    </w:div>
                  </w:divsChild>
                </w:div>
                <w:div w:id="254243998">
                  <w:marLeft w:val="0"/>
                  <w:marRight w:val="0"/>
                  <w:marTop w:val="0"/>
                  <w:marBottom w:val="0"/>
                  <w:divBdr>
                    <w:top w:val="none" w:sz="0" w:space="0" w:color="auto"/>
                    <w:left w:val="none" w:sz="0" w:space="0" w:color="auto"/>
                    <w:bottom w:val="none" w:sz="0" w:space="0" w:color="auto"/>
                    <w:right w:val="none" w:sz="0" w:space="0" w:color="auto"/>
                  </w:divBdr>
                  <w:divsChild>
                    <w:div w:id="83458791">
                      <w:marLeft w:val="0"/>
                      <w:marRight w:val="0"/>
                      <w:marTop w:val="0"/>
                      <w:marBottom w:val="0"/>
                      <w:divBdr>
                        <w:top w:val="none" w:sz="0" w:space="0" w:color="auto"/>
                        <w:left w:val="none" w:sz="0" w:space="0" w:color="auto"/>
                        <w:bottom w:val="none" w:sz="0" w:space="0" w:color="auto"/>
                        <w:right w:val="none" w:sz="0" w:space="0" w:color="auto"/>
                      </w:divBdr>
                    </w:div>
                    <w:div w:id="384988559">
                      <w:marLeft w:val="0"/>
                      <w:marRight w:val="0"/>
                      <w:marTop w:val="0"/>
                      <w:marBottom w:val="0"/>
                      <w:divBdr>
                        <w:top w:val="none" w:sz="0" w:space="0" w:color="auto"/>
                        <w:left w:val="none" w:sz="0" w:space="0" w:color="auto"/>
                        <w:bottom w:val="none" w:sz="0" w:space="0" w:color="auto"/>
                        <w:right w:val="none" w:sz="0" w:space="0" w:color="auto"/>
                      </w:divBdr>
                    </w:div>
                    <w:div w:id="540096850">
                      <w:marLeft w:val="0"/>
                      <w:marRight w:val="0"/>
                      <w:marTop w:val="0"/>
                      <w:marBottom w:val="0"/>
                      <w:divBdr>
                        <w:top w:val="none" w:sz="0" w:space="0" w:color="auto"/>
                        <w:left w:val="none" w:sz="0" w:space="0" w:color="auto"/>
                        <w:bottom w:val="none" w:sz="0" w:space="0" w:color="auto"/>
                        <w:right w:val="none" w:sz="0" w:space="0" w:color="auto"/>
                      </w:divBdr>
                    </w:div>
                    <w:div w:id="549925533">
                      <w:marLeft w:val="0"/>
                      <w:marRight w:val="0"/>
                      <w:marTop w:val="0"/>
                      <w:marBottom w:val="0"/>
                      <w:divBdr>
                        <w:top w:val="none" w:sz="0" w:space="0" w:color="auto"/>
                        <w:left w:val="none" w:sz="0" w:space="0" w:color="auto"/>
                        <w:bottom w:val="none" w:sz="0" w:space="0" w:color="auto"/>
                        <w:right w:val="none" w:sz="0" w:space="0" w:color="auto"/>
                      </w:divBdr>
                    </w:div>
                    <w:div w:id="975600038">
                      <w:marLeft w:val="0"/>
                      <w:marRight w:val="0"/>
                      <w:marTop w:val="0"/>
                      <w:marBottom w:val="0"/>
                      <w:divBdr>
                        <w:top w:val="none" w:sz="0" w:space="0" w:color="auto"/>
                        <w:left w:val="none" w:sz="0" w:space="0" w:color="auto"/>
                        <w:bottom w:val="none" w:sz="0" w:space="0" w:color="auto"/>
                        <w:right w:val="none" w:sz="0" w:space="0" w:color="auto"/>
                      </w:divBdr>
                    </w:div>
                  </w:divsChild>
                </w:div>
                <w:div w:id="277838487">
                  <w:marLeft w:val="0"/>
                  <w:marRight w:val="0"/>
                  <w:marTop w:val="0"/>
                  <w:marBottom w:val="0"/>
                  <w:divBdr>
                    <w:top w:val="none" w:sz="0" w:space="0" w:color="auto"/>
                    <w:left w:val="none" w:sz="0" w:space="0" w:color="auto"/>
                    <w:bottom w:val="none" w:sz="0" w:space="0" w:color="auto"/>
                    <w:right w:val="none" w:sz="0" w:space="0" w:color="auto"/>
                  </w:divBdr>
                  <w:divsChild>
                    <w:div w:id="91560425">
                      <w:marLeft w:val="0"/>
                      <w:marRight w:val="0"/>
                      <w:marTop w:val="0"/>
                      <w:marBottom w:val="0"/>
                      <w:divBdr>
                        <w:top w:val="none" w:sz="0" w:space="0" w:color="auto"/>
                        <w:left w:val="none" w:sz="0" w:space="0" w:color="auto"/>
                        <w:bottom w:val="none" w:sz="0" w:space="0" w:color="auto"/>
                        <w:right w:val="none" w:sz="0" w:space="0" w:color="auto"/>
                      </w:divBdr>
                    </w:div>
                  </w:divsChild>
                </w:div>
                <w:div w:id="338896922">
                  <w:marLeft w:val="0"/>
                  <w:marRight w:val="0"/>
                  <w:marTop w:val="0"/>
                  <w:marBottom w:val="0"/>
                  <w:divBdr>
                    <w:top w:val="none" w:sz="0" w:space="0" w:color="auto"/>
                    <w:left w:val="none" w:sz="0" w:space="0" w:color="auto"/>
                    <w:bottom w:val="none" w:sz="0" w:space="0" w:color="auto"/>
                    <w:right w:val="none" w:sz="0" w:space="0" w:color="auto"/>
                  </w:divBdr>
                  <w:divsChild>
                    <w:div w:id="1522890854">
                      <w:marLeft w:val="0"/>
                      <w:marRight w:val="0"/>
                      <w:marTop w:val="0"/>
                      <w:marBottom w:val="0"/>
                      <w:divBdr>
                        <w:top w:val="none" w:sz="0" w:space="0" w:color="auto"/>
                        <w:left w:val="none" w:sz="0" w:space="0" w:color="auto"/>
                        <w:bottom w:val="none" w:sz="0" w:space="0" w:color="auto"/>
                        <w:right w:val="none" w:sz="0" w:space="0" w:color="auto"/>
                      </w:divBdr>
                    </w:div>
                  </w:divsChild>
                </w:div>
                <w:div w:id="340083754">
                  <w:marLeft w:val="0"/>
                  <w:marRight w:val="0"/>
                  <w:marTop w:val="0"/>
                  <w:marBottom w:val="0"/>
                  <w:divBdr>
                    <w:top w:val="none" w:sz="0" w:space="0" w:color="auto"/>
                    <w:left w:val="none" w:sz="0" w:space="0" w:color="auto"/>
                    <w:bottom w:val="none" w:sz="0" w:space="0" w:color="auto"/>
                    <w:right w:val="none" w:sz="0" w:space="0" w:color="auto"/>
                  </w:divBdr>
                  <w:divsChild>
                    <w:div w:id="281961899">
                      <w:marLeft w:val="0"/>
                      <w:marRight w:val="0"/>
                      <w:marTop w:val="0"/>
                      <w:marBottom w:val="0"/>
                      <w:divBdr>
                        <w:top w:val="none" w:sz="0" w:space="0" w:color="auto"/>
                        <w:left w:val="none" w:sz="0" w:space="0" w:color="auto"/>
                        <w:bottom w:val="none" w:sz="0" w:space="0" w:color="auto"/>
                        <w:right w:val="none" w:sz="0" w:space="0" w:color="auto"/>
                      </w:divBdr>
                    </w:div>
                    <w:div w:id="492793877">
                      <w:marLeft w:val="0"/>
                      <w:marRight w:val="0"/>
                      <w:marTop w:val="0"/>
                      <w:marBottom w:val="0"/>
                      <w:divBdr>
                        <w:top w:val="none" w:sz="0" w:space="0" w:color="auto"/>
                        <w:left w:val="none" w:sz="0" w:space="0" w:color="auto"/>
                        <w:bottom w:val="none" w:sz="0" w:space="0" w:color="auto"/>
                        <w:right w:val="none" w:sz="0" w:space="0" w:color="auto"/>
                      </w:divBdr>
                    </w:div>
                    <w:div w:id="1063062842">
                      <w:marLeft w:val="0"/>
                      <w:marRight w:val="0"/>
                      <w:marTop w:val="0"/>
                      <w:marBottom w:val="0"/>
                      <w:divBdr>
                        <w:top w:val="none" w:sz="0" w:space="0" w:color="auto"/>
                        <w:left w:val="none" w:sz="0" w:space="0" w:color="auto"/>
                        <w:bottom w:val="none" w:sz="0" w:space="0" w:color="auto"/>
                        <w:right w:val="none" w:sz="0" w:space="0" w:color="auto"/>
                      </w:divBdr>
                    </w:div>
                    <w:div w:id="1338996628">
                      <w:marLeft w:val="0"/>
                      <w:marRight w:val="0"/>
                      <w:marTop w:val="0"/>
                      <w:marBottom w:val="0"/>
                      <w:divBdr>
                        <w:top w:val="none" w:sz="0" w:space="0" w:color="auto"/>
                        <w:left w:val="none" w:sz="0" w:space="0" w:color="auto"/>
                        <w:bottom w:val="none" w:sz="0" w:space="0" w:color="auto"/>
                        <w:right w:val="none" w:sz="0" w:space="0" w:color="auto"/>
                      </w:divBdr>
                    </w:div>
                    <w:div w:id="1355616307">
                      <w:marLeft w:val="0"/>
                      <w:marRight w:val="0"/>
                      <w:marTop w:val="0"/>
                      <w:marBottom w:val="0"/>
                      <w:divBdr>
                        <w:top w:val="none" w:sz="0" w:space="0" w:color="auto"/>
                        <w:left w:val="none" w:sz="0" w:space="0" w:color="auto"/>
                        <w:bottom w:val="none" w:sz="0" w:space="0" w:color="auto"/>
                        <w:right w:val="none" w:sz="0" w:space="0" w:color="auto"/>
                      </w:divBdr>
                    </w:div>
                    <w:div w:id="1537740526">
                      <w:marLeft w:val="0"/>
                      <w:marRight w:val="0"/>
                      <w:marTop w:val="0"/>
                      <w:marBottom w:val="0"/>
                      <w:divBdr>
                        <w:top w:val="none" w:sz="0" w:space="0" w:color="auto"/>
                        <w:left w:val="none" w:sz="0" w:space="0" w:color="auto"/>
                        <w:bottom w:val="none" w:sz="0" w:space="0" w:color="auto"/>
                        <w:right w:val="none" w:sz="0" w:space="0" w:color="auto"/>
                      </w:divBdr>
                    </w:div>
                    <w:div w:id="1592347675">
                      <w:marLeft w:val="0"/>
                      <w:marRight w:val="0"/>
                      <w:marTop w:val="0"/>
                      <w:marBottom w:val="0"/>
                      <w:divBdr>
                        <w:top w:val="none" w:sz="0" w:space="0" w:color="auto"/>
                        <w:left w:val="none" w:sz="0" w:space="0" w:color="auto"/>
                        <w:bottom w:val="none" w:sz="0" w:space="0" w:color="auto"/>
                        <w:right w:val="none" w:sz="0" w:space="0" w:color="auto"/>
                      </w:divBdr>
                    </w:div>
                    <w:div w:id="1750693875">
                      <w:marLeft w:val="0"/>
                      <w:marRight w:val="0"/>
                      <w:marTop w:val="0"/>
                      <w:marBottom w:val="0"/>
                      <w:divBdr>
                        <w:top w:val="none" w:sz="0" w:space="0" w:color="auto"/>
                        <w:left w:val="none" w:sz="0" w:space="0" w:color="auto"/>
                        <w:bottom w:val="none" w:sz="0" w:space="0" w:color="auto"/>
                        <w:right w:val="none" w:sz="0" w:space="0" w:color="auto"/>
                      </w:divBdr>
                    </w:div>
                    <w:div w:id="1914582420">
                      <w:marLeft w:val="0"/>
                      <w:marRight w:val="0"/>
                      <w:marTop w:val="0"/>
                      <w:marBottom w:val="0"/>
                      <w:divBdr>
                        <w:top w:val="none" w:sz="0" w:space="0" w:color="auto"/>
                        <w:left w:val="none" w:sz="0" w:space="0" w:color="auto"/>
                        <w:bottom w:val="none" w:sz="0" w:space="0" w:color="auto"/>
                        <w:right w:val="none" w:sz="0" w:space="0" w:color="auto"/>
                      </w:divBdr>
                    </w:div>
                    <w:div w:id="1967199202">
                      <w:marLeft w:val="0"/>
                      <w:marRight w:val="0"/>
                      <w:marTop w:val="0"/>
                      <w:marBottom w:val="0"/>
                      <w:divBdr>
                        <w:top w:val="none" w:sz="0" w:space="0" w:color="auto"/>
                        <w:left w:val="none" w:sz="0" w:space="0" w:color="auto"/>
                        <w:bottom w:val="none" w:sz="0" w:space="0" w:color="auto"/>
                        <w:right w:val="none" w:sz="0" w:space="0" w:color="auto"/>
                      </w:divBdr>
                    </w:div>
                    <w:div w:id="2041012175">
                      <w:marLeft w:val="0"/>
                      <w:marRight w:val="0"/>
                      <w:marTop w:val="0"/>
                      <w:marBottom w:val="0"/>
                      <w:divBdr>
                        <w:top w:val="none" w:sz="0" w:space="0" w:color="auto"/>
                        <w:left w:val="none" w:sz="0" w:space="0" w:color="auto"/>
                        <w:bottom w:val="none" w:sz="0" w:space="0" w:color="auto"/>
                        <w:right w:val="none" w:sz="0" w:space="0" w:color="auto"/>
                      </w:divBdr>
                    </w:div>
                  </w:divsChild>
                </w:div>
                <w:div w:id="359360652">
                  <w:marLeft w:val="0"/>
                  <w:marRight w:val="0"/>
                  <w:marTop w:val="0"/>
                  <w:marBottom w:val="0"/>
                  <w:divBdr>
                    <w:top w:val="none" w:sz="0" w:space="0" w:color="auto"/>
                    <w:left w:val="none" w:sz="0" w:space="0" w:color="auto"/>
                    <w:bottom w:val="none" w:sz="0" w:space="0" w:color="auto"/>
                    <w:right w:val="none" w:sz="0" w:space="0" w:color="auto"/>
                  </w:divBdr>
                  <w:divsChild>
                    <w:div w:id="1180703920">
                      <w:marLeft w:val="0"/>
                      <w:marRight w:val="0"/>
                      <w:marTop w:val="0"/>
                      <w:marBottom w:val="0"/>
                      <w:divBdr>
                        <w:top w:val="none" w:sz="0" w:space="0" w:color="auto"/>
                        <w:left w:val="none" w:sz="0" w:space="0" w:color="auto"/>
                        <w:bottom w:val="none" w:sz="0" w:space="0" w:color="auto"/>
                        <w:right w:val="none" w:sz="0" w:space="0" w:color="auto"/>
                      </w:divBdr>
                    </w:div>
                  </w:divsChild>
                </w:div>
                <w:div w:id="373193956">
                  <w:marLeft w:val="0"/>
                  <w:marRight w:val="0"/>
                  <w:marTop w:val="0"/>
                  <w:marBottom w:val="0"/>
                  <w:divBdr>
                    <w:top w:val="none" w:sz="0" w:space="0" w:color="auto"/>
                    <w:left w:val="none" w:sz="0" w:space="0" w:color="auto"/>
                    <w:bottom w:val="none" w:sz="0" w:space="0" w:color="auto"/>
                    <w:right w:val="none" w:sz="0" w:space="0" w:color="auto"/>
                  </w:divBdr>
                  <w:divsChild>
                    <w:div w:id="1195920987">
                      <w:marLeft w:val="0"/>
                      <w:marRight w:val="0"/>
                      <w:marTop w:val="0"/>
                      <w:marBottom w:val="0"/>
                      <w:divBdr>
                        <w:top w:val="none" w:sz="0" w:space="0" w:color="auto"/>
                        <w:left w:val="none" w:sz="0" w:space="0" w:color="auto"/>
                        <w:bottom w:val="none" w:sz="0" w:space="0" w:color="auto"/>
                        <w:right w:val="none" w:sz="0" w:space="0" w:color="auto"/>
                      </w:divBdr>
                    </w:div>
                  </w:divsChild>
                </w:div>
                <w:div w:id="404883332">
                  <w:marLeft w:val="0"/>
                  <w:marRight w:val="0"/>
                  <w:marTop w:val="0"/>
                  <w:marBottom w:val="0"/>
                  <w:divBdr>
                    <w:top w:val="none" w:sz="0" w:space="0" w:color="auto"/>
                    <w:left w:val="none" w:sz="0" w:space="0" w:color="auto"/>
                    <w:bottom w:val="none" w:sz="0" w:space="0" w:color="auto"/>
                    <w:right w:val="none" w:sz="0" w:space="0" w:color="auto"/>
                  </w:divBdr>
                  <w:divsChild>
                    <w:div w:id="925455183">
                      <w:marLeft w:val="0"/>
                      <w:marRight w:val="0"/>
                      <w:marTop w:val="0"/>
                      <w:marBottom w:val="0"/>
                      <w:divBdr>
                        <w:top w:val="none" w:sz="0" w:space="0" w:color="auto"/>
                        <w:left w:val="none" w:sz="0" w:space="0" w:color="auto"/>
                        <w:bottom w:val="none" w:sz="0" w:space="0" w:color="auto"/>
                        <w:right w:val="none" w:sz="0" w:space="0" w:color="auto"/>
                      </w:divBdr>
                    </w:div>
                  </w:divsChild>
                </w:div>
                <w:div w:id="470365019">
                  <w:marLeft w:val="0"/>
                  <w:marRight w:val="0"/>
                  <w:marTop w:val="0"/>
                  <w:marBottom w:val="0"/>
                  <w:divBdr>
                    <w:top w:val="none" w:sz="0" w:space="0" w:color="auto"/>
                    <w:left w:val="none" w:sz="0" w:space="0" w:color="auto"/>
                    <w:bottom w:val="none" w:sz="0" w:space="0" w:color="auto"/>
                    <w:right w:val="none" w:sz="0" w:space="0" w:color="auto"/>
                  </w:divBdr>
                  <w:divsChild>
                    <w:div w:id="406461219">
                      <w:marLeft w:val="0"/>
                      <w:marRight w:val="0"/>
                      <w:marTop w:val="0"/>
                      <w:marBottom w:val="0"/>
                      <w:divBdr>
                        <w:top w:val="none" w:sz="0" w:space="0" w:color="auto"/>
                        <w:left w:val="none" w:sz="0" w:space="0" w:color="auto"/>
                        <w:bottom w:val="none" w:sz="0" w:space="0" w:color="auto"/>
                        <w:right w:val="none" w:sz="0" w:space="0" w:color="auto"/>
                      </w:divBdr>
                    </w:div>
                    <w:div w:id="1401754342">
                      <w:marLeft w:val="0"/>
                      <w:marRight w:val="0"/>
                      <w:marTop w:val="0"/>
                      <w:marBottom w:val="0"/>
                      <w:divBdr>
                        <w:top w:val="none" w:sz="0" w:space="0" w:color="auto"/>
                        <w:left w:val="none" w:sz="0" w:space="0" w:color="auto"/>
                        <w:bottom w:val="none" w:sz="0" w:space="0" w:color="auto"/>
                        <w:right w:val="none" w:sz="0" w:space="0" w:color="auto"/>
                      </w:divBdr>
                    </w:div>
                  </w:divsChild>
                </w:div>
                <w:div w:id="475800090">
                  <w:marLeft w:val="0"/>
                  <w:marRight w:val="0"/>
                  <w:marTop w:val="0"/>
                  <w:marBottom w:val="0"/>
                  <w:divBdr>
                    <w:top w:val="none" w:sz="0" w:space="0" w:color="auto"/>
                    <w:left w:val="none" w:sz="0" w:space="0" w:color="auto"/>
                    <w:bottom w:val="none" w:sz="0" w:space="0" w:color="auto"/>
                    <w:right w:val="none" w:sz="0" w:space="0" w:color="auto"/>
                  </w:divBdr>
                  <w:divsChild>
                    <w:div w:id="37946942">
                      <w:marLeft w:val="0"/>
                      <w:marRight w:val="0"/>
                      <w:marTop w:val="0"/>
                      <w:marBottom w:val="0"/>
                      <w:divBdr>
                        <w:top w:val="none" w:sz="0" w:space="0" w:color="auto"/>
                        <w:left w:val="none" w:sz="0" w:space="0" w:color="auto"/>
                        <w:bottom w:val="none" w:sz="0" w:space="0" w:color="auto"/>
                        <w:right w:val="none" w:sz="0" w:space="0" w:color="auto"/>
                      </w:divBdr>
                    </w:div>
                    <w:div w:id="116993733">
                      <w:marLeft w:val="0"/>
                      <w:marRight w:val="0"/>
                      <w:marTop w:val="0"/>
                      <w:marBottom w:val="0"/>
                      <w:divBdr>
                        <w:top w:val="none" w:sz="0" w:space="0" w:color="auto"/>
                        <w:left w:val="none" w:sz="0" w:space="0" w:color="auto"/>
                        <w:bottom w:val="none" w:sz="0" w:space="0" w:color="auto"/>
                        <w:right w:val="none" w:sz="0" w:space="0" w:color="auto"/>
                      </w:divBdr>
                    </w:div>
                    <w:div w:id="155732457">
                      <w:marLeft w:val="0"/>
                      <w:marRight w:val="0"/>
                      <w:marTop w:val="0"/>
                      <w:marBottom w:val="0"/>
                      <w:divBdr>
                        <w:top w:val="none" w:sz="0" w:space="0" w:color="auto"/>
                        <w:left w:val="none" w:sz="0" w:space="0" w:color="auto"/>
                        <w:bottom w:val="none" w:sz="0" w:space="0" w:color="auto"/>
                        <w:right w:val="none" w:sz="0" w:space="0" w:color="auto"/>
                      </w:divBdr>
                    </w:div>
                    <w:div w:id="436213530">
                      <w:marLeft w:val="0"/>
                      <w:marRight w:val="0"/>
                      <w:marTop w:val="0"/>
                      <w:marBottom w:val="0"/>
                      <w:divBdr>
                        <w:top w:val="none" w:sz="0" w:space="0" w:color="auto"/>
                        <w:left w:val="none" w:sz="0" w:space="0" w:color="auto"/>
                        <w:bottom w:val="none" w:sz="0" w:space="0" w:color="auto"/>
                        <w:right w:val="none" w:sz="0" w:space="0" w:color="auto"/>
                      </w:divBdr>
                    </w:div>
                    <w:div w:id="545025112">
                      <w:marLeft w:val="0"/>
                      <w:marRight w:val="0"/>
                      <w:marTop w:val="0"/>
                      <w:marBottom w:val="0"/>
                      <w:divBdr>
                        <w:top w:val="none" w:sz="0" w:space="0" w:color="auto"/>
                        <w:left w:val="none" w:sz="0" w:space="0" w:color="auto"/>
                        <w:bottom w:val="none" w:sz="0" w:space="0" w:color="auto"/>
                        <w:right w:val="none" w:sz="0" w:space="0" w:color="auto"/>
                      </w:divBdr>
                    </w:div>
                    <w:div w:id="621575530">
                      <w:marLeft w:val="0"/>
                      <w:marRight w:val="0"/>
                      <w:marTop w:val="0"/>
                      <w:marBottom w:val="0"/>
                      <w:divBdr>
                        <w:top w:val="none" w:sz="0" w:space="0" w:color="auto"/>
                        <w:left w:val="none" w:sz="0" w:space="0" w:color="auto"/>
                        <w:bottom w:val="none" w:sz="0" w:space="0" w:color="auto"/>
                        <w:right w:val="none" w:sz="0" w:space="0" w:color="auto"/>
                      </w:divBdr>
                    </w:div>
                    <w:div w:id="1077627299">
                      <w:marLeft w:val="0"/>
                      <w:marRight w:val="0"/>
                      <w:marTop w:val="0"/>
                      <w:marBottom w:val="0"/>
                      <w:divBdr>
                        <w:top w:val="none" w:sz="0" w:space="0" w:color="auto"/>
                        <w:left w:val="none" w:sz="0" w:space="0" w:color="auto"/>
                        <w:bottom w:val="none" w:sz="0" w:space="0" w:color="auto"/>
                        <w:right w:val="none" w:sz="0" w:space="0" w:color="auto"/>
                      </w:divBdr>
                    </w:div>
                    <w:div w:id="1464809342">
                      <w:marLeft w:val="0"/>
                      <w:marRight w:val="0"/>
                      <w:marTop w:val="0"/>
                      <w:marBottom w:val="0"/>
                      <w:divBdr>
                        <w:top w:val="none" w:sz="0" w:space="0" w:color="auto"/>
                        <w:left w:val="none" w:sz="0" w:space="0" w:color="auto"/>
                        <w:bottom w:val="none" w:sz="0" w:space="0" w:color="auto"/>
                        <w:right w:val="none" w:sz="0" w:space="0" w:color="auto"/>
                      </w:divBdr>
                    </w:div>
                    <w:div w:id="1649019372">
                      <w:marLeft w:val="0"/>
                      <w:marRight w:val="0"/>
                      <w:marTop w:val="0"/>
                      <w:marBottom w:val="0"/>
                      <w:divBdr>
                        <w:top w:val="none" w:sz="0" w:space="0" w:color="auto"/>
                        <w:left w:val="none" w:sz="0" w:space="0" w:color="auto"/>
                        <w:bottom w:val="none" w:sz="0" w:space="0" w:color="auto"/>
                        <w:right w:val="none" w:sz="0" w:space="0" w:color="auto"/>
                      </w:divBdr>
                    </w:div>
                  </w:divsChild>
                </w:div>
                <w:div w:id="537013641">
                  <w:marLeft w:val="0"/>
                  <w:marRight w:val="0"/>
                  <w:marTop w:val="0"/>
                  <w:marBottom w:val="0"/>
                  <w:divBdr>
                    <w:top w:val="none" w:sz="0" w:space="0" w:color="auto"/>
                    <w:left w:val="none" w:sz="0" w:space="0" w:color="auto"/>
                    <w:bottom w:val="none" w:sz="0" w:space="0" w:color="auto"/>
                    <w:right w:val="none" w:sz="0" w:space="0" w:color="auto"/>
                  </w:divBdr>
                  <w:divsChild>
                    <w:div w:id="182130170">
                      <w:marLeft w:val="0"/>
                      <w:marRight w:val="0"/>
                      <w:marTop w:val="0"/>
                      <w:marBottom w:val="0"/>
                      <w:divBdr>
                        <w:top w:val="none" w:sz="0" w:space="0" w:color="auto"/>
                        <w:left w:val="none" w:sz="0" w:space="0" w:color="auto"/>
                        <w:bottom w:val="none" w:sz="0" w:space="0" w:color="auto"/>
                        <w:right w:val="none" w:sz="0" w:space="0" w:color="auto"/>
                      </w:divBdr>
                    </w:div>
                    <w:div w:id="233469672">
                      <w:marLeft w:val="0"/>
                      <w:marRight w:val="0"/>
                      <w:marTop w:val="0"/>
                      <w:marBottom w:val="0"/>
                      <w:divBdr>
                        <w:top w:val="none" w:sz="0" w:space="0" w:color="auto"/>
                        <w:left w:val="none" w:sz="0" w:space="0" w:color="auto"/>
                        <w:bottom w:val="none" w:sz="0" w:space="0" w:color="auto"/>
                        <w:right w:val="none" w:sz="0" w:space="0" w:color="auto"/>
                      </w:divBdr>
                    </w:div>
                    <w:div w:id="426462955">
                      <w:marLeft w:val="0"/>
                      <w:marRight w:val="0"/>
                      <w:marTop w:val="0"/>
                      <w:marBottom w:val="0"/>
                      <w:divBdr>
                        <w:top w:val="none" w:sz="0" w:space="0" w:color="auto"/>
                        <w:left w:val="none" w:sz="0" w:space="0" w:color="auto"/>
                        <w:bottom w:val="none" w:sz="0" w:space="0" w:color="auto"/>
                        <w:right w:val="none" w:sz="0" w:space="0" w:color="auto"/>
                      </w:divBdr>
                    </w:div>
                    <w:div w:id="739911518">
                      <w:marLeft w:val="0"/>
                      <w:marRight w:val="0"/>
                      <w:marTop w:val="0"/>
                      <w:marBottom w:val="0"/>
                      <w:divBdr>
                        <w:top w:val="none" w:sz="0" w:space="0" w:color="auto"/>
                        <w:left w:val="none" w:sz="0" w:space="0" w:color="auto"/>
                        <w:bottom w:val="none" w:sz="0" w:space="0" w:color="auto"/>
                        <w:right w:val="none" w:sz="0" w:space="0" w:color="auto"/>
                      </w:divBdr>
                    </w:div>
                    <w:div w:id="1233782625">
                      <w:marLeft w:val="0"/>
                      <w:marRight w:val="0"/>
                      <w:marTop w:val="0"/>
                      <w:marBottom w:val="0"/>
                      <w:divBdr>
                        <w:top w:val="none" w:sz="0" w:space="0" w:color="auto"/>
                        <w:left w:val="none" w:sz="0" w:space="0" w:color="auto"/>
                        <w:bottom w:val="none" w:sz="0" w:space="0" w:color="auto"/>
                        <w:right w:val="none" w:sz="0" w:space="0" w:color="auto"/>
                      </w:divBdr>
                    </w:div>
                    <w:div w:id="1415974119">
                      <w:marLeft w:val="0"/>
                      <w:marRight w:val="0"/>
                      <w:marTop w:val="0"/>
                      <w:marBottom w:val="0"/>
                      <w:divBdr>
                        <w:top w:val="none" w:sz="0" w:space="0" w:color="auto"/>
                        <w:left w:val="none" w:sz="0" w:space="0" w:color="auto"/>
                        <w:bottom w:val="none" w:sz="0" w:space="0" w:color="auto"/>
                        <w:right w:val="none" w:sz="0" w:space="0" w:color="auto"/>
                      </w:divBdr>
                    </w:div>
                    <w:div w:id="1657145357">
                      <w:marLeft w:val="0"/>
                      <w:marRight w:val="0"/>
                      <w:marTop w:val="0"/>
                      <w:marBottom w:val="0"/>
                      <w:divBdr>
                        <w:top w:val="none" w:sz="0" w:space="0" w:color="auto"/>
                        <w:left w:val="none" w:sz="0" w:space="0" w:color="auto"/>
                        <w:bottom w:val="none" w:sz="0" w:space="0" w:color="auto"/>
                        <w:right w:val="none" w:sz="0" w:space="0" w:color="auto"/>
                      </w:divBdr>
                    </w:div>
                  </w:divsChild>
                </w:div>
                <w:div w:id="541402949">
                  <w:marLeft w:val="0"/>
                  <w:marRight w:val="0"/>
                  <w:marTop w:val="0"/>
                  <w:marBottom w:val="0"/>
                  <w:divBdr>
                    <w:top w:val="none" w:sz="0" w:space="0" w:color="auto"/>
                    <w:left w:val="none" w:sz="0" w:space="0" w:color="auto"/>
                    <w:bottom w:val="none" w:sz="0" w:space="0" w:color="auto"/>
                    <w:right w:val="none" w:sz="0" w:space="0" w:color="auto"/>
                  </w:divBdr>
                  <w:divsChild>
                    <w:div w:id="304746425">
                      <w:marLeft w:val="0"/>
                      <w:marRight w:val="0"/>
                      <w:marTop w:val="0"/>
                      <w:marBottom w:val="0"/>
                      <w:divBdr>
                        <w:top w:val="none" w:sz="0" w:space="0" w:color="auto"/>
                        <w:left w:val="none" w:sz="0" w:space="0" w:color="auto"/>
                        <w:bottom w:val="none" w:sz="0" w:space="0" w:color="auto"/>
                        <w:right w:val="none" w:sz="0" w:space="0" w:color="auto"/>
                      </w:divBdr>
                    </w:div>
                    <w:div w:id="432942334">
                      <w:marLeft w:val="0"/>
                      <w:marRight w:val="0"/>
                      <w:marTop w:val="0"/>
                      <w:marBottom w:val="0"/>
                      <w:divBdr>
                        <w:top w:val="none" w:sz="0" w:space="0" w:color="auto"/>
                        <w:left w:val="none" w:sz="0" w:space="0" w:color="auto"/>
                        <w:bottom w:val="none" w:sz="0" w:space="0" w:color="auto"/>
                        <w:right w:val="none" w:sz="0" w:space="0" w:color="auto"/>
                      </w:divBdr>
                    </w:div>
                    <w:div w:id="809633683">
                      <w:marLeft w:val="0"/>
                      <w:marRight w:val="0"/>
                      <w:marTop w:val="0"/>
                      <w:marBottom w:val="0"/>
                      <w:divBdr>
                        <w:top w:val="none" w:sz="0" w:space="0" w:color="auto"/>
                        <w:left w:val="none" w:sz="0" w:space="0" w:color="auto"/>
                        <w:bottom w:val="none" w:sz="0" w:space="0" w:color="auto"/>
                        <w:right w:val="none" w:sz="0" w:space="0" w:color="auto"/>
                      </w:divBdr>
                    </w:div>
                    <w:div w:id="1104837415">
                      <w:marLeft w:val="0"/>
                      <w:marRight w:val="0"/>
                      <w:marTop w:val="0"/>
                      <w:marBottom w:val="0"/>
                      <w:divBdr>
                        <w:top w:val="none" w:sz="0" w:space="0" w:color="auto"/>
                        <w:left w:val="none" w:sz="0" w:space="0" w:color="auto"/>
                        <w:bottom w:val="none" w:sz="0" w:space="0" w:color="auto"/>
                        <w:right w:val="none" w:sz="0" w:space="0" w:color="auto"/>
                      </w:divBdr>
                    </w:div>
                    <w:div w:id="1221943741">
                      <w:marLeft w:val="0"/>
                      <w:marRight w:val="0"/>
                      <w:marTop w:val="0"/>
                      <w:marBottom w:val="0"/>
                      <w:divBdr>
                        <w:top w:val="none" w:sz="0" w:space="0" w:color="auto"/>
                        <w:left w:val="none" w:sz="0" w:space="0" w:color="auto"/>
                        <w:bottom w:val="none" w:sz="0" w:space="0" w:color="auto"/>
                        <w:right w:val="none" w:sz="0" w:space="0" w:color="auto"/>
                      </w:divBdr>
                    </w:div>
                  </w:divsChild>
                </w:div>
                <w:div w:id="672536979">
                  <w:marLeft w:val="0"/>
                  <w:marRight w:val="0"/>
                  <w:marTop w:val="0"/>
                  <w:marBottom w:val="0"/>
                  <w:divBdr>
                    <w:top w:val="none" w:sz="0" w:space="0" w:color="auto"/>
                    <w:left w:val="none" w:sz="0" w:space="0" w:color="auto"/>
                    <w:bottom w:val="none" w:sz="0" w:space="0" w:color="auto"/>
                    <w:right w:val="none" w:sz="0" w:space="0" w:color="auto"/>
                  </w:divBdr>
                  <w:divsChild>
                    <w:div w:id="47842005">
                      <w:marLeft w:val="0"/>
                      <w:marRight w:val="0"/>
                      <w:marTop w:val="0"/>
                      <w:marBottom w:val="0"/>
                      <w:divBdr>
                        <w:top w:val="none" w:sz="0" w:space="0" w:color="auto"/>
                        <w:left w:val="none" w:sz="0" w:space="0" w:color="auto"/>
                        <w:bottom w:val="none" w:sz="0" w:space="0" w:color="auto"/>
                        <w:right w:val="none" w:sz="0" w:space="0" w:color="auto"/>
                      </w:divBdr>
                    </w:div>
                    <w:div w:id="107430531">
                      <w:marLeft w:val="0"/>
                      <w:marRight w:val="0"/>
                      <w:marTop w:val="0"/>
                      <w:marBottom w:val="0"/>
                      <w:divBdr>
                        <w:top w:val="none" w:sz="0" w:space="0" w:color="auto"/>
                        <w:left w:val="none" w:sz="0" w:space="0" w:color="auto"/>
                        <w:bottom w:val="none" w:sz="0" w:space="0" w:color="auto"/>
                        <w:right w:val="none" w:sz="0" w:space="0" w:color="auto"/>
                      </w:divBdr>
                    </w:div>
                    <w:div w:id="351999873">
                      <w:marLeft w:val="0"/>
                      <w:marRight w:val="0"/>
                      <w:marTop w:val="0"/>
                      <w:marBottom w:val="0"/>
                      <w:divBdr>
                        <w:top w:val="none" w:sz="0" w:space="0" w:color="auto"/>
                        <w:left w:val="none" w:sz="0" w:space="0" w:color="auto"/>
                        <w:bottom w:val="none" w:sz="0" w:space="0" w:color="auto"/>
                        <w:right w:val="none" w:sz="0" w:space="0" w:color="auto"/>
                      </w:divBdr>
                    </w:div>
                    <w:div w:id="386032155">
                      <w:marLeft w:val="0"/>
                      <w:marRight w:val="0"/>
                      <w:marTop w:val="0"/>
                      <w:marBottom w:val="0"/>
                      <w:divBdr>
                        <w:top w:val="none" w:sz="0" w:space="0" w:color="auto"/>
                        <w:left w:val="none" w:sz="0" w:space="0" w:color="auto"/>
                        <w:bottom w:val="none" w:sz="0" w:space="0" w:color="auto"/>
                        <w:right w:val="none" w:sz="0" w:space="0" w:color="auto"/>
                      </w:divBdr>
                    </w:div>
                    <w:div w:id="580797151">
                      <w:marLeft w:val="0"/>
                      <w:marRight w:val="0"/>
                      <w:marTop w:val="0"/>
                      <w:marBottom w:val="0"/>
                      <w:divBdr>
                        <w:top w:val="none" w:sz="0" w:space="0" w:color="auto"/>
                        <w:left w:val="none" w:sz="0" w:space="0" w:color="auto"/>
                        <w:bottom w:val="none" w:sz="0" w:space="0" w:color="auto"/>
                        <w:right w:val="none" w:sz="0" w:space="0" w:color="auto"/>
                      </w:divBdr>
                    </w:div>
                    <w:div w:id="868490359">
                      <w:marLeft w:val="0"/>
                      <w:marRight w:val="0"/>
                      <w:marTop w:val="0"/>
                      <w:marBottom w:val="0"/>
                      <w:divBdr>
                        <w:top w:val="none" w:sz="0" w:space="0" w:color="auto"/>
                        <w:left w:val="none" w:sz="0" w:space="0" w:color="auto"/>
                        <w:bottom w:val="none" w:sz="0" w:space="0" w:color="auto"/>
                        <w:right w:val="none" w:sz="0" w:space="0" w:color="auto"/>
                      </w:divBdr>
                    </w:div>
                    <w:div w:id="924387377">
                      <w:marLeft w:val="0"/>
                      <w:marRight w:val="0"/>
                      <w:marTop w:val="0"/>
                      <w:marBottom w:val="0"/>
                      <w:divBdr>
                        <w:top w:val="none" w:sz="0" w:space="0" w:color="auto"/>
                        <w:left w:val="none" w:sz="0" w:space="0" w:color="auto"/>
                        <w:bottom w:val="none" w:sz="0" w:space="0" w:color="auto"/>
                        <w:right w:val="none" w:sz="0" w:space="0" w:color="auto"/>
                      </w:divBdr>
                    </w:div>
                    <w:div w:id="1198853768">
                      <w:marLeft w:val="0"/>
                      <w:marRight w:val="0"/>
                      <w:marTop w:val="0"/>
                      <w:marBottom w:val="0"/>
                      <w:divBdr>
                        <w:top w:val="none" w:sz="0" w:space="0" w:color="auto"/>
                        <w:left w:val="none" w:sz="0" w:space="0" w:color="auto"/>
                        <w:bottom w:val="none" w:sz="0" w:space="0" w:color="auto"/>
                        <w:right w:val="none" w:sz="0" w:space="0" w:color="auto"/>
                      </w:divBdr>
                    </w:div>
                    <w:div w:id="1469470684">
                      <w:marLeft w:val="0"/>
                      <w:marRight w:val="0"/>
                      <w:marTop w:val="0"/>
                      <w:marBottom w:val="0"/>
                      <w:divBdr>
                        <w:top w:val="none" w:sz="0" w:space="0" w:color="auto"/>
                        <w:left w:val="none" w:sz="0" w:space="0" w:color="auto"/>
                        <w:bottom w:val="none" w:sz="0" w:space="0" w:color="auto"/>
                        <w:right w:val="none" w:sz="0" w:space="0" w:color="auto"/>
                      </w:divBdr>
                    </w:div>
                  </w:divsChild>
                </w:div>
                <w:div w:id="718240309">
                  <w:marLeft w:val="0"/>
                  <w:marRight w:val="0"/>
                  <w:marTop w:val="0"/>
                  <w:marBottom w:val="0"/>
                  <w:divBdr>
                    <w:top w:val="none" w:sz="0" w:space="0" w:color="auto"/>
                    <w:left w:val="none" w:sz="0" w:space="0" w:color="auto"/>
                    <w:bottom w:val="none" w:sz="0" w:space="0" w:color="auto"/>
                    <w:right w:val="none" w:sz="0" w:space="0" w:color="auto"/>
                  </w:divBdr>
                  <w:divsChild>
                    <w:div w:id="704065033">
                      <w:marLeft w:val="0"/>
                      <w:marRight w:val="0"/>
                      <w:marTop w:val="0"/>
                      <w:marBottom w:val="0"/>
                      <w:divBdr>
                        <w:top w:val="none" w:sz="0" w:space="0" w:color="auto"/>
                        <w:left w:val="none" w:sz="0" w:space="0" w:color="auto"/>
                        <w:bottom w:val="none" w:sz="0" w:space="0" w:color="auto"/>
                        <w:right w:val="none" w:sz="0" w:space="0" w:color="auto"/>
                      </w:divBdr>
                    </w:div>
                    <w:div w:id="829441257">
                      <w:marLeft w:val="0"/>
                      <w:marRight w:val="0"/>
                      <w:marTop w:val="0"/>
                      <w:marBottom w:val="0"/>
                      <w:divBdr>
                        <w:top w:val="none" w:sz="0" w:space="0" w:color="auto"/>
                        <w:left w:val="none" w:sz="0" w:space="0" w:color="auto"/>
                        <w:bottom w:val="none" w:sz="0" w:space="0" w:color="auto"/>
                        <w:right w:val="none" w:sz="0" w:space="0" w:color="auto"/>
                      </w:divBdr>
                    </w:div>
                    <w:div w:id="921454982">
                      <w:marLeft w:val="0"/>
                      <w:marRight w:val="0"/>
                      <w:marTop w:val="0"/>
                      <w:marBottom w:val="0"/>
                      <w:divBdr>
                        <w:top w:val="none" w:sz="0" w:space="0" w:color="auto"/>
                        <w:left w:val="none" w:sz="0" w:space="0" w:color="auto"/>
                        <w:bottom w:val="none" w:sz="0" w:space="0" w:color="auto"/>
                        <w:right w:val="none" w:sz="0" w:space="0" w:color="auto"/>
                      </w:divBdr>
                    </w:div>
                    <w:div w:id="1114130904">
                      <w:marLeft w:val="0"/>
                      <w:marRight w:val="0"/>
                      <w:marTop w:val="0"/>
                      <w:marBottom w:val="0"/>
                      <w:divBdr>
                        <w:top w:val="none" w:sz="0" w:space="0" w:color="auto"/>
                        <w:left w:val="none" w:sz="0" w:space="0" w:color="auto"/>
                        <w:bottom w:val="none" w:sz="0" w:space="0" w:color="auto"/>
                        <w:right w:val="none" w:sz="0" w:space="0" w:color="auto"/>
                      </w:divBdr>
                    </w:div>
                    <w:div w:id="1230073343">
                      <w:marLeft w:val="0"/>
                      <w:marRight w:val="0"/>
                      <w:marTop w:val="0"/>
                      <w:marBottom w:val="0"/>
                      <w:divBdr>
                        <w:top w:val="none" w:sz="0" w:space="0" w:color="auto"/>
                        <w:left w:val="none" w:sz="0" w:space="0" w:color="auto"/>
                        <w:bottom w:val="none" w:sz="0" w:space="0" w:color="auto"/>
                        <w:right w:val="none" w:sz="0" w:space="0" w:color="auto"/>
                      </w:divBdr>
                    </w:div>
                    <w:div w:id="1921518074">
                      <w:marLeft w:val="0"/>
                      <w:marRight w:val="0"/>
                      <w:marTop w:val="0"/>
                      <w:marBottom w:val="0"/>
                      <w:divBdr>
                        <w:top w:val="none" w:sz="0" w:space="0" w:color="auto"/>
                        <w:left w:val="none" w:sz="0" w:space="0" w:color="auto"/>
                        <w:bottom w:val="none" w:sz="0" w:space="0" w:color="auto"/>
                        <w:right w:val="none" w:sz="0" w:space="0" w:color="auto"/>
                      </w:divBdr>
                    </w:div>
                    <w:div w:id="2013945477">
                      <w:marLeft w:val="0"/>
                      <w:marRight w:val="0"/>
                      <w:marTop w:val="0"/>
                      <w:marBottom w:val="0"/>
                      <w:divBdr>
                        <w:top w:val="none" w:sz="0" w:space="0" w:color="auto"/>
                        <w:left w:val="none" w:sz="0" w:space="0" w:color="auto"/>
                        <w:bottom w:val="none" w:sz="0" w:space="0" w:color="auto"/>
                        <w:right w:val="none" w:sz="0" w:space="0" w:color="auto"/>
                      </w:divBdr>
                    </w:div>
                    <w:div w:id="2094937093">
                      <w:marLeft w:val="0"/>
                      <w:marRight w:val="0"/>
                      <w:marTop w:val="0"/>
                      <w:marBottom w:val="0"/>
                      <w:divBdr>
                        <w:top w:val="none" w:sz="0" w:space="0" w:color="auto"/>
                        <w:left w:val="none" w:sz="0" w:space="0" w:color="auto"/>
                        <w:bottom w:val="none" w:sz="0" w:space="0" w:color="auto"/>
                        <w:right w:val="none" w:sz="0" w:space="0" w:color="auto"/>
                      </w:divBdr>
                    </w:div>
                  </w:divsChild>
                </w:div>
                <w:div w:id="752118346">
                  <w:marLeft w:val="0"/>
                  <w:marRight w:val="0"/>
                  <w:marTop w:val="0"/>
                  <w:marBottom w:val="0"/>
                  <w:divBdr>
                    <w:top w:val="none" w:sz="0" w:space="0" w:color="auto"/>
                    <w:left w:val="none" w:sz="0" w:space="0" w:color="auto"/>
                    <w:bottom w:val="none" w:sz="0" w:space="0" w:color="auto"/>
                    <w:right w:val="none" w:sz="0" w:space="0" w:color="auto"/>
                  </w:divBdr>
                  <w:divsChild>
                    <w:div w:id="50278510">
                      <w:marLeft w:val="0"/>
                      <w:marRight w:val="0"/>
                      <w:marTop w:val="0"/>
                      <w:marBottom w:val="0"/>
                      <w:divBdr>
                        <w:top w:val="none" w:sz="0" w:space="0" w:color="auto"/>
                        <w:left w:val="none" w:sz="0" w:space="0" w:color="auto"/>
                        <w:bottom w:val="none" w:sz="0" w:space="0" w:color="auto"/>
                        <w:right w:val="none" w:sz="0" w:space="0" w:color="auto"/>
                      </w:divBdr>
                    </w:div>
                    <w:div w:id="68773342">
                      <w:marLeft w:val="0"/>
                      <w:marRight w:val="0"/>
                      <w:marTop w:val="0"/>
                      <w:marBottom w:val="0"/>
                      <w:divBdr>
                        <w:top w:val="none" w:sz="0" w:space="0" w:color="auto"/>
                        <w:left w:val="none" w:sz="0" w:space="0" w:color="auto"/>
                        <w:bottom w:val="none" w:sz="0" w:space="0" w:color="auto"/>
                        <w:right w:val="none" w:sz="0" w:space="0" w:color="auto"/>
                      </w:divBdr>
                    </w:div>
                    <w:div w:id="177276359">
                      <w:marLeft w:val="0"/>
                      <w:marRight w:val="0"/>
                      <w:marTop w:val="0"/>
                      <w:marBottom w:val="0"/>
                      <w:divBdr>
                        <w:top w:val="none" w:sz="0" w:space="0" w:color="auto"/>
                        <w:left w:val="none" w:sz="0" w:space="0" w:color="auto"/>
                        <w:bottom w:val="none" w:sz="0" w:space="0" w:color="auto"/>
                        <w:right w:val="none" w:sz="0" w:space="0" w:color="auto"/>
                      </w:divBdr>
                    </w:div>
                    <w:div w:id="339889850">
                      <w:marLeft w:val="0"/>
                      <w:marRight w:val="0"/>
                      <w:marTop w:val="0"/>
                      <w:marBottom w:val="0"/>
                      <w:divBdr>
                        <w:top w:val="none" w:sz="0" w:space="0" w:color="auto"/>
                        <w:left w:val="none" w:sz="0" w:space="0" w:color="auto"/>
                        <w:bottom w:val="none" w:sz="0" w:space="0" w:color="auto"/>
                        <w:right w:val="none" w:sz="0" w:space="0" w:color="auto"/>
                      </w:divBdr>
                    </w:div>
                    <w:div w:id="769667756">
                      <w:marLeft w:val="0"/>
                      <w:marRight w:val="0"/>
                      <w:marTop w:val="0"/>
                      <w:marBottom w:val="0"/>
                      <w:divBdr>
                        <w:top w:val="none" w:sz="0" w:space="0" w:color="auto"/>
                        <w:left w:val="none" w:sz="0" w:space="0" w:color="auto"/>
                        <w:bottom w:val="none" w:sz="0" w:space="0" w:color="auto"/>
                        <w:right w:val="none" w:sz="0" w:space="0" w:color="auto"/>
                      </w:divBdr>
                    </w:div>
                    <w:div w:id="1321226820">
                      <w:marLeft w:val="0"/>
                      <w:marRight w:val="0"/>
                      <w:marTop w:val="0"/>
                      <w:marBottom w:val="0"/>
                      <w:divBdr>
                        <w:top w:val="none" w:sz="0" w:space="0" w:color="auto"/>
                        <w:left w:val="none" w:sz="0" w:space="0" w:color="auto"/>
                        <w:bottom w:val="none" w:sz="0" w:space="0" w:color="auto"/>
                        <w:right w:val="none" w:sz="0" w:space="0" w:color="auto"/>
                      </w:divBdr>
                    </w:div>
                  </w:divsChild>
                </w:div>
                <w:div w:id="781413045">
                  <w:marLeft w:val="0"/>
                  <w:marRight w:val="0"/>
                  <w:marTop w:val="0"/>
                  <w:marBottom w:val="0"/>
                  <w:divBdr>
                    <w:top w:val="none" w:sz="0" w:space="0" w:color="auto"/>
                    <w:left w:val="none" w:sz="0" w:space="0" w:color="auto"/>
                    <w:bottom w:val="none" w:sz="0" w:space="0" w:color="auto"/>
                    <w:right w:val="none" w:sz="0" w:space="0" w:color="auto"/>
                  </w:divBdr>
                  <w:divsChild>
                    <w:div w:id="901867312">
                      <w:marLeft w:val="0"/>
                      <w:marRight w:val="0"/>
                      <w:marTop w:val="0"/>
                      <w:marBottom w:val="0"/>
                      <w:divBdr>
                        <w:top w:val="none" w:sz="0" w:space="0" w:color="auto"/>
                        <w:left w:val="none" w:sz="0" w:space="0" w:color="auto"/>
                        <w:bottom w:val="none" w:sz="0" w:space="0" w:color="auto"/>
                        <w:right w:val="none" w:sz="0" w:space="0" w:color="auto"/>
                      </w:divBdr>
                    </w:div>
                    <w:div w:id="1246761850">
                      <w:marLeft w:val="0"/>
                      <w:marRight w:val="0"/>
                      <w:marTop w:val="0"/>
                      <w:marBottom w:val="0"/>
                      <w:divBdr>
                        <w:top w:val="none" w:sz="0" w:space="0" w:color="auto"/>
                        <w:left w:val="none" w:sz="0" w:space="0" w:color="auto"/>
                        <w:bottom w:val="none" w:sz="0" w:space="0" w:color="auto"/>
                        <w:right w:val="none" w:sz="0" w:space="0" w:color="auto"/>
                      </w:divBdr>
                    </w:div>
                    <w:div w:id="1437407258">
                      <w:marLeft w:val="0"/>
                      <w:marRight w:val="0"/>
                      <w:marTop w:val="0"/>
                      <w:marBottom w:val="0"/>
                      <w:divBdr>
                        <w:top w:val="none" w:sz="0" w:space="0" w:color="auto"/>
                        <w:left w:val="none" w:sz="0" w:space="0" w:color="auto"/>
                        <w:bottom w:val="none" w:sz="0" w:space="0" w:color="auto"/>
                        <w:right w:val="none" w:sz="0" w:space="0" w:color="auto"/>
                      </w:divBdr>
                    </w:div>
                  </w:divsChild>
                </w:div>
                <w:div w:id="826092789">
                  <w:marLeft w:val="0"/>
                  <w:marRight w:val="0"/>
                  <w:marTop w:val="0"/>
                  <w:marBottom w:val="0"/>
                  <w:divBdr>
                    <w:top w:val="none" w:sz="0" w:space="0" w:color="auto"/>
                    <w:left w:val="none" w:sz="0" w:space="0" w:color="auto"/>
                    <w:bottom w:val="none" w:sz="0" w:space="0" w:color="auto"/>
                    <w:right w:val="none" w:sz="0" w:space="0" w:color="auto"/>
                  </w:divBdr>
                  <w:divsChild>
                    <w:div w:id="7412418">
                      <w:marLeft w:val="0"/>
                      <w:marRight w:val="0"/>
                      <w:marTop w:val="0"/>
                      <w:marBottom w:val="0"/>
                      <w:divBdr>
                        <w:top w:val="none" w:sz="0" w:space="0" w:color="auto"/>
                        <w:left w:val="none" w:sz="0" w:space="0" w:color="auto"/>
                        <w:bottom w:val="none" w:sz="0" w:space="0" w:color="auto"/>
                        <w:right w:val="none" w:sz="0" w:space="0" w:color="auto"/>
                      </w:divBdr>
                    </w:div>
                    <w:div w:id="180827527">
                      <w:marLeft w:val="0"/>
                      <w:marRight w:val="0"/>
                      <w:marTop w:val="0"/>
                      <w:marBottom w:val="0"/>
                      <w:divBdr>
                        <w:top w:val="none" w:sz="0" w:space="0" w:color="auto"/>
                        <w:left w:val="none" w:sz="0" w:space="0" w:color="auto"/>
                        <w:bottom w:val="none" w:sz="0" w:space="0" w:color="auto"/>
                        <w:right w:val="none" w:sz="0" w:space="0" w:color="auto"/>
                      </w:divBdr>
                    </w:div>
                    <w:div w:id="366950372">
                      <w:marLeft w:val="0"/>
                      <w:marRight w:val="0"/>
                      <w:marTop w:val="0"/>
                      <w:marBottom w:val="0"/>
                      <w:divBdr>
                        <w:top w:val="none" w:sz="0" w:space="0" w:color="auto"/>
                        <w:left w:val="none" w:sz="0" w:space="0" w:color="auto"/>
                        <w:bottom w:val="none" w:sz="0" w:space="0" w:color="auto"/>
                        <w:right w:val="none" w:sz="0" w:space="0" w:color="auto"/>
                      </w:divBdr>
                    </w:div>
                    <w:div w:id="409934858">
                      <w:marLeft w:val="0"/>
                      <w:marRight w:val="0"/>
                      <w:marTop w:val="0"/>
                      <w:marBottom w:val="0"/>
                      <w:divBdr>
                        <w:top w:val="none" w:sz="0" w:space="0" w:color="auto"/>
                        <w:left w:val="none" w:sz="0" w:space="0" w:color="auto"/>
                        <w:bottom w:val="none" w:sz="0" w:space="0" w:color="auto"/>
                        <w:right w:val="none" w:sz="0" w:space="0" w:color="auto"/>
                      </w:divBdr>
                    </w:div>
                    <w:div w:id="556206094">
                      <w:marLeft w:val="0"/>
                      <w:marRight w:val="0"/>
                      <w:marTop w:val="0"/>
                      <w:marBottom w:val="0"/>
                      <w:divBdr>
                        <w:top w:val="none" w:sz="0" w:space="0" w:color="auto"/>
                        <w:left w:val="none" w:sz="0" w:space="0" w:color="auto"/>
                        <w:bottom w:val="none" w:sz="0" w:space="0" w:color="auto"/>
                        <w:right w:val="none" w:sz="0" w:space="0" w:color="auto"/>
                      </w:divBdr>
                    </w:div>
                    <w:div w:id="616451540">
                      <w:marLeft w:val="0"/>
                      <w:marRight w:val="0"/>
                      <w:marTop w:val="0"/>
                      <w:marBottom w:val="0"/>
                      <w:divBdr>
                        <w:top w:val="none" w:sz="0" w:space="0" w:color="auto"/>
                        <w:left w:val="none" w:sz="0" w:space="0" w:color="auto"/>
                        <w:bottom w:val="none" w:sz="0" w:space="0" w:color="auto"/>
                        <w:right w:val="none" w:sz="0" w:space="0" w:color="auto"/>
                      </w:divBdr>
                    </w:div>
                    <w:div w:id="640887517">
                      <w:marLeft w:val="0"/>
                      <w:marRight w:val="0"/>
                      <w:marTop w:val="0"/>
                      <w:marBottom w:val="0"/>
                      <w:divBdr>
                        <w:top w:val="none" w:sz="0" w:space="0" w:color="auto"/>
                        <w:left w:val="none" w:sz="0" w:space="0" w:color="auto"/>
                        <w:bottom w:val="none" w:sz="0" w:space="0" w:color="auto"/>
                        <w:right w:val="none" w:sz="0" w:space="0" w:color="auto"/>
                      </w:divBdr>
                    </w:div>
                    <w:div w:id="970209318">
                      <w:marLeft w:val="0"/>
                      <w:marRight w:val="0"/>
                      <w:marTop w:val="0"/>
                      <w:marBottom w:val="0"/>
                      <w:divBdr>
                        <w:top w:val="none" w:sz="0" w:space="0" w:color="auto"/>
                        <w:left w:val="none" w:sz="0" w:space="0" w:color="auto"/>
                        <w:bottom w:val="none" w:sz="0" w:space="0" w:color="auto"/>
                        <w:right w:val="none" w:sz="0" w:space="0" w:color="auto"/>
                      </w:divBdr>
                    </w:div>
                    <w:div w:id="1256474437">
                      <w:marLeft w:val="0"/>
                      <w:marRight w:val="0"/>
                      <w:marTop w:val="0"/>
                      <w:marBottom w:val="0"/>
                      <w:divBdr>
                        <w:top w:val="none" w:sz="0" w:space="0" w:color="auto"/>
                        <w:left w:val="none" w:sz="0" w:space="0" w:color="auto"/>
                        <w:bottom w:val="none" w:sz="0" w:space="0" w:color="auto"/>
                        <w:right w:val="none" w:sz="0" w:space="0" w:color="auto"/>
                      </w:divBdr>
                    </w:div>
                    <w:div w:id="1363164018">
                      <w:marLeft w:val="0"/>
                      <w:marRight w:val="0"/>
                      <w:marTop w:val="0"/>
                      <w:marBottom w:val="0"/>
                      <w:divBdr>
                        <w:top w:val="none" w:sz="0" w:space="0" w:color="auto"/>
                        <w:left w:val="none" w:sz="0" w:space="0" w:color="auto"/>
                        <w:bottom w:val="none" w:sz="0" w:space="0" w:color="auto"/>
                        <w:right w:val="none" w:sz="0" w:space="0" w:color="auto"/>
                      </w:divBdr>
                    </w:div>
                    <w:div w:id="2103186641">
                      <w:marLeft w:val="0"/>
                      <w:marRight w:val="0"/>
                      <w:marTop w:val="0"/>
                      <w:marBottom w:val="0"/>
                      <w:divBdr>
                        <w:top w:val="none" w:sz="0" w:space="0" w:color="auto"/>
                        <w:left w:val="none" w:sz="0" w:space="0" w:color="auto"/>
                        <w:bottom w:val="none" w:sz="0" w:space="0" w:color="auto"/>
                        <w:right w:val="none" w:sz="0" w:space="0" w:color="auto"/>
                      </w:divBdr>
                    </w:div>
                  </w:divsChild>
                </w:div>
                <w:div w:id="836310624">
                  <w:marLeft w:val="0"/>
                  <w:marRight w:val="0"/>
                  <w:marTop w:val="0"/>
                  <w:marBottom w:val="0"/>
                  <w:divBdr>
                    <w:top w:val="none" w:sz="0" w:space="0" w:color="auto"/>
                    <w:left w:val="none" w:sz="0" w:space="0" w:color="auto"/>
                    <w:bottom w:val="none" w:sz="0" w:space="0" w:color="auto"/>
                    <w:right w:val="none" w:sz="0" w:space="0" w:color="auto"/>
                  </w:divBdr>
                  <w:divsChild>
                    <w:div w:id="1118259974">
                      <w:marLeft w:val="0"/>
                      <w:marRight w:val="0"/>
                      <w:marTop w:val="0"/>
                      <w:marBottom w:val="0"/>
                      <w:divBdr>
                        <w:top w:val="none" w:sz="0" w:space="0" w:color="auto"/>
                        <w:left w:val="none" w:sz="0" w:space="0" w:color="auto"/>
                        <w:bottom w:val="none" w:sz="0" w:space="0" w:color="auto"/>
                        <w:right w:val="none" w:sz="0" w:space="0" w:color="auto"/>
                      </w:divBdr>
                    </w:div>
                  </w:divsChild>
                </w:div>
                <w:div w:id="850491214">
                  <w:marLeft w:val="0"/>
                  <w:marRight w:val="0"/>
                  <w:marTop w:val="0"/>
                  <w:marBottom w:val="0"/>
                  <w:divBdr>
                    <w:top w:val="none" w:sz="0" w:space="0" w:color="auto"/>
                    <w:left w:val="none" w:sz="0" w:space="0" w:color="auto"/>
                    <w:bottom w:val="none" w:sz="0" w:space="0" w:color="auto"/>
                    <w:right w:val="none" w:sz="0" w:space="0" w:color="auto"/>
                  </w:divBdr>
                  <w:divsChild>
                    <w:div w:id="333995865">
                      <w:marLeft w:val="0"/>
                      <w:marRight w:val="0"/>
                      <w:marTop w:val="0"/>
                      <w:marBottom w:val="0"/>
                      <w:divBdr>
                        <w:top w:val="none" w:sz="0" w:space="0" w:color="auto"/>
                        <w:left w:val="none" w:sz="0" w:space="0" w:color="auto"/>
                        <w:bottom w:val="none" w:sz="0" w:space="0" w:color="auto"/>
                        <w:right w:val="none" w:sz="0" w:space="0" w:color="auto"/>
                      </w:divBdr>
                    </w:div>
                    <w:div w:id="529031281">
                      <w:marLeft w:val="0"/>
                      <w:marRight w:val="0"/>
                      <w:marTop w:val="0"/>
                      <w:marBottom w:val="0"/>
                      <w:divBdr>
                        <w:top w:val="none" w:sz="0" w:space="0" w:color="auto"/>
                        <w:left w:val="none" w:sz="0" w:space="0" w:color="auto"/>
                        <w:bottom w:val="none" w:sz="0" w:space="0" w:color="auto"/>
                        <w:right w:val="none" w:sz="0" w:space="0" w:color="auto"/>
                      </w:divBdr>
                    </w:div>
                    <w:div w:id="612983437">
                      <w:marLeft w:val="0"/>
                      <w:marRight w:val="0"/>
                      <w:marTop w:val="0"/>
                      <w:marBottom w:val="0"/>
                      <w:divBdr>
                        <w:top w:val="none" w:sz="0" w:space="0" w:color="auto"/>
                        <w:left w:val="none" w:sz="0" w:space="0" w:color="auto"/>
                        <w:bottom w:val="none" w:sz="0" w:space="0" w:color="auto"/>
                        <w:right w:val="none" w:sz="0" w:space="0" w:color="auto"/>
                      </w:divBdr>
                    </w:div>
                    <w:div w:id="673068101">
                      <w:marLeft w:val="0"/>
                      <w:marRight w:val="0"/>
                      <w:marTop w:val="0"/>
                      <w:marBottom w:val="0"/>
                      <w:divBdr>
                        <w:top w:val="none" w:sz="0" w:space="0" w:color="auto"/>
                        <w:left w:val="none" w:sz="0" w:space="0" w:color="auto"/>
                        <w:bottom w:val="none" w:sz="0" w:space="0" w:color="auto"/>
                        <w:right w:val="none" w:sz="0" w:space="0" w:color="auto"/>
                      </w:divBdr>
                    </w:div>
                    <w:div w:id="797334969">
                      <w:marLeft w:val="0"/>
                      <w:marRight w:val="0"/>
                      <w:marTop w:val="0"/>
                      <w:marBottom w:val="0"/>
                      <w:divBdr>
                        <w:top w:val="none" w:sz="0" w:space="0" w:color="auto"/>
                        <w:left w:val="none" w:sz="0" w:space="0" w:color="auto"/>
                        <w:bottom w:val="none" w:sz="0" w:space="0" w:color="auto"/>
                        <w:right w:val="none" w:sz="0" w:space="0" w:color="auto"/>
                      </w:divBdr>
                    </w:div>
                    <w:div w:id="1634284373">
                      <w:marLeft w:val="0"/>
                      <w:marRight w:val="0"/>
                      <w:marTop w:val="0"/>
                      <w:marBottom w:val="0"/>
                      <w:divBdr>
                        <w:top w:val="none" w:sz="0" w:space="0" w:color="auto"/>
                        <w:left w:val="none" w:sz="0" w:space="0" w:color="auto"/>
                        <w:bottom w:val="none" w:sz="0" w:space="0" w:color="auto"/>
                        <w:right w:val="none" w:sz="0" w:space="0" w:color="auto"/>
                      </w:divBdr>
                    </w:div>
                    <w:div w:id="1653950746">
                      <w:marLeft w:val="0"/>
                      <w:marRight w:val="0"/>
                      <w:marTop w:val="0"/>
                      <w:marBottom w:val="0"/>
                      <w:divBdr>
                        <w:top w:val="none" w:sz="0" w:space="0" w:color="auto"/>
                        <w:left w:val="none" w:sz="0" w:space="0" w:color="auto"/>
                        <w:bottom w:val="none" w:sz="0" w:space="0" w:color="auto"/>
                        <w:right w:val="none" w:sz="0" w:space="0" w:color="auto"/>
                      </w:divBdr>
                    </w:div>
                    <w:div w:id="1663116848">
                      <w:marLeft w:val="0"/>
                      <w:marRight w:val="0"/>
                      <w:marTop w:val="0"/>
                      <w:marBottom w:val="0"/>
                      <w:divBdr>
                        <w:top w:val="none" w:sz="0" w:space="0" w:color="auto"/>
                        <w:left w:val="none" w:sz="0" w:space="0" w:color="auto"/>
                        <w:bottom w:val="none" w:sz="0" w:space="0" w:color="auto"/>
                        <w:right w:val="none" w:sz="0" w:space="0" w:color="auto"/>
                      </w:divBdr>
                    </w:div>
                    <w:div w:id="1856571897">
                      <w:marLeft w:val="0"/>
                      <w:marRight w:val="0"/>
                      <w:marTop w:val="0"/>
                      <w:marBottom w:val="0"/>
                      <w:divBdr>
                        <w:top w:val="none" w:sz="0" w:space="0" w:color="auto"/>
                        <w:left w:val="none" w:sz="0" w:space="0" w:color="auto"/>
                        <w:bottom w:val="none" w:sz="0" w:space="0" w:color="auto"/>
                        <w:right w:val="none" w:sz="0" w:space="0" w:color="auto"/>
                      </w:divBdr>
                    </w:div>
                    <w:div w:id="2139566385">
                      <w:marLeft w:val="0"/>
                      <w:marRight w:val="0"/>
                      <w:marTop w:val="0"/>
                      <w:marBottom w:val="0"/>
                      <w:divBdr>
                        <w:top w:val="none" w:sz="0" w:space="0" w:color="auto"/>
                        <w:left w:val="none" w:sz="0" w:space="0" w:color="auto"/>
                        <w:bottom w:val="none" w:sz="0" w:space="0" w:color="auto"/>
                        <w:right w:val="none" w:sz="0" w:space="0" w:color="auto"/>
                      </w:divBdr>
                    </w:div>
                  </w:divsChild>
                </w:div>
                <w:div w:id="884217072">
                  <w:marLeft w:val="0"/>
                  <w:marRight w:val="0"/>
                  <w:marTop w:val="0"/>
                  <w:marBottom w:val="0"/>
                  <w:divBdr>
                    <w:top w:val="none" w:sz="0" w:space="0" w:color="auto"/>
                    <w:left w:val="none" w:sz="0" w:space="0" w:color="auto"/>
                    <w:bottom w:val="none" w:sz="0" w:space="0" w:color="auto"/>
                    <w:right w:val="none" w:sz="0" w:space="0" w:color="auto"/>
                  </w:divBdr>
                  <w:divsChild>
                    <w:div w:id="253979634">
                      <w:marLeft w:val="0"/>
                      <w:marRight w:val="0"/>
                      <w:marTop w:val="0"/>
                      <w:marBottom w:val="0"/>
                      <w:divBdr>
                        <w:top w:val="none" w:sz="0" w:space="0" w:color="auto"/>
                        <w:left w:val="none" w:sz="0" w:space="0" w:color="auto"/>
                        <w:bottom w:val="none" w:sz="0" w:space="0" w:color="auto"/>
                        <w:right w:val="none" w:sz="0" w:space="0" w:color="auto"/>
                      </w:divBdr>
                    </w:div>
                    <w:div w:id="452789657">
                      <w:marLeft w:val="0"/>
                      <w:marRight w:val="0"/>
                      <w:marTop w:val="0"/>
                      <w:marBottom w:val="0"/>
                      <w:divBdr>
                        <w:top w:val="none" w:sz="0" w:space="0" w:color="auto"/>
                        <w:left w:val="none" w:sz="0" w:space="0" w:color="auto"/>
                        <w:bottom w:val="none" w:sz="0" w:space="0" w:color="auto"/>
                        <w:right w:val="none" w:sz="0" w:space="0" w:color="auto"/>
                      </w:divBdr>
                    </w:div>
                    <w:div w:id="530076342">
                      <w:marLeft w:val="0"/>
                      <w:marRight w:val="0"/>
                      <w:marTop w:val="0"/>
                      <w:marBottom w:val="0"/>
                      <w:divBdr>
                        <w:top w:val="none" w:sz="0" w:space="0" w:color="auto"/>
                        <w:left w:val="none" w:sz="0" w:space="0" w:color="auto"/>
                        <w:bottom w:val="none" w:sz="0" w:space="0" w:color="auto"/>
                        <w:right w:val="none" w:sz="0" w:space="0" w:color="auto"/>
                      </w:divBdr>
                    </w:div>
                    <w:div w:id="689139593">
                      <w:marLeft w:val="0"/>
                      <w:marRight w:val="0"/>
                      <w:marTop w:val="0"/>
                      <w:marBottom w:val="0"/>
                      <w:divBdr>
                        <w:top w:val="none" w:sz="0" w:space="0" w:color="auto"/>
                        <w:left w:val="none" w:sz="0" w:space="0" w:color="auto"/>
                        <w:bottom w:val="none" w:sz="0" w:space="0" w:color="auto"/>
                        <w:right w:val="none" w:sz="0" w:space="0" w:color="auto"/>
                      </w:divBdr>
                    </w:div>
                    <w:div w:id="937759694">
                      <w:marLeft w:val="0"/>
                      <w:marRight w:val="0"/>
                      <w:marTop w:val="0"/>
                      <w:marBottom w:val="0"/>
                      <w:divBdr>
                        <w:top w:val="none" w:sz="0" w:space="0" w:color="auto"/>
                        <w:left w:val="none" w:sz="0" w:space="0" w:color="auto"/>
                        <w:bottom w:val="none" w:sz="0" w:space="0" w:color="auto"/>
                        <w:right w:val="none" w:sz="0" w:space="0" w:color="auto"/>
                      </w:divBdr>
                    </w:div>
                    <w:div w:id="1202744318">
                      <w:marLeft w:val="0"/>
                      <w:marRight w:val="0"/>
                      <w:marTop w:val="0"/>
                      <w:marBottom w:val="0"/>
                      <w:divBdr>
                        <w:top w:val="none" w:sz="0" w:space="0" w:color="auto"/>
                        <w:left w:val="none" w:sz="0" w:space="0" w:color="auto"/>
                        <w:bottom w:val="none" w:sz="0" w:space="0" w:color="auto"/>
                        <w:right w:val="none" w:sz="0" w:space="0" w:color="auto"/>
                      </w:divBdr>
                    </w:div>
                    <w:div w:id="1383287033">
                      <w:marLeft w:val="0"/>
                      <w:marRight w:val="0"/>
                      <w:marTop w:val="0"/>
                      <w:marBottom w:val="0"/>
                      <w:divBdr>
                        <w:top w:val="none" w:sz="0" w:space="0" w:color="auto"/>
                        <w:left w:val="none" w:sz="0" w:space="0" w:color="auto"/>
                        <w:bottom w:val="none" w:sz="0" w:space="0" w:color="auto"/>
                        <w:right w:val="none" w:sz="0" w:space="0" w:color="auto"/>
                      </w:divBdr>
                    </w:div>
                    <w:div w:id="1667367851">
                      <w:marLeft w:val="0"/>
                      <w:marRight w:val="0"/>
                      <w:marTop w:val="0"/>
                      <w:marBottom w:val="0"/>
                      <w:divBdr>
                        <w:top w:val="none" w:sz="0" w:space="0" w:color="auto"/>
                        <w:left w:val="none" w:sz="0" w:space="0" w:color="auto"/>
                        <w:bottom w:val="none" w:sz="0" w:space="0" w:color="auto"/>
                        <w:right w:val="none" w:sz="0" w:space="0" w:color="auto"/>
                      </w:divBdr>
                    </w:div>
                    <w:div w:id="1977757473">
                      <w:marLeft w:val="0"/>
                      <w:marRight w:val="0"/>
                      <w:marTop w:val="0"/>
                      <w:marBottom w:val="0"/>
                      <w:divBdr>
                        <w:top w:val="none" w:sz="0" w:space="0" w:color="auto"/>
                        <w:left w:val="none" w:sz="0" w:space="0" w:color="auto"/>
                        <w:bottom w:val="none" w:sz="0" w:space="0" w:color="auto"/>
                        <w:right w:val="none" w:sz="0" w:space="0" w:color="auto"/>
                      </w:divBdr>
                    </w:div>
                  </w:divsChild>
                </w:div>
                <w:div w:id="892159438">
                  <w:marLeft w:val="0"/>
                  <w:marRight w:val="0"/>
                  <w:marTop w:val="0"/>
                  <w:marBottom w:val="0"/>
                  <w:divBdr>
                    <w:top w:val="none" w:sz="0" w:space="0" w:color="auto"/>
                    <w:left w:val="none" w:sz="0" w:space="0" w:color="auto"/>
                    <w:bottom w:val="none" w:sz="0" w:space="0" w:color="auto"/>
                    <w:right w:val="none" w:sz="0" w:space="0" w:color="auto"/>
                  </w:divBdr>
                  <w:divsChild>
                    <w:div w:id="15204948">
                      <w:marLeft w:val="0"/>
                      <w:marRight w:val="0"/>
                      <w:marTop w:val="0"/>
                      <w:marBottom w:val="0"/>
                      <w:divBdr>
                        <w:top w:val="none" w:sz="0" w:space="0" w:color="auto"/>
                        <w:left w:val="none" w:sz="0" w:space="0" w:color="auto"/>
                        <w:bottom w:val="none" w:sz="0" w:space="0" w:color="auto"/>
                        <w:right w:val="none" w:sz="0" w:space="0" w:color="auto"/>
                      </w:divBdr>
                    </w:div>
                    <w:div w:id="702481887">
                      <w:marLeft w:val="0"/>
                      <w:marRight w:val="0"/>
                      <w:marTop w:val="0"/>
                      <w:marBottom w:val="0"/>
                      <w:divBdr>
                        <w:top w:val="none" w:sz="0" w:space="0" w:color="auto"/>
                        <w:left w:val="none" w:sz="0" w:space="0" w:color="auto"/>
                        <w:bottom w:val="none" w:sz="0" w:space="0" w:color="auto"/>
                        <w:right w:val="none" w:sz="0" w:space="0" w:color="auto"/>
                      </w:divBdr>
                    </w:div>
                    <w:div w:id="1197885676">
                      <w:marLeft w:val="0"/>
                      <w:marRight w:val="0"/>
                      <w:marTop w:val="0"/>
                      <w:marBottom w:val="0"/>
                      <w:divBdr>
                        <w:top w:val="none" w:sz="0" w:space="0" w:color="auto"/>
                        <w:left w:val="none" w:sz="0" w:space="0" w:color="auto"/>
                        <w:bottom w:val="none" w:sz="0" w:space="0" w:color="auto"/>
                        <w:right w:val="none" w:sz="0" w:space="0" w:color="auto"/>
                      </w:divBdr>
                    </w:div>
                  </w:divsChild>
                </w:div>
                <w:div w:id="899559227">
                  <w:marLeft w:val="0"/>
                  <w:marRight w:val="0"/>
                  <w:marTop w:val="0"/>
                  <w:marBottom w:val="0"/>
                  <w:divBdr>
                    <w:top w:val="none" w:sz="0" w:space="0" w:color="auto"/>
                    <w:left w:val="none" w:sz="0" w:space="0" w:color="auto"/>
                    <w:bottom w:val="none" w:sz="0" w:space="0" w:color="auto"/>
                    <w:right w:val="none" w:sz="0" w:space="0" w:color="auto"/>
                  </w:divBdr>
                  <w:divsChild>
                    <w:div w:id="1014766779">
                      <w:marLeft w:val="0"/>
                      <w:marRight w:val="0"/>
                      <w:marTop w:val="0"/>
                      <w:marBottom w:val="0"/>
                      <w:divBdr>
                        <w:top w:val="none" w:sz="0" w:space="0" w:color="auto"/>
                        <w:left w:val="none" w:sz="0" w:space="0" w:color="auto"/>
                        <w:bottom w:val="none" w:sz="0" w:space="0" w:color="auto"/>
                        <w:right w:val="none" w:sz="0" w:space="0" w:color="auto"/>
                      </w:divBdr>
                    </w:div>
                    <w:div w:id="1222253726">
                      <w:marLeft w:val="0"/>
                      <w:marRight w:val="0"/>
                      <w:marTop w:val="0"/>
                      <w:marBottom w:val="0"/>
                      <w:divBdr>
                        <w:top w:val="none" w:sz="0" w:space="0" w:color="auto"/>
                        <w:left w:val="none" w:sz="0" w:space="0" w:color="auto"/>
                        <w:bottom w:val="none" w:sz="0" w:space="0" w:color="auto"/>
                        <w:right w:val="none" w:sz="0" w:space="0" w:color="auto"/>
                      </w:divBdr>
                    </w:div>
                    <w:div w:id="2037073886">
                      <w:marLeft w:val="0"/>
                      <w:marRight w:val="0"/>
                      <w:marTop w:val="0"/>
                      <w:marBottom w:val="0"/>
                      <w:divBdr>
                        <w:top w:val="none" w:sz="0" w:space="0" w:color="auto"/>
                        <w:left w:val="none" w:sz="0" w:space="0" w:color="auto"/>
                        <w:bottom w:val="none" w:sz="0" w:space="0" w:color="auto"/>
                        <w:right w:val="none" w:sz="0" w:space="0" w:color="auto"/>
                      </w:divBdr>
                    </w:div>
                  </w:divsChild>
                </w:div>
                <w:div w:id="961350520">
                  <w:marLeft w:val="0"/>
                  <w:marRight w:val="0"/>
                  <w:marTop w:val="0"/>
                  <w:marBottom w:val="0"/>
                  <w:divBdr>
                    <w:top w:val="none" w:sz="0" w:space="0" w:color="auto"/>
                    <w:left w:val="none" w:sz="0" w:space="0" w:color="auto"/>
                    <w:bottom w:val="none" w:sz="0" w:space="0" w:color="auto"/>
                    <w:right w:val="none" w:sz="0" w:space="0" w:color="auto"/>
                  </w:divBdr>
                  <w:divsChild>
                    <w:div w:id="1469856940">
                      <w:marLeft w:val="0"/>
                      <w:marRight w:val="0"/>
                      <w:marTop w:val="0"/>
                      <w:marBottom w:val="0"/>
                      <w:divBdr>
                        <w:top w:val="none" w:sz="0" w:space="0" w:color="auto"/>
                        <w:left w:val="none" w:sz="0" w:space="0" w:color="auto"/>
                        <w:bottom w:val="none" w:sz="0" w:space="0" w:color="auto"/>
                        <w:right w:val="none" w:sz="0" w:space="0" w:color="auto"/>
                      </w:divBdr>
                    </w:div>
                  </w:divsChild>
                </w:div>
                <w:div w:id="1001393042">
                  <w:marLeft w:val="0"/>
                  <w:marRight w:val="0"/>
                  <w:marTop w:val="0"/>
                  <w:marBottom w:val="0"/>
                  <w:divBdr>
                    <w:top w:val="none" w:sz="0" w:space="0" w:color="auto"/>
                    <w:left w:val="none" w:sz="0" w:space="0" w:color="auto"/>
                    <w:bottom w:val="none" w:sz="0" w:space="0" w:color="auto"/>
                    <w:right w:val="none" w:sz="0" w:space="0" w:color="auto"/>
                  </w:divBdr>
                  <w:divsChild>
                    <w:div w:id="77363470">
                      <w:marLeft w:val="0"/>
                      <w:marRight w:val="0"/>
                      <w:marTop w:val="0"/>
                      <w:marBottom w:val="0"/>
                      <w:divBdr>
                        <w:top w:val="none" w:sz="0" w:space="0" w:color="auto"/>
                        <w:left w:val="none" w:sz="0" w:space="0" w:color="auto"/>
                        <w:bottom w:val="none" w:sz="0" w:space="0" w:color="auto"/>
                        <w:right w:val="none" w:sz="0" w:space="0" w:color="auto"/>
                      </w:divBdr>
                    </w:div>
                    <w:div w:id="269899696">
                      <w:marLeft w:val="0"/>
                      <w:marRight w:val="0"/>
                      <w:marTop w:val="0"/>
                      <w:marBottom w:val="0"/>
                      <w:divBdr>
                        <w:top w:val="none" w:sz="0" w:space="0" w:color="auto"/>
                        <w:left w:val="none" w:sz="0" w:space="0" w:color="auto"/>
                        <w:bottom w:val="none" w:sz="0" w:space="0" w:color="auto"/>
                        <w:right w:val="none" w:sz="0" w:space="0" w:color="auto"/>
                      </w:divBdr>
                    </w:div>
                    <w:div w:id="270168829">
                      <w:marLeft w:val="0"/>
                      <w:marRight w:val="0"/>
                      <w:marTop w:val="0"/>
                      <w:marBottom w:val="0"/>
                      <w:divBdr>
                        <w:top w:val="none" w:sz="0" w:space="0" w:color="auto"/>
                        <w:left w:val="none" w:sz="0" w:space="0" w:color="auto"/>
                        <w:bottom w:val="none" w:sz="0" w:space="0" w:color="auto"/>
                        <w:right w:val="none" w:sz="0" w:space="0" w:color="auto"/>
                      </w:divBdr>
                    </w:div>
                    <w:div w:id="358091205">
                      <w:marLeft w:val="0"/>
                      <w:marRight w:val="0"/>
                      <w:marTop w:val="0"/>
                      <w:marBottom w:val="0"/>
                      <w:divBdr>
                        <w:top w:val="none" w:sz="0" w:space="0" w:color="auto"/>
                        <w:left w:val="none" w:sz="0" w:space="0" w:color="auto"/>
                        <w:bottom w:val="none" w:sz="0" w:space="0" w:color="auto"/>
                        <w:right w:val="none" w:sz="0" w:space="0" w:color="auto"/>
                      </w:divBdr>
                    </w:div>
                    <w:div w:id="809052086">
                      <w:marLeft w:val="0"/>
                      <w:marRight w:val="0"/>
                      <w:marTop w:val="0"/>
                      <w:marBottom w:val="0"/>
                      <w:divBdr>
                        <w:top w:val="none" w:sz="0" w:space="0" w:color="auto"/>
                        <w:left w:val="none" w:sz="0" w:space="0" w:color="auto"/>
                        <w:bottom w:val="none" w:sz="0" w:space="0" w:color="auto"/>
                        <w:right w:val="none" w:sz="0" w:space="0" w:color="auto"/>
                      </w:divBdr>
                    </w:div>
                    <w:div w:id="897058906">
                      <w:marLeft w:val="0"/>
                      <w:marRight w:val="0"/>
                      <w:marTop w:val="0"/>
                      <w:marBottom w:val="0"/>
                      <w:divBdr>
                        <w:top w:val="none" w:sz="0" w:space="0" w:color="auto"/>
                        <w:left w:val="none" w:sz="0" w:space="0" w:color="auto"/>
                        <w:bottom w:val="none" w:sz="0" w:space="0" w:color="auto"/>
                        <w:right w:val="none" w:sz="0" w:space="0" w:color="auto"/>
                      </w:divBdr>
                    </w:div>
                    <w:div w:id="1495679506">
                      <w:marLeft w:val="0"/>
                      <w:marRight w:val="0"/>
                      <w:marTop w:val="0"/>
                      <w:marBottom w:val="0"/>
                      <w:divBdr>
                        <w:top w:val="none" w:sz="0" w:space="0" w:color="auto"/>
                        <w:left w:val="none" w:sz="0" w:space="0" w:color="auto"/>
                        <w:bottom w:val="none" w:sz="0" w:space="0" w:color="auto"/>
                        <w:right w:val="none" w:sz="0" w:space="0" w:color="auto"/>
                      </w:divBdr>
                    </w:div>
                    <w:div w:id="1567371781">
                      <w:marLeft w:val="0"/>
                      <w:marRight w:val="0"/>
                      <w:marTop w:val="0"/>
                      <w:marBottom w:val="0"/>
                      <w:divBdr>
                        <w:top w:val="none" w:sz="0" w:space="0" w:color="auto"/>
                        <w:left w:val="none" w:sz="0" w:space="0" w:color="auto"/>
                        <w:bottom w:val="none" w:sz="0" w:space="0" w:color="auto"/>
                        <w:right w:val="none" w:sz="0" w:space="0" w:color="auto"/>
                      </w:divBdr>
                    </w:div>
                    <w:div w:id="1605066902">
                      <w:marLeft w:val="0"/>
                      <w:marRight w:val="0"/>
                      <w:marTop w:val="0"/>
                      <w:marBottom w:val="0"/>
                      <w:divBdr>
                        <w:top w:val="none" w:sz="0" w:space="0" w:color="auto"/>
                        <w:left w:val="none" w:sz="0" w:space="0" w:color="auto"/>
                        <w:bottom w:val="none" w:sz="0" w:space="0" w:color="auto"/>
                        <w:right w:val="none" w:sz="0" w:space="0" w:color="auto"/>
                      </w:divBdr>
                    </w:div>
                    <w:div w:id="1862402055">
                      <w:marLeft w:val="0"/>
                      <w:marRight w:val="0"/>
                      <w:marTop w:val="0"/>
                      <w:marBottom w:val="0"/>
                      <w:divBdr>
                        <w:top w:val="none" w:sz="0" w:space="0" w:color="auto"/>
                        <w:left w:val="none" w:sz="0" w:space="0" w:color="auto"/>
                        <w:bottom w:val="none" w:sz="0" w:space="0" w:color="auto"/>
                        <w:right w:val="none" w:sz="0" w:space="0" w:color="auto"/>
                      </w:divBdr>
                    </w:div>
                    <w:div w:id="1954164902">
                      <w:marLeft w:val="0"/>
                      <w:marRight w:val="0"/>
                      <w:marTop w:val="0"/>
                      <w:marBottom w:val="0"/>
                      <w:divBdr>
                        <w:top w:val="none" w:sz="0" w:space="0" w:color="auto"/>
                        <w:left w:val="none" w:sz="0" w:space="0" w:color="auto"/>
                        <w:bottom w:val="none" w:sz="0" w:space="0" w:color="auto"/>
                        <w:right w:val="none" w:sz="0" w:space="0" w:color="auto"/>
                      </w:divBdr>
                    </w:div>
                  </w:divsChild>
                </w:div>
                <w:div w:id="1002515162">
                  <w:marLeft w:val="0"/>
                  <w:marRight w:val="0"/>
                  <w:marTop w:val="0"/>
                  <w:marBottom w:val="0"/>
                  <w:divBdr>
                    <w:top w:val="none" w:sz="0" w:space="0" w:color="auto"/>
                    <w:left w:val="none" w:sz="0" w:space="0" w:color="auto"/>
                    <w:bottom w:val="none" w:sz="0" w:space="0" w:color="auto"/>
                    <w:right w:val="none" w:sz="0" w:space="0" w:color="auto"/>
                  </w:divBdr>
                  <w:divsChild>
                    <w:div w:id="827091183">
                      <w:marLeft w:val="0"/>
                      <w:marRight w:val="0"/>
                      <w:marTop w:val="0"/>
                      <w:marBottom w:val="0"/>
                      <w:divBdr>
                        <w:top w:val="none" w:sz="0" w:space="0" w:color="auto"/>
                        <w:left w:val="none" w:sz="0" w:space="0" w:color="auto"/>
                        <w:bottom w:val="none" w:sz="0" w:space="0" w:color="auto"/>
                        <w:right w:val="none" w:sz="0" w:space="0" w:color="auto"/>
                      </w:divBdr>
                    </w:div>
                    <w:div w:id="949319870">
                      <w:marLeft w:val="0"/>
                      <w:marRight w:val="0"/>
                      <w:marTop w:val="0"/>
                      <w:marBottom w:val="0"/>
                      <w:divBdr>
                        <w:top w:val="none" w:sz="0" w:space="0" w:color="auto"/>
                        <w:left w:val="none" w:sz="0" w:space="0" w:color="auto"/>
                        <w:bottom w:val="none" w:sz="0" w:space="0" w:color="auto"/>
                        <w:right w:val="none" w:sz="0" w:space="0" w:color="auto"/>
                      </w:divBdr>
                    </w:div>
                    <w:div w:id="960377118">
                      <w:marLeft w:val="0"/>
                      <w:marRight w:val="0"/>
                      <w:marTop w:val="0"/>
                      <w:marBottom w:val="0"/>
                      <w:divBdr>
                        <w:top w:val="none" w:sz="0" w:space="0" w:color="auto"/>
                        <w:left w:val="none" w:sz="0" w:space="0" w:color="auto"/>
                        <w:bottom w:val="none" w:sz="0" w:space="0" w:color="auto"/>
                        <w:right w:val="none" w:sz="0" w:space="0" w:color="auto"/>
                      </w:divBdr>
                    </w:div>
                    <w:div w:id="1132942066">
                      <w:marLeft w:val="0"/>
                      <w:marRight w:val="0"/>
                      <w:marTop w:val="0"/>
                      <w:marBottom w:val="0"/>
                      <w:divBdr>
                        <w:top w:val="none" w:sz="0" w:space="0" w:color="auto"/>
                        <w:left w:val="none" w:sz="0" w:space="0" w:color="auto"/>
                        <w:bottom w:val="none" w:sz="0" w:space="0" w:color="auto"/>
                        <w:right w:val="none" w:sz="0" w:space="0" w:color="auto"/>
                      </w:divBdr>
                    </w:div>
                    <w:div w:id="1179350636">
                      <w:marLeft w:val="0"/>
                      <w:marRight w:val="0"/>
                      <w:marTop w:val="0"/>
                      <w:marBottom w:val="0"/>
                      <w:divBdr>
                        <w:top w:val="none" w:sz="0" w:space="0" w:color="auto"/>
                        <w:left w:val="none" w:sz="0" w:space="0" w:color="auto"/>
                        <w:bottom w:val="none" w:sz="0" w:space="0" w:color="auto"/>
                        <w:right w:val="none" w:sz="0" w:space="0" w:color="auto"/>
                      </w:divBdr>
                    </w:div>
                    <w:div w:id="1486356592">
                      <w:marLeft w:val="0"/>
                      <w:marRight w:val="0"/>
                      <w:marTop w:val="0"/>
                      <w:marBottom w:val="0"/>
                      <w:divBdr>
                        <w:top w:val="none" w:sz="0" w:space="0" w:color="auto"/>
                        <w:left w:val="none" w:sz="0" w:space="0" w:color="auto"/>
                        <w:bottom w:val="none" w:sz="0" w:space="0" w:color="auto"/>
                        <w:right w:val="none" w:sz="0" w:space="0" w:color="auto"/>
                      </w:divBdr>
                    </w:div>
                    <w:div w:id="1520312023">
                      <w:marLeft w:val="0"/>
                      <w:marRight w:val="0"/>
                      <w:marTop w:val="0"/>
                      <w:marBottom w:val="0"/>
                      <w:divBdr>
                        <w:top w:val="none" w:sz="0" w:space="0" w:color="auto"/>
                        <w:left w:val="none" w:sz="0" w:space="0" w:color="auto"/>
                        <w:bottom w:val="none" w:sz="0" w:space="0" w:color="auto"/>
                        <w:right w:val="none" w:sz="0" w:space="0" w:color="auto"/>
                      </w:divBdr>
                    </w:div>
                  </w:divsChild>
                </w:div>
                <w:div w:id="1008290794">
                  <w:marLeft w:val="0"/>
                  <w:marRight w:val="0"/>
                  <w:marTop w:val="0"/>
                  <w:marBottom w:val="0"/>
                  <w:divBdr>
                    <w:top w:val="none" w:sz="0" w:space="0" w:color="auto"/>
                    <w:left w:val="none" w:sz="0" w:space="0" w:color="auto"/>
                    <w:bottom w:val="none" w:sz="0" w:space="0" w:color="auto"/>
                    <w:right w:val="none" w:sz="0" w:space="0" w:color="auto"/>
                  </w:divBdr>
                  <w:divsChild>
                    <w:div w:id="1747148194">
                      <w:marLeft w:val="0"/>
                      <w:marRight w:val="0"/>
                      <w:marTop w:val="0"/>
                      <w:marBottom w:val="0"/>
                      <w:divBdr>
                        <w:top w:val="none" w:sz="0" w:space="0" w:color="auto"/>
                        <w:left w:val="none" w:sz="0" w:space="0" w:color="auto"/>
                        <w:bottom w:val="none" w:sz="0" w:space="0" w:color="auto"/>
                        <w:right w:val="none" w:sz="0" w:space="0" w:color="auto"/>
                      </w:divBdr>
                    </w:div>
                  </w:divsChild>
                </w:div>
                <w:div w:id="1024555718">
                  <w:marLeft w:val="0"/>
                  <w:marRight w:val="0"/>
                  <w:marTop w:val="0"/>
                  <w:marBottom w:val="0"/>
                  <w:divBdr>
                    <w:top w:val="none" w:sz="0" w:space="0" w:color="auto"/>
                    <w:left w:val="none" w:sz="0" w:space="0" w:color="auto"/>
                    <w:bottom w:val="none" w:sz="0" w:space="0" w:color="auto"/>
                    <w:right w:val="none" w:sz="0" w:space="0" w:color="auto"/>
                  </w:divBdr>
                  <w:divsChild>
                    <w:div w:id="242377329">
                      <w:marLeft w:val="0"/>
                      <w:marRight w:val="0"/>
                      <w:marTop w:val="0"/>
                      <w:marBottom w:val="0"/>
                      <w:divBdr>
                        <w:top w:val="none" w:sz="0" w:space="0" w:color="auto"/>
                        <w:left w:val="none" w:sz="0" w:space="0" w:color="auto"/>
                        <w:bottom w:val="none" w:sz="0" w:space="0" w:color="auto"/>
                        <w:right w:val="none" w:sz="0" w:space="0" w:color="auto"/>
                      </w:divBdr>
                    </w:div>
                    <w:div w:id="583994286">
                      <w:marLeft w:val="0"/>
                      <w:marRight w:val="0"/>
                      <w:marTop w:val="0"/>
                      <w:marBottom w:val="0"/>
                      <w:divBdr>
                        <w:top w:val="none" w:sz="0" w:space="0" w:color="auto"/>
                        <w:left w:val="none" w:sz="0" w:space="0" w:color="auto"/>
                        <w:bottom w:val="none" w:sz="0" w:space="0" w:color="auto"/>
                        <w:right w:val="none" w:sz="0" w:space="0" w:color="auto"/>
                      </w:divBdr>
                    </w:div>
                    <w:div w:id="620918093">
                      <w:marLeft w:val="0"/>
                      <w:marRight w:val="0"/>
                      <w:marTop w:val="0"/>
                      <w:marBottom w:val="0"/>
                      <w:divBdr>
                        <w:top w:val="none" w:sz="0" w:space="0" w:color="auto"/>
                        <w:left w:val="none" w:sz="0" w:space="0" w:color="auto"/>
                        <w:bottom w:val="none" w:sz="0" w:space="0" w:color="auto"/>
                        <w:right w:val="none" w:sz="0" w:space="0" w:color="auto"/>
                      </w:divBdr>
                    </w:div>
                    <w:div w:id="683943347">
                      <w:marLeft w:val="0"/>
                      <w:marRight w:val="0"/>
                      <w:marTop w:val="0"/>
                      <w:marBottom w:val="0"/>
                      <w:divBdr>
                        <w:top w:val="none" w:sz="0" w:space="0" w:color="auto"/>
                        <w:left w:val="none" w:sz="0" w:space="0" w:color="auto"/>
                        <w:bottom w:val="none" w:sz="0" w:space="0" w:color="auto"/>
                        <w:right w:val="none" w:sz="0" w:space="0" w:color="auto"/>
                      </w:divBdr>
                    </w:div>
                    <w:div w:id="814025111">
                      <w:marLeft w:val="0"/>
                      <w:marRight w:val="0"/>
                      <w:marTop w:val="0"/>
                      <w:marBottom w:val="0"/>
                      <w:divBdr>
                        <w:top w:val="none" w:sz="0" w:space="0" w:color="auto"/>
                        <w:left w:val="none" w:sz="0" w:space="0" w:color="auto"/>
                        <w:bottom w:val="none" w:sz="0" w:space="0" w:color="auto"/>
                        <w:right w:val="none" w:sz="0" w:space="0" w:color="auto"/>
                      </w:divBdr>
                    </w:div>
                    <w:div w:id="1324430246">
                      <w:marLeft w:val="0"/>
                      <w:marRight w:val="0"/>
                      <w:marTop w:val="0"/>
                      <w:marBottom w:val="0"/>
                      <w:divBdr>
                        <w:top w:val="none" w:sz="0" w:space="0" w:color="auto"/>
                        <w:left w:val="none" w:sz="0" w:space="0" w:color="auto"/>
                        <w:bottom w:val="none" w:sz="0" w:space="0" w:color="auto"/>
                        <w:right w:val="none" w:sz="0" w:space="0" w:color="auto"/>
                      </w:divBdr>
                    </w:div>
                    <w:div w:id="1443039514">
                      <w:marLeft w:val="0"/>
                      <w:marRight w:val="0"/>
                      <w:marTop w:val="0"/>
                      <w:marBottom w:val="0"/>
                      <w:divBdr>
                        <w:top w:val="none" w:sz="0" w:space="0" w:color="auto"/>
                        <w:left w:val="none" w:sz="0" w:space="0" w:color="auto"/>
                        <w:bottom w:val="none" w:sz="0" w:space="0" w:color="auto"/>
                        <w:right w:val="none" w:sz="0" w:space="0" w:color="auto"/>
                      </w:divBdr>
                    </w:div>
                    <w:div w:id="1685932648">
                      <w:marLeft w:val="0"/>
                      <w:marRight w:val="0"/>
                      <w:marTop w:val="0"/>
                      <w:marBottom w:val="0"/>
                      <w:divBdr>
                        <w:top w:val="none" w:sz="0" w:space="0" w:color="auto"/>
                        <w:left w:val="none" w:sz="0" w:space="0" w:color="auto"/>
                        <w:bottom w:val="none" w:sz="0" w:space="0" w:color="auto"/>
                        <w:right w:val="none" w:sz="0" w:space="0" w:color="auto"/>
                      </w:divBdr>
                    </w:div>
                  </w:divsChild>
                </w:div>
                <w:div w:id="1047529568">
                  <w:marLeft w:val="0"/>
                  <w:marRight w:val="0"/>
                  <w:marTop w:val="0"/>
                  <w:marBottom w:val="0"/>
                  <w:divBdr>
                    <w:top w:val="none" w:sz="0" w:space="0" w:color="auto"/>
                    <w:left w:val="none" w:sz="0" w:space="0" w:color="auto"/>
                    <w:bottom w:val="none" w:sz="0" w:space="0" w:color="auto"/>
                    <w:right w:val="none" w:sz="0" w:space="0" w:color="auto"/>
                  </w:divBdr>
                  <w:divsChild>
                    <w:div w:id="153840105">
                      <w:marLeft w:val="0"/>
                      <w:marRight w:val="0"/>
                      <w:marTop w:val="0"/>
                      <w:marBottom w:val="0"/>
                      <w:divBdr>
                        <w:top w:val="none" w:sz="0" w:space="0" w:color="auto"/>
                        <w:left w:val="none" w:sz="0" w:space="0" w:color="auto"/>
                        <w:bottom w:val="none" w:sz="0" w:space="0" w:color="auto"/>
                        <w:right w:val="none" w:sz="0" w:space="0" w:color="auto"/>
                      </w:divBdr>
                    </w:div>
                    <w:div w:id="1038701127">
                      <w:marLeft w:val="0"/>
                      <w:marRight w:val="0"/>
                      <w:marTop w:val="0"/>
                      <w:marBottom w:val="0"/>
                      <w:divBdr>
                        <w:top w:val="none" w:sz="0" w:space="0" w:color="auto"/>
                        <w:left w:val="none" w:sz="0" w:space="0" w:color="auto"/>
                        <w:bottom w:val="none" w:sz="0" w:space="0" w:color="auto"/>
                        <w:right w:val="none" w:sz="0" w:space="0" w:color="auto"/>
                      </w:divBdr>
                    </w:div>
                    <w:div w:id="2053573714">
                      <w:marLeft w:val="0"/>
                      <w:marRight w:val="0"/>
                      <w:marTop w:val="0"/>
                      <w:marBottom w:val="0"/>
                      <w:divBdr>
                        <w:top w:val="none" w:sz="0" w:space="0" w:color="auto"/>
                        <w:left w:val="none" w:sz="0" w:space="0" w:color="auto"/>
                        <w:bottom w:val="none" w:sz="0" w:space="0" w:color="auto"/>
                        <w:right w:val="none" w:sz="0" w:space="0" w:color="auto"/>
                      </w:divBdr>
                    </w:div>
                  </w:divsChild>
                </w:div>
                <w:div w:id="1058671437">
                  <w:marLeft w:val="0"/>
                  <w:marRight w:val="0"/>
                  <w:marTop w:val="0"/>
                  <w:marBottom w:val="0"/>
                  <w:divBdr>
                    <w:top w:val="none" w:sz="0" w:space="0" w:color="auto"/>
                    <w:left w:val="none" w:sz="0" w:space="0" w:color="auto"/>
                    <w:bottom w:val="none" w:sz="0" w:space="0" w:color="auto"/>
                    <w:right w:val="none" w:sz="0" w:space="0" w:color="auto"/>
                  </w:divBdr>
                  <w:divsChild>
                    <w:div w:id="501625140">
                      <w:marLeft w:val="0"/>
                      <w:marRight w:val="0"/>
                      <w:marTop w:val="0"/>
                      <w:marBottom w:val="0"/>
                      <w:divBdr>
                        <w:top w:val="none" w:sz="0" w:space="0" w:color="auto"/>
                        <w:left w:val="none" w:sz="0" w:space="0" w:color="auto"/>
                        <w:bottom w:val="none" w:sz="0" w:space="0" w:color="auto"/>
                        <w:right w:val="none" w:sz="0" w:space="0" w:color="auto"/>
                      </w:divBdr>
                    </w:div>
                  </w:divsChild>
                </w:div>
                <w:div w:id="1179002193">
                  <w:marLeft w:val="0"/>
                  <w:marRight w:val="0"/>
                  <w:marTop w:val="0"/>
                  <w:marBottom w:val="0"/>
                  <w:divBdr>
                    <w:top w:val="none" w:sz="0" w:space="0" w:color="auto"/>
                    <w:left w:val="none" w:sz="0" w:space="0" w:color="auto"/>
                    <w:bottom w:val="none" w:sz="0" w:space="0" w:color="auto"/>
                    <w:right w:val="none" w:sz="0" w:space="0" w:color="auto"/>
                  </w:divBdr>
                  <w:divsChild>
                    <w:div w:id="311956864">
                      <w:marLeft w:val="0"/>
                      <w:marRight w:val="0"/>
                      <w:marTop w:val="0"/>
                      <w:marBottom w:val="0"/>
                      <w:divBdr>
                        <w:top w:val="none" w:sz="0" w:space="0" w:color="auto"/>
                        <w:left w:val="none" w:sz="0" w:space="0" w:color="auto"/>
                        <w:bottom w:val="none" w:sz="0" w:space="0" w:color="auto"/>
                        <w:right w:val="none" w:sz="0" w:space="0" w:color="auto"/>
                      </w:divBdr>
                    </w:div>
                    <w:div w:id="1745881808">
                      <w:marLeft w:val="0"/>
                      <w:marRight w:val="0"/>
                      <w:marTop w:val="0"/>
                      <w:marBottom w:val="0"/>
                      <w:divBdr>
                        <w:top w:val="none" w:sz="0" w:space="0" w:color="auto"/>
                        <w:left w:val="none" w:sz="0" w:space="0" w:color="auto"/>
                        <w:bottom w:val="none" w:sz="0" w:space="0" w:color="auto"/>
                        <w:right w:val="none" w:sz="0" w:space="0" w:color="auto"/>
                      </w:divBdr>
                    </w:div>
                  </w:divsChild>
                </w:div>
                <w:div w:id="1210531977">
                  <w:marLeft w:val="0"/>
                  <w:marRight w:val="0"/>
                  <w:marTop w:val="0"/>
                  <w:marBottom w:val="0"/>
                  <w:divBdr>
                    <w:top w:val="none" w:sz="0" w:space="0" w:color="auto"/>
                    <w:left w:val="none" w:sz="0" w:space="0" w:color="auto"/>
                    <w:bottom w:val="none" w:sz="0" w:space="0" w:color="auto"/>
                    <w:right w:val="none" w:sz="0" w:space="0" w:color="auto"/>
                  </w:divBdr>
                  <w:divsChild>
                    <w:div w:id="186719192">
                      <w:marLeft w:val="0"/>
                      <w:marRight w:val="0"/>
                      <w:marTop w:val="0"/>
                      <w:marBottom w:val="0"/>
                      <w:divBdr>
                        <w:top w:val="none" w:sz="0" w:space="0" w:color="auto"/>
                        <w:left w:val="none" w:sz="0" w:space="0" w:color="auto"/>
                        <w:bottom w:val="none" w:sz="0" w:space="0" w:color="auto"/>
                        <w:right w:val="none" w:sz="0" w:space="0" w:color="auto"/>
                      </w:divBdr>
                    </w:div>
                    <w:div w:id="1101486185">
                      <w:marLeft w:val="0"/>
                      <w:marRight w:val="0"/>
                      <w:marTop w:val="0"/>
                      <w:marBottom w:val="0"/>
                      <w:divBdr>
                        <w:top w:val="none" w:sz="0" w:space="0" w:color="auto"/>
                        <w:left w:val="none" w:sz="0" w:space="0" w:color="auto"/>
                        <w:bottom w:val="none" w:sz="0" w:space="0" w:color="auto"/>
                        <w:right w:val="none" w:sz="0" w:space="0" w:color="auto"/>
                      </w:divBdr>
                    </w:div>
                    <w:div w:id="1332954983">
                      <w:marLeft w:val="0"/>
                      <w:marRight w:val="0"/>
                      <w:marTop w:val="0"/>
                      <w:marBottom w:val="0"/>
                      <w:divBdr>
                        <w:top w:val="none" w:sz="0" w:space="0" w:color="auto"/>
                        <w:left w:val="none" w:sz="0" w:space="0" w:color="auto"/>
                        <w:bottom w:val="none" w:sz="0" w:space="0" w:color="auto"/>
                        <w:right w:val="none" w:sz="0" w:space="0" w:color="auto"/>
                      </w:divBdr>
                    </w:div>
                    <w:div w:id="1831023436">
                      <w:marLeft w:val="0"/>
                      <w:marRight w:val="0"/>
                      <w:marTop w:val="0"/>
                      <w:marBottom w:val="0"/>
                      <w:divBdr>
                        <w:top w:val="none" w:sz="0" w:space="0" w:color="auto"/>
                        <w:left w:val="none" w:sz="0" w:space="0" w:color="auto"/>
                        <w:bottom w:val="none" w:sz="0" w:space="0" w:color="auto"/>
                        <w:right w:val="none" w:sz="0" w:space="0" w:color="auto"/>
                      </w:divBdr>
                    </w:div>
                    <w:div w:id="1857577677">
                      <w:marLeft w:val="0"/>
                      <w:marRight w:val="0"/>
                      <w:marTop w:val="0"/>
                      <w:marBottom w:val="0"/>
                      <w:divBdr>
                        <w:top w:val="none" w:sz="0" w:space="0" w:color="auto"/>
                        <w:left w:val="none" w:sz="0" w:space="0" w:color="auto"/>
                        <w:bottom w:val="none" w:sz="0" w:space="0" w:color="auto"/>
                        <w:right w:val="none" w:sz="0" w:space="0" w:color="auto"/>
                      </w:divBdr>
                    </w:div>
                    <w:div w:id="1899899150">
                      <w:marLeft w:val="0"/>
                      <w:marRight w:val="0"/>
                      <w:marTop w:val="0"/>
                      <w:marBottom w:val="0"/>
                      <w:divBdr>
                        <w:top w:val="none" w:sz="0" w:space="0" w:color="auto"/>
                        <w:left w:val="none" w:sz="0" w:space="0" w:color="auto"/>
                        <w:bottom w:val="none" w:sz="0" w:space="0" w:color="auto"/>
                        <w:right w:val="none" w:sz="0" w:space="0" w:color="auto"/>
                      </w:divBdr>
                    </w:div>
                    <w:div w:id="2032560538">
                      <w:marLeft w:val="0"/>
                      <w:marRight w:val="0"/>
                      <w:marTop w:val="0"/>
                      <w:marBottom w:val="0"/>
                      <w:divBdr>
                        <w:top w:val="none" w:sz="0" w:space="0" w:color="auto"/>
                        <w:left w:val="none" w:sz="0" w:space="0" w:color="auto"/>
                        <w:bottom w:val="none" w:sz="0" w:space="0" w:color="auto"/>
                        <w:right w:val="none" w:sz="0" w:space="0" w:color="auto"/>
                      </w:divBdr>
                    </w:div>
                  </w:divsChild>
                </w:div>
                <w:div w:id="1232080548">
                  <w:marLeft w:val="0"/>
                  <w:marRight w:val="0"/>
                  <w:marTop w:val="0"/>
                  <w:marBottom w:val="0"/>
                  <w:divBdr>
                    <w:top w:val="none" w:sz="0" w:space="0" w:color="auto"/>
                    <w:left w:val="none" w:sz="0" w:space="0" w:color="auto"/>
                    <w:bottom w:val="none" w:sz="0" w:space="0" w:color="auto"/>
                    <w:right w:val="none" w:sz="0" w:space="0" w:color="auto"/>
                  </w:divBdr>
                  <w:divsChild>
                    <w:div w:id="1828665680">
                      <w:marLeft w:val="0"/>
                      <w:marRight w:val="0"/>
                      <w:marTop w:val="0"/>
                      <w:marBottom w:val="0"/>
                      <w:divBdr>
                        <w:top w:val="none" w:sz="0" w:space="0" w:color="auto"/>
                        <w:left w:val="none" w:sz="0" w:space="0" w:color="auto"/>
                        <w:bottom w:val="none" w:sz="0" w:space="0" w:color="auto"/>
                        <w:right w:val="none" w:sz="0" w:space="0" w:color="auto"/>
                      </w:divBdr>
                    </w:div>
                  </w:divsChild>
                </w:div>
                <w:div w:id="1263612480">
                  <w:marLeft w:val="0"/>
                  <w:marRight w:val="0"/>
                  <w:marTop w:val="0"/>
                  <w:marBottom w:val="0"/>
                  <w:divBdr>
                    <w:top w:val="none" w:sz="0" w:space="0" w:color="auto"/>
                    <w:left w:val="none" w:sz="0" w:space="0" w:color="auto"/>
                    <w:bottom w:val="none" w:sz="0" w:space="0" w:color="auto"/>
                    <w:right w:val="none" w:sz="0" w:space="0" w:color="auto"/>
                  </w:divBdr>
                  <w:divsChild>
                    <w:div w:id="331764688">
                      <w:marLeft w:val="0"/>
                      <w:marRight w:val="0"/>
                      <w:marTop w:val="0"/>
                      <w:marBottom w:val="0"/>
                      <w:divBdr>
                        <w:top w:val="none" w:sz="0" w:space="0" w:color="auto"/>
                        <w:left w:val="none" w:sz="0" w:space="0" w:color="auto"/>
                        <w:bottom w:val="none" w:sz="0" w:space="0" w:color="auto"/>
                        <w:right w:val="none" w:sz="0" w:space="0" w:color="auto"/>
                      </w:divBdr>
                    </w:div>
                    <w:div w:id="1006790762">
                      <w:marLeft w:val="0"/>
                      <w:marRight w:val="0"/>
                      <w:marTop w:val="0"/>
                      <w:marBottom w:val="0"/>
                      <w:divBdr>
                        <w:top w:val="none" w:sz="0" w:space="0" w:color="auto"/>
                        <w:left w:val="none" w:sz="0" w:space="0" w:color="auto"/>
                        <w:bottom w:val="none" w:sz="0" w:space="0" w:color="auto"/>
                        <w:right w:val="none" w:sz="0" w:space="0" w:color="auto"/>
                      </w:divBdr>
                    </w:div>
                    <w:div w:id="1471554274">
                      <w:marLeft w:val="0"/>
                      <w:marRight w:val="0"/>
                      <w:marTop w:val="0"/>
                      <w:marBottom w:val="0"/>
                      <w:divBdr>
                        <w:top w:val="none" w:sz="0" w:space="0" w:color="auto"/>
                        <w:left w:val="none" w:sz="0" w:space="0" w:color="auto"/>
                        <w:bottom w:val="none" w:sz="0" w:space="0" w:color="auto"/>
                        <w:right w:val="none" w:sz="0" w:space="0" w:color="auto"/>
                      </w:divBdr>
                    </w:div>
                    <w:div w:id="1790776630">
                      <w:marLeft w:val="0"/>
                      <w:marRight w:val="0"/>
                      <w:marTop w:val="0"/>
                      <w:marBottom w:val="0"/>
                      <w:divBdr>
                        <w:top w:val="none" w:sz="0" w:space="0" w:color="auto"/>
                        <w:left w:val="none" w:sz="0" w:space="0" w:color="auto"/>
                        <w:bottom w:val="none" w:sz="0" w:space="0" w:color="auto"/>
                        <w:right w:val="none" w:sz="0" w:space="0" w:color="auto"/>
                      </w:divBdr>
                    </w:div>
                  </w:divsChild>
                </w:div>
                <w:div w:id="1353651467">
                  <w:marLeft w:val="0"/>
                  <w:marRight w:val="0"/>
                  <w:marTop w:val="0"/>
                  <w:marBottom w:val="0"/>
                  <w:divBdr>
                    <w:top w:val="none" w:sz="0" w:space="0" w:color="auto"/>
                    <w:left w:val="none" w:sz="0" w:space="0" w:color="auto"/>
                    <w:bottom w:val="none" w:sz="0" w:space="0" w:color="auto"/>
                    <w:right w:val="none" w:sz="0" w:space="0" w:color="auto"/>
                  </w:divBdr>
                  <w:divsChild>
                    <w:div w:id="186607832">
                      <w:marLeft w:val="0"/>
                      <w:marRight w:val="0"/>
                      <w:marTop w:val="0"/>
                      <w:marBottom w:val="0"/>
                      <w:divBdr>
                        <w:top w:val="none" w:sz="0" w:space="0" w:color="auto"/>
                        <w:left w:val="none" w:sz="0" w:space="0" w:color="auto"/>
                        <w:bottom w:val="none" w:sz="0" w:space="0" w:color="auto"/>
                        <w:right w:val="none" w:sz="0" w:space="0" w:color="auto"/>
                      </w:divBdr>
                    </w:div>
                    <w:div w:id="319818862">
                      <w:marLeft w:val="0"/>
                      <w:marRight w:val="0"/>
                      <w:marTop w:val="0"/>
                      <w:marBottom w:val="0"/>
                      <w:divBdr>
                        <w:top w:val="none" w:sz="0" w:space="0" w:color="auto"/>
                        <w:left w:val="none" w:sz="0" w:space="0" w:color="auto"/>
                        <w:bottom w:val="none" w:sz="0" w:space="0" w:color="auto"/>
                        <w:right w:val="none" w:sz="0" w:space="0" w:color="auto"/>
                      </w:divBdr>
                    </w:div>
                    <w:div w:id="704906849">
                      <w:marLeft w:val="0"/>
                      <w:marRight w:val="0"/>
                      <w:marTop w:val="0"/>
                      <w:marBottom w:val="0"/>
                      <w:divBdr>
                        <w:top w:val="none" w:sz="0" w:space="0" w:color="auto"/>
                        <w:left w:val="none" w:sz="0" w:space="0" w:color="auto"/>
                        <w:bottom w:val="none" w:sz="0" w:space="0" w:color="auto"/>
                        <w:right w:val="none" w:sz="0" w:space="0" w:color="auto"/>
                      </w:divBdr>
                    </w:div>
                    <w:div w:id="945699591">
                      <w:marLeft w:val="0"/>
                      <w:marRight w:val="0"/>
                      <w:marTop w:val="0"/>
                      <w:marBottom w:val="0"/>
                      <w:divBdr>
                        <w:top w:val="none" w:sz="0" w:space="0" w:color="auto"/>
                        <w:left w:val="none" w:sz="0" w:space="0" w:color="auto"/>
                        <w:bottom w:val="none" w:sz="0" w:space="0" w:color="auto"/>
                        <w:right w:val="none" w:sz="0" w:space="0" w:color="auto"/>
                      </w:divBdr>
                    </w:div>
                    <w:div w:id="1308895379">
                      <w:marLeft w:val="0"/>
                      <w:marRight w:val="0"/>
                      <w:marTop w:val="0"/>
                      <w:marBottom w:val="0"/>
                      <w:divBdr>
                        <w:top w:val="none" w:sz="0" w:space="0" w:color="auto"/>
                        <w:left w:val="none" w:sz="0" w:space="0" w:color="auto"/>
                        <w:bottom w:val="none" w:sz="0" w:space="0" w:color="auto"/>
                        <w:right w:val="none" w:sz="0" w:space="0" w:color="auto"/>
                      </w:divBdr>
                    </w:div>
                    <w:div w:id="1335760426">
                      <w:marLeft w:val="0"/>
                      <w:marRight w:val="0"/>
                      <w:marTop w:val="0"/>
                      <w:marBottom w:val="0"/>
                      <w:divBdr>
                        <w:top w:val="none" w:sz="0" w:space="0" w:color="auto"/>
                        <w:left w:val="none" w:sz="0" w:space="0" w:color="auto"/>
                        <w:bottom w:val="none" w:sz="0" w:space="0" w:color="auto"/>
                        <w:right w:val="none" w:sz="0" w:space="0" w:color="auto"/>
                      </w:divBdr>
                    </w:div>
                    <w:div w:id="1834685320">
                      <w:marLeft w:val="0"/>
                      <w:marRight w:val="0"/>
                      <w:marTop w:val="0"/>
                      <w:marBottom w:val="0"/>
                      <w:divBdr>
                        <w:top w:val="none" w:sz="0" w:space="0" w:color="auto"/>
                        <w:left w:val="none" w:sz="0" w:space="0" w:color="auto"/>
                        <w:bottom w:val="none" w:sz="0" w:space="0" w:color="auto"/>
                        <w:right w:val="none" w:sz="0" w:space="0" w:color="auto"/>
                      </w:divBdr>
                    </w:div>
                  </w:divsChild>
                </w:div>
                <w:div w:id="1375737396">
                  <w:marLeft w:val="0"/>
                  <w:marRight w:val="0"/>
                  <w:marTop w:val="0"/>
                  <w:marBottom w:val="0"/>
                  <w:divBdr>
                    <w:top w:val="none" w:sz="0" w:space="0" w:color="auto"/>
                    <w:left w:val="none" w:sz="0" w:space="0" w:color="auto"/>
                    <w:bottom w:val="none" w:sz="0" w:space="0" w:color="auto"/>
                    <w:right w:val="none" w:sz="0" w:space="0" w:color="auto"/>
                  </w:divBdr>
                  <w:divsChild>
                    <w:div w:id="97139906">
                      <w:marLeft w:val="0"/>
                      <w:marRight w:val="0"/>
                      <w:marTop w:val="0"/>
                      <w:marBottom w:val="0"/>
                      <w:divBdr>
                        <w:top w:val="none" w:sz="0" w:space="0" w:color="auto"/>
                        <w:left w:val="none" w:sz="0" w:space="0" w:color="auto"/>
                        <w:bottom w:val="none" w:sz="0" w:space="0" w:color="auto"/>
                        <w:right w:val="none" w:sz="0" w:space="0" w:color="auto"/>
                      </w:divBdr>
                    </w:div>
                    <w:div w:id="351034407">
                      <w:marLeft w:val="0"/>
                      <w:marRight w:val="0"/>
                      <w:marTop w:val="0"/>
                      <w:marBottom w:val="0"/>
                      <w:divBdr>
                        <w:top w:val="none" w:sz="0" w:space="0" w:color="auto"/>
                        <w:left w:val="none" w:sz="0" w:space="0" w:color="auto"/>
                        <w:bottom w:val="none" w:sz="0" w:space="0" w:color="auto"/>
                        <w:right w:val="none" w:sz="0" w:space="0" w:color="auto"/>
                      </w:divBdr>
                    </w:div>
                    <w:div w:id="488862980">
                      <w:marLeft w:val="0"/>
                      <w:marRight w:val="0"/>
                      <w:marTop w:val="0"/>
                      <w:marBottom w:val="0"/>
                      <w:divBdr>
                        <w:top w:val="none" w:sz="0" w:space="0" w:color="auto"/>
                        <w:left w:val="none" w:sz="0" w:space="0" w:color="auto"/>
                        <w:bottom w:val="none" w:sz="0" w:space="0" w:color="auto"/>
                        <w:right w:val="none" w:sz="0" w:space="0" w:color="auto"/>
                      </w:divBdr>
                    </w:div>
                    <w:div w:id="664868292">
                      <w:marLeft w:val="0"/>
                      <w:marRight w:val="0"/>
                      <w:marTop w:val="0"/>
                      <w:marBottom w:val="0"/>
                      <w:divBdr>
                        <w:top w:val="none" w:sz="0" w:space="0" w:color="auto"/>
                        <w:left w:val="none" w:sz="0" w:space="0" w:color="auto"/>
                        <w:bottom w:val="none" w:sz="0" w:space="0" w:color="auto"/>
                        <w:right w:val="none" w:sz="0" w:space="0" w:color="auto"/>
                      </w:divBdr>
                    </w:div>
                    <w:div w:id="1339380926">
                      <w:marLeft w:val="0"/>
                      <w:marRight w:val="0"/>
                      <w:marTop w:val="0"/>
                      <w:marBottom w:val="0"/>
                      <w:divBdr>
                        <w:top w:val="none" w:sz="0" w:space="0" w:color="auto"/>
                        <w:left w:val="none" w:sz="0" w:space="0" w:color="auto"/>
                        <w:bottom w:val="none" w:sz="0" w:space="0" w:color="auto"/>
                        <w:right w:val="none" w:sz="0" w:space="0" w:color="auto"/>
                      </w:divBdr>
                    </w:div>
                    <w:div w:id="1397513271">
                      <w:marLeft w:val="0"/>
                      <w:marRight w:val="0"/>
                      <w:marTop w:val="0"/>
                      <w:marBottom w:val="0"/>
                      <w:divBdr>
                        <w:top w:val="none" w:sz="0" w:space="0" w:color="auto"/>
                        <w:left w:val="none" w:sz="0" w:space="0" w:color="auto"/>
                        <w:bottom w:val="none" w:sz="0" w:space="0" w:color="auto"/>
                        <w:right w:val="none" w:sz="0" w:space="0" w:color="auto"/>
                      </w:divBdr>
                    </w:div>
                    <w:div w:id="1555652302">
                      <w:marLeft w:val="0"/>
                      <w:marRight w:val="0"/>
                      <w:marTop w:val="0"/>
                      <w:marBottom w:val="0"/>
                      <w:divBdr>
                        <w:top w:val="none" w:sz="0" w:space="0" w:color="auto"/>
                        <w:left w:val="none" w:sz="0" w:space="0" w:color="auto"/>
                        <w:bottom w:val="none" w:sz="0" w:space="0" w:color="auto"/>
                        <w:right w:val="none" w:sz="0" w:space="0" w:color="auto"/>
                      </w:divBdr>
                    </w:div>
                    <w:div w:id="1579293039">
                      <w:marLeft w:val="0"/>
                      <w:marRight w:val="0"/>
                      <w:marTop w:val="0"/>
                      <w:marBottom w:val="0"/>
                      <w:divBdr>
                        <w:top w:val="none" w:sz="0" w:space="0" w:color="auto"/>
                        <w:left w:val="none" w:sz="0" w:space="0" w:color="auto"/>
                        <w:bottom w:val="none" w:sz="0" w:space="0" w:color="auto"/>
                        <w:right w:val="none" w:sz="0" w:space="0" w:color="auto"/>
                      </w:divBdr>
                    </w:div>
                    <w:div w:id="2085567040">
                      <w:marLeft w:val="0"/>
                      <w:marRight w:val="0"/>
                      <w:marTop w:val="0"/>
                      <w:marBottom w:val="0"/>
                      <w:divBdr>
                        <w:top w:val="none" w:sz="0" w:space="0" w:color="auto"/>
                        <w:left w:val="none" w:sz="0" w:space="0" w:color="auto"/>
                        <w:bottom w:val="none" w:sz="0" w:space="0" w:color="auto"/>
                        <w:right w:val="none" w:sz="0" w:space="0" w:color="auto"/>
                      </w:divBdr>
                    </w:div>
                  </w:divsChild>
                </w:div>
                <w:div w:id="1378551955">
                  <w:marLeft w:val="0"/>
                  <w:marRight w:val="0"/>
                  <w:marTop w:val="0"/>
                  <w:marBottom w:val="0"/>
                  <w:divBdr>
                    <w:top w:val="none" w:sz="0" w:space="0" w:color="auto"/>
                    <w:left w:val="none" w:sz="0" w:space="0" w:color="auto"/>
                    <w:bottom w:val="none" w:sz="0" w:space="0" w:color="auto"/>
                    <w:right w:val="none" w:sz="0" w:space="0" w:color="auto"/>
                  </w:divBdr>
                  <w:divsChild>
                    <w:div w:id="38017177">
                      <w:marLeft w:val="0"/>
                      <w:marRight w:val="0"/>
                      <w:marTop w:val="0"/>
                      <w:marBottom w:val="0"/>
                      <w:divBdr>
                        <w:top w:val="none" w:sz="0" w:space="0" w:color="auto"/>
                        <w:left w:val="none" w:sz="0" w:space="0" w:color="auto"/>
                        <w:bottom w:val="none" w:sz="0" w:space="0" w:color="auto"/>
                        <w:right w:val="none" w:sz="0" w:space="0" w:color="auto"/>
                      </w:divBdr>
                    </w:div>
                    <w:div w:id="931745563">
                      <w:marLeft w:val="0"/>
                      <w:marRight w:val="0"/>
                      <w:marTop w:val="0"/>
                      <w:marBottom w:val="0"/>
                      <w:divBdr>
                        <w:top w:val="none" w:sz="0" w:space="0" w:color="auto"/>
                        <w:left w:val="none" w:sz="0" w:space="0" w:color="auto"/>
                        <w:bottom w:val="none" w:sz="0" w:space="0" w:color="auto"/>
                        <w:right w:val="none" w:sz="0" w:space="0" w:color="auto"/>
                      </w:divBdr>
                    </w:div>
                    <w:div w:id="1007559017">
                      <w:marLeft w:val="0"/>
                      <w:marRight w:val="0"/>
                      <w:marTop w:val="0"/>
                      <w:marBottom w:val="0"/>
                      <w:divBdr>
                        <w:top w:val="none" w:sz="0" w:space="0" w:color="auto"/>
                        <w:left w:val="none" w:sz="0" w:space="0" w:color="auto"/>
                        <w:bottom w:val="none" w:sz="0" w:space="0" w:color="auto"/>
                        <w:right w:val="none" w:sz="0" w:space="0" w:color="auto"/>
                      </w:divBdr>
                    </w:div>
                    <w:div w:id="1262495194">
                      <w:marLeft w:val="0"/>
                      <w:marRight w:val="0"/>
                      <w:marTop w:val="0"/>
                      <w:marBottom w:val="0"/>
                      <w:divBdr>
                        <w:top w:val="none" w:sz="0" w:space="0" w:color="auto"/>
                        <w:left w:val="none" w:sz="0" w:space="0" w:color="auto"/>
                        <w:bottom w:val="none" w:sz="0" w:space="0" w:color="auto"/>
                        <w:right w:val="none" w:sz="0" w:space="0" w:color="auto"/>
                      </w:divBdr>
                    </w:div>
                    <w:div w:id="1376812520">
                      <w:marLeft w:val="0"/>
                      <w:marRight w:val="0"/>
                      <w:marTop w:val="0"/>
                      <w:marBottom w:val="0"/>
                      <w:divBdr>
                        <w:top w:val="none" w:sz="0" w:space="0" w:color="auto"/>
                        <w:left w:val="none" w:sz="0" w:space="0" w:color="auto"/>
                        <w:bottom w:val="none" w:sz="0" w:space="0" w:color="auto"/>
                        <w:right w:val="none" w:sz="0" w:space="0" w:color="auto"/>
                      </w:divBdr>
                    </w:div>
                    <w:div w:id="1392390367">
                      <w:marLeft w:val="0"/>
                      <w:marRight w:val="0"/>
                      <w:marTop w:val="0"/>
                      <w:marBottom w:val="0"/>
                      <w:divBdr>
                        <w:top w:val="none" w:sz="0" w:space="0" w:color="auto"/>
                        <w:left w:val="none" w:sz="0" w:space="0" w:color="auto"/>
                        <w:bottom w:val="none" w:sz="0" w:space="0" w:color="auto"/>
                        <w:right w:val="none" w:sz="0" w:space="0" w:color="auto"/>
                      </w:divBdr>
                    </w:div>
                    <w:div w:id="1873376062">
                      <w:marLeft w:val="0"/>
                      <w:marRight w:val="0"/>
                      <w:marTop w:val="0"/>
                      <w:marBottom w:val="0"/>
                      <w:divBdr>
                        <w:top w:val="none" w:sz="0" w:space="0" w:color="auto"/>
                        <w:left w:val="none" w:sz="0" w:space="0" w:color="auto"/>
                        <w:bottom w:val="none" w:sz="0" w:space="0" w:color="auto"/>
                        <w:right w:val="none" w:sz="0" w:space="0" w:color="auto"/>
                      </w:divBdr>
                    </w:div>
                    <w:div w:id="2081974309">
                      <w:marLeft w:val="0"/>
                      <w:marRight w:val="0"/>
                      <w:marTop w:val="0"/>
                      <w:marBottom w:val="0"/>
                      <w:divBdr>
                        <w:top w:val="none" w:sz="0" w:space="0" w:color="auto"/>
                        <w:left w:val="none" w:sz="0" w:space="0" w:color="auto"/>
                        <w:bottom w:val="none" w:sz="0" w:space="0" w:color="auto"/>
                        <w:right w:val="none" w:sz="0" w:space="0" w:color="auto"/>
                      </w:divBdr>
                    </w:div>
                  </w:divsChild>
                </w:div>
                <w:div w:id="1462310017">
                  <w:marLeft w:val="0"/>
                  <w:marRight w:val="0"/>
                  <w:marTop w:val="0"/>
                  <w:marBottom w:val="0"/>
                  <w:divBdr>
                    <w:top w:val="none" w:sz="0" w:space="0" w:color="auto"/>
                    <w:left w:val="none" w:sz="0" w:space="0" w:color="auto"/>
                    <w:bottom w:val="none" w:sz="0" w:space="0" w:color="auto"/>
                    <w:right w:val="none" w:sz="0" w:space="0" w:color="auto"/>
                  </w:divBdr>
                  <w:divsChild>
                    <w:div w:id="1049194">
                      <w:marLeft w:val="0"/>
                      <w:marRight w:val="0"/>
                      <w:marTop w:val="0"/>
                      <w:marBottom w:val="0"/>
                      <w:divBdr>
                        <w:top w:val="none" w:sz="0" w:space="0" w:color="auto"/>
                        <w:left w:val="none" w:sz="0" w:space="0" w:color="auto"/>
                        <w:bottom w:val="none" w:sz="0" w:space="0" w:color="auto"/>
                        <w:right w:val="none" w:sz="0" w:space="0" w:color="auto"/>
                      </w:divBdr>
                    </w:div>
                    <w:div w:id="417948652">
                      <w:marLeft w:val="0"/>
                      <w:marRight w:val="0"/>
                      <w:marTop w:val="0"/>
                      <w:marBottom w:val="0"/>
                      <w:divBdr>
                        <w:top w:val="none" w:sz="0" w:space="0" w:color="auto"/>
                        <w:left w:val="none" w:sz="0" w:space="0" w:color="auto"/>
                        <w:bottom w:val="none" w:sz="0" w:space="0" w:color="auto"/>
                        <w:right w:val="none" w:sz="0" w:space="0" w:color="auto"/>
                      </w:divBdr>
                    </w:div>
                    <w:div w:id="736241712">
                      <w:marLeft w:val="0"/>
                      <w:marRight w:val="0"/>
                      <w:marTop w:val="0"/>
                      <w:marBottom w:val="0"/>
                      <w:divBdr>
                        <w:top w:val="none" w:sz="0" w:space="0" w:color="auto"/>
                        <w:left w:val="none" w:sz="0" w:space="0" w:color="auto"/>
                        <w:bottom w:val="none" w:sz="0" w:space="0" w:color="auto"/>
                        <w:right w:val="none" w:sz="0" w:space="0" w:color="auto"/>
                      </w:divBdr>
                    </w:div>
                  </w:divsChild>
                </w:div>
                <w:div w:id="1495684864">
                  <w:marLeft w:val="0"/>
                  <w:marRight w:val="0"/>
                  <w:marTop w:val="0"/>
                  <w:marBottom w:val="0"/>
                  <w:divBdr>
                    <w:top w:val="none" w:sz="0" w:space="0" w:color="auto"/>
                    <w:left w:val="none" w:sz="0" w:space="0" w:color="auto"/>
                    <w:bottom w:val="none" w:sz="0" w:space="0" w:color="auto"/>
                    <w:right w:val="none" w:sz="0" w:space="0" w:color="auto"/>
                  </w:divBdr>
                  <w:divsChild>
                    <w:div w:id="1019770474">
                      <w:marLeft w:val="0"/>
                      <w:marRight w:val="0"/>
                      <w:marTop w:val="0"/>
                      <w:marBottom w:val="0"/>
                      <w:divBdr>
                        <w:top w:val="none" w:sz="0" w:space="0" w:color="auto"/>
                        <w:left w:val="none" w:sz="0" w:space="0" w:color="auto"/>
                        <w:bottom w:val="none" w:sz="0" w:space="0" w:color="auto"/>
                        <w:right w:val="none" w:sz="0" w:space="0" w:color="auto"/>
                      </w:divBdr>
                    </w:div>
                    <w:div w:id="1027104890">
                      <w:marLeft w:val="0"/>
                      <w:marRight w:val="0"/>
                      <w:marTop w:val="0"/>
                      <w:marBottom w:val="0"/>
                      <w:divBdr>
                        <w:top w:val="none" w:sz="0" w:space="0" w:color="auto"/>
                        <w:left w:val="none" w:sz="0" w:space="0" w:color="auto"/>
                        <w:bottom w:val="none" w:sz="0" w:space="0" w:color="auto"/>
                        <w:right w:val="none" w:sz="0" w:space="0" w:color="auto"/>
                      </w:divBdr>
                    </w:div>
                    <w:div w:id="1093015750">
                      <w:marLeft w:val="0"/>
                      <w:marRight w:val="0"/>
                      <w:marTop w:val="0"/>
                      <w:marBottom w:val="0"/>
                      <w:divBdr>
                        <w:top w:val="none" w:sz="0" w:space="0" w:color="auto"/>
                        <w:left w:val="none" w:sz="0" w:space="0" w:color="auto"/>
                        <w:bottom w:val="none" w:sz="0" w:space="0" w:color="auto"/>
                        <w:right w:val="none" w:sz="0" w:space="0" w:color="auto"/>
                      </w:divBdr>
                    </w:div>
                    <w:div w:id="1707753251">
                      <w:marLeft w:val="0"/>
                      <w:marRight w:val="0"/>
                      <w:marTop w:val="0"/>
                      <w:marBottom w:val="0"/>
                      <w:divBdr>
                        <w:top w:val="none" w:sz="0" w:space="0" w:color="auto"/>
                        <w:left w:val="none" w:sz="0" w:space="0" w:color="auto"/>
                        <w:bottom w:val="none" w:sz="0" w:space="0" w:color="auto"/>
                        <w:right w:val="none" w:sz="0" w:space="0" w:color="auto"/>
                      </w:divBdr>
                    </w:div>
                    <w:div w:id="1727754701">
                      <w:marLeft w:val="0"/>
                      <w:marRight w:val="0"/>
                      <w:marTop w:val="0"/>
                      <w:marBottom w:val="0"/>
                      <w:divBdr>
                        <w:top w:val="none" w:sz="0" w:space="0" w:color="auto"/>
                        <w:left w:val="none" w:sz="0" w:space="0" w:color="auto"/>
                        <w:bottom w:val="none" w:sz="0" w:space="0" w:color="auto"/>
                        <w:right w:val="none" w:sz="0" w:space="0" w:color="auto"/>
                      </w:divBdr>
                    </w:div>
                    <w:div w:id="2070878101">
                      <w:marLeft w:val="0"/>
                      <w:marRight w:val="0"/>
                      <w:marTop w:val="0"/>
                      <w:marBottom w:val="0"/>
                      <w:divBdr>
                        <w:top w:val="none" w:sz="0" w:space="0" w:color="auto"/>
                        <w:left w:val="none" w:sz="0" w:space="0" w:color="auto"/>
                        <w:bottom w:val="none" w:sz="0" w:space="0" w:color="auto"/>
                        <w:right w:val="none" w:sz="0" w:space="0" w:color="auto"/>
                      </w:divBdr>
                    </w:div>
                  </w:divsChild>
                </w:div>
                <w:div w:id="1534075398">
                  <w:marLeft w:val="0"/>
                  <w:marRight w:val="0"/>
                  <w:marTop w:val="0"/>
                  <w:marBottom w:val="0"/>
                  <w:divBdr>
                    <w:top w:val="none" w:sz="0" w:space="0" w:color="auto"/>
                    <w:left w:val="none" w:sz="0" w:space="0" w:color="auto"/>
                    <w:bottom w:val="none" w:sz="0" w:space="0" w:color="auto"/>
                    <w:right w:val="none" w:sz="0" w:space="0" w:color="auto"/>
                  </w:divBdr>
                  <w:divsChild>
                    <w:div w:id="1366907592">
                      <w:marLeft w:val="0"/>
                      <w:marRight w:val="0"/>
                      <w:marTop w:val="0"/>
                      <w:marBottom w:val="0"/>
                      <w:divBdr>
                        <w:top w:val="none" w:sz="0" w:space="0" w:color="auto"/>
                        <w:left w:val="none" w:sz="0" w:space="0" w:color="auto"/>
                        <w:bottom w:val="none" w:sz="0" w:space="0" w:color="auto"/>
                        <w:right w:val="none" w:sz="0" w:space="0" w:color="auto"/>
                      </w:divBdr>
                    </w:div>
                  </w:divsChild>
                </w:div>
                <w:div w:id="1537503056">
                  <w:marLeft w:val="0"/>
                  <w:marRight w:val="0"/>
                  <w:marTop w:val="0"/>
                  <w:marBottom w:val="0"/>
                  <w:divBdr>
                    <w:top w:val="none" w:sz="0" w:space="0" w:color="auto"/>
                    <w:left w:val="none" w:sz="0" w:space="0" w:color="auto"/>
                    <w:bottom w:val="none" w:sz="0" w:space="0" w:color="auto"/>
                    <w:right w:val="none" w:sz="0" w:space="0" w:color="auto"/>
                  </w:divBdr>
                  <w:divsChild>
                    <w:div w:id="1083991683">
                      <w:marLeft w:val="0"/>
                      <w:marRight w:val="0"/>
                      <w:marTop w:val="0"/>
                      <w:marBottom w:val="0"/>
                      <w:divBdr>
                        <w:top w:val="none" w:sz="0" w:space="0" w:color="auto"/>
                        <w:left w:val="none" w:sz="0" w:space="0" w:color="auto"/>
                        <w:bottom w:val="none" w:sz="0" w:space="0" w:color="auto"/>
                        <w:right w:val="none" w:sz="0" w:space="0" w:color="auto"/>
                      </w:divBdr>
                    </w:div>
                  </w:divsChild>
                </w:div>
                <w:div w:id="1551958738">
                  <w:marLeft w:val="0"/>
                  <w:marRight w:val="0"/>
                  <w:marTop w:val="0"/>
                  <w:marBottom w:val="0"/>
                  <w:divBdr>
                    <w:top w:val="none" w:sz="0" w:space="0" w:color="auto"/>
                    <w:left w:val="none" w:sz="0" w:space="0" w:color="auto"/>
                    <w:bottom w:val="none" w:sz="0" w:space="0" w:color="auto"/>
                    <w:right w:val="none" w:sz="0" w:space="0" w:color="auto"/>
                  </w:divBdr>
                  <w:divsChild>
                    <w:div w:id="478038130">
                      <w:marLeft w:val="0"/>
                      <w:marRight w:val="0"/>
                      <w:marTop w:val="0"/>
                      <w:marBottom w:val="0"/>
                      <w:divBdr>
                        <w:top w:val="none" w:sz="0" w:space="0" w:color="auto"/>
                        <w:left w:val="none" w:sz="0" w:space="0" w:color="auto"/>
                        <w:bottom w:val="none" w:sz="0" w:space="0" w:color="auto"/>
                        <w:right w:val="none" w:sz="0" w:space="0" w:color="auto"/>
                      </w:divBdr>
                    </w:div>
                    <w:div w:id="552351318">
                      <w:marLeft w:val="0"/>
                      <w:marRight w:val="0"/>
                      <w:marTop w:val="0"/>
                      <w:marBottom w:val="0"/>
                      <w:divBdr>
                        <w:top w:val="none" w:sz="0" w:space="0" w:color="auto"/>
                        <w:left w:val="none" w:sz="0" w:space="0" w:color="auto"/>
                        <w:bottom w:val="none" w:sz="0" w:space="0" w:color="auto"/>
                        <w:right w:val="none" w:sz="0" w:space="0" w:color="auto"/>
                      </w:divBdr>
                    </w:div>
                    <w:div w:id="698048682">
                      <w:marLeft w:val="0"/>
                      <w:marRight w:val="0"/>
                      <w:marTop w:val="0"/>
                      <w:marBottom w:val="0"/>
                      <w:divBdr>
                        <w:top w:val="none" w:sz="0" w:space="0" w:color="auto"/>
                        <w:left w:val="none" w:sz="0" w:space="0" w:color="auto"/>
                        <w:bottom w:val="none" w:sz="0" w:space="0" w:color="auto"/>
                        <w:right w:val="none" w:sz="0" w:space="0" w:color="auto"/>
                      </w:divBdr>
                    </w:div>
                    <w:div w:id="993920468">
                      <w:marLeft w:val="0"/>
                      <w:marRight w:val="0"/>
                      <w:marTop w:val="0"/>
                      <w:marBottom w:val="0"/>
                      <w:divBdr>
                        <w:top w:val="none" w:sz="0" w:space="0" w:color="auto"/>
                        <w:left w:val="none" w:sz="0" w:space="0" w:color="auto"/>
                        <w:bottom w:val="none" w:sz="0" w:space="0" w:color="auto"/>
                        <w:right w:val="none" w:sz="0" w:space="0" w:color="auto"/>
                      </w:divBdr>
                    </w:div>
                    <w:div w:id="1179198708">
                      <w:marLeft w:val="0"/>
                      <w:marRight w:val="0"/>
                      <w:marTop w:val="0"/>
                      <w:marBottom w:val="0"/>
                      <w:divBdr>
                        <w:top w:val="none" w:sz="0" w:space="0" w:color="auto"/>
                        <w:left w:val="none" w:sz="0" w:space="0" w:color="auto"/>
                        <w:bottom w:val="none" w:sz="0" w:space="0" w:color="auto"/>
                        <w:right w:val="none" w:sz="0" w:space="0" w:color="auto"/>
                      </w:divBdr>
                    </w:div>
                    <w:div w:id="1266770532">
                      <w:marLeft w:val="0"/>
                      <w:marRight w:val="0"/>
                      <w:marTop w:val="0"/>
                      <w:marBottom w:val="0"/>
                      <w:divBdr>
                        <w:top w:val="none" w:sz="0" w:space="0" w:color="auto"/>
                        <w:left w:val="none" w:sz="0" w:space="0" w:color="auto"/>
                        <w:bottom w:val="none" w:sz="0" w:space="0" w:color="auto"/>
                        <w:right w:val="none" w:sz="0" w:space="0" w:color="auto"/>
                      </w:divBdr>
                    </w:div>
                    <w:div w:id="1268199432">
                      <w:marLeft w:val="0"/>
                      <w:marRight w:val="0"/>
                      <w:marTop w:val="0"/>
                      <w:marBottom w:val="0"/>
                      <w:divBdr>
                        <w:top w:val="none" w:sz="0" w:space="0" w:color="auto"/>
                        <w:left w:val="none" w:sz="0" w:space="0" w:color="auto"/>
                        <w:bottom w:val="none" w:sz="0" w:space="0" w:color="auto"/>
                        <w:right w:val="none" w:sz="0" w:space="0" w:color="auto"/>
                      </w:divBdr>
                    </w:div>
                    <w:div w:id="1824857943">
                      <w:marLeft w:val="0"/>
                      <w:marRight w:val="0"/>
                      <w:marTop w:val="0"/>
                      <w:marBottom w:val="0"/>
                      <w:divBdr>
                        <w:top w:val="none" w:sz="0" w:space="0" w:color="auto"/>
                        <w:left w:val="none" w:sz="0" w:space="0" w:color="auto"/>
                        <w:bottom w:val="none" w:sz="0" w:space="0" w:color="auto"/>
                        <w:right w:val="none" w:sz="0" w:space="0" w:color="auto"/>
                      </w:divBdr>
                    </w:div>
                  </w:divsChild>
                </w:div>
                <w:div w:id="1637834959">
                  <w:marLeft w:val="0"/>
                  <w:marRight w:val="0"/>
                  <w:marTop w:val="0"/>
                  <w:marBottom w:val="0"/>
                  <w:divBdr>
                    <w:top w:val="none" w:sz="0" w:space="0" w:color="auto"/>
                    <w:left w:val="none" w:sz="0" w:space="0" w:color="auto"/>
                    <w:bottom w:val="none" w:sz="0" w:space="0" w:color="auto"/>
                    <w:right w:val="none" w:sz="0" w:space="0" w:color="auto"/>
                  </w:divBdr>
                  <w:divsChild>
                    <w:div w:id="1398505447">
                      <w:marLeft w:val="0"/>
                      <w:marRight w:val="0"/>
                      <w:marTop w:val="0"/>
                      <w:marBottom w:val="0"/>
                      <w:divBdr>
                        <w:top w:val="none" w:sz="0" w:space="0" w:color="auto"/>
                        <w:left w:val="none" w:sz="0" w:space="0" w:color="auto"/>
                        <w:bottom w:val="none" w:sz="0" w:space="0" w:color="auto"/>
                        <w:right w:val="none" w:sz="0" w:space="0" w:color="auto"/>
                      </w:divBdr>
                    </w:div>
                  </w:divsChild>
                </w:div>
                <w:div w:id="1658415415">
                  <w:marLeft w:val="0"/>
                  <w:marRight w:val="0"/>
                  <w:marTop w:val="0"/>
                  <w:marBottom w:val="0"/>
                  <w:divBdr>
                    <w:top w:val="none" w:sz="0" w:space="0" w:color="auto"/>
                    <w:left w:val="none" w:sz="0" w:space="0" w:color="auto"/>
                    <w:bottom w:val="none" w:sz="0" w:space="0" w:color="auto"/>
                    <w:right w:val="none" w:sz="0" w:space="0" w:color="auto"/>
                  </w:divBdr>
                  <w:divsChild>
                    <w:div w:id="48695603">
                      <w:marLeft w:val="0"/>
                      <w:marRight w:val="0"/>
                      <w:marTop w:val="0"/>
                      <w:marBottom w:val="0"/>
                      <w:divBdr>
                        <w:top w:val="none" w:sz="0" w:space="0" w:color="auto"/>
                        <w:left w:val="none" w:sz="0" w:space="0" w:color="auto"/>
                        <w:bottom w:val="none" w:sz="0" w:space="0" w:color="auto"/>
                        <w:right w:val="none" w:sz="0" w:space="0" w:color="auto"/>
                      </w:divBdr>
                    </w:div>
                    <w:div w:id="1010597500">
                      <w:marLeft w:val="0"/>
                      <w:marRight w:val="0"/>
                      <w:marTop w:val="0"/>
                      <w:marBottom w:val="0"/>
                      <w:divBdr>
                        <w:top w:val="none" w:sz="0" w:space="0" w:color="auto"/>
                        <w:left w:val="none" w:sz="0" w:space="0" w:color="auto"/>
                        <w:bottom w:val="none" w:sz="0" w:space="0" w:color="auto"/>
                        <w:right w:val="none" w:sz="0" w:space="0" w:color="auto"/>
                      </w:divBdr>
                    </w:div>
                    <w:div w:id="2015109141">
                      <w:marLeft w:val="0"/>
                      <w:marRight w:val="0"/>
                      <w:marTop w:val="0"/>
                      <w:marBottom w:val="0"/>
                      <w:divBdr>
                        <w:top w:val="none" w:sz="0" w:space="0" w:color="auto"/>
                        <w:left w:val="none" w:sz="0" w:space="0" w:color="auto"/>
                        <w:bottom w:val="none" w:sz="0" w:space="0" w:color="auto"/>
                        <w:right w:val="none" w:sz="0" w:space="0" w:color="auto"/>
                      </w:divBdr>
                    </w:div>
                  </w:divsChild>
                </w:div>
                <w:div w:id="1659066821">
                  <w:marLeft w:val="0"/>
                  <w:marRight w:val="0"/>
                  <w:marTop w:val="0"/>
                  <w:marBottom w:val="0"/>
                  <w:divBdr>
                    <w:top w:val="none" w:sz="0" w:space="0" w:color="auto"/>
                    <w:left w:val="none" w:sz="0" w:space="0" w:color="auto"/>
                    <w:bottom w:val="none" w:sz="0" w:space="0" w:color="auto"/>
                    <w:right w:val="none" w:sz="0" w:space="0" w:color="auto"/>
                  </w:divBdr>
                  <w:divsChild>
                    <w:div w:id="229003379">
                      <w:marLeft w:val="0"/>
                      <w:marRight w:val="0"/>
                      <w:marTop w:val="0"/>
                      <w:marBottom w:val="0"/>
                      <w:divBdr>
                        <w:top w:val="none" w:sz="0" w:space="0" w:color="auto"/>
                        <w:left w:val="none" w:sz="0" w:space="0" w:color="auto"/>
                        <w:bottom w:val="none" w:sz="0" w:space="0" w:color="auto"/>
                        <w:right w:val="none" w:sz="0" w:space="0" w:color="auto"/>
                      </w:divBdr>
                    </w:div>
                    <w:div w:id="641156837">
                      <w:marLeft w:val="0"/>
                      <w:marRight w:val="0"/>
                      <w:marTop w:val="0"/>
                      <w:marBottom w:val="0"/>
                      <w:divBdr>
                        <w:top w:val="none" w:sz="0" w:space="0" w:color="auto"/>
                        <w:left w:val="none" w:sz="0" w:space="0" w:color="auto"/>
                        <w:bottom w:val="none" w:sz="0" w:space="0" w:color="auto"/>
                        <w:right w:val="none" w:sz="0" w:space="0" w:color="auto"/>
                      </w:divBdr>
                    </w:div>
                    <w:div w:id="969094214">
                      <w:marLeft w:val="0"/>
                      <w:marRight w:val="0"/>
                      <w:marTop w:val="0"/>
                      <w:marBottom w:val="0"/>
                      <w:divBdr>
                        <w:top w:val="none" w:sz="0" w:space="0" w:color="auto"/>
                        <w:left w:val="none" w:sz="0" w:space="0" w:color="auto"/>
                        <w:bottom w:val="none" w:sz="0" w:space="0" w:color="auto"/>
                        <w:right w:val="none" w:sz="0" w:space="0" w:color="auto"/>
                      </w:divBdr>
                    </w:div>
                    <w:div w:id="1468889696">
                      <w:marLeft w:val="0"/>
                      <w:marRight w:val="0"/>
                      <w:marTop w:val="0"/>
                      <w:marBottom w:val="0"/>
                      <w:divBdr>
                        <w:top w:val="none" w:sz="0" w:space="0" w:color="auto"/>
                        <w:left w:val="none" w:sz="0" w:space="0" w:color="auto"/>
                        <w:bottom w:val="none" w:sz="0" w:space="0" w:color="auto"/>
                        <w:right w:val="none" w:sz="0" w:space="0" w:color="auto"/>
                      </w:divBdr>
                    </w:div>
                    <w:div w:id="1831410934">
                      <w:marLeft w:val="0"/>
                      <w:marRight w:val="0"/>
                      <w:marTop w:val="0"/>
                      <w:marBottom w:val="0"/>
                      <w:divBdr>
                        <w:top w:val="none" w:sz="0" w:space="0" w:color="auto"/>
                        <w:left w:val="none" w:sz="0" w:space="0" w:color="auto"/>
                        <w:bottom w:val="none" w:sz="0" w:space="0" w:color="auto"/>
                        <w:right w:val="none" w:sz="0" w:space="0" w:color="auto"/>
                      </w:divBdr>
                    </w:div>
                    <w:div w:id="1838112379">
                      <w:marLeft w:val="0"/>
                      <w:marRight w:val="0"/>
                      <w:marTop w:val="0"/>
                      <w:marBottom w:val="0"/>
                      <w:divBdr>
                        <w:top w:val="none" w:sz="0" w:space="0" w:color="auto"/>
                        <w:left w:val="none" w:sz="0" w:space="0" w:color="auto"/>
                        <w:bottom w:val="none" w:sz="0" w:space="0" w:color="auto"/>
                        <w:right w:val="none" w:sz="0" w:space="0" w:color="auto"/>
                      </w:divBdr>
                    </w:div>
                    <w:div w:id="2089959824">
                      <w:marLeft w:val="0"/>
                      <w:marRight w:val="0"/>
                      <w:marTop w:val="0"/>
                      <w:marBottom w:val="0"/>
                      <w:divBdr>
                        <w:top w:val="none" w:sz="0" w:space="0" w:color="auto"/>
                        <w:left w:val="none" w:sz="0" w:space="0" w:color="auto"/>
                        <w:bottom w:val="none" w:sz="0" w:space="0" w:color="auto"/>
                        <w:right w:val="none" w:sz="0" w:space="0" w:color="auto"/>
                      </w:divBdr>
                    </w:div>
                  </w:divsChild>
                </w:div>
                <w:div w:id="1696687895">
                  <w:marLeft w:val="0"/>
                  <w:marRight w:val="0"/>
                  <w:marTop w:val="0"/>
                  <w:marBottom w:val="0"/>
                  <w:divBdr>
                    <w:top w:val="none" w:sz="0" w:space="0" w:color="auto"/>
                    <w:left w:val="none" w:sz="0" w:space="0" w:color="auto"/>
                    <w:bottom w:val="none" w:sz="0" w:space="0" w:color="auto"/>
                    <w:right w:val="none" w:sz="0" w:space="0" w:color="auto"/>
                  </w:divBdr>
                  <w:divsChild>
                    <w:div w:id="663822604">
                      <w:marLeft w:val="0"/>
                      <w:marRight w:val="0"/>
                      <w:marTop w:val="0"/>
                      <w:marBottom w:val="0"/>
                      <w:divBdr>
                        <w:top w:val="none" w:sz="0" w:space="0" w:color="auto"/>
                        <w:left w:val="none" w:sz="0" w:space="0" w:color="auto"/>
                        <w:bottom w:val="none" w:sz="0" w:space="0" w:color="auto"/>
                        <w:right w:val="none" w:sz="0" w:space="0" w:color="auto"/>
                      </w:divBdr>
                    </w:div>
                  </w:divsChild>
                </w:div>
                <w:div w:id="1718509182">
                  <w:marLeft w:val="0"/>
                  <w:marRight w:val="0"/>
                  <w:marTop w:val="0"/>
                  <w:marBottom w:val="0"/>
                  <w:divBdr>
                    <w:top w:val="none" w:sz="0" w:space="0" w:color="auto"/>
                    <w:left w:val="none" w:sz="0" w:space="0" w:color="auto"/>
                    <w:bottom w:val="none" w:sz="0" w:space="0" w:color="auto"/>
                    <w:right w:val="none" w:sz="0" w:space="0" w:color="auto"/>
                  </w:divBdr>
                  <w:divsChild>
                    <w:div w:id="653875095">
                      <w:marLeft w:val="0"/>
                      <w:marRight w:val="0"/>
                      <w:marTop w:val="0"/>
                      <w:marBottom w:val="0"/>
                      <w:divBdr>
                        <w:top w:val="none" w:sz="0" w:space="0" w:color="auto"/>
                        <w:left w:val="none" w:sz="0" w:space="0" w:color="auto"/>
                        <w:bottom w:val="none" w:sz="0" w:space="0" w:color="auto"/>
                        <w:right w:val="none" w:sz="0" w:space="0" w:color="auto"/>
                      </w:divBdr>
                    </w:div>
                    <w:div w:id="832640931">
                      <w:marLeft w:val="0"/>
                      <w:marRight w:val="0"/>
                      <w:marTop w:val="0"/>
                      <w:marBottom w:val="0"/>
                      <w:divBdr>
                        <w:top w:val="none" w:sz="0" w:space="0" w:color="auto"/>
                        <w:left w:val="none" w:sz="0" w:space="0" w:color="auto"/>
                        <w:bottom w:val="none" w:sz="0" w:space="0" w:color="auto"/>
                        <w:right w:val="none" w:sz="0" w:space="0" w:color="auto"/>
                      </w:divBdr>
                    </w:div>
                    <w:div w:id="974289950">
                      <w:marLeft w:val="0"/>
                      <w:marRight w:val="0"/>
                      <w:marTop w:val="0"/>
                      <w:marBottom w:val="0"/>
                      <w:divBdr>
                        <w:top w:val="none" w:sz="0" w:space="0" w:color="auto"/>
                        <w:left w:val="none" w:sz="0" w:space="0" w:color="auto"/>
                        <w:bottom w:val="none" w:sz="0" w:space="0" w:color="auto"/>
                        <w:right w:val="none" w:sz="0" w:space="0" w:color="auto"/>
                      </w:divBdr>
                    </w:div>
                    <w:div w:id="1285693894">
                      <w:marLeft w:val="0"/>
                      <w:marRight w:val="0"/>
                      <w:marTop w:val="0"/>
                      <w:marBottom w:val="0"/>
                      <w:divBdr>
                        <w:top w:val="none" w:sz="0" w:space="0" w:color="auto"/>
                        <w:left w:val="none" w:sz="0" w:space="0" w:color="auto"/>
                        <w:bottom w:val="none" w:sz="0" w:space="0" w:color="auto"/>
                        <w:right w:val="none" w:sz="0" w:space="0" w:color="auto"/>
                      </w:divBdr>
                    </w:div>
                  </w:divsChild>
                </w:div>
                <w:div w:id="1724594262">
                  <w:marLeft w:val="0"/>
                  <w:marRight w:val="0"/>
                  <w:marTop w:val="0"/>
                  <w:marBottom w:val="0"/>
                  <w:divBdr>
                    <w:top w:val="none" w:sz="0" w:space="0" w:color="auto"/>
                    <w:left w:val="none" w:sz="0" w:space="0" w:color="auto"/>
                    <w:bottom w:val="none" w:sz="0" w:space="0" w:color="auto"/>
                    <w:right w:val="none" w:sz="0" w:space="0" w:color="auto"/>
                  </w:divBdr>
                  <w:divsChild>
                    <w:div w:id="1608848705">
                      <w:marLeft w:val="0"/>
                      <w:marRight w:val="0"/>
                      <w:marTop w:val="0"/>
                      <w:marBottom w:val="0"/>
                      <w:divBdr>
                        <w:top w:val="none" w:sz="0" w:space="0" w:color="auto"/>
                        <w:left w:val="none" w:sz="0" w:space="0" w:color="auto"/>
                        <w:bottom w:val="none" w:sz="0" w:space="0" w:color="auto"/>
                        <w:right w:val="none" w:sz="0" w:space="0" w:color="auto"/>
                      </w:divBdr>
                    </w:div>
                  </w:divsChild>
                </w:div>
                <w:div w:id="1727216721">
                  <w:marLeft w:val="0"/>
                  <w:marRight w:val="0"/>
                  <w:marTop w:val="0"/>
                  <w:marBottom w:val="0"/>
                  <w:divBdr>
                    <w:top w:val="none" w:sz="0" w:space="0" w:color="auto"/>
                    <w:left w:val="none" w:sz="0" w:space="0" w:color="auto"/>
                    <w:bottom w:val="none" w:sz="0" w:space="0" w:color="auto"/>
                    <w:right w:val="none" w:sz="0" w:space="0" w:color="auto"/>
                  </w:divBdr>
                  <w:divsChild>
                    <w:div w:id="78718571">
                      <w:marLeft w:val="0"/>
                      <w:marRight w:val="0"/>
                      <w:marTop w:val="0"/>
                      <w:marBottom w:val="0"/>
                      <w:divBdr>
                        <w:top w:val="none" w:sz="0" w:space="0" w:color="auto"/>
                        <w:left w:val="none" w:sz="0" w:space="0" w:color="auto"/>
                        <w:bottom w:val="none" w:sz="0" w:space="0" w:color="auto"/>
                        <w:right w:val="none" w:sz="0" w:space="0" w:color="auto"/>
                      </w:divBdr>
                    </w:div>
                    <w:div w:id="139228535">
                      <w:marLeft w:val="0"/>
                      <w:marRight w:val="0"/>
                      <w:marTop w:val="0"/>
                      <w:marBottom w:val="0"/>
                      <w:divBdr>
                        <w:top w:val="none" w:sz="0" w:space="0" w:color="auto"/>
                        <w:left w:val="none" w:sz="0" w:space="0" w:color="auto"/>
                        <w:bottom w:val="none" w:sz="0" w:space="0" w:color="auto"/>
                        <w:right w:val="none" w:sz="0" w:space="0" w:color="auto"/>
                      </w:divBdr>
                    </w:div>
                    <w:div w:id="967474231">
                      <w:marLeft w:val="0"/>
                      <w:marRight w:val="0"/>
                      <w:marTop w:val="0"/>
                      <w:marBottom w:val="0"/>
                      <w:divBdr>
                        <w:top w:val="none" w:sz="0" w:space="0" w:color="auto"/>
                        <w:left w:val="none" w:sz="0" w:space="0" w:color="auto"/>
                        <w:bottom w:val="none" w:sz="0" w:space="0" w:color="auto"/>
                        <w:right w:val="none" w:sz="0" w:space="0" w:color="auto"/>
                      </w:divBdr>
                    </w:div>
                    <w:div w:id="1768767659">
                      <w:marLeft w:val="0"/>
                      <w:marRight w:val="0"/>
                      <w:marTop w:val="0"/>
                      <w:marBottom w:val="0"/>
                      <w:divBdr>
                        <w:top w:val="none" w:sz="0" w:space="0" w:color="auto"/>
                        <w:left w:val="none" w:sz="0" w:space="0" w:color="auto"/>
                        <w:bottom w:val="none" w:sz="0" w:space="0" w:color="auto"/>
                        <w:right w:val="none" w:sz="0" w:space="0" w:color="auto"/>
                      </w:divBdr>
                    </w:div>
                    <w:div w:id="1886022673">
                      <w:marLeft w:val="0"/>
                      <w:marRight w:val="0"/>
                      <w:marTop w:val="0"/>
                      <w:marBottom w:val="0"/>
                      <w:divBdr>
                        <w:top w:val="none" w:sz="0" w:space="0" w:color="auto"/>
                        <w:left w:val="none" w:sz="0" w:space="0" w:color="auto"/>
                        <w:bottom w:val="none" w:sz="0" w:space="0" w:color="auto"/>
                        <w:right w:val="none" w:sz="0" w:space="0" w:color="auto"/>
                      </w:divBdr>
                    </w:div>
                  </w:divsChild>
                </w:div>
                <w:div w:id="1731883804">
                  <w:marLeft w:val="0"/>
                  <w:marRight w:val="0"/>
                  <w:marTop w:val="0"/>
                  <w:marBottom w:val="0"/>
                  <w:divBdr>
                    <w:top w:val="none" w:sz="0" w:space="0" w:color="auto"/>
                    <w:left w:val="none" w:sz="0" w:space="0" w:color="auto"/>
                    <w:bottom w:val="none" w:sz="0" w:space="0" w:color="auto"/>
                    <w:right w:val="none" w:sz="0" w:space="0" w:color="auto"/>
                  </w:divBdr>
                  <w:divsChild>
                    <w:div w:id="102459906">
                      <w:marLeft w:val="0"/>
                      <w:marRight w:val="0"/>
                      <w:marTop w:val="0"/>
                      <w:marBottom w:val="0"/>
                      <w:divBdr>
                        <w:top w:val="none" w:sz="0" w:space="0" w:color="auto"/>
                        <w:left w:val="none" w:sz="0" w:space="0" w:color="auto"/>
                        <w:bottom w:val="none" w:sz="0" w:space="0" w:color="auto"/>
                        <w:right w:val="none" w:sz="0" w:space="0" w:color="auto"/>
                      </w:divBdr>
                    </w:div>
                    <w:div w:id="1585526801">
                      <w:marLeft w:val="0"/>
                      <w:marRight w:val="0"/>
                      <w:marTop w:val="0"/>
                      <w:marBottom w:val="0"/>
                      <w:divBdr>
                        <w:top w:val="none" w:sz="0" w:space="0" w:color="auto"/>
                        <w:left w:val="none" w:sz="0" w:space="0" w:color="auto"/>
                        <w:bottom w:val="none" w:sz="0" w:space="0" w:color="auto"/>
                        <w:right w:val="none" w:sz="0" w:space="0" w:color="auto"/>
                      </w:divBdr>
                    </w:div>
                    <w:div w:id="2074305722">
                      <w:marLeft w:val="0"/>
                      <w:marRight w:val="0"/>
                      <w:marTop w:val="0"/>
                      <w:marBottom w:val="0"/>
                      <w:divBdr>
                        <w:top w:val="none" w:sz="0" w:space="0" w:color="auto"/>
                        <w:left w:val="none" w:sz="0" w:space="0" w:color="auto"/>
                        <w:bottom w:val="none" w:sz="0" w:space="0" w:color="auto"/>
                        <w:right w:val="none" w:sz="0" w:space="0" w:color="auto"/>
                      </w:divBdr>
                    </w:div>
                  </w:divsChild>
                </w:div>
                <w:div w:id="1753625367">
                  <w:marLeft w:val="0"/>
                  <w:marRight w:val="0"/>
                  <w:marTop w:val="0"/>
                  <w:marBottom w:val="0"/>
                  <w:divBdr>
                    <w:top w:val="none" w:sz="0" w:space="0" w:color="auto"/>
                    <w:left w:val="none" w:sz="0" w:space="0" w:color="auto"/>
                    <w:bottom w:val="none" w:sz="0" w:space="0" w:color="auto"/>
                    <w:right w:val="none" w:sz="0" w:space="0" w:color="auto"/>
                  </w:divBdr>
                  <w:divsChild>
                    <w:div w:id="163861836">
                      <w:marLeft w:val="0"/>
                      <w:marRight w:val="0"/>
                      <w:marTop w:val="0"/>
                      <w:marBottom w:val="0"/>
                      <w:divBdr>
                        <w:top w:val="none" w:sz="0" w:space="0" w:color="auto"/>
                        <w:left w:val="none" w:sz="0" w:space="0" w:color="auto"/>
                        <w:bottom w:val="none" w:sz="0" w:space="0" w:color="auto"/>
                        <w:right w:val="none" w:sz="0" w:space="0" w:color="auto"/>
                      </w:divBdr>
                    </w:div>
                  </w:divsChild>
                </w:div>
                <w:div w:id="1784112505">
                  <w:marLeft w:val="0"/>
                  <w:marRight w:val="0"/>
                  <w:marTop w:val="0"/>
                  <w:marBottom w:val="0"/>
                  <w:divBdr>
                    <w:top w:val="none" w:sz="0" w:space="0" w:color="auto"/>
                    <w:left w:val="none" w:sz="0" w:space="0" w:color="auto"/>
                    <w:bottom w:val="none" w:sz="0" w:space="0" w:color="auto"/>
                    <w:right w:val="none" w:sz="0" w:space="0" w:color="auto"/>
                  </w:divBdr>
                  <w:divsChild>
                    <w:div w:id="150633914">
                      <w:marLeft w:val="0"/>
                      <w:marRight w:val="0"/>
                      <w:marTop w:val="0"/>
                      <w:marBottom w:val="0"/>
                      <w:divBdr>
                        <w:top w:val="none" w:sz="0" w:space="0" w:color="auto"/>
                        <w:left w:val="none" w:sz="0" w:space="0" w:color="auto"/>
                        <w:bottom w:val="none" w:sz="0" w:space="0" w:color="auto"/>
                        <w:right w:val="none" w:sz="0" w:space="0" w:color="auto"/>
                      </w:divBdr>
                    </w:div>
                    <w:div w:id="407725725">
                      <w:marLeft w:val="0"/>
                      <w:marRight w:val="0"/>
                      <w:marTop w:val="0"/>
                      <w:marBottom w:val="0"/>
                      <w:divBdr>
                        <w:top w:val="none" w:sz="0" w:space="0" w:color="auto"/>
                        <w:left w:val="none" w:sz="0" w:space="0" w:color="auto"/>
                        <w:bottom w:val="none" w:sz="0" w:space="0" w:color="auto"/>
                        <w:right w:val="none" w:sz="0" w:space="0" w:color="auto"/>
                      </w:divBdr>
                    </w:div>
                    <w:div w:id="848102729">
                      <w:marLeft w:val="0"/>
                      <w:marRight w:val="0"/>
                      <w:marTop w:val="0"/>
                      <w:marBottom w:val="0"/>
                      <w:divBdr>
                        <w:top w:val="none" w:sz="0" w:space="0" w:color="auto"/>
                        <w:left w:val="none" w:sz="0" w:space="0" w:color="auto"/>
                        <w:bottom w:val="none" w:sz="0" w:space="0" w:color="auto"/>
                        <w:right w:val="none" w:sz="0" w:space="0" w:color="auto"/>
                      </w:divBdr>
                    </w:div>
                    <w:div w:id="867335924">
                      <w:marLeft w:val="0"/>
                      <w:marRight w:val="0"/>
                      <w:marTop w:val="0"/>
                      <w:marBottom w:val="0"/>
                      <w:divBdr>
                        <w:top w:val="none" w:sz="0" w:space="0" w:color="auto"/>
                        <w:left w:val="none" w:sz="0" w:space="0" w:color="auto"/>
                        <w:bottom w:val="none" w:sz="0" w:space="0" w:color="auto"/>
                        <w:right w:val="none" w:sz="0" w:space="0" w:color="auto"/>
                      </w:divBdr>
                    </w:div>
                    <w:div w:id="1322853346">
                      <w:marLeft w:val="0"/>
                      <w:marRight w:val="0"/>
                      <w:marTop w:val="0"/>
                      <w:marBottom w:val="0"/>
                      <w:divBdr>
                        <w:top w:val="none" w:sz="0" w:space="0" w:color="auto"/>
                        <w:left w:val="none" w:sz="0" w:space="0" w:color="auto"/>
                        <w:bottom w:val="none" w:sz="0" w:space="0" w:color="auto"/>
                        <w:right w:val="none" w:sz="0" w:space="0" w:color="auto"/>
                      </w:divBdr>
                    </w:div>
                    <w:div w:id="1465855443">
                      <w:marLeft w:val="0"/>
                      <w:marRight w:val="0"/>
                      <w:marTop w:val="0"/>
                      <w:marBottom w:val="0"/>
                      <w:divBdr>
                        <w:top w:val="none" w:sz="0" w:space="0" w:color="auto"/>
                        <w:left w:val="none" w:sz="0" w:space="0" w:color="auto"/>
                        <w:bottom w:val="none" w:sz="0" w:space="0" w:color="auto"/>
                        <w:right w:val="none" w:sz="0" w:space="0" w:color="auto"/>
                      </w:divBdr>
                    </w:div>
                    <w:div w:id="1744834476">
                      <w:marLeft w:val="0"/>
                      <w:marRight w:val="0"/>
                      <w:marTop w:val="0"/>
                      <w:marBottom w:val="0"/>
                      <w:divBdr>
                        <w:top w:val="none" w:sz="0" w:space="0" w:color="auto"/>
                        <w:left w:val="none" w:sz="0" w:space="0" w:color="auto"/>
                        <w:bottom w:val="none" w:sz="0" w:space="0" w:color="auto"/>
                        <w:right w:val="none" w:sz="0" w:space="0" w:color="auto"/>
                      </w:divBdr>
                    </w:div>
                    <w:div w:id="1940136968">
                      <w:marLeft w:val="0"/>
                      <w:marRight w:val="0"/>
                      <w:marTop w:val="0"/>
                      <w:marBottom w:val="0"/>
                      <w:divBdr>
                        <w:top w:val="none" w:sz="0" w:space="0" w:color="auto"/>
                        <w:left w:val="none" w:sz="0" w:space="0" w:color="auto"/>
                        <w:bottom w:val="none" w:sz="0" w:space="0" w:color="auto"/>
                        <w:right w:val="none" w:sz="0" w:space="0" w:color="auto"/>
                      </w:divBdr>
                    </w:div>
                    <w:div w:id="2045598013">
                      <w:marLeft w:val="0"/>
                      <w:marRight w:val="0"/>
                      <w:marTop w:val="0"/>
                      <w:marBottom w:val="0"/>
                      <w:divBdr>
                        <w:top w:val="none" w:sz="0" w:space="0" w:color="auto"/>
                        <w:left w:val="none" w:sz="0" w:space="0" w:color="auto"/>
                        <w:bottom w:val="none" w:sz="0" w:space="0" w:color="auto"/>
                        <w:right w:val="none" w:sz="0" w:space="0" w:color="auto"/>
                      </w:divBdr>
                    </w:div>
                  </w:divsChild>
                </w:div>
                <w:div w:id="1847477212">
                  <w:marLeft w:val="0"/>
                  <w:marRight w:val="0"/>
                  <w:marTop w:val="0"/>
                  <w:marBottom w:val="0"/>
                  <w:divBdr>
                    <w:top w:val="none" w:sz="0" w:space="0" w:color="auto"/>
                    <w:left w:val="none" w:sz="0" w:space="0" w:color="auto"/>
                    <w:bottom w:val="none" w:sz="0" w:space="0" w:color="auto"/>
                    <w:right w:val="none" w:sz="0" w:space="0" w:color="auto"/>
                  </w:divBdr>
                  <w:divsChild>
                    <w:div w:id="81728940">
                      <w:marLeft w:val="0"/>
                      <w:marRight w:val="0"/>
                      <w:marTop w:val="0"/>
                      <w:marBottom w:val="0"/>
                      <w:divBdr>
                        <w:top w:val="none" w:sz="0" w:space="0" w:color="auto"/>
                        <w:left w:val="none" w:sz="0" w:space="0" w:color="auto"/>
                        <w:bottom w:val="none" w:sz="0" w:space="0" w:color="auto"/>
                        <w:right w:val="none" w:sz="0" w:space="0" w:color="auto"/>
                      </w:divBdr>
                    </w:div>
                    <w:div w:id="1125344940">
                      <w:marLeft w:val="0"/>
                      <w:marRight w:val="0"/>
                      <w:marTop w:val="0"/>
                      <w:marBottom w:val="0"/>
                      <w:divBdr>
                        <w:top w:val="none" w:sz="0" w:space="0" w:color="auto"/>
                        <w:left w:val="none" w:sz="0" w:space="0" w:color="auto"/>
                        <w:bottom w:val="none" w:sz="0" w:space="0" w:color="auto"/>
                        <w:right w:val="none" w:sz="0" w:space="0" w:color="auto"/>
                      </w:divBdr>
                    </w:div>
                    <w:div w:id="1910844619">
                      <w:marLeft w:val="0"/>
                      <w:marRight w:val="0"/>
                      <w:marTop w:val="0"/>
                      <w:marBottom w:val="0"/>
                      <w:divBdr>
                        <w:top w:val="none" w:sz="0" w:space="0" w:color="auto"/>
                        <w:left w:val="none" w:sz="0" w:space="0" w:color="auto"/>
                        <w:bottom w:val="none" w:sz="0" w:space="0" w:color="auto"/>
                        <w:right w:val="none" w:sz="0" w:space="0" w:color="auto"/>
                      </w:divBdr>
                    </w:div>
                    <w:div w:id="2009362245">
                      <w:marLeft w:val="0"/>
                      <w:marRight w:val="0"/>
                      <w:marTop w:val="0"/>
                      <w:marBottom w:val="0"/>
                      <w:divBdr>
                        <w:top w:val="none" w:sz="0" w:space="0" w:color="auto"/>
                        <w:left w:val="none" w:sz="0" w:space="0" w:color="auto"/>
                        <w:bottom w:val="none" w:sz="0" w:space="0" w:color="auto"/>
                        <w:right w:val="none" w:sz="0" w:space="0" w:color="auto"/>
                      </w:divBdr>
                    </w:div>
                    <w:div w:id="2141216841">
                      <w:marLeft w:val="0"/>
                      <w:marRight w:val="0"/>
                      <w:marTop w:val="0"/>
                      <w:marBottom w:val="0"/>
                      <w:divBdr>
                        <w:top w:val="none" w:sz="0" w:space="0" w:color="auto"/>
                        <w:left w:val="none" w:sz="0" w:space="0" w:color="auto"/>
                        <w:bottom w:val="none" w:sz="0" w:space="0" w:color="auto"/>
                        <w:right w:val="none" w:sz="0" w:space="0" w:color="auto"/>
                      </w:divBdr>
                    </w:div>
                  </w:divsChild>
                </w:div>
                <w:div w:id="1866092941">
                  <w:marLeft w:val="0"/>
                  <w:marRight w:val="0"/>
                  <w:marTop w:val="0"/>
                  <w:marBottom w:val="0"/>
                  <w:divBdr>
                    <w:top w:val="none" w:sz="0" w:space="0" w:color="auto"/>
                    <w:left w:val="none" w:sz="0" w:space="0" w:color="auto"/>
                    <w:bottom w:val="none" w:sz="0" w:space="0" w:color="auto"/>
                    <w:right w:val="none" w:sz="0" w:space="0" w:color="auto"/>
                  </w:divBdr>
                  <w:divsChild>
                    <w:div w:id="306205675">
                      <w:marLeft w:val="0"/>
                      <w:marRight w:val="0"/>
                      <w:marTop w:val="0"/>
                      <w:marBottom w:val="0"/>
                      <w:divBdr>
                        <w:top w:val="none" w:sz="0" w:space="0" w:color="auto"/>
                        <w:left w:val="none" w:sz="0" w:space="0" w:color="auto"/>
                        <w:bottom w:val="none" w:sz="0" w:space="0" w:color="auto"/>
                        <w:right w:val="none" w:sz="0" w:space="0" w:color="auto"/>
                      </w:divBdr>
                    </w:div>
                    <w:div w:id="1905144261">
                      <w:marLeft w:val="0"/>
                      <w:marRight w:val="0"/>
                      <w:marTop w:val="0"/>
                      <w:marBottom w:val="0"/>
                      <w:divBdr>
                        <w:top w:val="none" w:sz="0" w:space="0" w:color="auto"/>
                        <w:left w:val="none" w:sz="0" w:space="0" w:color="auto"/>
                        <w:bottom w:val="none" w:sz="0" w:space="0" w:color="auto"/>
                        <w:right w:val="none" w:sz="0" w:space="0" w:color="auto"/>
                      </w:divBdr>
                    </w:div>
                    <w:div w:id="2096317248">
                      <w:marLeft w:val="0"/>
                      <w:marRight w:val="0"/>
                      <w:marTop w:val="0"/>
                      <w:marBottom w:val="0"/>
                      <w:divBdr>
                        <w:top w:val="none" w:sz="0" w:space="0" w:color="auto"/>
                        <w:left w:val="none" w:sz="0" w:space="0" w:color="auto"/>
                        <w:bottom w:val="none" w:sz="0" w:space="0" w:color="auto"/>
                        <w:right w:val="none" w:sz="0" w:space="0" w:color="auto"/>
                      </w:divBdr>
                    </w:div>
                  </w:divsChild>
                </w:div>
                <w:div w:id="1873031787">
                  <w:marLeft w:val="0"/>
                  <w:marRight w:val="0"/>
                  <w:marTop w:val="0"/>
                  <w:marBottom w:val="0"/>
                  <w:divBdr>
                    <w:top w:val="none" w:sz="0" w:space="0" w:color="auto"/>
                    <w:left w:val="none" w:sz="0" w:space="0" w:color="auto"/>
                    <w:bottom w:val="none" w:sz="0" w:space="0" w:color="auto"/>
                    <w:right w:val="none" w:sz="0" w:space="0" w:color="auto"/>
                  </w:divBdr>
                  <w:divsChild>
                    <w:div w:id="765731177">
                      <w:marLeft w:val="0"/>
                      <w:marRight w:val="0"/>
                      <w:marTop w:val="0"/>
                      <w:marBottom w:val="0"/>
                      <w:divBdr>
                        <w:top w:val="none" w:sz="0" w:space="0" w:color="auto"/>
                        <w:left w:val="none" w:sz="0" w:space="0" w:color="auto"/>
                        <w:bottom w:val="none" w:sz="0" w:space="0" w:color="auto"/>
                        <w:right w:val="none" w:sz="0" w:space="0" w:color="auto"/>
                      </w:divBdr>
                    </w:div>
                    <w:div w:id="859274458">
                      <w:marLeft w:val="0"/>
                      <w:marRight w:val="0"/>
                      <w:marTop w:val="0"/>
                      <w:marBottom w:val="0"/>
                      <w:divBdr>
                        <w:top w:val="none" w:sz="0" w:space="0" w:color="auto"/>
                        <w:left w:val="none" w:sz="0" w:space="0" w:color="auto"/>
                        <w:bottom w:val="none" w:sz="0" w:space="0" w:color="auto"/>
                        <w:right w:val="none" w:sz="0" w:space="0" w:color="auto"/>
                      </w:divBdr>
                    </w:div>
                    <w:div w:id="950091775">
                      <w:marLeft w:val="0"/>
                      <w:marRight w:val="0"/>
                      <w:marTop w:val="0"/>
                      <w:marBottom w:val="0"/>
                      <w:divBdr>
                        <w:top w:val="none" w:sz="0" w:space="0" w:color="auto"/>
                        <w:left w:val="none" w:sz="0" w:space="0" w:color="auto"/>
                        <w:bottom w:val="none" w:sz="0" w:space="0" w:color="auto"/>
                        <w:right w:val="none" w:sz="0" w:space="0" w:color="auto"/>
                      </w:divBdr>
                    </w:div>
                  </w:divsChild>
                </w:div>
                <w:div w:id="1873766998">
                  <w:marLeft w:val="0"/>
                  <w:marRight w:val="0"/>
                  <w:marTop w:val="0"/>
                  <w:marBottom w:val="0"/>
                  <w:divBdr>
                    <w:top w:val="none" w:sz="0" w:space="0" w:color="auto"/>
                    <w:left w:val="none" w:sz="0" w:space="0" w:color="auto"/>
                    <w:bottom w:val="none" w:sz="0" w:space="0" w:color="auto"/>
                    <w:right w:val="none" w:sz="0" w:space="0" w:color="auto"/>
                  </w:divBdr>
                  <w:divsChild>
                    <w:div w:id="302541450">
                      <w:marLeft w:val="0"/>
                      <w:marRight w:val="0"/>
                      <w:marTop w:val="0"/>
                      <w:marBottom w:val="0"/>
                      <w:divBdr>
                        <w:top w:val="none" w:sz="0" w:space="0" w:color="auto"/>
                        <w:left w:val="none" w:sz="0" w:space="0" w:color="auto"/>
                        <w:bottom w:val="none" w:sz="0" w:space="0" w:color="auto"/>
                        <w:right w:val="none" w:sz="0" w:space="0" w:color="auto"/>
                      </w:divBdr>
                    </w:div>
                    <w:div w:id="847017733">
                      <w:marLeft w:val="0"/>
                      <w:marRight w:val="0"/>
                      <w:marTop w:val="0"/>
                      <w:marBottom w:val="0"/>
                      <w:divBdr>
                        <w:top w:val="none" w:sz="0" w:space="0" w:color="auto"/>
                        <w:left w:val="none" w:sz="0" w:space="0" w:color="auto"/>
                        <w:bottom w:val="none" w:sz="0" w:space="0" w:color="auto"/>
                        <w:right w:val="none" w:sz="0" w:space="0" w:color="auto"/>
                      </w:divBdr>
                    </w:div>
                    <w:div w:id="853954872">
                      <w:marLeft w:val="0"/>
                      <w:marRight w:val="0"/>
                      <w:marTop w:val="0"/>
                      <w:marBottom w:val="0"/>
                      <w:divBdr>
                        <w:top w:val="none" w:sz="0" w:space="0" w:color="auto"/>
                        <w:left w:val="none" w:sz="0" w:space="0" w:color="auto"/>
                        <w:bottom w:val="none" w:sz="0" w:space="0" w:color="auto"/>
                        <w:right w:val="none" w:sz="0" w:space="0" w:color="auto"/>
                      </w:divBdr>
                    </w:div>
                    <w:div w:id="1210609459">
                      <w:marLeft w:val="0"/>
                      <w:marRight w:val="0"/>
                      <w:marTop w:val="0"/>
                      <w:marBottom w:val="0"/>
                      <w:divBdr>
                        <w:top w:val="none" w:sz="0" w:space="0" w:color="auto"/>
                        <w:left w:val="none" w:sz="0" w:space="0" w:color="auto"/>
                        <w:bottom w:val="none" w:sz="0" w:space="0" w:color="auto"/>
                        <w:right w:val="none" w:sz="0" w:space="0" w:color="auto"/>
                      </w:divBdr>
                    </w:div>
                    <w:div w:id="1956131589">
                      <w:marLeft w:val="0"/>
                      <w:marRight w:val="0"/>
                      <w:marTop w:val="0"/>
                      <w:marBottom w:val="0"/>
                      <w:divBdr>
                        <w:top w:val="none" w:sz="0" w:space="0" w:color="auto"/>
                        <w:left w:val="none" w:sz="0" w:space="0" w:color="auto"/>
                        <w:bottom w:val="none" w:sz="0" w:space="0" w:color="auto"/>
                        <w:right w:val="none" w:sz="0" w:space="0" w:color="auto"/>
                      </w:divBdr>
                    </w:div>
                  </w:divsChild>
                </w:div>
                <w:div w:id="1951014207">
                  <w:marLeft w:val="0"/>
                  <w:marRight w:val="0"/>
                  <w:marTop w:val="0"/>
                  <w:marBottom w:val="0"/>
                  <w:divBdr>
                    <w:top w:val="none" w:sz="0" w:space="0" w:color="auto"/>
                    <w:left w:val="none" w:sz="0" w:space="0" w:color="auto"/>
                    <w:bottom w:val="none" w:sz="0" w:space="0" w:color="auto"/>
                    <w:right w:val="none" w:sz="0" w:space="0" w:color="auto"/>
                  </w:divBdr>
                  <w:divsChild>
                    <w:div w:id="1249345468">
                      <w:marLeft w:val="0"/>
                      <w:marRight w:val="0"/>
                      <w:marTop w:val="0"/>
                      <w:marBottom w:val="0"/>
                      <w:divBdr>
                        <w:top w:val="none" w:sz="0" w:space="0" w:color="auto"/>
                        <w:left w:val="none" w:sz="0" w:space="0" w:color="auto"/>
                        <w:bottom w:val="none" w:sz="0" w:space="0" w:color="auto"/>
                        <w:right w:val="none" w:sz="0" w:space="0" w:color="auto"/>
                      </w:divBdr>
                    </w:div>
                  </w:divsChild>
                </w:div>
                <w:div w:id="1964462915">
                  <w:marLeft w:val="0"/>
                  <w:marRight w:val="0"/>
                  <w:marTop w:val="0"/>
                  <w:marBottom w:val="0"/>
                  <w:divBdr>
                    <w:top w:val="none" w:sz="0" w:space="0" w:color="auto"/>
                    <w:left w:val="none" w:sz="0" w:space="0" w:color="auto"/>
                    <w:bottom w:val="none" w:sz="0" w:space="0" w:color="auto"/>
                    <w:right w:val="none" w:sz="0" w:space="0" w:color="auto"/>
                  </w:divBdr>
                  <w:divsChild>
                    <w:div w:id="53621486">
                      <w:marLeft w:val="0"/>
                      <w:marRight w:val="0"/>
                      <w:marTop w:val="0"/>
                      <w:marBottom w:val="0"/>
                      <w:divBdr>
                        <w:top w:val="none" w:sz="0" w:space="0" w:color="auto"/>
                        <w:left w:val="none" w:sz="0" w:space="0" w:color="auto"/>
                        <w:bottom w:val="none" w:sz="0" w:space="0" w:color="auto"/>
                        <w:right w:val="none" w:sz="0" w:space="0" w:color="auto"/>
                      </w:divBdr>
                    </w:div>
                  </w:divsChild>
                </w:div>
                <w:div w:id="1977445187">
                  <w:marLeft w:val="0"/>
                  <w:marRight w:val="0"/>
                  <w:marTop w:val="0"/>
                  <w:marBottom w:val="0"/>
                  <w:divBdr>
                    <w:top w:val="none" w:sz="0" w:space="0" w:color="auto"/>
                    <w:left w:val="none" w:sz="0" w:space="0" w:color="auto"/>
                    <w:bottom w:val="none" w:sz="0" w:space="0" w:color="auto"/>
                    <w:right w:val="none" w:sz="0" w:space="0" w:color="auto"/>
                  </w:divBdr>
                  <w:divsChild>
                    <w:div w:id="549683028">
                      <w:marLeft w:val="0"/>
                      <w:marRight w:val="0"/>
                      <w:marTop w:val="0"/>
                      <w:marBottom w:val="0"/>
                      <w:divBdr>
                        <w:top w:val="none" w:sz="0" w:space="0" w:color="auto"/>
                        <w:left w:val="none" w:sz="0" w:space="0" w:color="auto"/>
                        <w:bottom w:val="none" w:sz="0" w:space="0" w:color="auto"/>
                        <w:right w:val="none" w:sz="0" w:space="0" w:color="auto"/>
                      </w:divBdr>
                    </w:div>
                    <w:div w:id="1006715648">
                      <w:marLeft w:val="0"/>
                      <w:marRight w:val="0"/>
                      <w:marTop w:val="0"/>
                      <w:marBottom w:val="0"/>
                      <w:divBdr>
                        <w:top w:val="none" w:sz="0" w:space="0" w:color="auto"/>
                        <w:left w:val="none" w:sz="0" w:space="0" w:color="auto"/>
                        <w:bottom w:val="none" w:sz="0" w:space="0" w:color="auto"/>
                        <w:right w:val="none" w:sz="0" w:space="0" w:color="auto"/>
                      </w:divBdr>
                    </w:div>
                    <w:div w:id="1050957327">
                      <w:marLeft w:val="0"/>
                      <w:marRight w:val="0"/>
                      <w:marTop w:val="0"/>
                      <w:marBottom w:val="0"/>
                      <w:divBdr>
                        <w:top w:val="none" w:sz="0" w:space="0" w:color="auto"/>
                        <w:left w:val="none" w:sz="0" w:space="0" w:color="auto"/>
                        <w:bottom w:val="none" w:sz="0" w:space="0" w:color="auto"/>
                        <w:right w:val="none" w:sz="0" w:space="0" w:color="auto"/>
                      </w:divBdr>
                    </w:div>
                    <w:div w:id="1432629133">
                      <w:marLeft w:val="0"/>
                      <w:marRight w:val="0"/>
                      <w:marTop w:val="0"/>
                      <w:marBottom w:val="0"/>
                      <w:divBdr>
                        <w:top w:val="none" w:sz="0" w:space="0" w:color="auto"/>
                        <w:left w:val="none" w:sz="0" w:space="0" w:color="auto"/>
                        <w:bottom w:val="none" w:sz="0" w:space="0" w:color="auto"/>
                        <w:right w:val="none" w:sz="0" w:space="0" w:color="auto"/>
                      </w:divBdr>
                    </w:div>
                    <w:div w:id="1481724185">
                      <w:marLeft w:val="0"/>
                      <w:marRight w:val="0"/>
                      <w:marTop w:val="0"/>
                      <w:marBottom w:val="0"/>
                      <w:divBdr>
                        <w:top w:val="none" w:sz="0" w:space="0" w:color="auto"/>
                        <w:left w:val="none" w:sz="0" w:space="0" w:color="auto"/>
                        <w:bottom w:val="none" w:sz="0" w:space="0" w:color="auto"/>
                        <w:right w:val="none" w:sz="0" w:space="0" w:color="auto"/>
                      </w:divBdr>
                    </w:div>
                    <w:div w:id="1615399818">
                      <w:marLeft w:val="0"/>
                      <w:marRight w:val="0"/>
                      <w:marTop w:val="0"/>
                      <w:marBottom w:val="0"/>
                      <w:divBdr>
                        <w:top w:val="none" w:sz="0" w:space="0" w:color="auto"/>
                        <w:left w:val="none" w:sz="0" w:space="0" w:color="auto"/>
                        <w:bottom w:val="none" w:sz="0" w:space="0" w:color="auto"/>
                        <w:right w:val="none" w:sz="0" w:space="0" w:color="auto"/>
                      </w:divBdr>
                    </w:div>
                    <w:div w:id="1717385596">
                      <w:marLeft w:val="0"/>
                      <w:marRight w:val="0"/>
                      <w:marTop w:val="0"/>
                      <w:marBottom w:val="0"/>
                      <w:divBdr>
                        <w:top w:val="none" w:sz="0" w:space="0" w:color="auto"/>
                        <w:left w:val="none" w:sz="0" w:space="0" w:color="auto"/>
                        <w:bottom w:val="none" w:sz="0" w:space="0" w:color="auto"/>
                        <w:right w:val="none" w:sz="0" w:space="0" w:color="auto"/>
                      </w:divBdr>
                    </w:div>
                  </w:divsChild>
                </w:div>
                <w:div w:id="2033526266">
                  <w:marLeft w:val="0"/>
                  <w:marRight w:val="0"/>
                  <w:marTop w:val="0"/>
                  <w:marBottom w:val="0"/>
                  <w:divBdr>
                    <w:top w:val="none" w:sz="0" w:space="0" w:color="auto"/>
                    <w:left w:val="none" w:sz="0" w:space="0" w:color="auto"/>
                    <w:bottom w:val="none" w:sz="0" w:space="0" w:color="auto"/>
                    <w:right w:val="none" w:sz="0" w:space="0" w:color="auto"/>
                  </w:divBdr>
                  <w:divsChild>
                    <w:div w:id="430248631">
                      <w:marLeft w:val="0"/>
                      <w:marRight w:val="0"/>
                      <w:marTop w:val="0"/>
                      <w:marBottom w:val="0"/>
                      <w:divBdr>
                        <w:top w:val="none" w:sz="0" w:space="0" w:color="auto"/>
                        <w:left w:val="none" w:sz="0" w:space="0" w:color="auto"/>
                        <w:bottom w:val="none" w:sz="0" w:space="0" w:color="auto"/>
                        <w:right w:val="none" w:sz="0" w:space="0" w:color="auto"/>
                      </w:divBdr>
                    </w:div>
                  </w:divsChild>
                </w:div>
                <w:div w:id="2091543508">
                  <w:marLeft w:val="0"/>
                  <w:marRight w:val="0"/>
                  <w:marTop w:val="0"/>
                  <w:marBottom w:val="0"/>
                  <w:divBdr>
                    <w:top w:val="none" w:sz="0" w:space="0" w:color="auto"/>
                    <w:left w:val="none" w:sz="0" w:space="0" w:color="auto"/>
                    <w:bottom w:val="none" w:sz="0" w:space="0" w:color="auto"/>
                    <w:right w:val="none" w:sz="0" w:space="0" w:color="auto"/>
                  </w:divBdr>
                  <w:divsChild>
                    <w:div w:id="1440100499">
                      <w:marLeft w:val="0"/>
                      <w:marRight w:val="0"/>
                      <w:marTop w:val="0"/>
                      <w:marBottom w:val="0"/>
                      <w:divBdr>
                        <w:top w:val="none" w:sz="0" w:space="0" w:color="auto"/>
                        <w:left w:val="none" w:sz="0" w:space="0" w:color="auto"/>
                        <w:bottom w:val="none" w:sz="0" w:space="0" w:color="auto"/>
                        <w:right w:val="none" w:sz="0" w:space="0" w:color="auto"/>
                      </w:divBdr>
                    </w:div>
                    <w:div w:id="1446457791">
                      <w:marLeft w:val="0"/>
                      <w:marRight w:val="0"/>
                      <w:marTop w:val="0"/>
                      <w:marBottom w:val="0"/>
                      <w:divBdr>
                        <w:top w:val="none" w:sz="0" w:space="0" w:color="auto"/>
                        <w:left w:val="none" w:sz="0" w:space="0" w:color="auto"/>
                        <w:bottom w:val="none" w:sz="0" w:space="0" w:color="auto"/>
                        <w:right w:val="none" w:sz="0" w:space="0" w:color="auto"/>
                      </w:divBdr>
                    </w:div>
                    <w:div w:id="1961303988">
                      <w:marLeft w:val="0"/>
                      <w:marRight w:val="0"/>
                      <w:marTop w:val="0"/>
                      <w:marBottom w:val="0"/>
                      <w:divBdr>
                        <w:top w:val="none" w:sz="0" w:space="0" w:color="auto"/>
                        <w:left w:val="none" w:sz="0" w:space="0" w:color="auto"/>
                        <w:bottom w:val="none" w:sz="0" w:space="0" w:color="auto"/>
                        <w:right w:val="none" w:sz="0" w:space="0" w:color="auto"/>
                      </w:divBdr>
                    </w:div>
                    <w:div w:id="2089570856">
                      <w:marLeft w:val="0"/>
                      <w:marRight w:val="0"/>
                      <w:marTop w:val="0"/>
                      <w:marBottom w:val="0"/>
                      <w:divBdr>
                        <w:top w:val="none" w:sz="0" w:space="0" w:color="auto"/>
                        <w:left w:val="none" w:sz="0" w:space="0" w:color="auto"/>
                        <w:bottom w:val="none" w:sz="0" w:space="0" w:color="auto"/>
                        <w:right w:val="none" w:sz="0" w:space="0" w:color="auto"/>
                      </w:divBdr>
                    </w:div>
                  </w:divsChild>
                </w:div>
                <w:div w:id="2125880690">
                  <w:marLeft w:val="0"/>
                  <w:marRight w:val="0"/>
                  <w:marTop w:val="0"/>
                  <w:marBottom w:val="0"/>
                  <w:divBdr>
                    <w:top w:val="none" w:sz="0" w:space="0" w:color="auto"/>
                    <w:left w:val="none" w:sz="0" w:space="0" w:color="auto"/>
                    <w:bottom w:val="none" w:sz="0" w:space="0" w:color="auto"/>
                    <w:right w:val="none" w:sz="0" w:space="0" w:color="auto"/>
                  </w:divBdr>
                  <w:divsChild>
                    <w:div w:id="283731409">
                      <w:marLeft w:val="0"/>
                      <w:marRight w:val="0"/>
                      <w:marTop w:val="0"/>
                      <w:marBottom w:val="0"/>
                      <w:divBdr>
                        <w:top w:val="none" w:sz="0" w:space="0" w:color="auto"/>
                        <w:left w:val="none" w:sz="0" w:space="0" w:color="auto"/>
                        <w:bottom w:val="none" w:sz="0" w:space="0" w:color="auto"/>
                        <w:right w:val="none" w:sz="0" w:space="0" w:color="auto"/>
                      </w:divBdr>
                    </w:div>
                    <w:div w:id="923341545">
                      <w:marLeft w:val="0"/>
                      <w:marRight w:val="0"/>
                      <w:marTop w:val="0"/>
                      <w:marBottom w:val="0"/>
                      <w:divBdr>
                        <w:top w:val="none" w:sz="0" w:space="0" w:color="auto"/>
                        <w:left w:val="none" w:sz="0" w:space="0" w:color="auto"/>
                        <w:bottom w:val="none" w:sz="0" w:space="0" w:color="auto"/>
                        <w:right w:val="none" w:sz="0" w:space="0" w:color="auto"/>
                      </w:divBdr>
                    </w:div>
                    <w:div w:id="1014383754">
                      <w:marLeft w:val="0"/>
                      <w:marRight w:val="0"/>
                      <w:marTop w:val="0"/>
                      <w:marBottom w:val="0"/>
                      <w:divBdr>
                        <w:top w:val="none" w:sz="0" w:space="0" w:color="auto"/>
                        <w:left w:val="none" w:sz="0" w:space="0" w:color="auto"/>
                        <w:bottom w:val="none" w:sz="0" w:space="0" w:color="auto"/>
                        <w:right w:val="none" w:sz="0" w:space="0" w:color="auto"/>
                      </w:divBdr>
                    </w:div>
                    <w:div w:id="20900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entsog.eu/sites/default/files/2023-10/SO0052-23_Winter%20Supply%20Outlook%202023-24%20with%20Summer%202024%20Overview.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5.xml"/><Relationship Id="rId42"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s://iea.blob.core.windows.net/assets/f2cf36a9-fd9b-44e6-8659-c342027ff9ac/Medium-TermGasReport2023-IncludingtheGasMarketReportQ4-2023.pdf"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png"/><Relationship Id="rId32" Type="http://schemas.openxmlformats.org/officeDocument/2006/relationships/hyperlink" Target="https://www.acer.europa.eu/sites/default/files/documents/Publications/VIS-Study_Gas_Storage_Report.pdf"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nergy.ec.europa.eu/topics/energy-security/gas-storage_en" TargetMode="External"/><Relationship Id="rId28" Type="http://schemas.openxmlformats.org/officeDocument/2006/relationships/hyperlink" Target="https://www.energy-community.org/dam/jcr:5ea2bce2-c49d-4941-9eb9-181597ff76e8/Secretariat&amp;%23039;s%20report%20on%20implementation%20of%20storage%20regulation.pdf"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acer.europa.eu/sites/default/files/documents/Publications/VIS-Study_Gas_Storage_Report.pdf"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europa.eu/transparency/documents-register/" TargetMode="External"/><Relationship Id="rId27" Type="http://schemas.openxmlformats.org/officeDocument/2006/relationships/image" Target="media/image7.png"/><Relationship Id="rId30" Type="http://schemas.openxmlformats.org/officeDocument/2006/relationships/hyperlink" Target="https://www.acer.europa.eu/sites/default/files/documents/Publications/ACER_MMR_Key_Developments_Gas_2023.pdf"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acer.europa.eu/Publications/VIS-Study_Gas_Storage_Report.pdf" TargetMode="External"/><Relationship Id="rId7" Type="http://schemas.openxmlformats.org/officeDocument/2006/relationships/hyperlink" Target="https://agsi.gie.eu/" TargetMode="External"/><Relationship Id="rId2" Type="http://schemas.openxmlformats.org/officeDocument/2006/relationships/hyperlink" Target="https://www.acer.europa.eu/Publications/VIS-Study_Gas_Storage_Report.pdf" TargetMode="External"/><Relationship Id="rId1" Type="http://schemas.openxmlformats.org/officeDocument/2006/relationships/hyperlink" Target="https://www.acer.europa.eu/sites/default/files/documents/Official_documents/Acts_of_the_Agency/Opinions/Opinions/ACER_Opinion_11-2023_on_ENTSOG_Winter_Supply_Outlook_2023-2024.pdf" TargetMode="External"/><Relationship Id="rId6" Type="http://schemas.openxmlformats.org/officeDocument/2006/relationships/hyperlink" Target="https://econpapers.repec.org/article/ecojourn2/2023-03-40.htm" TargetMode="External"/><Relationship Id="rId5" Type="http://schemas.openxmlformats.org/officeDocument/2006/relationships/hyperlink" Target="https://www.jstor.org/stable/41323156" TargetMode="External"/><Relationship Id="rId4" Type="http://schemas.openxmlformats.org/officeDocument/2006/relationships/hyperlink" Target="https://www.entsog.eu/sites/default/files/2023-10/SO0052-23_Winter%20Supply%20Outlook%202023-24%20with%20Summer%202024%20Overview.pdf" TargetMode="External"/></Relationships>
</file>

<file path=word/documenttasks/documenttasks1.xml><?xml version="1.0" encoding="utf-8"?>
<t:Tasks xmlns:t="http://schemas.microsoft.com/office/tasks/2019/documenttasks" xmlns:oel="http://schemas.microsoft.com/office/2019/extlst">
  <t:Task id="{37494950-C68E-4BC7-8644-3D0DCCF1F154}">
    <t:Anchor>
      <t:Comment id="665451577"/>
    </t:Anchor>
    <t:History>
      <t:Event id="{D83F69AA-E33B-4BA2-A28F-E02BCD5BC9BD}" time="2023-03-02T10:20:08.228Z">
        <t:Attribution userId="S::elena.de-gregorio@ec.europa.eu::35939a7b-a50f-4aba-ab7a-5a9b06a02821" userProvider="AD" userName="DE GREGORIO Elena (ENER)"/>
        <t:Anchor>
          <t:Comment id="637754762"/>
        </t:Anchor>
        <t:Create/>
      </t:Event>
      <t:Event id="{EFE51E11-0D89-4286-8610-F9247124DDF7}" time="2023-03-02T10:20:08.228Z">
        <t:Attribution userId="S::elena.de-gregorio@ec.europa.eu::35939a7b-a50f-4aba-ab7a-5a9b06a02821" userProvider="AD" userName="DE GREGORIO Elena (ENER)"/>
        <t:Anchor>
          <t:Comment id="637754762"/>
        </t:Anchor>
        <t:Assign userId="S::Nuria.RODRIGUEZ-GOMEZ@ec.europa.eu::3780758e-563c-47e8-b5ff-407b84915558" userProvider="AD" userName="RODRIGUEZ GOMEZ Nuria (JRC-PETTEN)"/>
      </t:Event>
      <t:Event id="{A0627B32-800F-455B-A97F-8F6F4C355635}" time="2023-03-02T10:20:08.228Z">
        <t:Attribution userId="S::elena.de-gregorio@ec.europa.eu::35939a7b-a50f-4aba-ab7a-5a9b06a02821" userProvider="AD" userName="DE GREGORIO Elena (ENER)"/>
        <t:Anchor>
          <t:Comment id="637754762"/>
        </t:Anchor>
        <t:SetTitle title="@RODRIGUEZ GOMEZ Nuria (JRC-PETTEN) could you pls check based on Helena's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bda078-25cf-4dc4-9853-c68387b648e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2661c1b-ebcd-4cf2-a537-0fae4d653b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BAA3E038356449A8E8E5EFBA56BA7" ma:contentTypeVersion="15" ma:contentTypeDescription="Create a new document." ma:contentTypeScope="" ma:versionID="1923a0cae1461222ee1a9295937dc8fb">
  <xsd:schema xmlns:xsd="http://www.w3.org/2001/XMLSchema" xmlns:xs="http://www.w3.org/2001/XMLSchema" xmlns:p="http://schemas.microsoft.com/office/2006/metadata/properties" xmlns:ns2="72bda078-25cf-4dc4-9853-c68387b648e8" xmlns:ns3="12661c1b-ebcd-4cf2-a537-0fae4d653bab" targetNamespace="http://schemas.microsoft.com/office/2006/metadata/properties" ma:root="true" ma:fieldsID="66449e583438cdc1042e2fe1e7aa4678" ns2:_="" ns3:_="">
    <xsd:import namespace="72bda078-25cf-4dc4-9853-c68387b648e8"/>
    <xsd:import namespace="12661c1b-ebcd-4cf2-a537-0fae4d653b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da078-25cf-4dc4-9853-c68387b64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661c1b-ebcd-4cf2-a537-0fae4d653b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96f296-39b7-4fb0-847b-093ec654244c}" ma:internalName="TaxCatchAll" ma:showField="CatchAllData" ma:web="12661c1b-ebcd-4cf2-a537-0fae4d653b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9B0E9-8EF1-468B-A183-5CF381C4E240}">
  <ds:schemaRefs>
    <ds:schemaRef ds:uri="http://schemas.microsoft.com/office/2006/metadata/properties"/>
    <ds:schemaRef ds:uri="http://schemas.microsoft.com/office/infopath/2007/PartnerControls"/>
    <ds:schemaRef ds:uri="72bda078-25cf-4dc4-9853-c68387b648e8"/>
    <ds:schemaRef ds:uri="12661c1b-ebcd-4cf2-a537-0fae4d653bab"/>
  </ds:schemaRefs>
</ds:datastoreItem>
</file>

<file path=customXml/itemProps2.xml><?xml version="1.0" encoding="utf-8"?>
<ds:datastoreItem xmlns:ds="http://schemas.openxmlformats.org/officeDocument/2006/customXml" ds:itemID="{7DEEEB10-075D-45E7-B7F2-4829C52239D2}">
  <ds:schemaRefs>
    <ds:schemaRef ds:uri="http://schemas.microsoft.com/sharepoint/v3/contenttype/forms"/>
  </ds:schemaRefs>
</ds:datastoreItem>
</file>

<file path=customXml/itemProps3.xml><?xml version="1.0" encoding="utf-8"?>
<ds:datastoreItem xmlns:ds="http://schemas.openxmlformats.org/officeDocument/2006/customXml" ds:itemID="{F0143229-A240-4353-91AA-78815C436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da078-25cf-4dc4-9853-c68387b648e8"/>
    <ds:schemaRef ds:uri="12661c1b-ebcd-4cf2-a537-0fae4d65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6F2417-F908-4BEF-BF94-D604AD81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4578</Words>
  <Characters>26099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30616</CharactersWithSpaces>
  <SharedDoc>false</SharedDoc>
  <HLinks>
    <vt:vector size="114" baseType="variant">
      <vt:variant>
        <vt:i4>5046374</vt:i4>
      </vt:variant>
      <vt:variant>
        <vt:i4>57</vt:i4>
      </vt:variant>
      <vt:variant>
        <vt:i4>0</vt:i4>
      </vt:variant>
      <vt:variant>
        <vt:i4>5</vt:i4>
      </vt:variant>
      <vt:variant>
        <vt:lpwstr>https://www.acer.europa.eu/sites/default/files/documents/Publications/VIS-Study_Gas_Storage_Report.pdf</vt:lpwstr>
      </vt:variant>
      <vt:variant>
        <vt:lpwstr/>
      </vt:variant>
      <vt:variant>
        <vt:i4>5832760</vt:i4>
      </vt:variant>
      <vt:variant>
        <vt:i4>48</vt:i4>
      </vt:variant>
      <vt:variant>
        <vt:i4>0</vt:i4>
      </vt:variant>
      <vt:variant>
        <vt:i4>5</vt:i4>
      </vt:variant>
      <vt:variant>
        <vt:lpwstr>https://www.acer.europa.eu/sites/default/files/documents/Publications/ACER_MMR_Key_Developments_Gas_2023.pdf</vt:lpwstr>
      </vt:variant>
      <vt:variant>
        <vt:lpwstr/>
      </vt:variant>
      <vt:variant>
        <vt:i4>1703947</vt:i4>
      </vt:variant>
      <vt:variant>
        <vt:i4>45</vt:i4>
      </vt:variant>
      <vt:variant>
        <vt:i4>0</vt:i4>
      </vt:variant>
      <vt:variant>
        <vt:i4>5</vt:i4>
      </vt:variant>
      <vt:variant>
        <vt:lpwstr>https://iea.blob.core.windows.net/assets/f2cf36a9-fd9b-44e6-8659-c342027ff9ac/Medium-TermGasReport2023-IncludingtheGasMarketReportQ4-2023.pdf</vt:lpwstr>
      </vt:variant>
      <vt:variant>
        <vt:lpwstr/>
      </vt:variant>
      <vt:variant>
        <vt:i4>131137</vt:i4>
      </vt:variant>
      <vt:variant>
        <vt:i4>42</vt:i4>
      </vt:variant>
      <vt:variant>
        <vt:i4>0</vt:i4>
      </vt:variant>
      <vt:variant>
        <vt:i4>5</vt:i4>
      </vt:variant>
      <vt:variant>
        <vt:lpwstr>https://www.energy-community.org/dam/jcr:5ea2bce2-c49d-4941-9eb9-181597ff76e8/Secretariat&amp;%23039;s report on implementation of storage regulation.pdf</vt:lpwstr>
      </vt:variant>
      <vt:variant>
        <vt:lpwstr/>
      </vt:variant>
      <vt:variant>
        <vt:i4>4718651</vt:i4>
      </vt:variant>
      <vt:variant>
        <vt:i4>39</vt:i4>
      </vt:variant>
      <vt:variant>
        <vt:i4>0</vt:i4>
      </vt:variant>
      <vt:variant>
        <vt:i4>5</vt:i4>
      </vt:variant>
      <vt:variant>
        <vt:lpwstr>https://www.entsog.eu/sites/default/files/2023-10/SO0052-23_Winter Supply Outlook 2023-24 with Summer 2024 Overview.pdf</vt:lpwstr>
      </vt:variant>
      <vt:variant>
        <vt:lpwstr/>
      </vt:variant>
      <vt:variant>
        <vt:i4>3407877</vt:i4>
      </vt:variant>
      <vt:variant>
        <vt:i4>30</vt:i4>
      </vt:variant>
      <vt:variant>
        <vt:i4>0</vt:i4>
      </vt:variant>
      <vt:variant>
        <vt:i4>5</vt:i4>
      </vt:variant>
      <vt:variant>
        <vt:lpwstr>https://www.acer.europa.eu/Publications/VIS-Study_Gas_Storage_Report.pdf</vt:lpwstr>
      </vt:variant>
      <vt:variant>
        <vt:lpwstr/>
      </vt:variant>
      <vt:variant>
        <vt:i4>3407877</vt:i4>
      </vt:variant>
      <vt:variant>
        <vt:i4>27</vt:i4>
      </vt:variant>
      <vt:variant>
        <vt:i4>0</vt:i4>
      </vt:variant>
      <vt:variant>
        <vt:i4>5</vt:i4>
      </vt:variant>
      <vt:variant>
        <vt:lpwstr>https://www.acer.europa.eu/Publications/VIS-Study_Gas_Storage_Report.pdf</vt:lpwstr>
      </vt:variant>
      <vt:variant>
        <vt:lpwstr/>
      </vt:variant>
      <vt:variant>
        <vt:i4>5767216</vt:i4>
      </vt:variant>
      <vt:variant>
        <vt:i4>21</vt:i4>
      </vt:variant>
      <vt:variant>
        <vt:i4>0</vt:i4>
      </vt:variant>
      <vt:variant>
        <vt:i4>5</vt:i4>
      </vt:variant>
      <vt:variant>
        <vt:lpwstr>https://energy.ec.europa.eu/topics/energy-security/gas-storage_en</vt:lpwstr>
      </vt:variant>
      <vt:variant>
        <vt:lpwstr/>
      </vt:variant>
      <vt:variant>
        <vt:i4>4980807</vt:i4>
      </vt:variant>
      <vt:variant>
        <vt:i4>18</vt:i4>
      </vt:variant>
      <vt:variant>
        <vt:i4>0</vt:i4>
      </vt:variant>
      <vt:variant>
        <vt:i4>5</vt:i4>
      </vt:variant>
      <vt:variant>
        <vt:lpwstr>https://ec.europa.eu/transparency/documents-register/</vt:lpwstr>
      </vt:variant>
      <vt:variant>
        <vt:lpwstr/>
      </vt:variant>
      <vt:variant>
        <vt:i4>5046374</vt:i4>
      </vt:variant>
      <vt:variant>
        <vt:i4>9</vt:i4>
      </vt:variant>
      <vt:variant>
        <vt:i4>0</vt:i4>
      </vt:variant>
      <vt:variant>
        <vt:i4>5</vt:i4>
      </vt:variant>
      <vt:variant>
        <vt:lpwstr>https://www.acer.europa.eu/sites/default/files/documents/Publications/VIS-Study_Gas_Storage_Report.pdf</vt:lpwstr>
      </vt:variant>
      <vt:variant>
        <vt:lpwstr/>
      </vt:variant>
      <vt:variant>
        <vt:i4>5701710</vt:i4>
      </vt:variant>
      <vt:variant>
        <vt:i4>12</vt:i4>
      </vt:variant>
      <vt:variant>
        <vt:i4>0</vt:i4>
      </vt:variant>
      <vt:variant>
        <vt:i4>5</vt:i4>
      </vt:variant>
      <vt:variant>
        <vt:lpwstr>https://agsi.gie.eu/</vt:lpwstr>
      </vt:variant>
      <vt:variant>
        <vt:lpwstr/>
      </vt:variant>
      <vt:variant>
        <vt:i4>4456518</vt:i4>
      </vt:variant>
      <vt:variant>
        <vt:i4>9</vt:i4>
      </vt:variant>
      <vt:variant>
        <vt:i4>0</vt:i4>
      </vt:variant>
      <vt:variant>
        <vt:i4>5</vt:i4>
      </vt:variant>
      <vt:variant>
        <vt:lpwstr>https://econpapers.repec.org/article/ecojourn2/2023-03-40.htm</vt:lpwstr>
      </vt:variant>
      <vt:variant>
        <vt:lpwstr/>
      </vt:variant>
      <vt:variant>
        <vt:i4>5570631</vt:i4>
      </vt:variant>
      <vt:variant>
        <vt:i4>6</vt:i4>
      </vt:variant>
      <vt:variant>
        <vt:i4>0</vt:i4>
      </vt:variant>
      <vt:variant>
        <vt:i4>5</vt:i4>
      </vt:variant>
      <vt:variant>
        <vt:lpwstr>https://www.jstor.org/stable/41323156</vt:lpwstr>
      </vt:variant>
      <vt:variant>
        <vt:lpwstr/>
      </vt:variant>
      <vt:variant>
        <vt:i4>4718651</vt:i4>
      </vt:variant>
      <vt:variant>
        <vt:i4>3</vt:i4>
      </vt:variant>
      <vt:variant>
        <vt:i4>0</vt:i4>
      </vt:variant>
      <vt:variant>
        <vt:i4>5</vt:i4>
      </vt:variant>
      <vt:variant>
        <vt:lpwstr>https://www.entsog.eu/sites/default/files/2023-10/SO0052-23_Winter Supply Outlook 2023-24 with Summer 2024 Overview.pdf</vt:lpwstr>
      </vt:variant>
      <vt:variant>
        <vt:lpwstr/>
      </vt:variant>
      <vt:variant>
        <vt:i4>4980800</vt:i4>
      </vt:variant>
      <vt:variant>
        <vt:i4>0</vt:i4>
      </vt:variant>
      <vt:variant>
        <vt:i4>0</vt:i4>
      </vt:variant>
      <vt:variant>
        <vt:i4>5</vt:i4>
      </vt:variant>
      <vt:variant>
        <vt:lpwstr>https://www.acer.europa.eu/sites/default/files/documents/Official_documents/Acts_of_the_Agency/Opinions/Opinions/ACER_Opinion_11-2023_on_ENTSOG_Winter_Supply_Outlook_2023-2024.pdf</vt:lpwstr>
      </vt:variant>
      <vt:variant>
        <vt:lpwstr/>
      </vt:variant>
      <vt:variant>
        <vt:i4>4718707</vt:i4>
      </vt:variant>
      <vt:variant>
        <vt:i4>9</vt:i4>
      </vt:variant>
      <vt:variant>
        <vt:i4>0</vt:i4>
      </vt:variant>
      <vt:variant>
        <vt:i4>5</vt:i4>
      </vt:variant>
      <vt:variant>
        <vt:lpwstr>mailto:Remi.Mayet@ec.europa.eu</vt:lpwstr>
      </vt:variant>
      <vt:variant>
        <vt:lpwstr/>
      </vt:variant>
      <vt:variant>
        <vt:i4>4718707</vt:i4>
      </vt:variant>
      <vt:variant>
        <vt:i4>6</vt:i4>
      </vt:variant>
      <vt:variant>
        <vt:i4>0</vt:i4>
      </vt:variant>
      <vt:variant>
        <vt:i4>5</vt:i4>
      </vt:variant>
      <vt:variant>
        <vt:lpwstr>mailto:Remi.Mayet@ec.europa.eu</vt:lpwstr>
      </vt:variant>
      <vt:variant>
        <vt:lpwstr/>
      </vt:variant>
      <vt:variant>
        <vt:i4>7995482</vt:i4>
      </vt:variant>
      <vt:variant>
        <vt:i4>3</vt:i4>
      </vt:variant>
      <vt:variant>
        <vt:i4>0</vt:i4>
      </vt:variant>
      <vt:variant>
        <vt:i4>5</vt:i4>
      </vt:variant>
      <vt:variant>
        <vt:lpwstr>mailto:Louis.WATINE@ec.europa.eu</vt:lpwstr>
      </vt:variant>
      <vt:variant>
        <vt:lpwstr/>
      </vt:variant>
      <vt:variant>
        <vt:i4>4718707</vt:i4>
      </vt:variant>
      <vt:variant>
        <vt:i4>0</vt:i4>
      </vt:variant>
      <vt:variant>
        <vt:i4>0</vt:i4>
      </vt:variant>
      <vt:variant>
        <vt:i4>5</vt:i4>
      </vt:variant>
      <vt:variant>
        <vt:lpwstr>mailto:Remi.Mayet@ec.europa.eu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cp:revision>
  <cp:lastPrinted>2024-01-25T18:44:00Z</cp:lastPrinted>
  <dcterms:created xsi:type="dcterms:W3CDTF">2024-02-14T13:32:00Z</dcterms:created>
  <dcterms:modified xsi:type="dcterms:W3CDTF">2024-02-27T08:35:00Z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2022-11-28T10:30:53Z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81970dc3-a345-4ecc-8511-44c8537945ce</vt:lpwstr>
  </property>
  <property fmtid="{D5CDD505-2E9C-101B-9397-08002B2CF9AE}" pid="8" name="MSIP_Label_6bd9ddd1-4d20-43f6-abfa-fc3c07406f94_ContentBits">
    <vt:lpwstr>0</vt:lpwstr>
  </property>
  <property fmtid="{D5CDD505-2E9C-101B-9397-08002B2CF9AE}" pid="9" name="ContentTypeId">
    <vt:lpwstr>0x010100DECBAA3E038356449A8E8E5EFBA56BA7</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CP-006</vt:lpwstr>
  </property>
  <property fmtid="{D5CDD505-2E9C-101B-9397-08002B2CF9AE}" pid="16" name="Created using">
    <vt:lpwstr>LW 8.1, Build 20230124</vt:lpwstr>
  </property>
  <property fmtid="{D5CDD505-2E9C-101B-9397-08002B2CF9AE}" pid="17" name="Last edited using">
    <vt:lpwstr>LW 9.0, Build 20230317</vt:lpwstr>
  </property>
</Properties>
</file>