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87820" w14:textId="2F8E90FD" w:rsidR="00455B3D" w:rsidRPr="00703AF7" w:rsidRDefault="00B40168" w:rsidP="00B40168">
      <w:pPr>
        <w:pStyle w:val="Pagedecouverture"/>
        <w:rPr>
          <w:noProof/>
        </w:rPr>
      </w:pPr>
      <w:r>
        <w:rPr>
          <w:noProof/>
        </w:rPr>
        <w:pict w14:anchorId="6AC6F0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8AB1F26F-AEB7-4565-8D65-4DAD18B32807" style="width:455.25pt;height:401.25pt">
            <v:imagedata r:id="rId11" o:title=""/>
          </v:shape>
        </w:pict>
      </w:r>
    </w:p>
    <w:p w14:paraId="1E754269" w14:textId="77777777" w:rsidR="00455B3D" w:rsidRPr="00703AF7" w:rsidRDefault="00455B3D" w:rsidP="00455B3D">
      <w:pPr>
        <w:rPr>
          <w:noProof/>
        </w:rPr>
        <w:sectPr w:rsidR="00455B3D" w:rsidRPr="00703AF7" w:rsidSect="00B4016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1381875F" w14:textId="77777777" w:rsidR="00455B3D" w:rsidRPr="00703AF7" w:rsidRDefault="00455B3D" w:rsidP="00455B3D">
      <w:pPr>
        <w:pStyle w:val="Annexetitre"/>
        <w:rPr>
          <w:noProof/>
        </w:rPr>
      </w:pPr>
      <w:bookmarkStart w:id="0" w:name="_GoBack"/>
      <w:bookmarkEnd w:id="0"/>
      <w:r w:rsidRPr="00703AF7">
        <w:rPr>
          <w:noProof/>
        </w:rPr>
        <w:lastRenderedPageBreak/>
        <w:t xml:space="preserve">LIITE I </w:t>
      </w:r>
    </w:p>
    <w:p w14:paraId="6B32F717" w14:textId="77777777" w:rsidR="00991DF8" w:rsidRPr="00703AF7" w:rsidRDefault="00991DF8" w:rsidP="00991DF8">
      <w:pPr>
        <w:shd w:val="clear" w:color="auto" w:fill="FFFFFF" w:themeFill="background1"/>
        <w:tabs>
          <w:tab w:val="left" w:pos="5000"/>
        </w:tabs>
        <w:spacing w:after="0"/>
        <w:jc w:val="center"/>
        <w:rPr>
          <w:rFonts w:eastAsia="Times New Roman"/>
          <w:b/>
          <w:noProof/>
        </w:rPr>
      </w:pPr>
      <w:r w:rsidRPr="00703AF7">
        <w:rPr>
          <w:b/>
          <w:noProof/>
        </w:rPr>
        <w:t>Unionin etua koskevat hankkeet tai ohjelmat</w:t>
      </w:r>
    </w:p>
    <w:p w14:paraId="1D3E144F" w14:textId="77777777" w:rsidR="00991DF8" w:rsidRPr="00703AF7" w:rsidRDefault="00991DF8" w:rsidP="00E209ED">
      <w:pPr>
        <w:pStyle w:val="NumPar1"/>
        <w:numPr>
          <w:ilvl w:val="0"/>
          <w:numId w:val="6"/>
        </w:numPr>
        <w:rPr>
          <w:b/>
          <w:bCs/>
          <w:noProof/>
        </w:rPr>
      </w:pPr>
      <w:r w:rsidRPr="00703AF7">
        <w:rPr>
          <w:rStyle w:val="oj-bold"/>
          <w:b/>
          <w:noProof/>
          <w:color w:val="333333"/>
        </w:rPr>
        <w:t>Valmistelutoimi EU:n uuden valtiollista satelliittiviestintää koskevan ohjelman valmistelusta</w:t>
      </w:r>
    </w:p>
    <w:p w14:paraId="719DE45A" w14:textId="77777777" w:rsidR="00482747" w:rsidRPr="00703AF7" w:rsidRDefault="00991DF8" w:rsidP="00B34E95">
      <w:pPr>
        <w:rPr>
          <w:noProof/>
        </w:rPr>
      </w:pPr>
      <w:r w:rsidRPr="00703AF7">
        <w:rPr>
          <w:noProof/>
        </w:rPr>
        <w:t>Euroopan parlamentin ja neuvoston asetus (EU, Euratom) 2018/1046, annettu 18 päivänä heinäkuuta 2018, unionin yleiseen talousarvioon sovellettavista varainhoitosäännöistä, asetusten (EU) N:o 1296/2013, (EU) N:o 1301/2013, (EU) N:o 1303/2013, (EU) N:o 1304/2013, (EU) N:o 1309/2013, (EU) N:o 1316/2013, (EU) N:o 223/2014, (EU) N:o 283/2014 ja päätöksen N:o 541/2014/EU muuttamisesta sekä asetuksen (EU, Euratom) N:o 966/2012 kumoamisesta, ja erityisesti sen 58 artiklan 2 kohdan b alakohta (</w:t>
      </w:r>
      <w:hyperlink r:id="rId18" w:history="1">
        <w:r w:rsidRPr="00703AF7">
          <w:rPr>
            <w:rStyle w:val="Hyperlink"/>
            <w:noProof/>
            <w:color w:val="337AB7"/>
          </w:rPr>
          <w:t>EUVL L 193, 30.7.2018, s. 1</w:t>
        </w:r>
      </w:hyperlink>
      <w:r w:rsidRPr="00703AF7">
        <w:rPr>
          <w:noProof/>
        </w:rPr>
        <w:t xml:space="preserve">, </w:t>
      </w:r>
      <w:r w:rsidRPr="00703AF7">
        <w:rPr>
          <w:rStyle w:val="Hyperlink"/>
          <w:noProof/>
          <w:color w:val="337AB7"/>
        </w:rPr>
        <w:t>ELI</w:t>
      </w:r>
      <w:r w:rsidRPr="00703AF7">
        <w:rPr>
          <w:noProof/>
        </w:rPr>
        <w:t>:</w:t>
      </w:r>
      <w:r w:rsidRPr="00703AF7">
        <w:rPr>
          <w:rStyle w:val="Hyperlink"/>
          <w:noProof/>
          <w:color w:val="337AB7"/>
        </w:rPr>
        <w:t xml:space="preserve"> </w:t>
      </w:r>
      <w:hyperlink r:id="rId19" w:history="1">
        <w:r w:rsidRPr="00703AF7">
          <w:rPr>
            <w:rStyle w:val="Hyperlink"/>
            <w:noProof/>
          </w:rPr>
          <w:t>http://data.europa.eu/eli/reg/2018/1046/oj</w:t>
        </w:r>
      </w:hyperlink>
      <w:r w:rsidRPr="00703AF7">
        <w:rPr>
          <w:noProof/>
        </w:rPr>
        <w:t>).</w:t>
      </w:r>
    </w:p>
    <w:p w14:paraId="514E3FBD" w14:textId="77777777" w:rsidR="00991DF8" w:rsidRPr="00703AF7" w:rsidRDefault="00991DF8" w:rsidP="00907F22">
      <w:pPr>
        <w:pStyle w:val="NumPar1"/>
        <w:rPr>
          <w:b/>
          <w:bCs/>
          <w:noProof/>
        </w:rPr>
      </w:pPr>
      <w:r w:rsidRPr="00703AF7">
        <w:rPr>
          <w:rStyle w:val="oj-bold"/>
          <w:b/>
          <w:noProof/>
          <w:color w:val="333333"/>
        </w:rPr>
        <w:t>Avaruusohjelma</w:t>
      </w:r>
    </w:p>
    <w:p w14:paraId="41F016FE" w14:textId="77777777" w:rsidR="00991DF8" w:rsidRPr="00703AF7" w:rsidRDefault="00991DF8" w:rsidP="00B34E95">
      <w:pPr>
        <w:rPr>
          <w:noProof/>
        </w:rPr>
      </w:pPr>
      <w:r w:rsidRPr="00703AF7">
        <w:rPr>
          <w:noProof/>
        </w:rPr>
        <w:t>Euroopan parlamentin ja neuvoston asetus (EU) 2021/696, annettu 28 päivänä huhtikuuta 2021, unionin avaruusohjelman ja Euroopan unionin avaruusohjelmaviraston perustamisesta sekä asetusten (EU) N:o 912/2010, (EU) N:o 1285/2013 ja (EU) N:o 377/2014 ja päätöksen N:o 541/2014/EU kumoamisesta (</w:t>
      </w:r>
      <w:hyperlink r:id="rId20" w:history="1">
        <w:r w:rsidRPr="00703AF7">
          <w:rPr>
            <w:rStyle w:val="Hyperlink"/>
            <w:noProof/>
            <w:color w:val="337AB7"/>
          </w:rPr>
          <w:t>EUVL L 170, 12.5.2021, s. 69</w:t>
        </w:r>
      </w:hyperlink>
      <w:r w:rsidRPr="00703AF7">
        <w:rPr>
          <w:noProof/>
        </w:rPr>
        <w:t xml:space="preserve">, </w:t>
      </w:r>
      <w:r w:rsidRPr="00703AF7">
        <w:rPr>
          <w:rStyle w:val="Hyperlink"/>
          <w:noProof/>
          <w:color w:val="337AB7"/>
        </w:rPr>
        <w:t xml:space="preserve">ELI: </w:t>
      </w:r>
      <w:hyperlink r:id="rId21" w:history="1">
        <w:r w:rsidRPr="00703AF7">
          <w:rPr>
            <w:rStyle w:val="Hyperlink"/>
            <w:noProof/>
          </w:rPr>
          <w:t>http://data.europa.eu/eli/reg/2021/696/oj</w:t>
        </w:r>
      </w:hyperlink>
      <w:r w:rsidRPr="00703AF7">
        <w:rPr>
          <w:noProof/>
        </w:rPr>
        <w:t>).</w:t>
      </w:r>
    </w:p>
    <w:p w14:paraId="32AEE63E" w14:textId="77777777" w:rsidR="00482747" w:rsidRPr="00703AF7" w:rsidRDefault="00482747" w:rsidP="00482747">
      <w:pPr>
        <w:pStyle w:val="NumPar1"/>
        <w:rPr>
          <w:b/>
          <w:bCs/>
          <w:noProof/>
        </w:rPr>
      </w:pPr>
      <w:r w:rsidRPr="00703AF7">
        <w:rPr>
          <w:b/>
          <w:noProof/>
        </w:rPr>
        <w:t xml:space="preserve">Unionin turvallisten yhteyksien ohjelma </w:t>
      </w:r>
    </w:p>
    <w:p w14:paraId="7AC39570" w14:textId="77777777" w:rsidR="00482747" w:rsidRPr="00703AF7" w:rsidRDefault="004E496D" w:rsidP="00C173B2">
      <w:pPr>
        <w:rPr>
          <w:noProof/>
        </w:rPr>
      </w:pPr>
      <w:r w:rsidRPr="00703AF7">
        <w:rPr>
          <w:noProof/>
        </w:rPr>
        <w:t>Euroopan parlamentin ja neuvoston asetus (EU) 2023/588, annettu 15 päivänä maaliskuuta 2023, unionin turvallisten yhteyksien ohjelman perustamisesta vuosiksi 2023–2027 (</w:t>
      </w:r>
      <w:hyperlink r:id="rId22" w:history="1">
        <w:r w:rsidRPr="00703AF7">
          <w:rPr>
            <w:rStyle w:val="Hyperlink"/>
            <w:noProof/>
          </w:rPr>
          <w:t>EUVL L 79, 17.3.2023, s. 1</w:t>
        </w:r>
      </w:hyperlink>
      <w:r w:rsidRPr="00703AF7">
        <w:rPr>
          <w:noProof/>
        </w:rPr>
        <w:t xml:space="preserve">, </w:t>
      </w:r>
      <w:r w:rsidRPr="00703AF7">
        <w:rPr>
          <w:rStyle w:val="Hyperlink"/>
          <w:noProof/>
          <w:color w:val="337AB7"/>
        </w:rPr>
        <w:t>ELI:</w:t>
      </w:r>
      <w:r w:rsidRPr="00703AF7">
        <w:rPr>
          <w:noProof/>
        </w:rPr>
        <w:t xml:space="preserve"> </w:t>
      </w:r>
      <w:hyperlink r:id="rId23" w:tooltip="Gives access to this document through its ELI URI." w:history="1">
        <w:r w:rsidRPr="00703AF7">
          <w:rPr>
            <w:rStyle w:val="Hyperlink"/>
            <w:noProof/>
          </w:rPr>
          <w:t>http://data.europa.eu/eli/reg/2023/588/oj</w:t>
        </w:r>
      </w:hyperlink>
      <w:r w:rsidRPr="00703AF7">
        <w:rPr>
          <w:noProof/>
        </w:rPr>
        <w:t>).</w:t>
      </w:r>
    </w:p>
    <w:p w14:paraId="3C48DD61" w14:textId="77777777" w:rsidR="00991DF8" w:rsidRPr="00703AF7" w:rsidRDefault="00991DF8" w:rsidP="00907F22">
      <w:pPr>
        <w:pStyle w:val="NumPar1"/>
        <w:rPr>
          <w:b/>
          <w:bCs/>
          <w:noProof/>
        </w:rPr>
      </w:pPr>
      <w:r w:rsidRPr="00703AF7">
        <w:rPr>
          <w:rStyle w:val="oj-bold"/>
          <w:b/>
          <w:noProof/>
          <w:color w:val="333333"/>
        </w:rPr>
        <w:t>Horisontti 2020 -puiteohjelma, mukaan lukien SEUT-sopimuksen 185 artiklan nojalla perustetut tutkimus- ja kehitysohjelmat, sekä SEUT-sopimuksen 187 artiklan nojalla perustetut yhteisyritykset ja muut rakenteet</w:t>
      </w:r>
    </w:p>
    <w:p w14:paraId="52619719" w14:textId="77777777" w:rsidR="00991DF8" w:rsidRPr="00703AF7" w:rsidRDefault="00991DF8" w:rsidP="00B34E95">
      <w:pPr>
        <w:rPr>
          <w:noProof/>
        </w:rPr>
      </w:pPr>
      <w:r w:rsidRPr="00703AF7">
        <w:rPr>
          <w:noProof/>
        </w:rPr>
        <w:t>Euroopan parlamentin ja neuvoston asetus (EU) N:o 1291/2013, annettu 11 päivänä joulukuuta 2013, tutkimuksen ja innovoinnin puiteohjelmasta ”Horisontti 2020” (2014–2020) ja päätöksen N:o 1982/2006/EY kumoamisesta (</w:t>
      </w:r>
      <w:hyperlink r:id="rId24" w:history="1">
        <w:r w:rsidRPr="00703AF7">
          <w:rPr>
            <w:rStyle w:val="Hyperlink"/>
            <w:noProof/>
            <w:color w:val="337AB7"/>
          </w:rPr>
          <w:t>EUVL L 347, 20.12.2013, s. 104</w:t>
        </w:r>
      </w:hyperlink>
      <w:r w:rsidRPr="00703AF7">
        <w:rPr>
          <w:noProof/>
        </w:rPr>
        <w:t xml:space="preserve">), </w:t>
      </w:r>
      <w:r w:rsidRPr="00703AF7">
        <w:rPr>
          <w:rStyle w:val="Hyperlink"/>
          <w:noProof/>
          <w:color w:val="337AB7"/>
        </w:rPr>
        <w:t>ELI</w:t>
      </w:r>
      <w:r w:rsidRPr="00703AF7">
        <w:rPr>
          <w:noProof/>
        </w:rPr>
        <w:t>:</w:t>
      </w:r>
      <w:r w:rsidRPr="00703AF7">
        <w:rPr>
          <w:rStyle w:val="Hyperlink"/>
          <w:noProof/>
          <w:color w:val="337AB7"/>
        </w:rPr>
        <w:t xml:space="preserve"> </w:t>
      </w:r>
      <w:hyperlink r:id="rId25" w:history="1">
        <w:r w:rsidRPr="00703AF7">
          <w:rPr>
            <w:rStyle w:val="Hyperlink"/>
            <w:noProof/>
          </w:rPr>
          <w:t>http://data.europa.eu/eli/reg/2013/1291/oj</w:t>
        </w:r>
      </w:hyperlink>
      <w:r w:rsidRPr="00703AF7">
        <w:rPr>
          <w:noProof/>
        </w:rPr>
        <w:t xml:space="preserve">). </w:t>
      </w:r>
    </w:p>
    <w:p w14:paraId="04EE7127" w14:textId="77777777" w:rsidR="00991DF8" w:rsidRPr="00703AF7" w:rsidRDefault="00991DF8" w:rsidP="00907F22">
      <w:pPr>
        <w:pStyle w:val="NumPar1"/>
        <w:rPr>
          <w:b/>
          <w:bCs/>
          <w:noProof/>
        </w:rPr>
      </w:pPr>
      <w:r w:rsidRPr="00703AF7">
        <w:rPr>
          <w:rStyle w:val="oj-bold"/>
          <w:b/>
          <w:noProof/>
          <w:color w:val="333333"/>
        </w:rPr>
        <w:t>Horisontti Eurooppa -puiteohjelma, mukaan lukien SEUT-sopimuksen 185 artiklan nojalla perustetut tutkimus- ja kehitysohjelmat, sekä SEUT-sopimuksen 187 artiklan nojalla perustetut yhteisyritykset ja muut rakenteet</w:t>
      </w:r>
    </w:p>
    <w:p w14:paraId="4A779B31" w14:textId="378BDD01" w:rsidR="00991DF8" w:rsidRPr="00703AF7" w:rsidRDefault="00991DF8" w:rsidP="00B34E95">
      <w:pPr>
        <w:rPr>
          <w:noProof/>
        </w:rPr>
      </w:pPr>
      <w:r w:rsidRPr="00703AF7">
        <w:rPr>
          <w:noProof/>
        </w:rPr>
        <w:t>Euroopan parlamentin ja neuvoston asetus (EU) 2021/695, annettu 28 päivänä huhtikuuta 2021, tutkimuksen ja innovoinnin puiteohjelman ”Horisontti Eurooppa” perustamisesta, sen osallistumista ja tulosten levittämistä koskevien sääntöjen vahvistamisesta sekä asetusten (EU) N:o 1290/2013 ja (EU) N:o 1291/2013 kumoamisesta (</w:t>
      </w:r>
      <w:hyperlink r:id="rId26" w:history="1">
        <w:r w:rsidRPr="00703AF7">
          <w:rPr>
            <w:rStyle w:val="Hyperlink"/>
            <w:noProof/>
            <w:color w:val="337AB7"/>
          </w:rPr>
          <w:t>EUVL L 170, 12.5.2021, s. 1</w:t>
        </w:r>
      </w:hyperlink>
      <w:r w:rsidRPr="00703AF7">
        <w:rPr>
          <w:noProof/>
        </w:rPr>
        <w:t xml:space="preserve">, </w:t>
      </w:r>
      <w:r w:rsidRPr="00703AF7">
        <w:rPr>
          <w:rStyle w:val="Hyperlink"/>
          <w:noProof/>
          <w:color w:val="337AB7"/>
        </w:rPr>
        <w:t>ELI</w:t>
      </w:r>
      <w:r w:rsidRPr="00703AF7">
        <w:rPr>
          <w:noProof/>
        </w:rPr>
        <w:t>:</w:t>
      </w:r>
      <w:r w:rsidRPr="00703AF7">
        <w:rPr>
          <w:rStyle w:val="Hyperlink"/>
          <w:noProof/>
          <w:color w:val="337AB7"/>
        </w:rPr>
        <w:t xml:space="preserve"> </w:t>
      </w:r>
      <w:hyperlink r:id="rId27" w:history="1">
        <w:r w:rsidRPr="00703AF7">
          <w:rPr>
            <w:rStyle w:val="Hyperlink"/>
            <w:noProof/>
          </w:rPr>
          <w:t>http://data.europa.eu/eli/reg/2021/695/oj</w:t>
        </w:r>
      </w:hyperlink>
      <w:r w:rsidRPr="00703AF7">
        <w:rPr>
          <w:noProof/>
        </w:rPr>
        <w:t>).</w:t>
      </w:r>
    </w:p>
    <w:p w14:paraId="69897F37" w14:textId="77777777" w:rsidR="00991DF8" w:rsidRPr="00703AF7" w:rsidRDefault="00991DF8" w:rsidP="00907F22">
      <w:pPr>
        <w:pStyle w:val="NumPar1"/>
        <w:rPr>
          <w:b/>
          <w:bCs/>
          <w:noProof/>
        </w:rPr>
      </w:pPr>
      <w:r w:rsidRPr="00703AF7">
        <w:rPr>
          <w:rStyle w:val="oj-bold"/>
          <w:b/>
          <w:noProof/>
          <w:color w:val="333333"/>
        </w:rPr>
        <w:t>Euratomin tutkimus- ja koulutusohjelma (2021–2025)</w:t>
      </w:r>
    </w:p>
    <w:p w14:paraId="5AE247B5" w14:textId="53749201" w:rsidR="00991DF8" w:rsidRPr="00703AF7" w:rsidRDefault="00991DF8" w:rsidP="00B34E95">
      <w:pPr>
        <w:rPr>
          <w:noProof/>
        </w:rPr>
      </w:pPr>
      <w:r w:rsidRPr="00703AF7">
        <w:rPr>
          <w:noProof/>
        </w:rPr>
        <w:t>Neuvoston asetus (Euratom) 2021/765, annettu 10 päivänä toukokuuta 2021, tutkimuksen ja innovoinnin puiteohjelmaa ”Horisontti Eurooppa” täydentävän Euroopan atomienergiayhteisön tutkimus- ja koulutusohjelman perustamisesta vuosiksi 2021–25 sekä asetuksen (Euratom) 2018/1563 kumoamisesta (</w:t>
      </w:r>
      <w:hyperlink r:id="rId28" w:history="1">
        <w:r w:rsidRPr="00703AF7">
          <w:rPr>
            <w:rStyle w:val="Hyperlink"/>
            <w:noProof/>
            <w:color w:val="337AB7"/>
          </w:rPr>
          <w:t>EUVL L 167I, 12.5.2021, s. 81</w:t>
        </w:r>
      </w:hyperlink>
      <w:r w:rsidRPr="00703AF7">
        <w:rPr>
          <w:noProof/>
        </w:rPr>
        <w:t xml:space="preserve">, </w:t>
      </w:r>
      <w:r w:rsidRPr="00703AF7">
        <w:rPr>
          <w:rStyle w:val="Hyperlink"/>
          <w:noProof/>
          <w:color w:val="337AB7"/>
        </w:rPr>
        <w:t>ELI</w:t>
      </w:r>
      <w:r w:rsidRPr="00703AF7">
        <w:rPr>
          <w:noProof/>
        </w:rPr>
        <w:t>:</w:t>
      </w:r>
      <w:r w:rsidRPr="00703AF7">
        <w:rPr>
          <w:rStyle w:val="Hyperlink"/>
          <w:noProof/>
          <w:color w:val="337AB7"/>
        </w:rPr>
        <w:t xml:space="preserve"> </w:t>
      </w:r>
      <w:hyperlink r:id="rId29" w:history="1">
        <w:r w:rsidRPr="00703AF7">
          <w:rPr>
            <w:rStyle w:val="Hyperlink"/>
            <w:noProof/>
          </w:rPr>
          <w:t>http://data.europa.eu/eli/reg/2021/765/oj</w:t>
        </w:r>
      </w:hyperlink>
      <w:r w:rsidRPr="00703AF7">
        <w:rPr>
          <w:noProof/>
        </w:rPr>
        <w:t>).</w:t>
      </w:r>
    </w:p>
    <w:p w14:paraId="35E5C5B8" w14:textId="77777777" w:rsidR="00991DF8" w:rsidRPr="00703AF7" w:rsidRDefault="00991DF8" w:rsidP="00907F22">
      <w:pPr>
        <w:pStyle w:val="NumPar1"/>
        <w:rPr>
          <w:b/>
          <w:bCs/>
          <w:noProof/>
        </w:rPr>
      </w:pPr>
      <w:r w:rsidRPr="00703AF7">
        <w:rPr>
          <w:rStyle w:val="oj-bold"/>
          <w:b/>
          <w:noProof/>
          <w:color w:val="333333"/>
        </w:rPr>
        <w:t>Euroopan laajuiset liikenneverkot (TEN-T)</w:t>
      </w:r>
    </w:p>
    <w:p w14:paraId="4ADEEAF3" w14:textId="3A120722" w:rsidR="00991DF8" w:rsidRPr="00703AF7" w:rsidRDefault="00991DF8" w:rsidP="00B34E95">
      <w:pPr>
        <w:rPr>
          <w:noProof/>
        </w:rPr>
      </w:pPr>
      <w:r w:rsidRPr="00703AF7">
        <w:rPr>
          <w:noProof/>
        </w:rPr>
        <w:t>Euroopan parlamentin ja neuvoston asetus (EU) N:o 1315/2013, annettu 11 päivänä joulukuuta 2013, unionin suuntaviivoista Euroopan laajuisen liikenneverkon kehittämiseksi ja päätöksen N:o 661/2010/EU kumoamisesta (</w:t>
      </w:r>
      <w:hyperlink r:id="rId30" w:history="1">
        <w:r w:rsidRPr="00703AF7">
          <w:rPr>
            <w:rStyle w:val="Hyperlink"/>
            <w:noProof/>
            <w:color w:val="337AB7"/>
          </w:rPr>
          <w:t>EUVL L 348, 20.12.2013, s. 1</w:t>
        </w:r>
      </w:hyperlink>
      <w:r w:rsidRPr="00703AF7">
        <w:rPr>
          <w:noProof/>
        </w:rPr>
        <w:t xml:space="preserve">, </w:t>
      </w:r>
      <w:r w:rsidRPr="00703AF7">
        <w:rPr>
          <w:rStyle w:val="Hyperlink"/>
          <w:noProof/>
          <w:color w:val="337AB7"/>
        </w:rPr>
        <w:t>ELI</w:t>
      </w:r>
      <w:r w:rsidRPr="00703AF7">
        <w:rPr>
          <w:noProof/>
        </w:rPr>
        <w:t>:</w:t>
      </w:r>
      <w:r w:rsidRPr="00703AF7">
        <w:rPr>
          <w:rStyle w:val="Hyperlink"/>
          <w:noProof/>
          <w:color w:val="337AB7"/>
        </w:rPr>
        <w:t xml:space="preserve"> </w:t>
      </w:r>
      <w:hyperlink r:id="rId31" w:history="1">
        <w:r w:rsidRPr="00703AF7">
          <w:rPr>
            <w:rStyle w:val="Hyperlink"/>
            <w:noProof/>
          </w:rPr>
          <w:t>http://data.europa.eu/eli/reg/2013/1315/oj</w:t>
        </w:r>
      </w:hyperlink>
      <w:r w:rsidRPr="00703AF7">
        <w:rPr>
          <w:noProof/>
        </w:rPr>
        <w:t>).</w:t>
      </w:r>
    </w:p>
    <w:p w14:paraId="64E85493" w14:textId="77777777" w:rsidR="00991DF8" w:rsidRPr="00703AF7" w:rsidRDefault="00991DF8" w:rsidP="00907F22">
      <w:pPr>
        <w:pStyle w:val="NumPar1"/>
        <w:rPr>
          <w:b/>
          <w:bCs/>
          <w:noProof/>
        </w:rPr>
      </w:pPr>
      <w:r w:rsidRPr="00703AF7">
        <w:rPr>
          <w:rStyle w:val="oj-bold"/>
          <w:b/>
          <w:noProof/>
          <w:color w:val="333333"/>
        </w:rPr>
        <w:t>Euroopan laajuiset energiaverkot (TEN-E)</w:t>
      </w:r>
    </w:p>
    <w:p w14:paraId="4001859C" w14:textId="60A863DD" w:rsidR="00991DF8" w:rsidRPr="00703AF7" w:rsidRDefault="00991DF8" w:rsidP="00B34E95">
      <w:pPr>
        <w:rPr>
          <w:noProof/>
        </w:rPr>
      </w:pPr>
      <w:r w:rsidRPr="00703AF7">
        <w:rPr>
          <w:noProof/>
        </w:rPr>
        <w:t>Euroopan parlamentin ja neuvoston asetus (EU) N:o 347/2013, annettu 17 päivänä huhtikuuta 2013, Euroopan laajuisten energiainfrastruktuurien suuntaviivoista ja päätöksen N:o 1364/2006/EY kumoamisesta sekä asetusten (EY) N:o 713/2009, (EY) N:o 714/2009 ja (EY) N:o 715/2009 muuttamisesta (</w:t>
      </w:r>
      <w:hyperlink r:id="rId32" w:history="1">
        <w:r w:rsidRPr="00703AF7">
          <w:rPr>
            <w:rStyle w:val="Hyperlink"/>
            <w:noProof/>
            <w:color w:val="337AB7"/>
          </w:rPr>
          <w:t>EUVL L 115, 25.4.2013, s. 39</w:t>
        </w:r>
      </w:hyperlink>
      <w:r w:rsidRPr="00703AF7">
        <w:rPr>
          <w:noProof/>
        </w:rPr>
        <w:t xml:space="preserve">, </w:t>
      </w:r>
      <w:r w:rsidRPr="00703AF7">
        <w:rPr>
          <w:rStyle w:val="Hyperlink"/>
          <w:noProof/>
          <w:color w:val="337AB7"/>
        </w:rPr>
        <w:t>ELI</w:t>
      </w:r>
      <w:r w:rsidRPr="00703AF7">
        <w:rPr>
          <w:noProof/>
        </w:rPr>
        <w:t>:</w:t>
      </w:r>
      <w:r w:rsidRPr="00703AF7">
        <w:rPr>
          <w:rStyle w:val="Hyperlink"/>
          <w:noProof/>
          <w:color w:val="337AB7"/>
        </w:rPr>
        <w:t xml:space="preserve"> </w:t>
      </w:r>
      <w:hyperlink r:id="rId33" w:history="1">
        <w:r w:rsidRPr="00703AF7">
          <w:rPr>
            <w:rStyle w:val="Hyperlink"/>
            <w:noProof/>
          </w:rPr>
          <w:t>http://data.europa.eu/eli/reg/2013/347/oj</w:t>
        </w:r>
      </w:hyperlink>
      <w:r w:rsidRPr="00703AF7">
        <w:rPr>
          <w:noProof/>
        </w:rPr>
        <w:t>).</w:t>
      </w:r>
    </w:p>
    <w:p w14:paraId="156F9554" w14:textId="77777777" w:rsidR="00991DF8" w:rsidRPr="00703AF7" w:rsidRDefault="00991DF8" w:rsidP="00907F22">
      <w:pPr>
        <w:pStyle w:val="NumPar1"/>
        <w:rPr>
          <w:b/>
          <w:bCs/>
          <w:noProof/>
          <w:color w:val="333333"/>
        </w:rPr>
      </w:pPr>
      <w:bookmarkStart w:id="1" w:name="_Hlk155874190"/>
      <w:r w:rsidRPr="00703AF7">
        <w:rPr>
          <w:rStyle w:val="oj-bold"/>
          <w:b/>
          <w:noProof/>
          <w:color w:val="333333"/>
        </w:rPr>
        <w:t>Euroopan laajuiset televiestintäverkot</w:t>
      </w:r>
      <w:r w:rsidRPr="00703AF7">
        <w:rPr>
          <w:b/>
          <w:noProof/>
          <w:color w:val="333333"/>
        </w:rPr>
        <w:t xml:space="preserve"> </w:t>
      </w:r>
      <w:r w:rsidRPr="00703AF7">
        <w:rPr>
          <w:rStyle w:val="FootnoteReference"/>
          <w:b/>
          <w:bCs/>
          <w:noProof/>
          <w:color w:val="333333"/>
        </w:rPr>
        <w:footnoteReference w:id="1"/>
      </w:r>
    </w:p>
    <w:p w14:paraId="74C08151" w14:textId="77777777" w:rsidR="00991DF8" w:rsidRPr="00703AF7" w:rsidRDefault="00991DF8" w:rsidP="00B34E95">
      <w:pPr>
        <w:rPr>
          <w:noProof/>
        </w:rPr>
      </w:pPr>
      <w:r w:rsidRPr="00703AF7">
        <w:rPr>
          <w:noProof/>
        </w:rPr>
        <w:t>Euroopan parlamentin ja neuvoston asetus (EU) N:o 283/2014, annettu 11 päivänä maaliskuuta 2014, Euroopan laajuisia verkkoja televiestintäinfrastruktuurien alalla koskevista suuntaviivoista ja päätöksen N:o 1336/97/EY kumoamisesta (</w:t>
      </w:r>
      <w:hyperlink r:id="rId34" w:history="1">
        <w:r w:rsidRPr="00703AF7">
          <w:rPr>
            <w:rStyle w:val="Hyperlink"/>
            <w:noProof/>
            <w:color w:val="337AB7"/>
          </w:rPr>
          <w:t>EUVL L 86, 21.3.2014, s. 14</w:t>
        </w:r>
      </w:hyperlink>
      <w:r w:rsidRPr="00703AF7">
        <w:rPr>
          <w:noProof/>
        </w:rPr>
        <w:t xml:space="preserve">, </w:t>
      </w:r>
      <w:r w:rsidRPr="00703AF7">
        <w:rPr>
          <w:rStyle w:val="Hyperlink"/>
          <w:noProof/>
          <w:color w:val="337AB7"/>
        </w:rPr>
        <w:t>ELI</w:t>
      </w:r>
      <w:r w:rsidRPr="00703AF7">
        <w:rPr>
          <w:noProof/>
        </w:rPr>
        <w:t>:</w:t>
      </w:r>
      <w:r w:rsidRPr="00703AF7">
        <w:rPr>
          <w:rStyle w:val="Hyperlink"/>
          <w:noProof/>
          <w:color w:val="337AB7"/>
        </w:rPr>
        <w:t xml:space="preserve"> </w:t>
      </w:r>
      <w:hyperlink r:id="rId35" w:history="1">
        <w:r w:rsidRPr="00703AF7">
          <w:rPr>
            <w:rStyle w:val="Hyperlink"/>
            <w:noProof/>
          </w:rPr>
          <w:t>http://data.europa.eu/eli/reg/2014/283/oj</w:t>
        </w:r>
      </w:hyperlink>
      <w:r w:rsidRPr="00703AF7">
        <w:rPr>
          <w:noProof/>
        </w:rPr>
        <w:t>).</w:t>
      </w:r>
    </w:p>
    <w:bookmarkEnd w:id="1"/>
    <w:p w14:paraId="182DFD69" w14:textId="77777777" w:rsidR="00991DF8" w:rsidRPr="00703AF7" w:rsidRDefault="00991DF8" w:rsidP="00907F22">
      <w:pPr>
        <w:pStyle w:val="NumPar1"/>
        <w:rPr>
          <w:b/>
          <w:bCs/>
          <w:noProof/>
        </w:rPr>
      </w:pPr>
      <w:r w:rsidRPr="00703AF7">
        <w:rPr>
          <w:rStyle w:val="oj-bold"/>
          <w:b/>
          <w:noProof/>
          <w:color w:val="333333"/>
        </w:rPr>
        <w:t>Verkkojen Eurooppa -väline</w:t>
      </w:r>
    </w:p>
    <w:p w14:paraId="375F57B9" w14:textId="370BFE30" w:rsidR="00991DF8" w:rsidRPr="00703AF7" w:rsidRDefault="00991DF8" w:rsidP="00B34E95">
      <w:pPr>
        <w:rPr>
          <w:noProof/>
        </w:rPr>
      </w:pPr>
      <w:r w:rsidRPr="00703AF7">
        <w:rPr>
          <w:noProof/>
        </w:rPr>
        <w:t>Euroopan parlamentin ja neuvoston asetus (EU) 2021/1153, annettu 7 päivänä heinäkuuta 2021, Verkkojen Eurooppa -välineestä ja asetusten (EU) N:o 1316/2013 ja (EU) N:o 283/2014 kumoamisesta (</w:t>
      </w:r>
      <w:hyperlink r:id="rId36" w:history="1">
        <w:r w:rsidRPr="00703AF7">
          <w:rPr>
            <w:rStyle w:val="Hyperlink"/>
            <w:noProof/>
            <w:color w:val="337AB7"/>
          </w:rPr>
          <w:t>EUVL L 249, 14.7.2021, s. 38</w:t>
        </w:r>
      </w:hyperlink>
      <w:r w:rsidRPr="00703AF7">
        <w:rPr>
          <w:noProof/>
        </w:rPr>
        <w:t xml:space="preserve">, </w:t>
      </w:r>
      <w:r w:rsidRPr="00703AF7">
        <w:rPr>
          <w:rStyle w:val="Hyperlink"/>
          <w:noProof/>
          <w:color w:val="337AB7"/>
        </w:rPr>
        <w:t>ELI</w:t>
      </w:r>
      <w:r w:rsidRPr="00703AF7">
        <w:rPr>
          <w:noProof/>
        </w:rPr>
        <w:t>:</w:t>
      </w:r>
      <w:r w:rsidRPr="00703AF7">
        <w:rPr>
          <w:rStyle w:val="Hyperlink"/>
          <w:noProof/>
          <w:color w:val="337AB7"/>
        </w:rPr>
        <w:t xml:space="preserve"> </w:t>
      </w:r>
      <w:hyperlink r:id="rId37" w:history="1">
        <w:r w:rsidRPr="00703AF7">
          <w:rPr>
            <w:rStyle w:val="Hyperlink"/>
            <w:noProof/>
          </w:rPr>
          <w:t>http://data.europa.eu/eli/reg/2021/1153/oj</w:t>
        </w:r>
      </w:hyperlink>
      <w:r w:rsidRPr="00703AF7">
        <w:rPr>
          <w:noProof/>
        </w:rPr>
        <w:t>).</w:t>
      </w:r>
    </w:p>
    <w:p w14:paraId="5FB51EFC" w14:textId="77777777" w:rsidR="00991DF8" w:rsidRPr="00703AF7" w:rsidRDefault="00991DF8" w:rsidP="00907F22">
      <w:pPr>
        <w:pStyle w:val="NumPar1"/>
        <w:rPr>
          <w:b/>
          <w:bCs/>
          <w:noProof/>
        </w:rPr>
      </w:pPr>
      <w:r w:rsidRPr="00703AF7">
        <w:rPr>
          <w:rStyle w:val="oj-bold"/>
          <w:b/>
          <w:noProof/>
          <w:color w:val="333333"/>
        </w:rPr>
        <w:t>Digitaalinen Eurooppa ‑ohjelma</w:t>
      </w:r>
    </w:p>
    <w:p w14:paraId="42728E07" w14:textId="6223364D" w:rsidR="00991DF8" w:rsidRPr="00703AF7" w:rsidRDefault="00991DF8" w:rsidP="00B34E95">
      <w:pPr>
        <w:rPr>
          <w:noProof/>
        </w:rPr>
      </w:pPr>
      <w:r w:rsidRPr="00703AF7">
        <w:rPr>
          <w:noProof/>
        </w:rPr>
        <w:t>Euroopan parlamentin ja neuvoston asetus (EU) 2021/694, annettu 29 päivänä huhtikuuta 2021, Digitaalinen Eurooppa -ohjelman perustamisesta ja päätöksen (EU) 2015/2240 kumoamisesta (</w:t>
      </w:r>
      <w:hyperlink r:id="rId38" w:history="1">
        <w:r w:rsidRPr="00703AF7">
          <w:rPr>
            <w:rStyle w:val="Hyperlink"/>
            <w:noProof/>
            <w:color w:val="337AB7"/>
          </w:rPr>
          <w:t>EUVL L 166, 11.5.2021, s. 1</w:t>
        </w:r>
      </w:hyperlink>
      <w:r w:rsidRPr="00703AF7">
        <w:rPr>
          <w:noProof/>
        </w:rPr>
        <w:t xml:space="preserve">, </w:t>
      </w:r>
      <w:r w:rsidRPr="00703AF7">
        <w:rPr>
          <w:rStyle w:val="Hyperlink"/>
          <w:noProof/>
          <w:color w:val="337AB7"/>
        </w:rPr>
        <w:t>ELI</w:t>
      </w:r>
      <w:r w:rsidRPr="00703AF7">
        <w:rPr>
          <w:noProof/>
        </w:rPr>
        <w:t>:</w:t>
      </w:r>
      <w:r w:rsidRPr="00703AF7">
        <w:rPr>
          <w:rStyle w:val="Hyperlink"/>
          <w:noProof/>
          <w:color w:val="337AB7"/>
        </w:rPr>
        <w:t xml:space="preserve"> </w:t>
      </w:r>
      <w:hyperlink r:id="rId39" w:history="1">
        <w:r w:rsidRPr="00703AF7">
          <w:rPr>
            <w:rStyle w:val="Hyperlink"/>
            <w:noProof/>
          </w:rPr>
          <w:t>http://data.europa.eu/eli/reg/2021/694/oj</w:t>
        </w:r>
      </w:hyperlink>
      <w:r w:rsidRPr="00703AF7">
        <w:rPr>
          <w:noProof/>
        </w:rPr>
        <w:t>).</w:t>
      </w:r>
    </w:p>
    <w:p w14:paraId="3FBF6C46" w14:textId="77777777" w:rsidR="00991DF8" w:rsidRPr="00703AF7" w:rsidRDefault="00991DF8" w:rsidP="00907F22">
      <w:pPr>
        <w:pStyle w:val="NumPar1"/>
        <w:rPr>
          <w:b/>
          <w:bCs/>
          <w:noProof/>
        </w:rPr>
      </w:pPr>
      <w:r w:rsidRPr="00703AF7">
        <w:rPr>
          <w:rStyle w:val="oj-bold"/>
          <w:b/>
          <w:noProof/>
          <w:color w:val="333333"/>
        </w:rPr>
        <w:t>Euroopan puolustusteollinen kehittämisohjelma</w:t>
      </w:r>
    </w:p>
    <w:p w14:paraId="2DA98914" w14:textId="7BE71105" w:rsidR="00991DF8" w:rsidRPr="00703AF7" w:rsidRDefault="00991DF8" w:rsidP="00B34E95">
      <w:pPr>
        <w:rPr>
          <w:noProof/>
        </w:rPr>
      </w:pPr>
      <w:bookmarkStart w:id="2" w:name="_Hlk155968117"/>
      <w:r w:rsidRPr="00703AF7">
        <w:rPr>
          <w:noProof/>
        </w:rPr>
        <w:t>Euroopan parlamentin ja neuvoston asetus (EU) 2018/1092, annettu 18 päivänä heinäkuuta 2018, Euroopan puolustusteollisuuden kehittämisohjelman perustamisesta unionin puolustusteollisuuden kilpailukyvyn ja innovointikapasiteetin tukemiseksi (</w:t>
      </w:r>
      <w:hyperlink r:id="rId40" w:history="1">
        <w:r w:rsidRPr="00703AF7">
          <w:rPr>
            <w:rStyle w:val="Hyperlink"/>
            <w:noProof/>
            <w:color w:val="337AB7"/>
          </w:rPr>
          <w:t>EUVL L 200, 7.8.2018, s. 30</w:t>
        </w:r>
      </w:hyperlink>
      <w:r w:rsidRPr="00703AF7">
        <w:rPr>
          <w:noProof/>
        </w:rPr>
        <w:t xml:space="preserve">, </w:t>
      </w:r>
      <w:r w:rsidRPr="00703AF7">
        <w:rPr>
          <w:rStyle w:val="Hyperlink"/>
          <w:noProof/>
          <w:color w:val="337AB7"/>
        </w:rPr>
        <w:t>ELI</w:t>
      </w:r>
      <w:r w:rsidRPr="00703AF7">
        <w:rPr>
          <w:noProof/>
        </w:rPr>
        <w:t>:</w:t>
      </w:r>
      <w:r w:rsidRPr="00703AF7">
        <w:rPr>
          <w:rStyle w:val="Hyperlink"/>
          <w:noProof/>
          <w:color w:val="337AB7"/>
        </w:rPr>
        <w:t xml:space="preserve"> </w:t>
      </w:r>
      <w:bookmarkStart w:id="3" w:name="_Hlk155968214"/>
      <w:r w:rsidRPr="00703AF7">
        <w:rPr>
          <w:rStyle w:val="Hyperlink"/>
          <w:rFonts w:eastAsiaTheme="majorEastAsia"/>
          <w:noProof/>
          <w:color w:val="337AB7"/>
        </w:rPr>
        <w:fldChar w:fldCharType="begin"/>
      </w:r>
      <w:r w:rsidRPr="00703AF7">
        <w:rPr>
          <w:rStyle w:val="Hyperlink"/>
          <w:rFonts w:eastAsiaTheme="majorEastAsia"/>
          <w:noProof/>
          <w:color w:val="337AB7"/>
        </w:rPr>
        <w:instrText>HYPERLINK "http://data.europa.eu/eli/reg/2018/1092/oj?locale=fi"</w:instrText>
      </w:r>
      <w:r w:rsidRPr="00703AF7">
        <w:rPr>
          <w:rStyle w:val="Hyperlink"/>
          <w:rFonts w:eastAsiaTheme="majorEastAsia"/>
          <w:noProof/>
          <w:color w:val="337AB7"/>
        </w:rPr>
        <w:fldChar w:fldCharType="separate"/>
      </w:r>
      <w:r w:rsidRPr="00703AF7">
        <w:rPr>
          <w:rStyle w:val="Hyperlink"/>
          <w:noProof/>
        </w:rPr>
        <w:t>http://data.europa.eu/eli/reg/2018/1092/oj</w:t>
      </w:r>
      <w:bookmarkEnd w:id="3"/>
      <w:r w:rsidRPr="00703AF7">
        <w:rPr>
          <w:rStyle w:val="Hyperlink"/>
          <w:rFonts w:eastAsiaTheme="majorEastAsia"/>
          <w:noProof/>
          <w:color w:val="337AB7"/>
        </w:rPr>
        <w:fldChar w:fldCharType="end"/>
      </w:r>
      <w:r w:rsidRPr="00703AF7">
        <w:rPr>
          <w:noProof/>
        </w:rPr>
        <w:t>).</w:t>
      </w:r>
    </w:p>
    <w:bookmarkEnd w:id="2"/>
    <w:p w14:paraId="5BFCA153" w14:textId="77777777" w:rsidR="00991DF8" w:rsidRPr="00703AF7" w:rsidRDefault="00991DF8" w:rsidP="00907F22">
      <w:pPr>
        <w:pStyle w:val="NumPar1"/>
        <w:rPr>
          <w:b/>
          <w:bCs/>
          <w:noProof/>
        </w:rPr>
      </w:pPr>
      <w:r w:rsidRPr="00703AF7">
        <w:rPr>
          <w:rStyle w:val="oj-bold"/>
          <w:b/>
          <w:noProof/>
          <w:color w:val="333333"/>
        </w:rPr>
        <w:t>Puolustusalan tutkimusta koskeva valmistelutoimi</w:t>
      </w:r>
    </w:p>
    <w:p w14:paraId="05C5DDEC" w14:textId="656B2D7E" w:rsidR="00991DF8" w:rsidRPr="00703AF7" w:rsidRDefault="00991DF8" w:rsidP="00B34E95">
      <w:pPr>
        <w:rPr>
          <w:noProof/>
        </w:rPr>
      </w:pPr>
      <w:bookmarkStart w:id="4" w:name="_Hlk155968298"/>
      <w:r w:rsidRPr="00703AF7">
        <w:rPr>
          <w:noProof/>
        </w:rPr>
        <w:t>Euroopan parlamentin ja neuvoston asetus (EU, Euratom) 2018/1046, annettu 18 päivänä heinäkuuta 2018, unionin yleiseen talousarvioon sovellettavista varainhoitosäännöistä, asetusten (EU) N:o 1296/2013, (EU) N:o 1301/2013, (EU) N:o 1303/2013, (EU) N:o 1304/2013, (EU) N:o 1309/2013, (EU) N:o 1316/2013, (EU) N:o 223/2014, (EU) N:o 283/2014 ja päätöksen N:o 541/2014/EU muuttamisesta sekä asetuksen (EU, Euratom) N:o 966/2012 kumoamisesta, ja erityisesti sen 58 artiklan 2 kohdan b alakohta (</w:t>
      </w:r>
      <w:hyperlink r:id="rId41" w:history="1">
        <w:r w:rsidRPr="00703AF7">
          <w:rPr>
            <w:rStyle w:val="Hyperlink"/>
            <w:noProof/>
            <w:color w:val="337AB7"/>
          </w:rPr>
          <w:t>EUVL L 193, 30.7.2018, s. 1</w:t>
        </w:r>
      </w:hyperlink>
      <w:r w:rsidRPr="00703AF7">
        <w:rPr>
          <w:noProof/>
        </w:rPr>
        <w:t xml:space="preserve">, </w:t>
      </w:r>
      <w:r w:rsidRPr="00703AF7">
        <w:rPr>
          <w:rStyle w:val="Hyperlink"/>
          <w:noProof/>
          <w:color w:val="337AB7"/>
        </w:rPr>
        <w:t>ELI</w:t>
      </w:r>
      <w:r w:rsidRPr="00703AF7">
        <w:rPr>
          <w:noProof/>
        </w:rPr>
        <w:t>:</w:t>
      </w:r>
      <w:r w:rsidRPr="00703AF7">
        <w:rPr>
          <w:rStyle w:val="Hyperlink"/>
          <w:noProof/>
          <w:color w:val="337AB7"/>
        </w:rPr>
        <w:t xml:space="preserve"> </w:t>
      </w:r>
      <w:hyperlink r:id="rId42" w:history="1">
        <w:r w:rsidRPr="00703AF7">
          <w:rPr>
            <w:rStyle w:val="Hyperlink"/>
            <w:noProof/>
          </w:rPr>
          <w:t>http://data.europa.eu/eli/reg/2018/1046/oj</w:t>
        </w:r>
      </w:hyperlink>
      <w:r w:rsidRPr="00703AF7">
        <w:rPr>
          <w:noProof/>
        </w:rPr>
        <w:t>).</w:t>
      </w:r>
    </w:p>
    <w:bookmarkEnd w:id="4"/>
    <w:p w14:paraId="12DF6860" w14:textId="77777777" w:rsidR="00991DF8" w:rsidRPr="00703AF7" w:rsidRDefault="00991DF8" w:rsidP="00907F22">
      <w:pPr>
        <w:pStyle w:val="NumPar1"/>
        <w:rPr>
          <w:b/>
          <w:bCs/>
          <w:noProof/>
        </w:rPr>
      </w:pPr>
      <w:r w:rsidRPr="00703AF7">
        <w:rPr>
          <w:rStyle w:val="oj-bold"/>
          <w:b/>
          <w:noProof/>
          <w:color w:val="333333"/>
        </w:rPr>
        <w:t>Euroopan puolustusrahasto</w:t>
      </w:r>
    </w:p>
    <w:p w14:paraId="1FB3E2D9" w14:textId="230994BF" w:rsidR="00991DF8" w:rsidRPr="00703AF7" w:rsidRDefault="00991DF8" w:rsidP="00B34E95">
      <w:pPr>
        <w:rPr>
          <w:rFonts w:eastAsia="Calibri"/>
          <w:noProof/>
          <w:szCs w:val="24"/>
        </w:rPr>
      </w:pPr>
      <w:r w:rsidRPr="00703AF7">
        <w:rPr>
          <w:noProof/>
        </w:rPr>
        <w:t>Euroopan parlamentin ja neuvoston asetus (EU) 2021/697, annettu 29 päivänä huhtikuuta 2021, Euroopan puolustusrahaston perustamisesta ja asetuksen (EU) 2018/1092 kumoamisesta (</w:t>
      </w:r>
      <w:hyperlink r:id="rId43" w:history="1">
        <w:r w:rsidRPr="00703AF7">
          <w:rPr>
            <w:rStyle w:val="Hyperlink"/>
            <w:noProof/>
            <w:color w:val="337AB7"/>
          </w:rPr>
          <w:t>EUVL L 170, 12.5.2021, s. 149</w:t>
        </w:r>
      </w:hyperlink>
      <w:r w:rsidRPr="00703AF7">
        <w:rPr>
          <w:noProof/>
        </w:rPr>
        <w:t xml:space="preserve">, </w:t>
      </w:r>
      <w:r w:rsidRPr="00703AF7">
        <w:rPr>
          <w:rStyle w:val="Hyperlink"/>
          <w:noProof/>
          <w:color w:val="337AB7"/>
        </w:rPr>
        <w:t>ELI</w:t>
      </w:r>
      <w:r w:rsidRPr="00703AF7">
        <w:rPr>
          <w:noProof/>
        </w:rPr>
        <w:t>:</w:t>
      </w:r>
      <w:r w:rsidRPr="00703AF7">
        <w:rPr>
          <w:rStyle w:val="Hyperlink"/>
          <w:noProof/>
          <w:color w:val="337AB7"/>
        </w:rPr>
        <w:t xml:space="preserve"> </w:t>
      </w:r>
      <w:hyperlink r:id="rId44" w:history="1">
        <w:r w:rsidRPr="00703AF7">
          <w:rPr>
            <w:rStyle w:val="Hyperlink"/>
            <w:noProof/>
          </w:rPr>
          <w:t>http://data.europa.eu/eli/reg/2021/697/oj</w:t>
        </w:r>
      </w:hyperlink>
      <w:r w:rsidRPr="00703AF7">
        <w:rPr>
          <w:noProof/>
        </w:rPr>
        <w:t xml:space="preserve">). </w:t>
      </w:r>
    </w:p>
    <w:p w14:paraId="53126C9B" w14:textId="77777777" w:rsidR="00D371B7" w:rsidRPr="00703AF7" w:rsidRDefault="005B19E5" w:rsidP="00D371B7">
      <w:pPr>
        <w:pStyle w:val="NumPar1"/>
        <w:rPr>
          <w:b/>
          <w:bCs/>
          <w:noProof/>
        </w:rPr>
      </w:pPr>
      <w:bookmarkStart w:id="5" w:name="_Hlk155889773"/>
      <w:r w:rsidRPr="00703AF7">
        <w:rPr>
          <w:rStyle w:val="oj-bold"/>
          <w:b/>
          <w:noProof/>
          <w:color w:val="333333"/>
        </w:rPr>
        <w:t xml:space="preserve">Ampumatarvikkeiden tuotantoa tukeva säädös </w:t>
      </w:r>
    </w:p>
    <w:p w14:paraId="04DD64FB" w14:textId="77777777" w:rsidR="005B19E5" w:rsidRPr="00703AF7" w:rsidRDefault="005B19E5" w:rsidP="005B19E5">
      <w:pPr>
        <w:rPr>
          <w:rFonts w:eastAsia="Times New Roman"/>
          <w:noProof/>
        </w:rPr>
      </w:pPr>
      <w:r w:rsidRPr="00703AF7">
        <w:rPr>
          <w:noProof/>
        </w:rPr>
        <w:t>Euroopan parlamentin ja neuvoston asetus (EU) 2023/1525, annettu 20 päivänä heinäkuuta 2023, ampumatarviketuotannon tukemisesta (ASAP) (</w:t>
      </w:r>
      <w:hyperlink r:id="rId45" w:history="1">
        <w:r w:rsidRPr="00703AF7">
          <w:rPr>
            <w:rStyle w:val="Hyperlink"/>
            <w:noProof/>
          </w:rPr>
          <w:t>EUVL L 185, 24.7.2023, s. 7</w:t>
        </w:r>
      </w:hyperlink>
      <w:r w:rsidRPr="00703AF7">
        <w:rPr>
          <w:noProof/>
        </w:rPr>
        <w:t xml:space="preserve">, </w:t>
      </w:r>
      <w:r w:rsidRPr="00703AF7">
        <w:rPr>
          <w:rStyle w:val="Hyperlink"/>
          <w:noProof/>
          <w:color w:val="337AB7"/>
        </w:rPr>
        <w:t>ELI</w:t>
      </w:r>
      <w:r w:rsidRPr="00703AF7">
        <w:rPr>
          <w:noProof/>
        </w:rPr>
        <w:t xml:space="preserve">: </w:t>
      </w:r>
      <w:hyperlink r:id="rId46" w:history="1">
        <w:r w:rsidRPr="00703AF7">
          <w:rPr>
            <w:rStyle w:val="Hyperlink"/>
            <w:noProof/>
          </w:rPr>
          <w:t>http://data.europa.eu/eli/reg/2023/1525/oj</w:t>
        </w:r>
      </w:hyperlink>
      <w:r w:rsidRPr="00703AF7">
        <w:rPr>
          <w:noProof/>
        </w:rPr>
        <w:t>). </w:t>
      </w:r>
    </w:p>
    <w:bookmarkEnd w:id="5"/>
    <w:p w14:paraId="3C77AF86" w14:textId="77777777" w:rsidR="00D371B7" w:rsidRPr="00703AF7" w:rsidRDefault="005B19E5" w:rsidP="00D371B7">
      <w:pPr>
        <w:pStyle w:val="NumPar1"/>
        <w:rPr>
          <w:b/>
          <w:bCs/>
          <w:noProof/>
        </w:rPr>
      </w:pPr>
      <w:r w:rsidRPr="00703AF7">
        <w:rPr>
          <w:rStyle w:val="oj-bold"/>
          <w:b/>
          <w:noProof/>
          <w:color w:val="333333"/>
        </w:rPr>
        <w:t xml:space="preserve">Asetus Euroopan puolustusteollisuuden vahvistamista yhteistoiminnallisten hankintojen avulla koskevasta välineestä (EDIRPA) </w:t>
      </w:r>
    </w:p>
    <w:p w14:paraId="56958650" w14:textId="77777777" w:rsidR="005B19E5" w:rsidRPr="00703AF7" w:rsidRDefault="005B19E5" w:rsidP="00A03596">
      <w:pPr>
        <w:rPr>
          <w:noProof/>
        </w:rPr>
      </w:pPr>
      <w:r w:rsidRPr="00703AF7">
        <w:rPr>
          <w:noProof/>
        </w:rPr>
        <w:t xml:space="preserve">Euroopan parlamentin ja neuvoston asetus (EU) 2023/2418, annettu 18 päivänä lokakuuta 2023, välineen perustamisesta Euroopan puolustusteollisuuden vahvistamiseksi yhteistoiminnallisten hankintojen avulla (EDIRPA) (EUVL L 2023/2418, 26.10.2023, </w:t>
      </w:r>
      <w:r w:rsidRPr="00703AF7">
        <w:rPr>
          <w:rStyle w:val="Hyperlink"/>
          <w:noProof/>
          <w:color w:val="337AB7"/>
        </w:rPr>
        <w:t>ELI</w:t>
      </w:r>
      <w:r w:rsidRPr="00703AF7">
        <w:rPr>
          <w:noProof/>
        </w:rPr>
        <w:t xml:space="preserve">: </w:t>
      </w:r>
      <w:hyperlink r:id="rId47" w:tooltip="Gives access to this document through its ELI URI." w:history="1">
        <w:r w:rsidRPr="00703AF7">
          <w:rPr>
            <w:rStyle w:val="Hyperlink"/>
            <w:noProof/>
          </w:rPr>
          <w:t>http://data.europa.eu/eli/reg/2023/2418/oj</w:t>
        </w:r>
      </w:hyperlink>
      <w:r w:rsidRPr="00703AF7">
        <w:rPr>
          <w:noProof/>
        </w:rPr>
        <w:t>).</w:t>
      </w:r>
    </w:p>
    <w:p w14:paraId="414E94B6" w14:textId="77777777" w:rsidR="00991DF8" w:rsidRPr="00703AF7" w:rsidRDefault="00991DF8" w:rsidP="00907F22">
      <w:pPr>
        <w:pStyle w:val="NumPar1"/>
        <w:rPr>
          <w:b/>
          <w:bCs/>
          <w:noProof/>
        </w:rPr>
      </w:pPr>
      <w:r w:rsidRPr="00703AF7">
        <w:rPr>
          <w:rStyle w:val="oj-bold"/>
          <w:b/>
          <w:noProof/>
          <w:color w:val="333333"/>
        </w:rPr>
        <w:t>Pysyvä rakenteellinen yhteistyö (PRY)</w:t>
      </w:r>
    </w:p>
    <w:p w14:paraId="7EABE84C" w14:textId="6A84DFFB" w:rsidR="00D23DB5" w:rsidRPr="00703AF7" w:rsidRDefault="00D23DB5" w:rsidP="00D23DB5">
      <w:pPr>
        <w:rPr>
          <w:noProof/>
        </w:rPr>
      </w:pPr>
      <w:r w:rsidRPr="00703AF7">
        <w:rPr>
          <w:noProof/>
        </w:rPr>
        <w:t>Neuvoston päätös (YUTP) 2018/340, annettu 6 päivänä maaliskuuta 2018, PRY-yhteistyössä kehitettävien hankkeiden luettelosta (</w:t>
      </w:r>
      <w:hyperlink r:id="rId48" w:history="1">
        <w:r w:rsidRPr="00703AF7">
          <w:rPr>
            <w:rStyle w:val="Hyperlink"/>
            <w:noProof/>
          </w:rPr>
          <w:t>EUVL L 65, 8.3.2018, s. 24</w:t>
        </w:r>
      </w:hyperlink>
      <w:r w:rsidRPr="00703AF7">
        <w:rPr>
          <w:noProof/>
        </w:rPr>
        <w:t xml:space="preserve">, </w:t>
      </w:r>
      <w:r w:rsidRPr="00703AF7">
        <w:rPr>
          <w:rStyle w:val="Hyperlink"/>
          <w:noProof/>
          <w:color w:val="337AB7"/>
        </w:rPr>
        <w:t>ELI</w:t>
      </w:r>
      <w:r w:rsidRPr="00703AF7">
        <w:rPr>
          <w:noProof/>
        </w:rPr>
        <w:t>:</w:t>
      </w:r>
      <w:r w:rsidRPr="00703AF7">
        <w:rPr>
          <w:noProof/>
          <w:u w:val="single"/>
        </w:rPr>
        <w:t xml:space="preserve"> </w:t>
      </w:r>
      <w:hyperlink r:id="rId49" w:history="1">
        <w:r w:rsidRPr="00703AF7">
          <w:rPr>
            <w:rStyle w:val="Hyperlink"/>
            <w:noProof/>
          </w:rPr>
          <w:t>http://data.europa.eu/eli/dec/2018/340/oj</w:t>
        </w:r>
      </w:hyperlink>
      <w:r w:rsidRPr="00703AF7">
        <w:rPr>
          <w:noProof/>
        </w:rPr>
        <w:t>).</w:t>
      </w:r>
    </w:p>
    <w:p w14:paraId="23FBB82D" w14:textId="77777777" w:rsidR="00991DF8" w:rsidRPr="00703AF7" w:rsidRDefault="00D23DB5" w:rsidP="00EC4D84">
      <w:pPr>
        <w:rPr>
          <w:noProof/>
        </w:rPr>
      </w:pPr>
      <w:r w:rsidRPr="00703AF7">
        <w:rPr>
          <w:noProof/>
        </w:rPr>
        <w:t>Neuvoston päätös (YUTP) 2023/995, annettu 22 päivänä toukokuuta 2023, PRY-yhteistyössä kehitettävien hankkeiden luettelosta annetun päätöksen (YUTP) 2018/340 muuttamisesta ja saattamisesta ajan tasalle (</w:t>
      </w:r>
      <w:hyperlink r:id="rId50" w:history="1">
        <w:r w:rsidRPr="00703AF7">
          <w:rPr>
            <w:rStyle w:val="Hyperlink"/>
            <w:noProof/>
          </w:rPr>
          <w:t>EUVL L 135, 23.5.2023, s. 123</w:t>
        </w:r>
      </w:hyperlink>
      <w:r w:rsidRPr="00703AF7">
        <w:rPr>
          <w:noProof/>
        </w:rPr>
        <w:t xml:space="preserve">, </w:t>
      </w:r>
      <w:r w:rsidRPr="00703AF7">
        <w:rPr>
          <w:rStyle w:val="Hyperlink"/>
          <w:noProof/>
          <w:color w:val="337AB7"/>
        </w:rPr>
        <w:t>ELI</w:t>
      </w:r>
      <w:r w:rsidRPr="00703AF7">
        <w:rPr>
          <w:noProof/>
        </w:rPr>
        <w:t xml:space="preserve">: </w:t>
      </w:r>
      <w:hyperlink r:id="rId51" w:tooltip="Gives access to this document through its ELI URI." w:history="1">
        <w:r w:rsidRPr="00703AF7">
          <w:rPr>
            <w:rStyle w:val="Hyperlink"/>
            <w:noProof/>
          </w:rPr>
          <w:t>http://data.europa.eu/eli/dec/2023/995/oj</w:t>
        </w:r>
      </w:hyperlink>
      <w:r w:rsidRPr="00703AF7">
        <w:rPr>
          <w:noProof/>
        </w:rPr>
        <w:t xml:space="preserve">). </w:t>
      </w:r>
    </w:p>
    <w:p w14:paraId="0AD566E6" w14:textId="77777777" w:rsidR="00991DF8" w:rsidRPr="00703AF7" w:rsidRDefault="00991DF8" w:rsidP="00907F22">
      <w:pPr>
        <w:pStyle w:val="NumPar1"/>
        <w:rPr>
          <w:b/>
          <w:bCs/>
          <w:noProof/>
        </w:rPr>
      </w:pPr>
      <w:r w:rsidRPr="00703AF7">
        <w:rPr>
          <w:rStyle w:val="oj-bold"/>
          <w:b/>
          <w:noProof/>
          <w:color w:val="333333"/>
        </w:rPr>
        <w:t>Eurooppalainen yhteisyritys ITERiä varten</w:t>
      </w:r>
    </w:p>
    <w:p w14:paraId="37D94326" w14:textId="77777777" w:rsidR="00991DF8" w:rsidRPr="00703AF7" w:rsidRDefault="00991DF8" w:rsidP="00B34E95">
      <w:pPr>
        <w:rPr>
          <w:noProof/>
        </w:rPr>
      </w:pPr>
      <w:r w:rsidRPr="00703AF7">
        <w:rPr>
          <w:noProof/>
        </w:rPr>
        <w:t>Neuvoston päätös 2007/198/Euratom, tehty 27 päivänä maaliskuuta 2007, eurooppalaisen yhteisyrityksen perustamisesta ITERiä ja fuusioenergian kehittämistä varten sekä etujen myöntämisestä perustettavalle yhteisyritykselle (</w:t>
      </w:r>
      <w:hyperlink r:id="rId52" w:history="1">
        <w:r w:rsidRPr="00703AF7">
          <w:rPr>
            <w:rStyle w:val="Hyperlink"/>
            <w:noProof/>
            <w:color w:val="337AB7"/>
          </w:rPr>
          <w:t>EUVL L 90, 30.3.2007, s. 58</w:t>
        </w:r>
      </w:hyperlink>
      <w:r w:rsidRPr="00703AF7">
        <w:rPr>
          <w:noProof/>
        </w:rPr>
        <w:t xml:space="preserve">, </w:t>
      </w:r>
      <w:r w:rsidRPr="00703AF7">
        <w:rPr>
          <w:rStyle w:val="Hyperlink"/>
          <w:noProof/>
          <w:color w:val="337AB7"/>
        </w:rPr>
        <w:t>ELI</w:t>
      </w:r>
      <w:r w:rsidRPr="00703AF7">
        <w:rPr>
          <w:noProof/>
        </w:rPr>
        <w:t>:</w:t>
      </w:r>
      <w:r w:rsidRPr="00703AF7">
        <w:rPr>
          <w:rStyle w:val="Hyperlink"/>
          <w:noProof/>
          <w:color w:val="337AB7"/>
        </w:rPr>
        <w:t xml:space="preserve"> </w:t>
      </w:r>
      <w:hyperlink r:id="rId53" w:history="1">
        <w:r w:rsidRPr="00703AF7">
          <w:rPr>
            <w:rStyle w:val="Hyperlink"/>
            <w:noProof/>
          </w:rPr>
          <w:t>http://data.europa.eu/eli/dec/2007/198/oj</w:t>
        </w:r>
      </w:hyperlink>
      <w:r w:rsidRPr="00703AF7">
        <w:rPr>
          <w:noProof/>
        </w:rPr>
        <w:t>).</w:t>
      </w:r>
    </w:p>
    <w:p w14:paraId="24F1C81F" w14:textId="77777777" w:rsidR="00991DF8" w:rsidRPr="00703AF7" w:rsidRDefault="00991DF8" w:rsidP="00907F22">
      <w:pPr>
        <w:pStyle w:val="NumPar1"/>
        <w:rPr>
          <w:b/>
          <w:bCs/>
          <w:noProof/>
        </w:rPr>
      </w:pPr>
      <w:bookmarkStart w:id="6" w:name="_Hlk155875913"/>
      <w:r w:rsidRPr="00703AF7">
        <w:rPr>
          <w:rStyle w:val="oj-bold"/>
          <w:b/>
          <w:noProof/>
          <w:color w:val="333333"/>
        </w:rPr>
        <w:t>EU4Health-ohjelma</w:t>
      </w:r>
    </w:p>
    <w:p w14:paraId="6A971364" w14:textId="77777777" w:rsidR="00F439C7" w:rsidRPr="00703AF7" w:rsidRDefault="00991DF8" w:rsidP="00B34E95">
      <w:pPr>
        <w:rPr>
          <w:noProof/>
        </w:rPr>
      </w:pPr>
      <w:r w:rsidRPr="00703AF7">
        <w:rPr>
          <w:noProof/>
        </w:rPr>
        <w:t>Euroopan parlamentin ja neuvoston asetus (EU) 2021/522, annettu 24 päivänä maaliskuuta 2021, unionin terveysalan toimintaohjelman (EU4Health) perustamisesta kaudeksi 2021–27 ja asetuksen (EU) N:o 282/2014 kumoamisesta (</w:t>
      </w:r>
      <w:hyperlink r:id="rId54" w:history="1">
        <w:r w:rsidRPr="00703AF7">
          <w:rPr>
            <w:rStyle w:val="Hyperlink"/>
            <w:noProof/>
            <w:color w:val="337AB7"/>
          </w:rPr>
          <w:t>EUVL L 107, 26.3.2021, s. 1</w:t>
        </w:r>
      </w:hyperlink>
      <w:r w:rsidRPr="00703AF7">
        <w:rPr>
          <w:noProof/>
        </w:rPr>
        <w:t xml:space="preserve">, </w:t>
      </w:r>
      <w:r w:rsidRPr="00703AF7">
        <w:rPr>
          <w:rStyle w:val="Hyperlink"/>
          <w:noProof/>
          <w:color w:val="337AB7"/>
        </w:rPr>
        <w:t>ELI</w:t>
      </w:r>
      <w:r w:rsidRPr="00703AF7">
        <w:rPr>
          <w:noProof/>
        </w:rPr>
        <w:t>:</w:t>
      </w:r>
      <w:r w:rsidRPr="00703AF7">
        <w:rPr>
          <w:rStyle w:val="Hyperlink"/>
          <w:noProof/>
          <w:color w:val="337AB7"/>
        </w:rPr>
        <w:t xml:space="preserve"> </w:t>
      </w:r>
      <w:hyperlink r:id="rId55" w:history="1">
        <w:r w:rsidRPr="00703AF7">
          <w:rPr>
            <w:rStyle w:val="Hyperlink"/>
            <w:noProof/>
          </w:rPr>
          <w:t>http://data.europa.eu/eli/reg/2021/522/oj</w:t>
        </w:r>
      </w:hyperlink>
      <w:r w:rsidRPr="00703AF7">
        <w:rPr>
          <w:noProof/>
        </w:rPr>
        <w:t>).</w:t>
      </w:r>
    </w:p>
    <w:p w14:paraId="40CFE421" w14:textId="77777777" w:rsidR="00D371B7" w:rsidRPr="00703AF7" w:rsidRDefault="00F439C7" w:rsidP="00D371B7">
      <w:pPr>
        <w:pStyle w:val="NumPar1"/>
        <w:rPr>
          <w:b/>
          <w:bCs/>
          <w:noProof/>
        </w:rPr>
      </w:pPr>
      <w:r w:rsidRPr="00703AF7">
        <w:rPr>
          <w:rStyle w:val="oj-bold"/>
          <w:b/>
          <w:noProof/>
          <w:color w:val="333333"/>
        </w:rPr>
        <w:t xml:space="preserve">Euroopan yhteistä etua koskeva tärkeä hanke (IPCEI) </w:t>
      </w:r>
    </w:p>
    <w:p w14:paraId="026FA90C" w14:textId="77777777" w:rsidR="00F439C7" w:rsidRPr="00703AF7" w:rsidRDefault="009F2018" w:rsidP="00A03596">
      <w:pPr>
        <w:rPr>
          <w:noProof/>
        </w:rPr>
      </w:pPr>
      <w:r w:rsidRPr="00703AF7">
        <w:rPr>
          <w:noProof/>
        </w:rPr>
        <w:t>Kuvattu komission yksiköiden verkkosivustolla</w:t>
      </w:r>
      <w:r w:rsidRPr="00703AF7">
        <w:rPr>
          <w:rStyle w:val="FootnoteReference"/>
          <w:noProof/>
        </w:rPr>
        <w:footnoteReference w:id="2"/>
      </w:r>
      <w:r w:rsidRPr="00703AF7">
        <w:rPr>
          <w:noProof/>
        </w:rPr>
        <w:t xml:space="preserve"> mainitussa komission tiedonannossa – Euroopan yhteistä etua koskevia tärkeitä hankkeita edistävän valtiontuen sisämarkkinoille soveltuvuuden arviointiperusteet (2021/C 528/02) (</w:t>
      </w:r>
      <w:hyperlink r:id="rId56" w:history="1">
        <w:r w:rsidRPr="00703AF7">
          <w:rPr>
            <w:rStyle w:val="Hyperlink"/>
            <w:noProof/>
          </w:rPr>
          <w:t>EUVL C 528, 30.12.2021, s. 10</w:t>
        </w:r>
      </w:hyperlink>
      <w:r w:rsidRPr="00703AF7">
        <w:rPr>
          <w:noProof/>
        </w:rPr>
        <w:t xml:space="preserve">). </w:t>
      </w:r>
    </w:p>
    <w:bookmarkEnd w:id="6"/>
    <w:p w14:paraId="10B4E9C9" w14:textId="77777777" w:rsidR="00F660C7" w:rsidRPr="00703AF7" w:rsidRDefault="00F660C7" w:rsidP="00991DF8">
      <w:pPr>
        <w:rPr>
          <w:noProof/>
          <w:szCs w:val="24"/>
        </w:rPr>
        <w:sectPr w:rsidR="00F660C7" w:rsidRPr="00703AF7" w:rsidSect="00B40168">
          <w:headerReference w:type="even" r:id="rId57"/>
          <w:footerReference w:type="even" r:id="rId58"/>
          <w:footerReference w:type="default" r:id="rId59"/>
          <w:headerReference w:type="first" r:id="rId60"/>
          <w:footerReference w:type="first" r:id="rId6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14:paraId="07796EE2" w14:textId="77777777" w:rsidR="00455B3D" w:rsidRPr="00703AF7" w:rsidRDefault="00455B3D" w:rsidP="00455B3D">
      <w:pPr>
        <w:pStyle w:val="Annexetitre"/>
        <w:rPr>
          <w:noProof/>
        </w:rPr>
      </w:pPr>
      <w:r w:rsidRPr="00703AF7">
        <w:rPr>
          <w:noProof/>
        </w:rPr>
        <w:t>LIITE II</w:t>
      </w:r>
    </w:p>
    <w:p w14:paraId="589F9AAF" w14:textId="6892E6A4" w:rsidR="00991DF8" w:rsidRPr="00703AF7" w:rsidRDefault="00991DF8" w:rsidP="00E8728D">
      <w:pPr>
        <w:shd w:val="clear" w:color="auto" w:fill="FFFFFF" w:themeFill="background1"/>
        <w:tabs>
          <w:tab w:val="left" w:pos="5000"/>
        </w:tabs>
        <w:spacing w:after="0"/>
        <w:jc w:val="center"/>
        <w:rPr>
          <w:b/>
          <w:noProof/>
          <w:color w:val="333333"/>
          <w:szCs w:val="24"/>
        </w:rPr>
      </w:pPr>
      <w:bookmarkStart w:id="7" w:name="_TocB7751C055C4744A28A002AAF436526DF"/>
      <w:r w:rsidRPr="00703AF7">
        <w:rPr>
          <w:b/>
          <w:bCs/>
          <w:noProof/>
        </w:rPr>
        <w:t>Luettelo unionin turvallisuuden tai yleisen järjestyksen kannalta erityisen tärkeistä teknologia-aloista, resursseista, laitoksista, laitteista, verkoista, järjestelmistä, palveluista ja taloudellisista toiminnoista</w:t>
      </w:r>
    </w:p>
    <w:bookmarkEnd w:id="7"/>
    <w:p w14:paraId="7DFE0975" w14:textId="28680BB6" w:rsidR="009E7623" w:rsidRPr="00703AF7" w:rsidRDefault="00845A15" w:rsidP="002A7CE4">
      <w:pPr>
        <w:pStyle w:val="Point0"/>
        <w:rPr>
          <w:noProof/>
        </w:rPr>
      </w:pPr>
      <w:r w:rsidRPr="00703AF7">
        <w:rPr>
          <w:noProof/>
        </w:rPr>
        <w:t>1.</w:t>
      </w:r>
      <w:r w:rsidRPr="00703AF7">
        <w:rPr>
          <w:noProof/>
        </w:rPr>
        <w:tab/>
        <w:t>Euroopan parlamentin ja neuvoston asetuksen (EU) 2021/821 liitteessä I luetellut tuotteet (yhteinen luettelo vientivalvonnan alaisista kaksikäyttötuotteista)</w:t>
      </w:r>
    </w:p>
    <w:p w14:paraId="15BDBE33" w14:textId="29B8EB00" w:rsidR="00870A96" w:rsidRPr="00703AF7" w:rsidRDefault="00845A15" w:rsidP="002A7CE4">
      <w:pPr>
        <w:pStyle w:val="Point0"/>
        <w:rPr>
          <w:noProof/>
        </w:rPr>
      </w:pPr>
      <w:r w:rsidRPr="00703AF7">
        <w:rPr>
          <w:noProof/>
        </w:rPr>
        <w:t>2.</w:t>
      </w:r>
      <w:r w:rsidRPr="00703AF7">
        <w:rPr>
          <w:noProof/>
        </w:rPr>
        <w:tab/>
        <w:t>Puolustusteknologian ja puolustustarvikkeiden viennin valvontaa koskevien yhteisten sääntöjen määrittämisestä hyväksytyn neuvoston yhteisen kannan 2008/944/YUTP soveltamisalaan kuuluvat tarvikkeet (Euroopan unionin yhteinen puolustustarvikeluettelo)</w:t>
      </w:r>
    </w:p>
    <w:p w14:paraId="2B366533" w14:textId="70F1A1FA" w:rsidR="00D73266" w:rsidRPr="00703AF7" w:rsidRDefault="00845A15" w:rsidP="002A7CE4">
      <w:pPr>
        <w:pStyle w:val="Point0"/>
        <w:rPr>
          <w:noProof/>
        </w:rPr>
      </w:pPr>
      <w:r w:rsidRPr="00703AF7">
        <w:rPr>
          <w:noProof/>
        </w:rPr>
        <w:t>3.</w:t>
      </w:r>
      <w:r w:rsidRPr="00703AF7">
        <w:rPr>
          <w:noProof/>
        </w:rPr>
        <w:tab/>
        <w:t>EU:n taloudellisen turvallisuuden kannalta kriittisistä teknologia-aloista jäsenvaltioiden kanssa tehtävää riskinarviointia varten 3 päivänä lokakuuta 2023 annetun komission suosituksen (EU) 2023/2113 liitteenä olevat seuraavat EU:n taloudellisen turvallisuuden kannalta kriittiset teknologia-alat:</w:t>
      </w:r>
    </w:p>
    <w:p w14:paraId="60D5119E" w14:textId="6B589EA6" w:rsidR="009C2916" w:rsidRPr="00703AF7" w:rsidRDefault="008412DB" w:rsidP="008412DB">
      <w:pPr>
        <w:pStyle w:val="Point10"/>
        <w:rPr>
          <w:noProof/>
        </w:rPr>
      </w:pPr>
      <w:r w:rsidRPr="00703AF7">
        <w:rPr>
          <w:noProof/>
        </w:rPr>
        <w:t>a.</w:t>
      </w:r>
      <w:r w:rsidRPr="00703AF7">
        <w:rPr>
          <w:noProof/>
        </w:rPr>
        <w:tab/>
        <w:t>Kehittynyt puolijohdeteknologia:</w:t>
      </w:r>
    </w:p>
    <w:p w14:paraId="6911CE29" w14:textId="77777777" w:rsidR="009C2916" w:rsidRPr="00703AF7" w:rsidRDefault="009C2916" w:rsidP="00CA1388">
      <w:pPr>
        <w:pStyle w:val="Bullet3"/>
        <w:numPr>
          <w:ilvl w:val="0"/>
          <w:numId w:val="7"/>
        </w:numPr>
        <w:rPr>
          <w:noProof/>
        </w:rPr>
      </w:pPr>
      <w:r w:rsidRPr="00703AF7">
        <w:rPr>
          <w:noProof/>
        </w:rPr>
        <w:t>mikroelektroniikka, mukaan lukien prosessorit</w:t>
      </w:r>
    </w:p>
    <w:p w14:paraId="6B1EED15" w14:textId="77777777" w:rsidR="009C2916" w:rsidRPr="00703AF7" w:rsidRDefault="009C2916" w:rsidP="003423BC">
      <w:pPr>
        <w:pStyle w:val="Bullet3"/>
        <w:rPr>
          <w:noProof/>
        </w:rPr>
      </w:pPr>
      <w:r w:rsidRPr="00703AF7">
        <w:rPr>
          <w:noProof/>
        </w:rPr>
        <w:t>fotoniikkateknologia (myös suurenergialaserit)</w:t>
      </w:r>
    </w:p>
    <w:p w14:paraId="1C7A37F1" w14:textId="77777777" w:rsidR="009C2916" w:rsidRPr="00703AF7" w:rsidRDefault="009C2916" w:rsidP="003423BC">
      <w:pPr>
        <w:pStyle w:val="Bullet3"/>
        <w:rPr>
          <w:noProof/>
        </w:rPr>
      </w:pPr>
      <w:r w:rsidRPr="00703AF7">
        <w:rPr>
          <w:noProof/>
        </w:rPr>
        <w:t>suurtaajuussirut</w:t>
      </w:r>
    </w:p>
    <w:p w14:paraId="17C0CF07" w14:textId="77777777" w:rsidR="009C2916" w:rsidRPr="00703AF7" w:rsidRDefault="009C2916" w:rsidP="00CA00F7">
      <w:pPr>
        <w:pStyle w:val="Bullet3"/>
        <w:rPr>
          <w:noProof/>
        </w:rPr>
      </w:pPr>
      <w:r w:rsidRPr="00703AF7">
        <w:rPr>
          <w:noProof/>
        </w:rPr>
        <w:t>puolijohteiden valmistuslaitteet, joilla pystytään tuottamaan erittäin pitkälle kehittyneitä solmukokoja (noodikokoja)</w:t>
      </w:r>
    </w:p>
    <w:p w14:paraId="5AD2F50A" w14:textId="01EADA00" w:rsidR="009C2916" w:rsidRPr="00703AF7" w:rsidRDefault="008412DB" w:rsidP="008412DB">
      <w:pPr>
        <w:pStyle w:val="Point10"/>
        <w:rPr>
          <w:noProof/>
        </w:rPr>
      </w:pPr>
      <w:r w:rsidRPr="00703AF7">
        <w:rPr>
          <w:noProof/>
        </w:rPr>
        <w:t>b.</w:t>
      </w:r>
      <w:r w:rsidRPr="00703AF7">
        <w:rPr>
          <w:noProof/>
        </w:rPr>
        <w:tab/>
        <w:t>Tekoälyteknologia:</w:t>
      </w:r>
    </w:p>
    <w:p w14:paraId="6A0F74FF" w14:textId="77777777" w:rsidR="009C2916" w:rsidRPr="00703AF7" w:rsidRDefault="009C2916" w:rsidP="003423BC">
      <w:pPr>
        <w:pStyle w:val="Bullet3"/>
        <w:rPr>
          <w:noProof/>
        </w:rPr>
      </w:pPr>
      <w:r w:rsidRPr="00703AF7">
        <w:rPr>
          <w:noProof/>
        </w:rPr>
        <w:t>suurteholaskenta</w:t>
      </w:r>
    </w:p>
    <w:p w14:paraId="6E0837D8" w14:textId="77777777" w:rsidR="009C2916" w:rsidRPr="00703AF7" w:rsidRDefault="009C2916" w:rsidP="003423BC">
      <w:pPr>
        <w:pStyle w:val="Bullet3"/>
        <w:rPr>
          <w:noProof/>
        </w:rPr>
      </w:pPr>
      <w:r w:rsidRPr="00703AF7">
        <w:rPr>
          <w:noProof/>
        </w:rPr>
        <w:t>pilvipalvelut ja reunalaskenta</w:t>
      </w:r>
    </w:p>
    <w:p w14:paraId="4C53582C" w14:textId="77777777" w:rsidR="009C2916" w:rsidRPr="00703AF7" w:rsidRDefault="009C2916" w:rsidP="003423BC">
      <w:pPr>
        <w:pStyle w:val="Bullet3"/>
        <w:rPr>
          <w:noProof/>
        </w:rPr>
      </w:pPr>
      <w:r w:rsidRPr="00703AF7">
        <w:rPr>
          <w:noProof/>
        </w:rPr>
        <w:t>data-analytiikkateknologia</w:t>
      </w:r>
    </w:p>
    <w:p w14:paraId="346A6FD2" w14:textId="77777777" w:rsidR="009C2916" w:rsidRPr="00703AF7" w:rsidRDefault="009C2916" w:rsidP="00E209ED">
      <w:pPr>
        <w:pStyle w:val="Bullet3"/>
        <w:rPr>
          <w:noProof/>
        </w:rPr>
      </w:pPr>
      <w:r w:rsidRPr="00703AF7">
        <w:rPr>
          <w:noProof/>
        </w:rPr>
        <w:t>konenäkö, kielen prosessointi, esineiden tunnistaminen</w:t>
      </w:r>
    </w:p>
    <w:p w14:paraId="72508AFA" w14:textId="78F85ACE" w:rsidR="009C2916" w:rsidRPr="00703AF7" w:rsidRDefault="00115BA3" w:rsidP="00115BA3">
      <w:pPr>
        <w:pStyle w:val="Point10"/>
        <w:rPr>
          <w:noProof/>
        </w:rPr>
      </w:pPr>
      <w:r w:rsidRPr="00703AF7">
        <w:rPr>
          <w:noProof/>
        </w:rPr>
        <w:t>c.</w:t>
      </w:r>
      <w:r w:rsidRPr="00703AF7">
        <w:rPr>
          <w:noProof/>
        </w:rPr>
        <w:tab/>
        <w:t>Kvanttiteknologia:</w:t>
      </w:r>
    </w:p>
    <w:p w14:paraId="16F081CC" w14:textId="77777777" w:rsidR="009C2916" w:rsidRPr="00703AF7" w:rsidRDefault="009C2916" w:rsidP="003423BC">
      <w:pPr>
        <w:pStyle w:val="Bullet3"/>
        <w:rPr>
          <w:noProof/>
        </w:rPr>
      </w:pPr>
      <w:r w:rsidRPr="00703AF7">
        <w:rPr>
          <w:noProof/>
        </w:rPr>
        <w:t>kvanttilaskenta</w:t>
      </w:r>
    </w:p>
    <w:p w14:paraId="23B03505" w14:textId="77777777" w:rsidR="009C2916" w:rsidRPr="00703AF7" w:rsidRDefault="009C2916" w:rsidP="003423BC">
      <w:pPr>
        <w:pStyle w:val="Bullet3"/>
        <w:rPr>
          <w:noProof/>
        </w:rPr>
      </w:pPr>
      <w:r w:rsidRPr="00703AF7">
        <w:rPr>
          <w:noProof/>
        </w:rPr>
        <w:t>kvanttisalaus</w:t>
      </w:r>
    </w:p>
    <w:p w14:paraId="39EEC65A" w14:textId="77777777" w:rsidR="009C2916" w:rsidRPr="00703AF7" w:rsidRDefault="009C2916" w:rsidP="003423BC">
      <w:pPr>
        <w:pStyle w:val="Bullet3"/>
        <w:rPr>
          <w:noProof/>
        </w:rPr>
      </w:pPr>
      <w:r w:rsidRPr="00703AF7">
        <w:rPr>
          <w:noProof/>
        </w:rPr>
        <w:t>kvanttiviestintä</w:t>
      </w:r>
    </w:p>
    <w:p w14:paraId="183C33C1" w14:textId="77777777" w:rsidR="009C2916" w:rsidRPr="00703AF7" w:rsidRDefault="009C2916" w:rsidP="0066433C">
      <w:pPr>
        <w:pStyle w:val="Bullet3"/>
        <w:rPr>
          <w:noProof/>
        </w:rPr>
      </w:pPr>
      <w:r w:rsidRPr="00703AF7">
        <w:rPr>
          <w:noProof/>
        </w:rPr>
        <w:t>kvanttianturit ja -tutkat</w:t>
      </w:r>
    </w:p>
    <w:p w14:paraId="589A2A69" w14:textId="35010062" w:rsidR="009C2916" w:rsidRPr="00703AF7" w:rsidRDefault="00115BA3" w:rsidP="00115BA3">
      <w:pPr>
        <w:pStyle w:val="Point10"/>
        <w:rPr>
          <w:noProof/>
        </w:rPr>
      </w:pPr>
      <w:r w:rsidRPr="00703AF7">
        <w:rPr>
          <w:noProof/>
        </w:rPr>
        <w:t>d.</w:t>
      </w:r>
      <w:r w:rsidRPr="00703AF7">
        <w:rPr>
          <w:noProof/>
        </w:rPr>
        <w:tab/>
        <w:t>Bioteknologia:</w:t>
      </w:r>
    </w:p>
    <w:p w14:paraId="2D59D9EF" w14:textId="77777777" w:rsidR="009C2916" w:rsidRPr="00703AF7" w:rsidRDefault="009C2916" w:rsidP="003423BC">
      <w:pPr>
        <w:pStyle w:val="Bullet3"/>
        <w:rPr>
          <w:noProof/>
        </w:rPr>
      </w:pPr>
      <w:r w:rsidRPr="00703AF7">
        <w:rPr>
          <w:noProof/>
        </w:rPr>
        <w:t>geneettiset muuntamistekniikat</w:t>
      </w:r>
    </w:p>
    <w:p w14:paraId="6B0A6CDB" w14:textId="77777777" w:rsidR="009C2916" w:rsidRPr="00703AF7" w:rsidRDefault="009C2916" w:rsidP="003423BC">
      <w:pPr>
        <w:pStyle w:val="Bullet3"/>
        <w:rPr>
          <w:noProof/>
        </w:rPr>
      </w:pPr>
      <w:r w:rsidRPr="00703AF7">
        <w:rPr>
          <w:noProof/>
        </w:rPr>
        <w:t>uudet genomitekniikat</w:t>
      </w:r>
    </w:p>
    <w:p w14:paraId="09FEEEE5" w14:textId="77777777" w:rsidR="009C2916" w:rsidRPr="00703AF7" w:rsidRDefault="009C2916" w:rsidP="003423BC">
      <w:pPr>
        <w:pStyle w:val="Bullet3"/>
        <w:rPr>
          <w:noProof/>
        </w:rPr>
      </w:pPr>
      <w:r w:rsidRPr="00703AF7">
        <w:rPr>
          <w:noProof/>
        </w:rPr>
        <w:t>geeniajurit</w:t>
      </w:r>
    </w:p>
    <w:p w14:paraId="141F78DF" w14:textId="77777777" w:rsidR="009C2916" w:rsidRPr="00703AF7" w:rsidRDefault="009C2916" w:rsidP="0066433C">
      <w:pPr>
        <w:pStyle w:val="Bullet3"/>
        <w:rPr>
          <w:noProof/>
        </w:rPr>
      </w:pPr>
      <w:r w:rsidRPr="00703AF7">
        <w:rPr>
          <w:noProof/>
        </w:rPr>
        <w:t>synteettinen biologia</w:t>
      </w:r>
    </w:p>
    <w:p w14:paraId="166CC6E6" w14:textId="37A4DEF8" w:rsidR="009C2916" w:rsidRPr="00703AF7" w:rsidRDefault="00115BA3" w:rsidP="00115BA3">
      <w:pPr>
        <w:pStyle w:val="Point10"/>
        <w:rPr>
          <w:noProof/>
        </w:rPr>
      </w:pPr>
      <w:r w:rsidRPr="00703AF7">
        <w:rPr>
          <w:noProof/>
        </w:rPr>
        <w:t>e.</w:t>
      </w:r>
      <w:r w:rsidRPr="00703AF7">
        <w:rPr>
          <w:noProof/>
        </w:rPr>
        <w:tab/>
        <w:t xml:space="preserve">Kehittynyt yhteeenliitettävyys-, navigointi- ja digitaaliteknologia: </w:t>
      </w:r>
    </w:p>
    <w:p w14:paraId="66172EC2" w14:textId="77777777" w:rsidR="00E90883" w:rsidRPr="00703AF7" w:rsidRDefault="00867CE1" w:rsidP="003423BC">
      <w:pPr>
        <w:pStyle w:val="Bullet3"/>
        <w:rPr>
          <w:noProof/>
        </w:rPr>
      </w:pPr>
      <w:r w:rsidRPr="00703AF7">
        <w:rPr>
          <w:noProof/>
        </w:rPr>
        <w:t xml:space="preserve">turvallinen digitaalinen viestintä ja yhteydet, kuten RAN ja Open RAN (Radio Access Network) ja 6G </w:t>
      </w:r>
    </w:p>
    <w:p w14:paraId="2269B413" w14:textId="77777777" w:rsidR="00E90883" w:rsidRPr="00703AF7" w:rsidRDefault="00867CE1" w:rsidP="003423BC">
      <w:pPr>
        <w:pStyle w:val="Bullet3"/>
        <w:rPr>
          <w:noProof/>
        </w:rPr>
      </w:pPr>
      <w:r w:rsidRPr="00703AF7">
        <w:rPr>
          <w:noProof/>
        </w:rPr>
        <w:t xml:space="preserve">kyberturvallisuusteknologia, mukaan lukien kybervalvonta, turvallisuus- ja tunkeutumisenestojärjestelmät, digitaalinen rikostutkinta </w:t>
      </w:r>
    </w:p>
    <w:p w14:paraId="4C2E1072" w14:textId="77777777" w:rsidR="003402CF" w:rsidRPr="00703AF7" w:rsidRDefault="00867CE1" w:rsidP="003423BC">
      <w:pPr>
        <w:pStyle w:val="Bullet3"/>
        <w:rPr>
          <w:noProof/>
        </w:rPr>
      </w:pPr>
      <w:r w:rsidRPr="00703AF7">
        <w:rPr>
          <w:noProof/>
        </w:rPr>
        <w:t xml:space="preserve">esineiden internet ja virtuaalitodellisuus </w:t>
      </w:r>
    </w:p>
    <w:p w14:paraId="1E39D390" w14:textId="77777777" w:rsidR="00E90883" w:rsidRPr="00703AF7" w:rsidRDefault="00867CE1" w:rsidP="003423BC">
      <w:pPr>
        <w:pStyle w:val="Bullet3"/>
        <w:rPr>
          <w:noProof/>
        </w:rPr>
      </w:pPr>
      <w:r w:rsidRPr="00703AF7">
        <w:rPr>
          <w:noProof/>
        </w:rPr>
        <w:t xml:space="preserve">hajautetun tilikirjan ja digitaalisen identiteetin teknologia </w:t>
      </w:r>
    </w:p>
    <w:p w14:paraId="2B75EF3D" w14:textId="77777777" w:rsidR="00867CE1" w:rsidRPr="00703AF7" w:rsidRDefault="00867CE1" w:rsidP="0066433C">
      <w:pPr>
        <w:pStyle w:val="Bullet3"/>
        <w:rPr>
          <w:noProof/>
        </w:rPr>
      </w:pPr>
      <w:r w:rsidRPr="00703AF7">
        <w:rPr>
          <w:noProof/>
        </w:rPr>
        <w:t>ohjaus-, navigointi- ja valvontateknologia, mukaan lukien avioniikka ja meripaikannus</w:t>
      </w:r>
    </w:p>
    <w:p w14:paraId="6667CC47" w14:textId="1C95FCC9" w:rsidR="009C2916" w:rsidRPr="00703AF7" w:rsidRDefault="00115BA3" w:rsidP="00115BA3">
      <w:pPr>
        <w:pStyle w:val="Point10"/>
        <w:rPr>
          <w:noProof/>
        </w:rPr>
      </w:pPr>
      <w:r w:rsidRPr="00703AF7">
        <w:rPr>
          <w:noProof/>
        </w:rPr>
        <w:t>f.</w:t>
      </w:r>
      <w:r w:rsidRPr="00703AF7">
        <w:rPr>
          <w:noProof/>
        </w:rPr>
        <w:tab/>
        <w:t xml:space="preserve">Kehittynyt anturiteknologia: </w:t>
      </w:r>
    </w:p>
    <w:p w14:paraId="3714A6D2" w14:textId="77777777" w:rsidR="00E90883" w:rsidRPr="00703AF7" w:rsidRDefault="00867CE1" w:rsidP="003423BC">
      <w:pPr>
        <w:pStyle w:val="Bullet3"/>
        <w:rPr>
          <w:noProof/>
        </w:rPr>
      </w:pPr>
      <w:r w:rsidRPr="00703AF7">
        <w:rPr>
          <w:noProof/>
        </w:rPr>
        <w:t xml:space="preserve">sähköoptiset, tutka-, kemialliset, biologiset ja säteilyanturit ja hajautettu anturitekniikka </w:t>
      </w:r>
    </w:p>
    <w:p w14:paraId="2E5096C3" w14:textId="77777777" w:rsidR="00E90883" w:rsidRPr="00703AF7" w:rsidRDefault="00867CE1" w:rsidP="003423BC">
      <w:pPr>
        <w:pStyle w:val="Bullet3"/>
        <w:rPr>
          <w:noProof/>
        </w:rPr>
      </w:pPr>
      <w:r w:rsidRPr="00703AF7">
        <w:rPr>
          <w:noProof/>
        </w:rPr>
        <w:t xml:space="preserve">magnetometrit, magneettikentän gradiometrit </w:t>
      </w:r>
    </w:p>
    <w:p w14:paraId="64B493D3" w14:textId="77777777" w:rsidR="00E90883" w:rsidRPr="00703AF7" w:rsidRDefault="00867CE1" w:rsidP="003423BC">
      <w:pPr>
        <w:pStyle w:val="Bullet3"/>
        <w:rPr>
          <w:noProof/>
        </w:rPr>
      </w:pPr>
      <w:r w:rsidRPr="00703AF7">
        <w:rPr>
          <w:noProof/>
        </w:rPr>
        <w:t xml:space="preserve">vedenalaiset sähkökenttäanturit </w:t>
      </w:r>
    </w:p>
    <w:p w14:paraId="7E97EF73" w14:textId="77777777" w:rsidR="00867CE1" w:rsidRPr="00703AF7" w:rsidRDefault="00867CE1" w:rsidP="0066433C">
      <w:pPr>
        <w:pStyle w:val="Bullet3"/>
        <w:rPr>
          <w:noProof/>
        </w:rPr>
      </w:pPr>
      <w:r w:rsidRPr="00703AF7">
        <w:rPr>
          <w:noProof/>
        </w:rPr>
        <w:t>painovoimamittarit ja gradiometrit</w:t>
      </w:r>
    </w:p>
    <w:p w14:paraId="25C9FAE7" w14:textId="0244D7B0" w:rsidR="009C2916" w:rsidRPr="00703AF7" w:rsidRDefault="00115BA3" w:rsidP="00115BA3">
      <w:pPr>
        <w:pStyle w:val="Point10"/>
        <w:rPr>
          <w:noProof/>
        </w:rPr>
      </w:pPr>
      <w:r w:rsidRPr="00703AF7">
        <w:rPr>
          <w:noProof/>
        </w:rPr>
        <w:t>g.</w:t>
      </w:r>
      <w:r w:rsidRPr="00703AF7">
        <w:rPr>
          <w:noProof/>
        </w:rPr>
        <w:tab/>
        <w:t xml:space="preserve">Avaruus- ja käyttövoimateknologia </w:t>
      </w:r>
    </w:p>
    <w:p w14:paraId="50AB2797" w14:textId="77777777" w:rsidR="00E36985" w:rsidRPr="00703AF7" w:rsidRDefault="00867CE1" w:rsidP="003423BC">
      <w:pPr>
        <w:pStyle w:val="Bullet3"/>
        <w:rPr>
          <w:noProof/>
        </w:rPr>
      </w:pPr>
      <w:r w:rsidRPr="00703AF7">
        <w:rPr>
          <w:noProof/>
        </w:rPr>
        <w:t xml:space="preserve">avaruuteen keskittyvä erityisteknologia komponenttitasolta järjestelmätasolle </w:t>
      </w:r>
    </w:p>
    <w:p w14:paraId="511AA41F" w14:textId="77777777" w:rsidR="00E36985" w:rsidRPr="00703AF7" w:rsidRDefault="00867CE1" w:rsidP="003423BC">
      <w:pPr>
        <w:pStyle w:val="Bullet3"/>
        <w:rPr>
          <w:noProof/>
        </w:rPr>
      </w:pPr>
      <w:r w:rsidRPr="00703AF7">
        <w:rPr>
          <w:noProof/>
        </w:rPr>
        <w:t>avaruusvalvonta- ja maanhavainnointiteknologia</w:t>
      </w:r>
    </w:p>
    <w:p w14:paraId="0617120E" w14:textId="77777777" w:rsidR="00E36985" w:rsidRPr="00703AF7" w:rsidRDefault="00867CE1" w:rsidP="003423BC">
      <w:pPr>
        <w:pStyle w:val="Bullet3"/>
        <w:rPr>
          <w:noProof/>
        </w:rPr>
      </w:pPr>
      <w:r w:rsidRPr="00703AF7">
        <w:rPr>
          <w:noProof/>
        </w:rPr>
        <w:t xml:space="preserve">avaruuspohjainen paikannus, navigointi ja ajanmääritys (PNT) </w:t>
      </w:r>
    </w:p>
    <w:p w14:paraId="3E1C5FEE" w14:textId="77777777" w:rsidR="00E36985" w:rsidRPr="00703AF7" w:rsidRDefault="00867CE1" w:rsidP="003423BC">
      <w:pPr>
        <w:pStyle w:val="Bullet3"/>
        <w:rPr>
          <w:noProof/>
        </w:rPr>
      </w:pPr>
      <w:r w:rsidRPr="00703AF7">
        <w:rPr>
          <w:noProof/>
        </w:rPr>
        <w:t xml:space="preserve">suojattu viestintä, mukaan lukien matalan kiertoradan (LEO) yhteydet </w:t>
      </w:r>
    </w:p>
    <w:p w14:paraId="6198F3D1" w14:textId="77777777" w:rsidR="00867CE1" w:rsidRPr="00703AF7" w:rsidRDefault="00867CE1" w:rsidP="0066433C">
      <w:pPr>
        <w:pStyle w:val="Bullet3"/>
        <w:rPr>
          <w:noProof/>
        </w:rPr>
      </w:pPr>
      <w:r w:rsidRPr="00703AF7">
        <w:rPr>
          <w:noProof/>
        </w:rPr>
        <w:t>käyttövoimateknologia, mukaan lukien hypersooninen teknologia ja komponentit sotilaskäyttöön</w:t>
      </w:r>
    </w:p>
    <w:p w14:paraId="43CE8845" w14:textId="20DFE888" w:rsidR="006A23D4" w:rsidRPr="00703AF7" w:rsidRDefault="00115BA3" w:rsidP="00115BA3">
      <w:pPr>
        <w:pStyle w:val="Point10"/>
        <w:rPr>
          <w:noProof/>
        </w:rPr>
      </w:pPr>
      <w:r w:rsidRPr="00703AF7">
        <w:rPr>
          <w:noProof/>
        </w:rPr>
        <w:t>h.</w:t>
      </w:r>
      <w:r w:rsidRPr="00703AF7">
        <w:rPr>
          <w:noProof/>
        </w:rPr>
        <w:tab/>
        <w:t xml:space="preserve">Energiateknologia: </w:t>
      </w:r>
    </w:p>
    <w:p w14:paraId="654E95C2" w14:textId="77777777" w:rsidR="00E36985" w:rsidRPr="00703AF7" w:rsidRDefault="00867CE1" w:rsidP="003423BC">
      <w:pPr>
        <w:pStyle w:val="Bullet3"/>
        <w:rPr>
          <w:noProof/>
        </w:rPr>
      </w:pPr>
      <w:r w:rsidRPr="00703AF7">
        <w:rPr>
          <w:noProof/>
        </w:rPr>
        <w:t xml:space="preserve">ydinfuusioteknologia, reaktorit ja sähköntuotanto, radiologinen muuntamis-/rikastamis-/kierrätysteknologia </w:t>
      </w:r>
    </w:p>
    <w:p w14:paraId="12D41363" w14:textId="77777777" w:rsidR="00E36985" w:rsidRPr="00703AF7" w:rsidRDefault="00867CE1" w:rsidP="003423BC">
      <w:pPr>
        <w:pStyle w:val="Bullet3"/>
        <w:rPr>
          <w:noProof/>
        </w:rPr>
      </w:pPr>
      <w:r w:rsidRPr="00703AF7">
        <w:rPr>
          <w:noProof/>
        </w:rPr>
        <w:t xml:space="preserve">vety ja uudet polttoaineet </w:t>
      </w:r>
    </w:p>
    <w:p w14:paraId="6CF8839F" w14:textId="77777777" w:rsidR="00E36985" w:rsidRPr="00703AF7" w:rsidRDefault="00867CE1" w:rsidP="003423BC">
      <w:pPr>
        <w:pStyle w:val="Bullet3"/>
        <w:rPr>
          <w:noProof/>
        </w:rPr>
      </w:pPr>
      <w:r w:rsidRPr="00703AF7">
        <w:rPr>
          <w:noProof/>
        </w:rPr>
        <w:t xml:space="preserve">nettonollateknologia, mukaan lukien aurinkosähkö </w:t>
      </w:r>
    </w:p>
    <w:p w14:paraId="14DE4F9E" w14:textId="77777777" w:rsidR="00867CE1" w:rsidRPr="00703AF7" w:rsidRDefault="00867CE1" w:rsidP="0066433C">
      <w:pPr>
        <w:pStyle w:val="Bullet3"/>
        <w:rPr>
          <w:noProof/>
        </w:rPr>
      </w:pPr>
      <w:r w:rsidRPr="00703AF7">
        <w:rPr>
          <w:noProof/>
        </w:rPr>
        <w:t>älykkäät verkot ja energian varastointi, akut</w:t>
      </w:r>
    </w:p>
    <w:p w14:paraId="2FA126C2" w14:textId="59519DDB" w:rsidR="006A23D4" w:rsidRPr="00703AF7" w:rsidRDefault="00FE6FB0" w:rsidP="00FE6FB0">
      <w:pPr>
        <w:pStyle w:val="Point10"/>
        <w:rPr>
          <w:noProof/>
        </w:rPr>
      </w:pPr>
      <w:r w:rsidRPr="00703AF7">
        <w:rPr>
          <w:noProof/>
        </w:rPr>
        <w:t>i.</w:t>
      </w:r>
      <w:r w:rsidRPr="00703AF7">
        <w:rPr>
          <w:noProof/>
        </w:rPr>
        <w:tab/>
        <w:t>Robotiikka ja autonomiset järjestelmät:</w:t>
      </w:r>
    </w:p>
    <w:p w14:paraId="5458A975" w14:textId="77777777" w:rsidR="00E36985" w:rsidRPr="00703AF7" w:rsidRDefault="002476A7" w:rsidP="003423BC">
      <w:pPr>
        <w:pStyle w:val="Bullet3"/>
        <w:rPr>
          <w:noProof/>
        </w:rPr>
      </w:pPr>
      <w:r w:rsidRPr="00703AF7">
        <w:rPr>
          <w:noProof/>
        </w:rPr>
        <w:t xml:space="preserve">droonit ja ajoneuvot (ilma-, maa-, pinta- ja vedenalaiset ajoneuvot) </w:t>
      </w:r>
    </w:p>
    <w:p w14:paraId="6869C432" w14:textId="77777777" w:rsidR="00E36985" w:rsidRPr="00703AF7" w:rsidRDefault="002476A7" w:rsidP="003423BC">
      <w:pPr>
        <w:pStyle w:val="Bullet3"/>
        <w:rPr>
          <w:noProof/>
        </w:rPr>
      </w:pPr>
      <w:r w:rsidRPr="00703AF7">
        <w:rPr>
          <w:noProof/>
        </w:rPr>
        <w:t xml:space="preserve">robotit ja robottiohjatut tarkkuusjärjestelmät </w:t>
      </w:r>
    </w:p>
    <w:p w14:paraId="3C989213" w14:textId="77777777" w:rsidR="00E36985" w:rsidRPr="00703AF7" w:rsidRDefault="002476A7" w:rsidP="003423BC">
      <w:pPr>
        <w:pStyle w:val="Bullet3"/>
        <w:rPr>
          <w:noProof/>
        </w:rPr>
      </w:pPr>
      <w:r w:rsidRPr="00703AF7">
        <w:rPr>
          <w:noProof/>
        </w:rPr>
        <w:t>eksoskeletonit</w:t>
      </w:r>
    </w:p>
    <w:p w14:paraId="4428A98F" w14:textId="77777777" w:rsidR="002476A7" w:rsidRPr="00703AF7" w:rsidRDefault="002476A7" w:rsidP="0066433C">
      <w:pPr>
        <w:pStyle w:val="Bullet3"/>
        <w:rPr>
          <w:noProof/>
        </w:rPr>
      </w:pPr>
      <w:r w:rsidRPr="00703AF7">
        <w:rPr>
          <w:noProof/>
        </w:rPr>
        <w:t>tekoälyä hyödyntävät järjestelmät</w:t>
      </w:r>
    </w:p>
    <w:p w14:paraId="66FDB7CD" w14:textId="7E68004F" w:rsidR="00260D9F" w:rsidRPr="00703AF7" w:rsidRDefault="00115BA3" w:rsidP="00115BA3">
      <w:pPr>
        <w:pStyle w:val="Point10"/>
        <w:rPr>
          <w:noProof/>
        </w:rPr>
      </w:pPr>
      <w:r w:rsidRPr="00703AF7">
        <w:rPr>
          <w:noProof/>
        </w:rPr>
        <w:t>j.</w:t>
      </w:r>
      <w:r w:rsidRPr="00703AF7">
        <w:rPr>
          <w:noProof/>
        </w:rPr>
        <w:tab/>
        <w:t>Kehittynyt materiaali-, valmistus- ja kierrätysteknologia:</w:t>
      </w:r>
    </w:p>
    <w:p w14:paraId="2E81200C" w14:textId="77777777" w:rsidR="00E36985" w:rsidRPr="00703AF7" w:rsidRDefault="00E36985" w:rsidP="003423BC">
      <w:pPr>
        <w:pStyle w:val="Bullet3"/>
        <w:rPr>
          <w:noProof/>
        </w:rPr>
      </w:pPr>
      <w:r w:rsidRPr="00703AF7">
        <w:rPr>
          <w:noProof/>
        </w:rPr>
        <w:t xml:space="preserve">nanomateriaaleihin, älykkäisiin materiaaleihin, kehittyneisiin keraamisiin materiaaleihin, häivetekniikalla (stealth) valmistettuihin materiaaleihin sekä turvallisiksi ja kestäviksi suunniteltuihin materiaaleihin liittyvä teknologia </w:t>
      </w:r>
    </w:p>
    <w:p w14:paraId="2AB72768" w14:textId="77777777" w:rsidR="00E36985" w:rsidRPr="00703AF7" w:rsidRDefault="002476A7" w:rsidP="003423BC">
      <w:pPr>
        <w:pStyle w:val="Bullet3"/>
        <w:rPr>
          <w:noProof/>
        </w:rPr>
      </w:pPr>
      <w:r w:rsidRPr="00703AF7">
        <w:rPr>
          <w:noProof/>
        </w:rPr>
        <w:t xml:space="preserve">materiaalia lisäävä valmistus, myös kentällä </w:t>
      </w:r>
    </w:p>
    <w:p w14:paraId="4F6F795A" w14:textId="77777777" w:rsidR="00E36985" w:rsidRPr="00703AF7" w:rsidRDefault="002476A7" w:rsidP="003423BC">
      <w:pPr>
        <w:pStyle w:val="Bullet3"/>
        <w:rPr>
          <w:noProof/>
        </w:rPr>
      </w:pPr>
      <w:r w:rsidRPr="00703AF7">
        <w:rPr>
          <w:noProof/>
        </w:rPr>
        <w:t xml:space="preserve">digitaaliohjattu mikrotarkkuusvalmistus ja mikrolasertyöstö/-hitsaus </w:t>
      </w:r>
    </w:p>
    <w:p w14:paraId="028F50DC" w14:textId="77777777" w:rsidR="002476A7" w:rsidRPr="00703AF7" w:rsidRDefault="002476A7" w:rsidP="0066433C">
      <w:pPr>
        <w:pStyle w:val="Bullet3"/>
        <w:rPr>
          <w:noProof/>
        </w:rPr>
      </w:pPr>
      <w:r w:rsidRPr="00703AF7">
        <w:rPr>
          <w:noProof/>
        </w:rPr>
        <w:t>kriittisten raaka-aineiden louhinta-, jalostus- ja kierrätysteknologia (mukaan lukien hydrometallurginen louhinta, bioliuotus, nanoteknologiaan perustuva suodatus, sähkökemiallinen prosessointi ja musta massa)</w:t>
      </w:r>
    </w:p>
    <w:p w14:paraId="4F1DAF42" w14:textId="0D91D441" w:rsidR="0012180F" w:rsidRPr="00703AF7" w:rsidRDefault="009C6A69" w:rsidP="009C6A69">
      <w:pPr>
        <w:pStyle w:val="Point0"/>
        <w:rPr>
          <w:noProof/>
        </w:rPr>
      </w:pPr>
      <w:r w:rsidRPr="00703AF7">
        <w:rPr>
          <w:noProof/>
        </w:rPr>
        <w:t>4.</w:t>
      </w:r>
      <w:r w:rsidRPr="00703AF7">
        <w:rPr>
          <w:noProof/>
        </w:rPr>
        <w:tab/>
        <w:t xml:space="preserve">Luetteloon sisältyvät kriittiset lääkkeet: ihmisille tarkoitetut lääkkeet, jotka ovat olennaisen tärkeitä EU:n terveydenhuoltojärjestelmän moitteettoman toiminnan kannalta ja joiden pula johtaisi hoidon keskeytymiseen ja siten vakavaan haittaan potilaille, sellaisina kuin ne on lueteltu </w:t>
      </w:r>
      <w:hyperlink r:id="rId62" w:anchor="ema-inpage-item-64278" w:history="1">
        <w:r w:rsidRPr="00703AF7">
          <w:rPr>
            <w:rStyle w:val="Hyperlink"/>
            <w:noProof/>
          </w:rPr>
          <w:t>unionin kriittisten lääkkeiden luettelossa</w:t>
        </w:r>
      </w:hyperlink>
      <w:r w:rsidRPr="00703AF7">
        <w:rPr>
          <w:rStyle w:val="FootnoteReference"/>
          <w:rFonts w:eastAsia="Calibri"/>
          <w:noProof/>
          <w:color w:val="0000FF"/>
          <w:u w:val="single"/>
        </w:rPr>
        <w:footnoteReference w:id="3"/>
      </w:r>
      <w:r w:rsidRPr="00703AF7">
        <w:rPr>
          <w:noProof/>
        </w:rPr>
        <w:t xml:space="preserve">. </w:t>
      </w:r>
    </w:p>
    <w:p w14:paraId="40D95EAE" w14:textId="19E66ECB" w:rsidR="0033124D" w:rsidRPr="00703AF7" w:rsidRDefault="009C6A69" w:rsidP="009C6A69">
      <w:pPr>
        <w:pStyle w:val="Point0"/>
        <w:rPr>
          <w:noProof/>
        </w:rPr>
      </w:pPr>
      <w:r w:rsidRPr="00703AF7">
        <w:rPr>
          <w:noProof/>
        </w:rPr>
        <w:t>5.</w:t>
      </w:r>
      <w:r w:rsidRPr="00703AF7">
        <w:rPr>
          <w:noProof/>
        </w:rPr>
        <w:tab/>
        <w:t>Seuraavat unionin rahoitusjärjestelmän kriittiset toimijat ja toiminnot: keskusvastapuolet</w:t>
      </w:r>
      <w:r w:rsidRPr="00703AF7">
        <w:rPr>
          <w:rStyle w:val="FootnoteReference"/>
          <w:rFonts w:eastAsia="Calibri"/>
          <w:noProof/>
        </w:rPr>
        <w:footnoteReference w:id="4"/>
      </w:r>
      <w:r w:rsidRPr="00703AF7">
        <w:rPr>
          <w:noProof/>
        </w:rPr>
        <w:t>, maksujärjestelmät ja maksulaitokset</w:t>
      </w:r>
      <w:r w:rsidRPr="00703AF7">
        <w:rPr>
          <w:rStyle w:val="FootnoteReference"/>
          <w:noProof/>
        </w:rPr>
        <w:footnoteReference w:id="5"/>
      </w:r>
      <w:r w:rsidRPr="00703AF7">
        <w:rPr>
          <w:noProof/>
        </w:rPr>
        <w:t>, sähköisen rahan liikkeeseenlaskijalaitokset</w:t>
      </w:r>
      <w:r w:rsidRPr="00703AF7">
        <w:rPr>
          <w:rStyle w:val="FootnoteReference"/>
          <w:rFonts w:eastAsia="Calibri"/>
          <w:noProof/>
        </w:rPr>
        <w:footnoteReference w:id="6"/>
      </w:r>
      <w:r w:rsidRPr="00703AF7">
        <w:rPr>
          <w:noProof/>
        </w:rPr>
        <w:t>, markkinatoimijat ja sijoituspalveluyritykset, jotka toimivat monenkeskisessä kaupankäyntijärjestelmässä tai organisoidussa kaupankäyntijärjestelmässä</w:t>
      </w:r>
      <w:r w:rsidRPr="00703AF7">
        <w:rPr>
          <w:rStyle w:val="FootnoteReference"/>
          <w:rFonts w:eastAsia="Calibri"/>
          <w:noProof/>
        </w:rPr>
        <w:footnoteReference w:id="7"/>
      </w:r>
      <w:r w:rsidRPr="00703AF7">
        <w:rPr>
          <w:noProof/>
        </w:rPr>
        <w:t>, arvopaperikeskukset</w:t>
      </w:r>
      <w:r w:rsidRPr="00703AF7">
        <w:rPr>
          <w:rStyle w:val="FootnoteReference"/>
          <w:rFonts w:eastAsia="Calibri"/>
          <w:noProof/>
        </w:rPr>
        <w:footnoteReference w:id="8"/>
      </w:r>
      <w:r w:rsidRPr="00703AF7">
        <w:rPr>
          <w:noProof/>
        </w:rPr>
        <w:t>, merkittävät omaisuusrefenssitokenien tai sähkörahatokenien liikkeeseenlaskijat ja kryptovarapalvelun tarjoajat, jotka toimivat kryptovarojen kaupankäyntialustoilla</w:t>
      </w:r>
      <w:r w:rsidRPr="00703AF7">
        <w:rPr>
          <w:rStyle w:val="FootnoteReference"/>
          <w:rFonts w:eastAsia="Calibri"/>
          <w:noProof/>
        </w:rPr>
        <w:footnoteReference w:id="9"/>
      </w:r>
      <w:r w:rsidRPr="00703AF7">
        <w:rPr>
          <w:noProof/>
        </w:rPr>
        <w:t>, suuret laitokset</w:t>
      </w:r>
      <w:r w:rsidRPr="00703AF7">
        <w:rPr>
          <w:rStyle w:val="FootnoteReference"/>
          <w:rFonts w:eastAsia="Calibri"/>
          <w:noProof/>
        </w:rPr>
        <w:footnoteReference w:id="10"/>
      </w:r>
      <w:r w:rsidRPr="00703AF7">
        <w:rPr>
          <w:noProof/>
        </w:rPr>
        <w:t>, globaalit erikoistuneiden rahaliikenteen sanomanvälityspalvelujen tarjoajat ja nimetyt kriittiset TVT-palveluntarjoajana olevat kolmannet osapuolet</w:t>
      </w:r>
      <w:r w:rsidRPr="00703AF7">
        <w:rPr>
          <w:rStyle w:val="FootnoteReference"/>
          <w:rFonts w:eastAsia="Calibri"/>
          <w:noProof/>
        </w:rPr>
        <w:footnoteReference w:id="11"/>
      </w:r>
      <w:r w:rsidRPr="00703AF7">
        <w:rPr>
          <w:noProof/>
        </w:rPr>
        <w:t>.</w:t>
      </w:r>
    </w:p>
    <w:sectPr w:rsidR="0033124D" w:rsidRPr="00703AF7" w:rsidSect="00B40168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FE3F1" w14:textId="77777777" w:rsidR="0086583F" w:rsidRDefault="0086583F" w:rsidP="00455B3D">
      <w:pPr>
        <w:spacing w:before="0" w:after="0"/>
      </w:pPr>
      <w:r>
        <w:separator/>
      </w:r>
    </w:p>
  </w:endnote>
  <w:endnote w:type="continuationSeparator" w:id="0">
    <w:p w14:paraId="23B1AB1D" w14:textId="77777777" w:rsidR="0086583F" w:rsidRDefault="0086583F" w:rsidP="00455B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CF8B2" w14:textId="277AE5C8" w:rsidR="00B40168" w:rsidRPr="00B40168" w:rsidRDefault="00B40168" w:rsidP="00B40168">
    <w:pPr>
      <w:pStyle w:val="Footer"/>
      <w:rPr>
        <w:rFonts w:ascii="Arial" w:hAnsi="Arial" w:cs="Arial"/>
        <w:b/>
        <w:sz w:val="48"/>
      </w:rPr>
    </w:pPr>
    <w:r w:rsidRPr="00B40168">
      <w:rPr>
        <w:rFonts w:ascii="Arial" w:hAnsi="Arial" w:cs="Arial"/>
        <w:b/>
        <w:sz w:val="48"/>
      </w:rPr>
      <w:t>FI</w:t>
    </w:r>
    <w:r w:rsidRPr="00B40168">
      <w:rPr>
        <w:rFonts w:ascii="Arial" w:hAnsi="Arial" w:cs="Arial"/>
        <w:b/>
        <w:sz w:val="48"/>
      </w:rPr>
      <w:tab/>
    </w:r>
    <w:r w:rsidRPr="00B40168">
      <w:rPr>
        <w:rFonts w:ascii="Arial" w:hAnsi="Arial" w:cs="Arial"/>
        <w:b/>
        <w:sz w:val="48"/>
      </w:rPr>
      <w:tab/>
    </w:r>
    <w:r w:rsidRPr="00B40168">
      <w:tab/>
    </w:r>
    <w:r w:rsidRPr="00B40168">
      <w:rPr>
        <w:rFonts w:ascii="Arial" w:hAnsi="Arial" w:cs="Arial"/>
        <w:b/>
        <w:sz w:val="48"/>
      </w:rPr>
      <w:t>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88261" w14:textId="5F209043" w:rsidR="00B40168" w:rsidRPr="00B40168" w:rsidRDefault="00B40168" w:rsidP="00B40168">
    <w:pPr>
      <w:pStyle w:val="Footer"/>
      <w:rPr>
        <w:rFonts w:ascii="Arial" w:hAnsi="Arial" w:cs="Arial"/>
        <w:b/>
        <w:sz w:val="48"/>
      </w:rPr>
    </w:pPr>
    <w:r w:rsidRPr="00B40168">
      <w:rPr>
        <w:rFonts w:ascii="Arial" w:hAnsi="Arial" w:cs="Arial"/>
        <w:b/>
        <w:sz w:val="48"/>
      </w:rPr>
      <w:t>FI</w:t>
    </w:r>
    <w:r w:rsidRPr="00B40168">
      <w:rPr>
        <w:rFonts w:ascii="Arial" w:hAnsi="Arial" w:cs="Arial"/>
        <w:b/>
        <w:sz w:val="48"/>
      </w:rPr>
      <w:tab/>
    </w:r>
    <w:r w:rsidRPr="00B40168">
      <w:rPr>
        <w:rFonts w:ascii="Arial" w:hAnsi="Arial" w:cs="Arial"/>
        <w:b/>
        <w:sz w:val="48"/>
      </w:rPr>
      <w:tab/>
    </w:r>
    <w:r w:rsidRPr="00B40168">
      <w:tab/>
    </w:r>
    <w:r w:rsidRPr="00B40168">
      <w:rPr>
        <w:rFonts w:ascii="Arial" w:hAnsi="Arial" w:cs="Arial"/>
        <w:b/>
        <w:sz w:val="48"/>
      </w:rPr>
      <w:t>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4A40" w14:textId="77777777" w:rsidR="00B40168" w:rsidRPr="00B40168" w:rsidRDefault="00B40168" w:rsidP="00B4016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A0296" w14:textId="77777777" w:rsidR="00B40168" w:rsidRDefault="00B4016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B51B6" w14:textId="34D011D9" w:rsidR="00B40168" w:rsidRPr="00B40168" w:rsidRDefault="00B40168" w:rsidP="00B40168">
    <w:pPr>
      <w:pStyle w:val="Footer"/>
      <w:rPr>
        <w:rFonts w:ascii="Arial" w:hAnsi="Arial" w:cs="Arial"/>
        <w:b/>
        <w:sz w:val="48"/>
      </w:rPr>
    </w:pPr>
    <w:r w:rsidRPr="00B40168">
      <w:rPr>
        <w:rFonts w:ascii="Arial" w:hAnsi="Arial" w:cs="Arial"/>
        <w:b/>
        <w:sz w:val="48"/>
      </w:rPr>
      <w:t>FI</w:t>
    </w:r>
    <w:r w:rsidRPr="00B40168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B40168">
      <w:tab/>
    </w:r>
    <w:r w:rsidRPr="00B40168">
      <w:rPr>
        <w:rFonts w:ascii="Arial" w:hAnsi="Arial" w:cs="Arial"/>
        <w:b/>
        <w:sz w:val="48"/>
      </w:rPr>
      <w:t>FI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B96E2" w14:textId="77777777" w:rsidR="00B40168" w:rsidRDefault="00B40168" w:rsidP="00B40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DE599" w14:textId="77777777" w:rsidR="0086583F" w:rsidRDefault="0086583F" w:rsidP="00455B3D">
      <w:pPr>
        <w:spacing w:before="0" w:after="0"/>
      </w:pPr>
      <w:r>
        <w:separator/>
      </w:r>
    </w:p>
  </w:footnote>
  <w:footnote w:type="continuationSeparator" w:id="0">
    <w:p w14:paraId="7D732449" w14:textId="77777777" w:rsidR="0086583F" w:rsidRDefault="0086583F" w:rsidP="00455B3D">
      <w:pPr>
        <w:spacing w:before="0" w:after="0"/>
      </w:pPr>
      <w:r>
        <w:continuationSeparator/>
      </w:r>
    </w:p>
  </w:footnote>
  <w:footnote w:id="1">
    <w:p w14:paraId="7E30D24A" w14:textId="77777777" w:rsidR="00FE50F6" w:rsidRPr="003A4F2D" w:rsidRDefault="00FE50F6">
      <w:pPr>
        <w:pStyle w:val="FootnoteText"/>
      </w:pPr>
      <w:r>
        <w:rPr>
          <w:rStyle w:val="FootnoteReference"/>
        </w:rPr>
        <w:footnoteRef/>
      </w:r>
      <w:r>
        <w:tab/>
        <w:t>Asetus (EU) N:o 283/2014 säilytetään tässä liitteessä Verkkojen Eurooppa -välineestä ja asetusten (EU) N:o 1316/2013 ja (EU) N:o 283/2014 kumoamisesta annetun asetuksen (EU) 2021/1153 27 artiklan 2 kohdan nojalla.</w:t>
      </w:r>
    </w:p>
  </w:footnote>
  <w:footnote w:id="2">
    <w:p w14:paraId="32005C97" w14:textId="77777777" w:rsidR="00084711" w:rsidRPr="00084711" w:rsidRDefault="00084711">
      <w:pPr>
        <w:pStyle w:val="FootnoteText"/>
      </w:pPr>
      <w:r>
        <w:rPr>
          <w:rStyle w:val="FootnoteReference"/>
        </w:rPr>
        <w:footnoteRef/>
      </w:r>
      <w:r>
        <w:tab/>
      </w:r>
      <w:hyperlink r:id="rId1" w:history="1">
        <w:r>
          <w:rPr>
            <w:rStyle w:val="Hyperlink"/>
          </w:rPr>
          <w:t>https://competition-policy.ec.europa.eu/state-aid/ipcei/approved-ipceis_en</w:t>
        </w:r>
      </w:hyperlink>
      <w:r>
        <w:t xml:space="preserve"> </w:t>
      </w:r>
    </w:p>
  </w:footnote>
  <w:footnote w:id="3">
    <w:p w14:paraId="52ECE27F" w14:textId="77777777" w:rsidR="00866524" w:rsidRPr="00866524" w:rsidRDefault="00866524">
      <w:pPr>
        <w:pStyle w:val="FootnoteText"/>
      </w:pPr>
      <w:r>
        <w:rPr>
          <w:rStyle w:val="FootnoteReference"/>
        </w:rPr>
        <w:footnoteRef/>
      </w:r>
      <w:r>
        <w:tab/>
        <w:t xml:space="preserve">Unionin luettelo kriittisistä lääkkeistä </w:t>
      </w:r>
      <w:hyperlink r:id="rId2" w:anchor="ema-inpage-item-64278" w:history="1">
        <w:r>
          <w:rPr>
            <w:rStyle w:val="Hyperlink"/>
          </w:rPr>
          <w:t>https://www.ema.europa.eu/en/human-regulatory-overview/post-authorisation/medicine-shortages-and-availability-issues/availability-critical-medicines#ema-inpage-item-64278</w:t>
        </w:r>
      </w:hyperlink>
      <w:r>
        <w:t xml:space="preserve"> </w:t>
      </w:r>
    </w:p>
  </w:footnote>
  <w:footnote w:id="4">
    <w:p w14:paraId="64BA1394" w14:textId="77777777" w:rsidR="006E7705" w:rsidRPr="006E7705" w:rsidRDefault="006E7705">
      <w:pPr>
        <w:pStyle w:val="FootnoteText"/>
      </w:pPr>
      <w:r>
        <w:rPr>
          <w:rStyle w:val="FootnoteReference"/>
        </w:rPr>
        <w:footnoteRef/>
      </w:r>
      <w:r>
        <w:tab/>
        <w:t>Euroopan parlamentin ja neuvoston asetus (EU) N:o 648/2012, annettu 4 päivänä heinäkuuta 2012, OTC-johdannaisista, keskusvastapuolista ja kauppatietorekistereistä; 2 artiklan 1 kohta (</w:t>
      </w:r>
      <w:hyperlink r:id="rId3" w:history="1">
        <w:r>
          <w:rPr>
            <w:rStyle w:val="Hyperlink"/>
          </w:rPr>
          <w:t>EUVL L 201, 27.7.2012, s. 1</w:t>
        </w:r>
      </w:hyperlink>
      <w:r>
        <w:t xml:space="preserve">, ELI: </w:t>
      </w:r>
      <w:hyperlink r:id="rId4" w:tooltip="Gives access to this document through its ELI URI." w:history="1">
        <w:r>
          <w:rPr>
            <w:rStyle w:val="Hyperlink"/>
          </w:rPr>
          <w:t>http://data.europa.eu/eli/reg/2012/648/oj</w:t>
        </w:r>
      </w:hyperlink>
      <w:r>
        <w:t xml:space="preserve">). </w:t>
      </w:r>
    </w:p>
  </w:footnote>
  <w:footnote w:id="5">
    <w:p w14:paraId="518DEEC1" w14:textId="77777777" w:rsidR="0071147F" w:rsidRPr="00666385" w:rsidRDefault="0071147F" w:rsidP="0071147F">
      <w:pPr>
        <w:pStyle w:val="FootnoteText"/>
      </w:pPr>
      <w:r>
        <w:rPr>
          <w:rStyle w:val="FootnoteReference"/>
        </w:rPr>
        <w:footnoteRef/>
      </w:r>
      <w:r>
        <w:tab/>
        <w:t>Euroopan parlamentin ja neuvoston direktiivi (EU) 2015/2366, annettu 25 päivänä marraskuuta 2015, maksupalveluista sisämarkkinoilla, direktiivien 2002/65/EY, 2009/110/EY ja 2013/36/EU ja asetuksen (EU) N:o 1093/2010 muuttamisesta sekä direktiivin 2007/64/EY kumoamisesta; 4 artiklan 7 kohta ja 4 kohta (</w:t>
      </w:r>
      <w:hyperlink r:id="rId5" w:history="1">
        <w:r>
          <w:rPr>
            <w:rStyle w:val="Hyperlink"/>
          </w:rPr>
          <w:t>EUVL L 337, 23.12.2015, s. 35</w:t>
        </w:r>
      </w:hyperlink>
      <w:r>
        <w:t xml:space="preserve">, ELI: </w:t>
      </w:r>
      <w:hyperlink r:id="rId6" w:tooltip="Gives access to this document through its ELI URI." w:history="1">
        <w:r>
          <w:rPr>
            <w:rStyle w:val="Hyperlink"/>
          </w:rPr>
          <w:t>http://data.europa.eu/eli/dir/2015/2366/oj</w:t>
        </w:r>
      </w:hyperlink>
      <w:r>
        <w:t>).</w:t>
      </w:r>
    </w:p>
  </w:footnote>
  <w:footnote w:id="6">
    <w:p w14:paraId="4D0D41B9" w14:textId="77777777" w:rsidR="0071147F" w:rsidRPr="0071147F" w:rsidRDefault="0071147F">
      <w:pPr>
        <w:pStyle w:val="FootnoteText"/>
      </w:pPr>
      <w:r>
        <w:rPr>
          <w:rStyle w:val="FootnoteReference"/>
        </w:rPr>
        <w:footnoteRef/>
      </w:r>
      <w:r>
        <w:tab/>
        <w:t>Euroopan parlamentin ja neuvoston direktiivi 2009/110/EY, annettu 16 päivänä syyskuuta 2009, sähköisen rahan liikkeeseenlaskijalaitosten liiketoiminnan aloittamisesta, harjoittamisesta ja toiminnan vakauden valvonnasta, direktiivien 2005/60/EY ja 2006/48/EY muuttamisesta sekä direktiivin 2000/46/EY kumoamisesta; 2 artiklan 1 kohta (</w:t>
      </w:r>
      <w:hyperlink r:id="rId7" w:history="1">
        <w:r>
          <w:rPr>
            <w:rStyle w:val="Hyperlink"/>
          </w:rPr>
          <w:t>EUVL L 267, 10.10.2009, s. 7</w:t>
        </w:r>
      </w:hyperlink>
      <w:r>
        <w:t xml:space="preserve">, ELI: </w:t>
      </w:r>
      <w:hyperlink r:id="rId8" w:tooltip="Gives access to this document through its ELI URI." w:history="1">
        <w:r>
          <w:rPr>
            <w:rStyle w:val="Hyperlink"/>
          </w:rPr>
          <w:t>http://data.europa.eu/eli/dir/2009/110/oj</w:t>
        </w:r>
      </w:hyperlink>
      <w:r>
        <w:t>).</w:t>
      </w:r>
    </w:p>
  </w:footnote>
  <w:footnote w:id="7">
    <w:p w14:paraId="109F275C" w14:textId="77777777" w:rsidR="0071147F" w:rsidRPr="0071147F" w:rsidRDefault="0071147F">
      <w:pPr>
        <w:pStyle w:val="FootnoteText"/>
      </w:pPr>
      <w:r>
        <w:rPr>
          <w:rStyle w:val="FootnoteReference"/>
        </w:rPr>
        <w:footnoteRef/>
      </w:r>
      <w:r>
        <w:tab/>
        <w:t>Euroopan parlamentin ja neuvoston direktiivi 2014/65/EU, annettu 15 päivänä toukokuuta 2014, rahoitusvälineiden markkinoista sekä direktiivin 2002/92/EY ja direktiivin 2011/61/EU muuttamisesta; 4 artiklan 1 kohdan 18 alakohta (</w:t>
      </w:r>
      <w:hyperlink r:id="rId9" w:history="1">
        <w:r>
          <w:rPr>
            <w:rStyle w:val="Hyperlink"/>
          </w:rPr>
          <w:t>EUVL L 173, 12.6.2014, s. 349</w:t>
        </w:r>
      </w:hyperlink>
      <w:r>
        <w:t xml:space="preserve">, ELI: </w:t>
      </w:r>
      <w:hyperlink r:id="rId10" w:tooltip="Gives access to this document through its ELI URI." w:history="1">
        <w:r>
          <w:rPr>
            <w:rStyle w:val="Hyperlink"/>
          </w:rPr>
          <w:t>http://data.europa.eu/eli/dir/2014/65/oj</w:t>
        </w:r>
      </w:hyperlink>
      <w:r>
        <w:t>).</w:t>
      </w:r>
    </w:p>
  </w:footnote>
  <w:footnote w:id="8">
    <w:p w14:paraId="44B59D08" w14:textId="77777777" w:rsidR="00692DAC" w:rsidRPr="00692DAC" w:rsidRDefault="00692DAC">
      <w:pPr>
        <w:pStyle w:val="FootnoteText"/>
      </w:pPr>
      <w:r>
        <w:rPr>
          <w:rStyle w:val="FootnoteReference"/>
        </w:rPr>
        <w:footnoteRef/>
      </w:r>
      <w:r>
        <w:tab/>
        <w:t>Euroopan parlamentin ja neuvoston asetuksen (EU) N:o 909/2014, annettu 23 päivänä heinäkuuta 2014, arvopaperitoimituksen parantamisesta Euroopan unionissa sekä arvopaperikeskuksista ja direktiivien 98/26/EY ja 2014/65/EU sekä asetuksen (EU) N:o 236/2012 muuttamisesta; 2 artiklan 1 kohdan 1 alakohta (</w:t>
      </w:r>
      <w:hyperlink r:id="rId11" w:history="1">
        <w:r>
          <w:rPr>
            <w:rStyle w:val="Hyperlink"/>
          </w:rPr>
          <w:t>EUVL L 257, 28.8.2014, s. 1</w:t>
        </w:r>
      </w:hyperlink>
      <w:r>
        <w:t xml:space="preserve">, ELI: </w:t>
      </w:r>
      <w:hyperlink r:id="rId12" w:tooltip="Gives access to this document through its ELI URI." w:history="1">
        <w:r>
          <w:rPr>
            <w:rStyle w:val="Hyperlink"/>
          </w:rPr>
          <w:t>http://data.europa.eu/eli/reg/2014/909/oj</w:t>
        </w:r>
      </w:hyperlink>
      <w:r>
        <w:t>).</w:t>
      </w:r>
    </w:p>
  </w:footnote>
  <w:footnote w:id="9">
    <w:p w14:paraId="065626FC" w14:textId="77777777" w:rsidR="00C37034" w:rsidRPr="00C37034" w:rsidRDefault="00C37034">
      <w:pPr>
        <w:pStyle w:val="FootnoteText"/>
      </w:pPr>
      <w:r>
        <w:rPr>
          <w:rStyle w:val="FootnoteReference"/>
        </w:rPr>
        <w:footnoteRef/>
      </w:r>
      <w:r>
        <w:tab/>
        <w:t>Euroopan parlamentin ja neuvoston asetus (EU) 2023/1114, annettu 31 päivänä toukokuuta 2023, kryptovarojen markkinoista sekä asetusten (EU) N:o 1093/2010 ja (EU) N:o 1095/2010 ja direktiivien 2013/36/EU ja (EU) 2019/1937 muuttamisesta; 3 artiklan 1 kohdan 6, 7, 10, 15 ja 18 alakohta (</w:t>
      </w:r>
      <w:hyperlink r:id="rId13" w:history="1">
        <w:r>
          <w:rPr>
            <w:rStyle w:val="Hyperlink"/>
          </w:rPr>
          <w:t>EUVL L 150, 9.6.2023, s. 40</w:t>
        </w:r>
      </w:hyperlink>
      <w:r>
        <w:t>, ELI:</w:t>
      </w:r>
      <w:r>
        <w:rPr>
          <w:sz w:val="24"/>
        </w:rPr>
        <w:t xml:space="preserve"> </w:t>
      </w:r>
      <w:hyperlink r:id="rId14" w:tooltip="Gives access to this document through its ELI URI." w:history="1">
        <w:r>
          <w:rPr>
            <w:rStyle w:val="Hyperlink"/>
          </w:rPr>
          <w:t>http://data.europa.eu/eli/reg/2023/1114/oj</w:t>
        </w:r>
      </w:hyperlink>
      <w:r>
        <w:t xml:space="preserve">). </w:t>
      </w:r>
    </w:p>
  </w:footnote>
  <w:footnote w:id="10">
    <w:p w14:paraId="32223451" w14:textId="77777777" w:rsidR="00970E5B" w:rsidRPr="00970E5B" w:rsidRDefault="00970E5B">
      <w:pPr>
        <w:pStyle w:val="FootnoteText"/>
      </w:pPr>
      <w:r>
        <w:rPr>
          <w:rStyle w:val="FootnoteReference"/>
        </w:rPr>
        <w:footnoteRef/>
      </w:r>
      <w:r>
        <w:tab/>
        <w:t>Euroopan parlamentin ja neuvoston asetus (EU) N:o 575/2013, annettu 26 päivänä kesäkuuta 2013, luottolaitosten ja sijoituspalveluyritysten vakavaraisuusvaatimuksista ja asetuksen (EU) N:o 648/2012 muuttamisesta; 4 artiklan 1 kohdan 146 alakohta (</w:t>
      </w:r>
      <w:hyperlink r:id="rId15" w:history="1">
        <w:r>
          <w:rPr>
            <w:rStyle w:val="Hyperlink"/>
          </w:rPr>
          <w:t>EUVL L 176, 27.6.2013, s. 1</w:t>
        </w:r>
      </w:hyperlink>
      <w:r>
        <w:t xml:space="preserve">, ELI: </w:t>
      </w:r>
      <w:hyperlink r:id="rId16" w:tooltip="Gives access to this document through its ELI URI." w:history="1">
        <w:r>
          <w:rPr>
            <w:rStyle w:val="Hyperlink"/>
          </w:rPr>
          <w:t>http://data.europa.eu/eli/reg/2013/575/oj</w:t>
        </w:r>
      </w:hyperlink>
      <w:r>
        <w:t>).</w:t>
      </w:r>
    </w:p>
  </w:footnote>
  <w:footnote w:id="11">
    <w:p w14:paraId="653DC5B0" w14:textId="77777777" w:rsidR="00A01FFD" w:rsidRDefault="00970E5B" w:rsidP="00293738">
      <w:pPr>
        <w:pStyle w:val="FootnoteText"/>
      </w:pPr>
      <w:r>
        <w:rPr>
          <w:rStyle w:val="FootnoteReference"/>
        </w:rPr>
        <w:footnoteRef/>
      </w:r>
      <w:r>
        <w:tab/>
        <w:t>Euroopan parlamentin ja neuvoston asetus (EU) 2022/2554, annettu 14 päivänä joulukuuta 2022, finanssialan digitaalisesta häiriönsietokyvystä ja asetusten (EY) N:o 1060/2009, (EU) N:o 648/2012, (EU) N:o 600/2014, (EU) N:o 909/2014 ja (EU) 2016/1011 muuttamisesta; 3 artiklan 23 kohta (</w:t>
      </w:r>
      <w:hyperlink r:id="rId17" w:history="1">
        <w:r>
          <w:rPr>
            <w:rStyle w:val="Hyperlink"/>
          </w:rPr>
          <w:t>EUVL L 333, 27.12.2022, s. 1</w:t>
        </w:r>
      </w:hyperlink>
      <w:r>
        <w:t xml:space="preserve">, ELI: </w:t>
      </w:r>
      <w:hyperlink r:id="rId18" w:tooltip="Gives access to this document through its ELI URI." w:history="1">
        <w:r>
          <w:rPr>
            <w:rStyle w:val="Hyperlink"/>
          </w:rPr>
          <w:t>http://data.europa.eu/eli/reg/2022/2554/oj</w:t>
        </w:r>
      </w:hyperlink>
      <w:r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FA3AC" w14:textId="77777777" w:rsidR="00B40168" w:rsidRPr="00B40168" w:rsidRDefault="00B40168" w:rsidP="00B401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263F4" w14:textId="77777777" w:rsidR="00B40168" w:rsidRPr="00B40168" w:rsidRDefault="00B40168" w:rsidP="00B401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B5A65" w14:textId="77777777" w:rsidR="00B40168" w:rsidRPr="00B40168" w:rsidRDefault="00B40168" w:rsidP="00B4016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4288" w14:textId="77777777" w:rsidR="00B40168" w:rsidRDefault="00B4016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6F5C3" w14:textId="77777777" w:rsidR="00B40168" w:rsidRDefault="00B40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35CF68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F2E625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4B482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D84A2B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7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1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 w15:restartNumberingAfterBreak="0">
    <w:nsid w:val="542A1204"/>
    <w:multiLevelType w:val="multilevel"/>
    <w:tmpl w:val="BC1E8404"/>
    <w:lvl w:ilvl="0">
      <w:start w:val="1"/>
      <w:numFmt w:val="decimal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4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5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9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16"/>
  </w:num>
  <w:num w:numId="9">
    <w:abstractNumId w:val="8"/>
  </w:num>
  <w:num w:numId="10">
    <w:abstractNumId w:val="18"/>
  </w:num>
  <w:num w:numId="11">
    <w:abstractNumId w:val="7"/>
  </w:num>
  <w:num w:numId="12">
    <w:abstractNumId w:val="9"/>
  </w:num>
  <w:num w:numId="13">
    <w:abstractNumId w:val="10"/>
  </w:num>
  <w:num w:numId="14">
    <w:abstractNumId w:val="5"/>
  </w:num>
  <w:num w:numId="15">
    <w:abstractNumId w:val="17"/>
  </w:num>
  <w:num w:numId="16">
    <w:abstractNumId w:val="4"/>
  </w:num>
  <w:num w:numId="17">
    <w:abstractNumId w:val="11"/>
  </w:num>
  <w:num w:numId="18">
    <w:abstractNumId w:val="14"/>
  </w:num>
  <w:num w:numId="19">
    <w:abstractNumId w:val="15"/>
  </w:num>
  <w:num w:numId="20">
    <w:abstractNumId w:val="6"/>
  </w:num>
  <w:num w:numId="21">
    <w:abstractNumId w:val="13"/>
  </w:num>
  <w:num w:numId="22">
    <w:abstractNumId w:val="19"/>
  </w:num>
  <w:num w:numId="23">
    <w:abstractNumId w:val="16"/>
  </w:num>
  <w:num w:numId="24">
    <w:abstractNumId w:val="8"/>
  </w:num>
  <w:num w:numId="25">
    <w:abstractNumId w:val="18"/>
  </w:num>
  <w:num w:numId="26">
    <w:abstractNumId w:val="7"/>
  </w:num>
  <w:num w:numId="27">
    <w:abstractNumId w:val="9"/>
  </w:num>
  <w:num w:numId="28">
    <w:abstractNumId w:val="10"/>
  </w:num>
  <w:num w:numId="29">
    <w:abstractNumId w:val="5"/>
  </w:num>
  <w:num w:numId="30">
    <w:abstractNumId w:val="17"/>
  </w:num>
  <w:num w:numId="31">
    <w:abstractNumId w:val="4"/>
  </w:num>
  <w:num w:numId="32">
    <w:abstractNumId w:val="11"/>
  </w:num>
  <w:num w:numId="33">
    <w:abstractNumId w:val="14"/>
  </w:num>
  <w:num w:numId="34">
    <w:abstractNumId w:val="15"/>
  </w:num>
  <w:num w:numId="35">
    <w:abstractNumId w:val="6"/>
  </w:num>
  <w:num w:numId="36">
    <w:abstractNumId w:val="13"/>
  </w:num>
  <w:num w:numId="37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4-03-04 15:44:22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ACCOMPAGNANT" w:val="asiakirjaan"/>
    <w:docVar w:name="LW_ACCOMPAGNANT.CP" w:val="asiakirjaan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8AB1F26F-AEB7-4565-8D65-4DAD18B32807"/>
    <w:docVar w:name="LW_COVERPAGE_TYPE" w:val="1"/>
    <w:docVar w:name="LW_CROSSREFERENCE" w:val="{SWD(2024) 23 final} - {SWD(2024) 24 final}"/>
    <w:docVar w:name="LW_DocType" w:val="ANNEX"/>
    <w:docVar w:name="LW_EMISSION" w:val="24.1.2024"/>
    <w:docVar w:name="LW_EMISSION_ISODATE" w:val="2024-01-24"/>
    <w:docVar w:name="LW_EMISSION_LOCATION" w:val="BRX"/>
    <w:docVar w:name="LW_EMISSION_PREFIX" w:val="Bryssel "/>
    <w:docVar w:name="LW_EMISSION_SUFFIX" w:val=" "/>
    <w:docVar w:name="LW_ID_DOCSTRUCTURE" w:val="COM/ANNEX"/>
    <w:docVar w:name="LW_ID_DOCTYPE" w:val="SG-017"/>
    <w:docVar w:name="LW_LANGUE" w:val="FI"/>
    <w:docVar w:name="LW_LEVEL_OF_SENSITIVITY" w:val="Standard treatment"/>
    <w:docVar w:name="LW_NOM.INST" w:val="EUROOPAN KOMISSIO"/>
    <w:docVar w:name="LW_NOM.INST_JOINTDOC" w:val="&lt;EMPTY&gt;"/>
    <w:docVar w:name="LW_OBJETACTEPRINCIPAL" w:val="ulkomaisten sijoitusten seurannasta unionissa ja Euroopan parlamentin ja neuvoston asetuksen (EU) 2019/452 kumoamisesta"/>
    <w:docVar w:name="LW_OBJETACTEPRINCIPAL.CP" w:val="ulkomaisten sijoitusten seurannasta unionissa ja Euroopan parlamentin ja neuvoston asetuksen (EU) 2019/452 kumoamisesta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4) 2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LIITTEET"/>
    <w:docVar w:name="LW_TYPE.DOC.CP" w:val="LIITTEET"/>
    <w:docVar w:name="LW_TYPEACTEPRINCIPAL" w:val="ehdotus Euroopan parlamentin ja neuvoston asetukseksi"/>
    <w:docVar w:name="LW_TYPEACTEPRINCIPAL.CP" w:val="ehdotus Euroopan parlamentin ja neuvoston asetukseksi"/>
    <w:docVar w:name="LwApiVersions" w:val="LW4CoDe 1.24.5.0; LW 9.0, Build 20240221"/>
  </w:docVars>
  <w:rsids>
    <w:rsidRoot w:val="00455B3D"/>
    <w:rsid w:val="0001013B"/>
    <w:rsid w:val="00016544"/>
    <w:rsid w:val="0004535A"/>
    <w:rsid w:val="0004777D"/>
    <w:rsid w:val="00061791"/>
    <w:rsid w:val="00064236"/>
    <w:rsid w:val="00067596"/>
    <w:rsid w:val="00072CD2"/>
    <w:rsid w:val="00084248"/>
    <w:rsid w:val="00084711"/>
    <w:rsid w:val="00087377"/>
    <w:rsid w:val="000D13E7"/>
    <w:rsid w:val="00115BA3"/>
    <w:rsid w:val="0012180F"/>
    <w:rsid w:val="00144C86"/>
    <w:rsid w:val="00161A4E"/>
    <w:rsid w:val="00165C4F"/>
    <w:rsid w:val="0019366C"/>
    <w:rsid w:val="001A1E4B"/>
    <w:rsid w:val="001A2C88"/>
    <w:rsid w:val="001A5EC1"/>
    <w:rsid w:val="001B0211"/>
    <w:rsid w:val="001D4428"/>
    <w:rsid w:val="001F343E"/>
    <w:rsid w:val="00215295"/>
    <w:rsid w:val="00227599"/>
    <w:rsid w:val="0023033B"/>
    <w:rsid w:val="0023283B"/>
    <w:rsid w:val="00236492"/>
    <w:rsid w:val="0024053E"/>
    <w:rsid w:val="002476A7"/>
    <w:rsid w:val="002519D8"/>
    <w:rsid w:val="00260D9F"/>
    <w:rsid w:val="00277BB2"/>
    <w:rsid w:val="00280547"/>
    <w:rsid w:val="00293738"/>
    <w:rsid w:val="002943EE"/>
    <w:rsid w:val="002A7CE4"/>
    <w:rsid w:val="002B4EAD"/>
    <w:rsid w:val="002B6651"/>
    <w:rsid w:val="002C40B3"/>
    <w:rsid w:val="002C71A1"/>
    <w:rsid w:val="002E703E"/>
    <w:rsid w:val="002F1E28"/>
    <w:rsid w:val="00300227"/>
    <w:rsid w:val="00311975"/>
    <w:rsid w:val="0033124D"/>
    <w:rsid w:val="00331FA9"/>
    <w:rsid w:val="00336D4D"/>
    <w:rsid w:val="003402CF"/>
    <w:rsid w:val="00341364"/>
    <w:rsid w:val="00341AB3"/>
    <w:rsid w:val="003423BC"/>
    <w:rsid w:val="00342BD4"/>
    <w:rsid w:val="00353B9B"/>
    <w:rsid w:val="00354A2D"/>
    <w:rsid w:val="00367DF7"/>
    <w:rsid w:val="003766B3"/>
    <w:rsid w:val="00385235"/>
    <w:rsid w:val="0039157F"/>
    <w:rsid w:val="003A1473"/>
    <w:rsid w:val="003A2655"/>
    <w:rsid w:val="003A3AB5"/>
    <w:rsid w:val="003A4F2D"/>
    <w:rsid w:val="003A6BAC"/>
    <w:rsid w:val="003B520E"/>
    <w:rsid w:val="003E4DBA"/>
    <w:rsid w:val="004461AA"/>
    <w:rsid w:val="00455B3D"/>
    <w:rsid w:val="00460084"/>
    <w:rsid w:val="00482747"/>
    <w:rsid w:val="00492EB7"/>
    <w:rsid w:val="004A51A6"/>
    <w:rsid w:val="004B6E57"/>
    <w:rsid w:val="004C1D3C"/>
    <w:rsid w:val="004E496D"/>
    <w:rsid w:val="004F4A03"/>
    <w:rsid w:val="004F5875"/>
    <w:rsid w:val="00500308"/>
    <w:rsid w:val="00502CE8"/>
    <w:rsid w:val="00533259"/>
    <w:rsid w:val="0057540E"/>
    <w:rsid w:val="00593E82"/>
    <w:rsid w:val="005A14E1"/>
    <w:rsid w:val="005A39C7"/>
    <w:rsid w:val="005B068B"/>
    <w:rsid w:val="005B19E5"/>
    <w:rsid w:val="005D230A"/>
    <w:rsid w:val="005D4DB0"/>
    <w:rsid w:val="005D69D2"/>
    <w:rsid w:val="005F22B9"/>
    <w:rsid w:val="005F52D7"/>
    <w:rsid w:val="00600C4E"/>
    <w:rsid w:val="00626E37"/>
    <w:rsid w:val="00630F18"/>
    <w:rsid w:val="00640900"/>
    <w:rsid w:val="0066433C"/>
    <w:rsid w:val="00666385"/>
    <w:rsid w:val="00692DAC"/>
    <w:rsid w:val="0069630F"/>
    <w:rsid w:val="006A23D4"/>
    <w:rsid w:val="006A6BCB"/>
    <w:rsid w:val="006B52AE"/>
    <w:rsid w:val="006D372E"/>
    <w:rsid w:val="006E04F9"/>
    <w:rsid w:val="006E7705"/>
    <w:rsid w:val="006F4282"/>
    <w:rsid w:val="00703AF7"/>
    <w:rsid w:val="007103AE"/>
    <w:rsid w:val="0071147F"/>
    <w:rsid w:val="00713189"/>
    <w:rsid w:val="00715E1E"/>
    <w:rsid w:val="00724839"/>
    <w:rsid w:val="007435FA"/>
    <w:rsid w:val="007673C8"/>
    <w:rsid w:val="00767617"/>
    <w:rsid w:val="007804D5"/>
    <w:rsid w:val="00782F50"/>
    <w:rsid w:val="007B5A64"/>
    <w:rsid w:val="007C44FF"/>
    <w:rsid w:val="007D24C0"/>
    <w:rsid w:val="007D69E5"/>
    <w:rsid w:val="007E0B17"/>
    <w:rsid w:val="007E16C9"/>
    <w:rsid w:val="007E1826"/>
    <w:rsid w:val="007F5662"/>
    <w:rsid w:val="0081471F"/>
    <w:rsid w:val="00820D44"/>
    <w:rsid w:val="008412DB"/>
    <w:rsid w:val="00845A15"/>
    <w:rsid w:val="0086583F"/>
    <w:rsid w:val="00866524"/>
    <w:rsid w:val="00867CE1"/>
    <w:rsid w:val="00870A96"/>
    <w:rsid w:val="00873A11"/>
    <w:rsid w:val="00873B81"/>
    <w:rsid w:val="00875E16"/>
    <w:rsid w:val="008846F9"/>
    <w:rsid w:val="008C2ED0"/>
    <w:rsid w:val="008D6398"/>
    <w:rsid w:val="008E3400"/>
    <w:rsid w:val="00905D22"/>
    <w:rsid w:val="00907F22"/>
    <w:rsid w:val="009543CF"/>
    <w:rsid w:val="0095642D"/>
    <w:rsid w:val="009625AB"/>
    <w:rsid w:val="00970E5B"/>
    <w:rsid w:val="00991DF8"/>
    <w:rsid w:val="00994BAB"/>
    <w:rsid w:val="00994C18"/>
    <w:rsid w:val="009B19C3"/>
    <w:rsid w:val="009C1A89"/>
    <w:rsid w:val="009C2916"/>
    <w:rsid w:val="009C383F"/>
    <w:rsid w:val="009C6A69"/>
    <w:rsid w:val="009E7623"/>
    <w:rsid w:val="009F080E"/>
    <w:rsid w:val="009F2018"/>
    <w:rsid w:val="00A00C97"/>
    <w:rsid w:val="00A01FFD"/>
    <w:rsid w:val="00A03596"/>
    <w:rsid w:val="00A23985"/>
    <w:rsid w:val="00A27E20"/>
    <w:rsid w:val="00A3199E"/>
    <w:rsid w:val="00A51C8B"/>
    <w:rsid w:val="00A6243B"/>
    <w:rsid w:val="00A71F6D"/>
    <w:rsid w:val="00A86E0A"/>
    <w:rsid w:val="00AA4ADB"/>
    <w:rsid w:val="00AB2923"/>
    <w:rsid w:val="00AD5E3D"/>
    <w:rsid w:val="00B03B09"/>
    <w:rsid w:val="00B07289"/>
    <w:rsid w:val="00B107C6"/>
    <w:rsid w:val="00B11E4B"/>
    <w:rsid w:val="00B22390"/>
    <w:rsid w:val="00B34E95"/>
    <w:rsid w:val="00B40168"/>
    <w:rsid w:val="00B40DFC"/>
    <w:rsid w:val="00B6793E"/>
    <w:rsid w:val="00B85060"/>
    <w:rsid w:val="00BA4F3C"/>
    <w:rsid w:val="00BA79F9"/>
    <w:rsid w:val="00BB30BC"/>
    <w:rsid w:val="00BC352B"/>
    <w:rsid w:val="00BF0CED"/>
    <w:rsid w:val="00C04E94"/>
    <w:rsid w:val="00C14EB2"/>
    <w:rsid w:val="00C173B2"/>
    <w:rsid w:val="00C22B0B"/>
    <w:rsid w:val="00C25B26"/>
    <w:rsid w:val="00C27DC3"/>
    <w:rsid w:val="00C3452F"/>
    <w:rsid w:val="00C37034"/>
    <w:rsid w:val="00C533B1"/>
    <w:rsid w:val="00C533C9"/>
    <w:rsid w:val="00C654D5"/>
    <w:rsid w:val="00C7128D"/>
    <w:rsid w:val="00C73BEE"/>
    <w:rsid w:val="00C90E90"/>
    <w:rsid w:val="00C953CA"/>
    <w:rsid w:val="00C95E81"/>
    <w:rsid w:val="00CA00F7"/>
    <w:rsid w:val="00CA1388"/>
    <w:rsid w:val="00CA4D8A"/>
    <w:rsid w:val="00CE6552"/>
    <w:rsid w:val="00CF2C7B"/>
    <w:rsid w:val="00D01387"/>
    <w:rsid w:val="00D17E93"/>
    <w:rsid w:val="00D23DB5"/>
    <w:rsid w:val="00D328C4"/>
    <w:rsid w:val="00D33986"/>
    <w:rsid w:val="00D34AC4"/>
    <w:rsid w:val="00D371B7"/>
    <w:rsid w:val="00D47E15"/>
    <w:rsid w:val="00D62584"/>
    <w:rsid w:val="00D73266"/>
    <w:rsid w:val="00D94B7E"/>
    <w:rsid w:val="00DA07A4"/>
    <w:rsid w:val="00DA32BC"/>
    <w:rsid w:val="00DB2B6E"/>
    <w:rsid w:val="00DB5BC2"/>
    <w:rsid w:val="00DC2EA0"/>
    <w:rsid w:val="00DE26DD"/>
    <w:rsid w:val="00E128B5"/>
    <w:rsid w:val="00E14A08"/>
    <w:rsid w:val="00E209ED"/>
    <w:rsid w:val="00E27AA6"/>
    <w:rsid w:val="00E3057E"/>
    <w:rsid w:val="00E307C8"/>
    <w:rsid w:val="00E36985"/>
    <w:rsid w:val="00E52FDD"/>
    <w:rsid w:val="00E62AFA"/>
    <w:rsid w:val="00E70C38"/>
    <w:rsid w:val="00E8728D"/>
    <w:rsid w:val="00E90883"/>
    <w:rsid w:val="00EA4E87"/>
    <w:rsid w:val="00EB3E49"/>
    <w:rsid w:val="00EC25C5"/>
    <w:rsid w:val="00EC4D84"/>
    <w:rsid w:val="00EC7323"/>
    <w:rsid w:val="00ED03F6"/>
    <w:rsid w:val="00ED702B"/>
    <w:rsid w:val="00EE7A21"/>
    <w:rsid w:val="00F142C5"/>
    <w:rsid w:val="00F32AA1"/>
    <w:rsid w:val="00F4174B"/>
    <w:rsid w:val="00F439C7"/>
    <w:rsid w:val="00F51773"/>
    <w:rsid w:val="00F60295"/>
    <w:rsid w:val="00F660C7"/>
    <w:rsid w:val="00F7024E"/>
    <w:rsid w:val="00F82260"/>
    <w:rsid w:val="00FA2B99"/>
    <w:rsid w:val="00FA3ABC"/>
    <w:rsid w:val="00FC2F86"/>
    <w:rsid w:val="00FE50F6"/>
    <w:rsid w:val="00FE6FB0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64B4363"/>
  <w15:docId w15:val="{89E267E1-DF5C-46D1-845F-198C7C1E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i-FI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30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30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30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991DF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1DF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1DF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1DF8"/>
    <w:pPr>
      <w:numPr>
        <w:numId w:val="4"/>
      </w:numPr>
      <w:contextualSpacing/>
    </w:pPr>
  </w:style>
  <w:style w:type="character" w:styleId="Hyperlink">
    <w:name w:val="Hyperlink"/>
    <w:uiPriority w:val="99"/>
    <w:rsid w:val="00991DF8"/>
    <w:rPr>
      <w:color w:val="0000FF"/>
      <w:u w:val="single"/>
    </w:rPr>
  </w:style>
  <w:style w:type="paragraph" w:styleId="ListNumber4">
    <w:name w:val="List Number 4"/>
    <w:basedOn w:val="Normal"/>
    <w:rsid w:val="00991DF8"/>
    <w:pPr>
      <w:numPr>
        <w:numId w:val="5"/>
      </w:numPr>
    </w:pPr>
    <w:rPr>
      <w:rFonts w:eastAsia="Times New Roman"/>
      <w:lang w:eastAsia="en-GB"/>
    </w:rPr>
  </w:style>
  <w:style w:type="paragraph" w:customStyle="1" w:styleId="ListNumber4Level2">
    <w:name w:val="List Number 4 (Level 2)"/>
    <w:basedOn w:val="Text4"/>
    <w:rsid w:val="00991DF8"/>
    <w:pPr>
      <w:numPr>
        <w:ilvl w:val="1"/>
        <w:numId w:val="5"/>
      </w:numPr>
    </w:pPr>
    <w:rPr>
      <w:rFonts w:eastAsia="Times New Roman"/>
      <w:lang w:eastAsia="en-GB"/>
    </w:rPr>
  </w:style>
  <w:style w:type="paragraph" w:customStyle="1" w:styleId="ListNumber4Level3">
    <w:name w:val="List Number 4 (Level 3)"/>
    <w:basedOn w:val="Text4"/>
    <w:rsid w:val="00991DF8"/>
    <w:pPr>
      <w:numPr>
        <w:ilvl w:val="2"/>
        <w:numId w:val="5"/>
      </w:numPr>
    </w:pPr>
    <w:rPr>
      <w:rFonts w:eastAsia="Times New Roman"/>
      <w:lang w:eastAsia="en-GB"/>
    </w:rPr>
  </w:style>
  <w:style w:type="paragraph" w:customStyle="1" w:styleId="ListNumber4Level4">
    <w:name w:val="List Number 4 (Level 4)"/>
    <w:basedOn w:val="Text4"/>
    <w:rsid w:val="00991DF8"/>
    <w:pPr>
      <w:numPr>
        <w:ilvl w:val="3"/>
        <w:numId w:val="5"/>
      </w:numPr>
    </w:pPr>
    <w:rPr>
      <w:rFonts w:eastAsia="Times New Roman"/>
      <w:lang w:eastAsia="en-GB"/>
    </w:rPr>
  </w:style>
  <w:style w:type="character" w:styleId="CommentReference">
    <w:name w:val="annotation reference"/>
    <w:rsid w:val="00991D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991DF8"/>
    <w:rPr>
      <w:rFonts w:eastAsia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991DF8"/>
    <w:rPr>
      <w:rFonts w:ascii="Times New Roman" w:eastAsia="Times New Roman" w:hAnsi="Times New Roman" w:cs="Times New Roman"/>
      <w:sz w:val="20"/>
      <w:szCs w:val="20"/>
      <w:lang w:val="fi-FI" w:eastAsia="en-GB"/>
    </w:rPr>
  </w:style>
  <w:style w:type="paragraph" w:customStyle="1" w:styleId="oj-ti-grseq-1">
    <w:name w:val="oj-ti-grseq-1"/>
    <w:basedOn w:val="Normal"/>
    <w:rsid w:val="00991DF8"/>
    <w:pPr>
      <w:spacing w:before="100" w:beforeAutospacing="1" w:after="100" w:afterAutospacing="1"/>
      <w:jc w:val="left"/>
    </w:pPr>
    <w:rPr>
      <w:rFonts w:eastAsia="Times New Roman"/>
      <w:szCs w:val="24"/>
      <w:lang w:eastAsia="en-IE"/>
    </w:rPr>
  </w:style>
  <w:style w:type="character" w:customStyle="1" w:styleId="oj-bold">
    <w:name w:val="oj-bold"/>
    <w:basedOn w:val="DefaultParagraphFont"/>
    <w:rsid w:val="00991DF8"/>
  </w:style>
  <w:style w:type="character" w:customStyle="1" w:styleId="oj-super">
    <w:name w:val="oj-super"/>
    <w:basedOn w:val="DefaultParagraphFont"/>
    <w:rsid w:val="00991DF8"/>
  </w:style>
  <w:style w:type="paragraph" w:customStyle="1" w:styleId="oj-normal">
    <w:name w:val="oj-normal"/>
    <w:basedOn w:val="Normal"/>
    <w:rsid w:val="00991DF8"/>
    <w:pPr>
      <w:spacing w:before="100" w:beforeAutospacing="1" w:after="100" w:afterAutospacing="1"/>
      <w:jc w:val="left"/>
    </w:pPr>
    <w:rPr>
      <w:rFonts w:eastAsia="Times New Roman"/>
      <w:szCs w:val="24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93E"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93E"/>
    <w:rPr>
      <w:rFonts w:ascii="Times New Roman" w:eastAsia="Times New Roman" w:hAnsi="Times New Roman" w:cs="Times New Roman"/>
      <w:b/>
      <w:bCs/>
      <w:sz w:val="20"/>
      <w:szCs w:val="20"/>
      <w:lang w:val="fi-FI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79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03A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2C7B"/>
    <w:pPr>
      <w:ind w:left="720"/>
      <w:contextualSpacing/>
    </w:pPr>
  </w:style>
  <w:style w:type="paragraph" w:styleId="Revision">
    <w:name w:val="Revision"/>
    <w:hidden/>
    <w:uiPriority w:val="99"/>
    <w:semiHidden/>
    <w:rsid w:val="00B03B0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E8728D"/>
    <w:rPr>
      <w:i/>
      <w:iCs/>
    </w:r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character" w:customStyle="1" w:styleId="HeaderChar">
    <w:name w:val="Header Char"/>
    <w:basedOn w:val="DefaultParagraphFont"/>
    <w:link w:val="Header"/>
    <w:uiPriority w:val="99"/>
    <w:rsid w:val="00B40168"/>
    <w:rPr>
      <w:rFonts w:ascii="Times New Roman" w:hAnsi="Times New Roman" w:cs="Times New Roman"/>
      <w:sz w:val="24"/>
      <w:lang w:val="fi-FI"/>
    </w:rPr>
  </w:style>
  <w:style w:type="character" w:customStyle="1" w:styleId="FooterChar">
    <w:name w:val="Footer Char"/>
    <w:basedOn w:val="DefaultParagraphFont"/>
    <w:link w:val="Footer"/>
    <w:uiPriority w:val="99"/>
    <w:rsid w:val="00B40168"/>
    <w:rPr>
      <w:rFonts w:ascii="Times New Roman" w:hAnsi="Times New Roman" w:cs="Times New Roman"/>
      <w:sz w:val="24"/>
      <w:lang w:val="fi-FI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B401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B40168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B401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0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0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Tiret5">
    <w:name w:val="Tiret 5"/>
    <w:basedOn w:val="Point5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29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29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29"/>
      </w:numPr>
    </w:pPr>
  </w:style>
  <w:style w:type="paragraph" w:customStyle="1" w:styleId="ManualNumPar10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40168"/>
    <w:pPr>
      <w:tabs>
        <w:tab w:val="center" w:pos="4535"/>
        <w:tab w:val="right" w:pos="9071"/>
      </w:tabs>
      <w:spacing w:before="0"/>
    </w:pPr>
  </w:style>
  <w:style w:type="paragraph" w:customStyle="1" w:styleId="HeaderLandscape">
    <w:name w:val="HeaderLandscape"/>
    <w:basedOn w:val="Normal"/>
    <w:rsid w:val="00B40168"/>
    <w:pPr>
      <w:tabs>
        <w:tab w:val="center" w:pos="7285"/>
        <w:tab w:val="right" w:pos="14003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B40168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al"/>
    <w:rsid w:val="00B40168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eur-lex.europa.eu/legal-content/FI/AUTO/?uri=OJ:L:2018:193:TOC" TargetMode="External"/><Relationship Id="rId26" Type="http://schemas.openxmlformats.org/officeDocument/2006/relationships/hyperlink" Target="https://eur-lex.europa.eu/legal-content/FI/AUTO/?uri=OJ:L:2021:170:TOC" TargetMode="External"/><Relationship Id="rId39" Type="http://schemas.openxmlformats.org/officeDocument/2006/relationships/hyperlink" Target="http://data.europa.eu/eli/reg/2021/694/oj?locale=fi" TargetMode="External"/><Relationship Id="rId21" Type="http://schemas.openxmlformats.org/officeDocument/2006/relationships/hyperlink" Target="http://data.europa.eu/eli/reg/2021/696/oj?locale=fi" TargetMode="External"/><Relationship Id="rId34" Type="http://schemas.openxmlformats.org/officeDocument/2006/relationships/hyperlink" Target="https://eur-lex.europa.eu/legal-content/FI/AUTO/?uri=OJ:L:2014:086:TOC" TargetMode="External"/><Relationship Id="rId42" Type="http://schemas.openxmlformats.org/officeDocument/2006/relationships/hyperlink" Target="https://eur-lex.europa.eu/eli/reg/2018/1046/oj?locale=fi" TargetMode="External"/><Relationship Id="rId47" Type="http://schemas.openxmlformats.org/officeDocument/2006/relationships/hyperlink" Target="http://data.europa.eu/eli/reg/2023/2418/oj?locale=fi" TargetMode="External"/><Relationship Id="rId50" Type="http://schemas.openxmlformats.org/officeDocument/2006/relationships/hyperlink" Target="https://eur-lex.europa.eu/legal-content/FI/TXT/?uri=OJ:L:2023:135:TOC" TargetMode="External"/><Relationship Id="rId55" Type="http://schemas.openxmlformats.org/officeDocument/2006/relationships/hyperlink" Target="http://data.europa.eu/eli/reg/2021/522/oj?locale=fi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eur-lex.europa.eu/legal-content/FI/AUTO/?uri=OJ:L:2021:170:TOC" TargetMode="External"/><Relationship Id="rId29" Type="http://schemas.openxmlformats.org/officeDocument/2006/relationships/hyperlink" Target="http://data.europa.eu/eli/reg/2021/765/oj?locale=fi" TargetMode="External"/><Relationship Id="rId41" Type="http://schemas.openxmlformats.org/officeDocument/2006/relationships/hyperlink" Target="https://eur-lex.europa.eu/legal-content/FI/AUTO/?uri=OJ:L:2018:193:TOC" TargetMode="External"/><Relationship Id="rId54" Type="http://schemas.openxmlformats.org/officeDocument/2006/relationships/hyperlink" Target="https://eur-lex.europa.eu/legal-content/FI/AUTO/?uri=OJ:L:2021:107:TOC" TargetMode="External"/><Relationship Id="rId62" Type="http://schemas.openxmlformats.org/officeDocument/2006/relationships/hyperlink" Target="https://www.ema.europa.eu/en/human-regulatory-overview/post-authorisation/medicine-shortages-and-availability-issues/availability-critical-medicin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s://eur-lex.europa.eu/legal-content/FI/AUTO/?uri=OJ:L:2013:347:TOC" TargetMode="External"/><Relationship Id="rId32" Type="http://schemas.openxmlformats.org/officeDocument/2006/relationships/hyperlink" Target="https://eur-lex.europa.eu/legal-content/FI/AUTO/?uri=OJ:L:2013:115:TOC" TargetMode="External"/><Relationship Id="rId37" Type="http://schemas.openxmlformats.org/officeDocument/2006/relationships/hyperlink" Target="http://data.europa.eu/eli/reg/2021/1153/oj?locale=fi" TargetMode="External"/><Relationship Id="rId40" Type="http://schemas.openxmlformats.org/officeDocument/2006/relationships/hyperlink" Target="https://eur-lex.europa.eu/legal-content/FI/AUTO/?uri=OJ:L:2018:200:TOC" TargetMode="External"/><Relationship Id="rId45" Type="http://schemas.openxmlformats.org/officeDocument/2006/relationships/hyperlink" Target="https://eur-lex.europa.eu/legal-content/FI/TXT/?uri=OJ:L:2023:185:TOC" TargetMode="External"/><Relationship Id="rId53" Type="http://schemas.openxmlformats.org/officeDocument/2006/relationships/hyperlink" Target="http://data.europa.eu/eli/dec/2007/198/oj?locale=fi" TargetMode="External"/><Relationship Id="rId58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data.europa.eu/eli/reg/2023/588/oj?locale=fi" TargetMode="External"/><Relationship Id="rId28" Type="http://schemas.openxmlformats.org/officeDocument/2006/relationships/hyperlink" Target="https://eur-lex.europa.eu/legal-content/FI/AUTO/?uri=OJ:L:2021:167I:TOC" TargetMode="External"/><Relationship Id="rId36" Type="http://schemas.openxmlformats.org/officeDocument/2006/relationships/hyperlink" Target="https://eur-lex.europa.eu/legal-content/FI/AUTO/?uri=OJ:L:2021:249:TOC" TargetMode="External"/><Relationship Id="rId49" Type="http://schemas.openxmlformats.org/officeDocument/2006/relationships/hyperlink" Target="http://data.europa.eu/eli/dec/2018/340/oj?locale=fi" TargetMode="External"/><Relationship Id="rId57" Type="http://schemas.openxmlformats.org/officeDocument/2006/relationships/header" Target="header4.xml"/><Relationship Id="rId61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yperlink" Target="https://eur-lex.europa.eu/eli/reg/2018/1046/oj?locale=fi" TargetMode="External"/><Relationship Id="rId31" Type="http://schemas.openxmlformats.org/officeDocument/2006/relationships/hyperlink" Target="http://data.europa.eu/eli/reg/2013/1315/oj?locale=fi" TargetMode="External"/><Relationship Id="rId44" Type="http://schemas.openxmlformats.org/officeDocument/2006/relationships/hyperlink" Target="http://data.europa.eu/eli/reg/2021/697/oj?locale=fi" TargetMode="External"/><Relationship Id="rId52" Type="http://schemas.openxmlformats.org/officeDocument/2006/relationships/hyperlink" Target="https://eur-lex.europa.eu/legal-content/FI/AUTO/?uri=OJ:L:2007:090:TOC" TargetMode="External"/><Relationship Id="rId60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eur-lex.europa.eu/legal-content/FI/TXT/?uri=OJ:L:2023:079:TOC" TargetMode="External"/><Relationship Id="rId27" Type="http://schemas.openxmlformats.org/officeDocument/2006/relationships/hyperlink" Target="http://data.europa.eu/eli/reg/2021/695/oj?locale=fi" TargetMode="External"/><Relationship Id="rId30" Type="http://schemas.openxmlformats.org/officeDocument/2006/relationships/hyperlink" Target="https://eur-lex.europa.eu/legal-content/FI/AUTO/?uri=OJ:L:2013:348:TOC" TargetMode="External"/><Relationship Id="rId35" Type="http://schemas.openxmlformats.org/officeDocument/2006/relationships/hyperlink" Target="http://data.europa.eu/eli/reg/2014/283/oj?locale=fi" TargetMode="External"/><Relationship Id="rId43" Type="http://schemas.openxmlformats.org/officeDocument/2006/relationships/hyperlink" Target="https://eur-lex.europa.eu/legal-content/FI/AUTO/?uri=OJ:L:2021:170:TOC" TargetMode="External"/><Relationship Id="rId48" Type="http://schemas.openxmlformats.org/officeDocument/2006/relationships/hyperlink" Target="https://eur-lex.europa.eu/legal-content/FI/AUTO/?uri=OJ:L:2018:065:TOC" TargetMode="External"/><Relationship Id="rId56" Type="http://schemas.openxmlformats.org/officeDocument/2006/relationships/hyperlink" Target="https://eur-lex.europa.eu/legal-content/FI/TXT/?uri=OJ:C:2021:528:TOC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://data.europa.eu/eli/dec/2023/995/oj?locale=fi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data.europa.eu/eli/reg/2013/1291/oj?locale=fi" TargetMode="External"/><Relationship Id="rId33" Type="http://schemas.openxmlformats.org/officeDocument/2006/relationships/hyperlink" Target="http://data.europa.eu/eli/reg/2013/347/oj?locale=fi" TargetMode="External"/><Relationship Id="rId38" Type="http://schemas.openxmlformats.org/officeDocument/2006/relationships/hyperlink" Target="https://eur-lex.europa.eu/legal-content/FI/AUTO/?uri=OJ:L:2021:166:TOC" TargetMode="External"/><Relationship Id="rId46" Type="http://schemas.openxmlformats.org/officeDocument/2006/relationships/hyperlink" Target="http://data.europa.eu/eli/reg/2023/1525/oj?locale=fi" TargetMode="External"/><Relationship Id="rId59" Type="http://schemas.openxmlformats.org/officeDocument/2006/relationships/footer" Target="footer5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europa.eu/eli/dir/2009/110/oj?locale=fi" TargetMode="External"/><Relationship Id="rId13" Type="http://schemas.openxmlformats.org/officeDocument/2006/relationships/hyperlink" Target="https://eur-lex.europa.eu/legal-content/FI/TXT/?uri=OJ:L:2023:150:TOC" TargetMode="External"/><Relationship Id="rId18" Type="http://schemas.openxmlformats.org/officeDocument/2006/relationships/hyperlink" Target="http://data.europa.eu/eli/reg/2022/2554/oj?locale=fi" TargetMode="External"/><Relationship Id="rId3" Type="http://schemas.openxmlformats.org/officeDocument/2006/relationships/hyperlink" Target="https://eur-lex.europa.eu/legal-content/FI/TXT/?uri=OJ:L:2012:201:TOC" TargetMode="External"/><Relationship Id="rId7" Type="http://schemas.openxmlformats.org/officeDocument/2006/relationships/hyperlink" Target="https://eur-lex.europa.eu/legal-content/FI/TXT/?uri=OJ:L:2009:267:TOC" TargetMode="External"/><Relationship Id="rId12" Type="http://schemas.openxmlformats.org/officeDocument/2006/relationships/hyperlink" Target="http://data.europa.eu/eli/reg/2014/909/oj?locale=fi" TargetMode="External"/><Relationship Id="rId17" Type="http://schemas.openxmlformats.org/officeDocument/2006/relationships/hyperlink" Target="https://eur-lex.europa.eu/legal-content/FI/TXT/?uri=OJ:L:2022:333:TOC" TargetMode="External"/><Relationship Id="rId2" Type="http://schemas.openxmlformats.org/officeDocument/2006/relationships/hyperlink" Target="https://www.ema.europa.eu/en/human-regulatory-overview/post-authorisation/medicine-shortages-and-availability-issues/availability-critical-medicines" TargetMode="External"/><Relationship Id="rId16" Type="http://schemas.openxmlformats.org/officeDocument/2006/relationships/hyperlink" Target="http://data.europa.eu/eli/reg/2013/575/oj?locale=fi" TargetMode="External"/><Relationship Id="rId1" Type="http://schemas.openxmlformats.org/officeDocument/2006/relationships/hyperlink" Target="https://competition-policy.ec.europa.eu/state-aid/ipcei/approved-ipceis_en" TargetMode="External"/><Relationship Id="rId6" Type="http://schemas.openxmlformats.org/officeDocument/2006/relationships/hyperlink" Target="http://data.europa.eu/eli/dir/2015/2366/oj?locale=fi" TargetMode="External"/><Relationship Id="rId11" Type="http://schemas.openxmlformats.org/officeDocument/2006/relationships/hyperlink" Target="https://eur-lex.europa.eu/legal-content/FI/TXT/?uri=OJ:L:2014:257:TOC" TargetMode="External"/><Relationship Id="rId5" Type="http://schemas.openxmlformats.org/officeDocument/2006/relationships/hyperlink" Target="https://eur-lex.europa.eu/legal-content/FI/TXT/?uri=OJ:L:2015:337:TOC" TargetMode="External"/><Relationship Id="rId15" Type="http://schemas.openxmlformats.org/officeDocument/2006/relationships/hyperlink" Target="https://eur-lex.europa.eu/legal-content/FI/TXT/?uri=OJ:L:2013:176:TOC" TargetMode="External"/><Relationship Id="rId10" Type="http://schemas.openxmlformats.org/officeDocument/2006/relationships/hyperlink" Target="http://data.europa.eu/eli/dir/2014/65/oj?locale=fi" TargetMode="External"/><Relationship Id="rId4" Type="http://schemas.openxmlformats.org/officeDocument/2006/relationships/hyperlink" Target="http://data.europa.eu/eli/reg/2012/648/oj?locale=fi" TargetMode="External"/><Relationship Id="rId9" Type="http://schemas.openxmlformats.org/officeDocument/2006/relationships/hyperlink" Target="https://eur-lex.europa.eu/legal-content/FI/TXT/?uri=OJ:L:2014:173:TOC" TargetMode="External"/><Relationship Id="rId14" Type="http://schemas.openxmlformats.org/officeDocument/2006/relationships/hyperlink" Target="http://data.europa.eu/eli/reg/2023/1114/oj?locale=f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94cd775c-4b45-4aff-9377-5f863f412b2c">EN</EC_Collab_DocumentLanguage>
    <EC_Collab_Status xmlns="94cd775c-4b45-4aff-9377-5f863f412b2c">Not Started</EC_Collab_Status>
    <EC_Collab_Reference xmlns="94cd775c-4b45-4aff-9377-5f863f412b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91101ED19659B489105E64B8BBAA979" ma:contentTypeVersion="1" ma:contentTypeDescription="Create a new document in this library." ma:contentTypeScope="" ma:versionID="6348812c78e7b4996127e4dc2b522d86">
  <xsd:schema xmlns:xsd="http://www.w3.org/2001/XMLSchema" xmlns:xs="http://www.w3.org/2001/XMLSchema" xmlns:p="http://schemas.microsoft.com/office/2006/metadata/properties" xmlns:ns3="94cd775c-4b45-4aff-9377-5f863f412b2c" targetNamespace="http://schemas.microsoft.com/office/2006/metadata/properties" ma:root="true" ma:fieldsID="fc57b65f4d981a58bb4e57930e77b5fc" ns3:_="">
    <xsd:import namespace="94cd775c-4b45-4aff-9377-5f863f412b2c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775c-4b45-4aff-9377-5f863f412b2c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023F3-C209-4440-BDD9-B2AAC80B5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D9513-575F-4819-B0FC-CBDE2A81E5B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4cd775c-4b45-4aff-9377-5f863f412b2c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E3387E-DB45-4534-884F-482AB4E12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d775c-4b45-4aff-9377-5f863f412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FEB04E-19E9-423E-A07B-629B44D5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14</TotalTime>
  <Pages>7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MELANEN Anri (TRADE)</dc:creator>
  <cp:keywords/>
  <dc:description/>
  <cp:lastModifiedBy>EC CoDe</cp:lastModifiedBy>
  <cp:revision>27</cp:revision>
  <dcterms:created xsi:type="dcterms:W3CDTF">2024-01-18T08:48:00Z</dcterms:created>
  <dcterms:modified xsi:type="dcterms:W3CDTF">2024-03-04T14:44:00Z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8.0.25.0</vt:lpwstr>
  </property>
  <property fmtid="{D5CDD505-2E9C-101B-9397-08002B2CF9AE}" pid="4" name="Last edited using">
    <vt:lpwstr>LW 9.0, Build 20230317</vt:lpwstr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2023-11-21T07:46:44Z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04225129-073c-492a-af93-434cc7231d13</vt:lpwstr>
  </property>
  <property fmtid="{D5CDD505-2E9C-101B-9397-08002B2CF9AE}" pid="11" name="MSIP_Label_6bd9ddd1-4d20-43f6-abfa-fc3c07406f94_ContentBits">
    <vt:lpwstr>0</vt:lpwstr>
  </property>
  <property fmtid="{D5CDD505-2E9C-101B-9397-08002B2CF9AE}" pid="12" name="Created using">
    <vt:lpwstr>LW 9.0, Build 20230317</vt:lpwstr>
  </property>
  <property fmtid="{D5CDD505-2E9C-101B-9397-08002B2CF9AE}" pid="13" name="First annex">
    <vt:lpwstr>1</vt:lpwstr>
  </property>
  <property fmtid="{D5CDD505-2E9C-101B-9397-08002B2CF9AE}" pid="14" name="Last annex">
    <vt:lpwstr>2</vt:lpwstr>
  </property>
  <property fmtid="{D5CDD505-2E9C-101B-9397-08002B2CF9AE}" pid="15" name="Unique annex">
    <vt:lpwstr>0</vt:lpwstr>
  </property>
  <property fmtid="{D5CDD505-2E9C-101B-9397-08002B2CF9AE}" pid="16" name="Part">
    <vt:lpwstr>&lt;UNUSED&gt;</vt:lpwstr>
  </property>
  <property fmtid="{D5CDD505-2E9C-101B-9397-08002B2CF9AE}" pid="17" name="Total parts">
    <vt:lpwstr>&lt;UNUSED&gt;</vt:lpwstr>
  </property>
  <property fmtid="{D5CDD505-2E9C-101B-9397-08002B2CF9AE}" pid="18" name="Level of sensitivity">
    <vt:lpwstr>Standard treatment</vt:lpwstr>
  </property>
  <property fmtid="{D5CDD505-2E9C-101B-9397-08002B2CF9AE}" pid="19" name="LWTemplateID">
    <vt:lpwstr>SG-017</vt:lpwstr>
  </property>
  <property fmtid="{D5CDD505-2E9C-101B-9397-08002B2CF9AE}" pid="20" name="ContentTypeId">
    <vt:lpwstr>0x010100258AA79CEB83498886A3A0868112325000C91101ED19659B489105E64B8BBAA979</vt:lpwstr>
  </property>
  <property fmtid="{D5CDD505-2E9C-101B-9397-08002B2CF9AE}" pid="21" name="DQCStatus">
    <vt:lpwstr>Green (DQC version 03)</vt:lpwstr>
  </property>
</Properties>
</file>