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7820" w14:textId="3654FEEA" w:rsidR="00455B3D" w:rsidRPr="007C266D" w:rsidRDefault="00C46599" w:rsidP="00C46599">
      <w:pPr>
        <w:pStyle w:val="Pagedecouverture"/>
        <w:rPr>
          <w:noProof/>
        </w:rPr>
      </w:pPr>
      <w:r>
        <w:rPr>
          <w:noProof/>
        </w:rPr>
        <w:pict w14:anchorId="03E26F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E4C2815-2A67-4DF7-BFE8-31B6FE7C8A5E" style="width:455.25pt;height:401.25pt">
            <v:imagedata r:id="rId11" o:title=""/>
          </v:shape>
        </w:pict>
      </w:r>
    </w:p>
    <w:p w14:paraId="1E754269" w14:textId="77777777" w:rsidR="00455B3D" w:rsidRPr="007C266D" w:rsidRDefault="00455B3D" w:rsidP="00455B3D">
      <w:pPr>
        <w:rPr>
          <w:noProof/>
        </w:rPr>
        <w:sectPr w:rsidR="00455B3D" w:rsidRPr="007C266D" w:rsidSect="00C465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6CA804B0" w14:textId="77777777" w:rsidR="007C266D" w:rsidRDefault="00455B3D" w:rsidP="00455B3D">
      <w:pPr>
        <w:pStyle w:val="Annexetitre"/>
        <w:rPr>
          <w:noProof/>
        </w:rPr>
      </w:pPr>
      <w:bookmarkStart w:id="0" w:name="_GoBack"/>
      <w:bookmarkEnd w:id="0"/>
      <w:r w:rsidRPr="007C266D">
        <w:rPr>
          <w:noProof/>
        </w:rPr>
        <w:lastRenderedPageBreak/>
        <w:t>PRÍLOHA I</w:t>
      </w:r>
    </w:p>
    <w:p w14:paraId="6B32F717" w14:textId="2CDE7129" w:rsidR="00991DF8" w:rsidRPr="007C266D" w:rsidRDefault="00991DF8" w:rsidP="00991DF8">
      <w:pPr>
        <w:shd w:val="clear" w:color="auto" w:fill="FFFFFF" w:themeFill="background1"/>
        <w:tabs>
          <w:tab w:val="left" w:pos="5000"/>
        </w:tabs>
        <w:spacing w:after="0"/>
        <w:jc w:val="center"/>
        <w:rPr>
          <w:rFonts w:eastAsia="Times New Roman"/>
          <w:b/>
          <w:noProof/>
        </w:rPr>
      </w:pPr>
      <w:r w:rsidRPr="007C266D">
        <w:rPr>
          <w:b/>
          <w:noProof/>
        </w:rPr>
        <w:t>Projekty alebo programy</w:t>
      </w:r>
      <w:r w:rsidR="007C266D">
        <w:rPr>
          <w:b/>
          <w:noProof/>
        </w:rPr>
        <w:t xml:space="preserve"> v </w:t>
      </w:r>
      <w:r w:rsidRPr="007C266D">
        <w:rPr>
          <w:b/>
          <w:noProof/>
        </w:rPr>
        <w:t>záujme Únie</w:t>
      </w:r>
    </w:p>
    <w:p w14:paraId="1D3E144F" w14:textId="77777777" w:rsidR="00991DF8" w:rsidRPr="007C266D" w:rsidRDefault="00991DF8" w:rsidP="00E209ED">
      <w:pPr>
        <w:pStyle w:val="NumPar1"/>
        <w:numPr>
          <w:ilvl w:val="0"/>
          <w:numId w:val="6"/>
        </w:numPr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Prípravná akcia zameraná na prípravu nového programu EÚ GOVSATCOM</w:t>
      </w:r>
    </w:p>
    <w:p w14:paraId="719DE45A" w14:textId="1CA36797" w:rsidR="00482747" w:rsidRPr="007C266D" w:rsidRDefault="00991DF8" w:rsidP="00B34E95">
      <w:pPr>
        <w:rPr>
          <w:noProof/>
          <w:spacing w:val="-4"/>
        </w:rPr>
      </w:pPr>
      <w:r w:rsidRPr="007C266D">
        <w:rPr>
          <w:noProof/>
          <w:spacing w:val="-4"/>
        </w:rPr>
        <w:t>Nariadenie Európskeho parlamentu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Rady (EÚ, Euratom) 2018/1046</w:t>
      </w:r>
      <w:r w:rsidR="007C266D">
        <w:rPr>
          <w:noProof/>
          <w:spacing w:val="-4"/>
        </w:rPr>
        <w:t xml:space="preserve"> z </w:t>
      </w:r>
      <w:r w:rsidRPr="007C266D">
        <w:rPr>
          <w:noProof/>
          <w:spacing w:val="-4"/>
        </w:rPr>
        <w:t>18</w:t>
      </w:r>
      <w:r w:rsidR="007C266D">
        <w:rPr>
          <w:noProof/>
          <w:spacing w:val="-4"/>
        </w:rPr>
        <w:t>. júla</w:t>
      </w:r>
      <w:r w:rsidRPr="007C266D">
        <w:rPr>
          <w:noProof/>
          <w:spacing w:val="-4"/>
        </w:rPr>
        <w:t xml:space="preserve"> 2018</w:t>
      </w:r>
      <w:r w:rsidR="007C266D">
        <w:rPr>
          <w:noProof/>
          <w:spacing w:val="-4"/>
        </w:rPr>
        <w:t xml:space="preserve"> o </w:t>
      </w:r>
      <w:r w:rsidRPr="007C266D">
        <w:rPr>
          <w:noProof/>
          <w:spacing w:val="-4"/>
        </w:rPr>
        <w:t>rozpočtových pravidlách, ktoré sa vzťahujú na všeobecný rozpočet Únie,</w:t>
      </w:r>
      <w:r w:rsidR="007C266D">
        <w:rPr>
          <w:noProof/>
          <w:spacing w:val="-4"/>
        </w:rPr>
        <w:t xml:space="preserve"> o </w:t>
      </w:r>
      <w:r w:rsidRPr="007C266D">
        <w:rPr>
          <w:noProof/>
          <w:spacing w:val="-4"/>
        </w:rPr>
        <w:t>zmene nariadení (EÚ) č. 1296/2013, (EÚ) č. 1301/2013, (EÚ) č. 1303/2013, (EÚ) č. 1304/2013, (EÚ) č. 1309/2013, (EÚ) č. 1316/2013, (EÚ) č. 223/2014, (EÚ) č. 283/2014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rozhodnutia č. 541/2014/EÚ</w:t>
      </w:r>
      <w:r w:rsidR="007C266D">
        <w:rPr>
          <w:noProof/>
          <w:spacing w:val="-4"/>
        </w:rPr>
        <w:t xml:space="preserve"> a o </w:t>
      </w:r>
      <w:r w:rsidRPr="007C266D">
        <w:rPr>
          <w:noProof/>
          <w:spacing w:val="-4"/>
        </w:rPr>
        <w:t>zrušení nariadenia (EÚ, Euratom) č. 966/2012,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najmä jeho článok 58 ods. 2 písm. b) (</w:t>
      </w:r>
      <w:hyperlink r:id="rId18" w:history="1">
        <w:r w:rsidRPr="007C266D">
          <w:rPr>
            <w:rStyle w:val="Hyperlink"/>
            <w:noProof/>
            <w:color w:val="337AB7"/>
            <w:spacing w:val="-4"/>
          </w:rPr>
          <w:t>Ú. v. EÚ L 193, 30.7.2018, s. 1</w:t>
        </w:r>
      </w:hyperlink>
      <w:r w:rsidRPr="007C266D">
        <w:rPr>
          <w:rStyle w:val="Hyperlink"/>
          <w:noProof/>
          <w:color w:val="337AB7"/>
          <w:spacing w:val="-4"/>
        </w:rPr>
        <w:t xml:space="preserve">, ELI: </w:t>
      </w:r>
      <w:hyperlink r:id="rId19" w:history="1">
        <w:r w:rsidRPr="007C266D">
          <w:rPr>
            <w:rStyle w:val="Hyperlink"/>
            <w:noProof/>
            <w:spacing w:val="-4"/>
          </w:rPr>
          <w:t>http://data.europa.eu/eli/reg/2018/1046/oj</w:t>
        </w:r>
      </w:hyperlink>
      <w:r w:rsidRPr="007C266D">
        <w:rPr>
          <w:noProof/>
          <w:spacing w:val="-4"/>
        </w:rPr>
        <w:t>).</w:t>
      </w:r>
    </w:p>
    <w:p w14:paraId="514E3FBD" w14:textId="77777777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Vesmírny program</w:t>
      </w:r>
    </w:p>
    <w:p w14:paraId="41F016FE" w14:textId="3F6B6608" w:rsidR="00991DF8" w:rsidRPr="007C266D" w:rsidRDefault="00991DF8" w:rsidP="00B34E95">
      <w:pPr>
        <w:rPr>
          <w:noProof/>
        </w:rPr>
      </w:pPr>
      <w:r w:rsidRPr="007C266D">
        <w:rPr>
          <w:noProof/>
        </w:rPr>
        <w:t>Nariadenie Európskeho parlamentu</w:t>
      </w:r>
      <w:r w:rsidR="007C266D">
        <w:rPr>
          <w:noProof/>
        </w:rPr>
        <w:t xml:space="preserve"> a </w:t>
      </w:r>
      <w:r w:rsidRPr="007C266D">
        <w:rPr>
          <w:noProof/>
        </w:rPr>
        <w:t>Rady (EÚ) 2021/696</w:t>
      </w:r>
      <w:r w:rsidR="007C266D">
        <w:rPr>
          <w:noProof/>
        </w:rPr>
        <w:t xml:space="preserve"> z </w:t>
      </w:r>
      <w:r w:rsidRPr="007C266D">
        <w:rPr>
          <w:noProof/>
        </w:rPr>
        <w:t>28</w:t>
      </w:r>
      <w:r w:rsidR="007C266D">
        <w:rPr>
          <w:noProof/>
        </w:rPr>
        <w:t>. apríla</w:t>
      </w:r>
      <w:r w:rsidRPr="007C266D">
        <w:rPr>
          <w:noProof/>
        </w:rPr>
        <w:t xml:space="preserve"> 2021, ktorým sa zriaďuje Vesmírny program Únie</w:t>
      </w:r>
      <w:r w:rsidR="007C266D">
        <w:rPr>
          <w:noProof/>
        </w:rPr>
        <w:t xml:space="preserve"> a </w:t>
      </w:r>
      <w:r w:rsidRPr="007C266D">
        <w:rPr>
          <w:noProof/>
        </w:rPr>
        <w:t>Agentúra Európskej únie pre vesmírny program</w:t>
      </w:r>
      <w:r w:rsidR="007C266D">
        <w:rPr>
          <w:noProof/>
        </w:rPr>
        <w:t xml:space="preserve"> a </w:t>
      </w:r>
      <w:r w:rsidRPr="007C266D">
        <w:rPr>
          <w:noProof/>
        </w:rPr>
        <w:t>ktorým sa zrušujú nariadenia (EÚ) č. 912/2010, (EÚ) č. 1285/2013</w:t>
      </w:r>
      <w:r w:rsidR="007C266D">
        <w:rPr>
          <w:noProof/>
        </w:rPr>
        <w:t xml:space="preserve"> a </w:t>
      </w:r>
      <w:r w:rsidRPr="007C266D">
        <w:rPr>
          <w:noProof/>
        </w:rPr>
        <w:t>(EÚ) č. 377/2014</w:t>
      </w:r>
      <w:r w:rsidR="007C266D">
        <w:rPr>
          <w:noProof/>
        </w:rPr>
        <w:t xml:space="preserve"> a </w:t>
      </w:r>
      <w:r w:rsidRPr="007C266D">
        <w:rPr>
          <w:noProof/>
        </w:rPr>
        <w:t>rozhodnutie č. 541/2014/EÚ (</w:t>
      </w:r>
      <w:hyperlink r:id="rId20" w:history="1">
        <w:r w:rsidRPr="007C266D">
          <w:rPr>
            <w:rStyle w:val="Hyperlink"/>
            <w:noProof/>
            <w:color w:val="337AB7"/>
          </w:rPr>
          <w:t>Ú. v. EÚ L 170, 12.5.2021, s. 69</w:t>
        </w:r>
      </w:hyperlink>
      <w:r w:rsidRPr="007C266D">
        <w:rPr>
          <w:rStyle w:val="Hyperlink"/>
          <w:noProof/>
          <w:color w:val="337AB7"/>
        </w:rPr>
        <w:t>, ELI:</w:t>
      </w:r>
      <w:r w:rsidRPr="007C266D">
        <w:rPr>
          <w:noProof/>
        </w:rPr>
        <w:t xml:space="preserve"> </w:t>
      </w:r>
      <w:hyperlink r:id="rId21" w:history="1">
        <w:r w:rsidRPr="007C266D">
          <w:rPr>
            <w:rStyle w:val="Hyperlink"/>
            <w:noProof/>
          </w:rPr>
          <w:t>http://data.europa.eu/eli/reg/2021/696/oj</w:t>
        </w:r>
      </w:hyperlink>
      <w:r w:rsidRPr="007C266D">
        <w:rPr>
          <w:noProof/>
        </w:rPr>
        <w:t>).</w:t>
      </w:r>
    </w:p>
    <w:p w14:paraId="25D8ADC3" w14:textId="77777777" w:rsidR="007C266D" w:rsidRDefault="00482747" w:rsidP="00482747">
      <w:pPr>
        <w:pStyle w:val="NumPar1"/>
        <w:rPr>
          <w:b/>
          <w:noProof/>
        </w:rPr>
      </w:pPr>
      <w:r w:rsidRPr="007C266D">
        <w:rPr>
          <w:b/>
          <w:noProof/>
        </w:rPr>
        <w:t>Program Únie pre bezpečnú konektivitu</w:t>
      </w:r>
    </w:p>
    <w:p w14:paraId="7AC39570" w14:textId="3364F88C" w:rsidR="00482747" w:rsidRPr="007C266D" w:rsidRDefault="00D751EF" w:rsidP="00C173B2">
      <w:pPr>
        <w:rPr>
          <w:noProof/>
        </w:rPr>
      </w:pPr>
      <w:hyperlink r:id="rId22" w:history="1">
        <w:r w:rsidR="004E496D" w:rsidRPr="007C266D">
          <w:rPr>
            <w:rStyle w:val="Hyperlink"/>
            <w:noProof/>
            <w:color w:val="auto"/>
            <w:u w:val="none"/>
          </w:rPr>
          <w:t>Nariadenie Európskeho parlamentu</w:t>
        </w:r>
        <w:r w:rsidR="007C266D">
          <w:rPr>
            <w:rStyle w:val="Hyperlink"/>
            <w:noProof/>
            <w:color w:val="auto"/>
            <w:u w:val="none"/>
          </w:rPr>
          <w:t xml:space="preserve"> a </w:t>
        </w:r>
        <w:r w:rsidR="004E496D" w:rsidRPr="007C266D">
          <w:rPr>
            <w:rStyle w:val="Hyperlink"/>
            <w:noProof/>
            <w:color w:val="auto"/>
            <w:u w:val="none"/>
          </w:rPr>
          <w:t>Rady (EÚ) 2023/588</w:t>
        </w:r>
        <w:r w:rsidR="007C266D">
          <w:rPr>
            <w:rStyle w:val="Hyperlink"/>
            <w:noProof/>
            <w:color w:val="auto"/>
            <w:u w:val="none"/>
          </w:rPr>
          <w:t xml:space="preserve"> z </w:t>
        </w:r>
        <w:r w:rsidR="004E496D" w:rsidRPr="007C266D">
          <w:rPr>
            <w:rStyle w:val="Hyperlink"/>
            <w:noProof/>
            <w:color w:val="auto"/>
            <w:u w:val="none"/>
          </w:rPr>
          <w:t>15</w:t>
        </w:r>
        <w:r w:rsidR="007C266D">
          <w:rPr>
            <w:rStyle w:val="Hyperlink"/>
            <w:noProof/>
            <w:color w:val="auto"/>
            <w:u w:val="none"/>
          </w:rPr>
          <w:t>. marca</w:t>
        </w:r>
        <w:r w:rsidR="004E496D" w:rsidRPr="007C266D">
          <w:rPr>
            <w:rStyle w:val="Hyperlink"/>
            <w:noProof/>
            <w:color w:val="auto"/>
            <w:u w:val="none"/>
          </w:rPr>
          <w:t xml:space="preserve"> 2023, ktorým sa zriaďuje Program Únie pre bezpečnú konektivitu na obdobie rokov 2023 – 2027</w:t>
        </w:r>
      </w:hyperlink>
      <w:r w:rsidR="004E496D" w:rsidRPr="007C266D">
        <w:rPr>
          <w:noProof/>
        </w:rPr>
        <w:t xml:space="preserve"> (</w:t>
      </w:r>
      <w:hyperlink r:id="rId23" w:history="1">
        <w:r w:rsidR="004E496D" w:rsidRPr="007C266D">
          <w:rPr>
            <w:rStyle w:val="Hyperlink"/>
            <w:noProof/>
          </w:rPr>
          <w:t>Ú. v. EÚ L 79, 17.3.2023, s. 1</w:t>
        </w:r>
      </w:hyperlink>
      <w:r w:rsidR="004E496D" w:rsidRPr="007C266D">
        <w:rPr>
          <w:noProof/>
        </w:rPr>
        <w:t xml:space="preserve">, </w:t>
      </w:r>
      <w:r w:rsidR="004E496D" w:rsidRPr="007C266D">
        <w:rPr>
          <w:rStyle w:val="Hyperlink"/>
          <w:noProof/>
          <w:color w:val="337AB7"/>
        </w:rPr>
        <w:t>ELI:</w:t>
      </w:r>
      <w:r w:rsidR="004E496D" w:rsidRPr="007C266D">
        <w:rPr>
          <w:noProof/>
        </w:rPr>
        <w:t xml:space="preserve"> </w:t>
      </w:r>
      <w:hyperlink r:id="rId24" w:tooltip="Umožňuje prístup k tomuto dokumentu prostredníctvom identifikátorov ELI a URI." w:history="1">
        <w:r w:rsidR="004E496D" w:rsidRPr="007C266D">
          <w:rPr>
            <w:rStyle w:val="Hyperlink"/>
            <w:noProof/>
          </w:rPr>
          <w:t>http://data.europa.eu/eli/reg/2023/588/oj</w:t>
        </w:r>
      </w:hyperlink>
      <w:r w:rsidR="004E496D" w:rsidRPr="007C266D">
        <w:rPr>
          <w:noProof/>
        </w:rPr>
        <w:t>).</w:t>
      </w:r>
    </w:p>
    <w:p w14:paraId="3C48DD61" w14:textId="717D7281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Horizont 2020 vrátane programov</w:t>
      </w:r>
      <w:r w:rsidR="007C266D">
        <w:rPr>
          <w:rStyle w:val="oj-bold"/>
          <w:b/>
          <w:noProof/>
          <w:color w:val="333333"/>
        </w:rPr>
        <w:t xml:space="preserve"> v </w:t>
      </w:r>
      <w:r w:rsidRPr="007C266D">
        <w:rPr>
          <w:rStyle w:val="oj-bold"/>
          <w:b/>
          <w:noProof/>
          <w:color w:val="333333"/>
        </w:rPr>
        <w:t>oblasti výskumu</w:t>
      </w:r>
      <w:r w:rsidR="007C266D">
        <w:rPr>
          <w:rStyle w:val="oj-bold"/>
          <w:b/>
          <w:noProof/>
          <w:color w:val="333333"/>
        </w:rPr>
        <w:t xml:space="preserve"> a </w:t>
      </w:r>
      <w:r w:rsidRPr="007C266D">
        <w:rPr>
          <w:rStyle w:val="oj-bold"/>
          <w:b/>
          <w:noProof/>
          <w:color w:val="333333"/>
        </w:rPr>
        <w:t>rozvoja podľa článku 185 ZFEÚ</w:t>
      </w:r>
      <w:r w:rsidR="007C266D">
        <w:rPr>
          <w:rStyle w:val="oj-bold"/>
          <w:b/>
          <w:noProof/>
          <w:color w:val="333333"/>
        </w:rPr>
        <w:t xml:space="preserve"> a </w:t>
      </w:r>
      <w:r w:rsidRPr="007C266D">
        <w:rPr>
          <w:rStyle w:val="oj-bold"/>
          <w:b/>
          <w:noProof/>
          <w:color w:val="333333"/>
        </w:rPr>
        <w:t>spoločné podniky alebo akékoľvek iné štruktúry zriadené podľa článku 187 ZFEÚ</w:t>
      </w:r>
    </w:p>
    <w:p w14:paraId="46A6F2AE" w14:textId="03F82F32" w:rsidR="007C266D" w:rsidRDefault="00991DF8" w:rsidP="00B34E95">
      <w:pPr>
        <w:rPr>
          <w:noProof/>
        </w:rPr>
      </w:pPr>
      <w:r w:rsidRPr="007C266D">
        <w:rPr>
          <w:noProof/>
        </w:rPr>
        <w:t>Nariadenie Európskeho parlamentu</w:t>
      </w:r>
      <w:r w:rsidR="007C266D">
        <w:rPr>
          <w:noProof/>
        </w:rPr>
        <w:t xml:space="preserve"> a </w:t>
      </w:r>
      <w:r w:rsidRPr="007C266D">
        <w:rPr>
          <w:noProof/>
        </w:rPr>
        <w:t>Rady (EÚ) č. 1291/2013</w:t>
      </w:r>
      <w:r w:rsidR="007C266D">
        <w:rPr>
          <w:noProof/>
        </w:rPr>
        <w:t xml:space="preserve"> z </w:t>
      </w:r>
      <w:r w:rsidRPr="007C266D">
        <w:rPr>
          <w:noProof/>
        </w:rPr>
        <w:t>11</w:t>
      </w:r>
      <w:r w:rsidR="007C266D">
        <w:rPr>
          <w:noProof/>
        </w:rPr>
        <w:t>. decembra</w:t>
      </w:r>
      <w:r w:rsidRPr="007C266D">
        <w:rPr>
          <w:noProof/>
        </w:rPr>
        <w:t xml:space="preserve"> 2013, ktorým sa zriaďuje program Horizont 2020 – rámcový program pre výskum</w:t>
      </w:r>
      <w:r w:rsidR="007C266D">
        <w:rPr>
          <w:noProof/>
        </w:rPr>
        <w:t xml:space="preserve"> a </w:t>
      </w:r>
      <w:r w:rsidRPr="007C266D">
        <w:rPr>
          <w:noProof/>
        </w:rPr>
        <w:t>inováciu (2014 – 2020)</w:t>
      </w:r>
      <w:r w:rsidR="007C266D">
        <w:rPr>
          <w:noProof/>
        </w:rPr>
        <w:t xml:space="preserve"> a </w:t>
      </w:r>
      <w:r w:rsidRPr="007C266D">
        <w:rPr>
          <w:noProof/>
        </w:rPr>
        <w:t>zrušuje rozhodnutie č. 1982/2006/ES (</w:t>
      </w:r>
      <w:hyperlink r:id="rId25" w:history="1">
        <w:r w:rsidRPr="007C266D">
          <w:rPr>
            <w:rStyle w:val="Hyperlink"/>
            <w:noProof/>
            <w:color w:val="337AB7"/>
          </w:rPr>
          <w:t>Ú. v. EÚ L 347, 20.12.2013, s. 104</w:t>
        </w:r>
      </w:hyperlink>
      <w:r w:rsidRPr="007C266D">
        <w:rPr>
          <w:rStyle w:val="Hyperlink"/>
          <w:noProof/>
          <w:color w:val="337AB7"/>
        </w:rPr>
        <w:t xml:space="preserve">, ELI: </w:t>
      </w:r>
      <w:hyperlink r:id="rId26" w:history="1">
        <w:r w:rsidRPr="007C266D">
          <w:rPr>
            <w:rStyle w:val="Hyperlink"/>
            <w:noProof/>
          </w:rPr>
          <w:t>http://data.europa.eu/eli/reg/2013/1291/oj</w:t>
        </w:r>
      </w:hyperlink>
      <w:r w:rsidRPr="007C266D">
        <w:rPr>
          <w:noProof/>
        </w:rPr>
        <w:t>)</w:t>
      </w:r>
      <w:r w:rsidR="007C266D">
        <w:rPr>
          <w:noProof/>
        </w:rPr>
        <w:t>.</w:t>
      </w:r>
    </w:p>
    <w:p w14:paraId="04EE7127" w14:textId="2302FD9E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Horizont Európa vrátane programov</w:t>
      </w:r>
      <w:r w:rsidR="007C266D">
        <w:rPr>
          <w:rStyle w:val="oj-bold"/>
          <w:b/>
          <w:noProof/>
          <w:color w:val="333333"/>
        </w:rPr>
        <w:t xml:space="preserve"> v </w:t>
      </w:r>
      <w:r w:rsidRPr="007C266D">
        <w:rPr>
          <w:rStyle w:val="oj-bold"/>
          <w:b/>
          <w:noProof/>
          <w:color w:val="333333"/>
        </w:rPr>
        <w:t>oblasti výskumu</w:t>
      </w:r>
      <w:r w:rsidR="007C266D">
        <w:rPr>
          <w:rStyle w:val="oj-bold"/>
          <w:b/>
          <w:noProof/>
          <w:color w:val="333333"/>
        </w:rPr>
        <w:t xml:space="preserve"> a </w:t>
      </w:r>
      <w:r w:rsidRPr="007C266D">
        <w:rPr>
          <w:rStyle w:val="oj-bold"/>
          <w:b/>
          <w:noProof/>
          <w:color w:val="333333"/>
        </w:rPr>
        <w:t>rozvoja podľa článku 185 ZFEÚ</w:t>
      </w:r>
      <w:r w:rsidR="007C266D">
        <w:rPr>
          <w:rStyle w:val="oj-bold"/>
          <w:b/>
          <w:noProof/>
          <w:color w:val="333333"/>
        </w:rPr>
        <w:t xml:space="preserve"> a </w:t>
      </w:r>
      <w:r w:rsidRPr="007C266D">
        <w:rPr>
          <w:rStyle w:val="oj-bold"/>
          <w:b/>
          <w:noProof/>
          <w:color w:val="333333"/>
        </w:rPr>
        <w:t>spoločné podniky alebo akékoľvek iné štruktúry zriadené podľa článku 187 ZFEÚ</w:t>
      </w:r>
    </w:p>
    <w:p w14:paraId="4A779B31" w14:textId="36C94ABF" w:rsidR="00991DF8" w:rsidRPr="007C266D" w:rsidRDefault="00991DF8" w:rsidP="00B34E95">
      <w:pPr>
        <w:rPr>
          <w:noProof/>
        </w:rPr>
      </w:pPr>
      <w:r w:rsidRPr="007C266D">
        <w:rPr>
          <w:noProof/>
        </w:rPr>
        <w:t>Nariadenie Európskeho parlamentu</w:t>
      </w:r>
      <w:r w:rsidR="007C266D">
        <w:rPr>
          <w:noProof/>
        </w:rPr>
        <w:t xml:space="preserve"> a </w:t>
      </w:r>
      <w:r w:rsidRPr="007C266D">
        <w:rPr>
          <w:noProof/>
        </w:rPr>
        <w:t>Rady (EÚ) 2021/695</w:t>
      </w:r>
      <w:r w:rsidR="007C266D">
        <w:rPr>
          <w:noProof/>
        </w:rPr>
        <w:t xml:space="preserve"> z </w:t>
      </w:r>
      <w:r w:rsidRPr="007C266D">
        <w:rPr>
          <w:noProof/>
        </w:rPr>
        <w:t>28</w:t>
      </w:r>
      <w:r w:rsidR="007C266D">
        <w:rPr>
          <w:noProof/>
        </w:rPr>
        <w:t>. apríla</w:t>
      </w:r>
      <w:r w:rsidRPr="007C266D">
        <w:rPr>
          <w:noProof/>
        </w:rPr>
        <w:t xml:space="preserve"> 2021, ktorým sa zriaďuje Horizont Európa – rámcový program pre výskum</w:t>
      </w:r>
      <w:r w:rsidR="007C266D">
        <w:rPr>
          <w:noProof/>
        </w:rPr>
        <w:t xml:space="preserve"> a </w:t>
      </w:r>
      <w:r w:rsidRPr="007C266D">
        <w:rPr>
          <w:noProof/>
        </w:rPr>
        <w:t>inovácie, stanovujú jeho pravidlá účasti</w:t>
      </w:r>
      <w:r w:rsidR="007C266D">
        <w:rPr>
          <w:noProof/>
        </w:rPr>
        <w:t xml:space="preserve"> a </w:t>
      </w:r>
      <w:r w:rsidRPr="007C266D">
        <w:rPr>
          <w:noProof/>
        </w:rPr>
        <w:t>šírenia</w:t>
      </w:r>
      <w:r w:rsidR="007C266D">
        <w:rPr>
          <w:noProof/>
        </w:rPr>
        <w:t xml:space="preserve"> a </w:t>
      </w:r>
      <w:r w:rsidRPr="007C266D">
        <w:rPr>
          <w:noProof/>
        </w:rPr>
        <w:t>zrušujú nariadenia (EÚ) č. 1290/2013</w:t>
      </w:r>
      <w:r w:rsidR="007C266D">
        <w:rPr>
          <w:noProof/>
        </w:rPr>
        <w:t xml:space="preserve"> a </w:t>
      </w:r>
      <w:r w:rsidRPr="007C266D">
        <w:rPr>
          <w:noProof/>
        </w:rPr>
        <w:t>(EÚ) č. 1291/2013 (</w:t>
      </w:r>
      <w:hyperlink r:id="rId27" w:history="1">
        <w:r w:rsidRPr="007C266D">
          <w:rPr>
            <w:rStyle w:val="Hyperlink"/>
            <w:noProof/>
            <w:color w:val="337AB7"/>
          </w:rPr>
          <w:t>Ú. v. EÚ L 170, 12.5.2021, s. 1</w:t>
        </w:r>
      </w:hyperlink>
      <w:r w:rsidRPr="007C266D">
        <w:rPr>
          <w:rStyle w:val="Hyperlink"/>
          <w:noProof/>
          <w:color w:val="337AB7"/>
        </w:rPr>
        <w:t xml:space="preserve">, ELI: </w:t>
      </w:r>
      <w:hyperlink r:id="rId28" w:history="1">
        <w:r w:rsidRPr="007C266D">
          <w:rPr>
            <w:rStyle w:val="Hyperlink"/>
            <w:noProof/>
          </w:rPr>
          <w:t>http://data.europa.eu/eli/reg/2021/695/oj</w:t>
        </w:r>
      </w:hyperlink>
      <w:r w:rsidRPr="007C266D">
        <w:rPr>
          <w:noProof/>
        </w:rPr>
        <w:t>).</w:t>
      </w:r>
    </w:p>
    <w:p w14:paraId="69897F37" w14:textId="20A25F24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Výskumný</w:t>
      </w:r>
      <w:r w:rsidR="007C266D">
        <w:rPr>
          <w:rStyle w:val="oj-bold"/>
          <w:b/>
          <w:noProof/>
          <w:color w:val="333333"/>
        </w:rPr>
        <w:t xml:space="preserve"> a </w:t>
      </w:r>
      <w:r w:rsidRPr="007C266D">
        <w:rPr>
          <w:rStyle w:val="oj-bold"/>
          <w:b/>
          <w:noProof/>
          <w:color w:val="333333"/>
        </w:rPr>
        <w:t>vzdelávací program Euratomu na obdobie 2021 – 2025</w:t>
      </w:r>
    </w:p>
    <w:p w14:paraId="5AE247B5" w14:textId="40A298E6" w:rsidR="00991DF8" w:rsidRPr="007C266D" w:rsidRDefault="00991DF8" w:rsidP="00B34E95">
      <w:pPr>
        <w:rPr>
          <w:noProof/>
        </w:rPr>
      </w:pPr>
      <w:r w:rsidRPr="007C266D">
        <w:rPr>
          <w:noProof/>
        </w:rPr>
        <w:t>Nariadenie Rady (Euratom) 2021/765</w:t>
      </w:r>
      <w:r w:rsidR="007C266D">
        <w:rPr>
          <w:noProof/>
        </w:rPr>
        <w:t xml:space="preserve"> z </w:t>
      </w:r>
      <w:r w:rsidRPr="007C266D">
        <w:rPr>
          <w:noProof/>
        </w:rPr>
        <w:t>10</w:t>
      </w:r>
      <w:r w:rsidR="007C266D">
        <w:rPr>
          <w:noProof/>
        </w:rPr>
        <w:t>. mája</w:t>
      </w:r>
      <w:r w:rsidRPr="007C266D">
        <w:rPr>
          <w:noProof/>
        </w:rPr>
        <w:t xml:space="preserve"> 2021, ktorým sa stanovuje výskumný</w:t>
      </w:r>
      <w:r w:rsidR="007C266D">
        <w:rPr>
          <w:noProof/>
        </w:rPr>
        <w:t xml:space="preserve"> a </w:t>
      </w:r>
      <w:r w:rsidRPr="007C266D">
        <w:rPr>
          <w:noProof/>
        </w:rPr>
        <w:t>vzdelávací program Európskeho spoločenstva pre atómovú energiu na obdobie 2021 – 2025, ktorým sa dopĺňa program Horizont Európa – rámcový program pre výskum</w:t>
      </w:r>
      <w:r w:rsidR="007C266D">
        <w:rPr>
          <w:noProof/>
        </w:rPr>
        <w:t xml:space="preserve"> a </w:t>
      </w:r>
      <w:r w:rsidRPr="007C266D">
        <w:rPr>
          <w:noProof/>
        </w:rPr>
        <w:t>inovácie</w:t>
      </w:r>
      <w:r w:rsidR="007C266D">
        <w:rPr>
          <w:noProof/>
        </w:rPr>
        <w:t xml:space="preserve"> a o </w:t>
      </w:r>
      <w:r w:rsidRPr="007C266D">
        <w:rPr>
          <w:noProof/>
        </w:rPr>
        <w:t>zrušení nariadenia (Euratom) 2018/1563 (</w:t>
      </w:r>
      <w:hyperlink r:id="rId29" w:history="1">
        <w:r w:rsidRPr="007C266D">
          <w:rPr>
            <w:rStyle w:val="Hyperlink"/>
            <w:noProof/>
            <w:color w:val="337AB7"/>
          </w:rPr>
          <w:t>Ú. v. EÚ L 167I, 12.5.2021, s. 81</w:t>
        </w:r>
      </w:hyperlink>
      <w:r w:rsidRPr="007C266D">
        <w:rPr>
          <w:rStyle w:val="Hyperlink"/>
          <w:noProof/>
          <w:color w:val="337AB7"/>
        </w:rPr>
        <w:t xml:space="preserve">, ELI: </w:t>
      </w:r>
      <w:hyperlink r:id="rId30" w:history="1">
        <w:r w:rsidRPr="007C266D">
          <w:rPr>
            <w:rStyle w:val="Hyperlink"/>
            <w:noProof/>
          </w:rPr>
          <w:t>http://data.europa.eu/eli/reg/2021/765/oj</w:t>
        </w:r>
      </w:hyperlink>
      <w:r w:rsidRPr="007C266D">
        <w:rPr>
          <w:noProof/>
        </w:rPr>
        <w:t>).</w:t>
      </w:r>
    </w:p>
    <w:p w14:paraId="35E5C5B8" w14:textId="77777777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Transeurópska dopravná sieť (TEN-T)</w:t>
      </w:r>
    </w:p>
    <w:p w14:paraId="4ADEEAF3" w14:textId="5C847FE7" w:rsidR="00991DF8" w:rsidRPr="007C266D" w:rsidRDefault="00991DF8" w:rsidP="00B34E95">
      <w:pPr>
        <w:rPr>
          <w:noProof/>
          <w:spacing w:val="-4"/>
        </w:rPr>
      </w:pPr>
      <w:r w:rsidRPr="007C266D">
        <w:rPr>
          <w:noProof/>
          <w:spacing w:val="-4"/>
        </w:rPr>
        <w:t>Nariadenie Európskeho parlamentu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Rady (EÚ) č. 1315/2013</w:t>
      </w:r>
      <w:r w:rsidR="007C266D">
        <w:rPr>
          <w:noProof/>
          <w:spacing w:val="-4"/>
        </w:rPr>
        <w:t xml:space="preserve"> z </w:t>
      </w:r>
      <w:r w:rsidRPr="007C266D">
        <w:rPr>
          <w:noProof/>
          <w:spacing w:val="-4"/>
        </w:rPr>
        <w:t>11</w:t>
      </w:r>
      <w:r w:rsidR="007C266D">
        <w:rPr>
          <w:noProof/>
          <w:spacing w:val="-4"/>
        </w:rPr>
        <w:t>. decembra</w:t>
      </w:r>
      <w:r w:rsidRPr="007C266D">
        <w:rPr>
          <w:noProof/>
          <w:spacing w:val="-4"/>
        </w:rPr>
        <w:t xml:space="preserve"> 2013</w:t>
      </w:r>
      <w:r w:rsidR="007C266D">
        <w:rPr>
          <w:noProof/>
          <w:spacing w:val="-4"/>
        </w:rPr>
        <w:t xml:space="preserve"> o </w:t>
      </w:r>
      <w:r w:rsidRPr="007C266D">
        <w:rPr>
          <w:noProof/>
          <w:spacing w:val="-4"/>
        </w:rPr>
        <w:t>usmerneniach Únie pre rozvoj transeurópskej dopravnej siete</w:t>
      </w:r>
      <w:r w:rsidR="007C266D">
        <w:rPr>
          <w:noProof/>
          <w:spacing w:val="-4"/>
        </w:rPr>
        <w:t xml:space="preserve"> a o </w:t>
      </w:r>
      <w:r w:rsidRPr="007C266D">
        <w:rPr>
          <w:noProof/>
          <w:spacing w:val="-4"/>
        </w:rPr>
        <w:t>zrušení rozhodnutia č. 661/2010/EÚ (</w:t>
      </w:r>
      <w:hyperlink r:id="rId31" w:history="1">
        <w:r w:rsidRPr="007C266D">
          <w:rPr>
            <w:rStyle w:val="Hyperlink"/>
            <w:noProof/>
            <w:color w:val="337AB7"/>
            <w:spacing w:val="-4"/>
          </w:rPr>
          <w:t>Ú. v. EÚ L 348, 20.12.2013, s. 1</w:t>
        </w:r>
      </w:hyperlink>
      <w:r w:rsidRPr="007C266D">
        <w:rPr>
          <w:rStyle w:val="Hyperlink"/>
          <w:noProof/>
          <w:color w:val="337AB7"/>
          <w:spacing w:val="-4"/>
        </w:rPr>
        <w:t xml:space="preserve">, ELI: </w:t>
      </w:r>
      <w:hyperlink r:id="rId32" w:history="1">
        <w:r w:rsidRPr="007C266D">
          <w:rPr>
            <w:rStyle w:val="Hyperlink"/>
            <w:noProof/>
            <w:spacing w:val="-4"/>
          </w:rPr>
          <w:t>http://data.europa.eu/eli/reg/2013/1315/oj</w:t>
        </w:r>
      </w:hyperlink>
      <w:r w:rsidRPr="007C266D">
        <w:rPr>
          <w:noProof/>
          <w:spacing w:val="-4"/>
        </w:rPr>
        <w:t>).</w:t>
      </w:r>
    </w:p>
    <w:p w14:paraId="64E85493" w14:textId="77777777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Transeurópska energetická sieť (TEN-E)</w:t>
      </w:r>
    </w:p>
    <w:p w14:paraId="4001859C" w14:textId="7598DF73" w:rsidR="00991DF8" w:rsidRPr="007C266D" w:rsidRDefault="00991DF8" w:rsidP="00B34E95">
      <w:pPr>
        <w:rPr>
          <w:noProof/>
        </w:rPr>
      </w:pPr>
      <w:r w:rsidRPr="007C266D">
        <w:rPr>
          <w:noProof/>
        </w:rPr>
        <w:t>Nariadenie Európskeho parlamentu</w:t>
      </w:r>
      <w:r w:rsidR="007C266D">
        <w:rPr>
          <w:noProof/>
        </w:rPr>
        <w:t xml:space="preserve"> a </w:t>
      </w:r>
      <w:r w:rsidRPr="007C266D">
        <w:rPr>
          <w:noProof/>
        </w:rPr>
        <w:t>Rady (EÚ) č. 347/2013 zo 17</w:t>
      </w:r>
      <w:r w:rsidR="007C266D">
        <w:rPr>
          <w:noProof/>
        </w:rPr>
        <w:t>. apríla</w:t>
      </w:r>
      <w:r w:rsidRPr="007C266D">
        <w:rPr>
          <w:noProof/>
        </w:rPr>
        <w:t xml:space="preserve"> 2013</w:t>
      </w:r>
      <w:r w:rsidR="007C266D">
        <w:rPr>
          <w:noProof/>
        </w:rPr>
        <w:t xml:space="preserve"> o </w:t>
      </w:r>
      <w:r w:rsidRPr="007C266D">
        <w:rPr>
          <w:noProof/>
        </w:rPr>
        <w:t>usmerneniach pre transeurópsku energetickú infraštruktúru, ktorým sa zrušuje rozhodnutie č. 1364/2006/ES</w:t>
      </w:r>
      <w:r w:rsidR="007C266D">
        <w:rPr>
          <w:noProof/>
        </w:rPr>
        <w:t xml:space="preserve"> a </w:t>
      </w:r>
      <w:r w:rsidRPr="007C266D">
        <w:rPr>
          <w:noProof/>
        </w:rPr>
        <w:t>menia</w:t>
      </w:r>
      <w:r w:rsidR="007C266D">
        <w:rPr>
          <w:noProof/>
        </w:rPr>
        <w:t xml:space="preserve"> a </w:t>
      </w:r>
      <w:r w:rsidRPr="007C266D">
        <w:rPr>
          <w:noProof/>
        </w:rPr>
        <w:t>dopĺňajú nariadenia (ES) č. 713/2009, (ES) č. 714/2009</w:t>
      </w:r>
      <w:r w:rsidR="007C266D">
        <w:rPr>
          <w:noProof/>
        </w:rPr>
        <w:t xml:space="preserve"> a </w:t>
      </w:r>
      <w:r w:rsidRPr="007C266D">
        <w:rPr>
          <w:noProof/>
        </w:rPr>
        <w:t>(ES) č. 715/2009 (</w:t>
      </w:r>
      <w:hyperlink r:id="rId33" w:history="1">
        <w:r w:rsidRPr="007C266D">
          <w:rPr>
            <w:rStyle w:val="Hyperlink"/>
            <w:noProof/>
            <w:color w:val="337AB7"/>
          </w:rPr>
          <w:t>Ú. v. EÚ L 115, 25.4.2013, s. 39</w:t>
        </w:r>
      </w:hyperlink>
      <w:r w:rsidRPr="007C266D">
        <w:rPr>
          <w:rStyle w:val="Hyperlink"/>
          <w:noProof/>
          <w:color w:val="337AB7"/>
        </w:rPr>
        <w:t xml:space="preserve">, ELI: </w:t>
      </w:r>
      <w:hyperlink r:id="rId34" w:history="1">
        <w:r w:rsidRPr="007C266D">
          <w:rPr>
            <w:rStyle w:val="Hyperlink"/>
            <w:noProof/>
          </w:rPr>
          <w:t>http://data.europa.eu/eli/reg/2013/347/oj</w:t>
        </w:r>
      </w:hyperlink>
      <w:r w:rsidRPr="007C266D">
        <w:rPr>
          <w:noProof/>
        </w:rPr>
        <w:t>).</w:t>
      </w:r>
    </w:p>
    <w:p w14:paraId="156F9554" w14:textId="2C2FD948" w:rsidR="00991DF8" w:rsidRPr="007C266D" w:rsidRDefault="00991DF8" w:rsidP="00907F22">
      <w:pPr>
        <w:pStyle w:val="NumPar1"/>
        <w:rPr>
          <w:b/>
          <w:bCs/>
          <w:noProof/>
          <w:color w:val="333333"/>
        </w:rPr>
      </w:pPr>
      <w:bookmarkStart w:id="1" w:name="_Hlk155874190"/>
      <w:r w:rsidRPr="007C266D">
        <w:rPr>
          <w:rStyle w:val="oj-bold"/>
          <w:b/>
          <w:noProof/>
          <w:color w:val="333333"/>
        </w:rPr>
        <w:t>Transeurópska sieť</w:t>
      </w:r>
      <w:r w:rsidR="007C266D">
        <w:rPr>
          <w:rStyle w:val="oj-bold"/>
          <w:b/>
          <w:noProof/>
          <w:color w:val="333333"/>
        </w:rPr>
        <w:t xml:space="preserve"> v </w:t>
      </w:r>
      <w:r w:rsidRPr="007C266D">
        <w:rPr>
          <w:rStyle w:val="oj-bold"/>
          <w:b/>
          <w:noProof/>
          <w:color w:val="333333"/>
        </w:rPr>
        <w:t>oblasti telekomunikačnej infraštruktúry</w:t>
      </w:r>
      <w:r w:rsidRPr="007C266D">
        <w:rPr>
          <w:b/>
          <w:noProof/>
          <w:color w:val="333333"/>
        </w:rPr>
        <w:t> </w:t>
      </w:r>
      <w:r w:rsidR="00FE50F6" w:rsidRPr="007C266D">
        <w:rPr>
          <w:rStyle w:val="FootnoteReference"/>
          <w:b/>
          <w:bCs/>
          <w:noProof/>
          <w:color w:val="333333"/>
        </w:rPr>
        <w:footnoteReference w:id="1"/>
      </w:r>
    </w:p>
    <w:p w14:paraId="74C08151" w14:textId="5CDFC84E" w:rsidR="00991DF8" w:rsidRPr="007C266D" w:rsidRDefault="00991DF8" w:rsidP="00B34E95">
      <w:pPr>
        <w:rPr>
          <w:noProof/>
          <w:spacing w:val="-4"/>
        </w:rPr>
      </w:pPr>
      <w:r w:rsidRPr="007C266D">
        <w:rPr>
          <w:noProof/>
          <w:spacing w:val="-4"/>
        </w:rPr>
        <w:t>Nariadenie Európskeho parlamentu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Rady (EÚ) č. 283/2014</w:t>
      </w:r>
      <w:r w:rsidR="007C266D">
        <w:rPr>
          <w:noProof/>
          <w:spacing w:val="-4"/>
        </w:rPr>
        <w:t xml:space="preserve"> z </w:t>
      </w:r>
      <w:r w:rsidRPr="007C266D">
        <w:rPr>
          <w:noProof/>
          <w:spacing w:val="-4"/>
        </w:rPr>
        <w:t>11</w:t>
      </w:r>
      <w:r w:rsidR="007C266D">
        <w:rPr>
          <w:noProof/>
          <w:spacing w:val="-4"/>
        </w:rPr>
        <w:t>. marca</w:t>
      </w:r>
      <w:r w:rsidRPr="007C266D">
        <w:rPr>
          <w:noProof/>
          <w:spacing w:val="-4"/>
        </w:rPr>
        <w:t xml:space="preserve"> 2014</w:t>
      </w:r>
      <w:r w:rsidR="007C266D">
        <w:rPr>
          <w:noProof/>
          <w:spacing w:val="-4"/>
        </w:rPr>
        <w:t xml:space="preserve"> o </w:t>
      </w:r>
      <w:r w:rsidRPr="007C266D">
        <w:rPr>
          <w:noProof/>
          <w:spacing w:val="-4"/>
        </w:rPr>
        <w:t>usmerneniach pre transeurópske siete</w:t>
      </w:r>
      <w:r w:rsidR="007C266D">
        <w:rPr>
          <w:noProof/>
          <w:spacing w:val="-4"/>
        </w:rPr>
        <w:t xml:space="preserve"> v </w:t>
      </w:r>
      <w:r w:rsidRPr="007C266D">
        <w:rPr>
          <w:noProof/>
          <w:spacing w:val="-4"/>
        </w:rPr>
        <w:t>oblasti telekomunikačnej infraštruktúry, ktorým sa zrušuje rozhodnutie č. 1336/97/ES (</w:t>
      </w:r>
      <w:hyperlink r:id="rId35" w:history="1">
        <w:r w:rsidRPr="007C266D">
          <w:rPr>
            <w:rStyle w:val="Hyperlink"/>
            <w:noProof/>
            <w:color w:val="337AB7"/>
            <w:spacing w:val="-4"/>
          </w:rPr>
          <w:t>Ú. v. EÚ L 86, 21.3.2014, s. 14</w:t>
        </w:r>
      </w:hyperlink>
      <w:r w:rsidRPr="007C266D">
        <w:rPr>
          <w:rStyle w:val="Hyperlink"/>
          <w:noProof/>
          <w:color w:val="337AB7"/>
          <w:spacing w:val="-4"/>
        </w:rPr>
        <w:t xml:space="preserve">, ELI: </w:t>
      </w:r>
      <w:hyperlink r:id="rId36" w:history="1">
        <w:r w:rsidRPr="007C266D">
          <w:rPr>
            <w:rStyle w:val="Hyperlink"/>
            <w:noProof/>
            <w:spacing w:val="-4"/>
          </w:rPr>
          <w:t>http://data.europa.eu/eli/reg/2014/283/oj</w:t>
        </w:r>
      </w:hyperlink>
      <w:r w:rsidRPr="007C266D">
        <w:rPr>
          <w:rStyle w:val="Hyperlink"/>
          <w:noProof/>
          <w:color w:val="337AB7"/>
          <w:spacing w:val="-4"/>
        </w:rPr>
        <w:t xml:space="preserve"> </w:t>
      </w:r>
      <w:r w:rsidRPr="007C266D">
        <w:rPr>
          <w:noProof/>
          <w:spacing w:val="-4"/>
        </w:rPr>
        <w:t>).</w:t>
      </w:r>
    </w:p>
    <w:bookmarkEnd w:id="1"/>
    <w:p w14:paraId="182DFD69" w14:textId="77777777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Nástroj na prepájanie Európy</w:t>
      </w:r>
    </w:p>
    <w:p w14:paraId="375F57B9" w14:textId="2E47EB58" w:rsidR="00991DF8" w:rsidRPr="007C266D" w:rsidRDefault="00991DF8" w:rsidP="00B34E95">
      <w:pPr>
        <w:rPr>
          <w:noProof/>
        </w:rPr>
      </w:pPr>
      <w:r w:rsidRPr="007C266D">
        <w:rPr>
          <w:noProof/>
          <w:spacing w:val="-4"/>
        </w:rPr>
        <w:t>Nariadenie Európskeho parlamentu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Rady (EÚ) 2021/1153 zo 7</w:t>
      </w:r>
      <w:r w:rsidR="007C266D">
        <w:rPr>
          <w:noProof/>
          <w:spacing w:val="-4"/>
        </w:rPr>
        <w:t>. júla</w:t>
      </w:r>
      <w:r w:rsidRPr="007C266D">
        <w:rPr>
          <w:noProof/>
          <w:spacing w:val="-4"/>
        </w:rPr>
        <w:t xml:space="preserve"> 2021, ktorým sa zriaďuje Nástroj na prepájanie Európy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zrušujú nariadenia (EÚ) č. 1316/2013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(EÚ) č. 283/2014 (</w:t>
      </w:r>
      <w:hyperlink r:id="rId37" w:history="1">
        <w:r w:rsidRPr="007C266D">
          <w:rPr>
            <w:rStyle w:val="Hyperlink"/>
            <w:noProof/>
            <w:color w:val="337AB7"/>
            <w:spacing w:val="-4"/>
          </w:rPr>
          <w:t>Ú. v. EÚ L 249, 14.7.2021, s. 38</w:t>
        </w:r>
      </w:hyperlink>
      <w:r w:rsidRPr="007C266D">
        <w:rPr>
          <w:rStyle w:val="Hyperlink"/>
          <w:noProof/>
          <w:color w:val="337AB7"/>
          <w:spacing w:val="-4"/>
        </w:rPr>
        <w:t>, ELI:</w:t>
      </w:r>
      <w:r w:rsidRPr="007C266D">
        <w:rPr>
          <w:rStyle w:val="Hyperlink"/>
          <w:noProof/>
          <w:color w:val="337AB7"/>
        </w:rPr>
        <w:t xml:space="preserve"> </w:t>
      </w:r>
      <w:hyperlink r:id="rId38" w:history="1">
        <w:r w:rsidRPr="007C266D">
          <w:rPr>
            <w:rStyle w:val="Hyperlink"/>
            <w:noProof/>
          </w:rPr>
          <w:t>http://data.europa.eu/eli/reg/2021/1153/oj</w:t>
        </w:r>
      </w:hyperlink>
      <w:r w:rsidRPr="007C266D">
        <w:rPr>
          <w:noProof/>
        </w:rPr>
        <w:t>).</w:t>
      </w:r>
    </w:p>
    <w:p w14:paraId="5FB51EFC" w14:textId="77777777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Program Digitálna Európa</w:t>
      </w:r>
    </w:p>
    <w:p w14:paraId="42728E07" w14:textId="01021E52" w:rsidR="00991DF8" w:rsidRPr="007C266D" w:rsidRDefault="00991DF8" w:rsidP="00B34E95">
      <w:pPr>
        <w:rPr>
          <w:noProof/>
        </w:rPr>
      </w:pPr>
      <w:r w:rsidRPr="007C266D">
        <w:rPr>
          <w:noProof/>
        </w:rPr>
        <w:t>Nariadenie Európskeho parlamentu</w:t>
      </w:r>
      <w:r w:rsidR="007C266D">
        <w:rPr>
          <w:noProof/>
        </w:rPr>
        <w:t xml:space="preserve"> a </w:t>
      </w:r>
      <w:r w:rsidRPr="007C266D">
        <w:rPr>
          <w:noProof/>
        </w:rPr>
        <w:t>Rady (EÚ) 2021/694</w:t>
      </w:r>
      <w:r w:rsidR="007C266D">
        <w:rPr>
          <w:noProof/>
        </w:rPr>
        <w:t xml:space="preserve"> z </w:t>
      </w:r>
      <w:r w:rsidRPr="007C266D">
        <w:rPr>
          <w:noProof/>
        </w:rPr>
        <w:t>29</w:t>
      </w:r>
      <w:r w:rsidR="007C266D">
        <w:rPr>
          <w:noProof/>
        </w:rPr>
        <w:t>. apríla</w:t>
      </w:r>
      <w:r w:rsidRPr="007C266D">
        <w:rPr>
          <w:noProof/>
        </w:rPr>
        <w:t xml:space="preserve"> 2021, ktorým sa zriaďuje program Digitálna Európa</w:t>
      </w:r>
      <w:r w:rsidR="007C266D">
        <w:rPr>
          <w:noProof/>
        </w:rPr>
        <w:t xml:space="preserve"> a </w:t>
      </w:r>
      <w:r w:rsidRPr="007C266D">
        <w:rPr>
          <w:noProof/>
        </w:rPr>
        <w:t>zrušuje rozhodnutie (EÚ) 2015/2240 (</w:t>
      </w:r>
      <w:hyperlink r:id="rId39" w:history="1">
        <w:r w:rsidRPr="007C266D">
          <w:rPr>
            <w:rStyle w:val="Hyperlink"/>
            <w:noProof/>
            <w:color w:val="337AB7"/>
          </w:rPr>
          <w:t>Ú. v. EÚ L 166, 11.5.2021, s. 1</w:t>
        </w:r>
      </w:hyperlink>
      <w:r w:rsidRPr="007C266D">
        <w:rPr>
          <w:rStyle w:val="Hyperlink"/>
          <w:noProof/>
          <w:color w:val="337AB7"/>
        </w:rPr>
        <w:t xml:space="preserve">, ELI: </w:t>
      </w:r>
      <w:hyperlink r:id="rId40" w:history="1">
        <w:r w:rsidRPr="007C266D">
          <w:rPr>
            <w:rStyle w:val="Hyperlink"/>
            <w:noProof/>
          </w:rPr>
          <w:t>http://data.europa.eu/eli/reg/2021/694/oj</w:t>
        </w:r>
      </w:hyperlink>
      <w:r w:rsidRPr="007C266D">
        <w:rPr>
          <w:noProof/>
        </w:rPr>
        <w:t>).</w:t>
      </w:r>
    </w:p>
    <w:p w14:paraId="3FBF6C46" w14:textId="77777777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Program rozvoja európskeho obranného priemyslu</w:t>
      </w:r>
    </w:p>
    <w:p w14:paraId="2DA98914" w14:textId="13F669FF" w:rsidR="00991DF8" w:rsidRPr="007C266D" w:rsidRDefault="00991DF8" w:rsidP="00B34E95">
      <w:pPr>
        <w:rPr>
          <w:noProof/>
        </w:rPr>
      </w:pPr>
      <w:bookmarkStart w:id="2" w:name="_Hlk155968117"/>
      <w:r w:rsidRPr="007C266D">
        <w:rPr>
          <w:noProof/>
        </w:rPr>
        <w:t>Nariadenie Európskeho parlamentu</w:t>
      </w:r>
      <w:r w:rsidR="007C266D">
        <w:rPr>
          <w:noProof/>
        </w:rPr>
        <w:t xml:space="preserve"> a </w:t>
      </w:r>
      <w:r w:rsidRPr="007C266D">
        <w:rPr>
          <w:noProof/>
        </w:rPr>
        <w:t>Rady (EÚ) 2018/1092</w:t>
      </w:r>
      <w:r w:rsidR="007C266D">
        <w:rPr>
          <w:noProof/>
        </w:rPr>
        <w:t xml:space="preserve"> z </w:t>
      </w:r>
      <w:r w:rsidRPr="007C266D">
        <w:rPr>
          <w:noProof/>
        </w:rPr>
        <w:t>18</w:t>
      </w:r>
      <w:r w:rsidR="007C266D">
        <w:rPr>
          <w:noProof/>
        </w:rPr>
        <w:t>. júla</w:t>
      </w:r>
      <w:r w:rsidRPr="007C266D">
        <w:rPr>
          <w:noProof/>
        </w:rPr>
        <w:t xml:space="preserve"> 2018, ktorým sa zriaďuje Program rozvoja európskeho obranného priemyslu zameraný na podporu konkurencieschopnosti</w:t>
      </w:r>
      <w:r w:rsidR="007C266D">
        <w:rPr>
          <w:noProof/>
        </w:rPr>
        <w:t xml:space="preserve"> a </w:t>
      </w:r>
      <w:r w:rsidRPr="007C266D">
        <w:rPr>
          <w:noProof/>
        </w:rPr>
        <w:t>inovačnej kapacity obranného priemyslu Únie (</w:t>
      </w:r>
      <w:hyperlink r:id="rId41" w:history="1">
        <w:r w:rsidRPr="007C266D">
          <w:rPr>
            <w:rStyle w:val="Hyperlink"/>
            <w:noProof/>
            <w:color w:val="337AB7"/>
          </w:rPr>
          <w:t>Ú. v. EÚ L 200, 7.8.2018, s. 30</w:t>
        </w:r>
      </w:hyperlink>
      <w:r w:rsidRPr="007C266D">
        <w:rPr>
          <w:rStyle w:val="Hyperlink"/>
          <w:noProof/>
          <w:color w:val="337AB7"/>
        </w:rPr>
        <w:t xml:space="preserve">, ELI: </w:t>
      </w:r>
      <w:bookmarkStart w:id="3" w:name="_Hlk155968214"/>
      <w:r w:rsidR="00385235" w:rsidRPr="007C266D">
        <w:rPr>
          <w:rStyle w:val="Hyperlink"/>
          <w:rFonts w:eastAsiaTheme="majorEastAsia"/>
          <w:noProof/>
          <w:color w:val="337AB7"/>
        </w:rPr>
        <w:fldChar w:fldCharType="begin"/>
      </w:r>
      <w:r w:rsidR="00385235" w:rsidRPr="007C266D">
        <w:rPr>
          <w:rStyle w:val="Hyperlink"/>
          <w:rFonts w:eastAsiaTheme="majorEastAsia"/>
          <w:noProof/>
          <w:color w:val="337AB7"/>
        </w:rPr>
        <w:instrText>HYPERLINK "http://data.europa.eu/eli/reg/2018/1092/oj"</w:instrText>
      </w:r>
      <w:r w:rsidR="00385235" w:rsidRPr="007C266D">
        <w:rPr>
          <w:rStyle w:val="Hyperlink"/>
          <w:rFonts w:eastAsiaTheme="majorEastAsia"/>
          <w:noProof/>
          <w:color w:val="337AB7"/>
        </w:rPr>
        <w:fldChar w:fldCharType="separate"/>
      </w:r>
      <w:r w:rsidRPr="007C266D">
        <w:rPr>
          <w:rStyle w:val="Hyperlink"/>
          <w:noProof/>
        </w:rPr>
        <w:t>http://data.europa.eu/eli/reg/2018/1092/oj</w:t>
      </w:r>
      <w:bookmarkEnd w:id="3"/>
      <w:r w:rsidR="00385235" w:rsidRPr="007C266D">
        <w:rPr>
          <w:rStyle w:val="Hyperlink"/>
          <w:rFonts w:eastAsiaTheme="majorEastAsia"/>
          <w:noProof/>
          <w:color w:val="337AB7"/>
        </w:rPr>
        <w:fldChar w:fldCharType="end"/>
      </w:r>
      <w:r w:rsidRPr="007C266D">
        <w:rPr>
          <w:noProof/>
        </w:rPr>
        <w:t>).</w:t>
      </w:r>
    </w:p>
    <w:bookmarkEnd w:id="2"/>
    <w:p w14:paraId="5BFCA153" w14:textId="41131998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Prípravná akcia pre výskum</w:t>
      </w:r>
      <w:r w:rsidR="007C266D">
        <w:rPr>
          <w:rStyle w:val="oj-bold"/>
          <w:b/>
          <w:noProof/>
          <w:color w:val="333333"/>
        </w:rPr>
        <w:t xml:space="preserve"> v </w:t>
      </w:r>
      <w:r w:rsidRPr="007C266D">
        <w:rPr>
          <w:rStyle w:val="oj-bold"/>
          <w:b/>
          <w:noProof/>
          <w:color w:val="333333"/>
        </w:rPr>
        <w:t>oblasti obrany</w:t>
      </w:r>
    </w:p>
    <w:p w14:paraId="05C5DDEC" w14:textId="4EF4C407" w:rsidR="00991DF8" w:rsidRPr="007C266D" w:rsidRDefault="00991DF8" w:rsidP="00B34E95">
      <w:pPr>
        <w:rPr>
          <w:noProof/>
        </w:rPr>
      </w:pPr>
      <w:bookmarkStart w:id="4" w:name="_Hlk155968298"/>
      <w:r w:rsidRPr="007C266D">
        <w:rPr>
          <w:noProof/>
          <w:spacing w:val="-4"/>
        </w:rPr>
        <w:t>Nariadenie Európskeho parlamentu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Rady (EÚ, Euratom) 2018/1046</w:t>
      </w:r>
      <w:r w:rsidR="007C266D">
        <w:rPr>
          <w:noProof/>
          <w:spacing w:val="-4"/>
        </w:rPr>
        <w:t xml:space="preserve"> z </w:t>
      </w:r>
      <w:r w:rsidRPr="007C266D">
        <w:rPr>
          <w:noProof/>
          <w:spacing w:val="-4"/>
        </w:rPr>
        <w:t>18</w:t>
      </w:r>
      <w:r w:rsidR="007C266D">
        <w:rPr>
          <w:noProof/>
          <w:spacing w:val="-4"/>
        </w:rPr>
        <w:t>. júla</w:t>
      </w:r>
      <w:r w:rsidRPr="007C266D">
        <w:rPr>
          <w:noProof/>
          <w:spacing w:val="-4"/>
        </w:rPr>
        <w:t xml:space="preserve"> 2018</w:t>
      </w:r>
      <w:r w:rsidR="007C266D">
        <w:rPr>
          <w:noProof/>
          <w:spacing w:val="-4"/>
        </w:rPr>
        <w:t xml:space="preserve"> o </w:t>
      </w:r>
      <w:r w:rsidRPr="007C266D">
        <w:rPr>
          <w:noProof/>
          <w:spacing w:val="-4"/>
        </w:rPr>
        <w:t>rozpočtových pravidlách, ktoré sa vzťahujú na všeobecný rozpočet Únie,</w:t>
      </w:r>
      <w:r w:rsidR="007C266D">
        <w:rPr>
          <w:noProof/>
          <w:spacing w:val="-4"/>
        </w:rPr>
        <w:t xml:space="preserve"> o </w:t>
      </w:r>
      <w:r w:rsidRPr="007C266D">
        <w:rPr>
          <w:noProof/>
          <w:spacing w:val="-4"/>
        </w:rPr>
        <w:t>zmene nariadení (EÚ) č. 1296/2013, (EÚ) č. 1301/2013, (EÚ) č. 1303/2013, (EÚ) č. 1304/2013, (EÚ) č. 1309/2013, (EÚ) č. 1316/2013, (EÚ) č. 223/2014, (EÚ) č. 283/2014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rozhodnutia č. 541/2014/EÚ</w:t>
      </w:r>
      <w:r w:rsidR="007C266D">
        <w:rPr>
          <w:noProof/>
          <w:spacing w:val="-4"/>
        </w:rPr>
        <w:t xml:space="preserve"> a o </w:t>
      </w:r>
      <w:r w:rsidRPr="007C266D">
        <w:rPr>
          <w:noProof/>
          <w:spacing w:val="-4"/>
        </w:rPr>
        <w:t>zrušení nariadenia (EÚ, Euratom) č. 966/2012,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najmä jeho článok 58 ods. 2 písm. b) (</w:t>
      </w:r>
      <w:hyperlink r:id="rId42" w:history="1">
        <w:r w:rsidRPr="007C266D">
          <w:rPr>
            <w:rStyle w:val="Hyperlink"/>
            <w:noProof/>
            <w:color w:val="337AB7"/>
            <w:spacing w:val="-4"/>
          </w:rPr>
          <w:t>Ú. v. EÚ L 193, 30.7.2018, s. 1</w:t>
        </w:r>
      </w:hyperlink>
      <w:r w:rsidRPr="007C266D">
        <w:rPr>
          <w:rStyle w:val="Hyperlink"/>
          <w:noProof/>
          <w:color w:val="337AB7"/>
          <w:spacing w:val="-4"/>
        </w:rPr>
        <w:t xml:space="preserve">, ELI: </w:t>
      </w:r>
      <w:hyperlink r:id="rId43" w:history="1">
        <w:r w:rsidRPr="007C266D">
          <w:rPr>
            <w:rStyle w:val="Hyperlink"/>
            <w:noProof/>
            <w:spacing w:val="-4"/>
          </w:rPr>
          <w:t>http://data.europa.eu/eli/reg/2018/1046/oj</w:t>
        </w:r>
      </w:hyperlink>
      <w:r w:rsidRPr="007C266D">
        <w:rPr>
          <w:noProof/>
          <w:spacing w:val="-4"/>
        </w:rPr>
        <w:t>)</w:t>
      </w:r>
      <w:r w:rsidRPr="007C266D">
        <w:rPr>
          <w:noProof/>
        </w:rPr>
        <w:t>.</w:t>
      </w:r>
    </w:p>
    <w:bookmarkEnd w:id="4"/>
    <w:p w14:paraId="12DF6860" w14:textId="77777777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Európsky obranný fond</w:t>
      </w:r>
    </w:p>
    <w:p w14:paraId="08FC09EE" w14:textId="62EAB782" w:rsidR="007C266D" w:rsidRDefault="00991DF8" w:rsidP="00B34E95">
      <w:pPr>
        <w:rPr>
          <w:noProof/>
        </w:rPr>
      </w:pPr>
      <w:r w:rsidRPr="007C266D">
        <w:rPr>
          <w:noProof/>
        </w:rPr>
        <w:t>Nariadenie Európskeho parlamentu</w:t>
      </w:r>
      <w:r w:rsidR="007C266D">
        <w:rPr>
          <w:noProof/>
        </w:rPr>
        <w:t xml:space="preserve"> a </w:t>
      </w:r>
      <w:r w:rsidRPr="007C266D">
        <w:rPr>
          <w:noProof/>
        </w:rPr>
        <w:t>Rady (EÚ) 2021/697</w:t>
      </w:r>
      <w:r w:rsidR="007C266D">
        <w:rPr>
          <w:noProof/>
        </w:rPr>
        <w:t xml:space="preserve"> z </w:t>
      </w:r>
      <w:r w:rsidRPr="007C266D">
        <w:rPr>
          <w:noProof/>
        </w:rPr>
        <w:t>29</w:t>
      </w:r>
      <w:r w:rsidR="007C266D">
        <w:rPr>
          <w:noProof/>
        </w:rPr>
        <w:t>. apríla</w:t>
      </w:r>
      <w:r w:rsidRPr="007C266D">
        <w:rPr>
          <w:noProof/>
        </w:rPr>
        <w:t xml:space="preserve"> 2021, ktorým sa zriaďuje Európsky obranný fond</w:t>
      </w:r>
      <w:r w:rsidR="007C266D">
        <w:rPr>
          <w:noProof/>
        </w:rPr>
        <w:t xml:space="preserve"> a </w:t>
      </w:r>
      <w:r w:rsidRPr="007C266D">
        <w:rPr>
          <w:noProof/>
        </w:rPr>
        <w:t>zrušuje nariadenie (EÚ) 2018/1092 (</w:t>
      </w:r>
      <w:hyperlink r:id="rId44" w:history="1">
        <w:r w:rsidRPr="007C266D">
          <w:rPr>
            <w:rStyle w:val="Hyperlink"/>
            <w:noProof/>
            <w:color w:val="337AB7"/>
          </w:rPr>
          <w:t>Ú. v. EÚ L 170, 12.5.2021, s. 149</w:t>
        </w:r>
      </w:hyperlink>
      <w:r w:rsidRPr="007C266D">
        <w:rPr>
          <w:rStyle w:val="Hyperlink"/>
          <w:noProof/>
          <w:color w:val="337AB7"/>
        </w:rPr>
        <w:t xml:space="preserve">, ELI: </w:t>
      </w:r>
      <w:hyperlink r:id="rId45" w:history="1">
        <w:r w:rsidRPr="007C266D">
          <w:rPr>
            <w:rStyle w:val="Hyperlink"/>
            <w:noProof/>
          </w:rPr>
          <w:t>http://data.europa.eu/eli/reg/2021/697/oj</w:t>
        </w:r>
      </w:hyperlink>
      <w:r w:rsidRPr="007C266D">
        <w:rPr>
          <w:noProof/>
        </w:rPr>
        <w:t>)</w:t>
      </w:r>
      <w:r w:rsidR="007C266D">
        <w:rPr>
          <w:noProof/>
        </w:rPr>
        <w:t>.</w:t>
      </w:r>
    </w:p>
    <w:p w14:paraId="78AF727E" w14:textId="77777777" w:rsidR="007C266D" w:rsidRDefault="005B19E5" w:rsidP="00D371B7">
      <w:pPr>
        <w:pStyle w:val="NumPar1"/>
        <w:rPr>
          <w:rStyle w:val="oj-bold"/>
          <w:b/>
          <w:noProof/>
          <w:color w:val="333333"/>
        </w:rPr>
      </w:pPr>
      <w:bookmarkStart w:id="5" w:name="_Hlk155889773"/>
      <w:r w:rsidRPr="007C266D">
        <w:rPr>
          <w:rStyle w:val="oj-bold"/>
          <w:b/>
          <w:noProof/>
          <w:color w:val="333333"/>
        </w:rPr>
        <w:t>Akt na podporu výroby munície (ASAP)</w:t>
      </w:r>
    </w:p>
    <w:p w14:paraId="01FE9884" w14:textId="28C683DA" w:rsidR="007C266D" w:rsidRDefault="005B19E5" w:rsidP="005B19E5">
      <w:pPr>
        <w:rPr>
          <w:noProof/>
        </w:rPr>
      </w:pPr>
      <w:r w:rsidRPr="007C266D">
        <w:rPr>
          <w:noProof/>
        </w:rPr>
        <w:t>Nariadenie Európskeho parlamentu</w:t>
      </w:r>
      <w:r w:rsidR="007C266D">
        <w:rPr>
          <w:noProof/>
        </w:rPr>
        <w:t xml:space="preserve"> a </w:t>
      </w:r>
      <w:r w:rsidRPr="007C266D">
        <w:rPr>
          <w:noProof/>
        </w:rPr>
        <w:t>Rady (EÚ) 2023/1525</w:t>
      </w:r>
      <w:r w:rsidR="007C266D">
        <w:rPr>
          <w:noProof/>
        </w:rPr>
        <w:t xml:space="preserve"> z </w:t>
      </w:r>
      <w:r w:rsidRPr="007C266D">
        <w:rPr>
          <w:noProof/>
        </w:rPr>
        <w:t>20</w:t>
      </w:r>
      <w:r w:rsidR="007C266D">
        <w:rPr>
          <w:noProof/>
        </w:rPr>
        <w:t>. júla</w:t>
      </w:r>
      <w:r w:rsidRPr="007C266D">
        <w:rPr>
          <w:noProof/>
        </w:rPr>
        <w:t xml:space="preserve"> 2023</w:t>
      </w:r>
      <w:r w:rsidR="007C266D">
        <w:rPr>
          <w:noProof/>
        </w:rPr>
        <w:t xml:space="preserve"> o </w:t>
      </w:r>
      <w:r w:rsidRPr="007C266D">
        <w:rPr>
          <w:noProof/>
        </w:rPr>
        <w:t>podpore výroby munície (</w:t>
      </w:r>
      <w:hyperlink r:id="rId46" w:history="1">
        <w:r w:rsidRPr="007C266D">
          <w:rPr>
            <w:rStyle w:val="Hyperlink"/>
            <w:noProof/>
          </w:rPr>
          <w:t>Ú. v. EÚ L 185, 24.7.2023, s. 7</w:t>
        </w:r>
      </w:hyperlink>
      <w:r w:rsidRPr="007C266D">
        <w:rPr>
          <w:noProof/>
        </w:rPr>
        <w:t xml:space="preserve">, </w:t>
      </w:r>
      <w:r w:rsidRPr="007C266D">
        <w:rPr>
          <w:rStyle w:val="Hyperlink"/>
          <w:noProof/>
          <w:color w:val="337AB7"/>
        </w:rPr>
        <w:t>ELI:</w:t>
      </w:r>
      <w:r w:rsidRPr="007C266D">
        <w:rPr>
          <w:noProof/>
        </w:rPr>
        <w:t xml:space="preserve"> </w:t>
      </w:r>
      <w:hyperlink r:id="rId47" w:history="1">
        <w:r w:rsidRPr="007C266D">
          <w:rPr>
            <w:rStyle w:val="Hyperlink"/>
            <w:noProof/>
          </w:rPr>
          <w:t>http://data.europa.eu/eli/reg/2023/1525/oj</w:t>
        </w:r>
      </w:hyperlink>
      <w:r w:rsidRPr="007C266D">
        <w:rPr>
          <w:noProof/>
        </w:rPr>
        <w:t>)</w:t>
      </w:r>
      <w:r w:rsidR="007C266D">
        <w:rPr>
          <w:noProof/>
        </w:rPr>
        <w:t>.</w:t>
      </w:r>
    </w:p>
    <w:bookmarkEnd w:id="5"/>
    <w:p w14:paraId="4B5FFE3C" w14:textId="77777777" w:rsidR="007C266D" w:rsidRDefault="005B19E5" w:rsidP="00D371B7">
      <w:pPr>
        <w:pStyle w:val="NumPar1"/>
        <w:rPr>
          <w:rStyle w:val="oj-bold"/>
          <w:b/>
          <w:noProof/>
          <w:color w:val="333333"/>
        </w:rPr>
      </w:pPr>
      <w:r w:rsidRPr="007C266D">
        <w:rPr>
          <w:rStyle w:val="oj-bold"/>
          <w:b/>
          <w:noProof/>
          <w:color w:val="333333"/>
        </w:rPr>
        <w:t>Nástroj na posilnenie európskeho obranného priemyslu prostredníctvom spoločného obstarávania (EDIRPA)</w:t>
      </w:r>
    </w:p>
    <w:p w14:paraId="56958650" w14:textId="0720CE0A" w:rsidR="005B19E5" w:rsidRPr="007C266D" w:rsidRDefault="005B19E5" w:rsidP="00A03596">
      <w:pPr>
        <w:rPr>
          <w:noProof/>
        </w:rPr>
      </w:pPr>
      <w:r w:rsidRPr="007C266D">
        <w:rPr>
          <w:noProof/>
        </w:rPr>
        <w:t>Nariadenie Európskeho parlamentu</w:t>
      </w:r>
      <w:r w:rsidR="007C266D">
        <w:rPr>
          <w:noProof/>
        </w:rPr>
        <w:t xml:space="preserve"> a </w:t>
      </w:r>
      <w:r w:rsidRPr="007C266D">
        <w:rPr>
          <w:noProof/>
        </w:rPr>
        <w:t>Rady (EÚ) 2023/2418</w:t>
      </w:r>
      <w:r w:rsidR="007C266D">
        <w:rPr>
          <w:noProof/>
        </w:rPr>
        <w:t xml:space="preserve"> z </w:t>
      </w:r>
      <w:r w:rsidRPr="007C266D">
        <w:rPr>
          <w:noProof/>
        </w:rPr>
        <w:t>18</w:t>
      </w:r>
      <w:r w:rsidR="007C266D">
        <w:rPr>
          <w:noProof/>
        </w:rPr>
        <w:t>. októbra</w:t>
      </w:r>
      <w:r w:rsidRPr="007C266D">
        <w:rPr>
          <w:noProof/>
        </w:rPr>
        <w:t xml:space="preserve"> 2023</w:t>
      </w:r>
      <w:r w:rsidR="007C266D">
        <w:rPr>
          <w:noProof/>
        </w:rPr>
        <w:t xml:space="preserve"> o </w:t>
      </w:r>
      <w:r w:rsidRPr="007C266D">
        <w:rPr>
          <w:noProof/>
        </w:rPr>
        <w:t xml:space="preserve">zriadení nástroja na posilnenie európskeho obranného priemyslu prostredníctvom spoločného obstarávania (EDIRPA) (Ú. v. EÚ L 2023/2418, 26.10.2023, </w:t>
      </w:r>
      <w:r w:rsidRPr="007C266D">
        <w:rPr>
          <w:rStyle w:val="Hyperlink"/>
          <w:noProof/>
          <w:color w:val="337AB7"/>
        </w:rPr>
        <w:t>ELI:</w:t>
      </w:r>
      <w:r w:rsidRPr="007C266D">
        <w:rPr>
          <w:noProof/>
        </w:rPr>
        <w:t xml:space="preserve"> </w:t>
      </w:r>
      <w:hyperlink r:id="rId48" w:tooltip="Umožňuje prístup k tomuto dokumentu prostredníctvom identifikátorov ELI a URI." w:history="1">
        <w:r w:rsidRPr="007C266D">
          <w:rPr>
            <w:rStyle w:val="Hyperlink"/>
            <w:noProof/>
          </w:rPr>
          <w:t>http://data.europa.eu/eli/reg/2023/2418/oj</w:t>
        </w:r>
      </w:hyperlink>
      <w:r w:rsidRPr="007C266D">
        <w:rPr>
          <w:noProof/>
        </w:rPr>
        <w:t>).</w:t>
      </w:r>
    </w:p>
    <w:p w14:paraId="414E94B6" w14:textId="77777777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Stála štruktúrovaná spolupráca (PESCO)</w:t>
      </w:r>
    </w:p>
    <w:p w14:paraId="7EABE84C" w14:textId="6935CC6E" w:rsidR="00D23DB5" w:rsidRPr="007C266D" w:rsidRDefault="00D23DB5" w:rsidP="00D23DB5">
      <w:pPr>
        <w:rPr>
          <w:noProof/>
        </w:rPr>
      </w:pPr>
      <w:r w:rsidRPr="007C266D">
        <w:rPr>
          <w:noProof/>
        </w:rPr>
        <w:t>Rozhodnutie Rady (SZBP) 2018/340 zo 6</w:t>
      </w:r>
      <w:r w:rsidR="007C266D">
        <w:rPr>
          <w:noProof/>
        </w:rPr>
        <w:t>. marca</w:t>
      </w:r>
      <w:r w:rsidRPr="007C266D">
        <w:rPr>
          <w:noProof/>
        </w:rPr>
        <w:t xml:space="preserve"> 2018, ktorým sa stanovuje zoznam projektov, ktoré sa majú rozvíjať</w:t>
      </w:r>
      <w:r w:rsidR="007C266D">
        <w:rPr>
          <w:noProof/>
        </w:rPr>
        <w:t xml:space="preserve"> v </w:t>
      </w:r>
      <w:r w:rsidRPr="007C266D">
        <w:rPr>
          <w:noProof/>
        </w:rPr>
        <w:t>rámci PESCO (</w:t>
      </w:r>
      <w:hyperlink r:id="rId49" w:history="1">
        <w:r w:rsidRPr="007C266D">
          <w:rPr>
            <w:rStyle w:val="Hyperlink"/>
            <w:noProof/>
          </w:rPr>
          <w:t>Ú. v. EÚ L 65, 8.3.2018, s. 24</w:t>
        </w:r>
      </w:hyperlink>
      <w:r w:rsidRPr="007C266D">
        <w:rPr>
          <w:noProof/>
          <w:u w:val="single"/>
        </w:rPr>
        <w:t xml:space="preserve">, </w:t>
      </w:r>
      <w:r w:rsidRPr="007C266D">
        <w:rPr>
          <w:rStyle w:val="Hyperlink"/>
          <w:noProof/>
          <w:color w:val="337AB7"/>
        </w:rPr>
        <w:t>ELI:</w:t>
      </w:r>
      <w:r w:rsidRPr="007C266D">
        <w:rPr>
          <w:noProof/>
          <w:u w:val="single"/>
        </w:rPr>
        <w:t xml:space="preserve"> </w:t>
      </w:r>
      <w:hyperlink r:id="rId50" w:history="1">
        <w:r w:rsidRPr="007C266D">
          <w:rPr>
            <w:rStyle w:val="Hyperlink"/>
            <w:noProof/>
          </w:rPr>
          <w:t>http://data.europa.eu/eli/dec/2018/340/oj</w:t>
        </w:r>
      </w:hyperlink>
      <w:r w:rsidRPr="007C266D">
        <w:rPr>
          <w:noProof/>
        </w:rPr>
        <w:t>).</w:t>
      </w:r>
    </w:p>
    <w:p w14:paraId="1DA2081A" w14:textId="30D254C8" w:rsidR="007C266D" w:rsidRDefault="00D23DB5" w:rsidP="00EC4D84">
      <w:pPr>
        <w:rPr>
          <w:noProof/>
          <w:spacing w:val="-4"/>
        </w:rPr>
      </w:pPr>
      <w:r w:rsidRPr="007C266D">
        <w:rPr>
          <w:noProof/>
          <w:spacing w:val="-4"/>
        </w:rPr>
        <w:t>Rozhodnutie Rady (SZBP) 2023/995</w:t>
      </w:r>
      <w:r w:rsidR="007C266D">
        <w:rPr>
          <w:noProof/>
          <w:spacing w:val="-4"/>
        </w:rPr>
        <w:t xml:space="preserve"> z </w:t>
      </w:r>
      <w:r w:rsidRPr="007C266D">
        <w:rPr>
          <w:noProof/>
          <w:spacing w:val="-4"/>
        </w:rPr>
        <w:t>22</w:t>
      </w:r>
      <w:r w:rsidR="007C266D">
        <w:rPr>
          <w:noProof/>
          <w:spacing w:val="-4"/>
        </w:rPr>
        <w:t>. mája</w:t>
      </w:r>
      <w:r w:rsidRPr="007C266D">
        <w:rPr>
          <w:noProof/>
          <w:spacing w:val="-4"/>
        </w:rPr>
        <w:t xml:space="preserve"> 2023, ktorým sa mení</w:t>
      </w:r>
      <w:r w:rsidR="007C266D">
        <w:rPr>
          <w:noProof/>
          <w:spacing w:val="-4"/>
        </w:rPr>
        <w:t xml:space="preserve"> a </w:t>
      </w:r>
      <w:r w:rsidRPr="007C266D">
        <w:rPr>
          <w:noProof/>
          <w:spacing w:val="-4"/>
        </w:rPr>
        <w:t>aktualizuje rozhodnutie (SZBP) 2018/340, ktorým sa stanovuje zoznam projektov, ktoré sa majú rozvíjať</w:t>
      </w:r>
      <w:r w:rsidR="007C266D">
        <w:rPr>
          <w:noProof/>
          <w:spacing w:val="-4"/>
        </w:rPr>
        <w:t xml:space="preserve"> v </w:t>
      </w:r>
      <w:r w:rsidRPr="007C266D">
        <w:rPr>
          <w:noProof/>
          <w:spacing w:val="-4"/>
        </w:rPr>
        <w:t>rámci PESCO (</w:t>
      </w:r>
      <w:hyperlink r:id="rId51" w:history="1">
        <w:r w:rsidRPr="007C266D">
          <w:rPr>
            <w:rStyle w:val="Hyperlink"/>
            <w:noProof/>
            <w:spacing w:val="-4"/>
          </w:rPr>
          <w:t>Ú. v. EÚ L135, 23.5.2023, s. 123</w:t>
        </w:r>
      </w:hyperlink>
      <w:r w:rsidRPr="007C266D">
        <w:rPr>
          <w:noProof/>
          <w:spacing w:val="-4"/>
        </w:rPr>
        <w:t>,</w:t>
      </w:r>
      <w:r w:rsidRPr="007C266D">
        <w:rPr>
          <w:noProof/>
          <w:color w:val="333333"/>
          <w:spacing w:val="-4"/>
          <w:sz w:val="21"/>
          <w:shd w:val="clear" w:color="auto" w:fill="FFFFFF"/>
        </w:rPr>
        <w:t xml:space="preserve"> </w:t>
      </w:r>
      <w:r w:rsidRPr="007C266D">
        <w:rPr>
          <w:rStyle w:val="Hyperlink"/>
          <w:noProof/>
          <w:color w:val="337AB7"/>
          <w:spacing w:val="-4"/>
        </w:rPr>
        <w:t>ELI:</w:t>
      </w:r>
      <w:r w:rsidRPr="007C266D">
        <w:rPr>
          <w:noProof/>
          <w:spacing w:val="-4"/>
        </w:rPr>
        <w:t> </w:t>
      </w:r>
      <w:hyperlink r:id="rId52" w:tooltip="Umožňuje prístup k tomuto dokumentu prostredníctvom identifikátorov ELI a URI." w:history="1">
        <w:r w:rsidRPr="007C266D">
          <w:rPr>
            <w:rStyle w:val="Hyperlink"/>
            <w:noProof/>
            <w:spacing w:val="-4"/>
          </w:rPr>
          <w:t>http://data.europa.eu/eli/dec/2023/995/oj</w:t>
        </w:r>
      </w:hyperlink>
      <w:r w:rsidRPr="007C266D">
        <w:rPr>
          <w:noProof/>
          <w:spacing w:val="-4"/>
        </w:rPr>
        <w:t>)</w:t>
      </w:r>
      <w:r w:rsidR="007C266D">
        <w:rPr>
          <w:noProof/>
          <w:spacing w:val="-4"/>
        </w:rPr>
        <w:t>.</w:t>
      </w:r>
    </w:p>
    <w:p w14:paraId="0AD566E6" w14:textId="3BD2B622" w:rsidR="00991DF8" w:rsidRPr="007C266D" w:rsidRDefault="00991DF8" w:rsidP="00907F22">
      <w:pPr>
        <w:pStyle w:val="NumPar1"/>
        <w:rPr>
          <w:b/>
          <w:bCs/>
          <w:noProof/>
        </w:rPr>
      </w:pPr>
      <w:r w:rsidRPr="007C266D">
        <w:rPr>
          <w:rStyle w:val="oj-bold"/>
          <w:b/>
          <w:noProof/>
          <w:color w:val="333333"/>
        </w:rPr>
        <w:t>Európsky spoločný podnik pre ITER</w:t>
      </w:r>
    </w:p>
    <w:p w14:paraId="37D94326" w14:textId="5BA5B974" w:rsidR="00991DF8" w:rsidRPr="007C266D" w:rsidRDefault="00991DF8" w:rsidP="00B34E95">
      <w:pPr>
        <w:rPr>
          <w:noProof/>
        </w:rPr>
      </w:pPr>
      <w:r w:rsidRPr="007C266D">
        <w:rPr>
          <w:noProof/>
        </w:rPr>
        <w:t>Rozhodnutie Rady 2007/198/Euratom</w:t>
      </w:r>
      <w:r w:rsidR="007C266D">
        <w:rPr>
          <w:noProof/>
        </w:rPr>
        <w:t xml:space="preserve"> z </w:t>
      </w:r>
      <w:r w:rsidRPr="007C266D">
        <w:rPr>
          <w:noProof/>
        </w:rPr>
        <w:t>27</w:t>
      </w:r>
      <w:r w:rsidR="007C266D">
        <w:rPr>
          <w:noProof/>
        </w:rPr>
        <w:t>. marca</w:t>
      </w:r>
      <w:r w:rsidRPr="007C266D">
        <w:rPr>
          <w:noProof/>
        </w:rPr>
        <w:t xml:space="preserve"> 2007, ktorým sa zriaďuje Európsky spoločný podnik pre ITER</w:t>
      </w:r>
      <w:r w:rsidR="007C266D">
        <w:rPr>
          <w:noProof/>
        </w:rPr>
        <w:t xml:space="preserve"> a </w:t>
      </w:r>
      <w:r w:rsidRPr="007C266D">
        <w:rPr>
          <w:noProof/>
        </w:rPr>
        <w:t>rozvoj energie jadrovej syntézy</w:t>
      </w:r>
      <w:r w:rsidR="007C266D">
        <w:rPr>
          <w:noProof/>
        </w:rPr>
        <w:t xml:space="preserve"> a </w:t>
      </w:r>
      <w:r w:rsidRPr="007C266D">
        <w:rPr>
          <w:noProof/>
        </w:rPr>
        <w:t>ktorým sa mu udeľujú výhody (</w:t>
      </w:r>
      <w:hyperlink r:id="rId53" w:history="1">
        <w:r w:rsidRPr="007C266D">
          <w:rPr>
            <w:rStyle w:val="Hyperlink"/>
            <w:noProof/>
            <w:color w:val="337AB7"/>
          </w:rPr>
          <w:t>Ú. v. EÚ L 90, 30.3.2007, s. 58</w:t>
        </w:r>
      </w:hyperlink>
      <w:r w:rsidRPr="007C266D">
        <w:rPr>
          <w:rStyle w:val="Hyperlink"/>
          <w:noProof/>
          <w:color w:val="337AB7"/>
        </w:rPr>
        <w:t xml:space="preserve">, ELI: </w:t>
      </w:r>
      <w:hyperlink r:id="rId54" w:history="1">
        <w:r w:rsidRPr="007C266D">
          <w:rPr>
            <w:rStyle w:val="Hyperlink"/>
            <w:noProof/>
          </w:rPr>
          <w:t>http://data.europa.eu/eli/dec/2007/198/oj</w:t>
        </w:r>
      </w:hyperlink>
      <w:r w:rsidRPr="007C266D">
        <w:rPr>
          <w:noProof/>
        </w:rPr>
        <w:t>).</w:t>
      </w:r>
    </w:p>
    <w:p w14:paraId="24F1C81F" w14:textId="77777777" w:rsidR="00991DF8" w:rsidRPr="007C266D" w:rsidRDefault="00991DF8" w:rsidP="00907F22">
      <w:pPr>
        <w:pStyle w:val="NumPar1"/>
        <w:rPr>
          <w:b/>
          <w:bCs/>
          <w:noProof/>
        </w:rPr>
      </w:pPr>
      <w:bookmarkStart w:id="6" w:name="_Hlk155875913"/>
      <w:r w:rsidRPr="007C266D">
        <w:rPr>
          <w:rStyle w:val="oj-bold"/>
          <w:b/>
          <w:noProof/>
          <w:color w:val="333333"/>
        </w:rPr>
        <w:t>Program EU4Health</w:t>
      </w:r>
    </w:p>
    <w:p w14:paraId="6A971364" w14:textId="4BF00D53" w:rsidR="00F439C7" w:rsidRPr="007C266D" w:rsidRDefault="00991DF8" w:rsidP="00B34E95">
      <w:pPr>
        <w:rPr>
          <w:noProof/>
        </w:rPr>
      </w:pPr>
      <w:r w:rsidRPr="007C266D">
        <w:rPr>
          <w:noProof/>
        </w:rPr>
        <w:t>Nariadenie Európskeho parlamentu</w:t>
      </w:r>
      <w:r w:rsidR="007C266D">
        <w:rPr>
          <w:noProof/>
        </w:rPr>
        <w:t xml:space="preserve"> a </w:t>
      </w:r>
      <w:r w:rsidRPr="007C266D">
        <w:rPr>
          <w:noProof/>
        </w:rPr>
        <w:t>Rady (EÚ) 2021/522</w:t>
      </w:r>
      <w:r w:rsidR="007C266D">
        <w:rPr>
          <w:noProof/>
        </w:rPr>
        <w:t xml:space="preserve"> z </w:t>
      </w:r>
      <w:r w:rsidRPr="007C266D">
        <w:rPr>
          <w:noProof/>
        </w:rPr>
        <w:t>24</w:t>
      </w:r>
      <w:r w:rsidR="007C266D">
        <w:rPr>
          <w:noProof/>
        </w:rPr>
        <w:t>. marca</w:t>
      </w:r>
      <w:r w:rsidRPr="007C266D">
        <w:rPr>
          <w:noProof/>
        </w:rPr>
        <w:t xml:space="preserve"> 2021, ktorým sa zriaďuje akčný program Únie</w:t>
      </w:r>
      <w:r w:rsidR="007C266D">
        <w:rPr>
          <w:noProof/>
        </w:rPr>
        <w:t xml:space="preserve"> v </w:t>
      </w:r>
      <w:r w:rsidRPr="007C266D">
        <w:rPr>
          <w:noProof/>
        </w:rPr>
        <w:t>oblasti zdravia („program EU4Health“) na obdobie rokov 2021 – 2027</w:t>
      </w:r>
      <w:r w:rsidR="007C266D">
        <w:rPr>
          <w:noProof/>
        </w:rPr>
        <w:t xml:space="preserve"> a </w:t>
      </w:r>
      <w:r w:rsidRPr="007C266D">
        <w:rPr>
          <w:noProof/>
        </w:rPr>
        <w:t>zrušuje nariadenie (EÚ) č. 282/2014 (</w:t>
      </w:r>
      <w:hyperlink r:id="rId55" w:history="1">
        <w:r w:rsidRPr="007C266D">
          <w:rPr>
            <w:rStyle w:val="Hyperlink"/>
            <w:noProof/>
            <w:color w:val="337AB7"/>
          </w:rPr>
          <w:t>Ú. v. EÚ L 107, 26.3.2021, s. 1</w:t>
        </w:r>
      </w:hyperlink>
      <w:r w:rsidRPr="007C266D">
        <w:rPr>
          <w:rStyle w:val="Hyperlink"/>
          <w:noProof/>
          <w:color w:val="337AB7"/>
        </w:rPr>
        <w:t xml:space="preserve">, ELI: </w:t>
      </w:r>
      <w:hyperlink r:id="rId56" w:history="1">
        <w:r w:rsidRPr="007C266D">
          <w:rPr>
            <w:rStyle w:val="Hyperlink"/>
            <w:noProof/>
          </w:rPr>
          <w:t>http://data.europa.eu/eli/reg/2021/522/oj</w:t>
        </w:r>
      </w:hyperlink>
      <w:r w:rsidRPr="007C266D">
        <w:rPr>
          <w:noProof/>
        </w:rPr>
        <w:t>).</w:t>
      </w:r>
    </w:p>
    <w:p w14:paraId="422FE1DD" w14:textId="77777777" w:rsidR="007C266D" w:rsidRDefault="00F439C7" w:rsidP="00D371B7">
      <w:pPr>
        <w:pStyle w:val="NumPar1"/>
        <w:rPr>
          <w:rStyle w:val="oj-bold"/>
          <w:b/>
          <w:noProof/>
          <w:color w:val="333333"/>
        </w:rPr>
      </w:pPr>
      <w:r w:rsidRPr="007C266D">
        <w:rPr>
          <w:rStyle w:val="oj-bold"/>
          <w:b/>
          <w:noProof/>
          <w:color w:val="333333"/>
        </w:rPr>
        <w:t>Dôležité projekty spoločného európskeho záujmu (IPCEI)</w:t>
      </w:r>
    </w:p>
    <w:p w14:paraId="43E1C428" w14:textId="3CA933AA" w:rsidR="007C266D" w:rsidRDefault="009F2018" w:rsidP="00A03596">
      <w:pPr>
        <w:rPr>
          <w:noProof/>
        </w:rPr>
      </w:pPr>
      <w:r w:rsidRPr="007C266D">
        <w:rPr>
          <w:noProof/>
        </w:rPr>
        <w:t>Opísané</w:t>
      </w:r>
      <w:r w:rsidR="007C266D">
        <w:rPr>
          <w:noProof/>
        </w:rPr>
        <w:t xml:space="preserve"> v </w:t>
      </w:r>
      <w:r w:rsidRPr="007C266D">
        <w:rPr>
          <w:noProof/>
        </w:rPr>
        <w:t>oznámení Komisie – Kritériá pre analýzu zlučiteľnosti štátnej pomoci na podporu vykonávania dôležitých projektov spoločného európskeho záujmu</w:t>
      </w:r>
      <w:r w:rsidR="007C266D">
        <w:rPr>
          <w:noProof/>
        </w:rPr>
        <w:t xml:space="preserve"> s </w:t>
      </w:r>
      <w:r w:rsidRPr="007C266D">
        <w:rPr>
          <w:noProof/>
        </w:rPr>
        <w:t>vnútorným trhom (2021/C 528/02) (</w:t>
      </w:r>
      <w:hyperlink r:id="rId57" w:history="1">
        <w:r w:rsidRPr="007C266D">
          <w:rPr>
            <w:rStyle w:val="Hyperlink"/>
            <w:noProof/>
          </w:rPr>
          <w:t>Ú. v. EÚ C 528/10, 30.12.2021, s. 10</w:t>
        </w:r>
      </w:hyperlink>
      <w:r w:rsidRPr="007C266D">
        <w:rPr>
          <w:noProof/>
        </w:rPr>
        <w:t>), ako sa uvádza na webovom sídle útvarov Komisie</w:t>
      </w:r>
      <w:r w:rsidR="00084711" w:rsidRPr="007C266D">
        <w:rPr>
          <w:rStyle w:val="FootnoteReference"/>
          <w:noProof/>
        </w:rPr>
        <w:footnoteReference w:id="2"/>
      </w:r>
      <w:r w:rsidR="007C266D">
        <w:rPr>
          <w:noProof/>
        </w:rPr>
        <w:t>.</w:t>
      </w:r>
    </w:p>
    <w:bookmarkEnd w:id="6"/>
    <w:p w14:paraId="10B4E9C9" w14:textId="6C1D8770" w:rsidR="00F660C7" w:rsidRPr="007C266D" w:rsidRDefault="00F660C7" w:rsidP="00991DF8">
      <w:pPr>
        <w:rPr>
          <w:noProof/>
          <w:szCs w:val="24"/>
        </w:rPr>
        <w:sectPr w:rsidR="00F660C7" w:rsidRPr="007C266D" w:rsidSect="00C46599">
          <w:headerReference w:type="even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14:paraId="07796EE2" w14:textId="77777777" w:rsidR="00455B3D" w:rsidRPr="007C266D" w:rsidRDefault="00455B3D" w:rsidP="00455B3D">
      <w:pPr>
        <w:pStyle w:val="Annexetitre"/>
        <w:rPr>
          <w:noProof/>
        </w:rPr>
      </w:pPr>
      <w:r w:rsidRPr="007C266D">
        <w:rPr>
          <w:noProof/>
        </w:rPr>
        <w:t>PRÍLOHA II</w:t>
      </w:r>
    </w:p>
    <w:p w14:paraId="589F9AAF" w14:textId="6FC76EE3" w:rsidR="00991DF8" w:rsidRPr="007C266D" w:rsidRDefault="00991DF8" w:rsidP="00E8728D">
      <w:pPr>
        <w:shd w:val="clear" w:color="auto" w:fill="FFFFFF" w:themeFill="background1"/>
        <w:tabs>
          <w:tab w:val="left" w:pos="5000"/>
        </w:tabs>
        <w:spacing w:after="0"/>
        <w:jc w:val="center"/>
        <w:rPr>
          <w:b/>
          <w:noProof/>
          <w:color w:val="333333"/>
          <w:szCs w:val="24"/>
        </w:rPr>
      </w:pPr>
      <w:bookmarkStart w:id="7" w:name="_TocB7751C055C4744A28A002AAF436526DF"/>
      <w:r w:rsidRPr="007C266D">
        <w:rPr>
          <w:b/>
          <w:noProof/>
        </w:rPr>
        <w:t>Zoznam technológií, aktív, zariadení, materiálov, sietí, systémov, služieb</w:t>
      </w:r>
      <w:r w:rsidR="007C266D">
        <w:rPr>
          <w:b/>
          <w:noProof/>
        </w:rPr>
        <w:t xml:space="preserve"> a </w:t>
      </w:r>
      <w:r w:rsidRPr="007C266D">
        <w:rPr>
          <w:b/>
          <w:noProof/>
        </w:rPr>
        <w:t>hospodárskych činností</w:t>
      </w:r>
      <w:r w:rsidR="007C266D">
        <w:rPr>
          <w:noProof/>
        </w:rPr>
        <w:t xml:space="preserve"> s </w:t>
      </w:r>
      <w:r w:rsidRPr="007C266D">
        <w:rPr>
          <w:b/>
          <w:noProof/>
          <w:color w:val="333333"/>
        </w:rPr>
        <w:t>osobitným významom pre záujmy Únie</w:t>
      </w:r>
      <w:r w:rsidR="007C266D">
        <w:rPr>
          <w:b/>
          <w:noProof/>
          <w:color w:val="333333"/>
        </w:rPr>
        <w:t xml:space="preserve"> v </w:t>
      </w:r>
      <w:r w:rsidRPr="007C266D">
        <w:rPr>
          <w:b/>
          <w:noProof/>
          <w:color w:val="333333"/>
        </w:rPr>
        <w:t>oblasti bezpečnosti alebo verejného poriadku</w:t>
      </w:r>
    </w:p>
    <w:bookmarkEnd w:id="7"/>
    <w:p w14:paraId="7DFE0975" w14:textId="60B930B1" w:rsidR="009E7623" w:rsidRPr="007C266D" w:rsidRDefault="00845A15" w:rsidP="002A7CE4">
      <w:pPr>
        <w:pStyle w:val="Point0"/>
        <w:rPr>
          <w:noProof/>
        </w:rPr>
      </w:pPr>
      <w:r w:rsidRPr="007C266D">
        <w:rPr>
          <w:noProof/>
        </w:rPr>
        <w:t>1.</w:t>
      </w:r>
      <w:r w:rsidRPr="007C266D">
        <w:rPr>
          <w:noProof/>
        </w:rPr>
        <w:tab/>
        <w:t>Položky uvedené</w:t>
      </w:r>
      <w:r w:rsidR="007C266D">
        <w:rPr>
          <w:noProof/>
        </w:rPr>
        <w:t xml:space="preserve"> v </w:t>
      </w:r>
      <w:r w:rsidRPr="007C266D">
        <w:rPr>
          <w:noProof/>
        </w:rPr>
        <w:t>prílohe I</w:t>
      </w:r>
      <w:r w:rsidR="007C266D">
        <w:rPr>
          <w:noProof/>
        </w:rPr>
        <w:t xml:space="preserve"> k </w:t>
      </w:r>
      <w:r w:rsidRPr="007C266D">
        <w:rPr>
          <w:noProof/>
        </w:rPr>
        <w:t>nariadeniu Európskeho parlamentu</w:t>
      </w:r>
      <w:r w:rsidR="007C266D">
        <w:rPr>
          <w:noProof/>
        </w:rPr>
        <w:t xml:space="preserve"> a </w:t>
      </w:r>
      <w:r w:rsidRPr="007C266D">
        <w:rPr>
          <w:noProof/>
        </w:rPr>
        <w:t>Rady (EÚ) 2021/821 (spoločný zoznam položiek</w:t>
      </w:r>
      <w:r w:rsidR="007C266D">
        <w:rPr>
          <w:noProof/>
        </w:rPr>
        <w:t xml:space="preserve"> s </w:t>
      </w:r>
      <w:r w:rsidRPr="007C266D">
        <w:rPr>
          <w:noProof/>
        </w:rPr>
        <w:t>dvojakým použitím podliehajúcich vývozným kontrolám)</w:t>
      </w:r>
    </w:p>
    <w:p w14:paraId="15BDBE33" w14:textId="4C2BB318" w:rsidR="00870A96" w:rsidRPr="007C266D" w:rsidRDefault="00845A15" w:rsidP="002A7CE4">
      <w:pPr>
        <w:pStyle w:val="Point0"/>
        <w:rPr>
          <w:noProof/>
        </w:rPr>
      </w:pPr>
      <w:r w:rsidRPr="007C266D">
        <w:rPr>
          <w:noProof/>
        </w:rPr>
        <w:t>2.</w:t>
      </w:r>
      <w:r w:rsidRPr="007C266D">
        <w:rPr>
          <w:noProof/>
        </w:rPr>
        <w:tab/>
        <w:t>Materiál, na ktorý sa vzťahuje spoločná pozícia Rady 2008/944/SZBP, ktorou sa vymedzujú spoločné pravidlá upravujúce kontrolu vývozu vojenskej technológie</w:t>
      </w:r>
      <w:r w:rsidR="007C266D">
        <w:rPr>
          <w:noProof/>
        </w:rPr>
        <w:t xml:space="preserve"> a </w:t>
      </w:r>
      <w:r w:rsidRPr="007C266D">
        <w:rPr>
          <w:noProof/>
        </w:rPr>
        <w:t>materiálu (Spoločný zoznam vojenského materiálu Európskej únie)</w:t>
      </w:r>
    </w:p>
    <w:p w14:paraId="2B366533" w14:textId="0C335967" w:rsidR="00D73266" w:rsidRPr="007C266D" w:rsidRDefault="00845A15" w:rsidP="002A7CE4">
      <w:pPr>
        <w:pStyle w:val="Point0"/>
        <w:rPr>
          <w:noProof/>
        </w:rPr>
      </w:pPr>
      <w:r w:rsidRPr="007C266D">
        <w:rPr>
          <w:noProof/>
        </w:rPr>
        <w:t>3.</w:t>
      </w:r>
      <w:r w:rsidRPr="007C266D">
        <w:rPr>
          <w:noProof/>
        </w:rPr>
        <w:tab/>
        <w:t>Tieto kritické technologické oblasti pre hospodársku bezpečnosť EÚ pripojené</w:t>
      </w:r>
      <w:r w:rsidR="007C266D">
        <w:rPr>
          <w:noProof/>
        </w:rPr>
        <w:t xml:space="preserve"> k </w:t>
      </w:r>
      <w:r w:rsidRPr="007C266D">
        <w:rPr>
          <w:noProof/>
        </w:rPr>
        <w:t>odporúčaniu Komisie (EÚ) 2023/2113</w:t>
      </w:r>
      <w:r w:rsidR="007C266D">
        <w:rPr>
          <w:noProof/>
        </w:rPr>
        <w:t xml:space="preserve"> z </w:t>
      </w:r>
      <w:r w:rsidRPr="007C266D">
        <w:rPr>
          <w:noProof/>
        </w:rPr>
        <w:t>3</w:t>
      </w:r>
      <w:r w:rsidR="007C266D">
        <w:rPr>
          <w:noProof/>
        </w:rPr>
        <w:t>. októbra</w:t>
      </w:r>
      <w:r w:rsidRPr="007C266D">
        <w:rPr>
          <w:noProof/>
        </w:rPr>
        <w:t xml:space="preserve"> 2023</w:t>
      </w:r>
      <w:r w:rsidR="007C266D">
        <w:rPr>
          <w:noProof/>
        </w:rPr>
        <w:t xml:space="preserve"> o </w:t>
      </w:r>
      <w:r w:rsidRPr="007C266D">
        <w:rPr>
          <w:noProof/>
        </w:rPr>
        <w:t>kritických technologických oblastiach pre hospodársku bezpečnosť EÚ na ďalšie posúdenie rizík</w:t>
      </w:r>
      <w:r w:rsidR="007C266D">
        <w:rPr>
          <w:noProof/>
        </w:rPr>
        <w:t xml:space="preserve"> s </w:t>
      </w:r>
      <w:r w:rsidRPr="007C266D">
        <w:rPr>
          <w:noProof/>
        </w:rPr>
        <w:t>členskými štátmi:</w:t>
      </w:r>
    </w:p>
    <w:p w14:paraId="60D5119E" w14:textId="6B589EA6" w:rsidR="009C2916" w:rsidRPr="007C266D" w:rsidRDefault="008412DB" w:rsidP="008412DB">
      <w:pPr>
        <w:pStyle w:val="Point1"/>
        <w:rPr>
          <w:noProof/>
        </w:rPr>
      </w:pPr>
      <w:r w:rsidRPr="007C266D">
        <w:rPr>
          <w:noProof/>
        </w:rPr>
        <w:t>a.</w:t>
      </w:r>
      <w:r w:rsidRPr="007C266D">
        <w:rPr>
          <w:noProof/>
        </w:rPr>
        <w:tab/>
        <w:t>Technológie pokročilých polovodičov:</w:t>
      </w:r>
    </w:p>
    <w:p w14:paraId="6911CE29" w14:textId="77777777" w:rsidR="009C2916" w:rsidRPr="007C266D" w:rsidRDefault="009C2916" w:rsidP="00CA1388">
      <w:pPr>
        <w:pStyle w:val="Bullet3"/>
        <w:numPr>
          <w:ilvl w:val="0"/>
          <w:numId w:val="7"/>
        </w:numPr>
        <w:rPr>
          <w:noProof/>
        </w:rPr>
      </w:pPr>
      <w:r w:rsidRPr="007C266D">
        <w:rPr>
          <w:noProof/>
        </w:rPr>
        <w:t>mikroelektronika vrátane procesorov</w:t>
      </w:r>
    </w:p>
    <w:p w14:paraId="6B1EED15" w14:textId="77777777" w:rsidR="009C2916" w:rsidRPr="007C266D" w:rsidRDefault="009C2916" w:rsidP="003423BC">
      <w:pPr>
        <w:pStyle w:val="Bullet3"/>
        <w:rPr>
          <w:noProof/>
        </w:rPr>
      </w:pPr>
      <w:r w:rsidRPr="007C266D">
        <w:rPr>
          <w:noProof/>
        </w:rPr>
        <w:t>fotonické (vrátane vysokoenergetických laserov) technológie</w:t>
      </w:r>
    </w:p>
    <w:p w14:paraId="1C7A37F1" w14:textId="77777777" w:rsidR="009C2916" w:rsidRPr="007C266D" w:rsidRDefault="009C2916" w:rsidP="003423BC">
      <w:pPr>
        <w:pStyle w:val="Bullet3"/>
        <w:rPr>
          <w:noProof/>
        </w:rPr>
      </w:pPr>
      <w:r w:rsidRPr="007C266D">
        <w:rPr>
          <w:noProof/>
        </w:rPr>
        <w:t>vysokofrekvenčné čipy</w:t>
      </w:r>
    </w:p>
    <w:p w14:paraId="17C0CF07" w14:textId="3B077890" w:rsidR="009C2916" w:rsidRPr="007C266D" w:rsidRDefault="009C2916" w:rsidP="00CA00F7">
      <w:pPr>
        <w:pStyle w:val="Bullet3"/>
        <w:rPr>
          <w:noProof/>
        </w:rPr>
      </w:pPr>
      <w:r w:rsidRPr="007C266D">
        <w:rPr>
          <w:noProof/>
        </w:rPr>
        <w:t>zariadenia na výrobu polovodičov</w:t>
      </w:r>
      <w:r w:rsidR="007C266D">
        <w:rPr>
          <w:noProof/>
        </w:rPr>
        <w:t xml:space="preserve"> s </w:t>
      </w:r>
      <w:r w:rsidRPr="007C266D">
        <w:rPr>
          <w:noProof/>
        </w:rPr>
        <w:t>veľmi pokročilými veľkosťami uzlov</w:t>
      </w:r>
    </w:p>
    <w:p w14:paraId="5AD2F50A" w14:textId="01EADA00" w:rsidR="009C2916" w:rsidRPr="007C266D" w:rsidRDefault="008412DB" w:rsidP="008412DB">
      <w:pPr>
        <w:pStyle w:val="Point1"/>
        <w:rPr>
          <w:noProof/>
        </w:rPr>
      </w:pPr>
      <w:r w:rsidRPr="007C266D">
        <w:rPr>
          <w:noProof/>
        </w:rPr>
        <w:t>b.</w:t>
      </w:r>
      <w:r w:rsidRPr="007C266D">
        <w:rPr>
          <w:noProof/>
        </w:rPr>
        <w:tab/>
        <w:t>Technológie umelej inteligencie:</w:t>
      </w:r>
    </w:p>
    <w:p w14:paraId="6A0F74FF" w14:textId="77777777" w:rsidR="009C2916" w:rsidRPr="007C266D" w:rsidRDefault="009C2916" w:rsidP="003423BC">
      <w:pPr>
        <w:pStyle w:val="Bullet3"/>
        <w:rPr>
          <w:noProof/>
        </w:rPr>
      </w:pPr>
      <w:r w:rsidRPr="007C266D">
        <w:rPr>
          <w:noProof/>
        </w:rPr>
        <w:t>vysokovýkonná výpočtová technika</w:t>
      </w:r>
    </w:p>
    <w:p w14:paraId="6E0837D8" w14:textId="7D8A0B1F" w:rsidR="009C2916" w:rsidRPr="007C266D" w:rsidRDefault="009C2916" w:rsidP="003423BC">
      <w:pPr>
        <w:pStyle w:val="Bullet3"/>
        <w:rPr>
          <w:noProof/>
        </w:rPr>
      </w:pPr>
      <w:r w:rsidRPr="007C266D">
        <w:rPr>
          <w:noProof/>
        </w:rPr>
        <w:t>cloud computing</w:t>
      </w:r>
      <w:r w:rsidR="007C266D">
        <w:rPr>
          <w:noProof/>
        </w:rPr>
        <w:t xml:space="preserve"> a </w:t>
      </w:r>
      <w:r w:rsidRPr="007C266D">
        <w:rPr>
          <w:noProof/>
        </w:rPr>
        <w:t>edge computing</w:t>
      </w:r>
    </w:p>
    <w:p w14:paraId="4C53582C" w14:textId="77777777" w:rsidR="009C2916" w:rsidRPr="007C266D" w:rsidRDefault="009C2916" w:rsidP="003423BC">
      <w:pPr>
        <w:pStyle w:val="Bullet3"/>
        <w:rPr>
          <w:noProof/>
        </w:rPr>
      </w:pPr>
      <w:r w:rsidRPr="007C266D">
        <w:rPr>
          <w:noProof/>
        </w:rPr>
        <w:t>technológie analýzy dát</w:t>
      </w:r>
    </w:p>
    <w:p w14:paraId="346A6FD2" w14:textId="77777777" w:rsidR="009C2916" w:rsidRPr="007C266D" w:rsidRDefault="009C2916" w:rsidP="00E209ED">
      <w:pPr>
        <w:pStyle w:val="Bullet3"/>
        <w:rPr>
          <w:noProof/>
        </w:rPr>
      </w:pPr>
      <w:r w:rsidRPr="007C266D">
        <w:rPr>
          <w:noProof/>
        </w:rPr>
        <w:t>počítačové videnie, spracovanie jazyka, rozpoznávanie objektov</w:t>
      </w:r>
    </w:p>
    <w:p w14:paraId="72508AFA" w14:textId="78F85ACE" w:rsidR="009C2916" w:rsidRPr="007C266D" w:rsidRDefault="00115BA3" w:rsidP="00115BA3">
      <w:pPr>
        <w:pStyle w:val="Point1"/>
        <w:rPr>
          <w:noProof/>
        </w:rPr>
      </w:pPr>
      <w:r w:rsidRPr="007C266D">
        <w:rPr>
          <w:noProof/>
        </w:rPr>
        <w:t>c.</w:t>
      </w:r>
      <w:r w:rsidRPr="007C266D">
        <w:rPr>
          <w:noProof/>
        </w:rPr>
        <w:tab/>
        <w:t>Kvantové technológie:</w:t>
      </w:r>
    </w:p>
    <w:p w14:paraId="16F081CC" w14:textId="77777777" w:rsidR="009C2916" w:rsidRPr="007C266D" w:rsidRDefault="009C2916" w:rsidP="003423BC">
      <w:pPr>
        <w:pStyle w:val="Bullet3"/>
        <w:rPr>
          <w:noProof/>
        </w:rPr>
      </w:pPr>
      <w:r w:rsidRPr="007C266D">
        <w:rPr>
          <w:noProof/>
        </w:rPr>
        <w:t>kvantová výpočtová technika</w:t>
      </w:r>
    </w:p>
    <w:p w14:paraId="23B03505" w14:textId="77777777" w:rsidR="009C2916" w:rsidRPr="007C266D" w:rsidRDefault="009C2916" w:rsidP="003423BC">
      <w:pPr>
        <w:pStyle w:val="Bullet3"/>
        <w:rPr>
          <w:noProof/>
        </w:rPr>
      </w:pPr>
      <w:r w:rsidRPr="007C266D">
        <w:rPr>
          <w:noProof/>
        </w:rPr>
        <w:t>kvantová kryptografia</w:t>
      </w:r>
    </w:p>
    <w:p w14:paraId="39EEC65A" w14:textId="77777777" w:rsidR="009C2916" w:rsidRPr="007C266D" w:rsidRDefault="009C2916" w:rsidP="003423BC">
      <w:pPr>
        <w:pStyle w:val="Bullet3"/>
        <w:rPr>
          <w:noProof/>
        </w:rPr>
      </w:pPr>
      <w:r w:rsidRPr="007C266D">
        <w:rPr>
          <w:noProof/>
        </w:rPr>
        <w:t>kvantová komunikácia</w:t>
      </w:r>
    </w:p>
    <w:p w14:paraId="183C33C1" w14:textId="3DAFD030" w:rsidR="009C2916" w:rsidRPr="007C266D" w:rsidRDefault="009C2916" w:rsidP="0066433C">
      <w:pPr>
        <w:pStyle w:val="Bullet3"/>
        <w:rPr>
          <w:noProof/>
        </w:rPr>
      </w:pPr>
      <w:r w:rsidRPr="007C266D">
        <w:rPr>
          <w:noProof/>
        </w:rPr>
        <w:t>kvantové snímanie</w:t>
      </w:r>
      <w:r w:rsidR="007C266D">
        <w:rPr>
          <w:noProof/>
        </w:rPr>
        <w:t xml:space="preserve"> a </w:t>
      </w:r>
      <w:r w:rsidRPr="007C266D">
        <w:rPr>
          <w:noProof/>
        </w:rPr>
        <w:t>radar</w:t>
      </w:r>
    </w:p>
    <w:p w14:paraId="589A2A69" w14:textId="35010062" w:rsidR="009C2916" w:rsidRPr="007C266D" w:rsidRDefault="00115BA3" w:rsidP="00115BA3">
      <w:pPr>
        <w:pStyle w:val="Point1"/>
        <w:rPr>
          <w:noProof/>
        </w:rPr>
      </w:pPr>
      <w:r w:rsidRPr="007C266D">
        <w:rPr>
          <w:noProof/>
        </w:rPr>
        <w:t>d.</w:t>
      </w:r>
      <w:r w:rsidRPr="007C266D">
        <w:rPr>
          <w:noProof/>
        </w:rPr>
        <w:tab/>
        <w:t>Biotechnológie:</w:t>
      </w:r>
    </w:p>
    <w:p w14:paraId="2D59D9EF" w14:textId="77777777" w:rsidR="009C2916" w:rsidRPr="007C266D" w:rsidRDefault="009C2916" w:rsidP="003423BC">
      <w:pPr>
        <w:pStyle w:val="Bullet3"/>
        <w:rPr>
          <w:noProof/>
        </w:rPr>
      </w:pPr>
      <w:r w:rsidRPr="007C266D">
        <w:rPr>
          <w:noProof/>
        </w:rPr>
        <w:t>techniky genetickej modifikácie</w:t>
      </w:r>
    </w:p>
    <w:p w14:paraId="6B0A6CDB" w14:textId="77777777" w:rsidR="009C2916" w:rsidRPr="007C266D" w:rsidRDefault="009C2916" w:rsidP="003423BC">
      <w:pPr>
        <w:pStyle w:val="Bullet3"/>
        <w:rPr>
          <w:noProof/>
        </w:rPr>
      </w:pPr>
      <w:r w:rsidRPr="007C266D">
        <w:rPr>
          <w:noProof/>
        </w:rPr>
        <w:t>nové genómové techniky</w:t>
      </w:r>
    </w:p>
    <w:p w14:paraId="09FEEEE5" w14:textId="77777777" w:rsidR="009C2916" w:rsidRPr="007C266D" w:rsidRDefault="009C2916" w:rsidP="003423BC">
      <w:pPr>
        <w:pStyle w:val="Bullet3"/>
        <w:rPr>
          <w:noProof/>
        </w:rPr>
      </w:pPr>
      <w:r w:rsidRPr="007C266D">
        <w:rPr>
          <w:noProof/>
        </w:rPr>
        <w:t>gene drive</w:t>
      </w:r>
    </w:p>
    <w:p w14:paraId="141F78DF" w14:textId="77777777" w:rsidR="009C2916" w:rsidRPr="007C266D" w:rsidRDefault="009C2916" w:rsidP="0066433C">
      <w:pPr>
        <w:pStyle w:val="Bullet3"/>
        <w:rPr>
          <w:noProof/>
        </w:rPr>
      </w:pPr>
      <w:r w:rsidRPr="007C266D">
        <w:rPr>
          <w:noProof/>
        </w:rPr>
        <w:t>syntetická biológia</w:t>
      </w:r>
    </w:p>
    <w:p w14:paraId="07670BF8" w14:textId="5562728F" w:rsidR="007C266D" w:rsidRDefault="00115BA3" w:rsidP="00115BA3">
      <w:pPr>
        <w:pStyle w:val="Point1"/>
        <w:rPr>
          <w:noProof/>
        </w:rPr>
      </w:pPr>
      <w:r w:rsidRPr="007C266D">
        <w:rPr>
          <w:noProof/>
        </w:rPr>
        <w:t>e.</w:t>
      </w:r>
      <w:r w:rsidRPr="007C266D">
        <w:rPr>
          <w:noProof/>
        </w:rPr>
        <w:tab/>
        <w:t>Pokročilá pripojiteľnosť, navigácia</w:t>
      </w:r>
      <w:r w:rsidR="007C266D">
        <w:rPr>
          <w:noProof/>
        </w:rPr>
        <w:t xml:space="preserve"> a </w:t>
      </w:r>
      <w:r w:rsidRPr="007C266D">
        <w:rPr>
          <w:noProof/>
        </w:rPr>
        <w:t>digitálne technológie</w:t>
      </w:r>
      <w:r w:rsidR="007C266D">
        <w:rPr>
          <w:noProof/>
        </w:rPr>
        <w:t>:</w:t>
      </w:r>
    </w:p>
    <w:p w14:paraId="4FF8960A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bezpečná digitálna komunikácia</w:t>
      </w:r>
      <w:r w:rsidR="007C266D">
        <w:rPr>
          <w:noProof/>
        </w:rPr>
        <w:t xml:space="preserve"> a </w:t>
      </w:r>
      <w:r w:rsidRPr="007C266D">
        <w:rPr>
          <w:noProof/>
        </w:rPr>
        <w:t>pripojiteľnosť, ako sú RAN &amp; Open RAN (rádiová prístupová sieť – Radio Access Network)</w:t>
      </w:r>
      <w:r w:rsidR="007C266D">
        <w:rPr>
          <w:noProof/>
        </w:rPr>
        <w:t xml:space="preserve"> a </w:t>
      </w:r>
      <w:r w:rsidRPr="007C266D">
        <w:rPr>
          <w:noProof/>
        </w:rPr>
        <w:t>6G</w:t>
      </w:r>
    </w:p>
    <w:p w14:paraId="49AB2352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technológie kybernetickej bezpečnosti vrátane kybernetického dohľadu, bezpečnostných systémov</w:t>
      </w:r>
      <w:r w:rsidR="007C266D">
        <w:rPr>
          <w:noProof/>
        </w:rPr>
        <w:t xml:space="preserve"> a </w:t>
      </w:r>
      <w:r w:rsidRPr="007C266D">
        <w:rPr>
          <w:noProof/>
        </w:rPr>
        <w:t>systémov rušenia, digitálna forenzná analýza</w:t>
      </w:r>
    </w:p>
    <w:p w14:paraId="7CB0D884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internet vecí</w:t>
      </w:r>
      <w:r w:rsidR="007C266D">
        <w:rPr>
          <w:noProof/>
        </w:rPr>
        <w:t xml:space="preserve"> a </w:t>
      </w:r>
      <w:r w:rsidRPr="007C266D">
        <w:rPr>
          <w:noProof/>
        </w:rPr>
        <w:t>virtuálna realita</w:t>
      </w:r>
    </w:p>
    <w:p w14:paraId="73D47B11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technológie distribuovanej databázy transakcií</w:t>
      </w:r>
      <w:r w:rsidR="007C266D">
        <w:rPr>
          <w:noProof/>
        </w:rPr>
        <w:t xml:space="preserve"> a </w:t>
      </w:r>
      <w:r w:rsidRPr="007C266D">
        <w:rPr>
          <w:noProof/>
        </w:rPr>
        <w:t>digitálnej identity</w:t>
      </w:r>
    </w:p>
    <w:p w14:paraId="2B75EF3D" w14:textId="276F4C72" w:rsidR="00867CE1" w:rsidRPr="007C266D" w:rsidRDefault="00867CE1" w:rsidP="0066433C">
      <w:pPr>
        <w:pStyle w:val="Bullet3"/>
        <w:rPr>
          <w:noProof/>
        </w:rPr>
      </w:pPr>
      <w:r w:rsidRPr="007C266D">
        <w:rPr>
          <w:noProof/>
        </w:rPr>
        <w:t>navádzacie, navigačné</w:t>
      </w:r>
      <w:r w:rsidR="007C266D">
        <w:rPr>
          <w:noProof/>
        </w:rPr>
        <w:t xml:space="preserve"> a </w:t>
      </w:r>
      <w:r w:rsidRPr="007C266D">
        <w:rPr>
          <w:noProof/>
        </w:rPr>
        <w:t>riadiace technológie vrátane avioniky</w:t>
      </w:r>
      <w:r w:rsidR="007C266D">
        <w:rPr>
          <w:noProof/>
        </w:rPr>
        <w:t xml:space="preserve"> a </w:t>
      </w:r>
      <w:r w:rsidRPr="007C266D">
        <w:rPr>
          <w:noProof/>
        </w:rPr>
        <w:t>určovania polohy na mori</w:t>
      </w:r>
    </w:p>
    <w:p w14:paraId="7D9E4CFB" w14:textId="77777777" w:rsidR="007C266D" w:rsidRDefault="00115BA3" w:rsidP="00115BA3">
      <w:pPr>
        <w:pStyle w:val="Point1"/>
        <w:rPr>
          <w:noProof/>
        </w:rPr>
      </w:pPr>
      <w:r w:rsidRPr="007C266D">
        <w:rPr>
          <w:noProof/>
        </w:rPr>
        <w:t>f.</w:t>
      </w:r>
      <w:r w:rsidRPr="007C266D">
        <w:rPr>
          <w:noProof/>
        </w:rPr>
        <w:tab/>
        <w:t>Technológie pokročilého snímania</w:t>
      </w:r>
      <w:r w:rsidR="007C266D">
        <w:rPr>
          <w:noProof/>
        </w:rPr>
        <w:t>:</w:t>
      </w:r>
    </w:p>
    <w:p w14:paraId="519A87AD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elektrooptické, radarové, chemické, biologické, radiačné</w:t>
      </w:r>
      <w:r w:rsidR="007C266D">
        <w:rPr>
          <w:noProof/>
        </w:rPr>
        <w:t xml:space="preserve"> a </w:t>
      </w:r>
      <w:r w:rsidRPr="007C266D">
        <w:rPr>
          <w:noProof/>
        </w:rPr>
        <w:t>distribuované snímanie</w:t>
      </w:r>
    </w:p>
    <w:p w14:paraId="1A5841D8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magnetometre, magnetické gradiometre</w:t>
      </w:r>
    </w:p>
    <w:p w14:paraId="053DFEF9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ponorné snímače elektrického poľa</w:t>
      </w:r>
    </w:p>
    <w:p w14:paraId="7E97EF73" w14:textId="46E2C8CB" w:rsidR="00867CE1" w:rsidRPr="007C266D" w:rsidRDefault="00867CE1" w:rsidP="0066433C">
      <w:pPr>
        <w:pStyle w:val="Bullet3"/>
        <w:rPr>
          <w:noProof/>
        </w:rPr>
      </w:pPr>
      <w:r w:rsidRPr="007C266D">
        <w:rPr>
          <w:noProof/>
        </w:rPr>
        <w:t>gravimetre</w:t>
      </w:r>
      <w:r w:rsidR="007C266D">
        <w:rPr>
          <w:noProof/>
        </w:rPr>
        <w:t xml:space="preserve"> a </w:t>
      </w:r>
      <w:r w:rsidRPr="007C266D">
        <w:rPr>
          <w:noProof/>
        </w:rPr>
        <w:t>gradiometre</w:t>
      </w:r>
    </w:p>
    <w:p w14:paraId="33BAE69B" w14:textId="182FD05F" w:rsidR="007C266D" w:rsidRDefault="00115BA3" w:rsidP="00115BA3">
      <w:pPr>
        <w:pStyle w:val="Point1"/>
        <w:rPr>
          <w:noProof/>
        </w:rPr>
      </w:pPr>
      <w:r w:rsidRPr="007C266D">
        <w:rPr>
          <w:noProof/>
        </w:rPr>
        <w:t>g.</w:t>
      </w:r>
      <w:r w:rsidRPr="007C266D">
        <w:rPr>
          <w:noProof/>
        </w:rPr>
        <w:tab/>
        <w:t>Vesmírne technológie</w:t>
      </w:r>
      <w:r w:rsidR="007C266D">
        <w:rPr>
          <w:noProof/>
        </w:rPr>
        <w:t xml:space="preserve"> a </w:t>
      </w:r>
      <w:r w:rsidRPr="007C266D">
        <w:rPr>
          <w:noProof/>
        </w:rPr>
        <w:t>technológie pohonu</w:t>
      </w:r>
      <w:r w:rsidR="007C266D">
        <w:rPr>
          <w:noProof/>
        </w:rPr>
        <w:t>:</w:t>
      </w:r>
    </w:p>
    <w:p w14:paraId="4C95CC48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špecializované technológie zamerané na vesmír, ktoré siahajú od úrovne zložiek až po systémovú úroveň</w:t>
      </w:r>
    </w:p>
    <w:p w14:paraId="511AA41F" w14:textId="366B4729" w:rsidR="00E36985" w:rsidRP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technológie vesmírneho dohľadu</w:t>
      </w:r>
      <w:r w:rsidR="007C266D">
        <w:rPr>
          <w:noProof/>
        </w:rPr>
        <w:t xml:space="preserve"> a </w:t>
      </w:r>
      <w:r w:rsidRPr="007C266D">
        <w:rPr>
          <w:noProof/>
        </w:rPr>
        <w:t>pozorovania Zeme</w:t>
      </w:r>
    </w:p>
    <w:p w14:paraId="61FDCDC4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určovanie polohy, navigácia</w:t>
      </w:r>
      <w:r w:rsidR="007C266D">
        <w:rPr>
          <w:noProof/>
        </w:rPr>
        <w:t xml:space="preserve"> a </w:t>
      </w:r>
      <w:r w:rsidRPr="007C266D">
        <w:rPr>
          <w:noProof/>
        </w:rPr>
        <w:t>určovanie času (PNT)</w:t>
      </w:r>
    </w:p>
    <w:p w14:paraId="01A53FBB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bezpečná komunikácia vrátane pripojenia na nízkej zemskej dráhe (LEO)</w:t>
      </w:r>
    </w:p>
    <w:p w14:paraId="6198F3D1" w14:textId="60CBB32A" w:rsidR="00867CE1" w:rsidRPr="007C266D" w:rsidRDefault="00867CE1" w:rsidP="0066433C">
      <w:pPr>
        <w:pStyle w:val="Bullet3"/>
        <w:rPr>
          <w:noProof/>
        </w:rPr>
      </w:pPr>
      <w:r w:rsidRPr="007C266D">
        <w:rPr>
          <w:noProof/>
        </w:rPr>
        <w:t>technológie pohonu vrátane nadzvuku</w:t>
      </w:r>
      <w:r w:rsidR="007C266D">
        <w:rPr>
          <w:noProof/>
        </w:rPr>
        <w:t xml:space="preserve"> a </w:t>
      </w:r>
      <w:r w:rsidRPr="007C266D">
        <w:rPr>
          <w:noProof/>
        </w:rPr>
        <w:t>komponenty na vojenské účely</w:t>
      </w:r>
    </w:p>
    <w:p w14:paraId="069B3301" w14:textId="77777777" w:rsidR="007C266D" w:rsidRDefault="00115BA3" w:rsidP="00115BA3">
      <w:pPr>
        <w:pStyle w:val="Point1"/>
        <w:rPr>
          <w:noProof/>
        </w:rPr>
      </w:pPr>
      <w:r w:rsidRPr="007C266D">
        <w:rPr>
          <w:noProof/>
        </w:rPr>
        <w:t>h.</w:t>
      </w:r>
      <w:r w:rsidRPr="007C266D">
        <w:rPr>
          <w:noProof/>
        </w:rPr>
        <w:tab/>
        <w:t>Energetické technológie</w:t>
      </w:r>
      <w:r w:rsidR="007C266D">
        <w:rPr>
          <w:noProof/>
        </w:rPr>
        <w:t>:</w:t>
      </w:r>
    </w:p>
    <w:p w14:paraId="51CA00DB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technológie jadrovej fúzie, reaktory</w:t>
      </w:r>
      <w:r w:rsidR="007C266D">
        <w:rPr>
          <w:noProof/>
        </w:rPr>
        <w:t xml:space="preserve"> a </w:t>
      </w:r>
      <w:r w:rsidRPr="007C266D">
        <w:rPr>
          <w:noProof/>
        </w:rPr>
        <w:t>výroba elektrickej energie, technológie rádiologickej konverzie/obohatenia/recyklácie</w:t>
      </w:r>
    </w:p>
    <w:p w14:paraId="1EDF9500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vodík</w:t>
      </w:r>
      <w:r w:rsidR="007C266D">
        <w:rPr>
          <w:noProof/>
        </w:rPr>
        <w:t xml:space="preserve"> a </w:t>
      </w:r>
      <w:r w:rsidRPr="007C266D">
        <w:rPr>
          <w:noProof/>
        </w:rPr>
        <w:t>nové palivá</w:t>
      </w:r>
    </w:p>
    <w:p w14:paraId="4D9E3E2D" w14:textId="77777777" w:rsidR="007C266D" w:rsidRDefault="00867CE1" w:rsidP="003423BC">
      <w:pPr>
        <w:pStyle w:val="Bullet3"/>
        <w:rPr>
          <w:noProof/>
        </w:rPr>
      </w:pPr>
      <w:r w:rsidRPr="007C266D">
        <w:rPr>
          <w:noProof/>
        </w:rPr>
        <w:t>emisne neutrálne technológie vrátane fotovoltiky</w:t>
      </w:r>
    </w:p>
    <w:p w14:paraId="14DE4F9E" w14:textId="0263E6EA" w:rsidR="00867CE1" w:rsidRPr="007C266D" w:rsidRDefault="00867CE1" w:rsidP="0066433C">
      <w:pPr>
        <w:pStyle w:val="Bullet3"/>
        <w:rPr>
          <w:noProof/>
        </w:rPr>
      </w:pPr>
      <w:r w:rsidRPr="007C266D">
        <w:rPr>
          <w:noProof/>
        </w:rPr>
        <w:t>inteligentné siete</w:t>
      </w:r>
      <w:r w:rsidR="007C266D">
        <w:rPr>
          <w:noProof/>
        </w:rPr>
        <w:t xml:space="preserve"> a </w:t>
      </w:r>
      <w:r w:rsidRPr="007C266D">
        <w:rPr>
          <w:noProof/>
        </w:rPr>
        <w:t>uskladňovanie energie, batérie</w:t>
      </w:r>
    </w:p>
    <w:p w14:paraId="2FA126C2" w14:textId="74A787FC" w:rsidR="006A23D4" w:rsidRPr="007C266D" w:rsidRDefault="00FE6FB0" w:rsidP="00FE6FB0">
      <w:pPr>
        <w:pStyle w:val="Point1"/>
        <w:rPr>
          <w:noProof/>
        </w:rPr>
      </w:pPr>
      <w:r w:rsidRPr="007C266D">
        <w:rPr>
          <w:noProof/>
        </w:rPr>
        <w:t>i.</w:t>
      </w:r>
      <w:r w:rsidRPr="007C266D">
        <w:rPr>
          <w:noProof/>
        </w:rPr>
        <w:tab/>
        <w:t>Robotika</w:t>
      </w:r>
      <w:r w:rsidR="007C266D">
        <w:rPr>
          <w:noProof/>
        </w:rPr>
        <w:t xml:space="preserve"> a </w:t>
      </w:r>
      <w:r w:rsidRPr="007C266D">
        <w:rPr>
          <w:noProof/>
        </w:rPr>
        <w:t>autonómne systémy:</w:t>
      </w:r>
    </w:p>
    <w:p w14:paraId="6402DADD" w14:textId="77777777" w:rsidR="007C266D" w:rsidRDefault="002476A7" w:rsidP="003423BC">
      <w:pPr>
        <w:pStyle w:val="Bullet3"/>
        <w:rPr>
          <w:noProof/>
        </w:rPr>
      </w:pPr>
      <w:r w:rsidRPr="007C266D">
        <w:rPr>
          <w:noProof/>
        </w:rPr>
        <w:t>drony</w:t>
      </w:r>
      <w:r w:rsidR="007C266D">
        <w:rPr>
          <w:noProof/>
        </w:rPr>
        <w:t xml:space="preserve"> a </w:t>
      </w:r>
      <w:r w:rsidRPr="007C266D">
        <w:rPr>
          <w:noProof/>
        </w:rPr>
        <w:t>(vzdušné, pozemské, hladinové</w:t>
      </w:r>
      <w:r w:rsidR="007C266D">
        <w:rPr>
          <w:noProof/>
        </w:rPr>
        <w:t xml:space="preserve"> a </w:t>
      </w:r>
      <w:r w:rsidRPr="007C266D">
        <w:rPr>
          <w:noProof/>
        </w:rPr>
        <w:t>ponorné) prostriedky</w:t>
      </w:r>
    </w:p>
    <w:p w14:paraId="1972895F" w14:textId="77777777" w:rsidR="007C266D" w:rsidRDefault="002476A7" w:rsidP="003423BC">
      <w:pPr>
        <w:pStyle w:val="Bullet3"/>
        <w:rPr>
          <w:noProof/>
        </w:rPr>
      </w:pPr>
      <w:r w:rsidRPr="007C266D">
        <w:rPr>
          <w:noProof/>
        </w:rPr>
        <w:t>roboty</w:t>
      </w:r>
      <w:r w:rsidR="007C266D">
        <w:rPr>
          <w:noProof/>
        </w:rPr>
        <w:t xml:space="preserve"> a </w:t>
      </w:r>
      <w:r w:rsidRPr="007C266D">
        <w:rPr>
          <w:noProof/>
        </w:rPr>
        <w:t>presné systémy riadené robotmi</w:t>
      </w:r>
    </w:p>
    <w:p w14:paraId="3C989213" w14:textId="5C93495E" w:rsidR="00E36985" w:rsidRPr="007C266D" w:rsidRDefault="002476A7" w:rsidP="003423BC">
      <w:pPr>
        <w:pStyle w:val="Bullet3"/>
        <w:rPr>
          <w:noProof/>
        </w:rPr>
      </w:pPr>
      <w:r w:rsidRPr="007C266D">
        <w:rPr>
          <w:noProof/>
        </w:rPr>
        <w:t>exoskeletony</w:t>
      </w:r>
    </w:p>
    <w:p w14:paraId="4428A98F" w14:textId="77777777" w:rsidR="002476A7" w:rsidRPr="007C266D" w:rsidRDefault="002476A7" w:rsidP="0066433C">
      <w:pPr>
        <w:pStyle w:val="Bullet3"/>
        <w:rPr>
          <w:noProof/>
        </w:rPr>
      </w:pPr>
      <w:r w:rsidRPr="007C266D">
        <w:rPr>
          <w:noProof/>
        </w:rPr>
        <w:t>systémy založené na umelej inteligencii</w:t>
      </w:r>
    </w:p>
    <w:p w14:paraId="66FDB7CD" w14:textId="549D2F00" w:rsidR="00260D9F" w:rsidRPr="007C266D" w:rsidRDefault="00115BA3" w:rsidP="00115BA3">
      <w:pPr>
        <w:pStyle w:val="Point1"/>
        <w:rPr>
          <w:noProof/>
        </w:rPr>
      </w:pPr>
      <w:r w:rsidRPr="007C266D">
        <w:rPr>
          <w:noProof/>
        </w:rPr>
        <w:t>j.</w:t>
      </w:r>
      <w:r w:rsidRPr="007C266D">
        <w:rPr>
          <w:noProof/>
        </w:rPr>
        <w:tab/>
        <w:t>Pokročilé materiály, výrobné</w:t>
      </w:r>
      <w:r w:rsidR="007C266D">
        <w:rPr>
          <w:noProof/>
        </w:rPr>
        <w:t xml:space="preserve"> a </w:t>
      </w:r>
      <w:r w:rsidRPr="007C266D">
        <w:rPr>
          <w:noProof/>
        </w:rPr>
        <w:t>recyklačné technológie:</w:t>
      </w:r>
    </w:p>
    <w:p w14:paraId="35A4B2C8" w14:textId="77777777" w:rsidR="007C266D" w:rsidRDefault="00E36985" w:rsidP="003423BC">
      <w:pPr>
        <w:pStyle w:val="Bullet3"/>
        <w:rPr>
          <w:noProof/>
        </w:rPr>
      </w:pPr>
      <w:r w:rsidRPr="007C266D">
        <w:rPr>
          <w:noProof/>
        </w:rPr>
        <w:t>technológie pre nanomateriály, inteligentné materiály, pokročilé keramické materiály, materiály „stealth“, inherentne bezpečné</w:t>
      </w:r>
      <w:r w:rsidR="007C266D">
        <w:rPr>
          <w:noProof/>
        </w:rPr>
        <w:t xml:space="preserve"> a </w:t>
      </w:r>
      <w:r w:rsidRPr="007C266D">
        <w:rPr>
          <w:noProof/>
        </w:rPr>
        <w:t>udržateľné materiály</w:t>
      </w:r>
    </w:p>
    <w:p w14:paraId="54DC709D" w14:textId="77777777" w:rsidR="007C266D" w:rsidRDefault="002476A7" w:rsidP="003423BC">
      <w:pPr>
        <w:pStyle w:val="Bullet3"/>
        <w:rPr>
          <w:noProof/>
        </w:rPr>
      </w:pPr>
      <w:r w:rsidRPr="007C266D">
        <w:rPr>
          <w:noProof/>
        </w:rPr>
        <w:t>aditívna výroba,</w:t>
      </w:r>
      <w:r w:rsidR="007C266D">
        <w:rPr>
          <w:noProof/>
        </w:rPr>
        <w:t xml:space="preserve"> a </w:t>
      </w:r>
      <w:r w:rsidRPr="007C266D">
        <w:rPr>
          <w:noProof/>
        </w:rPr>
        <w:t>to aj</w:t>
      </w:r>
      <w:r w:rsidR="007C266D">
        <w:rPr>
          <w:noProof/>
        </w:rPr>
        <w:t xml:space="preserve"> v </w:t>
      </w:r>
      <w:r w:rsidRPr="007C266D">
        <w:rPr>
          <w:noProof/>
        </w:rPr>
        <w:t>teréne</w:t>
      </w:r>
    </w:p>
    <w:p w14:paraId="508B2EF7" w14:textId="77777777" w:rsidR="007C266D" w:rsidRDefault="002476A7" w:rsidP="003423BC">
      <w:pPr>
        <w:pStyle w:val="Bullet3"/>
        <w:rPr>
          <w:noProof/>
        </w:rPr>
      </w:pPr>
      <w:r w:rsidRPr="007C266D">
        <w:rPr>
          <w:noProof/>
        </w:rPr>
        <w:t>digitálne kontrolovaná mikropresná výroba</w:t>
      </w:r>
      <w:r w:rsidR="007C266D">
        <w:rPr>
          <w:noProof/>
        </w:rPr>
        <w:t xml:space="preserve"> a </w:t>
      </w:r>
      <w:r w:rsidRPr="007C266D">
        <w:rPr>
          <w:noProof/>
        </w:rPr>
        <w:t>maloobjemové laserové obrábanie/zváranie</w:t>
      </w:r>
    </w:p>
    <w:p w14:paraId="028F50DC" w14:textId="27D925C8" w:rsidR="002476A7" w:rsidRPr="007C266D" w:rsidRDefault="002476A7" w:rsidP="0066433C">
      <w:pPr>
        <w:pStyle w:val="Bullet3"/>
        <w:rPr>
          <w:noProof/>
        </w:rPr>
      </w:pPr>
      <w:r w:rsidRPr="007C266D">
        <w:rPr>
          <w:noProof/>
        </w:rPr>
        <w:t>technológie určené na ťažbu, spracovanie</w:t>
      </w:r>
      <w:r w:rsidR="007C266D">
        <w:rPr>
          <w:noProof/>
        </w:rPr>
        <w:t xml:space="preserve"> a </w:t>
      </w:r>
      <w:r w:rsidRPr="007C266D">
        <w:rPr>
          <w:noProof/>
        </w:rPr>
        <w:t>recykláciu kritických surovín (vrátane hydrometalurgickej ťažby, biolúhovania, filtrácie založenej na nanotechnológiách, elektrochemického spracovania</w:t>
      </w:r>
      <w:r w:rsidR="007C266D">
        <w:rPr>
          <w:noProof/>
        </w:rPr>
        <w:t xml:space="preserve"> a </w:t>
      </w:r>
      <w:r w:rsidRPr="007C266D">
        <w:rPr>
          <w:noProof/>
        </w:rPr>
        <w:t>čiernej hmoty)</w:t>
      </w:r>
    </w:p>
    <w:p w14:paraId="10E6CED8" w14:textId="7A1C7620" w:rsidR="007C266D" w:rsidRDefault="009C6A69" w:rsidP="009C6A69">
      <w:pPr>
        <w:pStyle w:val="Point0"/>
        <w:rPr>
          <w:noProof/>
        </w:rPr>
      </w:pPr>
      <w:r w:rsidRPr="007C266D">
        <w:rPr>
          <w:noProof/>
        </w:rPr>
        <w:t>4.</w:t>
      </w:r>
      <w:r w:rsidRPr="007C266D">
        <w:rPr>
          <w:noProof/>
        </w:rPr>
        <w:tab/>
        <w:t>Kritické lieky uvedené</w:t>
      </w:r>
      <w:r w:rsidR="007C266D">
        <w:rPr>
          <w:noProof/>
        </w:rPr>
        <w:t xml:space="preserve"> v </w:t>
      </w:r>
      <w:r w:rsidRPr="007C266D">
        <w:rPr>
          <w:noProof/>
        </w:rPr>
        <w:t>zozname: Lieky na humánne použitie, ktoré sú nevyhnutné pre riadne fungovanie systému zdravotnej starostlivosti EÚ</w:t>
      </w:r>
      <w:r w:rsidR="007C266D">
        <w:rPr>
          <w:noProof/>
        </w:rPr>
        <w:t xml:space="preserve"> a </w:t>
      </w:r>
      <w:r w:rsidRPr="007C266D">
        <w:rPr>
          <w:noProof/>
        </w:rPr>
        <w:t>ktorých nedostatok by viedol</w:t>
      </w:r>
      <w:r w:rsidR="007C266D">
        <w:rPr>
          <w:noProof/>
        </w:rPr>
        <w:t xml:space="preserve"> k </w:t>
      </w:r>
      <w:r w:rsidRPr="007C266D">
        <w:rPr>
          <w:noProof/>
        </w:rPr>
        <w:t>prerušeniu liečby,</w:t>
      </w:r>
      <w:r w:rsidR="007C266D">
        <w:rPr>
          <w:noProof/>
        </w:rPr>
        <w:t xml:space="preserve"> a </w:t>
      </w:r>
      <w:r w:rsidRPr="007C266D">
        <w:rPr>
          <w:noProof/>
        </w:rPr>
        <w:t>tým</w:t>
      </w:r>
      <w:r w:rsidR="007C266D">
        <w:rPr>
          <w:noProof/>
        </w:rPr>
        <w:t xml:space="preserve"> k </w:t>
      </w:r>
      <w:r w:rsidRPr="007C266D">
        <w:rPr>
          <w:noProof/>
        </w:rPr>
        <w:t>vážnej ujme</w:t>
      </w:r>
      <w:r w:rsidR="007C266D">
        <w:rPr>
          <w:noProof/>
        </w:rPr>
        <w:t xml:space="preserve"> u </w:t>
      </w:r>
      <w:r w:rsidRPr="007C266D">
        <w:rPr>
          <w:noProof/>
        </w:rPr>
        <w:t>pacientov, uvedené</w:t>
      </w:r>
      <w:r w:rsidR="007C266D">
        <w:rPr>
          <w:noProof/>
        </w:rPr>
        <w:t xml:space="preserve"> v </w:t>
      </w:r>
      <w:hyperlink r:id="rId63" w:anchor="ema-inpage-item-64278" w:history="1">
        <w:r w:rsidRPr="007C266D">
          <w:rPr>
            <w:rStyle w:val="Hyperlink"/>
            <w:noProof/>
          </w:rPr>
          <w:t>únijnom zozname kritických liekov</w:t>
        </w:r>
      </w:hyperlink>
      <w:r w:rsidR="00866524" w:rsidRPr="007C266D">
        <w:rPr>
          <w:rStyle w:val="FootnoteReference"/>
          <w:rFonts w:eastAsia="Calibri"/>
          <w:noProof/>
          <w:color w:val="0000FF"/>
          <w:u w:val="single"/>
        </w:rPr>
        <w:footnoteReference w:id="3"/>
      </w:r>
      <w:r w:rsidR="007C266D">
        <w:rPr>
          <w:noProof/>
        </w:rPr>
        <w:t>.</w:t>
      </w:r>
    </w:p>
    <w:p w14:paraId="40D95EAE" w14:textId="7E94C88B" w:rsidR="0033124D" w:rsidRPr="007C266D" w:rsidRDefault="009C6A69" w:rsidP="009C6A69">
      <w:pPr>
        <w:pStyle w:val="Point0"/>
        <w:rPr>
          <w:noProof/>
        </w:rPr>
      </w:pPr>
      <w:r w:rsidRPr="007C266D">
        <w:rPr>
          <w:noProof/>
        </w:rPr>
        <w:t>5.</w:t>
      </w:r>
      <w:r w:rsidRPr="007C266D">
        <w:rPr>
          <w:noProof/>
        </w:rPr>
        <w:tab/>
        <w:t>Tieto kritické subjekty</w:t>
      </w:r>
      <w:r w:rsidR="007C266D">
        <w:rPr>
          <w:noProof/>
        </w:rPr>
        <w:t xml:space="preserve"> a </w:t>
      </w:r>
      <w:r w:rsidRPr="007C266D">
        <w:rPr>
          <w:noProof/>
        </w:rPr>
        <w:t>činnosti vo finančnom systéme Únie: centrálne protistrany</w:t>
      </w:r>
      <w:r w:rsidR="006E7705" w:rsidRPr="007C266D">
        <w:rPr>
          <w:rStyle w:val="FootnoteReference"/>
          <w:rFonts w:eastAsia="Calibri"/>
          <w:noProof/>
        </w:rPr>
        <w:footnoteReference w:id="4"/>
      </w:r>
      <w:r w:rsidRPr="007C266D">
        <w:rPr>
          <w:noProof/>
        </w:rPr>
        <w:t>, platobné systémy</w:t>
      </w:r>
      <w:r w:rsidR="007C266D">
        <w:rPr>
          <w:noProof/>
        </w:rPr>
        <w:t xml:space="preserve"> a </w:t>
      </w:r>
      <w:r w:rsidRPr="007C266D">
        <w:rPr>
          <w:noProof/>
        </w:rPr>
        <w:t>platobné inštitúcie</w:t>
      </w:r>
      <w:r w:rsidR="0071147F" w:rsidRPr="007C266D">
        <w:rPr>
          <w:rStyle w:val="FootnoteReference"/>
          <w:noProof/>
        </w:rPr>
        <w:footnoteReference w:id="5"/>
      </w:r>
      <w:r w:rsidRPr="007C266D">
        <w:rPr>
          <w:noProof/>
        </w:rPr>
        <w:t>, inštitúcie elektronického peňažníctva</w:t>
      </w:r>
      <w:r w:rsidR="0071147F" w:rsidRPr="007C266D">
        <w:rPr>
          <w:rStyle w:val="FootnoteReference"/>
          <w:rFonts w:eastAsia="Calibri"/>
          <w:noProof/>
        </w:rPr>
        <w:footnoteReference w:id="6"/>
      </w:r>
      <w:r w:rsidRPr="007C266D">
        <w:rPr>
          <w:noProof/>
        </w:rPr>
        <w:t>, organizátori trhu</w:t>
      </w:r>
      <w:r w:rsidR="007C266D">
        <w:rPr>
          <w:noProof/>
        </w:rPr>
        <w:t xml:space="preserve"> a </w:t>
      </w:r>
      <w:r w:rsidRPr="007C266D">
        <w:rPr>
          <w:noProof/>
        </w:rPr>
        <w:t>investičné spoločnosti, ktoré prevádzkujú multilaterálny obchodný systém alebo organizovaný obchodný systém</w:t>
      </w:r>
      <w:r w:rsidR="0071147F" w:rsidRPr="007C266D">
        <w:rPr>
          <w:rStyle w:val="FootnoteReference"/>
          <w:rFonts w:eastAsia="Calibri"/>
          <w:noProof/>
        </w:rPr>
        <w:footnoteReference w:id="7"/>
      </w:r>
      <w:r w:rsidRPr="007C266D">
        <w:rPr>
          <w:noProof/>
        </w:rPr>
        <w:t>, centrálni depozitári cenných papierov</w:t>
      </w:r>
      <w:r w:rsidR="00692DAC" w:rsidRPr="007C266D">
        <w:rPr>
          <w:rStyle w:val="FootnoteReference"/>
          <w:rFonts w:eastAsia="Calibri"/>
          <w:noProof/>
        </w:rPr>
        <w:footnoteReference w:id="8"/>
      </w:r>
      <w:r w:rsidRPr="007C266D">
        <w:rPr>
          <w:noProof/>
        </w:rPr>
        <w:t>, významní emitenti tokenov naviazaných na aktíva alebo tokenov elektronických peňazí</w:t>
      </w:r>
      <w:r w:rsidR="007C266D">
        <w:rPr>
          <w:noProof/>
        </w:rPr>
        <w:t xml:space="preserve"> a </w:t>
      </w:r>
      <w:r w:rsidRPr="007C266D">
        <w:rPr>
          <w:noProof/>
        </w:rPr>
        <w:t>poskytovatelia služieb kryptoaktív prevádzkujúci obchodné platformy pre kryptoaktíva</w:t>
      </w:r>
      <w:r w:rsidR="00C37034" w:rsidRPr="007C266D">
        <w:rPr>
          <w:rStyle w:val="FootnoteReference"/>
          <w:rFonts w:eastAsia="Calibri"/>
          <w:noProof/>
        </w:rPr>
        <w:footnoteReference w:id="9"/>
      </w:r>
      <w:r w:rsidRPr="007C266D">
        <w:rPr>
          <w:noProof/>
        </w:rPr>
        <w:t>, veľké inštitúcie</w:t>
      </w:r>
      <w:r w:rsidR="00970E5B" w:rsidRPr="007C266D">
        <w:rPr>
          <w:rStyle w:val="FootnoteReference"/>
          <w:rFonts w:eastAsia="Calibri"/>
          <w:noProof/>
        </w:rPr>
        <w:footnoteReference w:id="10"/>
      </w:r>
      <w:r w:rsidRPr="007C266D">
        <w:rPr>
          <w:noProof/>
        </w:rPr>
        <w:t>, svetoví poskytovatelia špecializovaných služieb zasielania finančných správ</w:t>
      </w:r>
      <w:r w:rsidR="007C266D">
        <w:rPr>
          <w:noProof/>
        </w:rPr>
        <w:t xml:space="preserve"> a </w:t>
      </w:r>
      <w:r w:rsidRPr="007C266D">
        <w:rPr>
          <w:noProof/>
        </w:rPr>
        <w:t>určení kritickí externí poskytovatelia IKT služieb</w:t>
      </w:r>
      <w:r w:rsidR="00970E5B" w:rsidRPr="007C266D">
        <w:rPr>
          <w:rStyle w:val="FootnoteReference"/>
          <w:rFonts w:eastAsia="Calibri"/>
          <w:noProof/>
        </w:rPr>
        <w:footnoteReference w:id="11"/>
      </w:r>
      <w:r w:rsidRPr="007C266D">
        <w:rPr>
          <w:noProof/>
        </w:rPr>
        <w:t>.</w:t>
      </w:r>
    </w:p>
    <w:sectPr w:rsidR="0033124D" w:rsidRPr="007C266D" w:rsidSect="00C46599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F0EB8" w14:textId="77777777" w:rsidR="00AE5E4F" w:rsidRDefault="00AE5E4F" w:rsidP="00455B3D">
      <w:pPr>
        <w:spacing w:before="0" w:after="0"/>
      </w:pPr>
      <w:r>
        <w:separator/>
      </w:r>
    </w:p>
  </w:endnote>
  <w:endnote w:type="continuationSeparator" w:id="0">
    <w:p w14:paraId="41EEA2CB" w14:textId="77777777" w:rsidR="00AE5E4F" w:rsidRDefault="00AE5E4F" w:rsidP="00455B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45C47" w14:textId="4A68B9BD" w:rsidR="00C46599" w:rsidRPr="00C46599" w:rsidRDefault="00C46599" w:rsidP="00C46599">
    <w:pPr>
      <w:pStyle w:val="Footer"/>
      <w:rPr>
        <w:rFonts w:ascii="Arial" w:hAnsi="Arial" w:cs="Arial"/>
        <w:b/>
        <w:sz w:val="48"/>
      </w:rPr>
    </w:pPr>
    <w:r w:rsidRPr="00C46599">
      <w:rPr>
        <w:rFonts w:ascii="Arial" w:hAnsi="Arial" w:cs="Arial"/>
        <w:b/>
        <w:sz w:val="48"/>
      </w:rPr>
      <w:t>SK</w:t>
    </w:r>
    <w:r w:rsidRPr="00C46599">
      <w:rPr>
        <w:rFonts w:ascii="Arial" w:hAnsi="Arial" w:cs="Arial"/>
        <w:b/>
        <w:sz w:val="48"/>
      </w:rPr>
      <w:tab/>
    </w:r>
    <w:r w:rsidRPr="00C46599">
      <w:rPr>
        <w:rFonts w:ascii="Arial" w:hAnsi="Arial" w:cs="Arial"/>
        <w:b/>
        <w:sz w:val="48"/>
      </w:rPr>
      <w:tab/>
    </w:r>
    <w:r w:rsidRPr="00C46599">
      <w:tab/>
    </w:r>
    <w:r w:rsidRPr="00C46599">
      <w:rPr>
        <w:rFonts w:ascii="Arial" w:hAnsi="Arial" w:cs="Arial"/>
        <w:b/>
        <w:sz w:val="48"/>
      </w:rPr>
      <w:t>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1453B" w14:textId="26C0A0E9" w:rsidR="00C46599" w:rsidRPr="00C46599" w:rsidRDefault="00C46599" w:rsidP="00C46599">
    <w:pPr>
      <w:pStyle w:val="Footer"/>
      <w:rPr>
        <w:rFonts w:ascii="Arial" w:hAnsi="Arial" w:cs="Arial"/>
        <w:b/>
        <w:sz w:val="48"/>
      </w:rPr>
    </w:pPr>
    <w:r w:rsidRPr="00C46599">
      <w:rPr>
        <w:rFonts w:ascii="Arial" w:hAnsi="Arial" w:cs="Arial"/>
        <w:b/>
        <w:sz w:val="48"/>
      </w:rPr>
      <w:t>SK</w:t>
    </w:r>
    <w:r w:rsidRPr="00C46599">
      <w:rPr>
        <w:rFonts w:ascii="Arial" w:hAnsi="Arial" w:cs="Arial"/>
        <w:b/>
        <w:sz w:val="48"/>
      </w:rPr>
      <w:tab/>
    </w:r>
    <w:r w:rsidRPr="00C46599">
      <w:rPr>
        <w:rFonts w:ascii="Arial" w:hAnsi="Arial" w:cs="Arial"/>
        <w:b/>
        <w:sz w:val="48"/>
      </w:rPr>
      <w:tab/>
    </w:r>
    <w:r w:rsidRPr="00C46599">
      <w:tab/>
    </w:r>
    <w:r w:rsidRPr="00C46599"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929F3" w14:textId="77777777" w:rsidR="00C46599" w:rsidRPr="00C46599" w:rsidRDefault="00C46599" w:rsidP="00C4659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051E" w14:textId="77777777" w:rsidR="00C46599" w:rsidRDefault="00C4659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DDD9" w14:textId="1B3F207F" w:rsidR="00C46599" w:rsidRPr="00C46599" w:rsidRDefault="00C46599" w:rsidP="00C46599">
    <w:pPr>
      <w:pStyle w:val="Footer"/>
      <w:rPr>
        <w:rFonts w:ascii="Arial" w:hAnsi="Arial" w:cs="Arial"/>
        <w:b/>
        <w:sz w:val="48"/>
      </w:rPr>
    </w:pPr>
    <w:r w:rsidRPr="00C46599">
      <w:rPr>
        <w:rFonts w:ascii="Arial" w:hAnsi="Arial" w:cs="Arial"/>
        <w:b/>
        <w:sz w:val="48"/>
      </w:rPr>
      <w:t>SK</w:t>
    </w:r>
    <w:r w:rsidRPr="00C4659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C46599">
      <w:tab/>
    </w:r>
    <w:r w:rsidRPr="00C46599">
      <w:rPr>
        <w:rFonts w:ascii="Arial" w:hAnsi="Arial" w:cs="Arial"/>
        <w:b/>
        <w:sz w:val="48"/>
      </w:rPr>
      <w:t>SK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26756" w14:textId="77777777" w:rsidR="00C46599" w:rsidRDefault="00C46599" w:rsidP="00C46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3BE13" w14:textId="77777777" w:rsidR="00AE5E4F" w:rsidRDefault="00AE5E4F" w:rsidP="00455B3D">
      <w:pPr>
        <w:spacing w:before="0" w:after="0"/>
      </w:pPr>
      <w:r>
        <w:separator/>
      </w:r>
    </w:p>
  </w:footnote>
  <w:footnote w:type="continuationSeparator" w:id="0">
    <w:p w14:paraId="7CCCC99A" w14:textId="77777777" w:rsidR="00AE5E4F" w:rsidRDefault="00AE5E4F" w:rsidP="00455B3D">
      <w:pPr>
        <w:spacing w:before="0" w:after="0"/>
      </w:pPr>
      <w:r>
        <w:continuationSeparator/>
      </w:r>
    </w:p>
  </w:footnote>
  <w:footnote w:id="1">
    <w:p w14:paraId="7E30D24A" w14:textId="2338E650" w:rsidR="00FE50F6" w:rsidRPr="007C266D" w:rsidRDefault="00FE50F6">
      <w:pPr>
        <w:pStyle w:val="FootnoteText"/>
      </w:pPr>
      <w:r w:rsidRPr="007C266D">
        <w:rPr>
          <w:rStyle w:val="FootnoteReference"/>
        </w:rPr>
        <w:footnoteRef/>
      </w:r>
      <w:r w:rsidRPr="007C266D">
        <w:tab/>
        <w:t>Nariadenie (EÚ) č. 283/2014 sa</w:t>
      </w:r>
      <w:r w:rsidR="007C266D">
        <w:t xml:space="preserve"> v </w:t>
      </w:r>
      <w:r w:rsidRPr="007C266D">
        <w:t>tejto prílohe zachováva vzhľadom na článok 27 ods. 2 nariadenia (EÚ) 2021/1153, ktorým sa zriaďuje Nástroj na prepájanie Európy</w:t>
      </w:r>
      <w:r w:rsidR="007C266D">
        <w:t xml:space="preserve"> a </w:t>
      </w:r>
      <w:r w:rsidRPr="007C266D">
        <w:t>zrušujú nariadenia (EÚ) č. 1316/2013</w:t>
      </w:r>
      <w:r w:rsidR="007C266D">
        <w:t xml:space="preserve"> a </w:t>
      </w:r>
      <w:r w:rsidRPr="007C266D">
        <w:t>(EÚ) č. 283/2014.</w:t>
      </w:r>
    </w:p>
  </w:footnote>
  <w:footnote w:id="2">
    <w:p w14:paraId="32005C97" w14:textId="11ED6324" w:rsidR="00084711" w:rsidRPr="007C266D" w:rsidRDefault="00084711">
      <w:pPr>
        <w:pStyle w:val="FootnoteText"/>
      </w:pPr>
      <w:r w:rsidRPr="007C266D">
        <w:rPr>
          <w:rStyle w:val="FootnoteReference"/>
        </w:rPr>
        <w:footnoteRef/>
      </w:r>
      <w:r w:rsidRPr="007C266D">
        <w:tab/>
      </w:r>
      <w:hyperlink r:id="rId1" w:history="1">
        <w:r w:rsidRPr="007C266D">
          <w:rPr>
            <w:rStyle w:val="Hyperlink"/>
          </w:rPr>
          <w:t>https://competition-policy.ec.europa.eu/state-aid/ipcei/approved-ipceis_sk</w:t>
        </w:r>
      </w:hyperlink>
    </w:p>
  </w:footnote>
  <w:footnote w:id="3">
    <w:p w14:paraId="52ECE27F" w14:textId="52CCEB9C" w:rsidR="00866524" w:rsidRPr="007C266D" w:rsidRDefault="00866524">
      <w:pPr>
        <w:pStyle w:val="FootnoteText"/>
      </w:pPr>
      <w:r w:rsidRPr="007C266D">
        <w:rPr>
          <w:rStyle w:val="FootnoteReference"/>
        </w:rPr>
        <w:footnoteRef/>
      </w:r>
      <w:r w:rsidRPr="007C266D">
        <w:tab/>
        <w:t xml:space="preserve">Únijný zoznam kritických liekov </w:t>
      </w:r>
      <w:hyperlink r:id="rId2" w:anchor="ema-inpage-item-64278" w:history="1">
        <w:r w:rsidRPr="007C266D">
          <w:rPr>
            <w:rStyle w:val="Hyperlink"/>
          </w:rPr>
          <w:t>https://www.ema.europa.eu/en/human-regulatory-overview/post-authorisation/medicine-shortages-and-availability-issues/availability-critical-medicines#ema-inpage-item-64278</w:t>
        </w:r>
      </w:hyperlink>
      <w:r w:rsidR="007C266D">
        <w:t>.</w:t>
      </w:r>
      <w:r w:rsidRPr="007C266D">
        <w:t xml:space="preserve"> </w:t>
      </w:r>
    </w:p>
  </w:footnote>
  <w:footnote w:id="4">
    <w:p w14:paraId="64BA1394" w14:textId="7BE10A62" w:rsidR="006E7705" w:rsidRPr="007C266D" w:rsidRDefault="006E7705">
      <w:pPr>
        <w:pStyle w:val="FootnoteText"/>
      </w:pPr>
      <w:r w:rsidRPr="007C266D">
        <w:rPr>
          <w:rStyle w:val="FootnoteReference"/>
        </w:rPr>
        <w:footnoteRef/>
      </w:r>
      <w:r w:rsidRPr="007C266D">
        <w:tab/>
        <w:t>Článok 2 bod 1 nariadenia Európskeho parlamentu</w:t>
      </w:r>
      <w:r w:rsidR="007C266D">
        <w:t xml:space="preserve"> a </w:t>
      </w:r>
      <w:r w:rsidRPr="007C266D">
        <w:t>Rady (EÚ) č. 648/2012 zo 4</w:t>
      </w:r>
      <w:r w:rsidR="007C266D">
        <w:t>. júla</w:t>
      </w:r>
      <w:r w:rsidRPr="007C266D">
        <w:t xml:space="preserve"> 2012</w:t>
      </w:r>
      <w:r w:rsidR="007C266D">
        <w:t xml:space="preserve"> o </w:t>
      </w:r>
      <w:r w:rsidRPr="007C266D">
        <w:t>mimoburzových derivátoch, centrálnych protistranách</w:t>
      </w:r>
      <w:r w:rsidR="007C266D">
        <w:t xml:space="preserve"> a </w:t>
      </w:r>
      <w:r w:rsidRPr="007C266D">
        <w:t>archívoch obchodných údajov (</w:t>
      </w:r>
      <w:hyperlink r:id="rId3" w:history="1">
        <w:r w:rsidRPr="007C266D">
          <w:rPr>
            <w:rStyle w:val="Hyperlink"/>
          </w:rPr>
          <w:t>Ú. v. EÚ L 201, 27.7.2012, s. 1,</w:t>
        </w:r>
      </w:hyperlink>
      <w:r w:rsidRPr="007C266D">
        <w:t xml:space="preserve"> ELI: </w:t>
      </w:r>
      <w:hyperlink r:id="rId4" w:tooltip="Umožňuje prístup k tomuto dokumentu prostredníctvom identifikátorov ELI a URI." w:history="1">
        <w:r w:rsidRPr="007C266D">
          <w:rPr>
            <w:rStyle w:val="Hyperlink"/>
          </w:rPr>
          <w:t>http://data.europa.eu/eli/reg/2012/648/oj</w:t>
        </w:r>
      </w:hyperlink>
      <w:r w:rsidR="007C266D">
        <w:t>.</w:t>
      </w:r>
      <w:r w:rsidRPr="007C266D">
        <w:t xml:space="preserve"> </w:t>
      </w:r>
    </w:p>
  </w:footnote>
  <w:footnote w:id="5">
    <w:p w14:paraId="518DEEC1" w14:textId="62749491" w:rsidR="0071147F" w:rsidRPr="007C266D" w:rsidRDefault="0071147F" w:rsidP="0071147F">
      <w:pPr>
        <w:pStyle w:val="FootnoteText"/>
      </w:pPr>
      <w:r w:rsidRPr="007C266D">
        <w:rPr>
          <w:rStyle w:val="FootnoteReference"/>
        </w:rPr>
        <w:footnoteRef/>
      </w:r>
      <w:r w:rsidRPr="007C266D">
        <w:tab/>
        <w:t>Článok 4 bod 7</w:t>
      </w:r>
      <w:r w:rsidR="007C266D">
        <w:t xml:space="preserve"> a </w:t>
      </w:r>
      <w:r w:rsidRPr="007C266D">
        <w:t>článok 4 bod 4 smernice Európskeho parlamentu</w:t>
      </w:r>
      <w:r w:rsidR="007C266D">
        <w:t xml:space="preserve"> a </w:t>
      </w:r>
      <w:r w:rsidRPr="007C266D">
        <w:t>Rady (EÚ) 2015/2366</w:t>
      </w:r>
      <w:r w:rsidR="007C266D">
        <w:t xml:space="preserve"> z </w:t>
      </w:r>
      <w:r w:rsidRPr="007C266D">
        <w:t>25</w:t>
      </w:r>
      <w:r w:rsidR="007C266D">
        <w:t>. novembra</w:t>
      </w:r>
      <w:r w:rsidRPr="007C266D">
        <w:t xml:space="preserve"> 2015</w:t>
      </w:r>
      <w:r w:rsidR="007C266D">
        <w:t xml:space="preserve"> o </w:t>
      </w:r>
      <w:r w:rsidRPr="007C266D">
        <w:t>platobných službách na vnútornom trhu, ktorou sa menia smernice 2002/65/ES, 2009/110/ES</w:t>
      </w:r>
      <w:r w:rsidR="007C266D">
        <w:t xml:space="preserve"> a </w:t>
      </w:r>
      <w:r w:rsidRPr="007C266D">
        <w:t>2013/36/EÚ</w:t>
      </w:r>
      <w:r w:rsidR="007C266D">
        <w:t xml:space="preserve"> a </w:t>
      </w:r>
      <w:r w:rsidRPr="007C266D">
        <w:t>nariadenie (EÚ) č. 1093/2010</w:t>
      </w:r>
      <w:r w:rsidR="007C266D">
        <w:t xml:space="preserve"> a </w:t>
      </w:r>
      <w:r w:rsidRPr="007C266D">
        <w:t>ktorou sa zrušuje smernica 2007/64/ES (</w:t>
      </w:r>
      <w:hyperlink r:id="rId5" w:history="1">
        <w:r w:rsidRPr="007C266D">
          <w:rPr>
            <w:rStyle w:val="Hyperlink"/>
          </w:rPr>
          <w:t xml:space="preserve">Ú. v. EÚ L 337, 23.12.2015, s. 35, </w:t>
        </w:r>
      </w:hyperlink>
      <w:r w:rsidRPr="007C266D">
        <w:t xml:space="preserve">ELI: </w:t>
      </w:r>
      <w:hyperlink r:id="rId6" w:tooltip="Umožňuje prístup k tomuto dokumentu prostredníctvom identifikátorov ELI a URI." w:history="1">
        <w:r w:rsidRPr="007C266D">
          <w:rPr>
            <w:rStyle w:val="Hyperlink"/>
          </w:rPr>
          <w:t>http://data.europa.eu/eli/dir/2015/2366/oj</w:t>
        </w:r>
      </w:hyperlink>
      <w:r w:rsidRPr="007C266D">
        <w:t>.</w:t>
      </w:r>
    </w:p>
  </w:footnote>
  <w:footnote w:id="6">
    <w:p w14:paraId="4D0D41B9" w14:textId="34262B52" w:rsidR="0071147F" w:rsidRPr="007C266D" w:rsidRDefault="0071147F">
      <w:pPr>
        <w:pStyle w:val="FootnoteText"/>
      </w:pPr>
      <w:r w:rsidRPr="007C266D">
        <w:rPr>
          <w:rStyle w:val="FootnoteReference"/>
        </w:rPr>
        <w:footnoteRef/>
      </w:r>
      <w:r w:rsidRPr="007C266D">
        <w:tab/>
        <w:t>Článok 2 bod 1 smernice Európskeho parlamentu</w:t>
      </w:r>
      <w:r w:rsidR="007C266D">
        <w:t xml:space="preserve"> a </w:t>
      </w:r>
      <w:r w:rsidRPr="007C266D">
        <w:t>Rady 2009/110/ES zo 16</w:t>
      </w:r>
      <w:r w:rsidR="007C266D">
        <w:t>. septembra</w:t>
      </w:r>
      <w:r w:rsidRPr="007C266D">
        <w:t> 2009</w:t>
      </w:r>
      <w:r w:rsidR="007C266D">
        <w:t xml:space="preserve"> o </w:t>
      </w:r>
      <w:r w:rsidRPr="007C266D">
        <w:t>začatí</w:t>
      </w:r>
      <w:r w:rsidR="007C266D">
        <w:t xml:space="preserve"> a </w:t>
      </w:r>
      <w:r w:rsidRPr="007C266D">
        <w:t>vykonávaní činností</w:t>
      </w:r>
      <w:r w:rsidR="007C266D">
        <w:t xml:space="preserve"> a </w:t>
      </w:r>
      <w:r w:rsidRPr="007C266D">
        <w:t>dohľade nad obozretným podnikaním inštitúcií elektronického peňažníctva, ktorou sa menia</w:t>
      </w:r>
      <w:r w:rsidR="007C266D">
        <w:t xml:space="preserve"> a </w:t>
      </w:r>
      <w:r w:rsidRPr="007C266D">
        <w:t>dopĺňajú smernice 2005/60/ES</w:t>
      </w:r>
      <w:r w:rsidR="007C266D">
        <w:t xml:space="preserve"> a </w:t>
      </w:r>
      <w:r w:rsidRPr="007C266D">
        <w:t>2006/48/ES</w:t>
      </w:r>
      <w:r w:rsidR="007C266D">
        <w:t xml:space="preserve"> a </w:t>
      </w:r>
      <w:r w:rsidRPr="007C266D">
        <w:t>zrušuje smernica 2000/46/ES (</w:t>
      </w:r>
      <w:hyperlink r:id="rId7" w:history="1">
        <w:r w:rsidRPr="007C266D">
          <w:rPr>
            <w:rStyle w:val="Hyperlink"/>
          </w:rPr>
          <w:t>Ú. v. EÚ L 267, 10.10.2009, s. 7,</w:t>
        </w:r>
      </w:hyperlink>
      <w:r w:rsidRPr="007C266D">
        <w:t xml:space="preserve"> ELI: </w:t>
      </w:r>
      <w:hyperlink r:id="rId8" w:tooltip="Umožňuje prístup k tomuto dokumentu prostredníctvom identifikátorov ELI a URI." w:history="1">
        <w:r w:rsidRPr="007C266D">
          <w:rPr>
            <w:rStyle w:val="Hyperlink"/>
          </w:rPr>
          <w:t>http://data.europa.eu/eli/dir/2009/110/oj</w:t>
        </w:r>
      </w:hyperlink>
      <w:r w:rsidRPr="007C266D">
        <w:t>.</w:t>
      </w:r>
    </w:p>
  </w:footnote>
  <w:footnote w:id="7">
    <w:p w14:paraId="109F275C" w14:textId="4D1C9F89" w:rsidR="0071147F" w:rsidRPr="007C266D" w:rsidRDefault="0071147F">
      <w:pPr>
        <w:pStyle w:val="FootnoteText"/>
      </w:pPr>
      <w:r w:rsidRPr="007C266D">
        <w:rPr>
          <w:rStyle w:val="FootnoteReference"/>
        </w:rPr>
        <w:footnoteRef/>
      </w:r>
      <w:r w:rsidRPr="007C266D">
        <w:tab/>
        <w:t>Článok 4 body 1</w:t>
      </w:r>
      <w:r w:rsidR="007C266D">
        <w:t xml:space="preserve"> a </w:t>
      </w:r>
      <w:r w:rsidRPr="007C266D">
        <w:t>18 smernice Európskeho parlamentu</w:t>
      </w:r>
      <w:r w:rsidR="007C266D">
        <w:t xml:space="preserve"> a </w:t>
      </w:r>
      <w:r w:rsidRPr="007C266D">
        <w:t>Rady 2014/65/EÚ</w:t>
      </w:r>
      <w:r w:rsidR="007C266D">
        <w:t xml:space="preserve"> z </w:t>
      </w:r>
      <w:r w:rsidRPr="007C266D">
        <w:t>15</w:t>
      </w:r>
      <w:r w:rsidR="007C266D">
        <w:t>. mája</w:t>
      </w:r>
      <w:r w:rsidRPr="007C266D">
        <w:t xml:space="preserve"> 2014</w:t>
      </w:r>
      <w:r w:rsidR="007C266D">
        <w:t xml:space="preserve"> o </w:t>
      </w:r>
      <w:r w:rsidRPr="007C266D">
        <w:t>trhoch</w:t>
      </w:r>
      <w:r w:rsidR="007C266D">
        <w:t xml:space="preserve"> s </w:t>
      </w:r>
      <w:r w:rsidRPr="007C266D">
        <w:t>finančnými nástrojmi, ktorou sa mení smernica 2002/92/ES</w:t>
      </w:r>
      <w:r w:rsidR="007C266D">
        <w:t xml:space="preserve"> a </w:t>
      </w:r>
      <w:r w:rsidRPr="007C266D">
        <w:t>smernica 2011/61/EÚ (</w:t>
      </w:r>
      <w:hyperlink r:id="rId9" w:history="1">
        <w:r w:rsidRPr="007C266D">
          <w:rPr>
            <w:rStyle w:val="Hyperlink"/>
          </w:rPr>
          <w:t>Ú. v. EÚ L 173, 12.6.2014, s. 349,</w:t>
        </w:r>
      </w:hyperlink>
      <w:r w:rsidRPr="007C266D">
        <w:t xml:space="preserve"> ELI: </w:t>
      </w:r>
      <w:hyperlink r:id="rId10" w:tooltip="Umožňuje prístup k tomuto dokumentu prostredníctvom identifikátorov ELI a URI." w:history="1">
        <w:r w:rsidRPr="007C266D">
          <w:rPr>
            <w:rStyle w:val="Hyperlink"/>
          </w:rPr>
          <w:t>http://data.europa.eu/eli/dir/2014/65/oj</w:t>
        </w:r>
      </w:hyperlink>
      <w:r w:rsidRPr="007C266D">
        <w:t>.</w:t>
      </w:r>
    </w:p>
  </w:footnote>
  <w:footnote w:id="8">
    <w:p w14:paraId="44B59D08" w14:textId="780EC683" w:rsidR="00692DAC" w:rsidRPr="007C266D" w:rsidRDefault="00692DAC">
      <w:pPr>
        <w:pStyle w:val="FootnoteText"/>
      </w:pPr>
      <w:r w:rsidRPr="007C266D">
        <w:rPr>
          <w:rStyle w:val="FootnoteReference"/>
        </w:rPr>
        <w:footnoteRef/>
      </w:r>
      <w:r w:rsidRPr="007C266D">
        <w:tab/>
        <w:t>Článok 2 ods. 1 bod 1 nariadenia Európskeho parlamentu</w:t>
      </w:r>
      <w:r w:rsidR="007C266D">
        <w:t xml:space="preserve"> a </w:t>
      </w:r>
      <w:r w:rsidRPr="007C266D">
        <w:t>Rady (EÚ) č. 909/2014</w:t>
      </w:r>
      <w:r w:rsidR="007C266D">
        <w:t xml:space="preserve"> z </w:t>
      </w:r>
      <w:r w:rsidRPr="007C266D">
        <w:t>23</w:t>
      </w:r>
      <w:r w:rsidR="007C266D">
        <w:t>. júla</w:t>
      </w:r>
      <w:r w:rsidRPr="007C266D">
        <w:t xml:space="preserve"> 2014</w:t>
      </w:r>
      <w:r w:rsidR="007C266D">
        <w:t xml:space="preserve"> o </w:t>
      </w:r>
      <w:r w:rsidRPr="007C266D">
        <w:t>zlepšení vyrovnania transakcií</w:t>
      </w:r>
      <w:r w:rsidR="007C266D">
        <w:t xml:space="preserve"> s </w:t>
      </w:r>
      <w:r w:rsidRPr="007C266D">
        <w:t>cennými papiermi</w:t>
      </w:r>
      <w:r w:rsidR="007C266D">
        <w:t xml:space="preserve"> v </w:t>
      </w:r>
      <w:r w:rsidRPr="007C266D">
        <w:t>Európskej únii, centrálnych depozitároch cenných papierov</w:t>
      </w:r>
      <w:r w:rsidR="007C266D">
        <w:t xml:space="preserve"> a o </w:t>
      </w:r>
      <w:r w:rsidRPr="007C266D">
        <w:t>zmene smerníc 98/26/ES</w:t>
      </w:r>
      <w:r w:rsidR="007C266D">
        <w:t xml:space="preserve"> a </w:t>
      </w:r>
      <w:r w:rsidRPr="007C266D">
        <w:t>2014/65/EÚ</w:t>
      </w:r>
      <w:r w:rsidR="007C266D">
        <w:t xml:space="preserve"> a </w:t>
      </w:r>
      <w:r w:rsidRPr="007C266D">
        <w:t>nariadenia (EÚ) č. 236/2012 (</w:t>
      </w:r>
      <w:hyperlink r:id="rId11" w:history="1">
        <w:r w:rsidRPr="007C266D">
          <w:rPr>
            <w:rStyle w:val="Hyperlink"/>
          </w:rPr>
          <w:t>Ú. v. EÚ L 257, 28.8.2014, s. 1</w:t>
        </w:r>
      </w:hyperlink>
      <w:r w:rsidRPr="007C266D">
        <w:t xml:space="preserve">, ELI: </w:t>
      </w:r>
      <w:hyperlink r:id="rId12" w:tooltip="Umožňuje prístup k tomuto dokumentu prostredníctvom identifikátorov ELI a URI." w:history="1">
        <w:r w:rsidRPr="007C266D">
          <w:rPr>
            <w:rStyle w:val="Hyperlink"/>
          </w:rPr>
          <w:t>http://data.europa.eu/eli/reg/2014/909/oj</w:t>
        </w:r>
      </w:hyperlink>
      <w:r w:rsidRPr="007C266D">
        <w:t>.</w:t>
      </w:r>
    </w:p>
  </w:footnote>
  <w:footnote w:id="9">
    <w:p w14:paraId="065626FC" w14:textId="0FBEADE3" w:rsidR="00C37034" w:rsidRPr="007C266D" w:rsidRDefault="00C37034">
      <w:pPr>
        <w:pStyle w:val="FootnoteText"/>
      </w:pPr>
      <w:r w:rsidRPr="007C266D">
        <w:rPr>
          <w:rStyle w:val="FootnoteReference"/>
        </w:rPr>
        <w:footnoteRef/>
      </w:r>
      <w:r w:rsidRPr="007C266D">
        <w:tab/>
        <w:t>Článok 3 ods. 1 body 6, 7, 10, 15</w:t>
      </w:r>
      <w:r w:rsidR="007C266D">
        <w:t xml:space="preserve"> a </w:t>
      </w:r>
      <w:r w:rsidRPr="007C266D">
        <w:t>18 nariadenia Európskeho parlamentu</w:t>
      </w:r>
      <w:r w:rsidR="007C266D">
        <w:t xml:space="preserve"> a </w:t>
      </w:r>
      <w:r w:rsidRPr="007C266D">
        <w:t>Rady (EÚ) 2023/1114</w:t>
      </w:r>
      <w:r w:rsidR="007C266D">
        <w:t xml:space="preserve"> z </w:t>
      </w:r>
      <w:r w:rsidRPr="007C266D">
        <w:t>31</w:t>
      </w:r>
      <w:r w:rsidR="007C266D">
        <w:t>. mája</w:t>
      </w:r>
      <w:r w:rsidRPr="007C266D">
        <w:t xml:space="preserve"> 2023</w:t>
      </w:r>
      <w:r w:rsidR="007C266D">
        <w:t xml:space="preserve"> o </w:t>
      </w:r>
      <w:r w:rsidRPr="007C266D">
        <w:t>trhoch</w:t>
      </w:r>
      <w:r w:rsidR="007C266D">
        <w:t xml:space="preserve"> s </w:t>
      </w:r>
      <w:r w:rsidRPr="007C266D">
        <w:t>kryptoaktívami</w:t>
      </w:r>
      <w:r w:rsidR="007C266D">
        <w:t xml:space="preserve"> a o </w:t>
      </w:r>
      <w:r w:rsidRPr="007C266D">
        <w:t>zmene nariadení (EÚ) č. 1093/2010</w:t>
      </w:r>
      <w:r w:rsidR="007C266D">
        <w:t xml:space="preserve"> a </w:t>
      </w:r>
      <w:r w:rsidRPr="007C266D">
        <w:t>(EÚ) č. 1095/2010</w:t>
      </w:r>
      <w:r w:rsidR="007C266D">
        <w:t xml:space="preserve"> a </w:t>
      </w:r>
      <w:r w:rsidRPr="007C266D">
        <w:t>smerníc 2013/36/EÚ</w:t>
      </w:r>
      <w:r w:rsidR="007C266D">
        <w:t xml:space="preserve"> a </w:t>
      </w:r>
      <w:r w:rsidRPr="007C266D">
        <w:t>(EÚ) 2019/1937 (</w:t>
      </w:r>
      <w:hyperlink r:id="rId13" w:history="1">
        <w:r w:rsidRPr="007C266D">
          <w:rPr>
            <w:rStyle w:val="Hyperlink"/>
          </w:rPr>
          <w:t>Ú. v. EÚ L 150, 9.6.2023, s. 40</w:t>
        </w:r>
      </w:hyperlink>
      <w:r w:rsidRPr="007C266D">
        <w:t>, ELI:</w:t>
      </w:r>
      <w:r w:rsidRPr="007C266D">
        <w:rPr>
          <w:sz w:val="24"/>
        </w:rPr>
        <w:t xml:space="preserve"> </w:t>
      </w:r>
      <w:hyperlink r:id="rId14" w:tooltip="Umožňuje prístup k tomuto dokumentu prostredníctvom identifikátorov ELI a URI." w:history="1">
        <w:r w:rsidRPr="007C266D">
          <w:rPr>
            <w:rStyle w:val="Hyperlink"/>
          </w:rPr>
          <w:t>http://data.europa.eu/eli/reg/2023/1114/oj</w:t>
        </w:r>
      </w:hyperlink>
      <w:r w:rsidR="007C266D">
        <w:t>.</w:t>
      </w:r>
    </w:p>
  </w:footnote>
  <w:footnote w:id="10">
    <w:p w14:paraId="32223451" w14:textId="2E30841B" w:rsidR="00970E5B" w:rsidRPr="007C266D" w:rsidRDefault="00970E5B">
      <w:pPr>
        <w:pStyle w:val="FootnoteText"/>
      </w:pPr>
      <w:r w:rsidRPr="007C266D">
        <w:rPr>
          <w:rStyle w:val="FootnoteReference"/>
        </w:rPr>
        <w:footnoteRef/>
      </w:r>
      <w:r w:rsidRPr="007C266D">
        <w:tab/>
        <w:t>Článok 4 ods. 1 bod 146 nariadenia Európskeho parlamentu</w:t>
      </w:r>
      <w:r w:rsidR="007C266D">
        <w:t xml:space="preserve"> a </w:t>
      </w:r>
      <w:r w:rsidRPr="007C266D">
        <w:t>Rady (EÚ) č. 575/2013</w:t>
      </w:r>
      <w:r w:rsidR="007C266D">
        <w:t xml:space="preserve"> z </w:t>
      </w:r>
      <w:r w:rsidRPr="007C266D">
        <w:t>26</w:t>
      </w:r>
      <w:r w:rsidR="007C266D">
        <w:t>. júna</w:t>
      </w:r>
      <w:r w:rsidRPr="007C266D">
        <w:t xml:space="preserve"> 2013</w:t>
      </w:r>
      <w:r w:rsidR="007C266D">
        <w:t xml:space="preserve"> o </w:t>
      </w:r>
      <w:r w:rsidRPr="007C266D">
        <w:t>prudenciálnych požiadavkách na úverové inštitúcie</w:t>
      </w:r>
      <w:r w:rsidR="007C266D">
        <w:t xml:space="preserve"> a o </w:t>
      </w:r>
      <w:r w:rsidRPr="007C266D">
        <w:t>zmene nariadenia (EÚ) č. 648/2012 (</w:t>
      </w:r>
      <w:hyperlink r:id="rId15" w:history="1">
        <w:r w:rsidRPr="007C266D">
          <w:rPr>
            <w:rStyle w:val="Hyperlink"/>
          </w:rPr>
          <w:t>Ú. v. EÚ L 176, 27.6.2013, s. 1</w:t>
        </w:r>
      </w:hyperlink>
      <w:r w:rsidRPr="007C266D">
        <w:t xml:space="preserve">, ELI: </w:t>
      </w:r>
      <w:hyperlink r:id="rId16" w:tooltip="Umožňuje prístup k tomuto dokumentu prostredníctvom identifikátorov ELI a URI." w:history="1">
        <w:r w:rsidRPr="007C266D">
          <w:rPr>
            <w:rStyle w:val="Hyperlink"/>
          </w:rPr>
          <w:t>http://data.europa.eu/eli/reg/2013/575/oj</w:t>
        </w:r>
      </w:hyperlink>
      <w:r w:rsidRPr="007C266D">
        <w:t>.</w:t>
      </w:r>
    </w:p>
  </w:footnote>
  <w:footnote w:id="11">
    <w:p w14:paraId="5730C5EF" w14:textId="63497390" w:rsidR="007C266D" w:rsidRDefault="00970E5B" w:rsidP="00293738">
      <w:pPr>
        <w:pStyle w:val="FootnoteText"/>
      </w:pPr>
      <w:r w:rsidRPr="007C266D">
        <w:rPr>
          <w:rStyle w:val="FootnoteReference"/>
        </w:rPr>
        <w:footnoteRef/>
      </w:r>
      <w:r w:rsidRPr="007C266D">
        <w:tab/>
        <w:t>Článok 3 bod 23 nariadenia Európskeho parlamentu</w:t>
      </w:r>
      <w:r w:rsidR="007C266D">
        <w:t xml:space="preserve"> a </w:t>
      </w:r>
      <w:r w:rsidRPr="007C266D">
        <w:t>Rady (EÚ) 2022/2554 zo 14</w:t>
      </w:r>
      <w:r w:rsidR="007C266D">
        <w:t>. decembra</w:t>
      </w:r>
      <w:r w:rsidRPr="007C266D">
        <w:t xml:space="preserve"> 2022</w:t>
      </w:r>
      <w:r w:rsidR="007C266D">
        <w:t xml:space="preserve"> o </w:t>
      </w:r>
      <w:r w:rsidRPr="007C266D">
        <w:t>digitálnej prevádzkovej odolnosti finančného sektora</w:t>
      </w:r>
      <w:r w:rsidR="007C266D">
        <w:t xml:space="preserve"> a o </w:t>
      </w:r>
      <w:r w:rsidRPr="007C266D">
        <w:t>zmene nariadení (ES) č. 1060/2009, (EÚ) č. 648/2012, (EÚ) č. 600/2014, (EÚ) č. 909/2014</w:t>
      </w:r>
      <w:r w:rsidR="007C266D">
        <w:t xml:space="preserve"> a </w:t>
      </w:r>
      <w:r w:rsidRPr="007C266D">
        <w:t>(EÚ) 2016/1011 (</w:t>
      </w:r>
      <w:hyperlink r:id="rId17" w:history="1">
        <w:r w:rsidRPr="007C266D">
          <w:rPr>
            <w:rStyle w:val="Hyperlink"/>
          </w:rPr>
          <w:t>Ú. v. EÚ L 333, 27.12.2022, s. 1</w:t>
        </w:r>
      </w:hyperlink>
      <w:r w:rsidRPr="007C266D">
        <w:t xml:space="preserve">, ELI: </w:t>
      </w:r>
      <w:hyperlink r:id="rId18" w:tooltip="Umožňuje prístup k tomuto dokumentu prostredníctvom identifikátorov ELI a URI." w:history="1">
        <w:r w:rsidRPr="007C266D">
          <w:rPr>
            <w:rStyle w:val="Hyperlink"/>
          </w:rPr>
          <w:t>http://data.europa.eu/eli/reg/2022/2554/oj</w:t>
        </w:r>
      </w:hyperlink>
      <w:r w:rsidR="007C266D">
        <w:t>.</w:t>
      </w:r>
    </w:p>
    <w:p w14:paraId="653DC5B0" w14:textId="55DB3FF0" w:rsidR="00A01FFD" w:rsidRPr="007C266D" w:rsidRDefault="00A01FFD" w:rsidP="0029373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1752" w14:textId="77777777" w:rsidR="00C46599" w:rsidRPr="00C46599" w:rsidRDefault="00C46599" w:rsidP="00C46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5FD7B" w14:textId="77777777" w:rsidR="00C46599" w:rsidRPr="00C46599" w:rsidRDefault="00C46599" w:rsidP="00C465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0A5D0" w14:textId="77777777" w:rsidR="00C46599" w:rsidRPr="00C46599" w:rsidRDefault="00C46599" w:rsidP="00C4659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4FB52" w14:textId="77777777" w:rsidR="00C46599" w:rsidRDefault="00C4659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1AB7" w14:textId="77777777" w:rsidR="00C46599" w:rsidRDefault="00C46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35CF6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2E625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4B482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4A2B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42A1204"/>
    <w:multiLevelType w:val="multilevel"/>
    <w:tmpl w:val="BC1E840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5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9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16"/>
  </w:num>
  <w:num w:numId="9">
    <w:abstractNumId w:val="8"/>
  </w:num>
  <w:num w:numId="10">
    <w:abstractNumId w:val="18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17"/>
  </w:num>
  <w:num w:numId="16">
    <w:abstractNumId w:val="4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13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3-04 15:44:2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k"/>
    <w:docVar w:name="LW_ACCOMPAGNANT.CP" w:val="k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0E4C2815-2A67-4DF7-BFE8-31B6FE7C8A5E"/>
    <w:docVar w:name="LW_COVERPAGE_TYPE" w:val="1"/>
    <w:docVar w:name="LW_CROSSREFERENCE" w:val="{SWD(2024) 23 final} - {SWD(2024) 24 final}"/>
    <w:docVar w:name="LW_DocType" w:val="ANNEX"/>
    <w:docVar w:name="LW_EMISSION" w:val="24. 1. 2024"/>
    <w:docVar w:name="LW_EMISSION_ISODATE" w:val="2024-01-24"/>
    <w:docVar w:name="LW_EMISSION_LOCATION" w:val="BRX"/>
    <w:docVar w:name="LW_EMISSION_PREFIX" w:val="V Bruseli"/>
    <w:docVar w:name="LW_EMISSION_SUFFIX" w:val=" "/>
    <w:docVar w:name="LW_ID_DOCSTRUCTURE" w:val="COM/ANNEX"/>
    <w:docVar w:name="LW_ID_DOCTYPE" w:val="SG-017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OBJETACTEPRINCIPAL" w:val="o preverovaní zahrani\u269?ných investícií v Únii a o zru\u353?ení nariadenia Európskeho parlamentu a Rady (EÚ) 2019/452"/>
    <w:docVar w:name="LW_OBJETACTEPRINCIPAL.CP" w:val="o preverovaní zahrani\u269?ných investícií v Únii a o zru\u353?ení nariadenia Európskeho parlamentu a Rady (EÚ) 2019/452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4) 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RÍLOHY"/>
    <w:docVar w:name="LW_TYPE.DOC.CP" w:val="PRÍLOHY"/>
    <w:docVar w:name="LW_TYPEACTEPRINCIPAL" w:val="návrhu nariadenia Európskeho parlamentu a Rady"/>
    <w:docVar w:name="LW_TYPEACTEPRINCIPAL.CP" w:val="návrhu nariadenia Európskeho parlamentu a Rady"/>
    <w:docVar w:name="LwApiVersions" w:val="LW4CoDe 1.24.5.0; LW 9.0, Build 20240221"/>
  </w:docVars>
  <w:rsids>
    <w:rsidRoot w:val="00455B3D"/>
    <w:rsid w:val="0001013B"/>
    <w:rsid w:val="00016544"/>
    <w:rsid w:val="0004535A"/>
    <w:rsid w:val="0004777D"/>
    <w:rsid w:val="00061791"/>
    <w:rsid w:val="00064236"/>
    <w:rsid w:val="00067596"/>
    <w:rsid w:val="00072CD2"/>
    <w:rsid w:val="00084248"/>
    <w:rsid w:val="00084711"/>
    <w:rsid w:val="00087377"/>
    <w:rsid w:val="000D13E7"/>
    <w:rsid w:val="00115BA3"/>
    <w:rsid w:val="0012180F"/>
    <w:rsid w:val="00144C86"/>
    <w:rsid w:val="00161A4E"/>
    <w:rsid w:val="00165C4F"/>
    <w:rsid w:val="0019366C"/>
    <w:rsid w:val="001A1E4B"/>
    <w:rsid w:val="001A2C88"/>
    <w:rsid w:val="001A5EC1"/>
    <w:rsid w:val="001B0211"/>
    <w:rsid w:val="001D4428"/>
    <w:rsid w:val="001F343E"/>
    <w:rsid w:val="00215295"/>
    <w:rsid w:val="00227599"/>
    <w:rsid w:val="0023033B"/>
    <w:rsid w:val="0023283B"/>
    <w:rsid w:val="00236492"/>
    <w:rsid w:val="0024053E"/>
    <w:rsid w:val="002476A7"/>
    <w:rsid w:val="002519D8"/>
    <w:rsid w:val="00260D9F"/>
    <w:rsid w:val="00277BB2"/>
    <w:rsid w:val="00280547"/>
    <w:rsid w:val="00293738"/>
    <w:rsid w:val="002943EE"/>
    <w:rsid w:val="002A7CE4"/>
    <w:rsid w:val="002B4EAD"/>
    <w:rsid w:val="002B6651"/>
    <w:rsid w:val="002C40B3"/>
    <w:rsid w:val="002C71A1"/>
    <w:rsid w:val="002F1E28"/>
    <w:rsid w:val="00300227"/>
    <w:rsid w:val="00311975"/>
    <w:rsid w:val="0033124D"/>
    <w:rsid w:val="00331FA9"/>
    <w:rsid w:val="00336D4D"/>
    <w:rsid w:val="003402CF"/>
    <w:rsid w:val="00341364"/>
    <w:rsid w:val="00341AB3"/>
    <w:rsid w:val="003423BC"/>
    <w:rsid w:val="00342BD4"/>
    <w:rsid w:val="00353B9B"/>
    <w:rsid w:val="00354A2D"/>
    <w:rsid w:val="00367DF7"/>
    <w:rsid w:val="003766B3"/>
    <w:rsid w:val="00385235"/>
    <w:rsid w:val="0039157F"/>
    <w:rsid w:val="003A1473"/>
    <w:rsid w:val="003A2655"/>
    <w:rsid w:val="003A3AB5"/>
    <w:rsid w:val="003A4F2D"/>
    <w:rsid w:val="003A6BAC"/>
    <w:rsid w:val="003B520E"/>
    <w:rsid w:val="003E4DBA"/>
    <w:rsid w:val="004461AA"/>
    <w:rsid w:val="00455B3D"/>
    <w:rsid w:val="00460084"/>
    <w:rsid w:val="00482747"/>
    <w:rsid w:val="00492EB7"/>
    <w:rsid w:val="004A51A6"/>
    <w:rsid w:val="004B6E57"/>
    <w:rsid w:val="004C1D3C"/>
    <w:rsid w:val="004E496D"/>
    <w:rsid w:val="004F4A03"/>
    <w:rsid w:val="004F5875"/>
    <w:rsid w:val="00500308"/>
    <w:rsid w:val="00502CE8"/>
    <w:rsid w:val="00533259"/>
    <w:rsid w:val="0057540E"/>
    <w:rsid w:val="00593E82"/>
    <w:rsid w:val="005A14E1"/>
    <w:rsid w:val="005A39C7"/>
    <w:rsid w:val="005B068B"/>
    <w:rsid w:val="005B19E5"/>
    <w:rsid w:val="005D230A"/>
    <w:rsid w:val="005D4DB0"/>
    <w:rsid w:val="005D69D2"/>
    <w:rsid w:val="005E6ED8"/>
    <w:rsid w:val="005F22B9"/>
    <w:rsid w:val="005F52D7"/>
    <w:rsid w:val="00600C4E"/>
    <w:rsid w:val="006260BA"/>
    <w:rsid w:val="00626E37"/>
    <w:rsid w:val="00630F18"/>
    <w:rsid w:val="00640900"/>
    <w:rsid w:val="0066433C"/>
    <w:rsid w:val="00666385"/>
    <w:rsid w:val="00692DAC"/>
    <w:rsid w:val="0069630F"/>
    <w:rsid w:val="006A23D4"/>
    <w:rsid w:val="006A6BCB"/>
    <w:rsid w:val="006B52AE"/>
    <w:rsid w:val="006E04F9"/>
    <w:rsid w:val="006E7705"/>
    <w:rsid w:val="007103AE"/>
    <w:rsid w:val="00710435"/>
    <w:rsid w:val="0071147F"/>
    <w:rsid w:val="00713189"/>
    <w:rsid w:val="00715E1E"/>
    <w:rsid w:val="00724839"/>
    <w:rsid w:val="007435FA"/>
    <w:rsid w:val="007673C8"/>
    <w:rsid w:val="00767617"/>
    <w:rsid w:val="007804D5"/>
    <w:rsid w:val="00782F50"/>
    <w:rsid w:val="007B5A64"/>
    <w:rsid w:val="007C266D"/>
    <w:rsid w:val="007C44FF"/>
    <w:rsid w:val="007D24C0"/>
    <w:rsid w:val="007D69E5"/>
    <w:rsid w:val="007E0B17"/>
    <w:rsid w:val="007E16C9"/>
    <w:rsid w:val="007E1826"/>
    <w:rsid w:val="007E21EE"/>
    <w:rsid w:val="007F5662"/>
    <w:rsid w:val="007F6CAD"/>
    <w:rsid w:val="0081471F"/>
    <w:rsid w:val="00820D44"/>
    <w:rsid w:val="008412DB"/>
    <w:rsid w:val="00845A15"/>
    <w:rsid w:val="0086583F"/>
    <w:rsid w:val="00866524"/>
    <w:rsid w:val="00867CE1"/>
    <w:rsid w:val="00870A96"/>
    <w:rsid w:val="00873A11"/>
    <w:rsid w:val="00873B81"/>
    <w:rsid w:val="00875E16"/>
    <w:rsid w:val="008846F9"/>
    <w:rsid w:val="008C2ED0"/>
    <w:rsid w:val="008D6398"/>
    <w:rsid w:val="008E3400"/>
    <w:rsid w:val="00905D22"/>
    <w:rsid w:val="00907F22"/>
    <w:rsid w:val="009543CF"/>
    <w:rsid w:val="0095642D"/>
    <w:rsid w:val="009625AB"/>
    <w:rsid w:val="00970E5B"/>
    <w:rsid w:val="00991DF8"/>
    <w:rsid w:val="00994BAB"/>
    <w:rsid w:val="009B19C3"/>
    <w:rsid w:val="009C1A89"/>
    <w:rsid w:val="009C2916"/>
    <w:rsid w:val="009C383F"/>
    <w:rsid w:val="009C6A69"/>
    <w:rsid w:val="009E7623"/>
    <w:rsid w:val="009F080E"/>
    <w:rsid w:val="009F2018"/>
    <w:rsid w:val="00A00C97"/>
    <w:rsid w:val="00A01FFD"/>
    <w:rsid w:val="00A03596"/>
    <w:rsid w:val="00A23985"/>
    <w:rsid w:val="00A27E20"/>
    <w:rsid w:val="00A3199E"/>
    <w:rsid w:val="00A51C8B"/>
    <w:rsid w:val="00A6243B"/>
    <w:rsid w:val="00A71F6D"/>
    <w:rsid w:val="00A86E0A"/>
    <w:rsid w:val="00AA4ADB"/>
    <w:rsid w:val="00AB2923"/>
    <w:rsid w:val="00AD5E3D"/>
    <w:rsid w:val="00AE5E4F"/>
    <w:rsid w:val="00B03B09"/>
    <w:rsid w:val="00B07289"/>
    <w:rsid w:val="00B11E4B"/>
    <w:rsid w:val="00B22390"/>
    <w:rsid w:val="00B34E95"/>
    <w:rsid w:val="00B40DFC"/>
    <w:rsid w:val="00B43C28"/>
    <w:rsid w:val="00B6793E"/>
    <w:rsid w:val="00BA4F3C"/>
    <w:rsid w:val="00BA79F9"/>
    <w:rsid w:val="00BB30BC"/>
    <w:rsid w:val="00BC352B"/>
    <w:rsid w:val="00BF0CED"/>
    <w:rsid w:val="00C04E94"/>
    <w:rsid w:val="00C14EB2"/>
    <w:rsid w:val="00C173B2"/>
    <w:rsid w:val="00C22B0B"/>
    <w:rsid w:val="00C25B26"/>
    <w:rsid w:val="00C27DC3"/>
    <w:rsid w:val="00C3452F"/>
    <w:rsid w:val="00C37034"/>
    <w:rsid w:val="00C46599"/>
    <w:rsid w:val="00C533C9"/>
    <w:rsid w:val="00C654D5"/>
    <w:rsid w:val="00C7128D"/>
    <w:rsid w:val="00C73BEE"/>
    <w:rsid w:val="00C953CA"/>
    <w:rsid w:val="00CA00F7"/>
    <w:rsid w:val="00CA0700"/>
    <w:rsid w:val="00CA1388"/>
    <w:rsid w:val="00CA4D8A"/>
    <w:rsid w:val="00CE6552"/>
    <w:rsid w:val="00CF2C7B"/>
    <w:rsid w:val="00D01387"/>
    <w:rsid w:val="00D17E93"/>
    <w:rsid w:val="00D23DB5"/>
    <w:rsid w:val="00D328C4"/>
    <w:rsid w:val="00D33986"/>
    <w:rsid w:val="00D34AC4"/>
    <w:rsid w:val="00D371B7"/>
    <w:rsid w:val="00D62584"/>
    <w:rsid w:val="00D73266"/>
    <w:rsid w:val="00D94B7E"/>
    <w:rsid w:val="00DA07A4"/>
    <w:rsid w:val="00DA32BC"/>
    <w:rsid w:val="00DB2B6E"/>
    <w:rsid w:val="00DB5BC2"/>
    <w:rsid w:val="00DC2EA0"/>
    <w:rsid w:val="00E128B5"/>
    <w:rsid w:val="00E14A08"/>
    <w:rsid w:val="00E209ED"/>
    <w:rsid w:val="00E27AA6"/>
    <w:rsid w:val="00E3057E"/>
    <w:rsid w:val="00E307C8"/>
    <w:rsid w:val="00E36985"/>
    <w:rsid w:val="00E52FDD"/>
    <w:rsid w:val="00E608E0"/>
    <w:rsid w:val="00E62AFA"/>
    <w:rsid w:val="00E70C38"/>
    <w:rsid w:val="00E8728D"/>
    <w:rsid w:val="00E90883"/>
    <w:rsid w:val="00EA4E87"/>
    <w:rsid w:val="00EB3E49"/>
    <w:rsid w:val="00EC25C5"/>
    <w:rsid w:val="00EC4D84"/>
    <w:rsid w:val="00EC7323"/>
    <w:rsid w:val="00ED03F6"/>
    <w:rsid w:val="00ED702B"/>
    <w:rsid w:val="00EE7A21"/>
    <w:rsid w:val="00F142C5"/>
    <w:rsid w:val="00F32AA1"/>
    <w:rsid w:val="00F35E1E"/>
    <w:rsid w:val="00F4174B"/>
    <w:rsid w:val="00F439C7"/>
    <w:rsid w:val="00F4603B"/>
    <w:rsid w:val="00F51773"/>
    <w:rsid w:val="00F60295"/>
    <w:rsid w:val="00F660C7"/>
    <w:rsid w:val="00F7024E"/>
    <w:rsid w:val="00F82074"/>
    <w:rsid w:val="00F82260"/>
    <w:rsid w:val="00FA2B99"/>
    <w:rsid w:val="00FA3ABC"/>
    <w:rsid w:val="00FC2F86"/>
    <w:rsid w:val="00FC31D1"/>
    <w:rsid w:val="00FE50F6"/>
    <w:rsid w:val="00FE6FB0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4B4363"/>
  <w15:docId w15:val="{89E267E1-DF5C-46D1-845F-198C7C1E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5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5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5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991DF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1DF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DF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DF8"/>
    <w:pPr>
      <w:numPr>
        <w:numId w:val="4"/>
      </w:numPr>
      <w:contextualSpacing/>
    </w:pPr>
  </w:style>
  <w:style w:type="character" w:styleId="Hyperlink">
    <w:name w:val="Hyperlink"/>
    <w:uiPriority w:val="99"/>
    <w:rsid w:val="00991DF8"/>
    <w:rPr>
      <w:color w:val="0000FF"/>
      <w:u w:val="single"/>
    </w:rPr>
  </w:style>
  <w:style w:type="paragraph" w:styleId="ListNumber4">
    <w:name w:val="List Number 4"/>
    <w:basedOn w:val="Normal"/>
    <w:rsid w:val="00991DF8"/>
    <w:pPr>
      <w:numPr>
        <w:numId w:val="5"/>
      </w:numPr>
    </w:pPr>
    <w:rPr>
      <w:rFonts w:eastAsia="Times New Roman"/>
      <w:lang w:eastAsia="en-GB"/>
    </w:rPr>
  </w:style>
  <w:style w:type="paragraph" w:customStyle="1" w:styleId="ListNumber4Level2">
    <w:name w:val="List Number 4 (Level 2)"/>
    <w:basedOn w:val="Text4"/>
    <w:rsid w:val="00991DF8"/>
    <w:pPr>
      <w:numPr>
        <w:ilvl w:val="1"/>
        <w:numId w:val="5"/>
      </w:numPr>
    </w:pPr>
    <w:rPr>
      <w:rFonts w:eastAsia="Times New Roman"/>
      <w:lang w:eastAsia="en-GB"/>
    </w:rPr>
  </w:style>
  <w:style w:type="paragraph" w:customStyle="1" w:styleId="ListNumber4Level3">
    <w:name w:val="List Number 4 (Level 3)"/>
    <w:basedOn w:val="Text4"/>
    <w:rsid w:val="00991DF8"/>
    <w:pPr>
      <w:numPr>
        <w:ilvl w:val="2"/>
        <w:numId w:val="5"/>
      </w:numPr>
    </w:pPr>
    <w:rPr>
      <w:rFonts w:eastAsia="Times New Roman"/>
      <w:lang w:eastAsia="en-GB"/>
    </w:rPr>
  </w:style>
  <w:style w:type="paragraph" w:customStyle="1" w:styleId="ListNumber4Level4">
    <w:name w:val="List Number 4 (Level 4)"/>
    <w:basedOn w:val="Text4"/>
    <w:rsid w:val="00991DF8"/>
    <w:pPr>
      <w:numPr>
        <w:ilvl w:val="3"/>
        <w:numId w:val="5"/>
      </w:numPr>
    </w:pPr>
    <w:rPr>
      <w:rFonts w:eastAsia="Times New Roman"/>
      <w:lang w:eastAsia="en-GB"/>
    </w:rPr>
  </w:style>
  <w:style w:type="character" w:styleId="CommentReference">
    <w:name w:val="annotation reference"/>
    <w:rsid w:val="00991D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91DF8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991DF8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paragraph" w:customStyle="1" w:styleId="oj-ti-grseq-1">
    <w:name w:val="oj-ti-grseq-1"/>
    <w:basedOn w:val="Normal"/>
    <w:rsid w:val="00991DF8"/>
    <w:pPr>
      <w:spacing w:before="100" w:beforeAutospacing="1" w:after="100" w:afterAutospacing="1"/>
      <w:jc w:val="left"/>
    </w:pPr>
    <w:rPr>
      <w:rFonts w:eastAsia="Times New Roman"/>
      <w:szCs w:val="24"/>
      <w:lang w:eastAsia="en-IE"/>
    </w:rPr>
  </w:style>
  <w:style w:type="character" w:customStyle="1" w:styleId="oj-bold">
    <w:name w:val="oj-bold"/>
    <w:basedOn w:val="DefaultParagraphFont"/>
    <w:rsid w:val="00991DF8"/>
  </w:style>
  <w:style w:type="character" w:customStyle="1" w:styleId="oj-super">
    <w:name w:val="oj-super"/>
    <w:basedOn w:val="DefaultParagraphFont"/>
    <w:rsid w:val="00991DF8"/>
  </w:style>
  <w:style w:type="paragraph" w:customStyle="1" w:styleId="oj-normal">
    <w:name w:val="oj-normal"/>
    <w:basedOn w:val="Normal"/>
    <w:rsid w:val="00991DF8"/>
    <w:pPr>
      <w:spacing w:before="100" w:beforeAutospacing="1" w:after="100" w:afterAutospacing="1"/>
      <w:jc w:val="left"/>
    </w:pPr>
    <w:rPr>
      <w:rFonts w:eastAsia="Times New Roman"/>
      <w:szCs w:val="24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3E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3E"/>
    <w:rPr>
      <w:rFonts w:ascii="Times New Roman" w:eastAsia="Times New Roman" w:hAnsi="Times New Roman" w:cs="Times New Roman"/>
      <w:b/>
      <w:bCs/>
      <w:sz w:val="20"/>
      <w:szCs w:val="20"/>
      <w:lang w:val="sk-SK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79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3A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2C7B"/>
    <w:pPr>
      <w:ind w:left="720"/>
      <w:contextualSpacing/>
    </w:pPr>
  </w:style>
  <w:style w:type="paragraph" w:styleId="Revision">
    <w:name w:val="Revision"/>
    <w:hidden/>
    <w:uiPriority w:val="99"/>
    <w:semiHidden/>
    <w:rsid w:val="00B03B0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E8728D"/>
    <w:rPr>
      <w:i/>
      <w:iCs/>
    </w:r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character" w:customStyle="1" w:styleId="HeaderChar">
    <w:name w:val="Header Char"/>
    <w:basedOn w:val="DefaultParagraphFont"/>
    <w:link w:val="Header"/>
    <w:uiPriority w:val="99"/>
    <w:rsid w:val="00C46599"/>
    <w:rPr>
      <w:rFonts w:ascii="Times New Roman" w:hAnsi="Times New Roman" w:cs="Times New Roman"/>
      <w:sz w:val="24"/>
      <w:lang w:val="sk-SK"/>
    </w:rPr>
  </w:style>
  <w:style w:type="character" w:customStyle="1" w:styleId="FooterChar">
    <w:name w:val="Footer Char"/>
    <w:basedOn w:val="DefaultParagraphFont"/>
    <w:link w:val="Footer"/>
    <w:uiPriority w:val="99"/>
    <w:rsid w:val="00C46599"/>
    <w:rPr>
      <w:rFonts w:ascii="Times New Roman" w:hAnsi="Times New Roman" w:cs="Times New Roman"/>
      <w:sz w:val="24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sk-SK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C465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C46599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C465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0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8"/>
      </w:numPr>
    </w:pPr>
  </w:style>
  <w:style w:type="paragraph" w:customStyle="1" w:styleId="Tiret1">
    <w:name w:val="Tiret 1"/>
    <w:basedOn w:val="Point10"/>
    <w:pPr>
      <w:numPr>
        <w:numId w:val="9"/>
      </w:numPr>
    </w:pPr>
  </w:style>
  <w:style w:type="paragraph" w:customStyle="1" w:styleId="Tiret2">
    <w:name w:val="Tiret 2"/>
    <w:basedOn w:val="Point2"/>
    <w:pPr>
      <w:numPr>
        <w:numId w:val="10"/>
      </w:numPr>
    </w:pPr>
  </w:style>
  <w:style w:type="paragraph" w:customStyle="1" w:styleId="Tiret3">
    <w:name w:val="Tiret 3"/>
    <w:basedOn w:val="Point3"/>
    <w:pPr>
      <w:numPr>
        <w:numId w:val="11"/>
      </w:numPr>
    </w:pPr>
  </w:style>
  <w:style w:type="paragraph" w:customStyle="1" w:styleId="Tiret4">
    <w:name w:val="Tiret 4"/>
    <w:basedOn w:val="Point4"/>
    <w:pPr>
      <w:numPr>
        <w:numId w:val="12"/>
      </w:numPr>
    </w:pPr>
  </w:style>
  <w:style w:type="paragraph" w:customStyle="1" w:styleId="Tiret5">
    <w:name w:val="Tiret 5"/>
    <w:basedOn w:val="Point5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4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4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4"/>
      </w:numPr>
    </w:pPr>
  </w:style>
  <w:style w:type="paragraph" w:customStyle="1" w:styleId="ManualNumPar10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46599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C46599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C465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C4659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eur-lex.europa.eu/legal-content/SK/AUTO/?uri=OJ:L:2018:193:TOC" TargetMode="External"/><Relationship Id="rId26" Type="http://schemas.openxmlformats.org/officeDocument/2006/relationships/hyperlink" Target="http://data.europa.eu/eli/reg/2013/1291/oj" TargetMode="External"/><Relationship Id="rId39" Type="http://schemas.openxmlformats.org/officeDocument/2006/relationships/hyperlink" Target="https://eur-lex.europa.eu/legal-content/SK/AUTO/?uri=OJ:L:2021:166:TOC" TargetMode="External"/><Relationship Id="rId21" Type="http://schemas.openxmlformats.org/officeDocument/2006/relationships/hyperlink" Target="http://data.europa.eu/eli/reg/2021/696/oj" TargetMode="External"/><Relationship Id="rId34" Type="http://schemas.openxmlformats.org/officeDocument/2006/relationships/hyperlink" Target="http://data.europa.eu/eli/reg/2013/347/oj" TargetMode="External"/><Relationship Id="rId42" Type="http://schemas.openxmlformats.org/officeDocument/2006/relationships/hyperlink" Target="https://eur-lex.europa.eu/legal-content/SK/AUTO/?uri=OJ:L:2018:193:TOC" TargetMode="External"/><Relationship Id="rId47" Type="http://schemas.openxmlformats.org/officeDocument/2006/relationships/hyperlink" Target="http://data.europa.eu/eli/reg/2023/1525/oj" TargetMode="External"/><Relationship Id="rId50" Type="http://schemas.openxmlformats.org/officeDocument/2006/relationships/hyperlink" Target="http://data.europa.eu/eli/dec/2018/340/oj" TargetMode="External"/><Relationship Id="rId55" Type="http://schemas.openxmlformats.org/officeDocument/2006/relationships/hyperlink" Target="https://eur-lex.europa.eu/legal-content/SK/AUTO/?uri=OJ:L:2021:107:TOC" TargetMode="External"/><Relationship Id="rId63" Type="http://schemas.openxmlformats.org/officeDocument/2006/relationships/hyperlink" Target="https://www.ema.europa.eu/en/human-regulatory-overview/post-authorisation/medicine-shortages-and-availability-issues/availability-critical-medicine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ur-lex.europa.eu/legal-content/SK/AUTO/?uri=OJ:L:2021:170:TOC" TargetMode="External"/><Relationship Id="rId29" Type="http://schemas.openxmlformats.org/officeDocument/2006/relationships/hyperlink" Target="https://eur-lex.europa.eu/legal-content/SK/AUTO/?uri=OJ:L:2021:167I:TOC" TargetMode="External"/><Relationship Id="rId41" Type="http://schemas.openxmlformats.org/officeDocument/2006/relationships/hyperlink" Target="https://eur-lex.europa.eu/legal-content/SK/AUTO/?uri=OJ:L:2018:200:TOC" TargetMode="External"/><Relationship Id="rId54" Type="http://schemas.openxmlformats.org/officeDocument/2006/relationships/hyperlink" Target="http://data.europa.eu/eli/dec/2007/198/oj" TargetMode="External"/><Relationship Id="rId62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://data.europa.eu/eli/reg/2023/588/oj" TargetMode="External"/><Relationship Id="rId32" Type="http://schemas.openxmlformats.org/officeDocument/2006/relationships/hyperlink" Target="http://data.europa.eu/eli/reg/2013/1315/oj" TargetMode="External"/><Relationship Id="rId37" Type="http://schemas.openxmlformats.org/officeDocument/2006/relationships/hyperlink" Target="https://eur-lex.europa.eu/legal-content/SK/AUTO/?uri=OJ:L:2021:249:TOC" TargetMode="External"/><Relationship Id="rId40" Type="http://schemas.openxmlformats.org/officeDocument/2006/relationships/hyperlink" Target="http://data.europa.eu/eli/reg/2021/694/oj" TargetMode="External"/><Relationship Id="rId45" Type="http://schemas.openxmlformats.org/officeDocument/2006/relationships/hyperlink" Target="http://data.europa.eu/eli/reg/2021/697/oj" TargetMode="External"/><Relationship Id="rId53" Type="http://schemas.openxmlformats.org/officeDocument/2006/relationships/hyperlink" Target="https://eur-lex.europa.eu/legal-content/SK/AUTO/?uri=OJ:L:2007:090:TOC" TargetMode="External"/><Relationship Id="rId58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eur-lex.europa.eu/legal-content/SK/TXT/?uri=OJ:L:2023:079:TOC" TargetMode="External"/><Relationship Id="rId28" Type="http://schemas.openxmlformats.org/officeDocument/2006/relationships/hyperlink" Target="http://data.europa.eu/eli/reg/2021/695/oj" TargetMode="External"/><Relationship Id="rId36" Type="http://schemas.openxmlformats.org/officeDocument/2006/relationships/hyperlink" Target="http://data.europa.eu/eli/reg/2014/283/oj" TargetMode="External"/><Relationship Id="rId49" Type="http://schemas.openxmlformats.org/officeDocument/2006/relationships/hyperlink" Target="https://eur-lex.europa.eu/legal-content/SK/AUTO/?uri=OJ:L:2018:065:TOC" TargetMode="External"/><Relationship Id="rId57" Type="http://schemas.openxmlformats.org/officeDocument/2006/relationships/hyperlink" Target="https://eur-lex.europa.eu/legal-content/SK/TXT/?uri=OJ:C:2021:528:TOC" TargetMode="External"/><Relationship Id="rId61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://data.europa.eu/eli/reg/2018/1046/oj" TargetMode="External"/><Relationship Id="rId31" Type="http://schemas.openxmlformats.org/officeDocument/2006/relationships/hyperlink" Target="https://eur-lex.europa.eu/legal-content/SK/AUTO/?uri=OJ:L:2013:348:TOC" TargetMode="External"/><Relationship Id="rId44" Type="http://schemas.openxmlformats.org/officeDocument/2006/relationships/hyperlink" Target="https://eur-lex.europa.eu/legal-content/SK/AUTO/?uri=OJ:L:2021:170:TOC" TargetMode="External"/><Relationship Id="rId52" Type="http://schemas.openxmlformats.org/officeDocument/2006/relationships/hyperlink" Target="http://data.europa.eu/eli/dec/2023/995/oj" TargetMode="External"/><Relationship Id="rId60" Type="http://schemas.openxmlformats.org/officeDocument/2006/relationships/footer" Target="footer5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eur-lex.europa.eu/legal-content/SK/TXT/?uri=uriserv%3AOJ.L_.2023.079.01.0001.01.SLK&amp;toc=OJ%3AL%3A2023%3A079%3ATOC" TargetMode="External"/><Relationship Id="rId27" Type="http://schemas.openxmlformats.org/officeDocument/2006/relationships/hyperlink" Target="https://eur-lex.europa.eu/legal-content/SK/AUTO/?uri=OJ:L:2021:170:TOC" TargetMode="External"/><Relationship Id="rId30" Type="http://schemas.openxmlformats.org/officeDocument/2006/relationships/hyperlink" Target="http://data.europa.eu/eli/reg/2021/765/oj" TargetMode="External"/><Relationship Id="rId35" Type="http://schemas.openxmlformats.org/officeDocument/2006/relationships/hyperlink" Target="https://eur-lex.europa.eu/legal-content/SK/AUTO/?uri=OJ:L:2014:086:TOC" TargetMode="External"/><Relationship Id="rId43" Type="http://schemas.openxmlformats.org/officeDocument/2006/relationships/hyperlink" Target="http://data.europa.eu/eli/reg/2018/1046/oj" TargetMode="External"/><Relationship Id="rId48" Type="http://schemas.openxmlformats.org/officeDocument/2006/relationships/hyperlink" Target="http://data.europa.eu/eli/reg/2023/2418/oj" TargetMode="External"/><Relationship Id="rId56" Type="http://schemas.openxmlformats.org/officeDocument/2006/relationships/hyperlink" Target="http://data.europa.eu/eli/reg/2021/522/oj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eur-lex.europa.eu/legal-content/SK/TXT/?uri=OJ:L:2023:135:TOC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eur-lex.europa.eu/legal-content/SK/AUTO/?uri=OJ:L:2013:347:TOC" TargetMode="External"/><Relationship Id="rId33" Type="http://schemas.openxmlformats.org/officeDocument/2006/relationships/hyperlink" Target="https://eur-lex.europa.eu/legal-content/SK/AUTO/?uri=OJ:L:2013:115:TOC" TargetMode="External"/><Relationship Id="rId38" Type="http://schemas.openxmlformats.org/officeDocument/2006/relationships/hyperlink" Target="http://data.europa.eu/eli/reg/2021/1153/oj" TargetMode="External"/><Relationship Id="rId46" Type="http://schemas.openxmlformats.org/officeDocument/2006/relationships/hyperlink" Target="https://eur-lex.europa.eu/legal-content/SK/TXT/?uri=OJ:L:2023:185:TOC" TargetMode="External"/><Relationship Id="rId59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dir/2009/110/oj" TargetMode="External"/><Relationship Id="rId13" Type="http://schemas.openxmlformats.org/officeDocument/2006/relationships/hyperlink" Target="https://eur-lex.europa.eu/legal-content/SK/TXT/?uri=OJ:L:2023:150:TOC" TargetMode="External"/><Relationship Id="rId18" Type="http://schemas.openxmlformats.org/officeDocument/2006/relationships/hyperlink" Target="http://data.europa.eu/eli/reg/2022/2554/oj" TargetMode="External"/><Relationship Id="rId3" Type="http://schemas.openxmlformats.org/officeDocument/2006/relationships/hyperlink" Target="https://eur-lex.europa.eu/legal-content/SK/TXT/?uri=OJ:L:2012:201:TOC" TargetMode="External"/><Relationship Id="rId7" Type="http://schemas.openxmlformats.org/officeDocument/2006/relationships/hyperlink" Target="https://eur-lex.europa.eu/legal-content/SK/TXT/?uri=OJ:L:2009:267:TOC" TargetMode="External"/><Relationship Id="rId12" Type="http://schemas.openxmlformats.org/officeDocument/2006/relationships/hyperlink" Target="http://data.europa.eu/eli/reg/2014/909/oj" TargetMode="External"/><Relationship Id="rId17" Type="http://schemas.openxmlformats.org/officeDocument/2006/relationships/hyperlink" Target="https://eur-lex.europa.eu/legal-content/SK/TXT/?uri=OJ:L:2022:333:TOC" TargetMode="External"/><Relationship Id="rId2" Type="http://schemas.openxmlformats.org/officeDocument/2006/relationships/hyperlink" Target="https://www.ema.europa.eu/en/human-regulatory-overview/post-authorisation/medicine-shortages-and-availability-issues/availability-critical-medicines" TargetMode="External"/><Relationship Id="rId16" Type="http://schemas.openxmlformats.org/officeDocument/2006/relationships/hyperlink" Target="http://data.europa.eu/eli/reg/2013/575/oj" TargetMode="External"/><Relationship Id="rId1" Type="http://schemas.openxmlformats.org/officeDocument/2006/relationships/hyperlink" Target="https://competition-policy.ec.europa.eu/state-aid/ipcei/approved-ipceis_sk" TargetMode="External"/><Relationship Id="rId6" Type="http://schemas.openxmlformats.org/officeDocument/2006/relationships/hyperlink" Target="http://data.europa.eu/eli/dir/2015/2366/oj" TargetMode="External"/><Relationship Id="rId11" Type="http://schemas.openxmlformats.org/officeDocument/2006/relationships/hyperlink" Target="https://eur-lex.europa.eu/legal-content/SK/TXT/?uri=OJ:L:2014:257:TOC" TargetMode="External"/><Relationship Id="rId5" Type="http://schemas.openxmlformats.org/officeDocument/2006/relationships/hyperlink" Target="https://eur-lex.europa.eu/legal-content/SK/TXT/?uri=OJ:L:2015:337:TOC" TargetMode="External"/><Relationship Id="rId15" Type="http://schemas.openxmlformats.org/officeDocument/2006/relationships/hyperlink" Target="https://eur-lex.europa.eu/legal-content/SK/TXT/?uri=OJ:L:2013:176:TOC" TargetMode="External"/><Relationship Id="rId10" Type="http://schemas.openxmlformats.org/officeDocument/2006/relationships/hyperlink" Target="http://data.europa.eu/eli/dir/2014/65/oj" TargetMode="External"/><Relationship Id="rId4" Type="http://schemas.openxmlformats.org/officeDocument/2006/relationships/hyperlink" Target="http://data.europa.eu/eli/reg/2012/648/oj" TargetMode="External"/><Relationship Id="rId9" Type="http://schemas.openxmlformats.org/officeDocument/2006/relationships/hyperlink" Target="https://eur-lex.europa.eu/legal-content/SK/TXT/?uri=OJ:L:2014:173:TOC" TargetMode="External"/><Relationship Id="rId14" Type="http://schemas.openxmlformats.org/officeDocument/2006/relationships/hyperlink" Target="http://data.europa.eu/eli/reg/2023/1114/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94cd775c-4b45-4aff-9377-5f863f412b2c">EN</EC_Collab_DocumentLanguage>
    <EC_Collab_Status xmlns="94cd775c-4b45-4aff-9377-5f863f412b2c">Not Started</EC_Collab_Status>
    <EC_Collab_Reference xmlns="94cd775c-4b45-4aff-9377-5f863f412b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91101ED19659B489105E64B8BBAA979" ma:contentTypeVersion="1" ma:contentTypeDescription="Create a new document in this library." ma:contentTypeScope="" ma:versionID="6348812c78e7b4996127e4dc2b522d86">
  <xsd:schema xmlns:xsd="http://www.w3.org/2001/XMLSchema" xmlns:xs="http://www.w3.org/2001/XMLSchema" xmlns:p="http://schemas.microsoft.com/office/2006/metadata/properties" xmlns:ns3="94cd775c-4b45-4aff-9377-5f863f412b2c" targetNamespace="http://schemas.microsoft.com/office/2006/metadata/properties" ma:root="true" ma:fieldsID="fc57b65f4d981a58bb4e57930e77b5fc" ns3:_="">
    <xsd:import namespace="94cd775c-4b45-4aff-9377-5f863f412b2c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775c-4b45-4aff-9377-5f863f412b2c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23F3-C209-4440-BDD9-B2AAC80B5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D9513-575F-4819-B0FC-CBDE2A81E5B9}">
  <ds:schemaRefs>
    <ds:schemaRef ds:uri="http://schemas.microsoft.com/office/2006/metadata/properties"/>
    <ds:schemaRef ds:uri="http://schemas.microsoft.com/office/infopath/2007/PartnerControls"/>
    <ds:schemaRef ds:uri="94cd775c-4b45-4aff-9377-5f863f412b2c"/>
  </ds:schemaRefs>
</ds:datastoreItem>
</file>

<file path=customXml/itemProps3.xml><?xml version="1.0" encoding="utf-8"?>
<ds:datastoreItem xmlns:ds="http://schemas.openxmlformats.org/officeDocument/2006/customXml" ds:itemID="{5EE3387E-DB45-4534-884F-482AB4E12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d775c-4b45-4aff-9377-5f863f412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662BFB-E529-4D10-9D54-91DDACBF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27</TotalTime>
  <Pages>7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MELANEN Anri (TRADE)</dc:creator>
  <cp:keywords/>
  <dc:description/>
  <cp:lastModifiedBy>EC CoDe</cp:lastModifiedBy>
  <cp:revision>25</cp:revision>
  <dcterms:created xsi:type="dcterms:W3CDTF">2024-01-18T08:48:00Z</dcterms:created>
  <dcterms:modified xsi:type="dcterms:W3CDTF">2024-03-04T14:44:00Z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2023-11-21T07:46:44Z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04225129-073c-492a-af93-434cc7231d13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9.0, Build 20230317</vt:lpwstr>
  </property>
  <property fmtid="{D5CDD505-2E9C-101B-9397-08002B2CF9AE}" pid="13" name="First annex">
    <vt:lpwstr>1</vt:lpwstr>
  </property>
  <property fmtid="{D5CDD505-2E9C-101B-9397-08002B2CF9AE}" pid="14" name="Last annex">
    <vt:lpwstr>2</vt:lpwstr>
  </property>
  <property fmtid="{D5CDD505-2E9C-101B-9397-08002B2CF9AE}" pid="15" name="Unique annex">
    <vt:lpwstr>0</vt:lpwstr>
  </property>
  <property fmtid="{D5CDD505-2E9C-101B-9397-08002B2CF9AE}" pid="16" name="Part">
    <vt:lpwstr>&lt;UNUSED&gt;</vt:lpwstr>
  </property>
  <property fmtid="{D5CDD505-2E9C-101B-9397-08002B2CF9AE}" pid="17" name="Total parts">
    <vt:lpwstr>&lt;UNUSED&gt;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ContentTypeId">
    <vt:lpwstr>0x010100258AA79CEB83498886A3A0868112325000C91101ED19659B489105E64B8BBAA979</vt:lpwstr>
  </property>
  <property fmtid="{D5CDD505-2E9C-101B-9397-08002B2CF9AE}" pid="21" name="DQCStatus">
    <vt:lpwstr>Green (DQC version 03)</vt:lpwstr>
  </property>
</Properties>
</file>