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7820" w14:textId="5F5458EA" w:rsidR="00455B3D" w:rsidRPr="009A19BB" w:rsidRDefault="00A03EAE" w:rsidP="00A03EAE">
      <w:pPr>
        <w:pStyle w:val="Pagedecouverture"/>
        <w:rPr>
          <w:noProof/>
        </w:rPr>
      </w:pPr>
      <w:r>
        <w:rPr>
          <w:noProof/>
        </w:rPr>
        <w:pict w14:anchorId="1B2DA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8E62DFB-FEF4-48C6-8F2A-E7BE96A6C3C6" style="width:455.25pt;height:429pt">
            <v:imagedata r:id="rId11" o:title=""/>
          </v:shape>
        </w:pict>
      </w:r>
    </w:p>
    <w:p w14:paraId="1E754269" w14:textId="77777777" w:rsidR="00455B3D" w:rsidRPr="009A19BB" w:rsidRDefault="00455B3D" w:rsidP="00455B3D">
      <w:pPr>
        <w:rPr>
          <w:noProof/>
        </w:rPr>
        <w:sectPr w:rsidR="00455B3D" w:rsidRPr="009A19BB" w:rsidSect="00A03E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381875F" w14:textId="77777777" w:rsidR="00455B3D" w:rsidRPr="009A19BB" w:rsidRDefault="00455B3D" w:rsidP="00455B3D">
      <w:pPr>
        <w:pStyle w:val="Annexetitre"/>
        <w:rPr>
          <w:noProof/>
        </w:rPr>
      </w:pPr>
      <w:bookmarkStart w:id="0" w:name="_GoBack"/>
      <w:bookmarkEnd w:id="0"/>
      <w:r w:rsidRPr="009A19BB">
        <w:rPr>
          <w:noProof/>
        </w:rPr>
        <w:lastRenderedPageBreak/>
        <w:t xml:space="preserve">ZAŁĄCZNIK I </w:t>
      </w:r>
    </w:p>
    <w:p w14:paraId="6B32F717" w14:textId="3E4B815D" w:rsidR="00991DF8" w:rsidRPr="009A19BB" w:rsidRDefault="00991DF8" w:rsidP="00991DF8">
      <w:pPr>
        <w:shd w:val="clear" w:color="auto" w:fill="FFFFFF" w:themeFill="background1"/>
        <w:tabs>
          <w:tab w:val="left" w:pos="5000"/>
        </w:tabs>
        <w:spacing w:after="0"/>
        <w:jc w:val="center"/>
        <w:rPr>
          <w:rFonts w:eastAsia="Times New Roman"/>
          <w:b/>
          <w:noProof/>
        </w:rPr>
      </w:pPr>
      <w:r w:rsidRPr="009A19BB">
        <w:rPr>
          <w:b/>
          <w:noProof/>
        </w:rPr>
        <w:t>Projekty lub programy leżące</w:t>
      </w:r>
      <w:r w:rsidR="009A19BB" w:rsidRPr="009A19BB">
        <w:rPr>
          <w:b/>
          <w:noProof/>
        </w:rPr>
        <w:t xml:space="preserve"> w</w:t>
      </w:r>
      <w:r w:rsidR="009A19BB">
        <w:rPr>
          <w:b/>
          <w:noProof/>
        </w:rPr>
        <w:t> </w:t>
      </w:r>
      <w:r w:rsidR="009A19BB" w:rsidRPr="009A19BB">
        <w:rPr>
          <w:b/>
          <w:noProof/>
        </w:rPr>
        <w:t>int</w:t>
      </w:r>
      <w:r w:rsidRPr="009A19BB">
        <w:rPr>
          <w:b/>
          <w:noProof/>
        </w:rPr>
        <w:t>eresie Unii</w:t>
      </w:r>
    </w:p>
    <w:p w14:paraId="1D3E144F" w14:textId="77777777" w:rsidR="00991DF8" w:rsidRPr="009A19BB" w:rsidRDefault="00991DF8" w:rsidP="00E209ED">
      <w:pPr>
        <w:pStyle w:val="NumPar1"/>
        <w:numPr>
          <w:ilvl w:val="0"/>
          <w:numId w:val="6"/>
        </w:numPr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Działanie przygotowawcze – Przygotowanie nowego programu GOVSATCOM UE</w:t>
      </w:r>
    </w:p>
    <w:p w14:paraId="719DE45A" w14:textId="5F68F9B2" w:rsidR="00482747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(UE, Euratom) 2018/1046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18 lipca 2018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zasad finansowych mających zastosowanie do budżetu ogólnego Unii, zmieniające rozporządzenia (UE) nr 1296/2013, (UE) nr 1301/2013, (UE) nr 1303/2013, (UE) nr 1304/2013, (UE) nr 1309/2013, (UE) nr 1316/2013, (UE) nr 223/2014 i (UE) nr 283/2014 oraz decyzję nr 541/2014/UE,</w:t>
      </w:r>
      <w:r w:rsidR="009A19BB" w:rsidRPr="009A19BB">
        <w:rPr>
          <w:noProof/>
        </w:rPr>
        <w:t xml:space="preserve"> a</w:t>
      </w:r>
      <w:r w:rsidR="009A19BB">
        <w:rPr>
          <w:noProof/>
        </w:rPr>
        <w:t> </w:t>
      </w:r>
      <w:r w:rsidR="009A19BB" w:rsidRPr="009A19BB">
        <w:rPr>
          <w:noProof/>
        </w:rPr>
        <w:t>tak</w:t>
      </w:r>
      <w:r w:rsidRPr="009A19BB">
        <w:rPr>
          <w:noProof/>
        </w:rPr>
        <w:t>że uchylające rozporządzenie (UE, Euratom) nr 966/2012 –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szc</w:t>
      </w:r>
      <w:r w:rsidRPr="009A19BB">
        <w:rPr>
          <w:noProof/>
        </w:rPr>
        <w:t>zególności jego art. 58 ust. 2 lit. b) (</w:t>
      </w:r>
      <w:hyperlink r:id="rId18" w:history="1">
        <w:r w:rsidRPr="009A19BB">
          <w:rPr>
            <w:rStyle w:val="Hyperlink"/>
            <w:noProof/>
            <w:color w:val="337AB7"/>
          </w:rPr>
          <w:t>Dz.U. L 193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3</w:t>
        </w:r>
        <w:r w:rsidRPr="009A19BB">
          <w:rPr>
            <w:rStyle w:val="Hyperlink"/>
            <w:noProof/>
            <w:color w:val="337AB7"/>
          </w:rPr>
          <w:t>0.7.2018, s. 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19" w:history="1">
        <w:r w:rsidRPr="009A19BB">
          <w:rPr>
            <w:rStyle w:val="Hyperlink"/>
            <w:noProof/>
          </w:rPr>
          <w:t>https://eur-lex.europa.eu/eli/reg/2018/1046/oj</w:t>
        </w:r>
      </w:hyperlink>
      <w:r w:rsidRPr="009A19BB">
        <w:rPr>
          <w:noProof/>
        </w:rPr>
        <w:t>).</w:t>
      </w:r>
    </w:p>
    <w:p w14:paraId="514E3FBD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Program kosmiczny</w:t>
      </w:r>
    </w:p>
    <w:p w14:paraId="41F016FE" w14:textId="4CFF073A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 2021/696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28 kwietnia 2021 r. ustanawiające Unijny program kosmiczny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Age</w:t>
      </w:r>
      <w:r w:rsidRPr="009A19BB">
        <w:rPr>
          <w:noProof/>
        </w:rPr>
        <w:t>ncję Unii Europejskiej ds. Programu Kosmicznego oraz uchylające rozporządzenia (UE) nr 912/2010, (UE) nr 1285/2013 i (UE) nr 377/2014 oraz decyzję nr 541/2014/UE (</w:t>
      </w:r>
      <w:hyperlink r:id="rId20" w:history="1">
        <w:r w:rsidRPr="009A19BB">
          <w:rPr>
            <w:rStyle w:val="Hyperlink"/>
            <w:noProof/>
            <w:color w:val="337AB7"/>
          </w:rPr>
          <w:t>Dz.U. L 170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1</w:t>
        </w:r>
        <w:r w:rsidRPr="009A19BB">
          <w:rPr>
            <w:rStyle w:val="Hyperlink"/>
            <w:noProof/>
            <w:color w:val="337AB7"/>
          </w:rPr>
          <w:t>2.5.2021, s. 69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21" w:history="1">
        <w:r w:rsidRPr="009A19BB">
          <w:rPr>
            <w:rStyle w:val="Hyperlink"/>
            <w:noProof/>
          </w:rPr>
          <w:t>http://data.europa.eu/eli/reg/2021/696/oj</w:t>
        </w:r>
      </w:hyperlink>
      <w:r w:rsidRPr="009A19BB">
        <w:rPr>
          <w:noProof/>
        </w:rPr>
        <w:t>).</w:t>
      </w:r>
    </w:p>
    <w:p w14:paraId="32AEE63E" w14:textId="77777777" w:rsidR="00482747" w:rsidRPr="009A19BB" w:rsidRDefault="00482747" w:rsidP="00482747">
      <w:pPr>
        <w:pStyle w:val="NumPar1"/>
        <w:rPr>
          <w:b/>
          <w:bCs/>
          <w:noProof/>
        </w:rPr>
      </w:pPr>
      <w:r w:rsidRPr="009A19BB">
        <w:rPr>
          <w:b/>
          <w:noProof/>
        </w:rPr>
        <w:t xml:space="preserve">Unijny program bezpiecznej łączności </w:t>
      </w:r>
    </w:p>
    <w:p w14:paraId="7AC39570" w14:textId="4602E5F1" w:rsidR="00482747" w:rsidRPr="009A19BB" w:rsidRDefault="00D9057E" w:rsidP="00C173B2">
      <w:pPr>
        <w:rPr>
          <w:noProof/>
        </w:rPr>
      </w:pPr>
      <w:hyperlink r:id="rId22" w:history="1">
        <w:r w:rsidR="004E496D" w:rsidRPr="009A19BB">
          <w:rPr>
            <w:rStyle w:val="Hyperlink"/>
            <w:noProof/>
            <w:color w:val="auto"/>
            <w:u w:val="none"/>
          </w:rPr>
          <w:t>Rozporządzenie Parlamentu Europejskiego</w:t>
        </w:r>
        <w:r w:rsidR="009A19BB" w:rsidRPr="009A19BB">
          <w:rPr>
            <w:rStyle w:val="Hyperlink"/>
            <w:noProof/>
            <w:color w:val="auto"/>
            <w:u w:val="none"/>
          </w:rPr>
          <w:t xml:space="preserve"> i</w:t>
        </w:r>
        <w:r w:rsidR="009A19BB">
          <w:rPr>
            <w:rStyle w:val="Hyperlink"/>
            <w:noProof/>
            <w:color w:val="auto"/>
            <w:u w:val="none"/>
          </w:rPr>
          <w:t> </w:t>
        </w:r>
        <w:r w:rsidR="009A19BB" w:rsidRPr="009A19BB">
          <w:rPr>
            <w:rStyle w:val="Hyperlink"/>
            <w:noProof/>
            <w:color w:val="auto"/>
            <w:u w:val="none"/>
          </w:rPr>
          <w:t>Rad</w:t>
        </w:r>
        <w:r w:rsidR="004E496D" w:rsidRPr="009A19BB">
          <w:rPr>
            <w:rStyle w:val="Hyperlink"/>
            <w:noProof/>
            <w:color w:val="auto"/>
            <w:u w:val="none"/>
          </w:rPr>
          <w:t>y (UE) 2023/588</w:t>
        </w:r>
        <w:r w:rsidR="009A19BB" w:rsidRPr="009A19BB">
          <w:rPr>
            <w:rStyle w:val="Hyperlink"/>
            <w:noProof/>
            <w:color w:val="auto"/>
            <w:u w:val="none"/>
          </w:rPr>
          <w:t xml:space="preserve"> z</w:t>
        </w:r>
        <w:r w:rsidR="009A19BB">
          <w:rPr>
            <w:rStyle w:val="Hyperlink"/>
            <w:noProof/>
            <w:color w:val="auto"/>
            <w:u w:val="none"/>
          </w:rPr>
          <w:t> </w:t>
        </w:r>
        <w:r w:rsidR="009A19BB" w:rsidRPr="009A19BB">
          <w:rPr>
            <w:rStyle w:val="Hyperlink"/>
            <w:noProof/>
            <w:color w:val="auto"/>
            <w:u w:val="none"/>
          </w:rPr>
          <w:t>dni</w:t>
        </w:r>
        <w:r w:rsidR="004E496D" w:rsidRPr="009A19BB">
          <w:rPr>
            <w:rStyle w:val="Hyperlink"/>
            <w:noProof/>
            <w:color w:val="auto"/>
            <w:u w:val="none"/>
          </w:rPr>
          <w:t>a 15 marca 2023 r. ustanawiające unijny program bezpiecznej łączności na lata 2023–2027</w:t>
        </w:r>
      </w:hyperlink>
      <w:r w:rsidR="004E496D" w:rsidRPr="009A19BB">
        <w:rPr>
          <w:noProof/>
        </w:rPr>
        <w:t xml:space="preserve"> (</w:t>
      </w:r>
      <w:hyperlink r:id="rId23" w:history="1">
        <w:r w:rsidR="004E496D" w:rsidRPr="009A19BB">
          <w:rPr>
            <w:rStyle w:val="Hyperlink"/>
            <w:noProof/>
          </w:rPr>
          <w:t>Dz.U. L 79</w:t>
        </w:r>
        <w:r w:rsidR="009A19BB" w:rsidRPr="009A19BB">
          <w:rPr>
            <w:rStyle w:val="Hyperlink"/>
            <w:noProof/>
          </w:rPr>
          <w:t xml:space="preserve"> z</w:t>
        </w:r>
        <w:r w:rsidR="009A19BB">
          <w:rPr>
            <w:rStyle w:val="Hyperlink"/>
            <w:noProof/>
          </w:rPr>
          <w:t> </w:t>
        </w:r>
        <w:r w:rsidR="009A19BB" w:rsidRPr="009A19BB">
          <w:rPr>
            <w:rStyle w:val="Hyperlink"/>
            <w:noProof/>
          </w:rPr>
          <w:t>1</w:t>
        </w:r>
        <w:r w:rsidR="004E496D" w:rsidRPr="009A19BB">
          <w:rPr>
            <w:rStyle w:val="Hyperlink"/>
            <w:noProof/>
          </w:rPr>
          <w:t>7.3.2023, s. 1</w:t>
        </w:r>
      </w:hyperlink>
      <w:r w:rsidR="004E496D" w:rsidRPr="009A19BB">
        <w:rPr>
          <w:noProof/>
        </w:rPr>
        <w:t xml:space="preserve">, </w:t>
      </w:r>
      <w:r w:rsidR="004E496D" w:rsidRPr="009A19BB">
        <w:rPr>
          <w:rStyle w:val="Hyperlink"/>
          <w:noProof/>
          <w:color w:val="337AB7"/>
        </w:rPr>
        <w:t>ELI:</w:t>
      </w:r>
      <w:r w:rsidR="004E496D" w:rsidRPr="009A19BB">
        <w:rPr>
          <w:noProof/>
        </w:rPr>
        <w:t xml:space="preserve"> </w:t>
      </w:r>
      <w:hyperlink r:id="rId24" w:tooltip="Dostęp do dokumentu poprzez identyfikator URI w systemie ELI." w:history="1">
        <w:r w:rsidR="004E496D" w:rsidRPr="009A19BB">
          <w:rPr>
            <w:rStyle w:val="Hyperlink"/>
            <w:noProof/>
          </w:rPr>
          <w:t>http://data.europa.eu/eli/reg/2023/588/oj</w:t>
        </w:r>
      </w:hyperlink>
      <w:r w:rsidR="004E496D" w:rsidRPr="009A19BB">
        <w:rPr>
          <w:noProof/>
        </w:rPr>
        <w:t>).</w:t>
      </w:r>
    </w:p>
    <w:p w14:paraId="3C48DD61" w14:textId="402F6B4F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„Horyzont 2020”,</w:t>
      </w:r>
      <w:r w:rsidR="009A19BB" w:rsidRPr="009A19BB">
        <w:rPr>
          <w:rStyle w:val="oj-bold"/>
          <w:b/>
          <w:noProof/>
          <w:color w:val="333333"/>
        </w:rPr>
        <w:t xml:space="preserve"> w</w:t>
      </w:r>
      <w:r w:rsidR="009A19BB">
        <w:rPr>
          <w:rStyle w:val="oj-bold"/>
          <w:b/>
          <w:noProof/>
          <w:color w:val="333333"/>
        </w:rPr>
        <w:t> </w:t>
      </w:r>
      <w:r w:rsidR="009A19BB" w:rsidRPr="009A19BB">
        <w:rPr>
          <w:rStyle w:val="oj-bold"/>
          <w:b/>
          <w:noProof/>
          <w:color w:val="333333"/>
        </w:rPr>
        <w:t>tym</w:t>
      </w:r>
      <w:r w:rsidRPr="009A19BB">
        <w:rPr>
          <w:rStyle w:val="oj-bold"/>
          <w:b/>
          <w:noProof/>
          <w:color w:val="333333"/>
        </w:rPr>
        <w:t xml:space="preserve"> programy badawczo-rozwojowe na podstawie art. 185 TFUE, oraz wspólne przedsięwzięcia lub wszelkie inne struktury utworzone na podstawie art. 187 TFUE</w:t>
      </w:r>
    </w:p>
    <w:p w14:paraId="52619719" w14:textId="1B0DFEFD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nr 1291/2013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11 grudnia 2013 r. ustanawiające „Horyzont 2020” – program ramowy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badań naukowych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inn</w:t>
      </w:r>
      <w:r w:rsidRPr="009A19BB">
        <w:rPr>
          <w:noProof/>
        </w:rPr>
        <w:t>owacji (2014–2020) oraz uchylające decyzję nr 1982/2006/WE (</w:t>
      </w:r>
      <w:hyperlink r:id="rId25" w:history="1">
        <w:r w:rsidRPr="009A19BB">
          <w:rPr>
            <w:rStyle w:val="Hyperlink"/>
            <w:noProof/>
            <w:color w:val="337AB7"/>
          </w:rPr>
          <w:t>Dz.U. L 347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2</w:t>
        </w:r>
        <w:r w:rsidRPr="009A19BB">
          <w:rPr>
            <w:rStyle w:val="Hyperlink"/>
            <w:noProof/>
            <w:color w:val="337AB7"/>
          </w:rPr>
          <w:t>0.12.2013, s. 104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26" w:history="1">
        <w:r w:rsidRPr="009A19BB">
          <w:rPr>
            <w:rStyle w:val="Hyperlink"/>
            <w:noProof/>
          </w:rPr>
          <w:t>http://data.europa.eu/eli/reg/2013/1291/oj</w:t>
        </w:r>
      </w:hyperlink>
      <w:r w:rsidRPr="009A19BB">
        <w:rPr>
          <w:noProof/>
        </w:rPr>
        <w:t xml:space="preserve">). </w:t>
      </w:r>
    </w:p>
    <w:p w14:paraId="04EE7127" w14:textId="680988A0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„Horyzont Europa”,</w:t>
      </w:r>
      <w:r w:rsidR="009A19BB" w:rsidRPr="009A19BB">
        <w:rPr>
          <w:rStyle w:val="oj-bold"/>
          <w:b/>
          <w:noProof/>
          <w:color w:val="333333"/>
        </w:rPr>
        <w:t xml:space="preserve"> w</w:t>
      </w:r>
      <w:r w:rsidR="009A19BB">
        <w:rPr>
          <w:rStyle w:val="oj-bold"/>
          <w:b/>
          <w:noProof/>
          <w:color w:val="333333"/>
        </w:rPr>
        <w:t> </w:t>
      </w:r>
      <w:r w:rsidR="009A19BB" w:rsidRPr="009A19BB">
        <w:rPr>
          <w:rStyle w:val="oj-bold"/>
          <w:b/>
          <w:noProof/>
          <w:color w:val="333333"/>
        </w:rPr>
        <w:t>tym</w:t>
      </w:r>
      <w:r w:rsidRPr="009A19BB">
        <w:rPr>
          <w:rStyle w:val="oj-bold"/>
          <w:b/>
          <w:noProof/>
          <w:color w:val="333333"/>
        </w:rPr>
        <w:t xml:space="preserve"> programy badawczo-rozwojowe na podstawie art. 185 TFUE, oraz wspólne przedsięwzięcia lub wszelkie inne struktury utworzone na podstawie art. 187 TFUE</w:t>
      </w:r>
    </w:p>
    <w:p w14:paraId="4A779B31" w14:textId="6A23E1A2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 2021/695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28 kwietnia 2021 r. ustanawiające program ramowy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badań naukowych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inn</w:t>
      </w:r>
      <w:r w:rsidRPr="009A19BB">
        <w:rPr>
          <w:noProof/>
        </w:rPr>
        <w:t>owacji „Horyzont Europa” oraz zasady uczestnictwa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upo</w:t>
      </w:r>
      <w:r w:rsidRPr="009A19BB">
        <w:rPr>
          <w:noProof/>
        </w:rPr>
        <w:t>wszechniania obowiązujące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programie oraz uchylające rozporządzenia (UE) nr 1290/2013 i (UE) nr 1291/2013 ( </w:t>
      </w:r>
      <w:hyperlink r:id="rId27" w:history="1">
        <w:r w:rsidRPr="009A19BB">
          <w:rPr>
            <w:rStyle w:val="Hyperlink"/>
            <w:noProof/>
            <w:color w:val="337AB7"/>
          </w:rPr>
          <w:t>Dz.U. L 170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1</w:t>
        </w:r>
        <w:r w:rsidRPr="009A19BB">
          <w:rPr>
            <w:rStyle w:val="Hyperlink"/>
            <w:noProof/>
            <w:color w:val="337AB7"/>
          </w:rPr>
          <w:t>2.5.2021, s. 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28" w:history="1">
        <w:r w:rsidRPr="009A19BB">
          <w:rPr>
            <w:rStyle w:val="Hyperlink"/>
            <w:noProof/>
          </w:rPr>
          <w:t>http://data.europa.eu/eli/reg/2021/695/oj</w:t>
        </w:r>
      </w:hyperlink>
      <w:r w:rsidRPr="009A19BB">
        <w:rPr>
          <w:noProof/>
        </w:rPr>
        <w:t>).</w:t>
      </w:r>
    </w:p>
    <w:p w14:paraId="69897F37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Program badawczo-szkoleniowy Euratom na lata 2021–2025</w:t>
      </w:r>
    </w:p>
    <w:p w14:paraId="5AE247B5" w14:textId="07187DE5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Rady (Euratom) 2021/765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10 maja 2021 r. ustanawiające program badawczo-szkoleniowy Europejskiej Wspólnoty Energii Atomowej na lata 2021–2025 uzupełniający program ramowy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badań naukowych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inn</w:t>
      </w:r>
      <w:r w:rsidRPr="009A19BB">
        <w:rPr>
          <w:noProof/>
        </w:rPr>
        <w:t>owacji „Horyzont Europa” oraz uchylające rozporządzenie (Euratom) 2018/1563 (</w:t>
      </w:r>
      <w:hyperlink r:id="rId29" w:history="1">
        <w:r w:rsidRPr="009A19BB">
          <w:rPr>
            <w:rStyle w:val="Hyperlink"/>
            <w:noProof/>
            <w:color w:val="337AB7"/>
          </w:rPr>
          <w:t>Dz.U. L 167 I z 12.5.2021, s. 81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30" w:history="1">
        <w:r w:rsidRPr="009A19BB">
          <w:rPr>
            <w:rStyle w:val="Hyperlink"/>
            <w:noProof/>
          </w:rPr>
          <w:t>http://data.europa.eu/eli/reg/2021/765/oj</w:t>
        </w:r>
      </w:hyperlink>
      <w:r w:rsidRPr="009A19BB">
        <w:rPr>
          <w:noProof/>
        </w:rPr>
        <w:t>).</w:t>
      </w:r>
    </w:p>
    <w:p w14:paraId="35E5C5B8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Transeuropejskie sieci transportowe (TEN-T)</w:t>
      </w:r>
    </w:p>
    <w:p w14:paraId="4ADEEAF3" w14:textId="38CEF9F1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nr 1315/2013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11 grudnia 2013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 xml:space="preserve">awie unijnych wytycznych dotyczących rozwoju transeuropejskiej sieci </w:t>
      </w:r>
      <w:r w:rsidRPr="009A19BB">
        <w:rPr>
          <w:noProof/>
        </w:rPr>
        <w:lastRenderedPageBreak/>
        <w:t>transportowej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uch</w:t>
      </w:r>
      <w:r w:rsidRPr="009A19BB">
        <w:rPr>
          <w:noProof/>
        </w:rPr>
        <w:t>ylające decyzję nr 661/2010/UE (</w:t>
      </w:r>
      <w:hyperlink r:id="rId31" w:history="1">
        <w:r w:rsidRPr="009A19BB">
          <w:rPr>
            <w:rStyle w:val="Hyperlink"/>
            <w:noProof/>
            <w:color w:val="337AB7"/>
          </w:rPr>
          <w:t>Dz.U. L 348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2</w:t>
        </w:r>
        <w:r w:rsidRPr="009A19BB">
          <w:rPr>
            <w:rStyle w:val="Hyperlink"/>
            <w:noProof/>
            <w:color w:val="337AB7"/>
          </w:rPr>
          <w:t>0.12.2013, s. 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32" w:history="1">
        <w:r w:rsidRPr="009A19BB">
          <w:rPr>
            <w:rStyle w:val="Hyperlink"/>
            <w:noProof/>
          </w:rPr>
          <w:t>http://data.europa.eu/eli/reg/2013/1315/oj</w:t>
        </w:r>
      </w:hyperlink>
      <w:r w:rsidRPr="009A19BB">
        <w:rPr>
          <w:noProof/>
        </w:rPr>
        <w:t>).</w:t>
      </w:r>
    </w:p>
    <w:p w14:paraId="64E85493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Transeuropejskie sieci energetyczne (TEN-E)</w:t>
      </w:r>
    </w:p>
    <w:p w14:paraId="4001859C" w14:textId="603E76F7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nr 347/2013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17 kwietnia 2013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wytycznych dotyczących transeuropejskiej infrastruktury energetycznej, uchylające decyzję nr 1364/2006/WE oraz zmieniające rozporządzenia (WE) nr 713/2009, (WE) nr 714/2009 i (WE) nr 715/2009 (</w:t>
      </w:r>
      <w:hyperlink r:id="rId33" w:history="1">
        <w:r w:rsidRPr="009A19BB">
          <w:rPr>
            <w:rStyle w:val="Hyperlink"/>
            <w:noProof/>
            <w:color w:val="337AB7"/>
          </w:rPr>
          <w:t>Dz.U. L 115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2</w:t>
        </w:r>
        <w:r w:rsidRPr="009A19BB">
          <w:rPr>
            <w:rStyle w:val="Hyperlink"/>
            <w:noProof/>
            <w:color w:val="337AB7"/>
          </w:rPr>
          <w:t>5.4.2013, s. 39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34" w:history="1">
        <w:r w:rsidRPr="009A19BB">
          <w:rPr>
            <w:rStyle w:val="Hyperlink"/>
            <w:noProof/>
          </w:rPr>
          <w:t>http://data.europa.eu/eli/reg/2013/347/oj</w:t>
        </w:r>
      </w:hyperlink>
      <w:r w:rsidRPr="009A19BB">
        <w:rPr>
          <w:noProof/>
        </w:rPr>
        <w:t>).</w:t>
      </w:r>
    </w:p>
    <w:p w14:paraId="156F9554" w14:textId="77777777" w:rsidR="00991DF8" w:rsidRPr="009A19BB" w:rsidRDefault="00991DF8" w:rsidP="00907F22">
      <w:pPr>
        <w:pStyle w:val="NumPar1"/>
        <w:rPr>
          <w:b/>
          <w:bCs/>
          <w:noProof/>
          <w:color w:val="333333"/>
        </w:rPr>
      </w:pPr>
      <w:bookmarkStart w:id="1" w:name="_Hlk155874190"/>
      <w:r w:rsidRPr="009A19BB">
        <w:rPr>
          <w:rStyle w:val="oj-bold"/>
          <w:b/>
          <w:noProof/>
          <w:color w:val="333333"/>
        </w:rPr>
        <w:t>Transeuropejskie sieci telekomunikacyjne</w:t>
      </w:r>
      <w:r w:rsidRPr="009A19BB">
        <w:rPr>
          <w:b/>
          <w:noProof/>
          <w:color w:val="333333"/>
        </w:rPr>
        <w:t> </w:t>
      </w:r>
      <w:r w:rsidR="00FE50F6" w:rsidRPr="009A19BB">
        <w:rPr>
          <w:rStyle w:val="FootnoteReference"/>
          <w:b/>
          <w:bCs/>
          <w:noProof/>
          <w:color w:val="333333"/>
        </w:rPr>
        <w:footnoteReference w:id="1"/>
      </w:r>
    </w:p>
    <w:p w14:paraId="74C08151" w14:textId="22D59EBD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nr 283/2014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11 marca 2014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wytycznych dotyczących sieci transeuropejskich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dzi</w:t>
      </w:r>
      <w:r w:rsidRPr="009A19BB">
        <w:rPr>
          <w:noProof/>
        </w:rPr>
        <w:t>edzinie infrastruktury telekomunikacyjnej, uchylające decyzję nr 1336/97/WE (</w:t>
      </w:r>
      <w:hyperlink r:id="rId35" w:history="1">
        <w:r w:rsidRPr="009A19BB">
          <w:rPr>
            <w:rStyle w:val="Hyperlink"/>
            <w:noProof/>
            <w:color w:val="337AB7"/>
          </w:rPr>
          <w:t>Dz.U. L 86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2</w:t>
        </w:r>
        <w:r w:rsidRPr="009A19BB">
          <w:rPr>
            <w:rStyle w:val="Hyperlink"/>
            <w:noProof/>
            <w:color w:val="337AB7"/>
          </w:rPr>
          <w:t>1.3.2014, s. 14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36" w:history="1">
        <w:r w:rsidRPr="009A19BB">
          <w:rPr>
            <w:rStyle w:val="Hyperlink"/>
            <w:noProof/>
          </w:rPr>
          <w:t>http://data.europa.eu/eli/reg/2014/283/oj</w:t>
        </w:r>
      </w:hyperlink>
      <w:r w:rsidRPr="009A19BB">
        <w:rPr>
          <w:rStyle w:val="Hyperlink"/>
          <w:noProof/>
          <w:color w:val="337AB7"/>
        </w:rPr>
        <w:t xml:space="preserve"> </w:t>
      </w:r>
      <w:r w:rsidRPr="009A19BB">
        <w:rPr>
          <w:noProof/>
        </w:rPr>
        <w:t>).</w:t>
      </w:r>
    </w:p>
    <w:bookmarkEnd w:id="1"/>
    <w:p w14:paraId="182DFD69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Instrument „Łącząc Europę”</w:t>
      </w:r>
    </w:p>
    <w:p w14:paraId="375F57B9" w14:textId="66D12C34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2021/1153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7 lipca 2021 r. ustanawiające instrument „Łącząc Europę”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uch</w:t>
      </w:r>
      <w:r w:rsidRPr="009A19BB">
        <w:rPr>
          <w:noProof/>
        </w:rPr>
        <w:t>ylające rozporządzenia (UE) nr 1316/2013 i (UE) nr 283/2014 (</w:t>
      </w:r>
      <w:hyperlink r:id="rId37" w:history="1">
        <w:r w:rsidRPr="009A19BB">
          <w:rPr>
            <w:rStyle w:val="Hyperlink"/>
            <w:noProof/>
            <w:color w:val="337AB7"/>
          </w:rPr>
          <w:t>Dz.U. L 249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1</w:t>
        </w:r>
        <w:r w:rsidRPr="009A19BB">
          <w:rPr>
            <w:rStyle w:val="Hyperlink"/>
            <w:noProof/>
            <w:color w:val="337AB7"/>
          </w:rPr>
          <w:t>4.7.2021, s. 38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38" w:history="1">
        <w:r w:rsidRPr="009A19BB">
          <w:rPr>
            <w:rStyle w:val="Hyperlink"/>
            <w:noProof/>
          </w:rPr>
          <w:t>http://data.europa.eu/eli/reg/2021/1153/oj</w:t>
        </w:r>
      </w:hyperlink>
      <w:r w:rsidRPr="009A19BB">
        <w:rPr>
          <w:noProof/>
        </w:rPr>
        <w:t>).</w:t>
      </w:r>
    </w:p>
    <w:p w14:paraId="5FB51EFC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Program „Cyfrowa Europa”</w:t>
      </w:r>
    </w:p>
    <w:p w14:paraId="42728E07" w14:textId="64420643" w:rsidR="00991DF8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2021/694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29 kwietnia 2021 r. ustanawiające program „Cyfrowa Europa” oraz uchylające decyzję (UE) 2015/2240 (</w:t>
      </w:r>
      <w:hyperlink r:id="rId39" w:history="1">
        <w:r w:rsidRPr="009A19BB">
          <w:rPr>
            <w:rStyle w:val="Hyperlink"/>
            <w:noProof/>
            <w:color w:val="337AB7"/>
          </w:rPr>
          <w:t>Dz.U. L 166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1</w:t>
        </w:r>
        <w:r w:rsidRPr="009A19BB">
          <w:rPr>
            <w:rStyle w:val="Hyperlink"/>
            <w:noProof/>
            <w:color w:val="337AB7"/>
          </w:rPr>
          <w:t>1.5.2021, s. 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40" w:history="1">
        <w:r w:rsidRPr="009A19BB">
          <w:rPr>
            <w:rStyle w:val="Hyperlink"/>
            <w:noProof/>
          </w:rPr>
          <w:t>http://data.europa.eu/eli/reg/2021/694/oj</w:t>
        </w:r>
      </w:hyperlink>
      <w:r w:rsidRPr="009A19BB">
        <w:rPr>
          <w:noProof/>
        </w:rPr>
        <w:t>).</w:t>
      </w:r>
    </w:p>
    <w:p w14:paraId="3FBF6C46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Europejski program rozwoju przemysłu obronnego</w:t>
      </w:r>
    </w:p>
    <w:p w14:paraId="2DA98914" w14:textId="0CB0E4E4" w:rsidR="00991DF8" w:rsidRPr="009A19BB" w:rsidRDefault="00991DF8" w:rsidP="00B34E95">
      <w:pPr>
        <w:rPr>
          <w:noProof/>
        </w:rPr>
      </w:pPr>
      <w:bookmarkStart w:id="2" w:name="_Hlk155968117"/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2018/1092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18 lipca 2018 r. ustanawiające Europejski program rozwoju przemysłu obronnego mający na celu wspieranie konkurencyjności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zdo</w:t>
      </w:r>
      <w:r w:rsidRPr="009A19BB">
        <w:rPr>
          <w:noProof/>
        </w:rPr>
        <w:t>lności innowacyjnych przemysłu obronnego Unii (</w:t>
      </w:r>
      <w:hyperlink r:id="rId41" w:history="1">
        <w:r w:rsidRPr="009A19BB">
          <w:rPr>
            <w:rStyle w:val="Hyperlink"/>
            <w:noProof/>
            <w:color w:val="337AB7"/>
          </w:rPr>
          <w:t>Dz.U. L 200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7</w:t>
        </w:r>
        <w:r w:rsidRPr="009A19BB">
          <w:rPr>
            <w:rStyle w:val="Hyperlink"/>
            <w:noProof/>
            <w:color w:val="337AB7"/>
          </w:rPr>
          <w:t>.8.2018, s. 30</w:t>
        </w:r>
      </w:hyperlink>
      <w:r w:rsidRPr="009A19BB">
        <w:rPr>
          <w:rStyle w:val="Hyperlink"/>
          <w:noProof/>
          <w:color w:val="337AB7"/>
        </w:rPr>
        <w:t xml:space="preserve">, ELI: </w:t>
      </w:r>
      <w:bookmarkStart w:id="3" w:name="_Hlk155968214"/>
      <w:r w:rsidR="00385235" w:rsidRPr="009A19BB">
        <w:rPr>
          <w:rStyle w:val="Hyperlink"/>
          <w:rFonts w:eastAsiaTheme="majorEastAsia"/>
          <w:noProof/>
          <w:color w:val="337AB7"/>
        </w:rPr>
        <w:fldChar w:fldCharType="begin"/>
      </w:r>
      <w:r w:rsidR="00385235" w:rsidRPr="009A19BB">
        <w:rPr>
          <w:rStyle w:val="Hyperlink"/>
          <w:rFonts w:eastAsiaTheme="majorEastAsia"/>
          <w:noProof/>
          <w:color w:val="337AB7"/>
        </w:rPr>
        <w:instrText>HYPERLINK "http://data.europa.eu/eli/reg/2018/1092/oj"</w:instrText>
      </w:r>
      <w:r w:rsidR="00385235" w:rsidRPr="009A19BB">
        <w:rPr>
          <w:rStyle w:val="Hyperlink"/>
          <w:rFonts w:eastAsiaTheme="majorEastAsia"/>
          <w:noProof/>
          <w:color w:val="337AB7"/>
        </w:rPr>
        <w:fldChar w:fldCharType="separate"/>
      </w:r>
      <w:r w:rsidRPr="009A19BB">
        <w:rPr>
          <w:rStyle w:val="Hyperlink"/>
          <w:noProof/>
        </w:rPr>
        <w:t>http://data.europa.eu/eli/reg/2018/1092/oj</w:t>
      </w:r>
      <w:bookmarkEnd w:id="3"/>
      <w:r w:rsidR="00385235" w:rsidRPr="009A19BB">
        <w:rPr>
          <w:rStyle w:val="Hyperlink"/>
          <w:rFonts w:eastAsiaTheme="majorEastAsia"/>
          <w:noProof/>
          <w:color w:val="337AB7"/>
        </w:rPr>
        <w:fldChar w:fldCharType="end"/>
      </w:r>
      <w:r w:rsidRPr="009A19BB">
        <w:rPr>
          <w:noProof/>
        </w:rPr>
        <w:t>).</w:t>
      </w:r>
    </w:p>
    <w:bookmarkEnd w:id="2"/>
    <w:p w14:paraId="5BFCA153" w14:textId="65CA747F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Działanie przygotowawcze</w:t>
      </w:r>
      <w:r w:rsidR="009A19BB" w:rsidRPr="009A19BB">
        <w:rPr>
          <w:rStyle w:val="oj-bold"/>
          <w:b/>
          <w:noProof/>
          <w:color w:val="333333"/>
        </w:rPr>
        <w:t xml:space="preserve"> w</w:t>
      </w:r>
      <w:r w:rsidR="009A19BB">
        <w:rPr>
          <w:rStyle w:val="oj-bold"/>
          <w:b/>
          <w:noProof/>
          <w:color w:val="333333"/>
        </w:rPr>
        <w:t> </w:t>
      </w:r>
      <w:r w:rsidR="009A19BB" w:rsidRPr="009A19BB">
        <w:rPr>
          <w:rStyle w:val="oj-bold"/>
          <w:b/>
          <w:noProof/>
          <w:color w:val="333333"/>
        </w:rPr>
        <w:t>zak</w:t>
      </w:r>
      <w:r w:rsidRPr="009A19BB">
        <w:rPr>
          <w:rStyle w:val="oj-bold"/>
          <w:b/>
          <w:noProof/>
          <w:color w:val="333333"/>
        </w:rPr>
        <w:t>resie badań nad obronnością</w:t>
      </w:r>
    </w:p>
    <w:p w14:paraId="05C5DDEC" w14:textId="427D5646" w:rsidR="00991DF8" w:rsidRPr="009A19BB" w:rsidRDefault="00991DF8" w:rsidP="00B34E95">
      <w:pPr>
        <w:rPr>
          <w:noProof/>
        </w:rPr>
      </w:pPr>
      <w:bookmarkStart w:id="4" w:name="_Hlk155968298"/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(UE, Euratom) 2018/1046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18 lipca 2018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zasad finansowych mających zastosowanie do budżetu ogólnego Unii, zmieniające rozporządzenia (UE) nr 1296/2013, (UE) nr 1301/2013, (UE) nr 1303/2013, (UE) nr 1304/2013, (UE) nr 1309/2013, (UE) nr 1316/2013, (UE) nr 223/2014 i (UE) nr 283/2014 oraz decyzję nr 541/2014/UE,</w:t>
      </w:r>
      <w:r w:rsidR="009A19BB" w:rsidRPr="009A19BB">
        <w:rPr>
          <w:noProof/>
        </w:rPr>
        <w:t xml:space="preserve"> a</w:t>
      </w:r>
      <w:r w:rsidR="009A19BB">
        <w:rPr>
          <w:noProof/>
        </w:rPr>
        <w:t> </w:t>
      </w:r>
      <w:r w:rsidR="009A19BB" w:rsidRPr="009A19BB">
        <w:rPr>
          <w:noProof/>
        </w:rPr>
        <w:t>tak</w:t>
      </w:r>
      <w:r w:rsidRPr="009A19BB">
        <w:rPr>
          <w:noProof/>
        </w:rPr>
        <w:t>że uchylające rozporządzenie (UE, Euratom) nr 966/2012 –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szc</w:t>
      </w:r>
      <w:r w:rsidRPr="009A19BB">
        <w:rPr>
          <w:noProof/>
        </w:rPr>
        <w:t>zególności jego art. 58 ust. 2 lit. b) (</w:t>
      </w:r>
      <w:hyperlink r:id="rId42" w:history="1">
        <w:r w:rsidRPr="009A19BB">
          <w:rPr>
            <w:rStyle w:val="Hyperlink"/>
            <w:noProof/>
            <w:color w:val="337AB7"/>
          </w:rPr>
          <w:t>Dz.U. L 193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3</w:t>
        </w:r>
        <w:r w:rsidRPr="009A19BB">
          <w:rPr>
            <w:rStyle w:val="Hyperlink"/>
            <w:noProof/>
            <w:color w:val="337AB7"/>
          </w:rPr>
          <w:t>0.7.2018, s. 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43" w:history="1">
        <w:r w:rsidRPr="009A19BB">
          <w:rPr>
            <w:rStyle w:val="Hyperlink"/>
            <w:noProof/>
          </w:rPr>
          <w:t>https://eur-lex.europa.eu/eli/reg/2018/1046/oj</w:t>
        </w:r>
      </w:hyperlink>
      <w:r w:rsidRPr="009A19BB">
        <w:rPr>
          <w:noProof/>
        </w:rPr>
        <w:t>).</w:t>
      </w:r>
    </w:p>
    <w:bookmarkEnd w:id="4"/>
    <w:p w14:paraId="12DF6860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Europejski Fundusz Obronny</w:t>
      </w:r>
    </w:p>
    <w:p w14:paraId="1FB3E2D9" w14:textId="1BB27781" w:rsidR="00991DF8" w:rsidRPr="009A19BB" w:rsidRDefault="00991DF8" w:rsidP="00B34E95">
      <w:pPr>
        <w:rPr>
          <w:rFonts w:eastAsia="Calibri"/>
          <w:noProof/>
          <w:szCs w:val="24"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2021/697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29 kwietnia 2021 r. ustanawiające Europejski Fundusz Obronny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uch</w:t>
      </w:r>
      <w:r w:rsidRPr="009A19BB">
        <w:rPr>
          <w:noProof/>
        </w:rPr>
        <w:t>ylające rozporządzenie (UE) 2018/1092 (</w:t>
      </w:r>
      <w:hyperlink r:id="rId44" w:history="1">
        <w:r w:rsidRPr="009A19BB">
          <w:rPr>
            <w:rStyle w:val="Hyperlink"/>
            <w:noProof/>
            <w:color w:val="337AB7"/>
          </w:rPr>
          <w:t>Dz.U. L 170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1</w:t>
        </w:r>
        <w:r w:rsidRPr="009A19BB">
          <w:rPr>
            <w:rStyle w:val="Hyperlink"/>
            <w:noProof/>
            <w:color w:val="337AB7"/>
          </w:rPr>
          <w:t>2.5.2021, s. 149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45" w:history="1">
        <w:r w:rsidRPr="009A19BB">
          <w:rPr>
            <w:rStyle w:val="Hyperlink"/>
            <w:noProof/>
          </w:rPr>
          <w:t>http://data.europa.eu/eli/reg/2021/697/oj</w:t>
        </w:r>
      </w:hyperlink>
      <w:r w:rsidRPr="009A19BB">
        <w:rPr>
          <w:noProof/>
        </w:rPr>
        <w:t xml:space="preserve">). </w:t>
      </w:r>
    </w:p>
    <w:p w14:paraId="53126C9B" w14:textId="0C8881C1" w:rsidR="00D371B7" w:rsidRPr="009A19BB" w:rsidRDefault="005B19E5" w:rsidP="00D371B7">
      <w:pPr>
        <w:pStyle w:val="NumPar1"/>
        <w:rPr>
          <w:b/>
          <w:bCs/>
          <w:noProof/>
        </w:rPr>
      </w:pPr>
      <w:bookmarkStart w:id="5" w:name="_Hlk155889773"/>
      <w:r w:rsidRPr="009A19BB">
        <w:rPr>
          <w:rStyle w:val="oj-bold"/>
          <w:b/>
          <w:noProof/>
          <w:color w:val="333333"/>
        </w:rPr>
        <w:t>Rozporządzenie</w:t>
      </w:r>
      <w:r w:rsidR="009A19BB" w:rsidRPr="009A19BB">
        <w:rPr>
          <w:rStyle w:val="oj-bold"/>
          <w:b/>
          <w:noProof/>
          <w:color w:val="333333"/>
        </w:rPr>
        <w:t xml:space="preserve"> w</w:t>
      </w:r>
      <w:r w:rsidR="009A19BB">
        <w:rPr>
          <w:rStyle w:val="oj-bold"/>
          <w:b/>
          <w:noProof/>
          <w:color w:val="333333"/>
        </w:rPr>
        <w:t> </w:t>
      </w:r>
      <w:r w:rsidR="009A19BB" w:rsidRPr="009A19BB">
        <w:rPr>
          <w:rStyle w:val="oj-bold"/>
          <w:b/>
          <w:noProof/>
          <w:color w:val="333333"/>
        </w:rPr>
        <w:t>spr</w:t>
      </w:r>
      <w:r w:rsidRPr="009A19BB">
        <w:rPr>
          <w:rStyle w:val="oj-bold"/>
          <w:b/>
          <w:noProof/>
          <w:color w:val="333333"/>
        </w:rPr>
        <w:t xml:space="preserve">awie wspierania produkcji amunicji (ASAP) </w:t>
      </w:r>
    </w:p>
    <w:p w14:paraId="04DD64FB" w14:textId="0A39898F" w:rsidR="005B19E5" w:rsidRPr="009A19BB" w:rsidRDefault="005B19E5" w:rsidP="005B19E5">
      <w:pPr>
        <w:rPr>
          <w:rFonts w:eastAsia="Times New Roman"/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2023/1525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20 lipca 2023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wspierania produkcji amunicji (ASAP) (</w:t>
      </w:r>
      <w:hyperlink r:id="rId46" w:history="1">
        <w:r w:rsidRPr="009A19BB">
          <w:rPr>
            <w:rStyle w:val="Hyperlink"/>
            <w:noProof/>
          </w:rPr>
          <w:t>Dz.U. L 185 z 24.7.2023, s. 7</w:t>
        </w:r>
      </w:hyperlink>
      <w:r w:rsidRPr="009A19BB">
        <w:rPr>
          <w:rStyle w:val="Hyperlink"/>
          <w:noProof/>
          <w:color w:val="337AB7"/>
        </w:rPr>
        <w:t>, ELI:</w:t>
      </w:r>
      <w:r w:rsidRPr="009A19BB">
        <w:rPr>
          <w:noProof/>
        </w:rPr>
        <w:t xml:space="preserve"> </w:t>
      </w:r>
      <w:hyperlink r:id="rId47" w:history="1">
        <w:r w:rsidRPr="009A19BB">
          <w:rPr>
            <w:rStyle w:val="Hyperlink"/>
            <w:noProof/>
          </w:rPr>
          <w:t>http://data.europa.eu/eli/reg/2023/1525/oj</w:t>
        </w:r>
      </w:hyperlink>
      <w:r w:rsidRPr="009A19BB">
        <w:rPr>
          <w:noProof/>
        </w:rPr>
        <w:t>). </w:t>
      </w:r>
    </w:p>
    <w:bookmarkEnd w:id="5"/>
    <w:p w14:paraId="3C77AF86" w14:textId="77777777" w:rsidR="00D371B7" w:rsidRPr="009A19BB" w:rsidRDefault="005B19E5" w:rsidP="00D371B7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 xml:space="preserve">Instrument na rzecz wzmocnienia europejskiego przemysłu obronnego przez zamówienia realizowane na zasadzie współpracy (EDIRPA) </w:t>
      </w:r>
    </w:p>
    <w:p w14:paraId="56958650" w14:textId="3E2A5843" w:rsidR="005B19E5" w:rsidRPr="009A19BB" w:rsidRDefault="005B19E5" w:rsidP="00A03596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2023/2418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18 października 2023</w:t>
      </w:r>
      <w:r w:rsidR="009A19BB" w:rsidRPr="009A19BB">
        <w:rPr>
          <w:noProof/>
        </w:rPr>
        <w:t> </w:t>
      </w:r>
      <w:r w:rsidRPr="009A19BB">
        <w:rPr>
          <w:noProof/>
        </w:rPr>
        <w:t>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ustanowienia instrumentu na rzecz wzmocnienia europejskiego przemysłu obronnego przez zamówienia realizowane na zasadzie współpracy (EDIRPA) (Dz.U. L 2023/2418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2</w:t>
      </w:r>
      <w:r w:rsidRPr="009A19BB">
        <w:rPr>
          <w:noProof/>
        </w:rPr>
        <w:t xml:space="preserve">6.10.2023, </w:t>
      </w:r>
      <w:r w:rsidRPr="009A19BB">
        <w:rPr>
          <w:rStyle w:val="Hyperlink"/>
          <w:noProof/>
          <w:color w:val="337AB7"/>
        </w:rPr>
        <w:t>ELI:</w:t>
      </w:r>
      <w:r w:rsidRPr="009A19BB">
        <w:rPr>
          <w:noProof/>
        </w:rPr>
        <w:t xml:space="preserve"> </w:t>
      </w:r>
      <w:hyperlink r:id="rId48" w:tooltip="Dostęp do dokumentu poprzez identyfikator URI w systemie ELI." w:history="1">
        <w:r w:rsidRPr="009A19BB">
          <w:rPr>
            <w:rStyle w:val="Hyperlink"/>
            <w:noProof/>
          </w:rPr>
          <w:t>http://data.europa.eu/eli/reg/2023/2418/oj</w:t>
        </w:r>
      </w:hyperlink>
      <w:r w:rsidRPr="009A19BB">
        <w:rPr>
          <w:noProof/>
        </w:rPr>
        <w:t>).</w:t>
      </w:r>
    </w:p>
    <w:p w14:paraId="414E94B6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Stała współpraca strukturalna (PESCO)</w:t>
      </w:r>
    </w:p>
    <w:p w14:paraId="7EABE84C" w14:textId="7203605C" w:rsidR="00D23DB5" w:rsidRPr="009A19BB" w:rsidRDefault="00D23DB5" w:rsidP="00D23DB5">
      <w:pPr>
        <w:rPr>
          <w:noProof/>
        </w:rPr>
      </w:pPr>
      <w:r w:rsidRPr="009A19BB">
        <w:rPr>
          <w:noProof/>
        </w:rPr>
        <w:t>Decyzja Rady (WPZiB) 2018/340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6 marca 2018 r. ustanawiająca listę projektów do zrealizowania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ram</w:t>
      </w:r>
      <w:r w:rsidRPr="009A19BB">
        <w:rPr>
          <w:noProof/>
        </w:rPr>
        <w:t>ach PESCO (</w:t>
      </w:r>
      <w:hyperlink r:id="rId49" w:history="1">
        <w:r w:rsidRPr="009A19BB">
          <w:rPr>
            <w:rStyle w:val="Hyperlink"/>
            <w:noProof/>
          </w:rPr>
          <w:t>Dz.U. L 65</w:t>
        </w:r>
        <w:r w:rsidR="009A19BB" w:rsidRPr="009A19BB">
          <w:rPr>
            <w:rStyle w:val="Hyperlink"/>
            <w:noProof/>
          </w:rPr>
          <w:t xml:space="preserve"> z</w:t>
        </w:r>
        <w:r w:rsidR="009A19BB">
          <w:rPr>
            <w:rStyle w:val="Hyperlink"/>
            <w:noProof/>
          </w:rPr>
          <w:t> </w:t>
        </w:r>
        <w:r w:rsidR="009A19BB" w:rsidRPr="009A19BB">
          <w:rPr>
            <w:rStyle w:val="Hyperlink"/>
            <w:noProof/>
          </w:rPr>
          <w:t>8</w:t>
        </w:r>
        <w:r w:rsidRPr="009A19BB">
          <w:rPr>
            <w:rStyle w:val="Hyperlink"/>
            <w:noProof/>
          </w:rPr>
          <w:t>.3.2018, s. 24</w:t>
        </w:r>
      </w:hyperlink>
      <w:r w:rsidRPr="009A19BB">
        <w:rPr>
          <w:noProof/>
          <w:u w:val="single"/>
        </w:rPr>
        <w:t xml:space="preserve">, </w:t>
      </w:r>
      <w:r w:rsidRPr="009A19BB">
        <w:rPr>
          <w:rStyle w:val="Hyperlink"/>
          <w:noProof/>
          <w:color w:val="337AB7"/>
        </w:rPr>
        <w:t>ELI:</w:t>
      </w:r>
      <w:r w:rsidRPr="009A19BB">
        <w:rPr>
          <w:noProof/>
          <w:u w:val="single"/>
        </w:rPr>
        <w:t xml:space="preserve"> </w:t>
      </w:r>
      <w:hyperlink r:id="rId50" w:history="1">
        <w:r w:rsidRPr="009A19BB">
          <w:rPr>
            <w:rStyle w:val="Hyperlink"/>
            <w:noProof/>
          </w:rPr>
          <w:t>http://data.europa.eu/eli/dec/2018/340/oj</w:t>
        </w:r>
      </w:hyperlink>
      <w:r w:rsidRPr="009A19BB">
        <w:rPr>
          <w:noProof/>
        </w:rPr>
        <w:t>).</w:t>
      </w:r>
    </w:p>
    <w:p w14:paraId="23FBB82D" w14:textId="37D0A759" w:rsidR="00991DF8" w:rsidRPr="009A19BB" w:rsidRDefault="00D23DB5" w:rsidP="00EC4D84">
      <w:pPr>
        <w:rPr>
          <w:noProof/>
        </w:rPr>
      </w:pPr>
      <w:r w:rsidRPr="009A19BB">
        <w:rPr>
          <w:noProof/>
        </w:rPr>
        <w:t>Decyzja Rady (WPZiB) 2023/995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22 maja 2023</w:t>
      </w:r>
      <w:r w:rsidR="009A19BB" w:rsidRPr="009A19BB">
        <w:rPr>
          <w:noProof/>
        </w:rPr>
        <w:t> </w:t>
      </w:r>
      <w:r w:rsidRPr="009A19BB">
        <w:rPr>
          <w:noProof/>
        </w:rPr>
        <w:t>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zmiany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akt</w:t>
      </w:r>
      <w:r w:rsidRPr="009A19BB">
        <w:rPr>
          <w:noProof/>
        </w:rPr>
        <w:t>ualizacji decyzji (WPZiB) 2018/340 ustanawiającej listę projektów do zrealizowania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ram</w:t>
      </w:r>
      <w:r w:rsidRPr="009A19BB">
        <w:rPr>
          <w:noProof/>
        </w:rPr>
        <w:t>ach PESCO (</w:t>
      </w:r>
      <w:hyperlink r:id="rId51" w:history="1">
        <w:r w:rsidRPr="009A19BB">
          <w:rPr>
            <w:rStyle w:val="Hyperlink"/>
            <w:noProof/>
          </w:rPr>
          <w:t>Dz.U. L 135</w:t>
        </w:r>
        <w:r w:rsidR="009A19BB" w:rsidRPr="009A19BB">
          <w:rPr>
            <w:rStyle w:val="Hyperlink"/>
            <w:noProof/>
          </w:rPr>
          <w:t xml:space="preserve"> z</w:t>
        </w:r>
        <w:r w:rsidR="009A19BB">
          <w:rPr>
            <w:rStyle w:val="Hyperlink"/>
            <w:noProof/>
          </w:rPr>
          <w:t> </w:t>
        </w:r>
        <w:r w:rsidR="009A19BB" w:rsidRPr="009A19BB">
          <w:rPr>
            <w:rStyle w:val="Hyperlink"/>
            <w:noProof/>
          </w:rPr>
          <w:t>2</w:t>
        </w:r>
        <w:r w:rsidRPr="009A19BB">
          <w:rPr>
            <w:rStyle w:val="Hyperlink"/>
            <w:noProof/>
          </w:rPr>
          <w:t>3.5.2023, s. 123</w:t>
        </w:r>
      </w:hyperlink>
      <w:r w:rsidRPr="009A19BB">
        <w:rPr>
          <w:noProof/>
        </w:rPr>
        <w:t>,</w:t>
      </w:r>
      <w:r w:rsidRPr="009A19BB">
        <w:rPr>
          <w:noProof/>
          <w:color w:val="333333"/>
          <w:sz w:val="21"/>
          <w:shd w:val="clear" w:color="auto" w:fill="FFFFFF"/>
        </w:rPr>
        <w:t xml:space="preserve"> </w:t>
      </w:r>
      <w:r w:rsidRPr="009A19BB">
        <w:rPr>
          <w:rStyle w:val="Hyperlink"/>
          <w:noProof/>
          <w:color w:val="337AB7"/>
        </w:rPr>
        <w:t>ELI:</w:t>
      </w:r>
      <w:r w:rsidRPr="009A19BB">
        <w:rPr>
          <w:noProof/>
        </w:rPr>
        <w:t> </w:t>
      </w:r>
      <w:hyperlink r:id="rId52" w:tooltip="Dostęp do dokumentu poprzez identyfikator URI w systemie ELI." w:history="1">
        <w:r w:rsidRPr="009A19BB">
          <w:rPr>
            <w:rStyle w:val="Hyperlink"/>
            <w:noProof/>
          </w:rPr>
          <w:t>http://data.europa.eu/eli/dec/2023/995/oj</w:t>
        </w:r>
      </w:hyperlink>
      <w:r w:rsidRPr="009A19BB">
        <w:rPr>
          <w:noProof/>
        </w:rPr>
        <w:t xml:space="preserve">). </w:t>
      </w:r>
    </w:p>
    <w:p w14:paraId="0AD566E6" w14:textId="77777777" w:rsidR="00991DF8" w:rsidRPr="009A19BB" w:rsidRDefault="00991DF8" w:rsidP="00907F22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>Europejskie Wspólne Przedsięwzięcie na rzecz Realizacji Projektu ITER</w:t>
      </w:r>
    </w:p>
    <w:p w14:paraId="37D94326" w14:textId="4C31D3CF" w:rsidR="00991DF8" w:rsidRPr="009A19BB" w:rsidRDefault="00991DF8" w:rsidP="00B34E95">
      <w:pPr>
        <w:rPr>
          <w:noProof/>
        </w:rPr>
      </w:pPr>
      <w:r w:rsidRPr="009A19BB">
        <w:rPr>
          <w:noProof/>
        </w:rPr>
        <w:t>Decyzja Rady 2007/198/Euratom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27 marca 2007 r. powołująca Europejskie Wspólne Przedsięwzięcie na rzecz Realizacji Projektu ITER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Roz</w:t>
      </w:r>
      <w:r w:rsidRPr="009A19BB">
        <w:rPr>
          <w:noProof/>
        </w:rPr>
        <w:t>woju Energii Termojądrowej oraz przyznająca mu określone korzyści (</w:t>
      </w:r>
      <w:hyperlink r:id="rId53" w:history="1">
        <w:r w:rsidRPr="009A19BB">
          <w:rPr>
            <w:rStyle w:val="Hyperlink"/>
            <w:noProof/>
            <w:color w:val="337AB7"/>
          </w:rPr>
          <w:t>Dz.U. L 90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3</w:t>
        </w:r>
        <w:r w:rsidRPr="009A19BB">
          <w:rPr>
            <w:rStyle w:val="Hyperlink"/>
            <w:noProof/>
            <w:color w:val="337AB7"/>
          </w:rPr>
          <w:t>0.3.2007, s. 58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54" w:history="1">
        <w:r w:rsidRPr="009A19BB">
          <w:rPr>
            <w:rStyle w:val="Hyperlink"/>
            <w:noProof/>
          </w:rPr>
          <w:t>http://data.europa.eu/eli/dec/2007/198/oj</w:t>
        </w:r>
      </w:hyperlink>
      <w:r w:rsidRPr="009A19BB">
        <w:rPr>
          <w:noProof/>
        </w:rPr>
        <w:t>).</w:t>
      </w:r>
    </w:p>
    <w:p w14:paraId="24F1C81F" w14:textId="77777777" w:rsidR="00991DF8" w:rsidRPr="009A19BB" w:rsidRDefault="00991DF8" w:rsidP="00907F22">
      <w:pPr>
        <w:pStyle w:val="NumPar1"/>
        <w:rPr>
          <w:b/>
          <w:bCs/>
          <w:noProof/>
        </w:rPr>
      </w:pPr>
      <w:bookmarkStart w:id="6" w:name="_Hlk155875913"/>
      <w:r w:rsidRPr="009A19BB">
        <w:rPr>
          <w:rStyle w:val="oj-bold"/>
          <w:b/>
          <w:noProof/>
          <w:color w:val="333333"/>
        </w:rPr>
        <w:t>Program EU dla zdrowia</w:t>
      </w:r>
    </w:p>
    <w:p w14:paraId="6A971364" w14:textId="5FBA2A5E" w:rsidR="00F439C7" w:rsidRPr="009A19BB" w:rsidRDefault="00991DF8" w:rsidP="00B34E95">
      <w:pPr>
        <w:rPr>
          <w:noProof/>
        </w:rPr>
      </w:pPr>
      <w:r w:rsidRPr="009A19BB">
        <w:rPr>
          <w:noProof/>
        </w:rPr>
        <w:t>Rozporządzenie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2021/522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24 marca 2021 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ustanowienia Programu działań Unii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dzi</w:t>
      </w:r>
      <w:r w:rsidRPr="009A19BB">
        <w:rPr>
          <w:noProof/>
        </w:rPr>
        <w:t>edzinie zdrowia („Program UE dla zdrowia”) na lata 2021–2027 oraz uchylenia rozporządzenia (UE) nr 282/2014 (</w:t>
      </w:r>
      <w:hyperlink r:id="rId55" w:history="1">
        <w:r w:rsidRPr="009A19BB">
          <w:rPr>
            <w:rStyle w:val="Hyperlink"/>
            <w:noProof/>
            <w:color w:val="337AB7"/>
          </w:rPr>
          <w:t>Dz.U. L 107</w:t>
        </w:r>
        <w:r w:rsidR="009A19BB" w:rsidRPr="009A19BB">
          <w:rPr>
            <w:rStyle w:val="Hyperlink"/>
            <w:noProof/>
            <w:color w:val="337AB7"/>
          </w:rPr>
          <w:t xml:space="preserve"> z</w:t>
        </w:r>
        <w:r w:rsidR="009A19BB">
          <w:rPr>
            <w:rStyle w:val="Hyperlink"/>
            <w:noProof/>
            <w:color w:val="337AB7"/>
          </w:rPr>
          <w:t> </w:t>
        </w:r>
        <w:r w:rsidR="009A19BB" w:rsidRPr="009A19BB">
          <w:rPr>
            <w:rStyle w:val="Hyperlink"/>
            <w:noProof/>
            <w:color w:val="337AB7"/>
          </w:rPr>
          <w:t>2</w:t>
        </w:r>
        <w:r w:rsidRPr="009A19BB">
          <w:rPr>
            <w:rStyle w:val="Hyperlink"/>
            <w:noProof/>
            <w:color w:val="337AB7"/>
          </w:rPr>
          <w:t>6.3.2021, s. 1</w:t>
        </w:r>
      </w:hyperlink>
      <w:r w:rsidRPr="009A19BB">
        <w:rPr>
          <w:rStyle w:val="Hyperlink"/>
          <w:noProof/>
          <w:color w:val="337AB7"/>
        </w:rPr>
        <w:t xml:space="preserve">, ELI: </w:t>
      </w:r>
      <w:hyperlink r:id="rId56" w:history="1">
        <w:r w:rsidRPr="009A19BB">
          <w:rPr>
            <w:rStyle w:val="Hyperlink"/>
            <w:noProof/>
          </w:rPr>
          <w:t>https://eur-lex.europa.eu/eli/reg/2021/522/oj</w:t>
        </w:r>
      </w:hyperlink>
      <w:r w:rsidRPr="009A19BB">
        <w:rPr>
          <w:noProof/>
        </w:rPr>
        <w:t>).</w:t>
      </w:r>
    </w:p>
    <w:p w14:paraId="40CFE421" w14:textId="77777777" w:rsidR="00D371B7" w:rsidRPr="009A19BB" w:rsidRDefault="00F439C7" w:rsidP="00D371B7">
      <w:pPr>
        <w:pStyle w:val="NumPar1"/>
        <w:rPr>
          <w:b/>
          <w:bCs/>
          <w:noProof/>
        </w:rPr>
      </w:pPr>
      <w:r w:rsidRPr="009A19BB">
        <w:rPr>
          <w:rStyle w:val="oj-bold"/>
          <w:b/>
          <w:noProof/>
          <w:color w:val="333333"/>
        </w:rPr>
        <w:t xml:space="preserve">Ważne projekty stanowiące przedmiot wspólnego europejskiego zainteresowania (projekty IPCEI) </w:t>
      </w:r>
    </w:p>
    <w:p w14:paraId="026FA90C" w14:textId="036E0289" w:rsidR="00F439C7" w:rsidRPr="009A19BB" w:rsidRDefault="009F2018" w:rsidP="00A03596">
      <w:pPr>
        <w:rPr>
          <w:noProof/>
        </w:rPr>
      </w:pPr>
      <w:r w:rsidRPr="009A19BB">
        <w:rPr>
          <w:noProof/>
        </w:rPr>
        <w:t>Opisane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kom</w:t>
      </w:r>
      <w:r w:rsidRPr="009A19BB">
        <w:rPr>
          <w:noProof/>
        </w:rPr>
        <w:t>unikacie Komisji – Kryteria analizy zgodności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ryn</w:t>
      </w:r>
      <w:r w:rsidRPr="009A19BB">
        <w:rPr>
          <w:noProof/>
        </w:rPr>
        <w:t>kiem wewnętrznym pomocy państwa na wspieranie realizacji ważnych projektów stanowiących przedmiot wspólnego europejskiego zainteresowania (2021/C 528/02) (</w:t>
      </w:r>
      <w:hyperlink r:id="rId57" w:history="1">
        <w:r w:rsidRPr="009A19BB">
          <w:rPr>
            <w:rStyle w:val="Hyperlink"/>
            <w:noProof/>
          </w:rPr>
          <w:t>Dz.U. C 528/10</w:t>
        </w:r>
        <w:r w:rsidR="009A19BB" w:rsidRPr="009A19BB">
          <w:rPr>
            <w:rStyle w:val="Hyperlink"/>
            <w:noProof/>
          </w:rPr>
          <w:t xml:space="preserve"> z</w:t>
        </w:r>
        <w:r w:rsidR="009A19BB">
          <w:rPr>
            <w:rStyle w:val="Hyperlink"/>
            <w:noProof/>
          </w:rPr>
          <w:t> </w:t>
        </w:r>
        <w:r w:rsidR="009A19BB" w:rsidRPr="009A19BB">
          <w:rPr>
            <w:rStyle w:val="Hyperlink"/>
            <w:noProof/>
          </w:rPr>
          <w:t>3</w:t>
        </w:r>
        <w:r w:rsidRPr="009A19BB">
          <w:rPr>
            <w:rStyle w:val="Hyperlink"/>
            <w:noProof/>
          </w:rPr>
          <w:t>0.12.2021, s. 10</w:t>
        </w:r>
      </w:hyperlink>
      <w:r w:rsidRPr="009A19BB">
        <w:rPr>
          <w:noProof/>
        </w:rPr>
        <w:t>), zgodnie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inf</w:t>
      </w:r>
      <w:r w:rsidRPr="009A19BB">
        <w:rPr>
          <w:noProof/>
        </w:rPr>
        <w:t>ormacjami na stronie internetowej służb Komisji</w:t>
      </w:r>
      <w:r w:rsidR="00084711" w:rsidRPr="009A19BB">
        <w:rPr>
          <w:rStyle w:val="FootnoteReference"/>
          <w:noProof/>
        </w:rPr>
        <w:footnoteReference w:id="2"/>
      </w:r>
      <w:r w:rsidRPr="009A19BB">
        <w:rPr>
          <w:noProof/>
        </w:rPr>
        <w:t xml:space="preserve">. </w:t>
      </w:r>
    </w:p>
    <w:bookmarkEnd w:id="6"/>
    <w:p w14:paraId="10B4E9C9" w14:textId="77777777" w:rsidR="00F660C7" w:rsidRPr="009A19BB" w:rsidRDefault="00F660C7" w:rsidP="00991DF8">
      <w:pPr>
        <w:rPr>
          <w:noProof/>
          <w:szCs w:val="24"/>
        </w:rPr>
        <w:sectPr w:rsidR="00F660C7" w:rsidRPr="009A19BB" w:rsidSect="00A03EAE">
          <w:headerReference w:type="even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14:paraId="07796EE2" w14:textId="77777777" w:rsidR="00455B3D" w:rsidRPr="009A19BB" w:rsidRDefault="00455B3D" w:rsidP="00455B3D">
      <w:pPr>
        <w:pStyle w:val="Annexetitre"/>
        <w:rPr>
          <w:noProof/>
        </w:rPr>
      </w:pPr>
      <w:r w:rsidRPr="009A19BB">
        <w:rPr>
          <w:noProof/>
        </w:rPr>
        <w:t>ZAŁĄCZNIK II</w:t>
      </w:r>
    </w:p>
    <w:p w14:paraId="589F9AAF" w14:textId="788EF4DE" w:rsidR="00991DF8" w:rsidRPr="009A19BB" w:rsidRDefault="00991DF8" w:rsidP="00E8728D">
      <w:pPr>
        <w:shd w:val="clear" w:color="auto" w:fill="FFFFFF" w:themeFill="background1"/>
        <w:tabs>
          <w:tab w:val="left" w:pos="5000"/>
        </w:tabs>
        <w:spacing w:after="0"/>
        <w:jc w:val="center"/>
        <w:rPr>
          <w:b/>
          <w:noProof/>
          <w:color w:val="333333"/>
          <w:szCs w:val="24"/>
        </w:rPr>
      </w:pPr>
      <w:bookmarkStart w:id="7" w:name="_TocB7751C055C4744A28A002AAF436526DF"/>
      <w:r w:rsidRPr="009A19BB">
        <w:rPr>
          <w:b/>
          <w:noProof/>
        </w:rPr>
        <w:t>Wykaz technologii, aktywów, zakładów, urządzeń, sieci, systemów, usług</w:t>
      </w:r>
      <w:r w:rsidR="009A19BB" w:rsidRPr="009A19BB">
        <w:rPr>
          <w:b/>
          <w:noProof/>
        </w:rPr>
        <w:t xml:space="preserve"> i</w:t>
      </w:r>
      <w:r w:rsidR="009A19BB">
        <w:rPr>
          <w:b/>
          <w:noProof/>
        </w:rPr>
        <w:t> </w:t>
      </w:r>
      <w:r w:rsidR="009A19BB" w:rsidRPr="009A19BB">
        <w:rPr>
          <w:b/>
          <w:noProof/>
        </w:rPr>
        <w:t>dzi</w:t>
      </w:r>
      <w:r w:rsidRPr="009A19BB">
        <w:rPr>
          <w:b/>
          <w:noProof/>
        </w:rPr>
        <w:t>ałalności gospodarczej</w:t>
      </w:r>
      <w:r w:rsidR="009A19BB" w:rsidRPr="009A19BB">
        <w:rPr>
          <w:b/>
          <w:noProof/>
          <w:color w:val="333333"/>
        </w:rPr>
        <w:t xml:space="preserve"> o</w:t>
      </w:r>
      <w:r w:rsidR="009A19BB">
        <w:rPr>
          <w:b/>
          <w:noProof/>
          <w:color w:val="333333"/>
        </w:rPr>
        <w:t> </w:t>
      </w:r>
      <w:r w:rsidR="009A19BB" w:rsidRPr="009A19BB">
        <w:rPr>
          <w:b/>
          <w:noProof/>
          <w:color w:val="333333"/>
        </w:rPr>
        <w:t>szc</w:t>
      </w:r>
      <w:r w:rsidRPr="009A19BB">
        <w:rPr>
          <w:b/>
          <w:noProof/>
          <w:color w:val="333333"/>
        </w:rPr>
        <w:t>zególnym znaczeniu dla bezpieczeństwa lub porządku publicznego Unii</w:t>
      </w:r>
    </w:p>
    <w:bookmarkEnd w:id="7"/>
    <w:p w14:paraId="7DFE0975" w14:textId="006E9D2B" w:rsidR="009E7623" w:rsidRPr="009A19BB" w:rsidRDefault="00845A15" w:rsidP="002A7CE4">
      <w:pPr>
        <w:pStyle w:val="Point0"/>
        <w:rPr>
          <w:noProof/>
        </w:rPr>
      </w:pPr>
      <w:r w:rsidRPr="009A19BB">
        <w:rPr>
          <w:noProof/>
        </w:rPr>
        <w:t>1.</w:t>
      </w:r>
      <w:r w:rsidRPr="009A19BB">
        <w:rPr>
          <w:noProof/>
        </w:rPr>
        <w:tab/>
        <w:t>Produkty wymienione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zał</w:t>
      </w:r>
      <w:r w:rsidRPr="009A19BB">
        <w:rPr>
          <w:noProof/>
        </w:rPr>
        <w:t>ączniku I do rozporządzenia Parlamentu Europejskiego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y (UE) 2021/821 (wspólny wykaz produktów podwójnego zastosowania podlegających kontroli wywozu)</w:t>
      </w:r>
    </w:p>
    <w:p w14:paraId="15BDBE33" w14:textId="416FC33F" w:rsidR="00870A96" w:rsidRPr="009A19BB" w:rsidRDefault="00845A15" w:rsidP="002A7CE4">
      <w:pPr>
        <w:pStyle w:val="Point0"/>
        <w:rPr>
          <w:noProof/>
        </w:rPr>
      </w:pPr>
      <w:r w:rsidRPr="009A19BB">
        <w:rPr>
          <w:noProof/>
        </w:rPr>
        <w:t>2.</w:t>
      </w:r>
      <w:r w:rsidRPr="009A19BB">
        <w:rPr>
          <w:noProof/>
        </w:rPr>
        <w:tab/>
        <w:t>Sprzęt objęty wspólnym stanowiskiem Rady 2008/944/WPZiB określającym wspólne zasady kontroli wywozu technologii wojskowych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zętu wojskowego (wspólny wykaz uzbrojenia Unii Europejskiej)</w:t>
      </w:r>
    </w:p>
    <w:p w14:paraId="2B366533" w14:textId="4E86A7B1" w:rsidR="00D73266" w:rsidRPr="009A19BB" w:rsidRDefault="00845A15" w:rsidP="002A7CE4">
      <w:pPr>
        <w:pStyle w:val="Point0"/>
        <w:rPr>
          <w:noProof/>
        </w:rPr>
      </w:pPr>
      <w:r w:rsidRPr="009A19BB">
        <w:rPr>
          <w:noProof/>
        </w:rPr>
        <w:t>3.</w:t>
      </w:r>
      <w:r w:rsidRPr="009A19BB">
        <w:rPr>
          <w:noProof/>
        </w:rPr>
        <w:tab/>
        <w:t>Następujące obszary technologii krytycznych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pun</w:t>
      </w:r>
      <w:r w:rsidRPr="009A19BB">
        <w:rPr>
          <w:noProof/>
        </w:rPr>
        <w:t>ktu widzenia bezpieczeństwa gospodarczego UE uwzględnione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zał</w:t>
      </w:r>
      <w:r w:rsidRPr="009A19BB">
        <w:rPr>
          <w:noProof/>
        </w:rPr>
        <w:t>ączniku do zalecenia Komisji (UE) 2023/2113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dni</w:t>
      </w:r>
      <w:r w:rsidRPr="009A19BB">
        <w:rPr>
          <w:noProof/>
        </w:rPr>
        <w:t>a 3 października 2023</w:t>
      </w:r>
      <w:r w:rsidR="009A19BB" w:rsidRPr="009A19BB">
        <w:rPr>
          <w:noProof/>
        </w:rPr>
        <w:t> </w:t>
      </w:r>
      <w:r w:rsidRPr="009A19BB">
        <w:rPr>
          <w:noProof/>
        </w:rPr>
        <w:t>r.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spr</w:t>
      </w:r>
      <w:r w:rsidRPr="009A19BB">
        <w:rPr>
          <w:noProof/>
        </w:rPr>
        <w:t>awie obszarów technologii krytycznych dla bezpieczeństwa gospodarczego UE, na potrzeby pogłębionej oceny ryzyka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udz</w:t>
      </w:r>
      <w:r w:rsidRPr="009A19BB">
        <w:rPr>
          <w:noProof/>
        </w:rPr>
        <w:t>iałem państw członkowskich:</w:t>
      </w:r>
    </w:p>
    <w:p w14:paraId="60D5119E" w14:textId="24DF0E49" w:rsidR="009C2916" w:rsidRPr="009A19BB" w:rsidRDefault="008412DB" w:rsidP="008412DB">
      <w:pPr>
        <w:pStyle w:val="Point1"/>
        <w:rPr>
          <w:noProof/>
        </w:rPr>
      </w:pPr>
      <w:r w:rsidRPr="009A19BB">
        <w:rPr>
          <w:noProof/>
        </w:rPr>
        <w:t>a.</w:t>
      </w:r>
      <w:r w:rsidRPr="009A19BB">
        <w:rPr>
          <w:noProof/>
        </w:rPr>
        <w:tab/>
        <w:t>Technologie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zaawansowanych półprzewodników:</w:t>
      </w:r>
    </w:p>
    <w:p w14:paraId="6911CE29" w14:textId="1F87EC08" w:rsidR="009C2916" w:rsidRPr="009A19BB" w:rsidRDefault="009C2916" w:rsidP="00CA1388">
      <w:pPr>
        <w:pStyle w:val="Bullet3"/>
        <w:numPr>
          <w:ilvl w:val="0"/>
          <w:numId w:val="7"/>
        </w:numPr>
        <w:rPr>
          <w:noProof/>
        </w:rPr>
      </w:pPr>
      <w:r w:rsidRPr="009A19BB">
        <w:rPr>
          <w:noProof/>
        </w:rPr>
        <w:t>mikroelektronika,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procesory</w:t>
      </w:r>
    </w:p>
    <w:p w14:paraId="6B1EED15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technologie fotoniczne (w tym lasery wysokoenergetyczne)</w:t>
      </w:r>
    </w:p>
    <w:p w14:paraId="1C7A37F1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czipy wysokiej częstotliwości</w:t>
      </w:r>
    </w:p>
    <w:p w14:paraId="17C0CF07" w14:textId="58A54D5B" w:rsidR="009C2916" w:rsidRPr="009A19BB" w:rsidRDefault="009C2916" w:rsidP="00CA00F7">
      <w:pPr>
        <w:pStyle w:val="Bullet3"/>
        <w:rPr>
          <w:noProof/>
        </w:rPr>
      </w:pPr>
      <w:r w:rsidRPr="009A19BB">
        <w:rPr>
          <w:noProof/>
        </w:rPr>
        <w:t>sprzęt do produkcji półprzewodników</w:t>
      </w:r>
      <w:r w:rsidR="009A19BB" w:rsidRPr="009A19BB">
        <w:rPr>
          <w:noProof/>
        </w:rPr>
        <w:t xml:space="preserve"> o</w:t>
      </w:r>
      <w:r w:rsidR="009A19BB">
        <w:rPr>
          <w:noProof/>
        </w:rPr>
        <w:t> </w:t>
      </w:r>
      <w:r w:rsidR="009A19BB" w:rsidRPr="009A19BB">
        <w:rPr>
          <w:noProof/>
        </w:rPr>
        <w:t>bar</w:t>
      </w:r>
      <w:r w:rsidRPr="009A19BB">
        <w:rPr>
          <w:noProof/>
        </w:rPr>
        <w:t>dzo zaawansowanych rozmiarach węzłów</w:t>
      </w:r>
    </w:p>
    <w:p w14:paraId="5AD2F50A" w14:textId="01EADA00" w:rsidR="009C2916" w:rsidRPr="009A19BB" w:rsidRDefault="008412DB" w:rsidP="008412DB">
      <w:pPr>
        <w:pStyle w:val="Point1"/>
        <w:rPr>
          <w:noProof/>
        </w:rPr>
      </w:pPr>
      <w:r w:rsidRPr="009A19BB">
        <w:rPr>
          <w:noProof/>
        </w:rPr>
        <w:t>b.</w:t>
      </w:r>
      <w:r w:rsidRPr="009A19BB">
        <w:rPr>
          <w:noProof/>
        </w:rPr>
        <w:tab/>
        <w:t>Technologie sztucznej inteligencji:</w:t>
      </w:r>
    </w:p>
    <w:p w14:paraId="6A0F74FF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obliczenia wielkiej skali</w:t>
      </w:r>
    </w:p>
    <w:p w14:paraId="6E0837D8" w14:textId="6F09A7AB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przetwarzanie danych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chm</w:t>
      </w:r>
      <w:r w:rsidRPr="009A19BB">
        <w:rPr>
          <w:noProof/>
        </w:rPr>
        <w:t>urze i na obrzeżach sieci</w:t>
      </w:r>
    </w:p>
    <w:p w14:paraId="4C53582C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technologie analizy danych</w:t>
      </w:r>
    </w:p>
    <w:p w14:paraId="346A6FD2" w14:textId="77777777" w:rsidR="009C2916" w:rsidRPr="009A19BB" w:rsidRDefault="009C2916" w:rsidP="00E209ED">
      <w:pPr>
        <w:pStyle w:val="Bullet3"/>
        <w:rPr>
          <w:noProof/>
        </w:rPr>
      </w:pPr>
      <w:r w:rsidRPr="009A19BB">
        <w:rPr>
          <w:noProof/>
        </w:rPr>
        <w:t>komputerowe rozpoznawanie obrazów, przetwarzanie języka, rozpoznawanie obiektów</w:t>
      </w:r>
    </w:p>
    <w:p w14:paraId="72508AFA" w14:textId="78F85ACE" w:rsidR="009C2916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c.</w:t>
      </w:r>
      <w:r w:rsidRPr="009A19BB">
        <w:rPr>
          <w:noProof/>
        </w:rPr>
        <w:tab/>
        <w:t>Technologie kwantowe:</w:t>
      </w:r>
    </w:p>
    <w:p w14:paraId="16F081CC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obliczenia kwantowe</w:t>
      </w:r>
    </w:p>
    <w:p w14:paraId="23B03505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kryptografia kwantowa</w:t>
      </w:r>
    </w:p>
    <w:p w14:paraId="39EEC65A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komunikacja kwantowa</w:t>
      </w:r>
    </w:p>
    <w:p w14:paraId="183C33C1" w14:textId="0D95852C" w:rsidR="009C2916" w:rsidRPr="009A19BB" w:rsidRDefault="009C2916" w:rsidP="0066433C">
      <w:pPr>
        <w:pStyle w:val="Bullet3"/>
        <w:rPr>
          <w:noProof/>
        </w:rPr>
      </w:pPr>
      <w:r w:rsidRPr="009A19BB">
        <w:rPr>
          <w:noProof/>
        </w:rPr>
        <w:t>wykrywanie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rad</w:t>
      </w:r>
      <w:r w:rsidRPr="009A19BB">
        <w:rPr>
          <w:noProof/>
        </w:rPr>
        <w:t>ary kwantowe</w:t>
      </w:r>
    </w:p>
    <w:p w14:paraId="589A2A69" w14:textId="35010062" w:rsidR="009C2916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d.</w:t>
      </w:r>
      <w:r w:rsidRPr="009A19BB">
        <w:rPr>
          <w:noProof/>
        </w:rPr>
        <w:tab/>
        <w:t>Biotechnologie:</w:t>
      </w:r>
    </w:p>
    <w:p w14:paraId="2D59D9EF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techniki modyfikacji genetycznej</w:t>
      </w:r>
    </w:p>
    <w:p w14:paraId="6B0A6CDB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nowe techniki genomowe</w:t>
      </w:r>
    </w:p>
    <w:p w14:paraId="09FEEEE5" w14:textId="77777777" w:rsidR="009C2916" w:rsidRPr="009A19BB" w:rsidRDefault="009C2916" w:rsidP="003423BC">
      <w:pPr>
        <w:pStyle w:val="Bullet3"/>
        <w:rPr>
          <w:noProof/>
        </w:rPr>
      </w:pPr>
      <w:r w:rsidRPr="009A19BB">
        <w:rPr>
          <w:noProof/>
        </w:rPr>
        <w:t>nadpisywanie genów</w:t>
      </w:r>
    </w:p>
    <w:p w14:paraId="141F78DF" w14:textId="77777777" w:rsidR="009C2916" w:rsidRPr="009A19BB" w:rsidRDefault="009C2916" w:rsidP="0066433C">
      <w:pPr>
        <w:pStyle w:val="Bullet3"/>
        <w:rPr>
          <w:noProof/>
        </w:rPr>
      </w:pPr>
      <w:r w:rsidRPr="009A19BB">
        <w:rPr>
          <w:noProof/>
        </w:rPr>
        <w:t>biologia syntetyczna</w:t>
      </w:r>
    </w:p>
    <w:p w14:paraId="166CC6E6" w14:textId="08FBD3B9" w:rsidR="009C2916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e.</w:t>
      </w:r>
      <w:r w:rsidRPr="009A19BB">
        <w:rPr>
          <w:noProof/>
        </w:rPr>
        <w:tab/>
        <w:t>Zaawansowana łączność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naw</w:t>
      </w:r>
      <w:r w:rsidRPr="009A19BB">
        <w:rPr>
          <w:noProof/>
        </w:rPr>
        <w:t xml:space="preserve">igacja oraz zaawansowane technologie cyfrowe: </w:t>
      </w:r>
    </w:p>
    <w:p w14:paraId="66172EC2" w14:textId="0CCCB59F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bezpieczna komunikacja cyfrowa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łąc</w:t>
      </w:r>
      <w:r w:rsidRPr="009A19BB">
        <w:rPr>
          <w:noProof/>
        </w:rPr>
        <w:t>zność cyfrowa, np. RAN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Ope</w:t>
      </w:r>
      <w:r w:rsidRPr="009A19BB">
        <w:rPr>
          <w:noProof/>
        </w:rPr>
        <w:t xml:space="preserve">n RAN (sieć dostępu radiowego) oraz 6G </w:t>
      </w:r>
    </w:p>
    <w:p w14:paraId="2269B413" w14:textId="79056624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technologie bezpieczeństwa cybernetycznego,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systemy cyberinwigilacji, bezpieczeństwa oraz wykrywania włamań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zap</w:t>
      </w:r>
      <w:r w:rsidRPr="009A19BB">
        <w:rPr>
          <w:noProof/>
        </w:rPr>
        <w:t xml:space="preserve">obiegania włamaniom, kryminalistyka cyfrowa </w:t>
      </w:r>
    </w:p>
    <w:p w14:paraId="4C2E1072" w14:textId="06EA547A" w:rsidR="003402CF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internet rzeczy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rze</w:t>
      </w:r>
      <w:r w:rsidRPr="009A19BB">
        <w:rPr>
          <w:noProof/>
        </w:rPr>
        <w:t xml:space="preserve">czywistość wirtualna </w:t>
      </w:r>
    </w:p>
    <w:p w14:paraId="1E39D390" w14:textId="2F39E41C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technologie rozproszonego rejestru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toż</w:t>
      </w:r>
      <w:r w:rsidRPr="009A19BB">
        <w:rPr>
          <w:noProof/>
        </w:rPr>
        <w:t xml:space="preserve">samości cyfrowej </w:t>
      </w:r>
    </w:p>
    <w:p w14:paraId="2B75EF3D" w14:textId="75293F48" w:rsidR="00867CE1" w:rsidRPr="009A19BB" w:rsidRDefault="00867CE1" w:rsidP="0066433C">
      <w:pPr>
        <w:pStyle w:val="Bullet3"/>
        <w:rPr>
          <w:noProof/>
        </w:rPr>
      </w:pPr>
      <w:r w:rsidRPr="009A19BB">
        <w:rPr>
          <w:noProof/>
        </w:rPr>
        <w:t>technologie naprowadzania, nawigacji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kon</w:t>
      </w:r>
      <w:r w:rsidRPr="009A19BB">
        <w:rPr>
          <w:noProof/>
        </w:rPr>
        <w:t>troli,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elektronika lotnicza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poz</w:t>
      </w:r>
      <w:r w:rsidRPr="009A19BB">
        <w:rPr>
          <w:noProof/>
        </w:rPr>
        <w:t>ycjonowanie na morzu</w:t>
      </w:r>
    </w:p>
    <w:p w14:paraId="6667CC47" w14:textId="1C95FCC9" w:rsidR="009C2916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f.</w:t>
      </w:r>
      <w:r w:rsidRPr="009A19BB">
        <w:rPr>
          <w:noProof/>
        </w:rPr>
        <w:tab/>
        <w:t xml:space="preserve">Zaawansowane technologie detekcji: </w:t>
      </w:r>
    </w:p>
    <w:p w14:paraId="3714A6D2" w14:textId="03D47D64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detekcja elektrooptyczna, radarowa, chemiczna, biologiczna, radiologiczna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roz</w:t>
      </w:r>
      <w:r w:rsidRPr="009A19BB">
        <w:rPr>
          <w:noProof/>
        </w:rPr>
        <w:t xml:space="preserve">proszona </w:t>
      </w:r>
    </w:p>
    <w:p w14:paraId="2E5096C3" w14:textId="77777777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 xml:space="preserve">magnetometry, mierniki gradientu magnetycznego </w:t>
      </w:r>
    </w:p>
    <w:p w14:paraId="64B493D3" w14:textId="77777777" w:rsidR="00E90883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 xml:space="preserve">podwodne czujniki pola elektrycznego </w:t>
      </w:r>
    </w:p>
    <w:p w14:paraId="7E97EF73" w14:textId="1A3590B9" w:rsidR="00867CE1" w:rsidRPr="009A19BB" w:rsidRDefault="00867CE1" w:rsidP="0066433C">
      <w:pPr>
        <w:pStyle w:val="Bullet3"/>
        <w:rPr>
          <w:noProof/>
        </w:rPr>
      </w:pPr>
      <w:r w:rsidRPr="009A19BB">
        <w:rPr>
          <w:noProof/>
        </w:rPr>
        <w:t>grawimetry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mie</w:t>
      </w:r>
      <w:r w:rsidRPr="009A19BB">
        <w:rPr>
          <w:noProof/>
        </w:rPr>
        <w:t>rniki gradientu</w:t>
      </w:r>
    </w:p>
    <w:p w14:paraId="25C9FAE7" w14:textId="7D2A8316" w:rsidR="009C2916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g.</w:t>
      </w:r>
      <w:r w:rsidRPr="009A19BB">
        <w:rPr>
          <w:noProof/>
        </w:rPr>
        <w:tab/>
        <w:t>Technologie kosmiczne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nap</w:t>
      </w:r>
      <w:r w:rsidRPr="009A19BB">
        <w:rPr>
          <w:noProof/>
        </w:rPr>
        <w:t xml:space="preserve">ędowe: </w:t>
      </w:r>
    </w:p>
    <w:p w14:paraId="50AB2797" w14:textId="77777777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 xml:space="preserve">specjalne technologie ukierunkowane na przestrzeń kosmiczną, od poziomu komponentów po systemy </w:t>
      </w:r>
    </w:p>
    <w:p w14:paraId="511AA41F" w14:textId="1B08D6B8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technologie obserwacji przestrzeni kosmicznej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obi</w:t>
      </w:r>
      <w:r w:rsidRPr="009A19BB">
        <w:rPr>
          <w:noProof/>
        </w:rPr>
        <w:t>ektów kosmicznych oraz obserwacji Ziemi</w:t>
      </w:r>
    </w:p>
    <w:p w14:paraId="0617120E" w14:textId="29FDF8B9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kosmiczne pozycjonowanie, nawigacja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syn</w:t>
      </w:r>
      <w:r w:rsidRPr="009A19BB">
        <w:rPr>
          <w:noProof/>
        </w:rPr>
        <w:t xml:space="preserve">chronizacja czasu (PNT) </w:t>
      </w:r>
    </w:p>
    <w:p w14:paraId="3E1C5FEE" w14:textId="09A7F983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bezpieczna komunikacja,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łączność na niskiej orbicie okołoziemskiej (LEO) </w:t>
      </w:r>
    </w:p>
    <w:p w14:paraId="6198F3D1" w14:textId="3ACA4C96" w:rsidR="00867CE1" w:rsidRPr="009A19BB" w:rsidRDefault="00867CE1" w:rsidP="0066433C">
      <w:pPr>
        <w:pStyle w:val="Bullet3"/>
        <w:rPr>
          <w:noProof/>
        </w:rPr>
      </w:pPr>
      <w:r w:rsidRPr="009A19BB">
        <w:rPr>
          <w:noProof/>
        </w:rPr>
        <w:t>technologie napędowe,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napęd hipersoniczny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kom</w:t>
      </w:r>
      <w:r w:rsidRPr="009A19BB">
        <w:rPr>
          <w:noProof/>
        </w:rPr>
        <w:t>ponenty do celów wojskowych</w:t>
      </w:r>
    </w:p>
    <w:p w14:paraId="43CE8845" w14:textId="20DFE888" w:rsidR="006A23D4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h.</w:t>
      </w:r>
      <w:r w:rsidRPr="009A19BB">
        <w:rPr>
          <w:noProof/>
        </w:rPr>
        <w:tab/>
        <w:t xml:space="preserve">Technologie energetyczne: </w:t>
      </w:r>
    </w:p>
    <w:p w14:paraId="654E95C2" w14:textId="77299E2C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technologie syntezy jądrowej, reaktory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wyt</w:t>
      </w:r>
      <w:r w:rsidRPr="009A19BB">
        <w:rPr>
          <w:noProof/>
        </w:rPr>
        <w:t>warzanie energii, technologie konwersji radiologicznej/wzbogacenia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rec</w:t>
      </w:r>
      <w:r w:rsidRPr="009A19BB">
        <w:rPr>
          <w:noProof/>
        </w:rPr>
        <w:t xml:space="preserve">yklingu radiologicznego </w:t>
      </w:r>
    </w:p>
    <w:p w14:paraId="12D41363" w14:textId="028F0C3F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wodór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now</w:t>
      </w:r>
      <w:r w:rsidRPr="009A19BB">
        <w:rPr>
          <w:noProof/>
        </w:rPr>
        <w:t xml:space="preserve">e paliwa </w:t>
      </w:r>
    </w:p>
    <w:p w14:paraId="6CF8839F" w14:textId="02AE2477" w:rsidR="00E36985" w:rsidRPr="009A19BB" w:rsidRDefault="00867CE1" w:rsidP="003423BC">
      <w:pPr>
        <w:pStyle w:val="Bullet3"/>
        <w:rPr>
          <w:noProof/>
        </w:rPr>
      </w:pPr>
      <w:r w:rsidRPr="009A19BB">
        <w:rPr>
          <w:noProof/>
        </w:rPr>
        <w:t>technologie neutralne emisyjnie,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fotowoltaika </w:t>
      </w:r>
    </w:p>
    <w:p w14:paraId="14DE4F9E" w14:textId="4D51EB26" w:rsidR="00867CE1" w:rsidRPr="009A19BB" w:rsidRDefault="00867CE1" w:rsidP="0066433C">
      <w:pPr>
        <w:pStyle w:val="Bullet3"/>
        <w:rPr>
          <w:noProof/>
        </w:rPr>
      </w:pPr>
      <w:r w:rsidRPr="009A19BB">
        <w:rPr>
          <w:noProof/>
        </w:rPr>
        <w:t>inteligentne sieci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mag</w:t>
      </w:r>
      <w:r w:rsidRPr="009A19BB">
        <w:rPr>
          <w:noProof/>
        </w:rPr>
        <w:t>azynowanie energii, baterie</w:t>
      </w:r>
    </w:p>
    <w:p w14:paraId="2FA126C2" w14:textId="06962A69" w:rsidR="006A23D4" w:rsidRPr="009A19BB" w:rsidRDefault="00FE6FB0" w:rsidP="00FE6FB0">
      <w:pPr>
        <w:pStyle w:val="Point1"/>
        <w:rPr>
          <w:noProof/>
        </w:rPr>
      </w:pPr>
      <w:r w:rsidRPr="009A19BB">
        <w:rPr>
          <w:noProof/>
        </w:rPr>
        <w:t>i.</w:t>
      </w:r>
      <w:r w:rsidRPr="009A19BB">
        <w:rPr>
          <w:noProof/>
        </w:rPr>
        <w:tab/>
        <w:t>Robotyka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sys</w:t>
      </w:r>
      <w:r w:rsidRPr="009A19BB">
        <w:rPr>
          <w:noProof/>
        </w:rPr>
        <w:t>temy autonomiczne:</w:t>
      </w:r>
    </w:p>
    <w:p w14:paraId="5458A975" w14:textId="5E452349" w:rsidR="00E36985" w:rsidRPr="009A19BB" w:rsidRDefault="002476A7" w:rsidP="003423BC">
      <w:pPr>
        <w:pStyle w:val="Bullet3"/>
        <w:rPr>
          <w:noProof/>
        </w:rPr>
      </w:pPr>
      <w:r w:rsidRPr="009A19BB">
        <w:rPr>
          <w:noProof/>
        </w:rPr>
        <w:t>drony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poj</w:t>
      </w:r>
      <w:r w:rsidRPr="009A19BB">
        <w:rPr>
          <w:noProof/>
        </w:rPr>
        <w:t>azdy (powietrzne, lądowe, nawodne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pod</w:t>
      </w:r>
      <w:r w:rsidRPr="009A19BB">
        <w:rPr>
          <w:noProof/>
        </w:rPr>
        <w:t xml:space="preserve">wodne) </w:t>
      </w:r>
    </w:p>
    <w:p w14:paraId="6869C432" w14:textId="6AEE9BA3" w:rsidR="00E36985" w:rsidRPr="009A19BB" w:rsidRDefault="002476A7" w:rsidP="003423BC">
      <w:pPr>
        <w:pStyle w:val="Bullet3"/>
        <w:rPr>
          <w:noProof/>
        </w:rPr>
      </w:pPr>
      <w:r w:rsidRPr="009A19BB">
        <w:rPr>
          <w:noProof/>
        </w:rPr>
        <w:t>roboty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sys</w:t>
      </w:r>
      <w:r w:rsidRPr="009A19BB">
        <w:rPr>
          <w:noProof/>
        </w:rPr>
        <w:t xml:space="preserve">temy precyzyjne sterowane robotami </w:t>
      </w:r>
    </w:p>
    <w:p w14:paraId="3C989213" w14:textId="77777777" w:rsidR="00E36985" w:rsidRPr="009A19BB" w:rsidRDefault="002476A7" w:rsidP="003423BC">
      <w:pPr>
        <w:pStyle w:val="Bullet3"/>
        <w:rPr>
          <w:noProof/>
        </w:rPr>
      </w:pPr>
      <w:r w:rsidRPr="009A19BB">
        <w:rPr>
          <w:noProof/>
        </w:rPr>
        <w:t>egzoszkielety</w:t>
      </w:r>
    </w:p>
    <w:p w14:paraId="4428A98F" w14:textId="77777777" w:rsidR="002476A7" w:rsidRPr="009A19BB" w:rsidRDefault="002476A7" w:rsidP="0066433C">
      <w:pPr>
        <w:pStyle w:val="Bullet3"/>
        <w:rPr>
          <w:noProof/>
        </w:rPr>
      </w:pPr>
      <w:r w:rsidRPr="009A19BB">
        <w:rPr>
          <w:noProof/>
        </w:rPr>
        <w:t>systemy wspomagane sztuczną inteligencją</w:t>
      </w:r>
    </w:p>
    <w:p w14:paraId="66FDB7CD" w14:textId="23E698E9" w:rsidR="00260D9F" w:rsidRPr="009A19BB" w:rsidRDefault="00115BA3" w:rsidP="00115BA3">
      <w:pPr>
        <w:pStyle w:val="Point1"/>
        <w:rPr>
          <w:noProof/>
        </w:rPr>
      </w:pPr>
      <w:r w:rsidRPr="009A19BB">
        <w:rPr>
          <w:noProof/>
        </w:rPr>
        <w:t>j.</w:t>
      </w:r>
      <w:r w:rsidRPr="009A19BB">
        <w:rPr>
          <w:noProof/>
        </w:rPr>
        <w:tab/>
        <w:t>Zaawansowane materiały, technologie produkcji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rec</w:t>
      </w:r>
      <w:r w:rsidRPr="009A19BB">
        <w:rPr>
          <w:noProof/>
        </w:rPr>
        <w:t>yklingu:</w:t>
      </w:r>
    </w:p>
    <w:p w14:paraId="2E81200C" w14:textId="21E23BC2" w:rsidR="00E36985" w:rsidRPr="009A19BB" w:rsidRDefault="00E36985" w:rsidP="003423BC">
      <w:pPr>
        <w:pStyle w:val="Bullet3"/>
        <w:rPr>
          <w:noProof/>
        </w:rPr>
      </w:pPr>
      <w:r w:rsidRPr="009A19BB">
        <w:rPr>
          <w:noProof/>
        </w:rPr>
        <w:t>technologie wytwarzania nanomateriałów, materiałów inteligentnych, zaawansowanych materiałów ceramicznych, materiałów niewykrywalnych, materiałów bezpiecznych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zró</w:t>
      </w:r>
      <w:r w:rsidRPr="009A19BB">
        <w:rPr>
          <w:noProof/>
        </w:rPr>
        <w:t xml:space="preserve">wnoważonych już na etapie projektowania </w:t>
      </w:r>
    </w:p>
    <w:p w14:paraId="2AB72768" w14:textId="075F7D18" w:rsidR="00E36985" w:rsidRPr="009A19BB" w:rsidRDefault="002476A7" w:rsidP="003423BC">
      <w:pPr>
        <w:pStyle w:val="Bullet3"/>
        <w:rPr>
          <w:noProof/>
        </w:rPr>
      </w:pPr>
      <w:r w:rsidRPr="009A19BB">
        <w:rPr>
          <w:noProof/>
        </w:rPr>
        <w:t>obróbka przyrostowa, także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ter</w:t>
      </w:r>
      <w:r w:rsidRPr="009A19BB">
        <w:rPr>
          <w:noProof/>
        </w:rPr>
        <w:t xml:space="preserve">enie </w:t>
      </w:r>
    </w:p>
    <w:p w14:paraId="4F6F795A" w14:textId="302FA489" w:rsidR="00E36985" w:rsidRPr="009A19BB" w:rsidRDefault="002476A7" w:rsidP="003423BC">
      <w:pPr>
        <w:pStyle w:val="Bullet3"/>
        <w:rPr>
          <w:noProof/>
        </w:rPr>
      </w:pPr>
      <w:r w:rsidRPr="009A19BB">
        <w:rPr>
          <w:noProof/>
        </w:rPr>
        <w:t xml:space="preserve">produkcja </w:t>
      </w:r>
      <w:r w:rsidR="009A19BB" w:rsidRPr="009A19BB">
        <w:rPr>
          <w:noProof/>
        </w:rPr>
        <w:t>mikroprecyz</w:t>
      </w:r>
      <w:r w:rsidR="009A19BB">
        <w:rPr>
          <w:noProof/>
        </w:rPr>
        <w:t>y</w:t>
      </w:r>
      <w:r w:rsidR="009A19BB" w:rsidRPr="009A19BB">
        <w:rPr>
          <w:noProof/>
        </w:rPr>
        <w:t>jna</w:t>
      </w:r>
      <w:r w:rsidRPr="009A19BB">
        <w:rPr>
          <w:noProof/>
        </w:rPr>
        <w:t xml:space="preserve"> sterowana cyfrowo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obr</w:t>
      </w:r>
      <w:r w:rsidRPr="009A19BB">
        <w:rPr>
          <w:noProof/>
        </w:rPr>
        <w:t xml:space="preserve">óbka laserowa/spawanie laserowe na małą skalę </w:t>
      </w:r>
    </w:p>
    <w:p w14:paraId="028F50DC" w14:textId="3CEFF9CA" w:rsidR="002476A7" w:rsidRPr="009A19BB" w:rsidRDefault="002476A7" w:rsidP="0066433C">
      <w:pPr>
        <w:pStyle w:val="Bullet3"/>
        <w:rPr>
          <w:noProof/>
        </w:rPr>
      </w:pPr>
      <w:r w:rsidRPr="009A19BB">
        <w:rPr>
          <w:noProof/>
        </w:rPr>
        <w:t>technologie wydobycia, przetwarzania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rec</w:t>
      </w:r>
      <w:r w:rsidRPr="009A19BB">
        <w:rPr>
          <w:noProof/>
        </w:rPr>
        <w:t>yklingu surowców krytycznych (w tym ekstrakcja hydrometalurgiczna, bioługowanie, filtracja oparta na nanotechnologii, przetwarzanie elektrochemiczne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cza</w:t>
      </w:r>
      <w:r w:rsidRPr="009A19BB">
        <w:rPr>
          <w:noProof/>
        </w:rPr>
        <w:t>rna masa)</w:t>
      </w:r>
    </w:p>
    <w:p w14:paraId="4F1DAF42" w14:textId="77C726AC" w:rsidR="0012180F" w:rsidRPr="009A19BB" w:rsidRDefault="009C6A69" w:rsidP="009C6A69">
      <w:pPr>
        <w:pStyle w:val="Point0"/>
        <w:rPr>
          <w:noProof/>
        </w:rPr>
      </w:pPr>
      <w:r w:rsidRPr="009A19BB">
        <w:rPr>
          <w:noProof/>
        </w:rPr>
        <w:t>4.</w:t>
      </w:r>
      <w:r w:rsidRPr="009A19BB">
        <w:rPr>
          <w:noProof/>
        </w:rPr>
        <w:tab/>
        <w:t>Produkty lecznicze</w:t>
      </w:r>
      <w:r w:rsidR="009A19BB" w:rsidRPr="009A19BB">
        <w:rPr>
          <w:noProof/>
        </w:rPr>
        <w:t xml:space="preserve"> o</w:t>
      </w:r>
      <w:r w:rsidR="009A19BB">
        <w:rPr>
          <w:noProof/>
        </w:rPr>
        <w:t> </w:t>
      </w:r>
      <w:r w:rsidR="009A19BB" w:rsidRPr="009A19BB">
        <w:rPr>
          <w:noProof/>
        </w:rPr>
        <w:t>kry</w:t>
      </w:r>
      <w:r w:rsidRPr="009A19BB">
        <w:rPr>
          <w:noProof/>
        </w:rPr>
        <w:t>tycznym znaczeniu wymienione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wyk</w:t>
      </w:r>
      <w:r w:rsidRPr="009A19BB">
        <w:rPr>
          <w:noProof/>
        </w:rPr>
        <w:t>azie: produkty lecznicze stosowane</w:t>
      </w:r>
      <w:r w:rsidR="009A19BB" w:rsidRPr="009A19BB">
        <w:rPr>
          <w:noProof/>
        </w:rPr>
        <w:t xml:space="preserve"> u</w:t>
      </w:r>
      <w:r w:rsidR="009A19BB">
        <w:rPr>
          <w:noProof/>
        </w:rPr>
        <w:t> </w:t>
      </w:r>
      <w:r w:rsidR="009A19BB" w:rsidRPr="009A19BB">
        <w:rPr>
          <w:noProof/>
        </w:rPr>
        <w:t>lud</w:t>
      </w:r>
      <w:r w:rsidRPr="009A19BB">
        <w:rPr>
          <w:noProof/>
        </w:rPr>
        <w:t>zi, które mają zasadnicze znaczenie dla właściwego funkcjonowania systemu opieki zdrowotnej w UE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któ</w:t>
      </w:r>
      <w:r w:rsidRPr="009A19BB">
        <w:rPr>
          <w:noProof/>
        </w:rPr>
        <w:t>rych niedobór doprowadziłby do przerwania leczenia,</w:t>
      </w:r>
      <w:r w:rsidR="009A19BB" w:rsidRPr="009A19BB">
        <w:rPr>
          <w:noProof/>
        </w:rPr>
        <w:t xml:space="preserve"> a</w:t>
      </w:r>
      <w:r w:rsidR="009A19BB">
        <w:rPr>
          <w:noProof/>
        </w:rPr>
        <w:t> </w:t>
      </w:r>
      <w:r w:rsidR="009A19BB" w:rsidRPr="009A19BB">
        <w:rPr>
          <w:noProof/>
        </w:rPr>
        <w:t>tym</w:t>
      </w:r>
      <w:r w:rsidRPr="009A19BB">
        <w:rPr>
          <w:noProof/>
        </w:rPr>
        <w:t xml:space="preserve"> samym do poważnych szkód dla pacjentów, wymienione w </w:t>
      </w:r>
      <w:hyperlink r:id="rId63" w:anchor="ema-inpage-item-64278" w:history="1">
        <w:r w:rsidRPr="009A19BB">
          <w:rPr>
            <w:rStyle w:val="Hyperlink"/>
            <w:noProof/>
          </w:rPr>
          <w:t>unijnym wykazie produktów leczniczych</w:t>
        </w:r>
        <w:r w:rsidR="009A19BB" w:rsidRPr="009A19BB">
          <w:rPr>
            <w:rStyle w:val="Hyperlink"/>
            <w:noProof/>
          </w:rPr>
          <w:t xml:space="preserve"> o</w:t>
        </w:r>
        <w:r w:rsidR="009A19BB">
          <w:rPr>
            <w:rStyle w:val="Hyperlink"/>
            <w:noProof/>
          </w:rPr>
          <w:t> </w:t>
        </w:r>
        <w:r w:rsidR="009A19BB" w:rsidRPr="009A19BB">
          <w:rPr>
            <w:rStyle w:val="Hyperlink"/>
            <w:noProof/>
          </w:rPr>
          <w:t>kry</w:t>
        </w:r>
        <w:r w:rsidRPr="009A19BB">
          <w:rPr>
            <w:rStyle w:val="Hyperlink"/>
            <w:noProof/>
          </w:rPr>
          <w:t>tycznym znaczeniu</w:t>
        </w:r>
      </w:hyperlink>
      <w:r w:rsidR="00866524" w:rsidRPr="009A19BB">
        <w:rPr>
          <w:rStyle w:val="FootnoteReference"/>
          <w:rFonts w:eastAsia="Calibri"/>
          <w:noProof/>
          <w:color w:val="0000FF"/>
          <w:u w:val="single"/>
        </w:rPr>
        <w:footnoteReference w:id="3"/>
      </w:r>
      <w:r w:rsidRPr="009A19BB">
        <w:rPr>
          <w:noProof/>
        </w:rPr>
        <w:t xml:space="preserve">. </w:t>
      </w:r>
    </w:p>
    <w:p w14:paraId="40D95EAE" w14:textId="1579C71A" w:rsidR="0033124D" w:rsidRPr="009A19BB" w:rsidRDefault="009C6A69" w:rsidP="009C6A69">
      <w:pPr>
        <w:pStyle w:val="Point0"/>
        <w:rPr>
          <w:noProof/>
        </w:rPr>
      </w:pPr>
      <w:r w:rsidRPr="009A19BB">
        <w:rPr>
          <w:noProof/>
        </w:rPr>
        <w:t>5.</w:t>
      </w:r>
      <w:r w:rsidRPr="009A19BB">
        <w:rPr>
          <w:noProof/>
        </w:rPr>
        <w:tab/>
        <w:t>Następujące podmioty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dzi</w:t>
      </w:r>
      <w:r w:rsidRPr="009A19BB">
        <w:rPr>
          <w:noProof/>
        </w:rPr>
        <w:t>ałania</w:t>
      </w:r>
      <w:r w:rsidR="009A19BB" w:rsidRPr="009A19BB">
        <w:rPr>
          <w:noProof/>
        </w:rPr>
        <w:t xml:space="preserve"> o</w:t>
      </w:r>
      <w:r w:rsidR="009A19BB">
        <w:rPr>
          <w:noProof/>
        </w:rPr>
        <w:t> </w:t>
      </w:r>
      <w:r w:rsidR="009A19BB" w:rsidRPr="009A19BB">
        <w:rPr>
          <w:noProof/>
        </w:rPr>
        <w:t>kry</w:t>
      </w:r>
      <w:r w:rsidRPr="009A19BB">
        <w:rPr>
          <w:noProof/>
        </w:rPr>
        <w:t>tycznym znaczeniu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obr</w:t>
      </w:r>
      <w:r w:rsidRPr="009A19BB">
        <w:rPr>
          <w:noProof/>
        </w:rPr>
        <w:t>ębie systemu finansowego Unii: kontrahenci centralni</w:t>
      </w:r>
      <w:r w:rsidR="006E7705" w:rsidRPr="009A19BB">
        <w:rPr>
          <w:rStyle w:val="FootnoteReference"/>
          <w:rFonts w:eastAsia="Calibri"/>
          <w:noProof/>
        </w:rPr>
        <w:footnoteReference w:id="4"/>
      </w:r>
      <w:r w:rsidRPr="009A19BB">
        <w:rPr>
          <w:noProof/>
        </w:rPr>
        <w:t>, systemy płatnicze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ins</w:t>
      </w:r>
      <w:r w:rsidRPr="009A19BB">
        <w:rPr>
          <w:noProof/>
        </w:rPr>
        <w:t>tytucje płatnicze</w:t>
      </w:r>
      <w:r w:rsidR="0071147F" w:rsidRPr="009A19BB">
        <w:rPr>
          <w:rStyle w:val="FootnoteReference"/>
          <w:noProof/>
        </w:rPr>
        <w:footnoteReference w:id="5"/>
      </w:r>
      <w:r w:rsidRPr="009A19BB">
        <w:rPr>
          <w:noProof/>
        </w:rPr>
        <w:t>, instytucje pieniądza elektronicznego</w:t>
      </w:r>
      <w:r w:rsidR="0071147F" w:rsidRPr="009A19BB">
        <w:rPr>
          <w:rStyle w:val="FootnoteReference"/>
          <w:rFonts w:eastAsia="Calibri"/>
          <w:noProof/>
        </w:rPr>
        <w:footnoteReference w:id="6"/>
      </w:r>
      <w:r w:rsidRPr="009A19BB">
        <w:rPr>
          <w:noProof/>
        </w:rPr>
        <w:t>, operatorzy rynku</w:t>
      </w:r>
      <w:r w:rsidR="009A19BB" w:rsidRPr="009A19BB">
        <w:rPr>
          <w:noProof/>
        </w:rPr>
        <w:t xml:space="preserve"> i</w:t>
      </w:r>
      <w:r w:rsidR="009A19BB">
        <w:rPr>
          <w:noProof/>
        </w:rPr>
        <w:t> </w:t>
      </w:r>
      <w:r w:rsidR="009A19BB" w:rsidRPr="009A19BB">
        <w:rPr>
          <w:noProof/>
        </w:rPr>
        <w:t>fir</w:t>
      </w:r>
      <w:r w:rsidRPr="009A19BB">
        <w:rPr>
          <w:noProof/>
        </w:rPr>
        <w:t>my inwestycyjne,</w:t>
      </w:r>
      <w:r w:rsidRPr="009A19BB">
        <w:rPr>
          <w:b/>
          <w:noProof/>
        </w:rPr>
        <w:t xml:space="preserve"> </w:t>
      </w:r>
      <w:r w:rsidRPr="009A19BB">
        <w:rPr>
          <w:noProof/>
        </w:rPr>
        <w:t>które prowadzą wielostronne platformy obrotu lub zorganizowane platformy obrotu</w:t>
      </w:r>
      <w:r w:rsidR="0071147F" w:rsidRPr="009A19BB">
        <w:rPr>
          <w:rStyle w:val="FootnoteReference"/>
          <w:rFonts w:eastAsia="Calibri"/>
          <w:noProof/>
        </w:rPr>
        <w:footnoteReference w:id="7"/>
      </w:r>
      <w:r w:rsidRPr="009A19BB">
        <w:rPr>
          <w:noProof/>
        </w:rPr>
        <w:t>, centralne depozyty papierów wartościowych</w:t>
      </w:r>
      <w:r w:rsidR="00692DAC" w:rsidRPr="009A19BB">
        <w:rPr>
          <w:rStyle w:val="FootnoteReference"/>
          <w:rFonts w:eastAsia="Calibri"/>
          <w:noProof/>
        </w:rPr>
        <w:footnoteReference w:id="8"/>
      </w:r>
      <w:r w:rsidRPr="009A19BB">
        <w:rPr>
          <w:noProof/>
        </w:rPr>
        <w:t>, istotni emitenci tokenów powiązanych</w:t>
      </w:r>
      <w:r w:rsidR="009A19BB" w:rsidRPr="009A19BB">
        <w:rPr>
          <w:noProof/>
        </w:rPr>
        <w:t xml:space="preserve"> z</w:t>
      </w:r>
      <w:r w:rsidR="009A19BB">
        <w:rPr>
          <w:noProof/>
        </w:rPr>
        <w:t> </w:t>
      </w:r>
      <w:r w:rsidR="009A19BB" w:rsidRPr="009A19BB">
        <w:rPr>
          <w:noProof/>
        </w:rPr>
        <w:t>akt</w:t>
      </w:r>
      <w:r w:rsidRPr="009A19BB">
        <w:rPr>
          <w:noProof/>
        </w:rPr>
        <w:t>ywami lub tokenów będących e-pieniądzem oraz dostawcy usług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kryptoaktywów prowadzący platformy obrotu kryptoaktywami</w:t>
      </w:r>
      <w:r w:rsidR="00C37034" w:rsidRPr="009A19BB">
        <w:rPr>
          <w:rStyle w:val="FootnoteReference"/>
          <w:rFonts w:eastAsia="Calibri"/>
          <w:noProof/>
        </w:rPr>
        <w:footnoteReference w:id="9"/>
      </w:r>
      <w:r w:rsidRPr="009A19BB">
        <w:rPr>
          <w:noProof/>
        </w:rPr>
        <w:t>, duże instytucje</w:t>
      </w:r>
      <w:r w:rsidR="00970E5B" w:rsidRPr="009A19BB">
        <w:rPr>
          <w:rStyle w:val="FootnoteReference"/>
          <w:rFonts w:eastAsia="Calibri"/>
          <w:noProof/>
        </w:rPr>
        <w:footnoteReference w:id="10"/>
      </w:r>
      <w:r w:rsidRPr="009A19BB">
        <w:rPr>
          <w:noProof/>
        </w:rPr>
        <w:t>, światowi dostawcy specjalistycznych usług</w:t>
      </w:r>
      <w:r w:rsidR="009A19BB" w:rsidRPr="009A19BB">
        <w:rPr>
          <w:noProof/>
        </w:rPr>
        <w:t xml:space="preserve"> w</w:t>
      </w:r>
      <w:r w:rsidR="009A19BB">
        <w:rPr>
          <w:noProof/>
        </w:rPr>
        <w:t> </w:t>
      </w:r>
      <w:r w:rsidR="009A19BB" w:rsidRPr="009A19BB">
        <w:rPr>
          <w:noProof/>
        </w:rPr>
        <w:t>zak</w:t>
      </w:r>
      <w:r w:rsidRPr="009A19BB">
        <w:rPr>
          <w:noProof/>
        </w:rPr>
        <w:t>resie komunikatów finansowych oraz wyznaczeni kluczowi zewnętrzni dostawcy usług ICT</w:t>
      </w:r>
      <w:r w:rsidR="00970E5B" w:rsidRPr="009A19BB">
        <w:rPr>
          <w:rStyle w:val="FootnoteReference"/>
          <w:rFonts w:eastAsia="Calibri"/>
          <w:noProof/>
        </w:rPr>
        <w:footnoteReference w:id="11"/>
      </w:r>
      <w:r w:rsidRPr="009A19BB">
        <w:rPr>
          <w:noProof/>
        </w:rPr>
        <w:t>.</w:t>
      </w:r>
    </w:p>
    <w:sectPr w:rsidR="0033124D" w:rsidRPr="009A19BB" w:rsidSect="00A03EAE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E3F1" w14:textId="77777777" w:rsidR="0086583F" w:rsidRPr="009A19BB" w:rsidRDefault="0086583F" w:rsidP="00455B3D">
      <w:pPr>
        <w:spacing w:before="0" w:after="0"/>
      </w:pPr>
      <w:r w:rsidRPr="009A19BB">
        <w:separator/>
      </w:r>
    </w:p>
  </w:endnote>
  <w:endnote w:type="continuationSeparator" w:id="0">
    <w:p w14:paraId="23B1AB1D" w14:textId="77777777" w:rsidR="0086583F" w:rsidRPr="009A19BB" w:rsidRDefault="0086583F" w:rsidP="00455B3D">
      <w:pPr>
        <w:spacing w:before="0" w:after="0"/>
      </w:pPr>
      <w:r w:rsidRPr="009A19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7615" w14:textId="04D64A5C" w:rsidR="00A03EAE" w:rsidRPr="00A03EAE" w:rsidRDefault="00A03EAE" w:rsidP="00A03EAE">
    <w:pPr>
      <w:pStyle w:val="Footer"/>
      <w:rPr>
        <w:rFonts w:ascii="Arial" w:hAnsi="Arial" w:cs="Arial"/>
        <w:b/>
        <w:sz w:val="48"/>
      </w:rPr>
    </w:pPr>
    <w:r w:rsidRPr="00A03EAE">
      <w:rPr>
        <w:rFonts w:ascii="Arial" w:hAnsi="Arial" w:cs="Arial"/>
        <w:b/>
        <w:sz w:val="48"/>
      </w:rPr>
      <w:t>PL</w:t>
    </w:r>
    <w:r w:rsidRPr="00A03EAE">
      <w:rPr>
        <w:rFonts w:ascii="Arial" w:hAnsi="Arial" w:cs="Arial"/>
        <w:b/>
        <w:sz w:val="48"/>
      </w:rPr>
      <w:tab/>
    </w:r>
    <w:r w:rsidRPr="00A03EAE">
      <w:rPr>
        <w:rFonts w:ascii="Arial" w:hAnsi="Arial" w:cs="Arial"/>
        <w:b/>
        <w:sz w:val="48"/>
      </w:rPr>
      <w:tab/>
    </w:r>
    <w:r w:rsidRPr="00A03EAE">
      <w:tab/>
    </w:r>
    <w:r w:rsidRPr="00A03EAE"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2EFC" w14:textId="316B37B5" w:rsidR="00A03EAE" w:rsidRPr="00A03EAE" w:rsidRDefault="00A03EAE" w:rsidP="00A03EAE">
    <w:pPr>
      <w:pStyle w:val="Footer"/>
      <w:rPr>
        <w:rFonts w:ascii="Arial" w:hAnsi="Arial" w:cs="Arial"/>
        <w:b/>
        <w:sz w:val="48"/>
      </w:rPr>
    </w:pPr>
    <w:r w:rsidRPr="00A03EAE">
      <w:rPr>
        <w:rFonts w:ascii="Arial" w:hAnsi="Arial" w:cs="Arial"/>
        <w:b/>
        <w:sz w:val="48"/>
      </w:rPr>
      <w:t>PL</w:t>
    </w:r>
    <w:r w:rsidRPr="00A03EAE">
      <w:rPr>
        <w:rFonts w:ascii="Arial" w:hAnsi="Arial" w:cs="Arial"/>
        <w:b/>
        <w:sz w:val="48"/>
      </w:rPr>
      <w:tab/>
    </w:r>
    <w:r w:rsidRPr="00A03EAE">
      <w:rPr>
        <w:rFonts w:ascii="Arial" w:hAnsi="Arial" w:cs="Arial"/>
        <w:b/>
        <w:sz w:val="48"/>
      </w:rPr>
      <w:tab/>
    </w:r>
    <w:r w:rsidRPr="00A03EAE">
      <w:tab/>
    </w:r>
    <w:r w:rsidRPr="00A03EAE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D349" w14:textId="77777777" w:rsidR="00A03EAE" w:rsidRPr="00A03EAE" w:rsidRDefault="00A03EAE" w:rsidP="00A03E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1A32" w14:textId="77777777" w:rsidR="00A03EAE" w:rsidRDefault="00A03EA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FCE8" w14:textId="0279C345" w:rsidR="00A03EAE" w:rsidRPr="00A03EAE" w:rsidRDefault="00A03EAE" w:rsidP="00A03EAE">
    <w:pPr>
      <w:pStyle w:val="Footer"/>
      <w:rPr>
        <w:rFonts w:ascii="Arial" w:hAnsi="Arial" w:cs="Arial"/>
        <w:b/>
        <w:sz w:val="48"/>
      </w:rPr>
    </w:pPr>
    <w:r w:rsidRPr="00A03EAE">
      <w:rPr>
        <w:rFonts w:ascii="Arial" w:hAnsi="Arial" w:cs="Arial"/>
        <w:b/>
        <w:sz w:val="48"/>
      </w:rPr>
      <w:t>PL</w:t>
    </w:r>
    <w:r w:rsidRPr="00A03EA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A03EAE">
      <w:tab/>
    </w:r>
    <w:r w:rsidRPr="00A03EAE">
      <w:rPr>
        <w:rFonts w:ascii="Arial" w:hAnsi="Arial" w:cs="Arial"/>
        <w:b/>
        <w:sz w:val="48"/>
      </w:rPr>
      <w:t>PL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CEAF" w14:textId="77777777" w:rsidR="00A03EAE" w:rsidRDefault="00A03EAE" w:rsidP="00A03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E599" w14:textId="77777777" w:rsidR="0086583F" w:rsidRPr="009A19BB" w:rsidRDefault="0086583F" w:rsidP="00455B3D">
      <w:pPr>
        <w:spacing w:before="0" w:after="0"/>
      </w:pPr>
      <w:r w:rsidRPr="009A19BB">
        <w:separator/>
      </w:r>
    </w:p>
  </w:footnote>
  <w:footnote w:type="continuationSeparator" w:id="0">
    <w:p w14:paraId="7D732449" w14:textId="77777777" w:rsidR="0086583F" w:rsidRPr="009A19BB" w:rsidRDefault="0086583F" w:rsidP="00455B3D">
      <w:pPr>
        <w:spacing w:before="0" w:after="0"/>
      </w:pPr>
      <w:r w:rsidRPr="009A19BB">
        <w:continuationSeparator/>
      </w:r>
    </w:p>
  </w:footnote>
  <w:footnote w:id="1">
    <w:p w14:paraId="7E30D24A" w14:textId="2AAD2A75" w:rsidR="00FE50F6" w:rsidRPr="009A19BB" w:rsidRDefault="00FE50F6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W niniejszym załączniku zachowano odniesienie do rozporządzenia (UE) nr 283/2014</w:t>
      </w:r>
      <w:r w:rsidR="009A19BB" w:rsidRPr="009A19BB">
        <w:t xml:space="preserve"> w</w:t>
      </w:r>
      <w:r w:rsidR="009A19BB">
        <w:t> </w:t>
      </w:r>
      <w:r w:rsidR="009A19BB" w:rsidRPr="009A19BB">
        <w:t>świ</w:t>
      </w:r>
      <w:r w:rsidRPr="009A19BB">
        <w:t>etle art. 27 ust. 2 rozporządzenia (UE) 2021/1153 ustanawiającego instrument „Łącząc Europę”</w:t>
      </w:r>
      <w:r w:rsidR="009A19BB" w:rsidRPr="009A19BB">
        <w:t xml:space="preserve"> i</w:t>
      </w:r>
      <w:r w:rsidR="009A19BB">
        <w:t> </w:t>
      </w:r>
      <w:r w:rsidR="009A19BB" w:rsidRPr="009A19BB">
        <w:t>uch</w:t>
      </w:r>
      <w:r w:rsidRPr="009A19BB">
        <w:t>ylającego rozporządzenia (UE) nr 1316/2013 i (UE) nr 283/2014.</w:t>
      </w:r>
    </w:p>
  </w:footnote>
  <w:footnote w:id="2">
    <w:p w14:paraId="32005C97" w14:textId="77777777" w:rsidR="00084711" w:rsidRPr="009A19BB" w:rsidRDefault="00084711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</w:r>
      <w:hyperlink r:id="rId1" w:history="1">
        <w:r w:rsidRPr="009A19BB">
          <w:rPr>
            <w:rStyle w:val="Hyperlink"/>
          </w:rPr>
          <w:t>https://competition-policy.ec.europa.eu/state-aid/ipcei/approved-ipceis_pl</w:t>
        </w:r>
      </w:hyperlink>
      <w:r w:rsidRPr="009A19BB">
        <w:t xml:space="preserve"> </w:t>
      </w:r>
    </w:p>
  </w:footnote>
  <w:footnote w:id="3">
    <w:p w14:paraId="52ECE27F" w14:textId="1FB2C6CD" w:rsidR="00866524" w:rsidRPr="009A19BB" w:rsidRDefault="00866524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Unijny wykaz produktów leczniczych</w:t>
      </w:r>
      <w:r w:rsidR="009A19BB" w:rsidRPr="009A19BB">
        <w:t xml:space="preserve"> o</w:t>
      </w:r>
      <w:r w:rsidR="009A19BB">
        <w:t> </w:t>
      </w:r>
      <w:r w:rsidR="009A19BB" w:rsidRPr="009A19BB">
        <w:t>kry</w:t>
      </w:r>
      <w:r w:rsidRPr="009A19BB">
        <w:t xml:space="preserve">tycznym znaczeniu </w:t>
      </w:r>
      <w:hyperlink r:id="rId2" w:anchor="ema-inpage-item-64278" w:history="1">
        <w:r w:rsidRPr="009A19BB">
          <w:rPr>
            <w:rStyle w:val="Hyperlink"/>
          </w:rPr>
          <w:t>https://www.ema.europa.eu/en/human-regulatory-overview/post-authorisation/medicine-shortages-and-availability-issues/availability-critical-medicines#ema-inpage-item-64278</w:t>
        </w:r>
      </w:hyperlink>
      <w:r w:rsidRPr="009A19BB">
        <w:t xml:space="preserve"> </w:t>
      </w:r>
    </w:p>
  </w:footnote>
  <w:footnote w:id="4">
    <w:p w14:paraId="64BA1394" w14:textId="59F3EA73" w:rsidR="006E7705" w:rsidRPr="009A19BB" w:rsidRDefault="006E7705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2 ust.</w:t>
      </w:r>
      <w:r w:rsidR="009A19BB" w:rsidRPr="009A19BB">
        <w:t> </w:t>
      </w:r>
      <w:r w:rsidRPr="009A19BB">
        <w:t>1 rozporządzenia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 nr</w:t>
      </w:r>
      <w:r w:rsidR="009A19BB" w:rsidRPr="009A19BB">
        <w:t> </w:t>
      </w:r>
      <w:r w:rsidRPr="009A19BB">
        <w:t>648/2012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4 lipca 2012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instrumentów pochodnych będących przedmiotem obrotu poza rynkiem regulowanym, kontrahentów centralnych</w:t>
      </w:r>
      <w:r w:rsidR="009A19BB" w:rsidRPr="009A19BB">
        <w:t xml:space="preserve"> i</w:t>
      </w:r>
      <w:r w:rsidR="009A19BB">
        <w:t> </w:t>
      </w:r>
      <w:r w:rsidR="009A19BB" w:rsidRPr="009A19BB">
        <w:t>rep</w:t>
      </w:r>
      <w:r w:rsidRPr="009A19BB">
        <w:t>ozytoriów transakcji (</w:t>
      </w:r>
      <w:hyperlink r:id="rId3" w:history="1">
        <w:r w:rsidRPr="009A19BB">
          <w:rPr>
            <w:rStyle w:val="Hyperlink"/>
          </w:rPr>
          <w:t>Dz.U. L 201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2</w:t>
        </w:r>
        <w:r w:rsidRPr="009A19BB">
          <w:rPr>
            <w:rStyle w:val="Hyperlink"/>
          </w:rPr>
          <w:t>7.7.2012, s. 1,</w:t>
        </w:r>
      </w:hyperlink>
      <w:r w:rsidRPr="009A19BB">
        <w:t xml:space="preserve"> ELI: </w:t>
      </w:r>
      <w:hyperlink r:id="rId4" w:tooltip="Dostęp do dokumentu poprzez identyfikator URI w systemie ELI." w:history="1">
        <w:r w:rsidRPr="009A19BB">
          <w:rPr>
            <w:rStyle w:val="Hyperlink"/>
          </w:rPr>
          <w:t>https://eur-lex.europa.eu/eli/reg/2012/648/oj</w:t>
        </w:r>
      </w:hyperlink>
      <w:r w:rsidRPr="009A19BB">
        <w:t xml:space="preserve">). </w:t>
      </w:r>
    </w:p>
  </w:footnote>
  <w:footnote w:id="5">
    <w:p w14:paraId="518DEEC1" w14:textId="48EF1C02" w:rsidR="0071147F" w:rsidRPr="009A19BB" w:rsidRDefault="0071147F" w:rsidP="0071147F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4 ust.</w:t>
      </w:r>
      <w:r w:rsidR="009A19BB" w:rsidRPr="009A19BB">
        <w:t> </w:t>
      </w:r>
      <w:r w:rsidRPr="009A19BB">
        <w:t>7</w:t>
      </w:r>
      <w:r w:rsidR="009A19BB" w:rsidRPr="009A19BB">
        <w:t xml:space="preserve"> i</w:t>
      </w:r>
      <w:r w:rsidR="009A19BB">
        <w:t> </w:t>
      </w:r>
      <w:r w:rsidR="009A19BB" w:rsidRPr="009A19BB">
        <w:t>art</w:t>
      </w:r>
      <w:r w:rsidRPr="009A19BB">
        <w:t>.</w:t>
      </w:r>
      <w:r w:rsidR="009A19BB" w:rsidRPr="009A19BB">
        <w:t> </w:t>
      </w:r>
      <w:r w:rsidRPr="009A19BB">
        <w:t>4 ust.</w:t>
      </w:r>
      <w:r w:rsidR="009A19BB" w:rsidRPr="009A19BB">
        <w:t> </w:t>
      </w:r>
      <w:r w:rsidRPr="009A19BB">
        <w:t>4 dyrektywy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 2015/2366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25 listopada 2015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usług płatniczych</w:t>
      </w:r>
      <w:r w:rsidR="009A19BB" w:rsidRPr="009A19BB">
        <w:t xml:space="preserve"> w</w:t>
      </w:r>
      <w:r w:rsidR="009A19BB">
        <w:t> </w:t>
      </w:r>
      <w:r w:rsidR="009A19BB" w:rsidRPr="009A19BB">
        <w:t>ram</w:t>
      </w:r>
      <w:r w:rsidRPr="009A19BB">
        <w:t>ach rynku wewnętrznego, zmieniającej dyrektywy 2002/65/WE, 2009/110/WE, 2013/36/UE</w:t>
      </w:r>
      <w:r w:rsidR="009A19BB" w:rsidRPr="009A19BB">
        <w:t xml:space="preserve"> i</w:t>
      </w:r>
      <w:r w:rsidR="009A19BB">
        <w:t> </w:t>
      </w:r>
      <w:r w:rsidR="009A19BB" w:rsidRPr="009A19BB">
        <w:t>roz</w:t>
      </w:r>
      <w:r w:rsidRPr="009A19BB">
        <w:t>porządzenie (UE) nr</w:t>
      </w:r>
      <w:r w:rsidR="009A19BB" w:rsidRPr="009A19BB">
        <w:t> </w:t>
      </w:r>
      <w:r w:rsidRPr="009A19BB">
        <w:t>1093/2010 oraz uchylającej dyrektywę 2007/64/WE (</w:t>
      </w:r>
      <w:hyperlink r:id="rId5" w:history="1">
        <w:r w:rsidRPr="009A19BB">
          <w:rPr>
            <w:rStyle w:val="Hyperlink"/>
          </w:rPr>
          <w:t>Dz.U. L 337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2</w:t>
        </w:r>
        <w:r w:rsidRPr="009A19BB">
          <w:rPr>
            <w:rStyle w:val="Hyperlink"/>
          </w:rPr>
          <w:t>3.12.2015, s. 35</w:t>
        </w:r>
      </w:hyperlink>
      <w:r w:rsidRPr="009A19BB">
        <w:t xml:space="preserve">, ELI: </w:t>
      </w:r>
      <w:hyperlink r:id="rId6" w:tooltip="Dostęp do dokumentu poprzez identyfikator URI w systemie ELI." w:history="1">
        <w:r w:rsidRPr="009A19BB">
          <w:rPr>
            <w:rStyle w:val="Hyperlink"/>
          </w:rPr>
          <w:t>http://data.europa.eu/eli/dir/2015/2366/oj</w:t>
        </w:r>
      </w:hyperlink>
      <w:r w:rsidRPr="009A19BB">
        <w:t>).</w:t>
      </w:r>
    </w:p>
  </w:footnote>
  <w:footnote w:id="6">
    <w:p w14:paraId="4D0D41B9" w14:textId="46995CA9" w:rsidR="0071147F" w:rsidRPr="009A19BB" w:rsidRDefault="0071147F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2 ust.</w:t>
      </w:r>
      <w:r w:rsidR="009A19BB" w:rsidRPr="009A19BB">
        <w:t> </w:t>
      </w:r>
      <w:r w:rsidRPr="009A19BB">
        <w:t>1 dyrektywy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2009/110/WE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16 września 2009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podejmowania</w:t>
      </w:r>
      <w:r w:rsidR="009A19BB" w:rsidRPr="009A19BB">
        <w:t xml:space="preserve"> i</w:t>
      </w:r>
      <w:r w:rsidR="009A19BB">
        <w:t> </w:t>
      </w:r>
      <w:r w:rsidR="009A19BB" w:rsidRPr="009A19BB">
        <w:t>pro</w:t>
      </w:r>
      <w:r w:rsidRPr="009A19BB">
        <w:t>wadzenia działalności przez instytucje pieniądza elektronicznego oraz nadzoru ostrożnościowego nad ich działalnością, zmieniającej dyrektywy 2005/60/WE</w:t>
      </w:r>
      <w:r w:rsidR="009A19BB" w:rsidRPr="009A19BB">
        <w:t xml:space="preserve"> i</w:t>
      </w:r>
      <w:r w:rsidR="009A19BB">
        <w:t> </w:t>
      </w:r>
      <w:r w:rsidR="009A19BB" w:rsidRPr="009A19BB">
        <w:t>2</w:t>
      </w:r>
      <w:r w:rsidRPr="009A19BB">
        <w:t>006/48/WE oraz uchylającej dyrektywę 2000/46/WE (</w:t>
      </w:r>
      <w:hyperlink r:id="rId7" w:history="1">
        <w:r w:rsidRPr="009A19BB">
          <w:rPr>
            <w:rStyle w:val="Hyperlink"/>
          </w:rPr>
          <w:t>Dz.U. L 267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1</w:t>
        </w:r>
        <w:r w:rsidRPr="009A19BB">
          <w:rPr>
            <w:rStyle w:val="Hyperlink"/>
          </w:rPr>
          <w:t>0.10.2009, s. 7,</w:t>
        </w:r>
      </w:hyperlink>
      <w:r w:rsidRPr="009A19BB">
        <w:t xml:space="preserve"> ELI: </w:t>
      </w:r>
      <w:hyperlink r:id="rId8" w:tooltip="Dostęp do dokumentu poprzez identyfikator URI w systemie ELI." w:history="1">
        <w:r w:rsidRPr="009A19BB">
          <w:rPr>
            <w:rStyle w:val="Hyperlink"/>
          </w:rPr>
          <w:t>http://data.europa.eu/eli/dir/2009/110/oj</w:t>
        </w:r>
      </w:hyperlink>
      <w:r w:rsidRPr="009A19BB">
        <w:t>).</w:t>
      </w:r>
    </w:p>
  </w:footnote>
  <w:footnote w:id="7">
    <w:p w14:paraId="109F275C" w14:textId="194529F6" w:rsidR="0071147F" w:rsidRPr="009A19BB" w:rsidRDefault="0071147F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4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18) dyrektywy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2014/65/UE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15 maja 2014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rynków instrumentów finansowych oraz zmieniającej dyrektywę 2002/92/WE</w:t>
      </w:r>
      <w:r w:rsidR="009A19BB" w:rsidRPr="009A19BB">
        <w:t xml:space="preserve"> i</w:t>
      </w:r>
      <w:r w:rsidR="009A19BB">
        <w:t> </w:t>
      </w:r>
      <w:r w:rsidR="009A19BB" w:rsidRPr="009A19BB">
        <w:t>dyr</w:t>
      </w:r>
      <w:r w:rsidRPr="009A19BB">
        <w:t>ektywę 2011/61/UE (</w:t>
      </w:r>
      <w:hyperlink r:id="rId9" w:history="1">
        <w:r w:rsidRPr="009A19BB">
          <w:rPr>
            <w:rStyle w:val="Hyperlink"/>
          </w:rPr>
          <w:t>Dz.U. L 173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1</w:t>
        </w:r>
        <w:r w:rsidRPr="009A19BB">
          <w:rPr>
            <w:rStyle w:val="Hyperlink"/>
          </w:rPr>
          <w:t>2.6.2014, s. 349</w:t>
        </w:r>
      </w:hyperlink>
      <w:r w:rsidRPr="009A19BB">
        <w:t xml:space="preserve">, ELI: </w:t>
      </w:r>
      <w:hyperlink r:id="rId10" w:tooltip="Dostęp do dokumentu poprzez identyfikator URI w systemie ELI." w:history="1">
        <w:r w:rsidRPr="009A19BB">
          <w:rPr>
            <w:rStyle w:val="Hyperlink"/>
          </w:rPr>
          <w:t>http://data.europa.eu/eli/dir/2014/65/oj</w:t>
        </w:r>
      </w:hyperlink>
      <w:r w:rsidRPr="009A19BB">
        <w:t>).</w:t>
      </w:r>
    </w:p>
  </w:footnote>
  <w:footnote w:id="8">
    <w:p w14:paraId="44B59D08" w14:textId="5C88D286" w:rsidR="00692DAC" w:rsidRPr="009A19BB" w:rsidRDefault="00692DAC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2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1) rozporządzenia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 nr</w:t>
      </w:r>
      <w:r w:rsidR="009A19BB" w:rsidRPr="009A19BB">
        <w:t> </w:t>
      </w:r>
      <w:r w:rsidRPr="009A19BB">
        <w:t>909/2014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23 lipca 2014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usprawnienia rozrachunku papierów wartościowych</w:t>
      </w:r>
      <w:r w:rsidR="009A19BB" w:rsidRPr="009A19BB">
        <w:t xml:space="preserve"> w</w:t>
      </w:r>
      <w:r w:rsidR="009A19BB">
        <w:t> </w:t>
      </w:r>
      <w:r w:rsidR="009A19BB" w:rsidRPr="009A19BB">
        <w:t>Uni</w:t>
      </w:r>
      <w:r w:rsidRPr="009A19BB">
        <w:t>i Europejskiej</w:t>
      </w:r>
      <w:r w:rsidR="009A19BB" w:rsidRPr="009A19BB">
        <w:t xml:space="preserve"> i</w:t>
      </w:r>
      <w:r w:rsidR="009A19BB">
        <w:t> </w:t>
      </w:r>
      <w:r w:rsidR="009A19BB" w:rsidRPr="009A19BB">
        <w:t>w</w:t>
      </w:r>
      <w:r w:rsidR="009A19BB">
        <w:t> </w:t>
      </w:r>
      <w:r w:rsidR="009A19BB" w:rsidRPr="009A19BB">
        <w:t>spr</w:t>
      </w:r>
      <w:r w:rsidRPr="009A19BB">
        <w:t>awie centralnych depozytów papierów wartościowych, zmieniającego dyrektywy 98/26/WE</w:t>
      </w:r>
      <w:r w:rsidR="009A19BB" w:rsidRPr="009A19BB">
        <w:t xml:space="preserve"> i</w:t>
      </w:r>
      <w:r w:rsidR="009A19BB">
        <w:t> </w:t>
      </w:r>
      <w:r w:rsidR="009A19BB" w:rsidRPr="009A19BB">
        <w:t>2</w:t>
      </w:r>
      <w:r w:rsidRPr="009A19BB">
        <w:t>014/65/UE oraz rozporządzenie (UE) nr</w:t>
      </w:r>
      <w:r w:rsidR="009A19BB" w:rsidRPr="009A19BB">
        <w:t> </w:t>
      </w:r>
      <w:r w:rsidRPr="009A19BB">
        <w:t>236/2012 (</w:t>
      </w:r>
      <w:hyperlink r:id="rId11" w:history="1">
        <w:r w:rsidRPr="009A19BB">
          <w:rPr>
            <w:rStyle w:val="Hyperlink"/>
          </w:rPr>
          <w:t>Dz.U. L 257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2</w:t>
        </w:r>
        <w:r w:rsidRPr="009A19BB">
          <w:rPr>
            <w:rStyle w:val="Hyperlink"/>
          </w:rPr>
          <w:t>8.8.2014</w:t>
        </w:r>
        <w:r w:rsidR="009A19BB" w:rsidRPr="009A19BB">
          <w:rPr>
            <w:rStyle w:val="Hyperlink"/>
          </w:rPr>
          <w:t> </w:t>
        </w:r>
        <w:r w:rsidRPr="009A19BB">
          <w:rPr>
            <w:rStyle w:val="Hyperlink"/>
          </w:rPr>
          <w:t>r., s. 1</w:t>
        </w:r>
      </w:hyperlink>
      <w:r w:rsidRPr="009A19BB">
        <w:t xml:space="preserve">, ELI: </w:t>
      </w:r>
      <w:hyperlink r:id="rId12" w:tooltip="Dostęp do dokumentu poprzez identyfikator URI w systemie ELI." w:history="1">
        <w:r w:rsidRPr="009A19BB">
          <w:rPr>
            <w:rStyle w:val="Hyperlink"/>
          </w:rPr>
          <w:t>http://data.europa.eu/eli/reg/2014/909/oj</w:t>
        </w:r>
      </w:hyperlink>
      <w:r w:rsidRPr="009A19BB">
        <w:t>).</w:t>
      </w:r>
    </w:p>
  </w:footnote>
  <w:footnote w:id="9">
    <w:p w14:paraId="065626FC" w14:textId="28D304C2" w:rsidR="00C37034" w:rsidRPr="009A19BB" w:rsidRDefault="00C37034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3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6), art.</w:t>
      </w:r>
      <w:r w:rsidR="009A19BB" w:rsidRPr="009A19BB">
        <w:t> </w:t>
      </w:r>
      <w:r w:rsidRPr="009A19BB">
        <w:t>3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7)</w:t>
      </w:r>
      <w:r w:rsidR="009A19BB" w:rsidRPr="009A19BB">
        <w:t xml:space="preserve"> i</w:t>
      </w:r>
      <w:r w:rsidR="009A19BB">
        <w:t> </w:t>
      </w:r>
      <w:r w:rsidR="009A19BB" w:rsidRPr="009A19BB">
        <w:t>art</w:t>
      </w:r>
      <w:r w:rsidRPr="009A19BB">
        <w:t>.</w:t>
      </w:r>
      <w:r w:rsidR="009A19BB" w:rsidRPr="009A19BB">
        <w:t> </w:t>
      </w:r>
      <w:r w:rsidRPr="009A19BB">
        <w:t>3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10), art.</w:t>
      </w:r>
      <w:r w:rsidR="009A19BB" w:rsidRPr="009A19BB">
        <w:t> </w:t>
      </w:r>
      <w:r w:rsidRPr="009A19BB">
        <w:t>3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15)</w:t>
      </w:r>
      <w:r w:rsidR="009A19BB" w:rsidRPr="009A19BB">
        <w:t xml:space="preserve"> i</w:t>
      </w:r>
      <w:r w:rsidR="009A19BB">
        <w:t> </w:t>
      </w:r>
      <w:r w:rsidR="009A19BB" w:rsidRPr="009A19BB">
        <w:t>art</w:t>
      </w:r>
      <w:r w:rsidRPr="009A19BB">
        <w:t>.</w:t>
      </w:r>
      <w:r w:rsidR="009A19BB" w:rsidRPr="009A19BB">
        <w:t> </w:t>
      </w:r>
      <w:r w:rsidRPr="009A19BB">
        <w:t>3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18) rozporządzenia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 2023/1114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31 maja 2023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rynków kryptoaktywów oraz zmiany rozporządzeń (UE) nr</w:t>
      </w:r>
      <w:r w:rsidR="009A19BB" w:rsidRPr="009A19BB">
        <w:t> </w:t>
      </w:r>
      <w:r w:rsidRPr="009A19BB">
        <w:t>1093/2010 i (UE) nr</w:t>
      </w:r>
      <w:r w:rsidR="009A19BB" w:rsidRPr="009A19BB">
        <w:t> </w:t>
      </w:r>
      <w:r w:rsidRPr="009A19BB">
        <w:t>1095/2010 oraz dyrektyw 2013/36/UE i (UE) 2019/1937 (</w:t>
      </w:r>
      <w:hyperlink r:id="rId13" w:history="1">
        <w:r w:rsidRPr="009A19BB">
          <w:rPr>
            <w:rStyle w:val="Hyperlink"/>
          </w:rPr>
          <w:t>Dz.U. L 150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9</w:t>
        </w:r>
        <w:r w:rsidRPr="009A19BB">
          <w:rPr>
            <w:rStyle w:val="Hyperlink"/>
          </w:rPr>
          <w:t>.6.2023, s. 40</w:t>
        </w:r>
      </w:hyperlink>
      <w:r w:rsidRPr="009A19BB">
        <w:t>, ELI:</w:t>
      </w:r>
      <w:r w:rsidRPr="009A19BB">
        <w:rPr>
          <w:sz w:val="24"/>
        </w:rPr>
        <w:t xml:space="preserve"> </w:t>
      </w:r>
      <w:hyperlink r:id="rId14" w:tooltip="Dostęp do dokumentu poprzez identyfikator URI w systemie ELI." w:history="1">
        <w:r w:rsidRPr="009A19BB">
          <w:rPr>
            <w:rStyle w:val="Hyperlink"/>
          </w:rPr>
          <w:t>http://data.europa.eu/eli/reg/2023/1114/oj</w:t>
        </w:r>
      </w:hyperlink>
      <w:r w:rsidRPr="009A19BB">
        <w:t xml:space="preserve">). </w:t>
      </w:r>
    </w:p>
  </w:footnote>
  <w:footnote w:id="10">
    <w:p w14:paraId="32223451" w14:textId="6102437E" w:rsidR="00970E5B" w:rsidRPr="009A19BB" w:rsidRDefault="00970E5B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4 ust.</w:t>
      </w:r>
      <w:r w:rsidR="009A19BB" w:rsidRPr="009A19BB">
        <w:t> </w:t>
      </w:r>
      <w:r w:rsidRPr="009A19BB">
        <w:t>1 pkt</w:t>
      </w:r>
      <w:r w:rsidR="009A19BB" w:rsidRPr="009A19BB">
        <w:t> </w:t>
      </w:r>
      <w:r w:rsidRPr="009A19BB">
        <w:t>146) rozporządzenia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 nr</w:t>
      </w:r>
      <w:r w:rsidR="009A19BB" w:rsidRPr="009A19BB">
        <w:t> </w:t>
      </w:r>
      <w:r w:rsidRPr="009A19BB">
        <w:t>575/2013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26 czerwca 2013</w:t>
      </w:r>
      <w:r w:rsidR="009A19BB" w:rsidRPr="009A19BB">
        <w:t> </w:t>
      </w:r>
      <w:r w:rsidRPr="009A19BB">
        <w:t>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wymogów ostrożnościowych dla instytucji kredytowych</w:t>
      </w:r>
      <w:r w:rsidR="009A19BB" w:rsidRPr="009A19BB">
        <w:t xml:space="preserve"> i</w:t>
      </w:r>
      <w:r w:rsidR="009A19BB">
        <w:t> </w:t>
      </w:r>
      <w:r w:rsidR="009A19BB" w:rsidRPr="009A19BB">
        <w:t>fir</w:t>
      </w:r>
      <w:r w:rsidRPr="009A19BB">
        <w:t>m inwestycyjnych, zmieniające rozporządzenie (UE) nr</w:t>
      </w:r>
      <w:r w:rsidR="009A19BB" w:rsidRPr="009A19BB">
        <w:t> </w:t>
      </w:r>
      <w:r w:rsidRPr="009A19BB">
        <w:t>648/2012 (</w:t>
      </w:r>
      <w:hyperlink r:id="rId15" w:history="1">
        <w:r w:rsidRPr="009A19BB">
          <w:rPr>
            <w:rStyle w:val="Hyperlink"/>
          </w:rPr>
          <w:t>Dz.U. L 176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2</w:t>
        </w:r>
        <w:r w:rsidRPr="009A19BB">
          <w:rPr>
            <w:rStyle w:val="Hyperlink"/>
          </w:rPr>
          <w:t>7.6.2013, s. 1</w:t>
        </w:r>
      </w:hyperlink>
      <w:r w:rsidRPr="009A19BB">
        <w:t xml:space="preserve">, ELI: </w:t>
      </w:r>
      <w:hyperlink r:id="rId16" w:tooltip="Dostęp do dokumentu poprzez identyfikator URI w systemie ELI." w:history="1">
        <w:r w:rsidRPr="009A19BB">
          <w:rPr>
            <w:rStyle w:val="Hyperlink"/>
          </w:rPr>
          <w:t>http://data.europa.eu/eli/reg/2013/575/oj</w:t>
        </w:r>
      </w:hyperlink>
      <w:r w:rsidRPr="009A19BB">
        <w:t>).</w:t>
      </w:r>
    </w:p>
  </w:footnote>
  <w:footnote w:id="11">
    <w:p w14:paraId="653DC5B0" w14:textId="00021E8E" w:rsidR="00A01FFD" w:rsidRPr="009A19BB" w:rsidRDefault="00970E5B" w:rsidP="00293738">
      <w:pPr>
        <w:pStyle w:val="FootnoteText"/>
      </w:pPr>
      <w:r w:rsidRPr="009A19BB">
        <w:rPr>
          <w:rStyle w:val="FootnoteReference"/>
        </w:rPr>
        <w:footnoteRef/>
      </w:r>
      <w:r w:rsidRPr="009A19BB">
        <w:tab/>
        <w:t>Art. 3 ust.</w:t>
      </w:r>
      <w:r w:rsidR="009A19BB" w:rsidRPr="009A19BB">
        <w:t> </w:t>
      </w:r>
      <w:r w:rsidRPr="009A19BB">
        <w:t>23 rozporządzenia Parlamentu Europejskiego</w:t>
      </w:r>
      <w:r w:rsidR="009A19BB" w:rsidRPr="009A19BB">
        <w:t xml:space="preserve"> i</w:t>
      </w:r>
      <w:r w:rsidR="009A19BB">
        <w:t> </w:t>
      </w:r>
      <w:r w:rsidR="009A19BB" w:rsidRPr="009A19BB">
        <w:t>Rad</w:t>
      </w:r>
      <w:r w:rsidRPr="009A19BB">
        <w:t>y (UE) 2022/2554</w:t>
      </w:r>
      <w:r w:rsidR="009A19BB" w:rsidRPr="009A19BB">
        <w:t xml:space="preserve"> z</w:t>
      </w:r>
      <w:r w:rsidR="009A19BB">
        <w:t> </w:t>
      </w:r>
      <w:r w:rsidR="009A19BB" w:rsidRPr="009A19BB">
        <w:t>dni</w:t>
      </w:r>
      <w:r w:rsidRPr="009A19BB">
        <w:t>a 14 grudnia 2022 r.</w:t>
      </w:r>
      <w:r w:rsidR="009A19BB" w:rsidRPr="009A19BB">
        <w:t xml:space="preserve"> w</w:t>
      </w:r>
      <w:r w:rsidR="009A19BB">
        <w:t> </w:t>
      </w:r>
      <w:r w:rsidR="009A19BB" w:rsidRPr="009A19BB">
        <w:t>spr</w:t>
      </w:r>
      <w:r w:rsidRPr="009A19BB">
        <w:t>awie operacyjnej odporności cyfrowej sektora finansowego</w:t>
      </w:r>
      <w:r w:rsidR="009A19BB" w:rsidRPr="009A19BB">
        <w:t xml:space="preserve"> i</w:t>
      </w:r>
      <w:r w:rsidR="009A19BB">
        <w:t> </w:t>
      </w:r>
      <w:r w:rsidR="009A19BB" w:rsidRPr="009A19BB">
        <w:t>zmi</w:t>
      </w:r>
      <w:r w:rsidRPr="009A19BB">
        <w:t>eniającego rozporządzenia (WE) nr 1060/2009, (UE) nr 648/2012, (UE) nr 600/2014, (UE) nr 909/2014 oraz (UE) 2016/1011 (</w:t>
      </w:r>
      <w:hyperlink r:id="rId17" w:history="1">
        <w:r w:rsidRPr="009A19BB">
          <w:rPr>
            <w:rStyle w:val="Hyperlink"/>
          </w:rPr>
          <w:t>Dz.U. L 333</w:t>
        </w:r>
        <w:r w:rsidR="009A19BB" w:rsidRPr="009A19BB">
          <w:rPr>
            <w:rStyle w:val="Hyperlink"/>
          </w:rPr>
          <w:t xml:space="preserve"> z</w:t>
        </w:r>
        <w:r w:rsidR="009A19BB">
          <w:rPr>
            <w:rStyle w:val="Hyperlink"/>
          </w:rPr>
          <w:t> </w:t>
        </w:r>
        <w:r w:rsidR="009A19BB" w:rsidRPr="009A19BB">
          <w:rPr>
            <w:rStyle w:val="Hyperlink"/>
          </w:rPr>
          <w:t>2</w:t>
        </w:r>
        <w:r w:rsidRPr="009A19BB">
          <w:rPr>
            <w:rStyle w:val="Hyperlink"/>
          </w:rPr>
          <w:t>7.12.2022, s. 1</w:t>
        </w:r>
      </w:hyperlink>
      <w:r w:rsidRPr="009A19BB">
        <w:t xml:space="preserve">, ELI: </w:t>
      </w:r>
      <w:hyperlink r:id="rId18" w:tooltip="Dostęp do dokumentu poprzez identyfikator URI w systemie ELI." w:history="1">
        <w:r w:rsidRPr="009A19BB">
          <w:rPr>
            <w:rStyle w:val="Hyperlink"/>
          </w:rPr>
          <w:t>http://data.europa.eu/eli/reg/2022/2554/oj</w:t>
        </w:r>
      </w:hyperlink>
      <w:r w:rsidRPr="009A19BB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CCCF" w14:textId="77777777" w:rsidR="00A03EAE" w:rsidRPr="00A03EAE" w:rsidRDefault="00A03EAE" w:rsidP="00A03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A9CD" w14:textId="77777777" w:rsidR="00A03EAE" w:rsidRPr="00A03EAE" w:rsidRDefault="00A03EAE" w:rsidP="00A03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63DA" w14:textId="77777777" w:rsidR="00A03EAE" w:rsidRPr="00A03EAE" w:rsidRDefault="00A03EAE" w:rsidP="00A03E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E557" w14:textId="77777777" w:rsidR="00A03EAE" w:rsidRDefault="00A03EA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5CC8" w14:textId="77777777" w:rsidR="00A03EAE" w:rsidRDefault="00A03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35CF6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2E625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48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4A2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42A1204"/>
    <w:multiLevelType w:val="multilevel"/>
    <w:tmpl w:val="BC1E840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6"/>
  </w:num>
  <w:num w:numId="9">
    <w:abstractNumId w:val="8"/>
  </w:num>
  <w:num w:numId="10">
    <w:abstractNumId w:val="18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3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4-03-04 15:44:05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do"/>
    <w:docVar w:name="LW_ACCOMPAGNANT.CP" w:val="do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08E62DFB-FEF4-48C6-8F2A-E7BE96A6C3C6"/>
    <w:docVar w:name="LW_COVERPAGE_TYPE" w:val="1"/>
    <w:docVar w:name="LW_CROSSREFERENCE" w:val="{SWD(2024) 23 final} - {SWD(2024) 24 final}"/>
    <w:docVar w:name="LW_DocType" w:val="ANNEX"/>
    <w:docVar w:name="LW_EMISSION" w:val="24.1.2024"/>
    <w:docVar w:name="LW_EMISSION_ISODATE" w:val="2024-01-24"/>
    <w:docVar w:name="LW_EMISSION_LOCATION" w:val="BRX"/>
    <w:docVar w:name="LW_EMISSION_PREFIX" w:val="Bruksela, dnia "/>
    <w:docVar w:name="LW_EMISSION_SUFFIX" w:val=" r."/>
    <w:docVar w:name="LW_ID_DOCSTRUCTURE" w:val="COM/ANNEX"/>
    <w:docVar w:name="LW_ID_DOCTYPE" w:val="SG-01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" w:val="w sprawie monitorowania inwestycji zagranicznych w Unii i uchylenia rozporz\u261?dzenia Parlamentu Europejskiego i Rady (UE) 2019/452_x000d__x000d__x000b__x000d__x000d__x000b_"/>
    <w:docVar w:name="LW_OBJETACTEPRINCIPAL.CP" w:val="w sprawie monitorowania inwestycji zagranicznych w Unii i uchylenia rozporz\u261?dzenia Parlamentu Europejskiego i Rady (UE) 2019/452_x000d__x000d__x000b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4) 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ZA\u321?\u260?CZNIKI"/>
    <w:docVar w:name="LW_TYPE.DOC.CP" w:val="ZA\u321?\u260?CZNIKI"/>
    <w:docVar w:name="LW_TYPEACTEPRINCIPAL" w:val="wniosku dotycz\u261?cego Rozporz\u261?dzenia Parlamentu Europejskiego i Rady"/>
    <w:docVar w:name="LW_TYPEACTEPRINCIPAL.CP" w:val="wniosku dotycz\u261?cego Rozporz\u261?dzenia Parlamentu Europejskiego i Rady"/>
    <w:docVar w:name="LwApiVersions" w:val="LW4CoDe 1.24.5.0; LW 9.0, Build 20240221"/>
  </w:docVars>
  <w:rsids>
    <w:rsidRoot w:val="00455B3D"/>
    <w:rsid w:val="0001013B"/>
    <w:rsid w:val="00016544"/>
    <w:rsid w:val="0004535A"/>
    <w:rsid w:val="0004777D"/>
    <w:rsid w:val="00061791"/>
    <w:rsid w:val="00064236"/>
    <w:rsid w:val="00067596"/>
    <w:rsid w:val="00072CD2"/>
    <w:rsid w:val="00084248"/>
    <w:rsid w:val="00084711"/>
    <w:rsid w:val="00087377"/>
    <w:rsid w:val="000D13E7"/>
    <w:rsid w:val="000F4BAC"/>
    <w:rsid w:val="00115BA3"/>
    <w:rsid w:val="0012180F"/>
    <w:rsid w:val="00144C86"/>
    <w:rsid w:val="00161A4E"/>
    <w:rsid w:val="00165C4F"/>
    <w:rsid w:val="0019366C"/>
    <w:rsid w:val="001A1E4B"/>
    <w:rsid w:val="001A2C88"/>
    <w:rsid w:val="001A5EC1"/>
    <w:rsid w:val="001B0211"/>
    <w:rsid w:val="001D4428"/>
    <w:rsid w:val="001F343E"/>
    <w:rsid w:val="00215295"/>
    <w:rsid w:val="00227599"/>
    <w:rsid w:val="0023033B"/>
    <w:rsid w:val="0023283B"/>
    <w:rsid w:val="00236492"/>
    <w:rsid w:val="0024053E"/>
    <w:rsid w:val="002476A7"/>
    <w:rsid w:val="002519D8"/>
    <w:rsid w:val="00260D9F"/>
    <w:rsid w:val="00277BB2"/>
    <w:rsid w:val="00280547"/>
    <w:rsid w:val="00293738"/>
    <w:rsid w:val="002943EE"/>
    <w:rsid w:val="002A7CE4"/>
    <w:rsid w:val="002B4EAD"/>
    <w:rsid w:val="002B6651"/>
    <w:rsid w:val="002C40B3"/>
    <w:rsid w:val="002C71A1"/>
    <w:rsid w:val="002F1E28"/>
    <w:rsid w:val="00300227"/>
    <w:rsid w:val="00311975"/>
    <w:rsid w:val="0033124D"/>
    <w:rsid w:val="00331FA9"/>
    <w:rsid w:val="00336D4D"/>
    <w:rsid w:val="003402CF"/>
    <w:rsid w:val="00341364"/>
    <w:rsid w:val="00341AB3"/>
    <w:rsid w:val="003423BC"/>
    <w:rsid w:val="00342BD4"/>
    <w:rsid w:val="00353B9B"/>
    <w:rsid w:val="00354A2D"/>
    <w:rsid w:val="00367DF7"/>
    <w:rsid w:val="003766B3"/>
    <w:rsid w:val="00385235"/>
    <w:rsid w:val="0039157F"/>
    <w:rsid w:val="003A1473"/>
    <w:rsid w:val="003A2655"/>
    <w:rsid w:val="003A3AB5"/>
    <w:rsid w:val="003A4F2D"/>
    <w:rsid w:val="003A6BAC"/>
    <w:rsid w:val="003B520E"/>
    <w:rsid w:val="003E4DBA"/>
    <w:rsid w:val="004461AA"/>
    <w:rsid w:val="00455B3D"/>
    <w:rsid w:val="00460084"/>
    <w:rsid w:val="00482747"/>
    <w:rsid w:val="00492EB7"/>
    <w:rsid w:val="004A51A6"/>
    <w:rsid w:val="004B6E57"/>
    <w:rsid w:val="004C1D3C"/>
    <w:rsid w:val="004E496D"/>
    <w:rsid w:val="004F4A03"/>
    <w:rsid w:val="004F5875"/>
    <w:rsid w:val="00500308"/>
    <w:rsid w:val="00502CE8"/>
    <w:rsid w:val="00533259"/>
    <w:rsid w:val="005470A0"/>
    <w:rsid w:val="0057540E"/>
    <w:rsid w:val="00593E82"/>
    <w:rsid w:val="005A14E1"/>
    <w:rsid w:val="005A39C7"/>
    <w:rsid w:val="005B068B"/>
    <w:rsid w:val="005B19E5"/>
    <w:rsid w:val="005D230A"/>
    <w:rsid w:val="005D4DB0"/>
    <w:rsid w:val="005D69D2"/>
    <w:rsid w:val="005F22B9"/>
    <w:rsid w:val="005F52D7"/>
    <w:rsid w:val="00600C4E"/>
    <w:rsid w:val="00626E37"/>
    <w:rsid w:val="00630F18"/>
    <w:rsid w:val="006403F2"/>
    <w:rsid w:val="00640900"/>
    <w:rsid w:val="0066433C"/>
    <w:rsid w:val="00666385"/>
    <w:rsid w:val="00692DAC"/>
    <w:rsid w:val="0069630F"/>
    <w:rsid w:val="006A23D4"/>
    <w:rsid w:val="006A6BCB"/>
    <w:rsid w:val="006B52AE"/>
    <w:rsid w:val="006E04F9"/>
    <w:rsid w:val="006E7705"/>
    <w:rsid w:val="007103AE"/>
    <w:rsid w:val="0071147F"/>
    <w:rsid w:val="00713189"/>
    <w:rsid w:val="00715E1E"/>
    <w:rsid w:val="00724839"/>
    <w:rsid w:val="007435FA"/>
    <w:rsid w:val="007656E7"/>
    <w:rsid w:val="007673C8"/>
    <w:rsid w:val="00767617"/>
    <w:rsid w:val="007804D5"/>
    <w:rsid w:val="00782F50"/>
    <w:rsid w:val="007B5A64"/>
    <w:rsid w:val="007C44FF"/>
    <w:rsid w:val="007D24C0"/>
    <w:rsid w:val="007D69E5"/>
    <w:rsid w:val="007E0B17"/>
    <w:rsid w:val="007E16C9"/>
    <w:rsid w:val="007E1826"/>
    <w:rsid w:val="007F5662"/>
    <w:rsid w:val="0081471F"/>
    <w:rsid w:val="00820D44"/>
    <w:rsid w:val="008412DB"/>
    <w:rsid w:val="00845A15"/>
    <w:rsid w:val="0086583F"/>
    <w:rsid w:val="00866524"/>
    <w:rsid w:val="00867CE1"/>
    <w:rsid w:val="00870A96"/>
    <w:rsid w:val="00873A11"/>
    <w:rsid w:val="00873B81"/>
    <w:rsid w:val="00875E16"/>
    <w:rsid w:val="008846F9"/>
    <w:rsid w:val="008C2ED0"/>
    <w:rsid w:val="008D6398"/>
    <w:rsid w:val="008E3400"/>
    <w:rsid w:val="00905D22"/>
    <w:rsid w:val="00907F22"/>
    <w:rsid w:val="009543CF"/>
    <w:rsid w:val="0095642D"/>
    <w:rsid w:val="009625AB"/>
    <w:rsid w:val="00970E5B"/>
    <w:rsid w:val="009773A7"/>
    <w:rsid w:val="00991DF8"/>
    <w:rsid w:val="00994BAB"/>
    <w:rsid w:val="009A19BB"/>
    <w:rsid w:val="009B19C3"/>
    <w:rsid w:val="009C1A89"/>
    <w:rsid w:val="009C2916"/>
    <w:rsid w:val="009C383F"/>
    <w:rsid w:val="009C6A69"/>
    <w:rsid w:val="009E7623"/>
    <w:rsid w:val="009F080E"/>
    <w:rsid w:val="009F2018"/>
    <w:rsid w:val="00A00C97"/>
    <w:rsid w:val="00A01FFD"/>
    <w:rsid w:val="00A03596"/>
    <w:rsid w:val="00A03EAE"/>
    <w:rsid w:val="00A23985"/>
    <w:rsid w:val="00A27E20"/>
    <w:rsid w:val="00A3199E"/>
    <w:rsid w:val="00A51C8B"/>
    <w:rsid w:val="00A6243B"/>
    <w:rsid w:val="00A71F6D"/>
    <w:rsid w:val="00A86E0A"/>
    <w:rsid w:val="00AA4ADB"/>
    <w:rsid w:val="00AB2923"/>
    <w:rsid w:val="00AD5E3D"/>
    <w:rsid w:val="00B03B09"/>
    <w:rsid w:val="00B07289"/>
    <w:rsid w:val="00B11E4B"/>
    <w:rsid w:val="00B22390"/>
    <w:rsid w:val="00B34E95"/>
    <w:rsid w:val="00B40DFC"/>
    <w:rsid w:val="00B6793E"/>
    <w:rsid w:val="00BA4F3C"/>
    <w:rsid w:val="00BA79F9"/>
    <w:rsid w:val="00BB30BC"/>
    <w:rsid w:val="00BC352B"/>
    <w:rsid w:val="00BF0CED"/>
    <w:rsid w:val="00C04E94"/>
    <w:rsid w:val="00C14EB2"/>
    <w:rsid w:val="00C173B2"/>
    <w:rsid w:val="00C22B0B"/>
    <w:rsid w:val="00C25B26"/>
    <w:rsid w:val="00C27DC3"/>
    <w:rsid w:val="00C3452F"/>
    <w:rsid w:val="00C37034"/>
    <w:rsid w:val="00C533C9"/>
    <w:rsid w:val="00C654D5"/>
    <w:rsid w:val="00C7128D"/>
    <w:rsid w:val="00C73BEE"/>
    <w:rsid w:val="00C953CA"/>
    <w:rsid w:val="00CA00F7"/>
    <w:rsid w:val="00CA1388"/>
    <w:rsid w:val="00CA4D8A"/>
    <w:rsid w:val="00CC7654"/>
    <w:rsid w:val="00CE6552"/>
    <w:rsid w:val="00CF2C7B"/>
    <w:rsid w:val="00D01387"/>
    <w:rsid w:val="00D01596"/>
    <w:rsid w:val="00D17E93"/>
    <w:rsid w:val="00D23DB5"/>
    <w:rsid w:val="00D328C4"/>
    <w:rsid w:val="00D33986"/>
    <w:rsid w:val="00D34AC4"/>
    <w:rsid w:val="00D371B7"/>
    <w:rsid w:val="00D37CCC"/>
    <w:rsid w:val="00D62584"/>
    <w:rsid w:val="00D73266"/>
    <w:rsid w:val="00D94B7E"/>
    <w:rsid w:val="00DA07A4"/>
    <w:rsid w:val="00DA32BC"/>
    <w:rsid w:val="00DB2B6E"/>
    <w:rsid w:val="00DB5BC2"/>
    <w:rsid w:val="00DC2EA0"/>
    <w:rsid w:val="00E128B5"/>
    <w:rsid w:val="00E14A08"/>
    <w:rsid w:val="00E209ED"/>
    <w:rsid w:val="00E27AA6"/>
    <w:rsid w:val="00E3057E"/>
    <w:rsid w:val="00E307C8"/>
    <w:rsid w:val="00E36985"/>
    <w:rsid w:val="00E52FDD"/>
    <w:rsid w:val="00E62AFA"/>
    <w:rsid w:val="00E70C38"/>
    <w:rsid w:val="00E8728D"/>
    <w:rsid w:val="00E90883"/>
    <w:rsid w:val="00EA4E87"/>
    <w:rsid w:val="00EB3E49"/>
    <w:rsid w:val="00EC25C5"/>
    <w:rsid w:val="00EC4D84"/>
    <w:rsid w:val="00EC7323"/>
    <w:rsid w:val="00ED03F6"/>
    <w:rsid w:val="00ED702B"/>
    <w:rsid w:val="00EE603B"/>
    <w:rsid w:val="00EE7A21"/>
    <w:rsid w:val="00F142C5"/>
    <w:rsid w:val="00F32AA1"/>
    <w:rsid w:val="00F4174B"/>
    <w:rsid w:val="00F439C7"/>
    <w:rsid w:val="00F51773"/>
    <w:rsid w:val="00F60295"/>
    <w:rsid w:val="00F660C7"/>
    <w:rsid w:val="00F7024E"/>
    <w:rsid w:val="00F82260"/>
    <w:rsid w:val="00FA2B99"/>
    <w:rsid w:val="00FA3ABC"/>
    <w:rsid w:val="00FC2F86"/>
    <w:rsid w:val="00FE50F6"/>
    <w:rsid w:val="00FE6FB0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4B4363"/>
  <w15:docId w15:val="{89E267E1-DF5C-46D1-845F-198C7C1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15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15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15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991DF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1DF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DF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DF8"/>
    <w:pPr>
      <w:numPr>
        <w:numId w:val="4"/>
      </w:numPr>
      <w:contextualSpacing/>
    </w:pPr>
  </w:style>
  <w:style w:type="character" w:styleId="Hyperlink">
    <w:name w:val="Hyperlink"/>
    <w:uiPriority w:val="99"/>
    <w:rsid w:val="00991DF8"/>
    <w:rPr>
      <w:color w:val="0000FF"/>
      <w:u w:val="single"/>
    </w:rPr>
  </w:style>
  <w:style w:type="paragraph" w:styleId="ListNumber4">
    <w:name w:val="List Number 4"/>
    <w:basedOn w:val="Normal"/>
    <w:rsid w:val="00991DF8"/>
    <w:pPr>
      <w:numPr>
        <w:numId w:val="5"/>
      </w:numPr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rsid w:val="00991DF8"/>
    <w:pPr>
      <w:numPr>
        <w:ilvl w:val="1"/>
        <w:numId w:val="5"/>
      </w:numPr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rsid w:val="00991DF8"/>
    <w:pPr>
      <w:numPr>
        <w:ilvl w:val="2"/>
        <w:numId w:val="5"/>
      </w:numPr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rsid w:val="00991DF8"/>
    <w:pPr>
      <w:numPr>
        <w:ilvl w:val="3"/>
        <w:numId w:val="5"/>
      </w:numPr>
    </w:pPr>
    <w:rPr>
      <w:rFonts w:eastAsia="Times New Roman"/>
      <w:lang w:eastAsia="en-GB"/>
    </w:rPr>
  </w:style>
  <w:style w:type="character" w:styleId="CommentReference">
    <w:name w:val="annotation reference"/>
    <w:rsid w:val="00991D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91DF8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991DF8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paragraph" w:customStyle="1" w:styleId="oj-ti-grseq-1">
    <w:name w:val="oj-ti-grseq-1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character" w:customStyle="1" w:styleId="oj-bold">
    <w:name w:val="oj-bold"/>
    <w:basedOn w:val="DefaultParagraphFont"/>
    <w:rsid w:val="00991DF8"/>
  </w:style>
  <w:style w:type="character" w:customStyle="1" w:styleId="oj-super">
    <w:name w:val="oj-super"/>
    <w:basedOn w:val="DefaultParagraphFont"/>
    <w:rsid w:val="00991DF8"/>
  </w:style>
  <w:style w:type="paragraph" w:customStyle="1" w:styleId="oj-normal">
    <w:name w:val="oj-normal"/>
    <w:basedOn w:val="Normal"/>
    <w:rsid w:val="00991DF8"/>
    <w:pPr>
      <w:spacing w:before="100" w:beforeAutospacing="1" w:after="100" w:afterAutospacing="1"/>
      <w:jc w:val="left"/>
    </w:pPr>
    <w:rPr>
      <w:rFonts w:eastAsia="Times New Roman"/>
      <w:szCs w:val="24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3E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3E"/>
    <w:rPr>
      <w:rFonts w:ascii="Times New Roman" w:eastAsia="Times New Roman" w:hAnsi="Times New Roman" w:cs="Times New Roman"/>
      <w:b/>
      <w:bCs/>
      <w:sz w:val="20"/>
      <w:szCs w:val="20"/>
      <w:lang w:val="pl-PL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7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3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2C7B"/>
    <w:pPr>
      <w:ind w:left="720"/>
      <w:contextualSpacing/>
    </w:pPr>
  </w:style>
  <w:style w:type="paragraph" w:styleId="Revision">
    <w:name w:val="Revision"/>
    <w:hidden/>
    <w:uiPriority w:val="99"/>
    <w:semiHidden/>
    <w:rsid w:val="00B03B0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E8728D"/>
    <w:rPr>
      <w:i/>
      <w:iCs/>
    </w:r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character" w:customStyle="1" w:styleId="HeaderChar">
    <w:name w:val="Header Char"/>
    <w:basedOn w:val="DefaultParagraphFont"/>
    <w:link w:val="Header"/>
    <w:uiPriority w:val="99"/>
    <w:rsid w:val="00A03EAE"/>
    <w:rPr>
      <w:rFonts w:ascii="Times New Roman" w:hAnsi="Times New Roman" w:cs="Times New Roman"/>
      <w:sz w:val="24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A03EAE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lang w:val="pl-PL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0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A03EAE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A0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0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8"/>
      </w:numPr>
    </w:pPr>
  </w:style>
  <w:style w:type="paragraph" w:customStyle="1" w:styleId="Tiret1">
    <w:name w:val="Tiret 1"/>
    <w:basedOn w:val="Point10"/>
    <w:pPr>
      <w:numPr>
        <w:numId w:val="9"/>
      </w:numPr>
    </w:pPr>
  </w:style>
  <w:style w:type="paragraph" w:customStyle="1" w:styleId="Tiret2">
    <w:name w:val="Tiret 2"/>
    <w:basedOn w:val="Point2"/>
    <w:pPr>
      <w:numPr>
        <w:numId w:val="10"/>
      </w:numPr>
    </w:pPr>
  </w:style>
  <w:style w:type="paragraph" w:customStyle="1" w:styleId="Tiret3">
    <w:name w:val="Tiret 3"/>
    <w:basedOn w:val="Point3"/>
    <w:pPr>
      <w:numPr>
        <w:numId w:val="11"/>
      </w:numPr>
    </w:pPr>
  </w:style>
  <w:style w:type="paragraph" w:customStyle="1" w:styleId="Tiret4">
    <w:name w:val="Tiret 4"/>
    <w:basedOn w:val="Point4"/>
    <w:pPr>
      <w:numPr>
        <w:numId w:val="12"/>
      </w:numPr>
    </w:pPr>
  </w:style>
  <w:style w:type="paragraph" w:customStyle="1" w:styleId="Tiret5">
    <w:name w:val="Tiret 5"/>
    <w:basedOn w:val="Point5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14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14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14"/>
      </w:numPr>
    </w:pPr>
  </w:style>
  <w:style w:type="paragraph" w:customStyle="1" w:styleId="ManualNumPar10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03EAE"/>
    <w:pPr>
      <w:tabs>
        <w:tab w:val="center" w:pos="4535"/>
        <w:tab w:val="right" w:pos="9071"/>
      </w:tabs>
      <w:spacing w:before="0"/>
    </w:pPr>
  </w:style>
  <w:style w:type="paragraph" w:customStyle="1" w:styleId="HeaderLandscape">
    <w:name w:val="HeaderLandscape"/>
    <w:basedOn w:val="Normal"/>
    <w:rsid w:val="00A03EAE"/>
    <w:pPr>
      <w:tabs>
        <w:tab w:val="center" w:pos="7285"/>
        <w:tab w:val="right" w:pos="14003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A03EA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ormal"/>
    <w:rsid w:val="00A03EA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eur-lex.europa.eu/legal-content/PL/AUTO/?uri=OJ:L:2018:193:TOC" TargetMode="External"/><Relationship Id="rId26" Type="http://schemas.openxmlformats.org/officeDocument/2006/relationships/hyperlink" Target="http://data.europa.eu/eli/reg/2013/1291/oj" TargetMode="External"/><Relationship Id="rId39" Type="http://schemas.openxmlformats.org/officeDocument/2006/relationships/hyperlink" Target="https://eur-lex.europa.eu/legal-content/PL/AUTO/?uri=OJ:L:2021:166:TOC" TargetMode="External"/><Relationship Id="rId21" Type="http://schemas.openxmlformats.org/officeDocument/2006/relationships/hyperlink" Target="http://data.europa.eu/eli/reg/2021/696/oj" TargetMode="External"/><Relationship Id="rId34" Type="http://schemas.openxmlformats.org/officeDocument/2006/relationships/hyperlink" Target="http://data.europa.eu/eli/reg/2013/347/oj" TargetMode="External"/><Relationship Id="rId42" Type="http://schemas.openxmlformats.org/officeDocument/2006/relationships/hyperlink" Target="https://eur-lex.europa.eu/legal-content/PL/AUTO/?uri=OJ:L:2018:193:TOC" TargetMode="External"/><Relationship Id="rId47" Type="http://schemas.openxmlformats.org/officeDocument/2006/relationships/hyperlink" Target="http://data.europa.eu/eli/reg/2023/1525/oj" TargetMode="External"/><Relationship Id="rId50" Type="http://schemas.openxmlformats.org/officeDocument/2006/relationships/hyperlink" Target="http://data.europa.eu/eli/dec/2018/340/oj" TargetMode="External"/><Relationship Id="rId55" Type="http://schemas.openxmlformats.org/officeDocument/2006/relationships/hyperlink" Target="https://eur-lex.europa.eu/legal-content/PL/AUTO/?uri=OJ:L:2021:107:TOC" TargetMode="External"/><Relationship Id="rId63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ur-lex.europa.eu/legal-content/PL/AUTO/?uri=OJ:L:2021:170:TOC" TargetMode="External"/><Relationship Id="rId29" Type="http://schemas.openxmlformats.org/officeDocument/2006/relationships/hyperlink" Target="https://eur-lex.europa.eu/legal-content/PL/TXT/?uri=OJ%3AL%3A2021%3A167I%3ATOC" TargetMode="External"/><Relationship Id="rId41" Type="http://schemas.openxmlformats.org/officeDocument/2006/relationships/hyperlink" Target="https://eur-lex.europa.eu/legal-content/PL/AUTO/?uri=OJ:L:2018:200:TOC" TargetMode="External"/><Relationship Id="rId54" Type="http://schemas.openxmlformats.org/officeDocument/2006/relationships/hyperlink" Target="http://data.europa.eu/eli/dec/2007/198/oj" TargetMode="External"/><Relationship Id="rId62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data.europa.eu/eli/reg/2023/588/oj" TargetMode="External"/><Relationship Id="rId32" Type="http://schemas.openxmlformats.org/officeDocument/2006/relationships/hyperlink" Target="http://data.europa.eu/eli/reg/2013/1315/oj" TargetMode="External"/><Relationship Id="rId37" Type="http://schemas.openxmlformats.org/officeDocument/2006/relationships/hyperlink" Target="https://eur-lex.europa.eu/legal-content/PL/AUTO/?uri=OJ:L:2021:249:TOC" TargetMode="External"/><Relationship Id="rId40" Type="http://schemas.openxmlformats.org/officeDocument/2006/relationships/hyperlink" Target="http://data.europa.eu/eli/reg/2021/694/oj" TargetMode="External"/><Relationship Id="rId45" Type="http://schemas.openxmlformats.org/officeDocument/2006/relationships/hyperlink" Target="http://data.europa.eu/eli/reg/2021/697/oj" TargetMode="External"/><Relationship Id="rId53" Type="http://schemas.openxmlformats.org/officeDocument/2006/relationships/hyperlink" Target="https://eur-lex.europa.eu/legal-content/PL/AUTO/?uri=OJ:L:2007:090:TOC" TargetMode="External"/><Relationship Id="rId58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ur-lex.europa.eu/legal-content/PL/TXT/?uri=OJ:L:2023:079:TOC" TargetMode="External"/><Relationship Id="rId28" Type="http://schemas.openxmlformats.org/officeDocument/2006/relationships/hyperlink" Target="http://data.europa.eu/eli/reg/2021/695/oj" TargetMode="External"/><Relationship Id="rId36" Type="http://schemas.openxmlformats.org/officeDocument/2006/relationships/hyperlink" Target="http://data.europa.eu/eli/reg/2014/283/oj" TargetMode="External"/><Relationship Id="rId49" Type="http://schemas.openxmlformats.org/officeDocument/2006/relationships/hyperlink" Target="https://eur-lex.europa.eu/legal-content/PL/AUTO/?uri=OJ:L:2018:065:TOC" TargetMode="External"/><Relationship Id="rId57" Type="http://schemas.openxmlformats.org/officeDocument/2006/relationships/hyperlink" Target="https://eur-lex.europa.eu/legal-content/PL/TXT/?uri=OJ:C:2021:528:TOC" TargetMode="External"/><Relationship Id="rId61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://data.europa.eu/eli/reg/2018/1046/oj" TargetMode="External"/><Relationship Id="rId31" Type="http://schemas.openxmlformats.org/officeDocument/2006/relationships/hyperlink" Target="https://eur-lex.europa.eu/legal-content/PL/TXT/?uri=OJ%3AL%3A2013%3A348%3ATOC" TargetMode="External"/><Relationship Id="rId44" Type="http://schemas.openxmlformats.org/officeDocument/2006/relationships/hyperlink" Target="https://eur-lex.europa.eu/legal-content/PL/AUTO/?uri=OJ:L:2021:170:TOC" TargetMode="External"/><Relationship Id="rId52" Type="http://schemas.openxmlformats.org/officeDocument/2006/relationships/hyperlink" Target="http://data.europa.eu/eli/dec/2023/995/oj" TargetMode="External"/><Relationship Id="rId60" Type="http://schemas.openxmlformats.org/officeDocument/2006/relationships/footer" Target="footer5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ur-lex.europa.eu/legal-content/PL/TXT/?uri=uriserv%3AOJ.L_.2023.079.01.0001.01.ENG&amp;toc=OJ%3AL%3A2023%3A079%3ATOC" TargetMode="External"/><Relationship Id="rId27" Type="http://schemas.openxmlformats.org/officeDocument/2006/relationships/hyperlink" Target="https://eur-lex.europa.eu/legal-content/PL/AUTO/?uri=OJ:L:2021:170:TOC" TargetMode="External"/><Relationship Id="rId30" Type="http://schemas.openxmlformats.org/officeDocument/2006/relationships/hyperlink" Target="http://data.europa.eu/eli/reg/2021/765/oj)." TargetMode="External"/><Relationship Id="rId35" Type="http://schemas.openxmlformats.org/officeDocument/2006/relationships/hyperlink" Target="https://eur-lex.europa.eu/legal-content/PL/AUTO/?uri=OJ:L:2014:086:TOC" TargetMode="External"/><Relationship Id="rId43" Type="http://schemas.openxmlformats.org/officeDocument/2006/relationships/hyperlink" Target="http://data.europa.eu/eli/reg/2018/1046/oj" TargetMode="External"/><Relationship Id="rId48" Type="http://schemas.openxmlformats.org/officeDocument/2006/relationships/hyperlink" Target="http://data.europa.eu/eli/reg/2023/2418/oj" TargetMode="External"/><Relationship Id="rId56" Type="http://schemas.openxmlformats.org/officeDocument/2006/relationships/hyperlink" Target="https://eur-lex.europa.eu/eli/reg/2021/522/oj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eur-lex.europa.eu/legal-content/PL/TXT/?uri=OJ:L:2023:135:TOC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eur-lex.europa.eu/legal-content/PL/AUTO/?uri=OJ:L:2013:347:TOC" TargetMode="External"/><Relationship Id="rId33" Type="http://schemas.openxmlformats.org/officeDocument/2006/relationships/hyperlink" Target="https://eur-lex.europa.eu/legal-content/PL/AUTO/?uri=OJ:L:2013:115:TOC" TargetMode="External"/><Relationship Id="rId38" Type="http://schemas.openxmlformats.org/officeDocument/2006/relationships/hyperlink" Target="http://data.europa.eu/eli/reg/2021/1153/oj" TargetMode="External"/><Relationship Id="rId46" Type="http://schemas.openxmlformats.org/officeDocument/2006/relationships/hyperlink" Target="https://eur-lex.europa.eu/legal-content/PL/TXT/?uri=OJ:L:2023:185:TOC" TargetMode="External"/><Relationship Id="rId59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europa.eu/eli/dir/2009/110/oj" TargetMode="External"/><Relationship Id="rId13" Type="http://schemas.openxmlformats.org/officeDocument/2006/relationships/hyperlink" Target="https://eur-lex.europa.eu/legal-content/PL/TXT/?uri=OJ:L:2023:150:TOC" TargetMode="External"/><Relationship Id="rId18" Type="http://schemas.openxmlformats.org/officeDocument/2006/relationships/hyperlink" Target="http://data.europa.eu/eli/reg/2022/2554/oj" TargetMode="External"/><Relationship Id="rId3" Type="http://schemas.openxmlformats.org/officeDocument/2006/relationships/hyperlink" Target="https://eur-lex.europa.eu/legal-content/PL/TXT/?uri=OJ:L:2012:201:TOC" TargetMode="External"/><Relationship Id="rId7" Type="http://schemas.openxmlformats.org/officeDocument/2006/relationships/hyperlink" Target="https://eur-lex.europa.eu/legal-content/PL/TXT/?uri=OJ:L:2009:267:TOC" TargetMode="External"/><Relationship Id="rId12" Type="http://schemas.openxmlformats.org/officeDocument/2006/relationships/hyperlink" Target="http://data.europa.eu/eli/reg/2014/909/oj" TargetMode="External"/><Relationship Id="rId17" Type="http://schemas.openxmlformats.org/officeDocument/2006/relationships/hyperlink" Target="https://eur-lex.europa.eu/legal-content/PL/TXT/?uri=OJ:L:2022:333:TOC" TargetMode="External"/><Relationship Id="rId2" Type="http://schemas.openxmlformats.org/officeDocument/2006/relationships/hyperlink" Target="https://www.ema.europa.eu/en/human-regulatory-overview/post-authorisation/medicine-shortages-and-availability-issues/availability-critical-medicines" TargetMode="External"/><Relationship Id="rId16" Type="http://schemas.openxmlformats.org/officeDocument/2006/relationships/hyperlink" Target="http://data.europa.eu/eli/reg/2013/575/oj" TargetMode="External"/><Relationship Id="rId1" Type="http://schemas.openxmlformats.org/officeDocument/2006/relationships/hyperlink" Target="https://competition-policy.ec.europa.eu/state-aid/ipcei/approved-ipceis_pl" TargetMode="External"/><Relationship Id="rId6" Type="http://schemas.openxmlformats.org/officeDocument/2006/relationships/hyperlink" Target="http://data.europa.eu/eli/dir/2015/2366/oj" TargetMode="External"/><Relationship Id="rId11" Type="http://schemas.openxmlformats.org/officeDocument/2006/relationships/hyperlink" Target="https://eur-lex.europa.eu/legal-content/PL/TXT/?uri=OJ:L:2014:257:TOC" TargetMode="External"/><Relationship Id="rId5" Type="http://schemas.openxmlformats.org/officeDocument/2006/relationships/hyperlink" Target="https://eur-lex.europa.eu/legal-content/PL/TXT/?uri=OJ:L:2015:337:TOC" TargetMode="External"/><Relationship Id="rId15" Type="http://schemas.openxmlformats.org/officeDocument/2006/relationships/hyperlink" Target="https://eur-lex.europa.eu/legal-content/PL/TXT/?uri=OJ:L:2013:176:TOC" TargetMode="External"/><Relationship Id="rId10" Type="http://schemas.openxmlformats.org/officeDocument/2006/relationships/hyperlink" Target="https://eur-lex.europa.eu/eli/dir/2014/65/oj" TargetMode="External"/><Relationship Id="rId4" Type="http://schemas.openxmlformats.org/officeDocument/2006/relationships/hyperlink" Target="http://data.europa.eu/eli/reg/2012/648/oj" TargetMode="External"/><Relationship Id="rId9" Type="http://schemas.openxmlformats.org/officeDocument/2006/relationships/hyperlink" Target="https://eur-lex.europa.eu/legal-content/PL/TXT/?uri=OJ:L:2014:173:TOC" TargetMode="External"/><Relationship Id="rId14" Type="http://schemas.openxmlformats.org/officeDocument/2006/relationships/hyperlink" Target="http://data.europa.eu/eli/reg/2023/1114/o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4cd775c-4b45-4aff-9377-5f863f412b2c">EN</EC_Collab_DocumentLanguage>
    <EC_Collab_Status xmlns="94cd775c-4b45-4aff-9377-5f863f412b2c">Not Started</EC_Collab_Status>
    <EC_Collab_Reference xmlns="94cd775c-4b45-4aff-9377-5f863f412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91101ED19659B489105E64B8BBAA979" ma:contentTypeVersion="1" ma:contentTypeDescription="Create a new document in this library." ma:contentTypeScope="" ma:versionID="6348812c78e7b4996127e4dc2b522d86">
  <xsd:schema xmlns:xsd="http://www.w3.org/2001/XMLSchema" xmlns:xs="http://www.w3.org/2001/XMLSchema" xmlns:p="http://schemas.microsoft.com/office/2006/metadata/properties" xmlns:ns3="94cd775c-4b45-4aff-9377-5f863f412b2c" targetNamespace="http://schemas.microsoft.com/office/2006/metadata/properties" ma:root="true" ma:fieldsID="fc57b65f4d981a58bb4e57930e77b5fc" ns3:_="">
    <xsd:import namespace="94cd775c-4b45-4aff-9377-5f863f412b2c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775c-4b45-4aff-9377-5f863f412b2c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23F3-C209-4440-BDD9-B2AAC80B5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D9513-575F-4819-B0FC-CBDE2A81E5B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4cd775c-4b45-4aff-9377-5f863f412b2c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E3387E-DB45-4534-884F-482AB4E1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d775c-4b45-4aff-9377-5f863f412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5A9E2-7C00-4A0B-8D0A-ACDC287B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20</TotalTime>
  <Pages>8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MELANEN Anri (TRADE)</dc:creator>
  <cp:keywords/>
  <dc:description/>
  <cp:lastModifiedBy>EC CoDe</cp:lastModifiedBy>
  <cp:revision>23</cp:revision>
  <dcterms:created xsi:type="dcterms:W3CDTF">2024-01-18T08:48:00Z</dcterms:created>
  <dcterms:modified xsi:type="dcterms:W3CDTF">2024-03-04T14:44:00Z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8.0.25.0</vt:lpwstr>
  </property>
  <property fmtid="{D5CDD505-2E9C-101B-9397-08002B2CF9AE}" pid="4" name="Last edited using">
    <vt:lpwstr>LW 9.0, Build 20230317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2023-11-21T07:46:44Z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04225129-073c-492a-af93-434cc7231d13</vt:lpwstr>
  </property>
  <property fmtid="{D5CDD505-2E9C-101B-9397-08002B2CF9AE}" pid="11" name="MSIP_Label_6bd9ddd1-4d20-43f6-abfa-fc3c07406f94_ContentBits">
    <vt:lpwstr>0</vt:lpwstr>
  </property>
  <property fmtid="{D5CDD505-2E9C-101B-9397-08002B2CF9AE}" pid="12" name="Created using">
    <vt:lpwstr>LW 9.0, Build 20230317</vt:lpwstr>
  </property>
  <property fmtid="{D5CDD505-2E9C-101B-9397-08002B2CF9AE}" pid="13" name="First annex">
    <vt:lpwstr>1</vt:lpwstr>
  </property>
  <property fmtid="{D5CDD505-2E9C-101B-9397-08002B2CF9AE}" pid="14" name="Last annex">
    <vt:lpwstr>2</vt:lpwstr>
  </property>
  <property fmtid="{D5CDD505-2E9C-101B-9397-08002B2CF9AE}" pid="15" name="Unique annex">
    <vt:lpwstr>0</vt:lpwstr>
  </property>
  <property fmtid="{D5CDD505-2E9C-101B-9397-08002B2CF9AE}" pid="16" name="Part">
    <vt:lpwstr>&lt;UNUSED&gt;</vt:lpwstr>
  </property>
  <property fmtid="{D5CDD505-2E9C-101B-9397-08002B2CF9AE}" pid="17" name="Total parts">
    <vt:lpwstr>&lt;UNUSED&gt;</vt:lpwstr>
  </property>
  <property fmtid="{D5CDD505-2E9C-101B-9397-08002B2CF9AE}" pid="18" name="Level of sensitivity">
    <vt:lpwstr>Standard treatment</vt:lpwstr>
  </property>
  <property fmtid="{D5CDD505-2E9C-101B-9397-08002B2CF9AE}" pid="19" name="LWTemplateID">
    <vt:lpwstr>SG-017</vt:lpwstr>
  </property>
  <property fmtid="{D5CDD505-2E9C-101B-9397-08002B2CF9AE}" pid="20" name="ContentTypeId">
    <vt:lpwstr>0x010100258AA79CEB83498886A3A0868112325000C91101ED19659B489105E64B8BBAA979</vt:lpwstr>
  </property>
  <property fmtid="{D5CDD505-2E9C-101B-9397-08002B2CF9AE}" pid="21" name="DQCStatus">
    <vt:lpwstr>Green (DQC version 03)</vt:lpwstr>
  </property>
</Properties>
</file>