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A6236" w14:textId="761CC129" w:rsidR="00FA089C" w:rsidRPr="00EF4946" w:rsidRDefault="00445F37" w:rsidP="00445F37">
      <w:pPr>
        <w:pStyle w:val="Pagedecouverture"/>
        <w:rPr>
          <w:noProof/>
        </w:rPr>
      </w:pPr>
      <w:r>
        <w:rPr>
          <w:noProof/>
        </w:rPr>
        <w:pict w14:anchorId="17321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485FBC6-8AB0-4BF4-80D0-664F4B3F4D3D" style="width:455.25pt;height:456.75pt">
            <v:imagedata r:id="rId8" o:title=""/>
          </v:shape>
        </w:pict>
      </w:r>
    </w:p>
    <w:p w14:paraId="1C76B38C" w14:textId="77777777" w:rsidR="00FA089C" w:rsidRPr="00EF4946" w:rsidRDefault="00FA089C" w:rsidP="00FA089C">
      <w:pPr>
        <w:rPr>
          <w:noProof/>
        </w:rPr>
        <w:sectPr w:rsidR="00FA089C" w:rsidRPr="00EF4946" w:rsidSect="00445F3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10D2B424" w14:textId="77777777" w:rsidR="00FA089C" w:rsidRPr="00EF4946" w:rsidRDefault="00FA089C" w:rsidP="00FA089C">
      <w:pPr>
        <w:pStyle w:val="Annexetitre"/>
        <w:rPr>
          <w:noProof/>
        </w:rPr>
      </w:pPr>
      <w:bookmarkStart w:id="0" w:name="_GoBack"/>
      <w:bookmarkEnd w:id="0"/>
      <w:r w:rsidRPr="00EF4946">
        <w:rPr>
          <w:noProof/>
        </w:rPr>
        <w:lastRenderedPageBreak/>
        <w:t xml:space="preserve">BILAGA </w:t>
      </w:r>
    </w:p>
    <w:p w14:paraId="7E5577FB" w14:textId="77777777" w:rsidR="00BB37E9" w:rsidRPr="00EF4946" w:rsidRDefault="00FB471D" w:rsidP="00BB37E9">
      <w:pPr>
        <w:pStyle w:val="Body"/>
        <w:spacing w:before="360" w:after="0"/>
        <w:jc w:val="center"/>
        <w:rPr>
          <w:b/>
          <w:bCs/>
          <w:noProof/>
        </w:rPr>
      </w:pPr>
      <w:r w:rsidRPr="00EF4946">
        <w:rPr>
          <w:b/>
          <w:noProof/>
        </w:rPr>
        <w:t>UTKAST TILL GEMENSAMMA EES-KOMMITTÉNS BESLUT</w:t>
      </w:r>
    </w:p>
    <w:p w14:paraId="2FE8CD26" w14:textId="77777777" w:rsidR="00190A2F" w:rsidRPr="00EF4946" w:rsidRDefault="00190A2F" w:rsidP="00190A2F">
      <w:pPr>
        <w:spacing w:after="0"/>
        <w:jc w:val="center"/>
        <w:rPr>
          <w:b/>
          <w:noProof/>
          <w:color w:val="0000FF"/>
          <w:szCs w:val="24"/>
        </w:rPr>
      </w:pPr>
      <w:r w:rsidRPr="00EF4946">
        <w:rPr>
          <w:b/>
          <w:noProof/>
        </w:rPr>
        <w:t xml:space="preserve">nr </w:t>
      </w:r>
      <w:r w:rsidRPr="00EF4946">
        <w:rPr>
          <w:b/>
          <w:noProof/>
          <w:color w:val="0000FF"/>
        </w:rPr>
        <w:t>[…]</w:t>
      </w:r>
    </w:p>
    <w:p w14:paraId="1112F31D" w14:textId="77777777" w:rsidR="00190A2F" w:rsidRPr="00EF4946" w:rsidRDefault="00190A2F" w:rsidP="00190A2F">
      <w:pPr>
        <w:spacing w:before="360" w:after="0"/>
        <w:jc w:val="center"/>
        <w:rPr>
          <w:b/>
          <w:noProof/>
          <w:color w:val="0000FF"/>
          <w:szCs w:val="24"/>
        </w:rPr>
      </w:pPr>
      <w:r w:rsidRPr="00EF4946">
        <w:rPr>
          <w:b/>
          <w:noProof/>
        </w:rPr>
        <w:t xml:space="preserve">av den </w:t>
      </w:r>
      <w:r w:rsidRPr="00EF4946">
        <w:rPr>
          <w:b/>
          <w:noProof/>
          <w:color w:val="0000FF"/>
        </w:rPr>
        <w:t>[...]</w:t>
      </w:r>
    </w:p>
    <w:p w14:paraId="1F055DE1" w14:textId="77777777" w:rsidR="00190A2F" w:rsidRPr="00EF4946" w:rsidRDefault="00190A2F" w:rsidP="00190A2F">
      <w:pPr>
        <w:spacing w:before="360" w:after="360"/>
        <w:jc w:val="center"/>
        <w:rPr>
          <w:rFonts w:ascii="Times New Roman Bold" w:hAnsi="Times New Roman Bold"/>
          <w:b/>
          <w:noProof/>
          <w:color w:val="000000" w:themeColor="text1"/>
          <w:szCs w:val="24"/>
        </w:rPr>
      </w:pPr>
      <w:r w:rsidRPr="00EF4946">
        <w:rPr>
          <w:rFonts w:ascii="Times New Roman Bold" w:hAnsi="Times New Roman Bold"/>
          <w:b/>
          <w:noProof/>
          <w:color w:val="000000" w:themeColor="text1"/>
        </w:rPr>
        <w:t>om ändring av bilaga IX (Finansiella tjänster) till EES-avtalet</w:t>
      </w:r>
    </w:p>
    <w:p w14:paraId="2BEF3903" w14:textId="77777777" w:rsidR="00190A2F" w:rsidRPr="00EF4946" w:rsidRDefault="00190A2F" w:rsidP="00190A2F">
      <w:pPr>
        <w:spacing w:before="600"/>
        <w:rPr>
          <w:noProof/>
          <w:color w:val="000000" w:themeColor="text1"/>
          <w:szCs w:val="24"/>
        </w:rPr>
      </w:pPr>
      <w:r w:rsidRPr="00EF4946">
        <w:rPr>
          <w:noProof/>
          <w:color w:val="000000" w:themeColor="text1"/>
        </w:rPr>
        <w:t>GEMENSAMMA EES-KOMMITTÉN HAR ANTAGIT DETTA BESLUT</w:t>
      </w:r>
    </w:p>
    <w:p w14:paraId="136AEB61" w14:textId="77777777" w:rsidR="00190A2F" w:rsidRPr="00EF4946" w:rsidRDefault="00190A2F" w:rsidP="00190A2F">
      <w:pPr>
        <w:rPr>
          <w:noProof/>
          <w:szCs w:val="24"/>
        </w:rPr>
      </w:pPr>
      <w:r w:rsidRPr="00EF4946">
        <w:rPr>
          <w:noProof/>
        </w:rPr>
        <w:t>med beaktande av avtalet om Europeiska ekonomiska samarbetsområdet (</w:t>
      </w:r>
      <w:r w:rsidRPr="00EF4946">
        <w:rPr>
          <w:i/>
          <w:iCs/>
          <w:noProof/>
        </w:rPr>
        <w:t>EES-avtalet</w:t>
      </w:r>
      <w:r w:rsidRPr="00EF4946">
        <w:rPr>
          <w:noProof/>
        </w:rPr>
        <w:t>), särskilt artikel 98, och</w:t>
      </w:r>
    </w:p>
    <w:p w14:paraId="07D4A010" w14:textId="77777777" w:rsidR="00190A2F" w:rsidRPr="00EF4946" w:rsidRDefault="00190A2F" w:rsidP="00190A2F">
      <w:pPr>
        <w:rPr>
          <w:noProof/>
          <w:szCs w:val="24"/>
        </w:rPr>
      </w:pPr>
      <w:r w:rsidRPr="00EF4946">
        <w:rPr>
          <w:noProof/>
        </w:rPr>
        <w:t>av följande skäl:</w:t>
      </w:r>
    </w:p>
    <w:p w14:paraId="030D45A8" w14:textId="77777777" w:rsidR="00190A2F" w:rsidRPr="00EF4946" w:rsidRDefault="00190A2F" w:rsidP="002B1C35">
      <w:pPr>
        <w:pStyle w:val="Point0number"/>
        <w:numPr>
          <w:ilvl w:val="0"/>
          <w:numId w:val="13"/>
        </w:numPr>
        <w:rPr>
          <w:noProof/>
        </w:rPr>
      </w:pPr>
      <w:bookmarkStart w:id="1" w:name="_Hlk14788887"/>
      <w:bookmarkStart w:id="2" w:name="_Hlk16079167"/>
      <w:r w:rsidRPr="00EF4946">
        <w:rPr>
          <w:noProof/>
        </w:rPr>
        <w:t>Europaparlamentets och rådets förordning (EU) 2017/2401 av den 12 december 2017</w:t>
      </w:r>
      <w:bookmarkEnd w:id="1"/>
      <w:r w:rsidRPr="00EF4946">
        <w:rPr>
          <w:noProof/>
        </w:rPr>
        <w:t xml:space="preserve"> om ändring av förordning (EU) nr 575/2013 om tillsynskrav för kreditinstitut och värdepappersföretag</w:t>
      </w:r>
      <w:bookmarkEnd w:id="2"/>
      <w:r w:rsidRPr="00EF4946">
        <w:rPr>
          <w:rStyle w:val="FootnoteReference"/>
          <w:noProof/>
          <w:szCs w:val="24"/>
        </w:rPr>
        <w:footnoteReference w:id="1"/>
      </w:r>
      <w:r w:rsidRPr="00EF4946">
        <w:rPr>
          <w:noProof/>
        </w:rPr>
        <w:t xml:space="preserve"> bör införlivas med EES-avtalet.</w:t>
      </w:r>
    </w:p>
    <w:p w14:paraId="2F35E838" w14:textId="77777777" w:rsidR="00190A2F" w:rsidRPr="00EF4946" w:rsidRDefault="00190A2F" w:rsidP="00500548">
      <w:pPr>
        <w:pStyle w:val="Point0number"/>
        <w:rPr>
          <w:noProof/>
        </w:rPr>
      </w:pPr>
      <w:bookmarkStart w:id="4" w:name="_Hlk14788444"/>
      <w:r w:rsidRPr="00EF4946">
        <w:rPr>
          <w:noProof/>
        </w:rPr>
        <w:t>Europaparlamentets och rådets förordning (EU) 2017/2402 av den 12 december 2017 om ett allmänt ramverk för värdepapperisering och om inrättande av ett särskilt ramverk för enkel, transparent och standardiserad värdepapperisering samt om ändring av direktiven 2009/65/EG, 2009/138/EG och 2011/61/EU och förordningarna (EG) nr 1060/2009 och (EU) nr 648/2012</w:t>
      </w:r>
      <w:r w:rsidRPr="00EF4946">
        <w:rPr>
          <w:rStyle w:val="FootnoteReference"/>
          <w:noProof/>
          <w:szCs w:val="24"/>
        </w:rPr>
        <w:footnoteReference w:id="2"/>
      </w:r>
      <w:bookmarkEnd w:id="4"/>
      <w:r w:rsidRPr="00EF4946">
        <w:rPr>
          <w:noProof/>
        </w:rPr>
        <w:t xml:space="preserve"> bör införlivas med EES-avtalet.</w:t>
      </w:r>
    </w:p>
    <w:p w14:paraId="421A69F0" w14:textId="77777777" w:rsidR="00190A2F" w:rsidRPr="00EF4946" w:rsidRDefault="00190A2F" w:rsidP="00500548">
      <w:pPr>
        <w:pStyle w:val="Point0number"/>
        <w:rPr>
          <w:noProof/>
        </w:rPr>
      </w:pPr>
      <w:bookmarkStart w:id="5" w:name="_Hlk149841059"/>
      <w:bookmarkStart w:id="6" w:name="_Hlk16079209"/>
      <w:r w:rsidRPr="00EF4946">
        <w:rPr>
          <w:noProof/>
        </w:rPr>
        <w:t>Europaparlamentets och rådets förordning (EU) 2021/557 av den 31 mars 2021 om ändring av förordning (EU) 2017/2402 om ett allmänt ramverk för värdepapperisering och om inrättande av ett särskilt ramverk för enkel, transparent och standardiserad värdepapperisering för att stödja återhämtningen efter covid-19-krisen</w:t>
      </w:r>
      <w:r w:rsidRPr="00EF4946">
        <w:rPr>
          <w:rStyle w:val="FootnoteReference"/>
          <w:noProof/>
          <w:szCs w:val="24"/>
        </w:rPr>
        <w:footnoteReference w:id="3"/>
      </w:r>
      <w:r w:rsidRPr="00EF4946">
        <w:rPr>
          <w:noProof/>
        </w:rPr>
        <w:t xml:space="preserve"> bör införlivas med EES-avtalet.</w:t>
      </w:r>
    </w:p>
    <w:p w14:paraId="0A5EF282" w14:textId="77777777" w:rsidR="00190A2F" w:rsidRPr="00EF4946" w:rsidRDefault="00190A2F" w:rsidP="00500548">
      <w:pPr>
        <w:pStyle w:val="Point0number"/>
        <w:rPr>
          <w:noProof/>
        </w:rPr>
      </w:pPr>
      <w:bookmarkStart w:id="8" w:name="_Hlk149841277"/>
      <w:bookmarkEnd w:id="5"/>
      <w:r w:rsidRPr="00EF4946">
        <w:rPr>
          <w:noProof/>
        </w:rPr>
        <w:t>Europaparlamentets och rådets förordning (EU) 2021/558 av den 31 mars 2021 om ändring av förordning (EU) nr 575/2013 vad gäller anpassningar av ramverket för värdepapperisering för att stödja den ekonomiska återhämtningen med anledning av covid-19-krisen</w:t>
      </w:r>
      <w:r w:rsidRPr="00EF4946">
        <w:rPr>
          <w:rStyle w:val="FootnoteReference"/>
          <w:noProof/>
          <w:szCs w:val="24"/>
        </w:rPr>
        <w:footnoteReference w:id="4"/>
      </w:r>
      <w:bookmarkEnd w:id="8"/>
      <w:r w:rsidRPr="00EF4946">
        <w:rPr>
          <w:noProof/>
        </w:rPr>
        <w:t xml:space="preserve"> bör införlivas med EES-avtalet.</w:t>
      </w:r>
    </w:p>
    <w:p w14:paraId="778A224A" w14:textId="77777777" w:rsidR="00190A2F" w:rsidRPr="00EF4946" w:rsidRDefault="00190A2F" w:rsidP="00500548">
      <w:pPr>
        <w:pStyle w:val="Point0number"/>
        <w:rPr>
          <w:noProof/>
        </w:rPr>
      </w:pPr>
      <w:r w:rsidRPr="00EF4946">
        <w:rPr>
          <w:noProof/>
        </w:rPr>
        <w:t>Kommissionens delegerade förordning (EU) 2018/1221 av den 1 juni 2018 om ändring av delegerad förordning (EU) 2015/35 vad gäller beräkningen av lagstadgade kapitalkrav för värdepapperiseringar och STS-värdepapperiseringar som innehas av försäkrings- och återförsäkringsföretag</w:t>
      </w:r>
      <w:bookmarkEnd w:id="6"/>
      <w:r w:rsidRPr="00EF4946">
        <w:rPr>
          <w:rStyle w:val="FootnoteReference"/>
          <w:noProof/>
          <w:szCs w:val="24"/>
        </w:rPr>
        <w:footnoteReference w:id="5"/>
      </w:r>
      <w:r w:rsidRPr="00EF4946">
        <w:rPr>
          <w:noProof/>
        </w:rPr>
        <w:t xml:space="preserve"> bör införlivas med EES-avtalet.</w:t>
      </w:r>
    </w:p>
    <w:p w14:paraId="09527283" w14:textId="77777777" w:rsidR="00190A2F" w:rsidRPr="00EF4946" w:rsidRDefault="00190A2F" w:rsidP="00500548">
      <w:pPr>
        <w:pStyle w:val="Point0number"/>
        <w:rPr>
          <w:noProof/>
        </w:rPr>
      </w:pPr>
      <w:r w:rsidRPr="00EF4946">
        <w:rPr>
          <w:noProof/>
        </w:rPr>
        <w:t>Eftastaterna bör, när de fastställer vilka länder som ska finnas med i förteckningen över icke samarbetsvilliga jurisdiktioner i sin nationella lagstiftning, ta största möjliga hänsyn till EU:s förteckning över icke samarbetsvilliga jurisdiktioner på skatteområdet.</w:t>
      </w:r>
    </w:p>
    <w:p w14:paraId="3AFFC85B" w14:textId="77777777" w:rsidR="00190A2F" w:rsidRPr="00EF4946" w:rsidRDefault="00190A2F" w:rsidP="00500548">
      <w:pPr>
        <w:pStyle w:val="Point0number"/>
        <w:rPr>
          <w:noProof/>
        </w:rPr>
      </w:pPr>
      <w:r w:rsidRPr="00EF4946">
        <w:rPr>
          <w:noProof/>
        </w:rPr>
        <w:t>Bilaga IX till EES-avtalet bör därför ändras i enlighet med detta.</w:t>
      </w:r>
    </w:p>
    <w:p w14:paraId="01B630D1" w14:textId="77777777" w:rsidR="00190A2F" w:rsidRPr="00EF4946" w:rsidRDefault="00190A2F" w:rsidP="00190A2F">
      <w:pPr>
        <w:keepNext/>
        <w:tabs>
          <w:tab w:val="left" w:pos="709"/>
        </w:tabs>
        <w:rPr>
          <w:noProof/>
          <w:color w:val="000000" w:themeColor="text1"/>
          <w:szCs w:val="24"/>
        </w:rPr>
      </w:pPr>
      <w:r w:rsidRPr="00EF4946">
        <w:rPr>
          <w:noProof/>
          <w:color w:val="000000" w:themeColor="text1"/>
        </w:rPr>
        <w:t>HÄRIGENOM FÖRESKRIVS FÖLJANDE.</w:t>
      </w:r>
    </w:p>
    <w:p w14:paraId="457B68AA" w14:textId="77777777" w:rsidR="00190A2F" w:rsidRPr="00EF4946" w:rsidRDefault="00190A2F" w:rsidP="00190A2F">
      <w:pPr>
        <w:pStyle w:val="Articleheading"/>
        <w:rPr>
          <w:noProof/>
        </w:rPr>
      </w:pPr>
      <w:r w:rsidRPr="00EF4946">
        <w:rPr>
          <w:noProof/>
        </w:rPr>
        <w:t>Artikel 1</w:t>
      </w:r>
    </w:p>
    <w:p w14:paraId="2A6B1814" w14:textId="77777777" w:rsidR="00190A2F" w:rsidRPr="00EF4946" w:rsidRDefault="00190A2F" w:rsidP="00190A2F">
      <w:pPr>
        <w:pStyle w:val="Articletext"/>
        <w:rPr>
          <w:noProof/>
          <w:color w:val="auto"/>
        </w:rPr>
      </w:pPr>
      <w:r w:rsidRPr="00EF4946">
        <w:rPr>
          <w:noProof/>
          <w:color w:val="auto"/>
        </w:rPr>
        <w:t>Bilaga IX till EES-avtalet ska ändras på följande sätt:</w:t>
      </w:r>
    </w:p>
    <w:p w14:paraId="69878B55" w14:textId="77777777" w:rsidR="00190A2F" w:rsidRPr="00EF4946" w:rsidRDefault="00190A2F" w:rsidP="00190A2F">
      <w:pPr>
        <w:pStyle w:val="Point0"/>
        <w:rPr>
          <w:noProof/>
        </w:rPr>
      </w:pPr>
      <w:r w:rsidRPr="00EF4946">
        <w:rPr>
          <w:noProof/>
        </w:rPr>
        <w:t>1.</w:t>
      </w:r>
      <w:r w:rsidRPr="00EF4946">
        <w:rPr>
          <w:noProof/>
        </w:rPr>
        <w:tab/>
        <w:t>Följande strecksats ska läggas till i punkterna 1 (Europaparlamentets och rådets direktiv 2009/138/EG), 30 (Europaparlamentets och rådets direktiv 2009/65/EG), 31bb (Europaparlamentets och rådets direktiv 2011/61/EU) och 31bc (Europaparlamentets och rådets förordning (EU) nr 648/2012):</w:t>
      </w:r>
    </w:p>
    <w:p w14:paraId="0FF93471" w14:textId="77777777" w:rsidR="00190A2F" w:rsidRPr="00EF4946" w:rsidRDefault="00190A2F" w:rsidP="00190A2F">
      <w:pPr>
        <w:pStyle w:val="Point1"/>
        <w:rPr>
          <w:noProof/>
        </w:rPr>
      </w:pPr>
      <w:r w:rsidRPr="00EF4946">
        <w:rPr>
          <w:noProof/>
        </w:rPr>
        <w:t>”–</w:t>
      </w:r>
      <w:r w:rsidRPr="00EF4946">
        <w:rPr>
          <w:noProof/>
        </w:rPr>
        <w:tab/>
      </w:r>
      <w:r w:rsidRPr="00EF4946">
        <w:rPr>
          <w:b/>
          <w:noProof/>
        </w:rPr>
        <w:t>32017 R 2402</w:t>
      </w:r>
      <w:r w:rsidRPr="00EF4946">
        <w:rPr>
          <w:noProof/>
        </w:rPr>
        <w:t>: Europaparlamentets och rådets förordning (EU) 2017/2402 av den 12 december 2017 (EUT L 347, 28.12.2017, s. 35)”.</w:t>
      </w:r>
    </w:p>
    <w:p w14:paraId="665D907D" w14:textId="77777777" w:rsidR="00190A2F" w:rsidRPr="00EF4946" w:rsidRDefault="00190A2F" w:rsidP="00190A2F">
      <w:pPr>
        <w:pStyle w:val="Point0"/>
        <w:rPr>
          <w:noProof/>
        </w:rPr>
      </w:pPr>
      <w:r w:rsidRPr="00EF4946">
        <w:rPr>
          <w:noProof/>
        </w:rPr>
        <w:t>2.</w:t>
      </w:r>
      <w:r w:rsidRPr="00EF4946">
        <w:rPr>
          <w:noProof/>
        </w:rPr>
        <w:tab/>
        <w:t>Punkt 1b (kommissionens delegerade förordning (EU) 2015/35) ska ändras på följande sätt:</w:t>
      </w:r>
    </w:p>
    <w:p w14:paraId="2E7D0984" w14:textId="77777777" w:rsidR="00190A2F" w:rsidRPr="00EF4946" w:rsidRDefault="00190A2F" w:rsidP="00190A2F">
      <w:pPr>
        <w:pStyle w:val="Point1"/>
        <w:rPr>
          <w:noProof/>
        </w:rPr>
      </w:pPr>
      <w:r w:rsidRPr="00EF4946">
        <w:rPr>
          <w:noProof/>
        </w:rPr>
        <w:t>i)</w:t>
      </w:r>
      <w:r w:rsidRPr="00EF4946">
        <w:rPr>
          <w:noProof/>
        </w:rPr>
        <w:tab/>
        <w:t>Följande strecksats ska läggas till:</w:t>
      </w:r>
    </w:p>
    <w:p w14:paraId="0DE2DB55" w14:textId="77777777" w:rsidR="00190A2F" w:rsidRPr="00EF4946" w:rsidRDefault="00190A2F" w:rsidP="00190A2F">
      <w:pPr>
        <w:pStyle w:val="Point2"/>
        <w:rPr>
          <w:noProof/>
        </w:rPr>
      </w:pPr>
      <w:r w:rsidRPr="00EF4946">
        <w:rPr>
          <w:noProof/>
        </w:rPr>
        <w:t>”–</w:t>
      </w:r>
      <w:r w:rsidRPr="00EF4946">
        <w:rPr>
          <w:noProof/>
        </w:rPr>
        <w:tab/>
      </w:r>
      <w:r w:rsidRPr="00EF4946">
        <w:rPr>
          <w:b/>
          <w:noProof/>
        </w:rPr>
        <w:t>32018 R 1221</w:t>
      </w:r>
      <w:r w:rsidRPr="00EF4946">
        <w:rPr>
          <w:noProof/>
        </w:rPr>
        <w:t>: Kommissionens delegerade förordning (EU) 2018/1221 av den 1 juni 2018 (EUT L 227, 10.9.2018, s. 1)”.</w:t>
      </w:r>
    </w:p>
    <w:p w14:paraId="5304FF34" w14:textId="77777777" w:rsidR="00190A2F" w:rsidRPr="00EF4946" w:rsidRDefault="00190A2F" w:rsidP="00190A2F">
      <w:pPr>
        <w:pStyle w:val="Point1"/>
        <w:rPr>
          <w:noProof/>
        </w:rPr>
      </w:pPr>
      <w:r w:rsidRPr="00EF4946">
        <w:rPr>
          <w:noProof/>
        </w:rPr>
        <w:t>ii)</w:t>
      </w:r>
      <w:r w:rsidRPr="00EF4946">
        <w:rPr>
          <w:noProof/>
        </w:rPr>
        <w:tab/>
        <w:t>Anpassningarna b och c ska betecknas anpassningarna d och e.</w:t>
      </w:r>
    </w:p>
    <w:p w14:paraId="01BF57FE" w14:textId="77777777" w:rsidR="00190A2F" w:rsidRPr="00EF4946" w:rsidRDefault="00190A2F" w:rsidP="00190A2F">
      <w:pPr>
        <w:pStyle w:val="Point1"/>
        <w:rPr>
          <w:noProof/>
        </w:rPr>
      </w:pPr>
      <w:r w:rsidRPr="00EF4946">
        <w:rPr>
          <w:noProof/>
        </w:rPr>
        <w:t>iii)</w:t>
      </w:r>
      <w:r w:rsidRPr="00EF4946">
        <w:rPr>
          <w:noProof/>
        </w:rPr>
        <w:tab/>
        <w:t>Följande anpassningar ska införas:</w:t>
      </w:r>
    </w:p>
    <w:p w14:paraId="249F668B" w14:textId="77777777" w:rsidR="00190A2F" w:rsidRPr="00EF4946" w:rsidRDefault="00190A2F" w:rsidP="00190A2F">
      <w:pPr>
        <w:pStyle w:val="Adaptation"/>
        <w:rPr>
          <w:noProof/>
        </w:rPr>
      </w:pPr>
      <w:r w:rsidRPr="00EF4946">
        <w:rPr>
          <w:noProof/>
        </w:rPr>
        <w:t>”b)</w:t>
      </w:r>
      <w:r w:rsidRPr="00EF4946">
        <w:rPr>
          <w:noProof/>
        </w:rPr>
        <w:tab/>
        <w:t>Artikel 178a ska, med avseende på Eftastaterna, ändras på följande sätt:</w:t>
      </w:r>
    </w:p>
    <w:p w14:paraId="122DAFFA" w14:textId="77777777" w:rsidR="00190A2F" w:rsidRPr="00EF4946" w:rsidRDefault="00190A2F" w:rsidP="00190A2F">
      <w:pPr>
        <w:pStyle w:val="Adaptation"/>
        <w:ind w:left="2836" w:hanging="863"/>
        <w:rPr>
          <w:noProof/>
        </w:rPr>
      </w:pPr>
      <w:r w:rsidRPr="00EF4946">
        <w:rPr>
          <w:noProof/>
        </w:rPr>
        <w:t>i)</w:t>
      </w:r>
      <w:r w:rsidRPr="00EF4946">
        <w:rPr>
          <w:noProof/>
        </w:rPr>
        <w:tab/>
        <w:t>I punkterna 1 och 4 ska ’den 1 januari 2019’ ersättas med ’dagen för ikraftträdandet av gemensamma EES-kommitténs beslut nr …/… av den … [detta beslut]’.</w:t>
      </w:r>
    </w:p>
    <w:p w14:paraId="7DC4CD41" w14:textId="07BAFA36" w:rsidR="00190A2F" w:rsidRPr="00EF4946" w:rsidRDefault="00190A2F" w:rsidP="00190A2F">
      <w:pPr>
        <w:pStyle w:val="Adaptation"/>
        <w:ind w:left="2836" w:hanging="863"/>
        <w:rPr>
          <w:noProof/>
        </w:rPr>
      </w:pPr>
      <w:r w:rsidRPr="00EF4946">
        <w:rPr>
          <w:noProof/>
        </w:rPr>
        <w:t>ii)</w:t>
      </w:r>
      <w:r w:rsidRPr="00EF4946">
        <w:rPr>
          <w:noProof/>
        </w:rPr>
        <w:tab/>
        <w:t xml:space="preserve">I punkterna 1–4 ska ’den 31 december 2018’ ersättas med ’dagen före ikraftträdandet av gemensamma EES-kommitténs beslut nr …/… av den … [detta beslut]’. </w:t>
      </w:r>
    </w:p>
    <w:p w14:paraId="020322BD" w14:textId="77777777" w:rsidR="00190A2F" w:rsidRPr="00EF4946" w:rsidRDefault="00190A2F" w:rsidP="00190A2F">
      <w:pPr>
        <w:pStyle w:val="Adaptation"/>
        <w:ind w:left="2836" w:hanging="863"/>
        <w:rPr>
          <w:noProof/>
        </w:rPr>
      </w:pPr>
      <w:r w:rsidRPr="00EF4946">
        <w:rPr>
          <w:noProof/>
        </w:rPr>
        <w:t>iii)</w:t>
      </w:r>
      <w:r w:rsidRPr="00EF4946">
        <w:rPr>
          <w:noProof/>
        </w:rPr>
        <w:tab/>
        <w:t>I punkt 3 ska ’den 18 januari 2015’ ersättas med ’dagen för ikraftträdandet av gemensamma EES-kommitténs beslut nr 62/2018 av den 23 mars 2018’.</w:t>
      </w:r>
    </w:p>
    <w:p w14:paraId="4D586455" w14:textId="77777777" w:rsidR="00190A2F" w:rsidRPr="00EF4946" w:rsidRDefault="00190A2F" w:rsidP="00190A2F">
      <w:pPr>
        <w:pStyle w:val="Adaptation"/>
        <w:rPr>
          <w:noProof/>
        </w:rPr>
      </w:pPr>
      <w:r w:rsidRPr="00EF4946">
        <w:rPr>
          <w:noProof/>
        </w:rPr>
        <w:t>c)</w:t>
      </w:r>
      <w:r w:rsidRPr="00EF4946">
        <w:rPr>
          <w:noProof/>
        </w:rPr>
        <w:tab/>
        <w:t>Artikel 180 ska, med avseende på Eftastaterna, ändras på följande sätt:</w:t>
      </w:r>
    </w:p>
    <w:p w14:paraId="530DE925" w14:textId="77777777" w:rsidR="00190A2F" w:rsidRPr="00EF4946" w:rsidRDefault="00190A2F" w:rsidP="00190A2F">
      <w:pPr>
        <w:pStyle w:val="Adaptation"/>
        <w:ind w:left="2836" w:hanging="863"/>
        <w:rPr>
          <w:noProof/>
        </w:rPr>
      </w:pPr>
      <w:r w:rsidRPr="00EF4946">
        <w:rPr>
          <w:noProof/>
        </w:rPr>
        <w:t>i)</w:t>
      </w:r>
      <w:r w:rsidRPr="00EF4946">
        <w:rPr>
          <w:noProof/>
        </w:rPr>
        <w:tab/>
        <w:t>I punkt 10a ska ’den 1 januari 2019’ ersättas med ’dagen för ikraftträdandet av gemensamma EES-kommitténs beslut nr …/… av den … [detta beslut]’.</w:t>
      </w:r>
    </w:p>
    <w:p w14:paraId="57B6203C" w14:textId="77777777" w:rsidR="00190A2F" w:rsidRPr="00EF4946" w:rsidRDefault="00190A2F" w:rsidP="00190A2F">
      <w:pPr>
        <w:pStyle w:val="Adaptation"/>
        <w:ind w:left="2828" w:hanging="855"/>
        <w:rPr>
          <w:noProof/>
        </w:rPr>
      </w:pPr>
      <w:r w:rsidRPr="00EF4946">
        <w:rPr>
          <w:noProof/>
        </w:rPr>
        <w:t>ii)</w:t>
      </w:r>
      <w:r w:rsidRPr="00EF4946">
        <w:rPr>
          <w:noProof/>
        </w:rPr>
        <w:tab/>
        <w:t>I punkt 10a ska ’den 31 december 2018’ ersättas med ’dagen före ikraftträdandet av gemensamma EES-kommitténs beslut nr …/… av den … [detta beslut]’.”</w:t>
      </w:r>
    </w:p>
    <w:p w14:paraId="00FF77F1" w14:textId="77777777" w:rsidR="00190A2F" w:rsidRPr="00EF4946" w:rsidRDefault="00190A2F" w:rsidP="00190A2F">
      <w:pPr>
        <w:pStyle w:val="Point0"/>
        <w:rPr>
          <w:noProof/>
        </w:rPr>
      </w:pPr>
      <w:r w:rsidRPr="00EF4946">
        <w:rPr>
          <w:noProof/>
        </w:rPr>
        <w:t>3.</w:t>
      </w:r>
      <w:r w:rsidRPr="00EF4946">
        <w:rPr>
          <w:noProof/>
        </w:rPr>
        <w:tab/>
        <w:t>Punkt 14a (Europaparlamentets och rådets förordning (EU) nr 575/2013) ska ändras på följande sätt:</w:t>
      </w:r>
    </w:p>
    <w:p w14:paraId="63A8F95E" w14:textId="5838CD2F" w:rsidR="00190A2F" w:rsidRPr="00EF4946" w:rsidRDefault="00190A2F" w:rsidP="00190A2F">
      <w:pPr>
        <w:pStyle w:val="Point1"/>
        <w:rPr>
          <w:noProof/>
        </w:rPr>
      </w:pPr>
      <w:r w:rsidRPr="00EF4946">
        <w:rPr>
          <w:noProof/>
        </w:rPr>
        <w:t>i)</w:t>
      </w:r>
      <w:r w:rsidRPr="00EF4946">
        <w:rPr>
          <w:noProof/>
        </w:rPr>
        <w:tab/>
        <w:t>Följande strecksatser ska läggas till:</w:t>
      </w:r>
    </w:p>
    <w:p w14:paraId="64737A6B" w14:textId="77777777" w:rsidR="00190A2F" w:rsidRPr="00EF4946" w:rsidRDefault="00190A2F" w:rsidP="00190A2F">
      <w:pPr>
        <w:pStyle w:val="Point2"/>
        <w:rPr>
          <w:noProof/>
        </w:rPr>
      </w:pPr>
      <w:r w:rsidRPr="00EF4946">
        <w:rPr>
          <w:noProof/>
        </w:rPr>
        <w:t>”–</w:t>
      </w:r>
      <w:r w:rsidRPr="00EF4946">
        <w:rPr>
          <w:noProof/>
        </w:rPr>
        <w:tab/>
      </w:r>
      <w:r w:rsidRPr="00EF4946">
        <w:rPr>
          <w:b/>
          <w:noProof/>
        </w:rPr>
        <w:t>32017 R 2401</w:t>
      </w:r>
      <w:r w:rsidRPr="00EF4946">
        <w:rPr>
          <w:noProof/>
        </w:rPr>
        <w:t>: Europaparlamentets och rådets förordning (EU) 2017/2401 av den 12 december 2017 (EUT L 347, 28.12.2017, s. 1)</w:t>
      </w:r>
    </w:p>
    <w:p w14:paraId="3D2C360F" w14:textId="77777777" w:rsidR="00190A2F" w:rsidRPr="00EF4946" w:rsidRDefault="00190A2F" w:rsidP="00190A2F">
      <w:pPr>
        <w:pStyle w:val="Point2"/>
        <w:rPr>
          <w:noProof/>
        </w:rPr>
      </w:pPr>
      <w:r w:rsidRPr="00EF4946">
        <w:rPr>
          <w:noProof/>
        </w:rPr>
        <w:t>–</w:t>
      </w:r>
      <w:r w:rsidRPr="00EF4946">
        <w:rPr>
          <w:noProof/>
        </w:rPr>
        <w:tab/>
      </w:r>
      <w:r w:rsidRPr="00EF4946">
        <w:rPr>
          <w:b/>
          <w:noProof/>
        </w:rPr>
        <w:t>32021 R 0558</w:t>
      </w:r>
      <w:r w:rsidRPr="00EF4946">
        <w:rPr>
          <w:noProof/>
        </w:rPr>
        <w:t>: Europaparlamentets och rådets förordning (EU) 2021/558 av den 31 mars 2021 (EUT L 116, 6.4.2021, s. 25)”.</w:t>
      </w:r>
    </w:p>
    <w:p w14:paraId="6422B976" w14:textId="77777777" w:rsidR="00190A2F" w:rsidRPr="00EF4946" w:rsidRDefault="00190A2F" w:rsidP="00190A2F">
      <w:pPr>
        <w:pStyle w:val="Point1"/>
        <w:rPr>
          <w:noProof/>
        </w:rPr>
      </w:pPr>
      <w:r w:rsidRPr="00EF4946">
        <w:rPr>
          <w:noProof/>
        </w:rPr>
        <w:t>ii)</w:t>
      </w:r>
      <w:r w:rsidRPr="00EF4946">
        <w:rPr>
          <w:noProof/>
        </w:rPr>
        <w:tab/>
        <w:t>Anpassningarna k–r ska betecknas anpassningarna m–t.</w:t>
      </w:r>
    </w:p>
    <w:p w14:paraId="2331BFCE" w14:textId="77777777" w:rsidR="00190A2F" w:rsidRPr="00EF4946" w:rsidRDefault="00190A2F" w:rsidP="00190A2F">
      <w:pPr>
        <w:pStyle w:val="Point1"/>
        <w:rPr>
          <w:noProof/>
        </w:rPr>
      </w:pPr>
      <w:r w:rsidRPr="00EF4946">
        <w:rPr>
          <w:noProof/>
        </w:rPr>
        <w:t>iii)</w:t>
      </w:r>
      <w:r w:rsidRPr="00EF4946">
        <w:rPr>
          <w:noProof/>
        </w:rPr>
        <w:tab/>
        <w:t>Följande anpassningar ska införas efter anpassning j:</w:t>
      </w:r>
    </w:p>
    <w:p w14:paraId="469816CE" w14:textId="00982F09" w:rsidR="00190A2F" w:rsidRPr="00EF4946" w:rsidRDefault="00190A2F" w:rsidP="00190A2F">
      <w:pPr>
        <w:pStyle w:val="Adaptation"/>
        <w:ind w:left="2127" w:hanging="706"/>
        <w:rPr>
          <w:noProof/>
        </w:rPr>
      </w:pPr>
      <w:r w:rsidRPr="00EF4946">
        <w:rPr>
          <w:noProof/>
        </w:rPr>
        <w:t>”k)</w:t>
      </w:r>
      <w:r w:rsidRPr="00EF4946">
        <w:rPr>
          <w:noProof/>
        </w:rPr>
        <w:tab/>
        <w:t xml:space="preserve">I artikel 254.3 andra stycket ska, med avseende på Eftastaterna, ’2018’ ersättas med ’det år då gemensamma EES-kommitténs beslut nr …/… av den … [detta beslut] träder i kraft’.” </w:t>
      </w:r>
    </w:p>
    <w:p w14:paraId="53AFB5ED" w14:textId="77777777" w:rsidR="00190A2F" w:rsidRPr="00EF4946" w:rsidRDefault="00190A2F" w:rsidP="00190A2F">
      <w:pPr>
        <w:pStyle w:val="Point0"/>
        <w:rPr>
          <w:noProof/>
        </w:rPr>
      </w:pPr>
      <w:r w:rsidRPr="00EF4946">
        <w:rPr>
          <w:noProof/>
        </w:rPr>
        <w:t>4.</w:t>
      </w:r>
      <w:r w:rsidRPr="00EF4946">
        <w:rPr>
          <w:noProof/>
        </w:rPr>
        <w:tab/>
        <w:t>Följande ska införas efter punkt 31bj (Europaparlamentets och rådets direktiv (EU) 2019/2162):</w:t>
      </w:r>
    </w:p>
    <w:p w14:paraId="16E31DD1" w14:textId="77777777" w:rsidR="00190A2F" w:rsidRPr="00EF4946" w:rsidRDefault="00190A2F" w:rsidP="00190A2F">
      <w:pPr>
        <w:pStyle w:val="Point1"/>
        <w:tabs>
          <w:tab w:val="left" w:pos="1560"/>
        </w:tabs>
        <w:ind w:left="1560" w:hanging="709"/>
        <w:rPr>
          <w:noProof/>
        </w:rPr>
      </w:pPr>
      <w:r w:rsidRPr="00EF4946">
        <w:rPr>
          <w:noProof/>
        </w:rPr>
        <w:t>”31bk.</w:t>
      </w:r>
      <w:r w:rsidRPr="00EF4946">
        <w:rPr>
          <w:noProof/>
        </w:rPr>
        <w:tab/>
      </w:r>
      <w:r w:rsidRPr="00EF4946">
        <w:rPr>
          <w:b/>
          <w:noProof/>
        </w:rPr>
        <w:t>32017 R 2402</w:t>
      </w:r>
      <w:r w:rsidRPr="00EF4946">
        <w:rPr>
          <w:noProof/>
        </w:rPr>
        <w:t>: Europaparlamentets och rådets förordning (EU) 2017/2402 av den 12 december 2017 om ett allmänt ramverk för värdepapperisering och om inrättande av ett särskilt ramverk för enkel, transparent och standardiserad värdepapperisering samt om ändring av direktiven 2009/65/EG, 2009/138/EG och 2011/61/EU och förordningarna (EG) nr 1060/2009 och (EU) nr 648/2012 (EUT L 347, 28.12.2017, s. 35), i dess ändrade lydelse enligt:</w:t>
      </w:r>
    </w:p>
    <w:p w14:paraId="21FB90CD" w14:textId="77777777" w:rsidR="00190A2F" w:rsidRPr="00EF4946" w:rsidRDefault="00190A2F" w:rsidP="00190A2F">
      <w:pPr>
        <w:pStyle w:val="Point1"/>
        <w:ind w:left="2127"/>
        <w:rPr>
          <w:noProof/>
        </w:rPr>
      </w:pPr>
      <w:r w:rsidRPr="00EF4946">
        <w:rPr>
          <w:noProof/>
        </w:rPr>
        <w:t>–</w:t>
      </w:r>
      <w:r w:rsidRPr="00EF4946">
        <w:rPr>
          <w:noProof/>
        </w:rPr>
        <w:tab/>
      </w:r>
      <w:r w:rsidRPr="00EF4946">
        <w:rPr>
          <w:b/>
          <w:noProof/>
        </w:rPr>
        <w:t>32021 R 0557</w:t>
      </w:r>
      <w:r w:rsidRPr="00EF4946">
        <w:rPr>
          <w:noProof/>
        </w:rPr>
        <w:t>: Europaparlamentets och rådets förordning (EU) 2021/557 av den 31 mars 2021 (EUT L 116, 6.4.2021, s. 1)</w:t>
      </w:r>
    </w:p>
    <w:p w14:paraId="4AEED2F3" w14:textId="77777777" w:rsidR="00190A2F" w:rsidRPr="00EF4946" w:rsidRDefault="00190A2F" w:rsidP="00190A2F">
      <w:pPr>
        <w:pStyle w:val="Point1"/>
        <w:ind w:left="1560" w:hanging="142"/>
        <w:rPr>
          <w:noProof/>
        </w:rPr>
      </w:pPr>
      <w:r w:rsidRPr="00EF4946">
        <w:rPr>
          <w:noProof/>
        </w:rPr>
        <w:tab/>
        <w:t>Bestämmelserna i förordningen ska, inom ramen för detta avtal, tillämpas med följande anpassningar:</w:t>
      </w:r>
    </w:p>
    <w:p w14:paraId="471FA33F" w14:textId="77777777" w:rsidR="00190A2F" w:rsidRPr="00EF4946" w:rsidRDefault="00190A2F" w:rsidP="00190A2F">
      <w:pPr>
        <w:pStyle w:val="Adaptation"/>
        <w:ind w:left="2127"/>
        <w:rPr>
          <w:noProof/>
        </w:rPr>
      </w:pPr>
      <w:r w:rsidRPr="00EF4946">
        <w:rPr>
          <w:noProof/>
        </w:rPr>
        <w:t>a)</w:t>
      </w:r>
      <w:r w:rsidRPr="00EF4946">
        <w:rPr>
          <w:noProof/>
        </w:rPr>
        <w:tab/>
        <w:t>Utan hinder av bestämmelserna i protokoll 1 ska, såvida inte annat föreskrivs i avtalet, begreppen medlemsstater och behöriga myndigheter, utöver den innebörd de har i förordningen, anses inbegripa Eftastaterna respektive deras behöriga myndigheter.</w:t>
      </w:r>
    </w:p>
    <w:p w14:paraId="23C6821A" w14:textId="77777777" w:rsidR="00190A2F" w:rsidRPr="00EF4946" w:rsidRDefault="00190A2F" w:rsidP="00190A2F">
      <w:pPr>
        <w:pStyle w:val="Adaptation"/>
        <w:ind w:left="2127"/>
        <w:rPr>
          <w:noProof/>
        </w:rPr>
      </w:pPr>
      <w:r w:rsidRPr="00EF4946">
        <w:rPr>
          <w:noProof/>
        </w:rPr>
        <w:t>b)</w:t>
      </w:r>
      <w:r w:rsidRPr="00EF4946">
        <w:rPr>
          <w:noProof/>
        </w:rPr>
        <w:tab/>
        <w:t>Hänvisningar i förordningen till Europeiska värdepappers- och marknadsmyndighetens (Esma) befogenheter enligt Europaparlamentets och rådets förordning (EU) nr 648/2012, Europaparlamentets och rådets förordning (EU) nr 1095/2010 och Europaparlamentets och rådets förordning (EU) nr 600/2014 ska, i de fall som avses och i enlighet med detta avtal, förstås som hänvisningar till Eftas övervakningsmyndighets befogenheter med avseende på Eftastaterna.</w:t>
      </w:r>
    </w:p>
    <w:p w14:paraId="1179ED99" w14:textId="77777777" w:rsidR="00190A2F" w:rsidRPr="00EF4946" w:rsidRDefault="00190A2F" w:rsidP="00190A2F">
      <w:pPr>
        <w:pStyle w:val="Adaptation"/>
        <w:ind w:left="2127"/>
        <w:rPr>
          <w:noProof/>
        </w:rPr>
      </w:pPr>
      <w:r w:rsidRPr="00EF4946">
        <w:rPr>
          <w:noProof/>
        </w:rPr>
        <w:t>c)</w:t>
      </w:r>
      <w:r w:rsidRPr="00EF4946">
        <w:rPr>
          <w:noProof/>
        </w:rPr>
        <w:tab/>
        <w:t xml:space="preserve">Om inte annat föreskrivs i detta avtal ska Esma och Eftas övervakningsmyndighet samarbeta, utbyta information och samråda med varandra vid tillämpningen av förordningen, i synnerhet innan åtgärder vidtas. </w:t>
      </w:r>
    </w:p>
    <w:p w14:paraId="0D9CCB5F" w14:textId="77777777" w:rsidR="00190A2F" w:rsidRPr="00EF4946" w:rsidRDefault="00190A2F" w:rsidP="00190A2F">
      <w:pPr>
        <w:pStyle w:val="Adaptation"/>
        <w:ind w:left="2127"/>
        <w:rPr>
          <w:noProof/>
        </w:rPr>
      </w:pPr>
      <w:r w:rsidRPr="00EF4946">
        <w:rPr>
          <w:noProof/>
        </w:rPr>
        <w:t>d)</w:t>
      </w:r>
      <w:r w:rsidRPr="00EF4946">
        <w:rPr>
          <w:noProof/>
        </w:rPr>
        <w:tab/>
        <w:t>Beslut, interimistiska beslut, underrättelser, enkla begäranden, återkallelse av beslut och andra åtgärder från Eftas övervakningsmyndighet enligt artiklarna 10.6, 12 och 15 ska utan onödigt dröjsmål antas på grundval av utkast som utarbetas av Esma på eget initiativ eller på begäran av Eftas övervakningsmyndighet.</w:t>
      </w:r>
    </w:p>
    <w:p w14:paraId="5332A53F" w14:textId="77777777" w:rsidR="00190A2F" w:rsidRPr="00EF4946" w:rsidRDefault="00190A2F" w:rsidP="00190A2F">
      <w:pPr>
        <w:pStyle w:val="Adaptation"/>
        <w:ind w:left="2127"/>
        <w:rPr>
          <w:noProof/>
        </w:rPr>
      </w:pPr>
      <w:r w:rsidRPr="00EF4946">
        <w:rPr>
          <w:noProof/>
        </w:rPr>
        <w:t>e)</w:t>
      </w:r>
      <w:r w:rsidRPr="00EF4946">
        <w:rPr>
          <w:noProof/>
        </w:rPr>
        <w:tab/>
        <w:t>Artikel 4 aa ska, med avseende på Eftastaterna, ersättas med ’Tredjelandet anses vara en icke samarbetsvillig jurisdiktion enligt definitionen i den berörda Eftastatens nationella lagstiftning.’</w:t>
      </w:r>
    </w:p>
    <w:p w14:paraId="58FA4265" w14:textId="77777777" w:rsidR="00190A2F" w:rsidRPr="00EF4946" w:rsidRDefault="00190A2F" w:rsidP="00650203">
      <w:pPr>
        <w:pStyle w:val="Adaptation"/>
        <w:ind w:left="2127"/>
        <w:rPr>
          <w:noProof/>
        </w:rPr>
      </w:pPr>
      <w:r w:rsidRPr="00EF4946">
        <w:rPr>
          <w:noProof/>
        </w:rPr>
        <w:t>f)</w:t>
      </w:r>
      <w:r w:rsidRPr="00EF4946">
        <w:rPr>
          <w:noProof/>
        </w:rPr>
        <w:tab/>
        <w:t xml:space="preserve">I artiklarna 8.1, 9.4 b och 29.4 ska, med avseende på Eftastaterna, ’den 1 januari 2019’ ersättas med ’dagen för ikraftträdandet av gemensamma EES-kommitténs beslut nr …/… av den … [detta beslut]’. </w:t>
      </w:r>
    </w:p>
    <w:p w14:paraId="13D1F4BC" w14:textId="77777777" w:rsidR="00190A2F" w:rsidRPr="00EF4946" w:rsidRDefault="00190A2F" w:rsidP="00190A2F">
      <w:pPr>
        <w:pStyle w:val="Adaptation"/>
        <w:ind w:left="2127"/>
        <w:rPr>
          <w:noProof/>
        </w:rPr>
      </w:pPr>
      <w:r w:rsidRPr="00EF4946">
        <w:rPr>
          <w:noProof/>
        </w:rPr>
        <w:t>g)</w:t>
      </w:r>
      <w:r w:rsidRPr="00EF4946">
        <w:rPr>
          <w:noProof/>
        </w:rPr>
        <w:tab/>
        <w:t xml:space="preserve">I artikel 9 ska, med avseende på Eftastaterna, ’direktiv 2014/17/EU’ ersättas med ’gemensamma EES-kommitténs beslut nr 125/2019 av den 8 maj 2019’. </w:t>
      </w:r>
    </w:p>
    <w:p w14:paraId="78A6942E" w14:textId="77777777" w:rsidR="00190A2F" w:rsidRPr="00EF4946" w:rsidRDefault="00190A2F" w:rsidP="00190A2F">
      <w:pPr>
        <w:pStyle w:val="Adaptation"/>
        <w:ind w:left="2127"/>
        <w:rPr>
          <w:noProof/>
        </w:rPr>
      </w:pPr>
      <w:r w:rsidRPr="00EF4946">
        <w:rPr>
          <w:noProof/>
        </w:rPr>
        <w:t>h)</w:t>
      </w:r>
      <w:r w:rsidRPr="00EF4946">
        <w:rPr>
          <w:noProof/>
        </w:rPr>
        <w:tab/>
        <w:t>Artikel 10 ska ändras på följande sätt:</w:t>
      </w:r>
    </w:p>
    <w:p w14:paraId="298F9848" w14:textId="77777777" w:rsidR="00190A2F" w:rsidRPr="00EF4946" w:rsidRDefault="00190A2F" w:rsidP="00190A2F">
      <w:pPr>
        <w:pStyle w:val="Adaptation"/>
        <w:ind w:left="2977" w:hanging="851"/>
        <w:rPr>
          <w:noProof/>
        </w:rPr>
      </w:pPr>
      <w:r w:rsidRPr="00EF4946">
        <w:rPr>
          <w:noProof/>
        </w:rPr>
        <w:t>i)</w:t>
      </w:r>
      <w:r w:rsidRPr="00EF4946">
        <w:rPr>
          <w:noProof/>
        </w:rPr>
        <w:tab/>
        <w:t>I punkt 1 ska ’eller, när det gäller ett värdepapperiseringsregister som har upprättats i en Eftastat, hos Eftas övervakningsmyndighet’ införas efter ’Esma’.</w:t>
      </w:r>
    </w:p>
    <w:p w14:paraId="04D1C778" w14:textId="77777777" w:rsidR="00190A2F" w:rsidRPr="00EF4946" w:rsidRDefault="00190A2F" w:rsidP="00190A2F">
      <w:pPr>
        <w:pStyle w:val="Adaptation"/>
        <w:ind w:left="2977" w:hanging="851"/>
        <w:rPr>
          <w:noProof/>
        </w:rPr>
      </w:pPr>
      <w:r w:rsidRPr="00EF4946">
        <w:rPr>
          <w:noProof/>
        </w:rPr>
        <w:t>ii)</w:t>
      </w:r>
      <w:r w:rsidRPr="00EF4946">
        <w:rPr>
          <w:noProof/>
        </w:rPr>
        <w:tab/>
        <w:t xml:space="preserve">I punkt 5 ska ’eller, när det gäller ett värdepapperiseringsregister som har upprättats i en Eftastat, till Eftas övervakningsmyndighet’ införas efter ’Esma’. </w:t>
      </w:r>
    </w:p>
    <w:p w14:paraId="7EDDFABE" w14:textId="77777777" w:rsidR="00190A2F" w:rsidRPr="00EF4946" w:rsidRDefault="00190A2F" w:rsidP="00190A2F">
      <w:pPr>
        <w:pStyle w:val="Adaptation"/>
        <w:ind w:left="2977" w:hanging="851"/>
        <w:rPr>
          <w:noProof/>
        </w:rPr>
      </w:pPr>
      <w:r w:rsidRPr="00EF4946">
        <w:rPr>
          <w:noProof/>
        </w:rPr>
        <w:t>iii)</w:t>
      </w:r>
      <w:r w:rsidRPr="00EF4946">
        <w:rPr>
          <w:noProof/>
        </w:rPr>
        <w:tab/>
        <w:t>I punkt 6 ska ’eller Eftas övervakningsmyndighet, beroende på vad som är tillämpligt,’ införas efter ’Esma’.</w:t>
      </w:r>
    </w:p>
    <w:p w14:paraId="24E9350D" w14:textId="77777777" w:rsidR="00190A2F" w:rsidRPr="00EF4946" w:rsidRDefault="00190A2F" w:rsidP="00190A2F">
      <w:pPr>
        <w:pStyle w:val="Adaptation"/>
        <w:ind w:left="2127"/>
        <w:rPr>
          <w:noProof/>
        </w:rPr>
      </w:pPr>
      <w:r w:rsidRPr="00EF4946">
        <w:rPr>
          <w:noProof/>
        </w:rPr>
        <w:t>i)</w:t>
      </w:r>
      <w:r w:rsidRPr="00EF4946">
        <w:rPr>
          <w:noProof/>
        </w:rPr>
        <w:tab/>
        <w:t xml:space="preserve">I artikel 11 ska ’eller Eftas övervakningsmyndighet, beroende på vad som är tillämpligt,’ införas efter ’Esma’. </w:t>
      </w:r>
    </w:p>
    <w:p w14:paraId="21A4E81A" w14:textId="77777777" w:rsidR="00190A2F" w:rsidRPr="00EF4946" w:rsidRDefault="00190A2F" w:rsidP="00190A2F">
      <w:pPr>
        <w:pStyle w:val="Adaptation"/>
        <w:ind w:left="2127"/>
        <w:rPr>
          <w:noProof/>
        </w:rPr>
      </w:pPr>
      <w:r w:rsidRPr="00EF4946">
        <w:rPr>
          <w:noProof/>
        </w:rPr>
        <w:t>j)</w:t>
      </w:r>
      <w:r w:rsidRPr="00EF4946">
        <w:rPr>
          <w:noProof/>
        </w:rPr>
        <w:tab/>
        <w:t xml:space="preserve">I artikel 12 ska ’eller Eftas övervakningsmyndighet, beroende på vad som är tillämpligt,’ införas efter ’Esma’. </w:t>
      </w:r>
    </w:p>
    <w:p w14:paraId="4E68DFA6" w14:textId="77777777" w:rsidR="00190A2F" w:rsidRPr="00EF4946" w:rsidRDefault="00190A2F" w:rsidP="00190A2F">
      <w:pPr>
        <w:pStyle w:val="Adaptation"/>
        <w:ind w:left="2127"/>
        <w:rPr>
          <w:noProof/>
        </w:rPr>
      </w:pPr>
      <w:r w:rsidRPr="00EF4946">
        <w:rPr>
          <w:noProof/>
        </w:rPr>
        <w:t xml:space="preserve">k) </w:t>
      </w:r>
      <w:r w:rsidRPr="00EF4946">
        <w:rPr>
          <w:noProof/>
        </w:rPr>
        <w:tab/>
        <w:t>Artikel 13 ska ändras på följande sätt:</w:t>
      </w:r>
    </w:p>
    <w:p w14:paraId="2858B19B" w14:textId="77777777" w:rsidR="00190A2F" w:rsidRPr="00EF4946" w:rsidRDefault="00190A2F" w:rsidP="00190A2F">
      <w:pPr>
        <w:pStyle w:val="Adaptation"/>
        <w:ind w:left="2694"/>
        <w:rPr>
          <w:noProof/>
        </w:rPr>
      </w:pPr>
      <w:r w:rsidRPr="00EF4946">
        <w:rPr>
          <w:noProof/>
        </w:rPr>
        <w:t>i)</w:t>
      </w:r>
      <w:r w:rsidRPr="00EF4946">
        <w:rPr>
          <w:noProof/>
        </w:rPr>
        <w:tab/>
        <w:t xml:space="preserve">I punkt 1 ska ’eller Eftas övervakningsmyndighet, beroende på vad som är tillämpligt,’ införas efter ’Esma’. </w:t>
      </w:r>
    </w:p>
    <w:p w14:paraId="6DA25A07" w14:textId="77777777" w:rsidR="00190A2F" w:rsidRPr="00EF4946" w:rsidRDefault="00190A2F" w:rsidP="00190A2F">
      <w:pPr>
        <w:pStyle w:val="Adaptation"/>
        <w:ind w:left="2694"/>
        <w:rPr>
          <w:noProof/>
        </w:rPr>
      </w:pPr>
      <w:r w:rsidRPr="00EF4946">
        <w:rPr>
          <w:noProof/>
        </w:rPr>
        <w:t>ii)</w:t>
      </w:r>
      <w:r w:rsidRPr="00EF4946">
        <w:rPr>
          <w:noProof/>
        </w:rPr>
        <w:tab/>
        <w:t>Punkt 2 ska ersättas med följande:</w:t>
      </w:r>
    </w:p>
    <w:p w14:paraId="0864ACC4" w14:textId="76BE29F3" w:rsidR="00190A2F" w:rsidRPr="00EF4946" w:rsidRDefault="00190A2F" w:rsidP="00190A2F">
      <w:pPr>
        <w:pStyle w:val="Adaptation"/>
        <w:ind w:left="2694"/>
        <w:rPr>
          <w:noProof/>
        </w:rPr>
      </w:pPr>
      <w:r w:rsidRPr="00EF4946">
        <w:rPr>
          <w:noProof/>
        </w:rPr>
        <w:tab/>
        <w:t>’Esma och Eftas övervakningsmyndighet ska utan onödigt dröjsmål underrätta varandra och kommissionen om alla beslut som fattats i enlighet med punkt 1.’</w:t>
      </w:r>
    </w:p>
    <w:p w14:paraId="1944962D" w14:textId="77777777" w:rsidR="00190A2F" w:rsidRPr="00EF4946" w:rsidRDefault="00190A2F" w:rsidP="00190A2F">
      <w:pPr>
        <w:pStyle w:val="Adaptation"/>
        <w:ind w:left="2127"/>
        <w:rPr>
          <w:noProof/>
        </w:rPr>
      </w:pPr>
      <w:r w:rsidRPr="00EF4946">
        <w:rPr>
          <w:noProof/>
        </w:rPr>
        <w:t>l)</w:t>
      </w:r>
      <w:r w:rsidRPr="00EF4946">
        <w:rPr>
          <w:noProof/>
        </w:rPr>
        <w:tab/>
        <w:t>Artikel 15 ska ändras på följande sätt:</w:t>
      </w:r>
    </w:p>
    <w:p w14:paraId="7741EDF2" w14:textId="77777777" w:rsidR="00190A2F" w:rsidRPr="00EF4946" w:rsidRDefault="00190A2F" w:rsidP="00190A2F">
      <w:pPr>
        <w:pStyle w:val="Adaptation"/>
        <w:ind w:left="2694"/>
        <w:rPr>
          <w:noProof/>
        </w:rPr>
      </w:pPr>
      <w:r w:rsidRPr="00EF4946">
        <w:rPr>
          <w:noProof/>
        </w:rPr>
        <w:t>i)</w:t>
      </w:r>
      <w:r w:rsidRPr="00EF4946">
        <w:rPr>
          <w:noProof/>
        </w:rPr>
        <w:tab/>
        <w:t>I punkt 1 ska ’eller, när det gäller ett värdepapperiseringsregister som har upprättats i en Eftastat, Eftas övervakningsmyndighet’ införas efter ’Esma’.</w:t>
      </w:r>
    </w:p>
    <w:p w14:paraId="3752668F" w14:textId="77777777" w:rsidR="00190A2F" w:rsidRPr="00EF4946" w:rsidRDefault="00190A2F" w:rsidP="00190A2F">
      <w:pPr>
        <w:pStyle w:val="Adaptation"/>
        <w:ind w:left="2694"/>
        <w:rPr>
          <w:noProof/>
        </w:rPr>
      </w:pPr>
      <w:r w:rsidRPr="00EF4946">
        <w:rPr>
          <w:noProof/>
        </w:rPr>
        <w:t>ii)</w:t>
      </w:r>
      <w:r w:rsidRPr="00EF4946">
        <w:rPr>
          <w:noProof/>
        </w:rPr>
        <w:tab/>
        <w:t xml:space="preserve">I punkt 2 ska, med avseende på Eftastaterna, ’Esma’ ersättas med ’Eftas övervakningsmyndighet’. </w:t>
      </w:r>
    </w:p>
    <w:p w14:paraId="6F354959" w14:textId="77777777" w:rsidR="00190A2F" w:rsidRPr="00EF4946" w:rsidRDefault="00190A2F" w:rsidP="00190A2F">
      <w:pPr>
        <w:pStyle w:val="Adaptation"/>
        <w:ind w:left="2694"/>
        <w:rPr>
          <w:noProof/>
        </w:rPr>
      </w:pPr>
      <w:r w:rsidRPr="00EF4946">
        <w:rPr>
          <w:noProof/>
        </w:rPr>
        <w:t>iii)</w:t>
      </w:r>
      <w:r w:rsidRPr="00EF4946">
        <w:rPr>
          <w:noProof/>
        </w:rPr>
        <w:tab/>
        <w:t>I punkt 3 andra meningen ska ’eller, när det gäller ett värdepapperiseringsregister som har upprättats i en Eftastat, att inte utarbeta ett utkast till Eftas övervakningsmyndighet i detta syfte’ införas efter ’värdepapperiseringsregistret’.</w:t>
      </w:r>
    </w:p>
    <w:p w14:paraId="6A4BCD85" w14:textId="77777777" w:rsidR="00190A2F" w:rsidRPr="00EF4946" w:rsidRDefault="00190A2F" w:rsidP="00190A2F">
      <w:pPr>
        <w:pStyle w:val="Adaptation"/>
        <w:ind w:left="2127"/>
        <w:rPr>
          <w:noProof/>
        </w:rPr>
      </w:pPr>
      <w:r w:rsidRPr="00EF4946">
        <w:rPr>
          <w:noProof/>
        </w:rPr>
        <w:t>m)</w:t>
      </w:r>
      <w:r w:rsidRPr="00EF4946">
        <w:rPr>
          <w:noProof/>
        </w:rPr>
        <w:tab/>
        <w:t>I artikel 16.1 ska följande stycken läggas till:</w:t>
      </w:r>
    </w:p>
    <w:p w14:paraId="7918609F" w14:textId="77777777" w:rsidR="00190A2F" w:rsidRPr="00EF4946" w:rsidRDefault="00190A2F" w:rsidP="00190A2F">
      <w:pPr>
        <w:pStyle w:val="Adaptation"/>
        <w:ind w:left="2127"/>
        <w:rPr>
          <w:noProof/>
        </w:rPr>
      </w:pPr>
      <w:r w:rsidRPr="00EF4946">
        <w:rPr>
          <w:noProof/>
        </w:rPr>
        <w:tab/>
        <w:t>’När det gäller värdepapperiseringsregister som har upprättats i en Eftastat ska avgifter tas ut av Eftas övervakningsmyndighet på samma grundval som de avgifter som tas ut av andra värdepapperiseringsregister i enlighet med denna förordning och med de delegerade akter som avses i punkt 2.</w:t>
      </w:r>
    </w:p>
    <w:p w14:paraId="373FB6E3" w14:textId="77777777" w:rsidR="00190A2F" w:rsidRPr="00EF4946" w:rsidRDefault="00190A2F" w:rsidP="00190A2F">
      <w:pPr>
        <w:pStyle w:val="Adaptation"/>
        <w:ind w:left="2127"/>
        <w:rPr>
          <w:noProof/>
        </w:rPr>
      </w:pPr>
      <w:r w:rsidRPr="00EF4946">
        <w:rPr>
          <w:noProof/>
        </w:rPr>
        <w:tab/>
        <w:t xml:space="preserve">De belopp som uppburits av Eftas övervakningsmyndighet i enlighet med denna punkt ska utan dröjsmål överföras till Esma.’ </w:t>
      </w:r>
    </w:p>
    <w:p w14:paraId="2257F783" w14:textId="77777777" w:rsidR="00190A2F" w:rsidRPr="00EF4946" w:rsidRDefault="00190A2F" w:rsidP="00190A2F">
      <w:pPr>
        <w:pStyle w:val="Adaptation"/>
        <w:ind w:left="2127"/>
        <w:rPr>
          <w:noProof/>
        </w:rPr>
      </w:pPr>
      <w:r w:rsidRPr="00EF4946">
        <w:rPr>
          <w:noProof/>
        </w:rPr>
        <w:t>n)</w:t>
      </w:r>
      <w:r w:rsidRPr="00EF4946">
        <w:rPr>
          <w:noProof/>
        </w:rPr>
        <w:tab/>
        <w:t>I artikel 26e.5 c i ska ’unionsrätt’ ersättas med ’EES-avtalet’.</w:t>
      </w:r>
    </w:p>
    <w:p w14:paraId="23BF1649" w14:textId="77777777" w:rsidR="00190A2F" w:rsidRPr="00EF4946" w:rsidRDefault="00190A2F" w:rsidP="00190A2F">
      <w:pPr>
        <w:pStyle w:val="Adaptation"/>
        <w:ind w:left="2127"/>
        <w:rPr>
          <w:noProof/>
        </w:rPr>
      </w:pPr>
      <w:r w:rsidRPr="00EF4946">
        <w:rPr>
          <w:noProof/>
        </w:rPr>
        <w:t>o)</w:t>
      </w:r>
      <w:r w:rsidRPr="00EF4946">
        <w:rPr>
          <w:noProof/>
        </w:rPr>
        <w:tab/>
        <w:t>I artikel 29.5 ska, med avseende på Eftastaterna, ’senast den 10 oktober 2021’ ersättas med ’inom sex månader från dagen för ikraftträdandet av gemensamma EES-kommitténs beslut nr …/… av den … [detta beslut]’ och ’den 8 april 2021’ ersättas med ’dagen för ikraftträdandet av gemensamma EES-kommitténs beslut nr …/… av den … [detta beslut]’.</w:t>
      </w:r>
    </w:p>
    <w:p w14:paraId="74C6C31C" w14:textId="77777777" w:rsidR="00190A2F" w:rsidRPr="00EF4946" w:rsidRDefault="00190A2F" w:rsidP="00190A2F">
      <w:pPr>
        <w:pStyle w:val="Adaptation"/>
        <w:ind w:left="2127"/>
        <w:rPr>
          <w:noProof/>
        </w:rPr>
      </w:pPr>
      <w:r w:rsidRPr="00EF4946">
        <w:rPr>
          <w:noProof/>
        </w:rPr>
        <w:t>p)</w:t>
      </w:r>
      <w:r w:rsidRPr="00EF4946">
        <w:rPr>
          <w:noProof/>
        </w:rPr>
        <w:tab/>
        <w:t>I artikel 31.4 ska ’, och om en Eftastat är en mottagare, Eftastaternas ständiga kommitté’ införas efter ’rådet’.</w:t>
      </w:r>
    </w:p>
    <w:p w14:paraId="08380C26" w14:textId="77777777" w:rsidR="00190A2F" w:rsidRPr="00EF4946" w:rsidRDefault="00190A2F" w:rsidP="00190A2F">
      <w:pPr>
        <w:pStyle w:val="Adaptation"/>
        <w:ind w:left="2127"/>
        <w:rPr>
          <w:noProof/>
        </w:rPr>
      </w:pPr>
      <w:r w:rsidRPr="00EF4946">
        <w:rPr>
          <w:noProof/>
        </w:rPr>
        <w:t>q)</w:t>
      </w:r>
      <w:r w:rsidRPr="00EF4946">
        <w:rPr>
          <w:noProof/>
        </w:rPr>
        <w:tab/>
        <w:t>I artikel 35 ska, med avseende på Eftastaterna, ’den 18 januari 2019’ ersättas med ’den sjuttonde dagen efter dagen för ikraftträdandet av gemensamma EES-kommitténs beslut nr …/… av den … [detta beslut]’.</w:t>
      </w:r>
    </w:p>
    <w:p w14:paraId="6936D4C2" w14:textId="77777777" w:rsidR="00190A2F" w:rsidRPr="00EF4946" w:rsidRDefault="00190A2F" w:rsidP="00190A2F">
      <w:pPr>
        <w:pStyle w:val="Adaptation"/>
        <w:ind w:left="2127"/>
        <w:rPr>
          <w:noProof/>
        </w:rPr>
      </w:pPr>
      <w:r w:rsidRPr="00EF4946">
        <w:rPr>
          <w:noProof/>
        </w:rPr>
        <w:t>r)</w:t>
      </w:r>
      <w:r w:rsidRPr="00EF4946">
        <w:rPr>
          <w:noProof/>
        </w:rPr>
        <w:tab/>
        <w:t>I artikel 37.7 ska ’, Eftas övervakningsmyndighet’ införas efter ’Eiopa’.</w:t>
      </w:r>
    </w:p>
    <w:p w14:paraId="778D1733" w14:textId="65D2489D" w:rsidR="00190A2F" w:rsidRPr="00EF4946" w:rsidRDefault="00190A2F" w:rsidP="00190A2F">
      <w:pPr>
        <w:pStyle w:val="Adaptation"/>
        <w:ind w:left="2127"/>
        <w:rPr>
          <w:noProof/>
        </w:rPr>
      </w:pPr>
      <w:r w:rsidRPr="00EF4946">
        <w:rPr>
          <w:noProof/>
        </w:rPr>
        <w:t>s)</w:t>
      </w:r>
      <w:r w:rsidRPr="00EF4946">
        <w:rPr>
          <w:noProof/>
        </w:rPr>
        <w:tab/>
        <w:t>Artikel 43 ska, med avseende på Eftastaterna, ändras på följande sätt:</w:t>
      </w:r>
    </w:p>
    <w:p w14:paraId="7AC001F9" w14:textId="411AA632" w:rsidR="00190A2F" w:rsidRPr="00EF4946" w:rsidRDefault="00190A2F" w:rsidP="00190A2F">
      <w:pPr>
        <w:pStyle w:val="Adaptation"/>
        <w:ind w:left="2694"/>
        <w:rPr>
          <w:noProof/>
        </w:rPr>
      </w:pPr>
      <w:r w:rsidRPr="00EF4946">
        <w:rPr>
          <w:noProof/>
        </w:rPr>
        <w:t>i)</w:t>
      </w:r>
      <w:r w:rsidRPr="00EF4946">
        <w:rPr>
          <w:noProof/>
        </w:rPr>
        <w:tab/>
        <w:t>Orden ’den 1 januari 2019’ ska ersättas med ’dagen för ikraftträdandet av gemensamma EES-kommitténs beslut nr …/… av den … [detta beslut]’.</w:t>
      </w:r>
    </w:p>
    <w:p w14:paraId="3318B6CD" w14:textId="77777777" w:rsidR="00190A2F" w:rsidRPr="00EF4946" w:rsidRDefault="00190A2F" w:rsidP="00190A2F">
      <w:pPr>
        <w:pStyle w:val="Adaptation"/>
        <w:ind w:left="2694"/>
        <w:rPr>
          <w:noProof/>
        </w:rPr>
      </w:pPr>
      <w:r w:rsidRPr="00EF4946">
        <w:rPr>
          <w:noProof/>
        </w:rPr>
        <w:t>ii)</w:t>
      </w:r>
      <w:r w:rsidRPr="00EF4946">
        <w:rPr>
          <w:noProof/>
        </w:rPr>
        <w:tab/>
        <w:t>I punkterna 5 och 6 ska ’den 31 december 2018’ ersättas med ’dagen före ikraftträdandet av gemensamma EES-kommitténs beslut nr …/… av den … [detta beslut]’.</w:t>
      </w:r>
    </w:p>
    <w:p w14:paraId="5629AE5D" w14:textId="77777777" w:rsidR="00190A2F" w:rsidRPr="00EF4946" w:rsidRDefault="00190A2F" w:rsidP="00190A2F">
      <w:pPr>
        <w:pStyle w:val="Adaptation"/>
        <w:ind w:left="2127"/>
        <w:rPr>
          <w:noProof/>
        </w:rPr>
      </w:pPr>
      <w:r w:rsidRPr="00EF4946">
        <w:rPr>
          <w:noProof/>
        </w:rPr>
        <w:t>t)</w:t>
      </w:r>
      <w:r w:rsidRPr="00EF4946">
        <w:rPr>
          <w:noProof/>
        </w:rPr>
        <w:tab/>
        <w:t xml:space="preserve">I artikel 43a ska, med avseende på Eftastaterna, ’den 9 april 2021’ ersättas med ’dagen för ikraftträdandet av gemensamma EES-kommitténs beslut nr …/… av den … [detta beslut]’.” </w:t>
      </w:r>
    </w:p>
    <w:p w14:paraId="18130219" w14:textId="77777777" w:rsidR="00190A2F" w:rsidRPr="00EF4946" w:rsidRDefault="00190A2F" w:rsidP="00190A2F">
      <w:pPr>
        <w:pStyle w:val="Point0"/>
        <w:rPr>
          <w:noProof/>
        </w:rPr>
      </w:pPr>
      <w:r w:rsidRPr="00EF4946">
        <w:rPr>
          <w:noProof/>
        </w:rPr>
        <w:t xml:space="preserve">5. </w:t>
      </w:r>
      <w:r w:rsidRPr="00EF4946">
        <w:rPr>
          <w:noProof/>
        </w:rPr>
        <w:tab/>
        <w:t>Punkt 31eb (Europaparlamentets och rådets förordning (EG) nr 1060/2009) ska ändras på följande sätt:</w:t>
      </w:r>
    </w:p>
    <w:p w14:paraId="2C444A88" w14:textId="77777777" w:rsidR="00190A2F" w:rsidRPr="00EF4946" w:rsidRDefault="00190A2F" w:rsidP="00190A2F">
      <w:pPr>
        <w:pStyle w:val="Point0"/>
        <w:rPr>
          <w:noProof/>
        </w:rPr>
      </w:pPr>
      <w:r w:rsidRPr="00EF4946">
        <w:rPr>
          <w:noProof/>
        </w:rPr>
        <w:tab/>
        <w:t>i)</w:t>
      </w:r>
      <w:r w:rsidRPr="00EF4946">
        <w:rPr>
          <w:noProof/>
        </w:rPr>
        <w:tab/>
        <w:t xml:space="preserve">Följande strecksats ska läggas till: </w:t>
      </w:r>
    </w:p>
    <w:p w14:paraId="52EC07E4" w14:textId="77777777" w:rsidR="00190A2F" w:rsidRPr="00EF4946" w:rsidRDefault="00190A2F" w:rsidP="00190A2F">
      <w:pPr>
        <w:pStyle w:val="Point1"/>
        <w:ind w:left="1985"/>
        <w:rPr>
          <w:noProof/>
        </w:rPr>
      </w:pPr>
      <w:r w:rsidRPr="00EF4946">
        <w:rPr>
          <w:noProof/>
        </w:rPr>
        <w:t>”–</w:t>
      </w:r>
      <w:r w:rsidRPr="00EF4946">
        <w:rPr>
          <w:noProof/>
        </w:rPr>
        <w:tab/>
      </w:r>
      <w:r w:rsidRPr="00EF4946">
        <w:rPr>
          <w:b/>
          <w:noProof/>
        </w:rPr>
        <w:t>32017 R 2402</w:t>
      </w:r>
      <w:r w:rsidRPr="00EF4946">
        <w:rPr>
          <w:noProof/>
        </w:rPr>
        <w:t>: Europaparlamentets och rådets förordning (EU) 2017/2402 av den 12 december 2017 (EUT L 347, 28.12.2017, s. 35)”.</w:t>
      </w:r>
    </w:p>
    <w:p w14:paraId="43F7906B" w14:textId="77777777" w:rsidR="00190A2F" w:rsidRPr="00EF4946" w:rsidRDefault="00190A2F" w:rsidP="00190A2F">
      <w:pPr>
        <w:pStyle w:val="Point0"/>
        <w:rPr>
          <w:noProof/>
        </w:rPr>
      </w:pPr>
      <w:r w:rsidRPr="00EF4946">
        <w:rPr>
          <w:noProof/>
        </w:rPr>
        <w:tab/>
        <w:t>ii)</w:t>
      </w:r>
      <w:r w:rsidRPr="00EF4946">
        <w:rPr>
          <w:noProof/>
        </w:rPr>
        <w:tab/>
        <w:t>Anpassning g ska utgå.</w:t>
      </w:r>
    </w:p>
    <w:p w14:paraId="0B6C2381" w14:textId="77777777" w:rsidR="00190A2F" w:rsidRPr="00EF4946" w:rsidRDefault="00190A2F" w:rsidP="00190A2F">
      <w:pPr>
        <w:pStyle w:val="Point0"/>
        <w:rPr>
          <w:noProof/>
        </w:rPr>
      </w:pPr>
      <w:r w:rsidRPr="00EF4946">
        <w:rPr>
          <w:noProof/>
        </w:rPr>
        <w:tab/>
        <w:t>iii)</w:t>
      </w:r>
      <w:r w:rsidRPr="00EF4946">
        <w:rPr>
          <w:noProof/>
        </w:rPr>
        <w:tab/>
        <w:t>Anpassningarna h–zm ska betecknas anpassningarna g–zl.</w:t>
      </w:r>
    </w:p>
    <w:p w14:paraId="4E9ABC0B" w14:textId="77777777" w:rsidR="00190A2F" w:rsidRPr="00EF4946" w:rsidRDefault="00190A2F" w:rsidP="00190A2F">
      <w:pPr>
        <w:pStyle w:val="Articleheading"/>
        <w:rPr>
          <w:noProof/>
        </w:rPr>
      </w:pPr>
      <w:r w:rsidRPr="00EF4946">
        <w:rPr>
          <w:noProof/>
        </w:rPr>
        <w:t>Artikel 2</w:t>
      </w:r>
    </w:p>
    <w:p w14:paraId="212CC3F8" w14:textId="77777777" w:rsidR="00190A2F" w:rsidRPr="00EF4946" w:rsidRDefault="00190A2F" w:rsidP="00190A2F">
      <w:pPr>
        <w:pStyle w:val="Articletext"/>
        <w:rPr>
          <w:noProof/>
        </w:rPr>
      </w:pPr>
      <w:r w:rsidRPr="00EF4946">
        <w:rPr>
          <w:noProof/>
        </w:rPr>
        <w:t xml:space="preserve">Texterna till förordningarna (EU) 2017/2401, (EU) 2017/2402, (EU) 2021/557 och (EU) 2021/558 samt delegerad förordning (EU) 2018/1221 på isländska och norska, som ska offentliggöras i EES-supplementet till </w:t>
      </w:r>
      <w:r w:rsidRPr="00EF4946">
        <w:rPr>
          <w:i/>
          <w:noProof/>
        </w:rPr>
        <w:t>Europeiska unionens officiella tidning</w:t>
      </w:r>
      <w:r w:rsidRPr="00EF4946">
        <w:rPr>
          <w:noProof/>
        </w:rPr>
        <w:t>, ska vara giltiga.</w:t>
      </w:r>
    </w:p>
    <w:p w14:paraId="4D66CFFE" w14:textId="77777777" w:rsidR="00190A2F" w:rsidRPr="00EF4946" w:rsidRDefault="00190A2F" w:rsidP="00190A2F">
      <w:pPr>
        <w:pStyle w:val="Articleheading"/>
        <w:rPr>
          <w:noProof/>
        </w:rPr>
      </w:pPr>
      <w:r w:rsidRPr="00EF4946">
        <w:rPr>
          <w:noProof/>
        </w:rPr>
        <w:t>Artikel 3</w:t>
      </w:r>
    </w:p>
    <w:p w14:paraId="7C462760" w14:textId="69AE1767" w:rsidR="00190A2F" w:rsidRPr="00EF4946" w:rsidRDefault="00190A2F" w:rsidP="00190A2F">
      <w:pPr>
        <w:pStyle w:val="Articletext"/>
        <w:rPr>
          <w:noProof/>
        </w:rPr>
      </w:pPr>
      <w:r w:rsidRPr="00EF4946">
        <w:rPr>
          <w:noProof/>
        </w:rPr>
        <w:t>Detta beslut träder i kraft den , under förutsättning att alla anmälningar enligt artikel 103.1 i EES-avtalet har gjorts</w:t>
      </w:r>
      <w:r w:rsidRPr="00EF4946">
        <w:rPr>
          <w:rStyle w:val="FootnoteTextChar"/>
          <w:noProof/>
          <w:vertAlign w:val="superscript"/>
        </w:rPr>
        <w:footnoteReference w:id="6"/>
      </w:r>
      <w:r w:rsidRPr="00EF4946">
        <w:rPr>
          <w:rStyle w:val="FootnoteTextChar"/>
          <w:noProof/>
          <w:vertAlign w:val="superscript"/>
        </w:rPr>
        <w:sym w:font="Symbol" w:char="F02A"/>
      </w:r>
      <w:r w:rsidRPr="00EF4946">
        <w:rPr>
          <w:noProof/>
        </w:rPr>
        <w:t>.</w:t>
      </w:r>
    </w:p>
    <w:p w14:paraId="2A61817E" w14:textId="77777777" w:rsidR="00190A2F" w:rsidRPr="00EF4946" w:rsidRDefault="00190A2F" w:rsidP="00190A2F">
      <w:pPr>
        <w:pStyle w:val="Articleheading"/>
        <w:rPr>
          <w:noProof/>
        </w:rPr>
      </w:pPr>
      <w:r w:rsidRPr="00EF4946">
        <w:rPr>
          <w:noProof/>
        </w:rPr>
        <w:t>Artikel 4</w:t>
      </w:r>
    </w:p>
    <w:p w14:paraId="79B17CBC" w14:textId="77777777" w:rsidR="00190A2F" w:rsidRPr="00EF4946" w:rsidRDefault="00190A2F" w:rsidP="00190A2F">
      <w:pPr>
        <w:pStyle w:val="Articletext"/>
        <w:rPr>
          <w:noProof/>
        </w:rPr>
      </w:pPr>
      <w:r w:rsidRPr="00EF4946">
        <w:rPr>
          <w:noProof/>
        </w:rPr>
        <w:t xml:space="preserve">Detta beslut ska offentliggöras i EES-delen av och EES-supplementet till </w:t>
      </w:r>
      <w:r w:rsidRPr="00EF4946">
        <w:rPr>
          <w:i/>
          <w:noProof/>
        </w:rPr>
        <w:t>Europeiska unionens officiella tidning</w:t>
      </w:r>
      <w:r w:rsidRPr="00EF4946">
        <w:rPr>
          <w:noProof/>
        </w:rPr>
        <w:t>.</w:t>
      </w:r>
    </w:p>
    <w:p w14:paraId="290B40D1" w14:textId="56C4B604" w:rsidR="00190A2F" w:rsidRPr="00EF4946" w:rsidRDefault="00190A2F" w:rsidP="00190A2F">
      <w:pPr>
        <w:rPr>
          <w:noProof/>
          <w:szCs w:val="24"/>
        </w:rPr>
      </w:pPr>
      <w:r w:rsidRPr="00EF4946">
        <w:rPr>
          <w:noProof/>
        </w:rPr>
        <w:t>Utfärdat i Bryssel den .</w:t>
      </w:r>
    </w:p>
    <w:p w14:paraId="2FC269F8" w14:textId="77777777" w:rsidR="00190A2F" w:rsidRPr="00EF4946" w:rsidRDefault="00190A2F" w:rsidP="00190A2F">
      <w:pPr>
        <w:tabs>
          <w:tab w:val="left" w:pos="4253"/>
        </w:tabs>
        <w:spacing w:before="720" w:after="0"/>
        <w:rPr>
          <w:i/>
          <w:noProof/>
          <w:szCs w:val="24"/>
        </w:rPr>
      </w:pPr>
      <w:r w:rsidRPr="00EF4946">
        <w:rPr>
          <w:i/>
          <w:noProof/>
        </w:rPr>
        <w:tab/>
        <w:t>På gemensamma EES-kommitténs vägnar</w:t>
      </w:r>
    </w:p>
    <w:p w14:paraId="506812FA" w14:textId="77777777" w:rsidR="00190A2F" w:rsidRPr="00EF4946" w:rsidRDefault="00190A2F" w:rsidP="00190A2F">
      <w:pPr>
        <w:tabs>
          <w:tab w:val="left" w:pos="4253"/>
        </w:tabs>
        <w:spacing w:after="0"/>
        <w:rPr>
          <w:i/>
          <w:noProof/>
          <w:szCs w:val="24"/>
        </w:rPr>
      </w:pPr>
      <w:r w:rsidRPr="00EF4946">
        <w:rPr>
          <w:i/>
          <w:noProof/>
        </w:rPr>
        <w:tab/>
        <w:t>Ordförande</w:t>
      </w:r>
    </w:p>
    <w:p w14:paraId="43ACF063" w14:textId="53878AFF" w:rsidR="00190A2F" w:rsidRPr="00EF4946" w:rsidRDefault="00190A2F" w:rsidP="00190A2F">
      <w:pPr>
        <w:tabs>
          <w:tab w:val="left" w:pos="4253"/>
        </w:tabs>
        <w:spacing w:after="0"/>
        <w:rPr>
          <w:i/>
          <w:noProof/>
          <w:szCs w:val="24"/>
        </w:rPr>
      </w:pPr>
      <w:r w:rsidRPr="00EF4946">
        <w:rPr>
          <w:i/>
          <w:noProof/>
        </w:rPr>
        <w:tab/>
      </w:r>
    </w:p>
    <w:p w14:paraId="5C8EF18F" w14:textId="77777777" w:rsidR="00190A2F" w:rsidRPr="00EF4946" w:rsidRDefault="00190A2F" w:rsidP="00190A2F">
      <w:pPr>
        <w:pStyle w:val="ListParagraph"/>
        <w:ind w:left="0"/>
        <w:rPr>
          <w:noProof/>
        </w:rPr>
      </w:pPr>
    </w:p>
    <w:p w14:paraId="72D5F4DB" w14:textId="77777777" w:rsidR="00190A2F" w:rsidRPr="00EF4946" w:rsidRDefault="00190A2F" w:rsidP="00190A2F">
      <w:pPr>
        <w:pStyle w:val="ListParagraph"/>
        <w:ind w:left="0"/>
        <w:rPr>
          <w:noProof/>
        </w:rPr>
      </w:pPr>
    </w:p>
    <w:p w14:paraId="151F63B5" w14:textId="77777777" w:rsidR="00190A2F" w:rsidRPr="00EF4946" w:rsidRDefault="00190A2F" w:rsidP="00190A2F">
      <w:pPr>
        <w:pStyle w:val="ListParagraph"/>
        <w:tabs>
          <w:tab w:val="left" w:pos="4253"/>
        </w:tabs>
        <w:ind w:left="0"/>
        <w:rPr>
          <w:rFonts w:cs="Times New Roman"/>
          <w:i/>
          <w:noProof/>
          <w:szCs w:val="24"/>
        </w:rPr>
      </w:pPr>
      <w:r w:rsidRPr="00EF4946">
        <w:rPr>
          <w:i/>
          <w:noProof/>
        </w:rPr>
        <w:tab/>
        <w:t>Sekreterarna för</w:t>
      </w:r>
    </w:p>
    <w:p w14:paraId="7040CAD4" w14:textId="77777777" w:rsidR="00190A2F" w:rsidRPr="00EF4946" w:rsidRDefault="00190A2F" w:rsidP="00190A2F">
      <w:pPr>
        <w:pStyle w:val="ListParagraph"/>
        <w:tabs>
          <w:tab w:val="left" w:pos="4253"/>
        </w:tabs>
        <w:ind w:left="0"/>
        <w:rPr>
          <w:rFonts w:cs="Times New Roman"/>
          <w:i/>
          <w:noProof/>
          <w:szCs w:val="24"/>
        </w:rPr>
      </w:pPr>
      <w:r w:rsidRPr="00EF4946">
        <w:rPr>
          <w:i/>
          <w:noProof/>
        </w:rPr>
        <w:tab/>
        <w:t>gemensamma EES-kommittén</w:t>
      </w:r>
    </w:p>
    <w:p w14:paraId="00B20A13" w14:textId="11EC46C9" w:rsidR="00190A2F" w:rsidRPr="00EF4946" w:rsidRDefault="00190A2F" w:rsidP="00190A2F">
      <w:pPr>
        <w:pStyle w:val="ListParagraph"/>
        <w:tabs>
          <w:tab w:val="left" w:pos="4253"/>
        </w:tabs>
        <w:ind w:left="0"/>
        <w:rPr>
          <w:rFonts w:cs="Times New Roman"/>
          <w:i/>
          <w:noProof/>
          <w:szCs w:val="24"/>
        </w:rPr>
      </w:pPr>
      <w:r w:rsidRPr="00EF4946">
        <w:rPr>
          <w:i/>
          <w:noProof/>
        </w:rPr>
        <w:tab/>
      </w:r>
    </w:p>
    <w:p w14:paraId="49393379" w14:textId="77777777" w:rsidR="00190A2F" w:rsidRPr="00EF4946" w:rsidRDefault="00190A2F" w:rsidP="00190A2F">
      <w:pPr>
        <w:rPr>
          <w:noProof/>
        </w:rPr>
      </w:pPr>
    </w:p>
    <w:p w14:paraId="3278881E" w14:textId="77777777" w:rsidR="00190A2F" w:rsidRPr="00EF4946" w:rsidRDefault="00190A2F" w:rsidP="00190A2F">
      <w:pPr>
        <w:pStyle w:val="Point4b"/>
        <w:rPr>
          <w:noProof/>
        </w:rPr>
      </w:pPr>
    </w:p>
    <w:p w14:paraId="550AC010" w14:textId="77777777" w:rsidR="00190A2F" w:rsidRPr="00EF4946" w:rsidRDefault="00190A2F" w:rsidP="00BB37E9">
      <w:pPr>
        <w:pStyle w:val="Body"/>
        <w:spacing w:before="360" w:after="0"/>
        <w:jc w:val="center"/>
        <w:rPr>
          <w:b/>
          <w:bCs/>
          <w:noProof/>
        </w:rPr>
      </w:pPr>
    </w:p>
    <w:sectPr w:rsidR="00190A2F" w:rsidRPr="00EF4946" w:rsidSect="00445F37">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58D4A" w14:textId="77777777" w:rsidR="00FA089C" w:rsidRDefault="00FA089C" w:rsidP="00FA089C">
      <w:pPr>
        <w:spacing w:before="0" w:after="0"/>
      </w:pPr>
      <w:r>
        <w:separator/>
      </w:r>
    </w:p>
  </w:endnote>
  <w:endnote w:type="continuationSeparator" w:id="0">
    <w:p w14:paraId="33016DB3" w14:textId="77777777" w:rsidR="00FA089C" w:rsidRDefault="00FA089C" w:rsidP="00FA08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7424" w14:textId="71A4730B" w:rsidR="00445F37" w:rsidRPr="00445F37" w:rsidRDefault="00445F37" w:rsidP="00445F37">
    <w:pPr>
      <w:pStyle w:val="Footer"/>
      <w:rPr>
        <w:rFonts w:ascii="Arial" w:hAnsi="Arial" w:cs="Arial"/>
        <w:b/>
        <w:sz w:val="48"/>
      </w:rPr>
    </w:pPr>
    <w:r w:rsidRPr="00445F37">
      <w:rPr>
        <w:rFonts w:ascii="Arial" w:hAnsi="Arial" w:cs="Arial"/>
        <w:b/>
        <w:sz w:val="48"/>
      </w:rPr>
      <w:t>SV</w:t>
    </w:r>
    <w:r w:rsidRPr="00445F37">
      <w:rPr>
        <w:rFonts w:ascii="Arial" w:hAnsi="Arial" w:cs="Arial"/>
        <w:b/>
        <w:sz w:val="48"/>
      </w:rPr>
      <w:tab/>
    </w:r>
    <w:r w:rsidRPr="00445F37">
      <w:rPr>
        <w:rFonts w:ascii="Arial" w:hAnsi="Arial" w:cs="Arial"/>
        <w:b/>
        <w:sz w:val="48"/>
      </w:rPr>
      <w:tab/>
    </w:r>
    <w:r w:rsidRPr="00445F37">
      <w:tab/>
    </w:r>
    <w:r w:rsidRPr="00445F37">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3112" w14:textId="29416000" w:rsidR="00445F37" w:rsidRPr="00445F37" w:rsidRDefault="00445F37" w:rsidP="00445F37">
    <w:pPr>
      <w:pStyle w:val="Footer"/>
      <w:rPr>
        <w:rFonts w:ascii="Arial" w:hAnsi="Arial" w:cs="Arial"/>
        <w:b/>
        <w:sz w:val="48"/>
      </w:rPr>
    </w:pPr>
    <w:r w:rsidRPr="00445F37">
      <w:rPr>
        <w:rFonts w:ascii="Arial" w:hAnsi="Arial" w:cs="Arial"/>
        <w:b/>
        <w:sz w:val="48"/>
      </w:rPr>
      <w:t>SV</w:t>
    </w:r>
    <w:r w:rsidRPr="00445F37">
      <w:rPr>
        <w:rFonts w:ascii="Arial" w:hAnsi="Arial" w:cs="Arial"/>
        <w:b/>
        <w:sz w:val="48"/>
      </w:rPr>
      <w:tab/>
    </w:r>
    <w:r w:rsidRPr="00445F37">
      <w:rPr>
        <w:rFonts w:ascii="Arial" w:hAnsi="Arial" w:cs="Arial"/>
        <w:b/>
        <w:sz w:val="48"/>
      </w:rPr>
      <w:tab/>
    </w:r>
    <w:r w:rsidRPr="00445F37">
      <w:tab/>
    </w:r>
    <w:r w:rsidRPr="00445F37">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7C10" w14:textId="77777777" w:rsidR="00445F37" w:rsidRPr="00445F37" w:rsidRDefault="00445F37" w:rsidP="00445F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EE30" w14:textId="77777777" w:rsidR="00445F37" w:rsidRDefault="00445F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E9B3" w14:textId="6411C693" w:rsidR="00445F37" w:rsidRPr="00445F37" w:rsidRDefault="00445F37" w:rsidP="00445F37">
    <w:pPr>
      <w:pStyle w:val="Footer"/>
      <w:rPr>
        <w:rFonts w:ascii="Arial" w:hAnsi="Arial" w:cs="Arial"/>
        <w:b/>
        <w:sz w:val="48"/>
      </w:rPr>
    </w:pPr>
    <w:r w:rsidRPr="00445F37">
      <w:rPr>
        <w:rFonts w:ascii="Arial" w:hAnsi="Arial" w:cs="Arial"/>
        <w:b/>
        <w:sz w:val="48"/>
      </w:rPr>
      <w:t>SV</w:t>
    </w:r>
    <w:r w:rsidRPr="00445F3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45F37">
      <w:tab/>
    </w:r>
    <w:r w:rsidRPr="00445F37">
      <w:rPr>
        <w:rFonts w:ascii="Arial" w:hAnsi="Arial" w:cs="Arial"/>
        <w:b/>
        <w:sz w:val="48"/>
      </w:rPr>
      <w:t>SV</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948E" w14:textId="77777777" w:rsidR="00445F37" w:rsidRDefault="00445F37" w:rsidP="00445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B5BF0" w14:textId="77777777" w:rsidR="00FA089C" w:rsidRDefault="00FA089C" w:rsidP="00FA089C">
      <w:pPr>
        <w:spacing w:before="0" w:after="0"/>
      </w:pPr>
      <w:r>
        <w:separator/>
      </w:r>
    </w:p>
  </w:footnote>
  <w:footnote w:type="continuationSeparator" w:id="0">
    <w:p w14:paraId="05236DEC" w14:textId="77777777" w:rsidR="00FA089C" w:rsidRDefault="00FA089C" w:rsidP="00FA089C">
      <w:pPr>
        <w:spacing w:before="0" w:after="0"/>
      </w:pPr>
      <w:r>
        <w:continuationSeparator/>
      </w:r>
    </w:p>
  </w:footnote>
  <w:footnote w:id="1">
    <w:p w14:paraId="1C1976CE" w14:textId="3B22513F" w:rsidR="00190A2F" w:rsidRPr="007A1DA0" w:rsidRDefault="00190A2F" w:rsidP="00190A2F">
      <w:pPr>
        <w:pStyle w:val="FootnoteText"/>
      </w:pPr>
      <w:r>
        <w:rPr>
          <w:rStyle w:val="FootnoteReference"/>
        </w:rPr>
        <w:footnoteRef/>
      </w:r>
      <w:r>
        <w:tab/>
      </w:r>
      <w:bookmarkStart w:id="3" w:name="_Hlk14788898"/>
      <w:r>
        <w:t>EUT L 347, 28.12.2017, s. 1</w:t>
      </w:r>
      <w:bookmarkEnd w:id="3"/>
      <w:r>
        <w:t>.</w:t>
      </w:r>
    </w:p>
  </w:footnote>
  <w:footnote w:id="2">
    <w:p w14:paraId="17EF8691" w14:textId="6B362C0A" w:rsidR="00190A2F" w:rsidRPr="007A1DA0" w:rsidRDefault="00190A2F" w:rsidP="00190A2F">
      <w:pPr>
        <w:pStyle w:val="FootnoteText"/>
      </w:pPr>
      <w:r>
        <w:rPr>
          <w:rStyle w:val="FootnoteReference"/>
        </w:rPr>
        <w:footnoteRef/>
      </w:r>
      <w:r>
        <w:tab/>
        <w:t>EUT L 347, 28.12.2017, s. 35.</w:t>
      </w:r>
    </w:p>
  </w:footnote>
  <w:footnote w:id="3">
    <w:p w14:paraId="5B0A3853" w14:textId="0251E958" w:rsidR="00190A2F" w:rsidRPr="007A1DA0" w:rsidRDefault="00190A2F" w:rsidP="00190A2F">
      <w:pPr>
        <w:pStyle w:val="FootnoteText"/>
        <w:rPr>
          <w:color w:val="0000FF"/>
        </w:rPr>
      </w:pPr>
      <w:r>
        <w:rPr>
          <w:rStyle w:val="FootnoteReference"/>
        </w:rPr>
        <w:footnoteRef/>
      </w:r>
      <w:r>
        <w:tab/>
      </w:r>
      <w:bookmarkStart w:id="7" w:name="_Hlk149841097"/>
      <w:r>
        <w:t>EUT L 116, 6.4.2021, s. 1.</w:t>
      </w:r>
      <w:bookmarkEnd w:id="7"/>
    </w:p>
  </w:footnote>
  <w:footnote w:id="4">
    <w:p w14:paraId="321FA537" w14:textId="76CC35C1" w:rsidR="00190A2F" w:rsidRPr="007365CA" w:rsidRDefault="00190A2F" w:rsidP="00190A2F">
      <w:pPr>
        <w:pStyle w:val="FootnoteText"/>
        <w:rPr>
          <w:color w:val="0000FF"/>
        </w:rPr>
      </w:pPr>
      <w:r>
        <w:rPr>
          <w:rStyle w:val="FootnoteReference"/>
        </w:rPr>
        <w:footnoteRef/>
      </w:r>
      <w:r>
        <w:tab/>
        <w:t>EUT L 116, 6.4.2021, s. 25.</w:t>
      </w:r>
    </w:p>
  </w:footnote>
  <w:footnote w:id="5">
    <w:p w14:paraId="0311F963" w14:textId="1D49B98F" w:rsidR="00190A2F" w:rsidRPr="007365CA" w:rsidRDefault="00190A2F" w:rsidP="00190A2F">
      <w:pPr>
        <w:pStyle w:val="FootnoteText"/>
        <w:rPr>
          <w:color w:val="0000FF"/>
        </w:rPr>
      </w:pPr>
      <w:r>
        <w:rPr>
          <w:rStyle w:val="FootnoteReference"/>
        </w:rPr>
        <w:footnoteRef/>
      </w:r>
      <w:r>
        <w:tab/>
      </w:r>
      <w:bookmarkStart w:id="9" w:name="_Hlk14789919"/>
      <w:r>
        <w:t>EUT L 227, 10.9.2018, s. 1</w:t>
      </w:r>
      <w:bookmarkEnd w:id="9"/>
      <w:r>
        <w:t>.</w:t>
      </w:r>
    </w:p>
  </w:footnote>
  <w:footnote w:id="6">
    <w:p w14:paraId="63990C9A" w14:textId="1B2D39A7" w:rsidR="00190A2F" w:rsidRPr="003608F0" w:rsidRDefault="005D3B02" w:rsidP="00190A2F">
      <w:pPr>
        <w:pStyle w:val="FootnoteText"/>
      </w:pPr>
      <w:r>
        <w:rPr>
          <w:rStyle w:val="FootnoteReference"/>
        </w:rPr>
        <w:footnoteRef/>
      </w:r>
      <w:r>
        <w:tab/>
      </w:r>
      <w:r>
        <w:rPr>
          <w:rStyle w:val="FootnoteReference"/>
        </w:rPr>
        <w:sym w:font="Symbol" w:char="F02A"/>
      </w:r>
      <w:r>
        <w:tab/>
        <w:t>[Inga konstitutionella krav angivna.] [Konstitutionella krav finns angivna.]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0502" w14:textId="77777777" w:rsidR="00445F37" w:rsidRPr="00445F37" w:rsidRDefault="00445F37" w:rsidP="00445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74EE" w14:textId="77777777" w:rsidR="00445F37" w:rsidRPr="00445F37" w:rsidRDefault="00445F37" w:rsidP="00445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4E60" w14:textId="77777777" w:rsidR="00445F37" w:rsidRPr="00445F37" w:rsidRDefault="00445F37" w:rsidP="00445F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1A0E" w14:textId="77777777" w:rsidR="00445F37" w:rsidRDefault="00445F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FF2D" w14:textId="77777777" w:rsidR="00445F37" w:rsidRDefault="00445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048214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EE2F7B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21E28C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8AE4D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D6D6A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B44C5C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A70C68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1A2A96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8317848"/>
    <w:multiLevelType w:val="hybridMultilevel"/>
    <w:tmpl w:val="4F1C422C"/>
    <w:styleLink w:val="ImportedStyle5"/>
    <w:lvl w:ilvl="0" w:tplc="EC5AFA20">
      <w:start w:val="1"/>
      <w:numFmt w:val="lowerRoman"/>
      <w:lvlText w:val="(%1)"/>
      <w:lvlJc w:val="left"/>
      <w:pPr>
        <w:tabs>
          <w:tab w:val="left" w:pos="4253"/>
        </w:tabs>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C88343C">
      <w:start w:val="1"/>
      <w:numFmt w:val="lowerLetter"/>
      <w:lvlText w:val="%2."/>
      <w:lvlJc w:val="left"/>
      <w:pPr>
        <w:tabs>
          <w:tab w:val="left" w:pos="4253"/>
        </w:tabs>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EC5040">
      <w:start w:val="1"/>
      <w:numFmt w:val="lowerRoman"/>
      <w:lvlText w:val="%3."/>
      <w:lvlJc w:val="left"/>
      <w:pPr>
        <w:tabs>
          <w:tab w:val="left" w:pos="4253"/>
        </w:tabs>
        <w:ind w:left="250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A06782A">
      <w:start w:val="1"/>
      <w:numFmt w:val="decimal"/>
      <w:lvlText w:val="%4."/>
      <w:lvlJc w:val="left"/>
      <w:pPr>
        <w:tabs>
          <w:tab w:val="left" w:pos="4253"/>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64606E">
      <w:start w:val="1"/>
      <w:numFmt w:val="lowerLetter"/>
      <w:lvlText w:val="%5."/>
      <w:lvlJc w:val="left"/>
      <w:pPr>
        <w:tabs>
          <w:tab w:val="left" w:pos="4253"/>
        </w:tabs>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2C608E">
      <w:start w:val="1"/>
      <w:numFmt w:val="lowerRoman"/>
      <w:lvlText w:val="%6."/>
      <w:lvlJc w:val="left"/>
      <w:pPr>
        <w:tabs>
          <w:tab w:val="left" w:pos="4253"/>
        </w:tabs>
        <w:ind w:left="466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140508">
      <w:start w:val="1"/>
      <w:numFmt w:val="decimal"/>
      <w:lvlText w:val="%7."/>
      <w:lvlJc w:val="left"/>
      <w:pPr>
        <w:tabs>
          <w:tab w:val="left" w:pos="4253"/>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ECC0AC">
      <w:start w:val="1"/>
      <w:numFmt w:val="lowerLetter"/>
      <w:lvlText w:val="%8."/>
      <w:lvlJc w:val="left"/>
      <w:pPr>
        <w:tabs>
          <w:tab w:val="left" w:pos="4253"/>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708CAC">
      <w:start w:val="1"/>
      <w:numFmt w:val="lowerRoman"/>
      <w:lvlText w:val="%9."/>
      <w:lvlJc w:val="left"/>
      <w:pPr>
        <w:tabs>
          <w:tab w:val="left" w:pos="4253"/>
        </w:tabs>
        <w:ind w:left="682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96A54C1"/>
    <w:multiLevelType w:val="hybridMultilevel"/>
    <w:tmpl w:val="92CE67CA"/>
    <w:styleLink w:val="ImportedStyle2"/>
    <w:lvl w:ilvl="0" w:tplc="250EEA4C">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BCCA95A">
      <w:start w:val="1"/>
      <w:numFmt w:val="lowerLetter"/>
      <w:lvlText w:val="%2."/>
      <w:lvlJc w:val="left"/>
      <w:pPr>
        <w:tabs>
          <w:tab w:val="left" w:pos="709"/>
        </w:tabs>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6EB44E02">
      <w:start w:val="1"/>
      <w:numFmt w:val="lowerRoman"/>
      <w:lvlText w:val="%3."/>
      <w:lvlJc w:val="left"/>
      <w:pPr>
        <w:tabs>
          <w:tab w:val="left" w:pos="709"/>
        </w:tabs>
        <w:ind w:left="2149" w:hanging="649"/>
      </w:pPr>
      <w:rPr>
        <w:rFonts w:hAnsi="Arial Unicode MS"/>
        <w:caps w:val="0"/>
        <w:smallCaps w:val="0"/>
        <w:strike w:val="0"/>
        <w:dstrike w:val="0"/>
        <w:outline w:val="0"/>
        <w:emboss w:val="0"/>
        <w:imprint w:val="0"/>
        <w:spacing w:val="0"/>
        <w:w w:val="100"/>
        <w:kern w:val="0"/>
        <w:position w:val="0"/>
        <w:highlight w:val="none"/>
        <w:vertAlign w:val="baseline"/>
      </w:rPr>
    </w:lvl>
    <w:lvl w:ilvl="3" w:tplc="10CA95AE">
      <w:start w:val="1"/>
      <w:numFmt w:val="decimal"/>
      <w:lvlText w:val="%4."/>
      <w:lvlJc w:val="left"/>
      <w:pPr>
        <w:tabs>
          <w:tab w:val="left" w:pos="709"/>
        </w:tabs>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4E2A348">
      <w:start w:val="1"/>
      <w:numFmt w:val="lowerLetter"/>
      <w:lvlText w:val="%5."/>
      <w:lvlJc w:val="left"/>
      <w:pPr>
        <w:tabs>
          <w:tab w:val="left" w:pos="709"/>
        </w:tabs>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6B94ADAA">
      <w:start w:val="1"/>
      <w:numFmt w:val="lowerRoman"/>
      <w:lvlText w:val="%6."/>
      <w:lvlJc w:val="left"/>
      <w:pPr>
        <w:tabs>
          <w:tab w:val="left" w:pos="709"/>
        </w:tabs>
        <w:ind w:left="4309" w:hanging="649"/>
      </w:pPr>
      <w:rPr>
        <w:rFonts w:hAnsi="Arial Unicode MS"/>
        <w:caps w:val="0"/>
        <w:smallCaps w:val="0"/>
        <w:strike w:val="0"/>
        <w:dstrike w:val="0"/>
        <w:outline w:val="0"/>
        <w:emboss w:val="0"/>
        <w:imprint w:val="0"/>
        <w:spacing w:val="0"/>
        <w:w w:val="100"/>
        <w:kern w:val="0"/>
        <w:position w:val="0"/>
        <w:highlight w:val="none"/>
        <w:vertAlign w:val="baseline"/>
      </w:rPr>
    </w:lvl>
    <w:lvl w:ilvl="6" w:tplc="F99A3974">
      <w:start w:val="1"/>
      <w:numFmt w:val="decimal"/>
      <w:lvlText w:val="%7."/>
      <w:lvlJc w:val="left"/>
      <w:pPr>
        <w:tabs>
          <w:tab w:val="left" w:pos="709"/>
        </w:tabs>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9B8CF956">
      <w:start w:val="1"/>
      <w:numFmt w:val="lowerLetter"/>
      <w:lvlText w:val="%8."/>
      <w:lvlJc w:val="left"/>
      <w:pPr>
        <w:tabs>
          <w:tab w:val="left" w:pos="709"/>
        </w:tabs>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132A9D0A">
      <w:start w:val="1"/>
      <w:numFmt w:val="lowerRoman"/>
      <w:lvlText w:val="%9."/>
      <w:lvlJc w:val="left"/>
      <w:pPr>
        <w:tabs>
          <w:tab w:val="left" w:pos="709"/>
        </w:tabs>
        <w:ind w:left="6469" w:hanging="6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D8772F7"/>
    <w:multiLevelType w:val="hybridMultilevel"/>
    <w:tmpl w:val="8F262F1E"/>
    <w:styleLink w:val="ImportedStyle3"/>
    <w:lvl w:ilvl="0" w:tplc="F590582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52C7186">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BAE3022">
      <w:start w:val="1"/>
      <w:numFmt w:val="lowerRoman"/>
      <w:lvlText w:val="%3."/>
      <w:lvlJc w:val="left"/>
      <w:pPr>
        <w:ind w:left="21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1756AE0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F103FA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15E06E4">
      <w:start w:val="1"/>
      <w:numFmt w:val="lowerRoman"/>
      <w:lvlText w:val="%6."/>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99421980">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92CE9B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E3EA410">
      <w:start w:val="1"/>
      <w:numFmt w:val="lowerRoman"/>
      <w:lvlText w:val="%9."/>
      <w:lvlJc w:val="left"/>
      <w:pPr>
        <w:ind w:left="648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01E9E"/>
    <w:multiLevelType w:val="hybridMultilevel"/>
    <w:tmpl w:val="8B24477A"/>
    <w:styleLink w:val="ImportedStyle4"/>
    <w:lvl w:ilvl="0" w:tplc="6A3876E8">
      <w:start w:val="1"/>
      <w:numFmt w:val="bullet"/>
      <w:lvlText w:val="-"/>
      <w:lvlJc w:val="left"/>
      <w:pPr>
        <w:tabs>
          <w:tab w:val="left" w:pos="4253"/>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660F91A">
      <w:start w:val="1"/>
      <w:numFmt w:val="bullet"/>
      <w:lvlText w:val="o"/>
      <w:lvlJc w:val="left"/>
      <w:pPr>
        <w:tabs>
          <w:tab w:val="left" w:pos="4253"/>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2839A2">
      <w:start w:val="1"/>
      <w:numFmt w:val="bullet"/>
      <w:lvlText w:val="▪"/>
      <w:lvlJc w:val="left"/>
      <w:pPr>
        <w:tabs>
          <w:tab w:val="left" w:pos="4253"/>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569132">
      <w:start w:val="1"/>
      <w:numFmt w:val="bullet"/>
      <w:lvlText w:val="•"/>
      <w:lvlJc w:val="left"/>
      <w:pPr>
        <w:tabs>
          <w:tab w:val="left" w:pos="4253"/>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49A3050">
      <w:start w:val="1"/>
      <w:numFmt w:val="bullet"/>
      <w:lvlText w:val="o"/>
      <w:lvlJc w:val="left"/>
      <w:pPr>
        <w:tabs>
          <w:tab w:val="left" w:pos="4253"/>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9A70DC">
      <w:start w:val="1"/>
      <w:numFmt w:val="bullet"/>
      <w:lvlText w:val="▪"/>
      <w:lvlJc w:val="left"/>
      <w:pPr>
        <w:tabs>
          <w:tab w:val="left" w:pos="4253"/>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5AA64E">
      <w:start w:val="1"/>
      <w:numFmt w:val="bullet"/>
      <w:lvlText w:val="•"/>
      <w:lvlJc w:val="left"/>
      <w:pPr>
        <w:tabs>
          <w:tab w:val="left" w:pos="4253"/>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708338">
      <w:start w:val="1"/>
      <w:numFmt w:val="bullet"/>
      <w:lvlText w:val="o"/>
      <w:lvlJc w:val="left"/>
      <w:pPr>
        <w:tabs>
          <w:tab w:val="left" w:pos="4253"/>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9ACCA00">
      <w:start w:val="1"/>
      <w:numFmt w:val="bullet"/>
      <w:lvlText w:val="▪"/>
      <w:lvlJc w:val="left"/>
      <w:pPr>
        <w:tabs>
          <w:tab w:val="left" w:pos="4253"/>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18"/>
  </w:num>
  <w:num w:numId="11">
    <w:abstractNumId w:val="24"/>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25"/>
  </w:num>
  <w:num w:numId="17">
    <w:abstractNumId w:val="11"/>
  </w:num>
  <w:num w:numId="18">
    <w:abstractNumId w:val="15"/>
  </w:num>
  <w:num w:numId="19">
    <w:abstractNumId w:val="16"/>
  </w:num>
  <w:num w:numId="20">
    <w:abstractNumId w:val="9"/>
  </w:num>
  <w:num w:numId="21">
    <w:abstractNumId w:val="23"/>
  </w:num>
  <w:num w:numId="22">
    <w:abstractNumId w:val="8"/>
  </w:num>
  <w:num w:numId="23">
    <w:abstractNumId w:val="17"/>
  </w:num>
  <w:num w:numId="24">
    <w:abstractNumId w:val="20"/>
  </w:num>
  <w:num w:numId="25">
    <w:abstractNumId w:val="21"/>
  </w:num>
  <w:num w:numId="26">
    <w:abstractNumId w:val="10"/>
  </w:num>
  <w:num w:numId="27">
    <w:abstractNumId w:val="19"/>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4-03-04 15:04:0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ill"/>
    <w:docVar w:name="LW_ACCOMPAGNANT.CP" w:val="till"/>
    <w:docVar w:name="LW_ANNEX_NBR_FIRST" w:val="1"/>
    <w:docVar w:name="LW_ANNEX_NBR_LAST" w:val="1"/>
    <w:docVar w:name="LW_ANNEX_UNIQUE" w:val="1"/>
    <w:docVar w:name="LW_CORRIGENDUM" w:val="&lt;UNUSED&gt;"/>
    <w:docVar w:name="LW_COVERPAGE_EXISTS" w:val="True"/>
    <w:docVar w:name="LW_COVERPAGE_GUID" w:val="D485FBC6-8AB0-4BF4-80D0-664F4B3F4D3D"/>
    <w:docVar w:name="LW_COVERPAGE_TYPE" w:val="1"/>
    <w:docVar w:name="LW_CROSSREFERENCE" w:val="&lt;UNUSED&gt;"/>
    <w:docVar w:name="LW_DocType" w:val="ANNEX"/>
    <w:docVar w:name="LW_EMISSION" w:val="5.3.2024"/>
    <w:docVar w:name="LW_EMISSION_ISODATE" w:val="2024-03-05"/>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den ståndpunkt som ska intas på Europeiska unionens vägnar i gemensamma EES-kommittén beträffande en ändring av bilaga IX (Finansiella tjänster) till EES-avtalet_x000d__x000b__x000d__x000d__x000d__x000d__x000d__x000d__x000d__x000b__x000d__x000d__x000d__x000d__x000d__x000d__x000d__x000b_(Tillsynskrav och värdepapperisering)"/>
    <w:docVar w:name="LW_OBJETACTEPRINCIPAL.CP" w:val="om den ståndpunkt som ska intas på Europeiska unionens vägnar i gemensamma EES-kommittén beträffande en ändring av bilaga IX (Finansiella tjänster) till EES-avtalet_x000d__x000b__x000d__x000d__x000d__x000d__x000d__x000d__x000d__x000b__x000d__x000d__x000d__x000d__x000d__x000d__x000d__x000b_(Tillsynskrav och värdepapperisering)"/>
    <w:docVar w:name="LW_PART_NBR" w:val="1"/>
    <w:docVar w:name="LW_PART_NBR_TOTAL" w:val="1"/>
    <w:docVar w:name="LW_REF.INST.NEW" w:val="COM"/>
    <w:docVar w:name="LW_REF.INST.NEW_ADOPTED" w:val="final"/>
    <w:docVar w:name="LW_REF.INST.NEW_TEXT" w:val="(2024) 10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A"/>
    <w:docVar w:name="LW_TYPE.DOC.CP" w:val="BILAGA"/>
    <w:docVar w:name="LW_TYPEACTEPRINCIPAL" w:val="Förslag till_x000b__x000b_RÅDETS BESLUT"/>
    <w:docVar w:name="LW_TYPEACTEPRINCIPAL.CP" w:val="Förslag till_x000b__x000b_RÅDETS BESLUT"/>
    <w:docVar w:name="LwApiVersions" w:val="LW4CoDe 1.24.5.0; LW 9.0, Build 20240221"/>
  </w:docVars>
  <w:rsids>
    <w:rsidRoot w:val="00FA089C"/>
    <w:rsid w:val="00004945"/>
    <w:rsid w:val="00034722"/>
    <w:rsid w:val="000440A0"/>
    <w:rsid w:val="0005237D"/>
    <w:rsid w:val="00061BBD"/>
    <w:rsid w:val="000A1119"/>
    <w:rsid w:val="000E198E"/>
    <w:rsid w:val="000F3476"/>
    <w:rsid w:val="000F6BF8"/>
    <w:rsid w:val="001044C3"/>
    <w:rsid w:val="001169FE"/>
    <w:rsid w:val="0012048A"/>
    <w:rsid w:val="00123B54"/>
    <w:rsid w:val="001770F8"/>
    <w:rsid w:val="00185721"/>
    <w:rsid w:val="00186287"/>
    <w:rsid w:val="00190A2F"/>
    <w:rsid w:val="00192B5B"/>
    <w:rsid w:val="001B3BEF"/>
    <w:rsid w:val="001C2816"/>
    <w:rsid w:val="001D6F25"/>
    <w:rsid w:val="001E61CD"/>
    <w:rsid w:val="00250184"/>
    <w:rsid w:val="00256DA5"/>
    <w:rsid w:val="00275853"/>
    <w:rsid w:val="00285931"/>
    <w:rsid w:val="002B1C35"/>
    <w:rsid w:val="002C03B3"/>
    <w:rsid w:val="002D3DFC"/>
    <w:rsid w:val="002F2559"/>
    <w:rsid w:val="002F61FE"/>
    <w:rsid w:val="00320A4E"/>
    <w:rsid w:val="00327C3C"/>
    <w:rsid w:val="003418F6"/>
    <w:rsid w:val="003534BB"/>
    <w:rsid w:val="00371022"/>
    <w:rsid w:val="00373143"/>
    <w:rsid w:val="003813E8"/>
    <w:rsid w:val="003E52B4"/>
    <w:rsid w:val="003F0E54"/>
    <w:rsid w:val="0040035F"/>
    <w:rsid w:val="00407DF3"/>
    <w:rsid w:val="00415CCF"/>
    <w:rsid w:val="004369FD"/>
    <w:rsid w:val="00445F37"/>
    <w:rsid w:val="004476AE"/>
    <w:rsid w:val="00455DDA"/>
    <w:rsid w:val="00484058"/>
    <w:rsid w:val="004A39D4"/>
    <w:rsid w:val="004C146F"/>
    <w:rsid w:val="00500040"/>
    <w:rsid w:val="00500548"/>
    <w:rsid w:val="005210EF"/>
    <w:rsid w:val="005845A6"/>
    <w:rsid w:val="005B35EF"/>
    <w:rsid w:val="005D3B02"/>
    <w:rsid w:val="005E5466"/>
    <w:rsid w:val="005E60B3"/>
    <w:rsid w:val="005E7F03"/>
    <w:rsid w:val="005F59E6"/>
    <w:rsid w:val="00650203"/>
    <w:rsid w:val="006531D7"/>
    <w:rsid w:val="00655FE8"/>
    <w:rsid w:val="006C59B2"/>
    <w:rsid w:val="006E054A"/>
    <w:rsid w:val="006E0F4C"/>
    <w:rsid w:val="006E255E"/>
    <w:rsid w:val="00725D0A"/>
    <w:rsid w:val="007311CE"/>
    <w:rsid w:val="00731592"/>
    <w:rsid w:val="00742A15"/>
    <w:rsid w:val="00761D40"/>
    <w:rsid w:val="0076759F"/>
    <w:rsid w:val="00780782"/>
    <w:rsid w:val="007921C7"/>
    <w:rsid w:val="007B0F43"/>
    <w:rsid w:val="007D7772"/>
    <w:rsid w:val="007E131B"/>
    <w:rsid w:val="00810E27"/>
    <w:rsid w:val="00823BC6"/>
    <w:rsid w:val="00826EE6"/>
    <w:rsid w:val="00827826"/>
    <w:rsid w:val="008356D5"/>
    <w:rsid w:val="008367E0"/>
    <w:rsid w:val="008612AB"/>
    <w:rsid w:val="00867063"/>
    <w:rsid w:val="008A1F01"/>
    <w:rsid w:val="00907002"/>
    <w:rsid w:val="00912B9A"/>
    <w:rsid w:val="00933063"/>
    <w:rsid w:val="00952E0F"/>
    <w:rsid w:val="00974C60"/>
    <w:rsid w:val="00986B33"/>
    <w:rsid w:val="00987AD5"/>
    <w:rsid w:val="009B3972"/>
    <w:rsid w:val="009C47C0"/>
    <w:rsid w:val="009F0A00"/>
    <w:rsid w:val="009F2FE6"/>
    <w:rsid w:val="009F5467"/>
    <w:rsid w:val="00A13312"/>
    <w:rsid w:val="00A145EF"/>
    <w:rsid w:val="00A164EF"/>
    <w:rsid w:val="00A255F3"/>
    <w:rsid w:val="00A45F7C"/>
    <w:rsid w:val="00A52F7E"/>
    <w:rsid w:val="00A71FC6"/>
    <w:rsid w:val="00A93C8A"/>
    <w:rsid w:val="00AA31D7"/>
    <w:rsid w:val="00B05913"/>
    <w:rsid w:val="00B0658F"/>
    <w:rsid w:val="00B14D97"/>
    <w:rsid w:val="00B42901"/>
    <w:rsid w:val="00B42D7C"/>
    <w:rsid w:val="00B45548"/>
    <w:rsid w:val="00B704E9"/>
    <w:rsid w:val="00B711EC"/>
    <w:rsid w:val="00B856AB"/>
    <w:rsid w:val="00B90126"/>
    <w:rsid w:val="00BB0CF3"/>
    <w:rsid w:val="00BB37E9"/>
    <w:rsid w:val="00BC2EB6"/>
    <w:rsid w:val="00BE2743"/>
    <w:rsid w:val="00BF17AA"/>
    <w:rsid w:val="00BF5C8E"/>
    <w:rsid w:val="00C24294"/>
    <w:rsid w:val="00C24556"/>
    <w:rsid w:val="00C362A9"/>
    <w:rsid w:val="00C445CB"/>
    <w:rsid w:val="00C5255D"/>
    <w:rsid w:val="00C55C9C"/>
    <w:rsid w:val="00C61C6D"/>
    <w:rsid w:val="00C62B2D"/>
    <w:rsid w:val="00C83EEE"/>
    <w:rsid w:val="00C91E25"/>
    <w:rsid w:val="00CF4F2E"/>
    <w:rsid w:val="00CF7406"/>
    <w:rsid w:val="00D05904"/>
    <w:rsid w:val="00D34946"/>
    <w:rsid w:val="00D7412A"/>
    <w:rsid w:val="00D801B5"/>
    <w:rsid w:val="00DF0D83"/>
    <w:rsid w:val="00E10491"/>
    <w:rsid w:val="00E420DD"/>
    <w:rsid w:val="00E7115E"/>
    <w:rsid w:val="00E871BC"/>
    <w:rsid w:val="00E9478D"/>
    <w:rsid w:val="00EC53A0"/>
    <w:rsid w:val="00EE0A65"/>
    <w:rsid w:val="00EF2847"/>
    <w:rsid w:val="00EF3FF8"/>
    <w:rsid w:val="00EF4946"/>
    <w:rsid w:val="00F00E4B"/>
    <w:rsid w:val="00F0135E"/>
    <w:rsid w:val="00F016EA"/>
    <w:rsid w:val="00F310E2"/>
    <w:rsid w:val="00F34A2B"/>
    <w:rsid w:val="00F370B0"/>
    <w:rsid w:val="00F44453"/>
    <w:rsid w:val="00F57F03"/>
    <w:rsid w:val="00F614F4"/>
    <w:rsid w:val="00F67FE6"/>
    <w:rsid w:val="00F81EBC"/>
    <w:rsid w:val="00FA089C"/>
    <w:rsid w:val="00FB45EE"/>
    <w:rsid w:val="00FB471D"/>
    <w:rsid w:val="00FC3EB1"/>
    <w:rsid w:val="00FC4F27"/>
    <w:rsid w:val="00FD1983"/>
    <w:rsid w:val="00FD1DA3"/>
    <w:rsid w:val="00FE16A2"/>
    <w:rsid w:val="00FE66CD"/>
    <w:rsid w:val="00FF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866BF44"/>
  <w15:docId w15:val="{A60AE7C3-E0C1-400A-AE34-C2811ECB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89C"/>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rsid w:val="00FA089C"/>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rsid w:val="00FA089C"/>
    <w:pPr>
      <w:keepNext w:val="0"/>
      <w:spacing w:before="120"/>
      <w:jc w:val="both"/>
    </w:pPr>
    <w:rPr>
      <w:i w:val="0"/>
    </w:rPr>
  </w:style>
  <w:style w:type="character" w:customStyle="1" w:styleId="ArticleheadingChar">
    <w:name w:val="Article heading Char"/>
    <w:basedOn w:val="DefaultParagraphFont"/>
    <w:link w:val="Articleheading"/>
    <w:rsid w:val="00FA089C"/>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sid w:val="00FA089C"/>
    <w:rPr>
      <w:rFonts w:ascii="Times New Roman" w:hAnsi="Times New Roman" w:cs="Times New Roman"/>
      <w:i w:val="0"/>
      <w:color w:val="000000" w:themeColor="text1"/>
      <w:sz w:val="24"/>
      <w:szCs w:val="24"/>
    </w:rPr>
  </w:style>
  <w:style w:type="character" w:customStyle="1" w:styleId="Point1Char">
    <w:name w:val="Point 1 Char"/>
    <w:basedOn w:val="ArticletextChar"/>
    <w:rsid w:val="00FA089C"/>
    <w:rPr>
      <w:rFonts w:ascii="Times New Roman" w:hAnsi="Times New Roman" w:cs="Times New Roman"/>
      <w:i w:val="0"/>
      <w:color w:val="000000" w:themeColor="text1"/>
      <w:sz w:val="24"/>
      <w:szCs w:val="24"/>
      <w:lang w:val="sv-SE"/>
    </w:rPr>
  </w:style>
  <w:style w:type="character" w:customStyle="1" w:styleId="Point0Char">
    <w:name w:val="Point 0 Char"/>
    <w:basedOn w:val="Point1Char"/>
    <w:rsid w:val="00FA089C"/>
    <w:rPr>
      <w:rFonts w:ascii="Times New Roman" w:hAnsi="Times New Roman" w:cs="Times New Roman"/>
      <w:i w:val="0"/>
      <w:color w:val="000000" w:themeColor="text1"/>
      <w:sz w:val="24"/>
      <w:szCs w:val="24"/>
      <w:lang w:val="sv-SE"/>
    </w:rPr>
  </w:style>
  <w:style w:type="paragraph" w:customStyle="1" w:styleId="Adaptation">
    <w:name w:val="Adaptation"/>
    <w:basedOn w:val="Point1"/>
    <w:link w:val="AdaptationChar"/>
    <w:qFormat/>
    <w:rsid w:val="00FA089C"/>
    <w:pPr>
      <w:ind w:left="851" w:firstLine="0"/>
    </w:pPr>
    <w:rPr>
      <w:color w:val="000000" w:themeColor="text1"/>
      <w:szCs w:val="24"/>
    </w:rPr>
  </w:style>
  <w:style w:type="character" w:customStyle="1" w:styleId="AdaptationChar">
    <w:name w:val="Adaptation Char"/>
    <w:basedOn w:val="Point1Char"/>
    <w:link w:val="Adaptation"/>
    <w:rsid w:val="00FA089C"/>
    <w:rPr>
      <w:rFonts w:ascii="Times New Roman" w:hAnsi="Times New Roman" w:cs="Times New Roman"/>
      <w:i w:val="0"/>
      <w:color w:val="000000" w:themeColor="text1"/>
      <w:sz w:val="24"/>
      <w:szCs w:val="24"/>
      <w:lang w:val="sv-SE"/>
    </w:rPr>
  </w:style>
  <w:style w:type="paragraph" w:styleId="Caption">
    <w:name w:val="caption"/>
    <w:basedOn w:val="Normal"/>
    <w:next w:val="Normal"/>
    <w:uiPriority w:val="35"/>
    <w:semiHidden/>
    <w:unhideWhenUsed/>
    <w:qFormat/>
    <w:rsid w:val="00F016E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016EA"/>
    <w:pPr>
      <w:spacing w:after="0"/>
    </w:pPr>
  </w:style>
  <w:style w:type="paragraph" w:styleId="ListBullet">
    <w:name w:val="List Bullet"/>
    <w:basedOn w:val="Normal"/>
    <w:uiPriority w:val="99"/>
    <w:semiHidden/>
    <w:unhideWhenUsed/>
    <w:rsid w:val="00F016EA"/>
    <w:pPr>
      <w:numPr>
        <w:numId w:val="1"/>
      </w:numPr>
      <w:contextualSpacing/>
    </w:pPr>
  </w:style>
  <w:style w:type="paragraph" w:styleId="ListBullet2">
    <w:name w:val="List Bullet 2"/>
    <w:basedOn w:val="Normal"/>
    <w:uiPriority w:val="99"/>
    <w:semiHidden/>
    <w:unhideWhenUsed/>
    <w:rsid w:val="00F016EA"/>
    <w:pPr>
      <w:numPr>
        <w:numId w:val="2"/>
      </w:numPr>
      <w:contextualSpacing/>
    </w:pPr>
  </w:style>
  <w:style w:type="paragraph" w:styleId="ListBullet3">
    <w:name w:val="List Bullet 3"/>
    <w:basedOn w:val="Normal"/>
    <w:uiPriority w:val="99"/>
    <w:semiHidden/>
    <w:unhideWhenUsed/>
    <w:rsid w:val="00F016EA"/>
    <w:pPr>
      <w:numPr>
        <w:numId w:val="3"/>
      </w:numPr>
      <w:contextualSpacing/>
    </w:pPr>
  </w:style>
  <w:style w:type="paragraph" w:styleId="ListBullet4">
    <w:name w:val="List Bullet 4"/>
    <w:basedOn w:val="Normal"/>
    <w:uiPriority w:val="99"/>
    <w:semiHidden/>
    <w:unhideWhenUsed/>
    <w:rsid w:val="00F016EA"/>
    <w:pPr>
      <w:numPr>
        <w:numId w:val="4"/>
      </w:numPr>
      <w:contextualSpacing/>
    </w:pPr>
  </w:style>
  <w:style w:type="paragraph" w:styleId="ListNumber">
    <w:name w:val="List Number"/>
    <w:basedOn w:val="Normal"/>
    <w:uiPriority w:val="99"/>
    <w:semiHidden/>
    <w:unhideWhenUsed/>
    <w:rsid w:val="00F016EA"/>
    <w:pPr>
      <w:numPr>
        <w:numId w:val="5"/>
      </w:numPr>
      <w:contextualSpacing/>
    </w:pPr>
  </w:style>
  <w:style w:type="paragraph" w:styleId="ListNumber2">
    <w:name w:val="List Number 2"/>
    <w:basedOn w:val="Normal"/>
    <w:uiPriority w:val="99"/>
    <w:semiHidden/>
    <w:unhideWhenUsed/>
    <w:rsid w:val="00F016EA"/>
    <w:pPr>
      <w:numPr>
        <w:numId w:val="6"/>
      </w:numPr>
      <w:contextualSpacing/>
    </w:pPr>
  </w:style>
  <w:style w:type="paragraph" w:styleId="ListNumber3">
    <w:name w:val="List Number 3"/>
    <w:basedOn w:val="Normal"/>
    <w:uiPriority w:val="99"/>
    <w:semiHidden/>
    <w:unhideWhenUsed/>
    <w:rsid w:val="00F016EA"/>
    <w:pPr>
      <w:numPr>
        <w:numId w:val="7"/>
      </w:numPr>
      <w:contextualSpacing/>
    </w:pPr>
  </w:style>
  <w:style w:type="paragraph" w:styleId="ListNumber4">
    <w:name w:val="List Number 4"/>
    <w:basedOn w:val="Normal"/>
    <w:uiPriority w:val="99"/>
    <w:semiHidden/>
    <w:unhideWhenUsed/>
    <w:rsid w:val="00F016EA"/>
    <w:pPr>
      <w:numPr>
        <w:numId w:val="8"/>
      </w:numPr>
      <w:contextualSpacing/>
    </w:pPr>
  </w:style>
  <w:style w:type="character" w:styleId="CommentReference">
    <w:name w:val="annotation reference"/>
    <w:basedOn w:val="DefaultParagraphFont"/>
    <w:uiPriority w:val="99"/>
    <w:semiHidden/>
    <w:unhideWhenUsed/>
    <w:rsid w:val="00C5255D"/>
    <w:rPr>
      <w:sz w:val="16"/>
      <w:szCs w:val="16"/>
    </w:rPr>
  </w:style>
  <w:style w:type="paragraph" w:styleId="CommentText">
    <w:name w:val="annotation text"/>
    <w:basedOn w:val="Normal"/>
    <w:link w:val="CommentTextChar"/>
    <w:uiPriority w:val="99"/>
    <w:semiHidden/>
    <w:unhideWhenUsed/>
    <w:rsid w:val="00C5255D"/>
    <w:rPr>
      <w:sz w:val="20"/>
      <w:szCs w:val="20"/>
    </w:rPr>
  </w:style>
  <w:style w:type="character" w:customStyle="1" w:styleId="CommentTextChar">
    <w:name w:val="Comment Text Char"/>
    <w:basedOn w:val="DefaultParagraphFont"/>
    <w:link w:val="CommentText"/>
    <w:uiPriority w:val="99"/>
    <w:semiHidden/>
    <w:rsid w:val="00C5255D"/>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C5255D"/>
    <w:rPr>
      <w:b/>
      <w:bCs/>
    </w:rPr>
  </w:style>
  <w:style w:type="character" w:customStyle="1" w:styleId="CommentSubjectChar">
    <w:name w:val="Comment Subject Char"/>
    <w:basedOn w:val="CommentTextChar"/>
    <w:link w:val="CommentSubject"/>
    <w:uiPriority w:val="99"/>
    <w:semiHidden/>
    <w:rsid w:val="00C5255D"/>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C5255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55D"/>
    <w:rPr>
      <w:rFonts w:ascii="Segoe UI" w:hAnsi="Segoe UI" w:cs="Segoe UI"/>
      <w:sz w:val="18"/>
      <w:szCs w:val="18"/>
      <w:lang w:val="sv-SE"/>
    </w:rPr>
  </w:style>
  <w:style w:type="character" w:styleId="Hyperlink">
    <w:name w:val="Hyperlink"/>
    <w:basedOn w:val="DefaultParagraphFont"/>
    <w:uiPriority w:val="99"/>
    <w:unhideWhenUsed/>
    <w:rsid w:val="00C5255D"/>
    <w:rPr>
      <w:color w:val="0000FF" w:themeColor="hyperlink"/>
      <w:u w:val="single"/>
    </w:rPr>
  </w:style>
  <w:style w:type="paragraph" w:customStyle="1" w:styleId="Text0">
    <w:name w:val="Text 0"/>
    <w:basedOn w:val="Text1"/>
    <w:rsid w:val="00826EE6"/>
  </w:style>
  <w:style w:type="paragraph" w:customStyle="1" w:styleId="Body">
    <w:name w:val="Body"/>
    <w:rsid w:val="00BB37E9"/>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rsid w:val="00BB37E9"/>
    <w:pPr>
      <w:numPr>
        <w:numId w:val="9"/>
      </w:numPr>
    </w:pPr>
  </w:style>
  <w:style w:type="numbering" w:customStyle="1" w:styleId="ImportedStyle3">
    <w:name w:val="Imported Style 3"/>
    <w:rsid w:val="00BB37E9"/>
    <w:pPr>
      <w:numPr>
        <w:numId w:val="10"/>
      </w:numPr>
    </w:pPr>
  </w:style>
  <w:style w:type="numbering" w:customStyle="1" w:styleId="ImportedStyle4">
    <w:name w:val="Imported Style 4"/>
    <w:rsid w:val="00BB37E9"/>
    <w:pPr>
      <w:numPr>
        <w:numId w:val="11"/>
      </w:numPr>
    </w:pPr>
  </w:style>
  <w:style w:type="numbering" w:customStyle="1" w:styleId="ImportedStyle5">
    <w:name w:val="Imported Style 5"/>
    <w:rsid w:val="00BB37E9"/>
    <w:pPr>
      <w:numPr>
        <w:numId w:val="12"/>
      </w:numPr>
    </w:pPr>
  </w:style>
  <w:style w:type="paragraph" w:styleId="Revision">
    <w:name w:val="Revision"/>
    <w:hidden/>
    <w:uiPriority w:val="99"/>
    <w:semiHidden/>
    <w:rsid w:val="00B0658F"/>
    <w:pPr>
      <w:spacing w:after="0" w:line="240" w:lineRule="auto"/>
    </w:pPr>
    <w:rPr>
      <w:rFonts w:ascii="Times New Roman" w:hAnsi="Times New Roman" w:cs="Times New Roman"/>
      <w:sz w:val="24"/>
    </w:rPr>
  </w:style>
  <w:style w:type="character" w:customStyle="1" w:styleId="Point2Char">
    <w:name w:val="Point 2 Char"/>
    <w:basedOn w:val="DefaultParagraphFont"/>
    <w:rsid w:val="00190A2F"/>
    <w:rPr>
      <w:rFonts w:ascii="Times New Roman" w:hAnsi="Times New Roman" w:cs="Times New Roman"/>
      <w:sz w:val="24"/>
      <w:lang w:val="sv-SE"/>
    </w:rPr>
  </w:style>
  <w:style w:type="paragraph" w:customStyle="1" w:styleId="Point4b">
    <w:name w:val="Point 4b"/>
    <w:basedOn w:val="Point4"/>
    <w:qFormat/>
    <w:rsid w:val="00190A2F"/>
    <w:pPr>
      <w:tabs>
        <w:tab w:val="left" w:pos="1453"/>
      </w:tabs>
      <w:ind w:left="2552" w:firstLine="0"/>
      <w:jc w:val="left"/>
    </w:pPr>
    <w:rPr>
      <w:rFonts w:cstheme="minorBidi"/>
      <w:szCs w:val="20"/>
    </w:rPr>
  </w:style>
  <w:style w:type="character" w:customStyle="1" w:styleId="UnresolvedMention">
    <w:name w:val="Unresolved Mention"/>
    <w:basedOn w:val="DefaultParagraphFont"/>
    <w:uiPriority w:val="99"/>
    <w:semiHidden/>
    <w:unhideWhenUsed/>
    <w:rsid w:val="00F67FE6"/>
    <w:rPr>
      <w:color w:val="605E5C"/>
      <w:shd w:val="clear" w:color="auto" w:fill="E1DFDD"/>
    </w:rPr>
  </w:style>
  <w:style w:type="character" w:customStyle="1" w:styleId="HeaderChar">
    <w:name w:val="Header Char"/>
    <w:basedOn w:val="DefaultParagraphFont"/>
    <w:link w:val="Header"/>
    <w:uiPriority w:val="99"/>
    <w:rsid w:val="00445F37"/>
    <w:rPr>
      <w:rFonts w:ascii="Times New Roman" w:hAnsi="Times New Roman" w:cs="Times New Roman"/>
      <w:sz w:val="24"/>
      <w:lang w:val="sv-SE"/>
    </w:rPr>
  </w:style>
  <w:style w:type="character" w:customStyle="1" w:styleId="FooterChar">
    <w:name w:val="Footer Char"/>
    <w:basedOn w:val="DefaultParagraphFont"/>
    <w:link w:val="Footer"/>
    <w:uiPriority w:val="99"/>
    <w:rsid w:val="00445F37"/>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45F3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45F37"/>
    <w:pPr>
      <w:spacing w:before="0"/>
      <w:jc w:val="right"/>
    </w:pPr>
    <w:rPr>
      <w:sz w:val="28"/>
    </w:rPr>
  </w:style>
  <w:style w:type="paragraph" w:customStyle="1" w:styleId="FooterSensitivity">
    <w:name w:val="Footer Sensitivity"/>
    <w:basedOn w:val="Normal"/>
    <w:rsid w:val="00445F3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Tiret5">
    <w:name w:val="Tiret 5"/>
    <w:basedOn w:val="Point5"/>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NumPar5">
    <w:name w:val="NumPar 5"/>
    <w:basedOn w:val="Normal"/>
    <w:next w:val="Text2"/>
    <w:pPr>
      <w:numPr>
        <w:ilvl w:val="4"/>
        <w:numId w:val="20"/>
      </w:numPr>
    </w:pPr>
  </w:style>
  <w:style w:type="paragraph" w:customStyle="1" w:styleId="NumPar6">
    <w:name w:val="NumPar 6"/>
    <w:basedOn w:val="Normal"/>
    <w:next w:val="Text2"/>
    <w:pPr>
      <w:numPr>
        <w:ilvl w:val="5"/>
        <w:numId w:val="20"/>
      </w:numPr>
    </w:pPr>
  </w:style>
  <w:style w:type="paragraph" w:customStyle="1" w:styleId="NumPar7">
    <w:name w:val="NumPar 7"/>
    <w:basedOn w:val="Normal"/>
    <w:next w:val="Text2"/>
    <w:pPr>
      <w:numPr>
        <w:ilvl w:val="6"/>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45F37"/>
    <w:pPr>
      <w:tabs>
        <w:tab w:val="center" w:pos="4535"/>
        <w:tab w:val="right" w:pos="9071"/>
      </w:tabs>
      <w:spacing w:before="0"/>
    </w:pPr>
  </w:style>
  <w:style w:type="paragraph" w:customStyle="1" w:styleId="HeaderLandscape">
    <w:name w:val="HeaderLandscape"/>
    <w:basedOn w:val="Normal"/>
    <w:rsid w:val="00445F37"/>
    <w:pPr>
      <w:tabs>
        <w:tab w:val="center" w:pos="7285"/>
        <w:tab w:val="right" w:pos="14003"/>
      </w:tabs>
      <w:spacing w:before="0"/>
    </w:pPr>
  </w:style>
  <w:style w:type="paragraph" w:styleId="Footer">
    <w:name w:val="footer"/>
    <w:basedOn w:val="Normal"/>
    <w:link w:val="FooterChar"/>
    <w:uiPriority w:val="99"/>
    <w:unhideWhenUsed/>
    <w:rsid w:val="00445F3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45F3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F61D-0DB8-4D26-A499-F2136167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7</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EC CoDe</cp:lastModifiedBy>
  <cp:revision>15</cp:revision>
  <dcterms:created xsi:type="dcterms:W3CDTF">2024-02-21T16:08:00Z</dcterms:created>
  <dcterms:modified xsi:type="dcterms:W3CDTF">2024-03-04T14:04:00Z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9.0, Build 20230317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2024-01-19T11:16:52Z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2fc872e1-9b7b-4e60-8320-770c4a97c937</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